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18F36A">
      <w:pPr>
        <w:snapToGrid w:val="0"/>
        <w:spacing w:line="360" w:lineRule="auto"/>
        <w:jc w:val="center"/>
        <w:rPr>
          <w:rFonts w:ascii="仿宋" w:hAnsi="仿宋" w:eastAsia="仿宋" w:cs="仿宋_GB2312"/>
          <w:b/>
          <w:color w:val="auto"/>
          <w:spacing w:val="-6"/>
          <w:sz w:val="36"/>
          <w:szCs w:val="36"/>
          <w:highlight w:val="none"/>
        </w:rPr>
      </w:pPr>
      <w:bookmarkStart w:id="0" w:name="_Toc532913586"/>
      <w:bookmarkStart w:id="1" w:name="_Toc533430233"/>
      <w:r>
        <w:rPr>
          <w:rFonts w:hint="eastAsia" w:ascii="仿宋" w:hAnsi="仿宋" w:eastAsia="仿宋" w:cs="仿宋_GB2312"/>
          <w:b/>
          <w:color w:val="auto"/>
          <w:spacing w:val="-6"/>
          <w:sz w:val="36"/>
          <w:szCs w:val="36"/>
          <w:highlight w:val="none"/>
          <w:lang w:val="zh-CN"/>
        </w:rPr>
        <w:t>绍兴市柯桥区妇幼保健院HIS一体化集成平台（软件）项目</w:t>
      </w:r>
    </w:p>
    <w:p w14:paraId="5810B687">
      <w:pPr>
        <w:ind w:left="-360" w:right="360"/>
        <w:jc w:val="center"/>
        <w:rPr>
          <w:rFonts w:ascii="仿宋" w:hAnsi="仿宋" w:eastAsia="仿宋" w:cs="仿宋_GB2312"/>
          <w:color w:val="auto"/>
          <w:sz w:val="30"/>
          <w:szCs w:val="30"/>
          <w:highlight w:val="none"/>
        </w:rPr>
      </w:pPr>
      <w:r>
        <w:rPr>
          <w:rFonts w:hint="eastAsia" w:ascii="仿宋" w:hAnsi="仿宋" w:eastAsia="仿宋" w:cs="仿宋_GB2312"/>
          <w:color w:val="auto"/>
          <w:sz w:val="30"/>
          <w:szCs w:val="30"/>
          <w:highlight w:val="none"/>
        </w:rPr>
        <w:t>项目编号:</w:t>
      </w:r>
      <w:r>
        <w:rPr>
          <w:rFonts w:hint="eastAsia" w:ascii="仿宋" w:hAnsi="仿宋" w:eastAsia="仿宋" w:cs="仿宋_GB2312"/>
          <w:i w:val="0"/>
          <w:iCs w:val="0"/>
          <w:caps w:val="0"/>
          <w:color w:val="auto"/>
          <w:spacing w:val="0"/>
          <w:sz w:val="30"/>
          <w:szCs w:val="30"/>
          <w:highlight w:val="none"/>
          <w:u w:val="none"/>
          <w:shd w:val="clear"/>
        </w:rPr>
        <w:fldChar w:fldCharType="begin"/>
      </w:r>
      <w:r>
        <w:rPr>
          <w:rFonts w:hint="eastAsia" w:ascii="仿宋" w:hAnsi="仿宋" w:eastAsia="仿宋" w:cs="仿宋_GB2312"/>
          <w:i w:val="0"/>
          <w:iCs w:val="0"/>
          <w:caps w:val="0"/>
          <w:color w:val="auto"/>
          <w:spacing w:val="0"/>
          <w:sz w:val="30"/>
          <w:szCs w:val="30"/>
          <w:highlight w:val="none"/>
          <w:u w:val="none"/>
          <w:shd w:val="clear"/>
        </w:rPr>
        <w:instrText xml:space="preserve"> HYPERLINK "https://pay.zcygov.cn/purchaseplan_front/" \l "/plan/list/view?id=1000000000015400701&amp;_app_=zcy.procurement" \t "https://www.zcygov.cn/project-center/_procurement_/purchasePlans/_blank" </w:instrText>
      </w:r>
      <w:r>
        <w:rPr>
          <w:rFonts w:hint="eastAsia" w:ascii="仿宋" w:hAnsi="仿宋" w:eastAsia="仿宋" w:cs="仿宋_GB2312"/>
          <w:i w:val="0"/>
          <w:iCs w:val="0"/>
          <w:caps w:val="0"/>
          <w:color w:val="auto"/>
          <w:spacing w:val="0"/>
          <w:sz w:val="30"/>
          <w:szCs w:val="30"/>
          <w:highlight w:val="none"/>
          <w:u w:val="none"/>
          <w:shd w:val="clear"/>
        </w:rPr>
        <w:fldChar w:fldCharType="separate"/>
      </w:r>
      <w:r>
        <w:rPr>
          <w:rFonts w:hint="eastAsia" w:ascii="仿宋" w:hAnsi="仿宋" w:eastAsia="仿宋" w:cs="仿宋_GB2312"/>
          <w:i w:val="0"/>
          <w:iCs w:val="0"/>
          <w:caps w:val="0"/>
          <w:color w:val="auto"/>
          <w:spacing w:val="0"/>
          <w:sz w:val="30"/>
          <w:szCs w:val="30"/>
          <w:highlight w:val="none"/>
          <w:u w:val="none"/>
          <w:shd w:val="clear"/>
        </w:rPr>
        <w:t>绍柯采[2025]222号</w:t>
      </w:r>
      <w:r>
        <w:rPr>
          <w:rFonts w:hint="eastAsia" w:ascii="仿宋" w:hAnsi="仿宋" w:eastAsia="仿宋" w:cs="仿宋_GB2312"/>
          <w:i w:val="0"/>
          <w:iCs w:val="0"/>
          <w:caps w:val="0"/>
          <w:color w:val="auto"/>
          <w:spacing w:val="0"/>
          <w:sz w:val="30"/>
          <w:szCs w:val="30"/>
          <w:highlight w:val="none"/>
          <w:u w:val="none"/>
          <w:shd w:val="clear"/>
        </w:rPr>
        <w:fldChar w:fldCharType="end"/>
      </w:r>
    </w:p>
    <w:p w14:paraId="2FE65B43">
      <w:pPr>
        <w:rPr>
          <w:color w:val="auto"/>
          <w:highlight w:val="none"/>
        </w:rPr>
      </w:pPr>
    </w:p>
    <w:p w14:paraId="5C361569">
      <w:pPr>
        <w:pStyle w:val="202"/>
        <w:rPr>
          <w:color w:val="auto"/>
          <w:highlight w:val="none"/>
        </w:rPr>
      </w:pPr>
      <w:bookmarkStart w:id="455" w:name="_GoBack"/>
      <w:bookmarkEnd w:id="455"/>
    </w:p>
    <w:p w14:paraId="084ECEA0">
      <w:pPr>
        <w:rPr>
          <w:color w:val="auto"/>
          <w:highlight w:val="none"/>
        </w:rPr>
      </w:pPr>
    </w:p>
    <w:p w14:paraId="67237BA6">
      <w:pPr>
        <w:rPr>
          <w:color w:val="auto"/>
          <w:highlight w:val="none"/>
        </w:rPr>
      </w:pPr>
    </w:p>
    <w:p w14:paraId="17C8AF9C">
      <w:pPr>
        <w:rPr>
          <w:color w:val="auto"/>
          <w:highlight w:val="none"/>
        </w:rPr>
      </w:pPr>
    </w:p>
    <w:p w14:paraId="09C8B5FF">
      <w:pPr>
        <w:rPr>
          <w:color w:val="auto"/>
          <w:highlight w:val="none"/>
        </w:rPr>
      </w:pPr>
    </w:p>
    <w:p w14:paraId="0B3A3F16">
      <w:pPr>
        <w:rPr>
          <w:color w:val="auto"/>
          <w:highlight w:val="none"/>
        </w:rPr>
      </w:pPr>
    </w:p>
    <w:p w14:paraId="30092826">
      <w:pPr>
        <w:rPr>
          <w:color w:val="auto"/>
          <w:highlight w:val="none"/>
        </w:rPr>
      </w:pPr>
    </w:p>
    <w:p w14:paraId="099F52C1">
      <w:pPr>
        <w:rPr>
          <w:color w:val="auto"/>
          <w:highlight w:val="none"/>
        </w:rPr>
      </w:pPr>
    </w:p>
    <w:p w14:paraId="2D7EF32D">
      <w:pPr>
        <w:rPr>
          <w:color w:val="auto"/>
          <w:highlight w:val="none"/>
        </w:rPr>
      </w:pPr>
    </w:p>
    <w:p w14:paraId="07FE35C3">
      <w:pPr>
        <w:rPr>
          <w:color w:val="auto"/>
          <w:highlight w:val="none"/>
        </w:rPr>
      </w:pPr>
    </w:p>
    <w:p w14:paraId="5A912894">
      <w:pPr>
        <w:jc w:val="center"/>
        <w:outlineLvl w:val="0"/>
        <w:rPr>
          <w:rFonts w:ascii="仿宋" w:hAnsi="仿宋" w:eastAsia="仿宋"/>
          <w:b/>
          <w:color w:val="auto"/>
          <w:sz w:val="56"/>
          <w:szCs w:val="56"/>
          <w:highlight w:val="none"/>
        </w:rPr>
      </w:pPr>
      <w:r>
        <w:rPr>
          <w:rFonts w:hint="eastAsia" w:ascii="仿宋" w:hAnsi="仿宋" w:eastAsia="仿宋" w:cs="Arial"/>
          <w:b/>
          <w:color w:val="auto"/>
          <w:sz w:val="56"/>
          <w:szCs w:val="56"/>
          <w:highlight w:val="none"/>
        </w:rPr>
        <w:t>公开招标</w:t>
      </w:r>
      <w:r>
        <w:rPr>
          <w:rFonts w:hint="eastAsia" w:ascii="仿宋" w:hAnsi="仿宋" w:eastAsia="仿宋"/>
          <w:b/>
          <w:color w:val="auto"/>
          <w:sz w:val="56"/>
          <w:szCs w:val="56"/>
          <w:highlight w:val="none"/>
        </w:rPr>
        <w:t>文件</w:t>
      </w:r>
    </w:p>
    <w:p w14:paraId="344C19C2">
      <w:pPr>
        <w:pStyle w:val="3"/>
        <w:numPr>
          <w:ilvl w:val="0"/>
          <w:numId w:val="0"/>
        </w:numPr>
        <w:tabs>
          <w:tab w:val="left" w:pos="432"/>
        </w:tabs>
        <w:rPr>
          <w:rFonts w:ascii="仿宋" w:eastAsia="仿宋"/>
          <w:b w:val="0"/>
          <w:color w:val="auto"/>
          <w:sz w:val="56"/>
          <w:szCs w:val="56"/>
          <w:highlight w:val="none"/>
        </w:rPr>
      </w:pPr>
    </w:p>
    <w:p w14:paraId="10DB3F35">
      <w:pPr>
        <w:jc w:val="center"/>
        <w:rPr>
          <w:color w:val="auto"/>
          <w:highlight w:val="none"/>
        </w:rPr>
      </w:pPr>
      <w:r>
        <w:rPr>
          <w:rFonts w:hint="eastAsia" w:ascii="宋体" w:hAnsi="宋体" w:cs="宋体"/>
          <w:b/>
          <w:color w:val="auto"/>
          <w:sz w:val="44"/>
          <w:szCs w:val="44"/>
          <w:highlight w:val="none"/>
        </w:rPr>
        <w:t>（电子招投标）</w:t>
      </w:r>
    </w:p>
    <w:p w14:paraId="4716F789">
      <w:pPr>
        <w:spacing w:line="360" w:lineRule="auto"/>
        <w:jc w:val="center"/>
        <w:rPr>
          <w:rFonts w:ascii="仿宋" w:hAnsi="仿宋" w:eastAsia="仿宋" w:cs="仿宋_GB2312"/>
          <w:b/>
          <w:color w:val="auto"/>
          <w:highlight w:val="none"/>
        </w:rPr>
      </w:pPr>
    </w:p>
    <w:p w14:paraId="18E5ED87">
      <w:pPr>
        <w:pStyle w:val="20"/>
        <w:ind w:left="480"/>
        <w:rPr>
          <w:color w:val="auto"/>
          <w:highlight w:val="none"/>
        </w:rPr>
      </w:pPr>
    </w:p>
    <w:p w14:paraId="1F9AD438">
      <w:pPr>
        <w:pStyle w:val="20"/>
        <w:ind w:left="480"/>
        <w:rPr>
          <w:color w:val="auto"/>
          <w:highlight w:val="none"/>
        </w:rPr>
      </w:pPr>
    </w:p>
    <w:p w14:paraId="2DAFFB04">
      <w:pPr>
        <w:pStyle w:val="20"/>
        <w:ind w:left="480"/>
        <w:rPr>
          <w:color w:val="auto"/>
          <w:highlight w:val="none"/>
        </w:rPr>
      </w:pPr>
    </w:p>
    <w:p w14:paraId="5D22C611">
      <w:pPr>
        <w:pStyle w:val="20"/>
        <w:ind w:left="480"/>
        <w:rPr>
          <w:color w:val="auto"/>
          <w:highlight w:val="none"/>
        </w:rPr>
      </w:pPr>
    </w:p>
    <w:p w14:paraId="7F51BFB6">
      <w:pPr>
        <w:pStyle w:val="202"/>
        <w:ind w:firstLine="0" w:firstLineChars="0"/>
        <w:rPr>
          <w:color w:val="auto"/>
          <w:highlight w:val="none"/>
        </w:rPr>
      </w:pPr>
    </w:p>
    <w:p w14:paraId="011F858F">
      <w:pPr>
        <w:snapToGrid w:val="0"/>
        <w:spacing w:line="360" w:lineRule="auto"/>
        <w:jc w:val="center"/>
        <w:rPr>
          <w:rFonts w:ascii="仿宋" w:hAnsi="仿宋" w:eastAsia="仿宋" w:cs="仿宋_GB2312"/>
          <w:bCs/>
          <w:color w:val="auto"/>
          <w:sz w:val="32"/>
          <w:szCs w:val="32"/>
          <w:highlight w:val="none"/>
        </w:rPr>
      </w:pPr>
      <w:r>
        <w:rPr>
          <w:rFonts w:hint="eastAsia" w:ascii="仿宋" w:hAnsi="仿宋" w:eastAsia="仿宋" w:cs="仿宋_GB2312"/>
          <w:color w:val="auto"/>
          <w:sz w:val="32"/>
          <w:szCs w:val="32"/>
          <w:highlight w:val="none"/>
        </w:rPr>
        <w:t>采购单位：绍兴市柯桥区妇幼保健院</w:t>
      </w:r>
    </w:p>
    <w:p w14:paraId="20F7BE51">
      <w:pPr>
        <w:spacing w:line="360" w:lineRule="auto"/>
        <w:jc w:val="center"/>
        <w:rPr>
          <w:rFonts w:ascii="仿宋" w:hAnsi="仿宋" w:eastAsia="仿宋" w:cs="仿宋_GB2312"/>
          <w:bCs/>
          <w:color w:val="auto"/>
          <w:sz w:val="32"/>
          <w:szCs w:val="32"/>
          <w:highlight w:val="none"/>
        </w:rPr>
      </w:pPr>
      <w:r>
        <w:rPr>
          <w:rFonts w:hint="eastAsia" w:ascii="仿宋" w:hAnsi="仿宋" w:eastAsia="仿宋" w:cs="仿宋_GB2312"/>
          <w:bCs/>
          <w:color w:val="auto"/>
          <w:sz w:val="32"/>
          <w:szCs w:val="32"/>
          <w:highlight w:val="none"/>
        </w:rPr>
        <w:t>采购代理机构：浙江建诚工程管理咨询有限公司</w:t>
      </w:r>
    </w:p>
    <w:p w14:paraId="2FA79798">
      <w:pPr>
        <w:snapToGrid w:val="0"/>
        <w:spacing w:line="360" w:lineRule="auto"/>
        <w:jc w:val="center"/>
        <w:rPr>
          <w:rFonts w:ascii="Arial" w:hAnsi="Arial" w:eastAsia="黑体" w:cs="Arial"/>
          <w:snapToGrid w:val="0"/>
          <w:color w:val="auto"/>
          <w:szCs w:val="21"/>
          <w:highlight w:val="none"/>
        </w:rPr>
      </w:pPr>
      <w:r>
        <w:rPr>
          <w:rFonts w:hint="eastAsia" w:ascii="仿宋_GB2312" w:hAnsi="仿宋_GB2312" w:eastAsia="仿宋_GB2312" w:cs="仿宋_GB2312"/>
          <w:bCs/>
          <w:color w:val="auto"/>
          <w:sz w:val="32"/>
          <w:szCs w:val="32"/>
          <w:highlight w:val="none"/>
        </w:rPr>
        <w:t>2025年  月  日</w:t>
      </w:r>
      <w:bookmarkStart w:id="2" w:name="_Hlt67893495"/>
      <w:bookmarkEnd w:id="2"/>
    </w:p>
    <w:p w14:paraId="4CD3A756">
      <w:pPr>
        <w:spacing w:line="360" w:lineRule="auto"/>
        <w:jc w:val="both"/>
        <w:rPr>
          <w:rFonts w:ascii="仿宋" w:hAnsi="仿宋" w:eastAsia="仿宋" w:cs="仿宋_GB2312"/>
          <w:b/>
          <w:color w:val="auto"/>
          <w:sz w:val="48"/>
          <w:szCs w:val="48"/>
          <w:highlight w:val="none"/>
        </w:rPr>
      </w:pPr>
    </w:p>
    <w:p w14:paraId="3B86B8DA">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  录</w:t>
      </w:r>
    </w:p>
    <w:p w14:paraId="559840A9">
      <w:pPr>
        <w:spacing w:line="360" w:lineRule="auto"/>
        <w:rPr>
          <w:rFonts w:ascii="仿宋" w:hAnsi="仿宋" w:eastAsia="仿宋" w:cs="仿宋_GB2312"/>
          <w:color w:val="auto"/>
          <w:sz w:val="32"/>
          <w:szCs w:val="32"/>
          <w:highlight w:val="none"/>
        </w:rPr>
      </w:pPr>
    </w:p>
    <w:p w14:paraId="4593F673">
      <w:pPr>
        <w:spacing w:line="360" w:lineRule="auto"/>
        <w:rPr>
          <w:rFonts w:ascii="仿宋" w:hAnsi="仿宋" w:eastAsia="仿宋" w:cs="仿宋_GB2312"/>
          <w:color w:val="auto"/>
          <w:sz w:val="32"/>
          <w:szCs w:val="32"/>
          <w:highlight w:val="none"/>
        </w:rPr>
      </w:pPr>
    </w:p>
    <w:p w14:paraId="7FBE2BCF">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14:paraId="1F560A2C">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14:paraId="0D8B1C84">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14:paraId="5365AFC3">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评标方法及评分标准</w:t>
      </w:r>
    </w:p>
    <w:p w14:paraId="57ED0C10">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拟签订的合同文本</w:t>
      </w:r>
    </w:p>
    <w:p w14:paraId="626779AB">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      应提交的有关格式范例</w:t>
      </w:r>
    </w:p>
    <w:p w14:paraId="44125BA1">
      <w:pPr>
        <w:spacing w:line="360" w:lineRule="auto"/>
        <w:ind w:firstLine="549" w:firstLineChars="229"/>
        <w:rPr>
          <w:rFonts w:ascii="仿宋" w:hAnsi="仿宋" w:eastAsia="仿宋" w:cs="仿宋_GB2312"/>
          <w:color w:val="auto"/>
          <w:highlight w:val="none"/>
        </w:rPr>
      </w:pPr>
      <w:bookmarkStart w:id="3" w:name="_Hlt91233176"/>
      <w:bookmarkEnd w:id="3"/>
      <w:bookmarkStart w:id="4" w:name="_Toc91899869"/>
    </w:p>
    <w:p w14:paraId="4F58EC21">
      <w:pPr>
        <w:spacing w:line="360" w:lineRule="auto"/>
        <w:ind w:firstLine="549" w:firstLineChars="229"/>
        <w:rPr>
          <w:rFonts w:ascii="仿宋" w:hAnsi="仿宋" w:eastAsia="仿宋" w:cs="仿宋_GB2312"/>
          <w:color w:val="auto"/>
          <w:highlight w:val="none"/>
        </w:rPr>
      </w:pPr>
    </w:p>
    <w:p w14:paraId="75C3FD41">
      <w:pPr>
        <w:spacing w:line="360" w:lineRule="auto"/>
        <w:ind w:firstLine="549" w:firstLineChars="229"/>
        <w:rPr>
          <w:rFonts w:ascii="仿宋" w:hAnsi="仿宋" w:eastAsia="仿宋" w:cs="仿宋_GB2312"/>
          <w:color w:val="auto"/>
          <w:highlight w:val="none"/>
        </w:rPr>
      </w:pPr>
    </w:p>
    <w:p w14:paraId="5757F763">
      <w:pPr>
        <w:spacing w:line="360" w:lineRule="auto"/>
        <w:ind w:firstLine="549" w:firstLineChars="229"/>
        <w:rPr>
          <w:rFonts w:ascii="仿宋" w:hAnsi="仿宋" w:eastAsia="仿宋" w:cs="仿宋_GB2312"/>
          <w:color w:val="auto"/>
          <w:highlight w:val="none"/>
        </w:rPr>
      </w:pPr>
    </w:p>
    <w:p w14:paraId="260D5D29">
      <w:pPr>
        <w:spacing w:line="360" w:lineRule="auto"/>
        <w:ind w:firstLine="549" w:firstLineChars="229"/>
        <w:rPr>
          <w:rFonts w:ascii="仿宋" w:hAnsi="仿宋" w:eastAsia="仿宋" w:cs="仿宋_GB2312"/>
          <w:color w:val="auto"/>
          <w:highlight w:val="none"/>
        </w:rPr>
      </w:pPr>
    </w:p>
    <w:p w14:paraId="2B2B56E1">
      <w:pPr>
        <w:spacing w:line="360" w:lineRule="auto"/>
        <w:ind w:firstLine="549" w:firstLineChars="229"/>
        <w:rPr>
          <w:rFonts w:ascii="仿宋" w:hAnsi="仿宋" w:eastAsia="仿宋" w:cs="仿宋_GB2312"/>
          <w:color w:val="auto"/>
          <w:highlight w:val="none"/>
        </w:rPr>
      </w:pPr>
    </w:p>
    <w:p w14:paraId="73BC1417">
      <w:pPr>
        <w:spacing w:line="360" w:lineRule="auto"/>
        <w:ind w:firstLine="549" w:firstLineChars="229"/>
        <w:rPr>
          <w:rFonts w:ascii="仿宋" w:hAnsi="仿宋" w:eastAsia="仿宋" w:cs="仿宋_GB2312"/>
          <w:color w:val="auto"/>
          <w:highlight w:val="none"/>
        </w:rPr>
      </w:pPr>
    </w:p>
    <w:p w14:paraId="5F2BE010">
      <w:pPr>
        <w:spacing w:line="360" w:lineRule="auto"/>
        <w:ind w:firstLine="549" w:firstLineChars="229"/>
        <w:rPr>
          <w:rFonts w:ascii="仿宋" w:hAnsi="仿宋" w:eastAsia="仿宋" w:cs="仿宋_GB2312"/>
          <w:color w:val="auto"/>
          <w:highlight w:val="none"/>
        </w:rPr>
      </w:pPr>
    </w:p>
    <w:p w14:paraId="3BACD12E">
      <w:pPr>
        <w:spacing w:line="360" w:lineRule="auto"/>
        <w:ind w:firstLine="549" w:firstLineChars="229"/>
        <w:rPr>
          <w:rFonts w:ascii="仿宋" w:hAnsi="仿宋" w:eastAsia="仿宋" w:cs="仿宋_GB2312"/>
          <w:color w:val="auto"/>
          <w:highlight w:val="none"/>
        </w:rPr>
      </w:pPr>
    </w:p>
    <w:bookmarkEnd w:id="4"/>
    <w:p w14:paraId="0E58CB9D">
      <w:pPr>
        <w:pStyle w:val="202"/>
        <w:ind w:firstLine="0" w:firstLineChars="0"/>
        <w:rPr>
          <w:rFonts w:ascii="Arial" w:hAnsi="Arial" w:eastAsia="黑体" w:cs="Arial"/>
          <w:snapToGrid w:val="0"/>
          <w:color w:val="auto"/>
          <w:szCs w:val="21"/>
          <w:highlight w:val="none"/>
        </w:rPr>
      </w:pPr>
      <w:bookmarkStart w:id="5" w:name="_Hlt74728647"/>
      <w:bookmarkEnd w:id="5"/>
      <w:bookmarkStart w:id="6" w:name="_Hlt74649545"/>
      <w:bookmarkEnd w:id="6"/>
      <w:bookmarkStart w:id="7" w:name="_Hlt74707423"/>
      <w:bookmarkEnd w:id="7"/>
      <w:bookmarkStart w:id="8" w:name="_Hlt74729822"/>
      <w:bookmarkEnd w:id="8"/>
      <w:bookmarkStart w:id="9" w:name="第二部分"/>
      <w:bookmarkStart w:id="10" w:name="_Toc91899870"/>
      <w:bookmarkStart w:id="11" w:name="_Toc91899871"/>
    </w:p>
    <w:p w14:paraId="52127BD8">
      <w:pPr>
        <w:spacing w:line="360" w:lineRule="auto"/>
        <w:jc w:val="center"/>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第一部分 招标公告</w:t>
      </w:r>
    </w:p>
    <w:p w14:paraId="043A5F46">
      <w:pPr>
        <w:pBdr>
          <w:top w:val="single" w:color="auto" w:sz="4" w:space="1"/>
          <w:left w:val="single" w:color="auto" w:sz="4" w:space="4"/>
          <w:bottom w:val="single" w:color="auto" w:sz="4" w:space="1"/>
          <w:right w:val="single" w:color="auto" w:sz="4" w:space="4"/>
        </w:pBdr>
        <w:ind w:left="840"/>
        <w:rPr>
          <w:rFonts w:ascii="仿宋" w:hAnsi="仿宋" w:eastAsia="仿宋"/>
          <w:color w:val="auto"/>
          <w:szCs w:val="28"/>
          <w:highlight w:val="none"/>
        </w:rPr>
      </w:pPr>
      <w:r>
        <w:rPr>
          <w:rFonts w:hint="eastAsia" w:ascii="仿宋" w:hAnsi="仿宋" w:eastAsia="仿宋"/>
          <w:color w:val="auto"/>
          <w:szCs w:val="28"/>
          <w:highlight w:val="none"/>
        </w:rPr>
        <w:t>项目概况</w:t>
      </w:r>
    </w:p>
    <w:p w14:paraId="13061D31">
      <w:pPr>
        <w:pBdr>
          <w:top w:val="single" w:color="auto" w:sz="4" w:space="1"/>
          <w:left w:val="single" w:color="auto" w:sz="4" w:space="4"/>
          <w:bottom w:val="single" w:color="auto" w:sz="4" w:space="1"/>
          <w:right w:val="single" w:color="auto" w:sz="4" w:space="4"/>
        </w:pBdr>
        <w:ind w:left="840"/>
        <w:rPr>
          <w:rFonts w:ascii="仿宋" w:hAnsi="仿宋" w:eastAsia="仿宋"/>
          <w:color w:val="auto"/>
          <w:szCs w:val="28"/>
          <w:highlight w:val="none"/>
        </w:rPr>
      </w:pPr>
      <w:r>
        <w:rPr>
          <w:rFonts w:hint="eastAsia" w:ascii="仿宋" w:hAnsi="仿宋" w:eastAsia="仿宋"/>
          <w:color w:val="auto"/>
          <w:szCs w:val="28"/>
          <w:highlight w:val="none"/>
          <w:u w:val="single"/>
        </w:rPr>
        <w:t xml:space="preserve">绍兴市柯桥区妇幼保健院HIS一体化集成平台（软件）项目 </w:t>
      </w:r>
      <w:r>
        <w:rPr>
          <w:rFonts w:hint="eastAsia" w:ascii="仿宋" w:hAnsi="仿宋" w:eastAsia="仿宋"/>
          <w:color w:val="auto"/>
          <w:szCs w:val="28"/>
          <w:highlight w:val="none"/>
        </w:rPr>
        <w:t>招标项目的潜在投标人应在</w:t>
      </w:r>
      <w:r>
        <w:rPr>
          <w:rFonts w:hint="eastAsia" w:ascii="仿宋" w:hAnsi="仿宋" w:eastAsia="仿宋"/>
          <w:color w:val="auto"/>
          <w:szCs w:val="28"/>
          <w:highlight w:val="none"/>
          <w:u w:val="single"/>
        </w:rPr>
        <w:t>政采云系统在线</w:t>
      </w:r>
      <w:r>
        <w:rPr>
          <w:rFonts w:hint="eastAsia" w:ascii="仿宋" w:hAnsi="仿宋" w:eastAsia="仿宋"/>
          <w:color w:val="auto"/>
          <w:szCs w:val="28"/>
          <w:highlight w:val="none"/>
        </w:rPr>
        <w:t>获取招标文件，并于</w:t>
      </w:r>
      <w:r>
        <w:rPr>
          <w:rFonts w:hint="eastAsia" w:ascii="仿宋" w:hAnsi="仿宋" w:eastAsia="仿宋"/>
          <w:color w:val="auto"/>
          <w:szCs w:val="28"/>
          <w:highlight w:val="none"/>
          <w:u w:val="single"/>
        </w:rPr>
        <w:t>2025</w:t>
      </w:r>
      <w:r>
        <w:rPr>
          <w:rFonts w:hint="eastAsia" w:ascii="仿宋" w:hAnsi="仿宋" w:eastAsia="仿宋"/>
          <w:bCs/>
          <w:color w:val="auto"/>
          <w:szCs w:val="28"/>
          <w:highlight w:val="none"/>
          <w:u w:val="single"/>
        </w:rPr>
        <w:t>年  月  日09点30分（</w:t>
      </w:r>
      <w:r>
        <w:rPr>
          <w:rFonts w:hint="eastAsia" w:ascii="仿宋" w:hAnsi="仿宋" w:eastAsia="仿宋"/>
          <w:bCs/>
          <w:color w:val="auto"/>
          <w:szCs w:val="28"/>
          <w:highlight w:val="none"/>
        </w:rPr>
        <w:t>北京时间）前递交投标</w:t>
      </w:r>
      <w:r>
        <w:rPr>
          <w:rFonts w:ascii="仿宋" w:hAnsi="仿宋" w:eastAsia="仿宋"/>
          <w:bCs/>
          <w:color w:val="auto"/>
          <w:szCs w:val="28"/>
          <w:highlight w:val="none"/>
        </w:rPr>
        <w:t>文件</w:t>
      </w:r>
      <w:r>
        <w:rPr>
          <w:rFonts w:hint="eastAsia" w:ascii="仿宋" w:hAnsi="仿宋" w:eastAsia="仿宋"/>
          <w:color w:val="auto"/>
          <w:szCs w:val="28"/>
          <w:highlight w:val="none"/>
        </w:rPr>
        <w:t>。</w:t>
      </w:r>
    </w:p>
    <w:p w14:paraId="5FBAD432">
      <w:pPr>
        <w:rPr>
          <w:color w:val="auto"/>
          <w:szCs w:val="28"/>
          <w:highlight w:val="none"/>
        </w:rPr>
      </w:pPr>
    </w:p>
    <w:p w14:paraId="0E607CCA">
      <w:pPr>
        <w:pStyle w:val="3"/>
        <w:numPr>
          <w:ilvl w:val="0"/>
          <w:numId w:val="0"/>
        </w:numPr>
        <w:tabs>
          <w:tab w:val="left" w:pos="432"/>
        </w:tabs>
        <w:rPr>
          <w:rFonts w:ascii="黑体" w:hAnsi="黑体" w:cs="宋体"/>
          <w:color w:val="auto"/>
          <w:sz w:val="24"/>
          <w:highlight w:val="none"/>
        </w:rPr>
      </w:pPr>
      <w:bookmarkStart w:id="12" w:name="_Toc28359002"/>
      <w:bookmarkStart w:id="13" w:name="_Toc35393621"/>
      <w:bookmarkStart w:id="14" w:name="_Toc28359079"/>
      <w:bookmarkStart w:id="15" w:name="_Toc35393790"/>
      <w:bookmarkStart w:id="16" w:name="_Hlk24379207"/>
      <w:r>
        <w:rPr>
          <w:rFonts w:hint="eastAsia" w:ascii="黑体" w:hAnsi="黑体" w:cs="宋体"/>
          <w:color w:val="auto"/>
          <w:sz w:val="24"/>
          <w:highlight w:val="none"/>
        </w:rPr>
        <w:t>一、项目基本情况</w:t>
      </w:r>
      <w:bookmarkEnd w:id="12"/>
      <w:bookmarkEnd w:id="13"/>
      <w:bookmarkEnd w:id="14"/>
      <w:bookmarkEnd w:id="15"/>
    </w:p>
    <w:bookmarkEnd w:id="16"/>
    <w:p w14:paraId="6BBDBF17">
      <w:pPr>
        <w:spacing w:line="360" w:lineRule="auto"/>
        <w:ind w:left="480" w:leftChars="200"/>
        <w:rPr>
          <w:rFonts w:ascii="仿宋" w:hAnsi="仿宋" w:eastAsia="仿宋"/>
          <w:color w:val="auto"/>
          <w:szCs w:val="28"/>
          <w:highlight w:val="none"/>
        </w:rPr>
      </w:pPr>
      <w:r>
        <w:rPr>
          <w:rFonts w:hint="eastAsia" w:ascii="仿宋" w:hAnsi="仿宋" w:eastAsia="仿宋"/>
          <w:color w:val="auto"/>
          <w:szCs w:val="28"/>
          <w:highlight w:val="none"/>
        </w:rPr>
        <w:t>项目编号：</w:t>
      </w:r>
      <w:r>
        <w:rPr>
          <w:rFonts w:hint="eastAsia" w:ascii="仿宋" w:hAnsi="仿宋" w:eastAsia="仿宋" w:cstheme="minorBidi"/>
          <w:i w:val="0"/>
          <w:iCs w:val="0"/>
          <w:caps w:val="0"/>
          <w:color w:val="auto"/>
          <w:spacing w:val="0"/>
          <w:sz w:val="24"/>
          <w:szCs w:val="28"/>
          <w:highlight w:val="none"/>
          <w:u w:val="none"/>
          <w:shd w:val="clear"/>
        </w:rPr>
        <w:fldChar w:fldCharType="begin"/>
      </w:r>
      <w:r>
        <w:rPr>
          <w:rFonts w:hint="eastAsia" w:ascii="仿宋" w:hAnsi="仿宋" w:eastAsia="仿宋" w:cstheme="minorBidi"/>
          <w:i w:val="0"/>
          <w:iCs w:val="0"/>
          <w:caps w:val="0"/>
          <w:color w:val="auto"/>
          <w:spacing w:val="0"/>
          <w:sz w:val="24"/>
          <w:szCs w:val="28"/>
          <w:highlight w:val="none"/>
          <w:u w:val="none"/>
          <w:shd w:val="clear"/>
        </w:rPr>
        <w:instrText xml:space="preserve"> HYPERLINK "https://pay.zcygov.cn/purchaseplan_front/" \l "/plan/list/view?id=1000000000015400701&amp;_app_=zcy.procurement" \t "https://www.zcygov.cn/project-center/_procurement_/purchasePlans/_blank" </w:instrText>
      </w:r>
      <w:r>
        <w:rPr>
          <w:rFonts w:hint="eastAsia" w:ascii="仿宋" w:hAnsi="仿宋" w:eastAsia="仿宋" w:cstheme="minorBidi"/>
          <w:i w:val="0"/>
          <w:iCs w:val="0"/>
          <w:caps w:val="0"/>
          <w:color w:val="auto"/>
          <w:spacing w:val="0"/>
          <w:sz w:val="24"/>
          <w:szCs w:val="28"/>
          <w:highlight w:val="none"/>
          <w:u w:val="none"/>
          <w:shd w:val="clear"/>
        </w:rPr>
        <w:fldChar w:fldCharType="separate"/>
      </w:r>
      <w:r>
        <w:rPr>
          <w:rFonts w:hint="eastAsia" w:ascii="仿宋" w:hAnsi="仿宋" w:eastAsia="仿宋" w:cstheme="minorBidi"/>
          <w:i w:val="0"/>
          <w:iCs w:val="0"/>
          <w:caps w:val="0"/>
          <w:color w:val="auto"/>
          <w:spacing w:val="0"/>
          <w:sz w:val="24"/>
          <w:szCs w:val="28"/>
          <w:highlight w:val="none"/>
          <w:u w:val="none"/>
          <w:shd w:val="clear"/>
        </w:rPr>
        <w:t>绍柯采[2025]222号</w:t>
      </w:r>
      <w:r>
        <w:rPr>
          <w:rFonts w:hint="eastAsia" w:ascii="仿宋" w:hAnsi="仿宋" w:eastAsia="仿宋" w:cstheme="minorBidi"/>
          <w:i w:val="0"/>
          <w:iCs w:val="0"/>
          <w:caps w:val="0"/>
          <w:color w:val="auto"/>
          <w:spacing w:val="0"/>
          <w:sz w:val="24"/>
          <w:szCs w:val="28"/>
          <w:highlight w:val="none"/>
          <w:u w:val="none"/>
          <w:shd w:val="clear"/>
        </w:rPr>
        <w:fldChar w:fldCharType="end"/>
      </w:r>
    </w:p>
    <w:p w14:paraId="65A918D2">
      <w:pPr>
        <w:spacing w:line="360" w:lineRule="auto"/>
        <w:ind w:left="480" w:leftChars="200"/>
        <w:rPr>
          <w:rFonts w:ascii="仿宋" w:hAnsi="仿宋" w:eastAsia="仿宋"/>
          <w:color w:val="auto"/>
          <w:szCs w:val="28"/>
          <w:highlight w:val="none"/>
        </w:rPr>
      </w:pPr>
      <w:r>
        <w:rPr>
          <w:rFonts w:hint="eastAsia" w:ascii="仿宋" w:hAnsi="仿宋" w:eastAsia="仿宋"/>
          <w:color w:val="auto"/>
          <w:szCs w:val="28"/>
          <w:highlight w:val="none"/>
        </w:rPr>
        <w:t>项目名称：绍兴市柯桥区妇幼保健院HIS一体化集成平台（软件）项目</w:t>
      </w:r>
    </w:p>
    <w:p w14:paraId="06A3FC60">
      <w:pPr>
        <w:spacing w:line="360" w:lineRule="auto"/>
        <w:ind w:left="480" w:leftChars="200"/>
        <w:rPr>
          <w:rFonts w:ascii="仿宋" w:hAnsi="仿宋" w:eastAsia="仿宋"/>
          <w:color w:val="auto"/>
          <w:szCs w:val="28"/>
          <w:highlight w:val="none"/>
        </w:rPr>
      </w:pPr>
      <w:r>
        <w:rPr>
          <w:rFonts w:hint="eastAsia" w:ascii="仿宋" w:hAnsi="仿宋" w:eastAsia="仿宋"/>
          <w:color w:val="auto"/>
          <w:szCs w:val="28"/>
          <w:highlight w:val="none"/>
        </w:rPr>
        <w:t>预算金额（元）：8390000</w:t>
      </w:r>
    </w:p>
    <w:p w14:paraId="0945203E">
      <w:pPr>
        <w:spacing w:line="360" w:lineRule="auto"/>
        <w:ind w:left="480" w:leftChars="200"/>
        <w:rPr>
          <w:rFonts w:hint="default" w:ascii="仿宋" w:hAnsi="仿宋" w:eastAsia="仿宋"/>
          <w:color w:val="auto"/>
          <w:szCs w:val="28"/>
          <w:highlight w:val="none"/>
          <w:lang w:val="en-US" w:eastAsia="zh-CN"/>
        </w:rPr>
      </w:pPr>
      <w:r>
        <w:rPr>
          <w:rFonts w:hint="eastAsia" w:ascii="仿宋" w:hAnsi="仿宋" w:eastAsia="仿宋"/>
          <w:color w:val="auto"/>
          <w:szCs w:val="28"/>
          <w:highlight w:val="none"/>
        </w:rPr>
        <w:t>最高限价（元）：8390000</w:t>
      </w:r>
      <w:r>
        <w:rPr>
          <w:rFonts w:hint="eastAsia" w:ascii="仿宋" w:hAnsi="仿宋" w:eastAsia="仿宋"/>
          <w:color w:val="auto"/>
          <w:szCs w:val="28"/>
          <w:highlight w:val="none"/>
          <w:lang w:val="en-US" w:eastAsia="zh-CN"/>
        </w:rPr>
        <w:t xml:space="preserve">   </w:t>
      </w:r>
    </w:p>
    <w:p w14:paraId="64B64EDB">
      <w:pPr>
        <w:spacing w:line="360" w:lineRule="auto"/>
        <w:ind w:left="480" w:leftChars="200"/>
        <w:rPr>
          <w:rFonts w:ascii="仿宋" w:hAnsi="仿宋" w:eastAsia="仿宋"/>
          <w:b/>
          <w:color w:val="auto"/>
          <w:szCs w:val="28"/>
          <w:highlight w:val="none"/>
        </w:rPr>
      </w:pPr>
      <w:r>
        <w:rPr>
          <w:rFonts w:hint="eastAsia" w:ascii="仿宋" w:hAnsi="仿宋" w:eastAsia="仿宋"/>
          <w:color w:val="auto"/>
          <w:szCs w:val="28"/>
          <w:highlight w:val="none"/>
        </w:rPr>
        <w:t xml:space="preserve">采购需求：详见招标文件 </w:t>
      </w:r>
    </w:p>
    <w:p w14:paraId="168E9090">
      <w:pPr>
        <w:spacing w:line="360" w:lineRule="auto"/>
        <w:ind w:left="480" w:leftChars="200"/>
        <w:rPr>
          <w:rFonts w:ascii="仿宋" w:hAnsi="仿宋" w:eastAsia="仿宋"/>
          <w:color w:val="auto"/>
          <w:szCs w:val="28"/>
          <w:highlight w:val="none"/>
        </w:rPr>
      </w:pPr>
      <w:r>
        <w:rPr>
          <w:rFonts w:hint="eastAsia" w:ascii="仿宋" w:hAnsi="仿宋" w:eastAsia="仿宋"/>
          <w:color w:val="auto"/>
          <w:szCs w:val="28"/>
          <w:highlight w:val="none"/>
        </w:rPr>
        <w:t>标项一：</w:t>
      </w:r>
    </w:p>
    <w:p w14:paraId="3577661D">
      <w:pPr>
        <w:spacing w:line="360" w:lineRule="auto"/>
        <w:ind w:left="480" w:leftChars="200"/>
        <w:rPr>
          <w:rFonts w:ascii="仿宋" w:hAnsi="仿宋" w:eastAsia="仿宋"/>
          <w:color w:val="auto"/>
          <w:szCs w:val="28"/>
          <w:highlight w:val="none"/>
        </w:rPr>
      </w:pPr>
      <w:r>
        <w:rPr>
          <w:rFonts w:hint="eastAsia" w:ascii="仿宋" w:hAnsi="仿宋" w:eastAsia="仿宋"/>
          <w:color w:val="auto"/>
          <w:szCs w:val="28"/>
          <w:highlight w:val="none"/>
        </w:rPr>
        <w:t>标项名称：绍兴市柯桥区妇幼保健院HIS一体化集成平台（软件）项目</w:t>
      </w:r>
    </w:p>
    <w:p w14:paraId="7FE7DFFF">
      <w:pPr>
        <w:spacing w:line="360" w:lineRule="auto"/>
        <w:ind w:left="480" w:leftChars="200"/>
        <w:rPr>
          <w:rFonts w:ascii="仿宋" w:hAnsi="仿宋" w:eastAsia="仿宋"/>
          <w:color w:val="auto"/>
          <w:szCs w:val="28"/>
          <w:highlight w:val="none"/>
        </w:rPr>
      </w:pPr>
      <w:r>
        <w:rPr>
          <w:rFonts w:hint="eastAsia" w:ascii="仿宋" w:hAnsi="仿宋" w:eastAsia="仿宋"/>
          <w:color w:val="auto"/>
          <w:szCs w:val="28"/>
          <w:highlight w:val="none"/>
        </w:rPr>
        <w:t>数量：1项</w:t>
      </w:r>
    </w:p>
    <w:p w14:paraId="69E00340">
      <w:pPr>
        <w:spacing w:line="360" w:lineRule="auto"/>
        <w:ind w:left="480" w:leftChars="200"/>
        <w:rPr>
          <w:rFonts w:ascii="仿宋" w:hAnsi="仿宋" w:eastAsia="仿宋"/>
          <w:color w:val="auto"/>
          <w:szCs w:val="28"/>
          <w:highlight w:val="none"/>
        </w:rPr>
      </w:pPr>
      <w:r>
        <w:rPr>
          <w:rFonts w:hint="eastAsia" w:ascii="仿宋" w:hAnsi="仿宋" w:eastAsia="仿宋"/>
          <w:color w:val="auto"/>
          <w:szCs w:val="28"/>
          <w:highlight w:val="none"/>
        </w:rPr>
        <w:t>预算金额（元）：8390000</w:t>
      </w:r>
    </w:p>
    <w:p w14:paraId="133128C2">
      <w:pPr>
        <w:spacing w:line="360" w:lineRule="auto"/>
        <w:ind w:left="480" w:leftChars="200"/>
        <w:rPr>
          <w:rFonts w:ascii="仿宋" w:hAnsi="仿宋" w:eastAsia="仿宋"/>
          <w:color w:val="auto"/>
          <w:szCs w:val="28"/>
          <w:highlight w:val="none"/>
        </w:rPr>
      </w:pPr>
      <w:r>
        <w:rPr>
          <w:rFonts w:ascii="仿宋" w:hAnsi="仿宋" w:eastAsia="仿宋"/>
          <w:color w:val="auto"/>
          <w:szCs w:val="28"/>
          <w:highlight w:val="none"/>
        </w:rPr>
        <w:t>简要规格描述或项目基本概况介绍、用途：</w:t>
      </w:r>
      <w:r>
        <w:rPr>
          <w:rFonts w:hint="eastAsia" w:ascii="仿宋" w:hAnsi="仿宋" w:eastAsia="仿宋"/>
          <w:color w:val="auto"/>
          <w:szCs w:val="28"/>
          <w:highlight w:val="none"/>
        </w:rPr>
        <w:t>绍兴市柯桥区妇幼保健院HIS一体化集成平台（软件）项目。具体详见采购文件第三部分。</w:t>
      </w:r>
    </w:p>
    <w:p w14:paraId="60398EEF">
      <w:pPr>
        <w:spacing w:line="360" w:lineRule="auto"/>
        <w:ind w:left="480" w:leftChars="200"/>
        <w:rPr>
          <w:rFonts w:ascii="仿宋" w:hAnsi="仿宋" w:eastAsia="仿宋"/>
          <w:color w:val="auto"/>
          <w:szCs w:val="28"/>
          <w:highlight w:val="none"/>
        </w:rPr>
      </w:pPr>
      <w:r>
        <w:rPr>
          <w:rFonts w:hint="eastAsia" w:ascii="仿宋" w:hAnsi="仿宋" w:eastAsia="仿宋"/>
          <w:b/>
          <w:bCs/>
          <w:color w:val="auto"/>
          <w:szCs w:val="28"/>
          <w:highlight w:val="none"/>
        </w:rPr>
        <w:t>备注：/</w:t>
      </w:r>
    </w:p>
    <w:p w14:paraId="78603394">
      <w:pPr>
        <w:snapToGrid w:val="0"/>
        <w:spacing w:line="360" w:lineRule="auto"/>
        <w:ind w:firstLine="480" w:firstLineChars="200"/>
        <w:rPr>
          <w:rFonts w:ascii="仿宋" w:hAnsi="仿宋" w:eastAsia="仿宋"/>
          <w:color w:val="auto"/>
          <w:szCs w:val="28"/>
          <w:highlight w:val="none"/>
        </w:rPr>
      </w:pPr>
      <w:r>
        <w:rPr>
          <w:rFonts w:hint="eastAsia" w:ascii="仿宋" w:hAnsi="仿宋" w:eastAsia="仿宋"/>
          <w:color w:val="auto"/>
          <w:szCs w:val="28"/>
          <w:highlight w:val="none"/>
        </w:rPr>
        <w:t>合同履行期限：</w:t>
      </w:r>
      <w:r>
        <w:rPr>
          <w:rFonts w:hint="eastAsia" w:ascii="仿宋" w:hAnsi="仿宋" w:eastAsia="仿宋" w:cs="Times New Roman"/>
          <w:color w:val="auto"/>
          <w:szCs w:val="28"/>
          <w:highlight w:val="none"/>
        </w:rPr>
        <w:t>在合同签订后3个月内完成核心系统上线，总体工期在3年左右，质保服务期限详见产品功能清单。</w:t>
      </w:r>
    </w:p>
    <w:p w14:paraId="3E97B0B4">
      <w:pPr>
        <w:spacing w:line="360" w:lineRule="auto"/>
        <w:ind w:left="480" w:leftChars="200"/>
        <w:rPr>
          <w:rFonts w:ascii="仿宋" w:hAnsi="仿宋" w:eastAsia="仿宋"/>
          <w:color w:val="auto"/>
          <w:szCs w:val="28"/>
          <w:highlight w:val="none"/>
          <w:u w:val="single"/>
        </w:rPr>
      </w:pPr>
      <w:r>
        <w:rPr>
          <w:rFonts w:hint="eastAsia" w:ascii="仿宋" w:hAnsi="仿宋" w:eastAsia="仿宋"/>
          <w:color w:val="auto"/>
          <w:szCs w:val="28"/>
          <w:highlight w:val="none"/>
        </w:rPr>
        <w:t>本项目</w:t>
      </w:r>
      <w:r>
        <w:rPr>
          <w:rFonts w:hint="eastAsia" w:ascii="仿宋" w:hAnsi="仿宋" w:eastAsia="仿宋"/>
          <w:b/>
          <w:color w:val="auto"/>
          <w:szCs w:val="28"/>
          <w:highlight w:val="none"/>
        </w:rPr>
        <w:t>（是）</w:t>
      </w:r>
      <w:r>
        <w:rPr>
          <w:rFonts w:hint="eastAsia" w:ascii="仿宋" w:hAnsi="仿宋" w:eastAsia="仿宋"/>
          <w:color w:val="auto"/>
          <w:szCs w:val="28"/>
          <w:highlight w:val="none"/>
        </w:rPr>
        <w:t>接受联合体投标。</w:t>
      </w:r>
    </w:p>
    <w:p w14:paraId="1B3AC6C9">
      <w:pPr>
        <w:pStyle w:val="3"/>
        <w:numPr>
          <w:ilvl w:val="0"/>
          <w:numId w:val="0"/>
        </w:numPr>
        <w:tabs>
          <w:tab w:val="left" w:pos="432"/>
        </w:tabs>
        <w:rPr>
          <w:rFonts w:ascii="黑体" w:hAnsi="黑体" w:cs="宋体"/>
          <w:color w:val="auto"/>
          <w:sz w:val="24"/>
          <w:highlight w:val="none"/>
        </w:rPr>
      </w:pPr>
      <w:bookmarkStart w:id="17" w:name="_Toc28359003"/>
      <w:bookmarkStart w:id="18" w:name="_Toc35393791"/>
      <w:bookmarkStart w:id="19" w:name="_Toc28359080"/>
      <w:bookmarkStart w:id="20" w:name="_Toc35393622"/>
      <w:r>
        <w:rPr>
          <w:rFonts w:hint="eastAsia" w:ascii="黑体" w:hAnsi="黑体" w:cs="宋体"/>
          <w:color w:val="auto"/>
          <w:sz w:val="24"/>
          <w:highlight w:val="none"/>
        </w:rPr>
        <w:t>二、申请人的资格要求：</w:t>
      </w:r>
      <w:bookmarkEnd w:id="17"/>
      <w:bookmarkEnd w:id="18"/>
      <w:bookmarkEnd w:id="19"/>
      <w:bookmarkEnd w:id="20"/>
    </w:p>
    <w:p w14:paraId="1CC6B7A1">
      <w:pPr>
        <w:spacing w:line="360" w:lineRule="auto"/>
        <w:ind w:firstLine="480" w:firstLineChars="200"/>
        <w:rPr>
          <w:rFonts w:ascii="仿宋" w:hAnsi="仿宋" w:eastAsia="仿宋"/>
          <w:color w:val="auto"/>
          <w:szCs w:val="28"/>
          <w:highlight w:val="none"/>
        </w:rPr>
      </w:pPr>
      <w:r>
        <w:rPr>
          <w:rFonts w:hint="eastAsia" w:ascii="仿宋" w:hAnsi="仿宋" w:eastAsia="仿宋"/>
          <w:color w:val="auto"/>
          <w:szCs w:val="28"/>
          <w:highlight w:val="none"/>
        </w:rPr>
        <w:t>满足《中华人民共和国政府采购法》第二十二条规定；且未被“信用中国”（www.creditchina.gov.cn）、中国政府采购网（www.ccgp.gov.cn）列入失信被执行人、重大税收违法案件当事人名单、政府采购严重违法失信行为记录名单；</w:t>
      </w:r>
    </w:p>
    <w:p w14:paraId="7B0E01DB">
      <w:pPr>
        <w:spacing w:line="360" w:lineRule="auto"/>
        <w:ind w:firstLine="480" w:firstLineChars="200"/>
        <w:rPr>
          <w:rFonts w:ascii="仿宋" w:hAnsi="仿宋" w:eastAsia="仿宋"/>
          <w:color w:val="auto"/>
          <w:szCs w:val="28"/>
          <w:highlight w:val="none"/>
        </w:rPr>
      </w:pPr>
      <w:bookmarkStart w:id="21" w:name="_Toc28359081"/>
      <w:bookmarkStart w:id="22" w:name="_Toc28359004"/>
      <w:r>
        <w:rPr>
          <w:rFonts w:hint="eastAsia" w:ascii="仿宋" w:hAnsi="仿宋" w:eastAsia="仿宋"/>
          <w:color w:val="auto"/>
          <w:szCs w:val="28"/>
          <w:highlight w:val="none"/>
        </w:rPr>
        <w:t>落实政府采购政策需满足的资格要求：</w:t>
      </w:r>
    </w:p>
    <w:p w14:paraId="6BE27FD9">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sym w:font="Wingdings" w:char="00FE"/>
      </w:r>
      <w:r>
        <w:rPr>
          <w:rFonts w:hint="eastAsia" w:ascii="仿宋" w:hAnsi="仿宋" w:eastAsia="仿宋" w:cs="宋体"/>
          <w:color w:val="auto"/>
          <w:highlight w:val="none"/>
        </w:rPr>
        <w:t>无；</w:t>
      </w:r>
    </w:p>
    <w:p w14:paraId="5CA3A8CC">
      <w:pPr>
        <w:spacing w:line="360" w:lineRule="auto"/>
        <w:ind w:firstLine="480" w:firstLineChars="200"/>
        <w:rPr>
          <w:rFonts w:ascii="仿宋" w:hAnsi="仿宋" w:eastAsia="仿宋" w:cs="宋体"/>
          <w:color w:val="auto"/>
          <w:highlight w:val="none"/>
        </w:rPr>
      </w:pPr>
      <w:r>
        <w:rPr>
          <w:rFonts w:hint="eastAsia" w:ascii="仿宋" w:hAnsi="MS Gothic" w:eastAsia="MS Gothic" w:cs="宋体"/>
          <w:color w:val="auto"/>
          <w:highlight w:val="none"/>
        </w:rPr>
        <w:sym w:font="Wingdings" w:char="00A8"/>
      </w:r>
      <w:r>
        <w:rPr>
          <w:rFonts w:hint="eastAsia" w:ascii="仿宋" w:hAnsi="仿宋" w:eastAsia="仿宋" w:cs="宋体"/>
          <w:color w:val="auto"/>
          <w:highlight w:val="none"/>
        </w:rPr>
        <w:t>专门面向中小企业</w:t>
      </w:r>
    </w:p>
    <w:p w14:paraId="6E96FEC7">
      <w:pPr>
        <w:spacing w:line="360" w:lineRule="auto"/>
        <w:ind w:firstLine="897" w:firstLineChars="374"/>
        <w:rPr>
          <w:rFonts w:ascii="仿宋" w:hAnsi="仿宋" w:eastAsia="仿宋" w:cs="宋体"/>
          <w:color w:val="auto"/>
          <w:highlight w:val="none"/>
          <w:u w:val="single"/>
        </w:rPr>
      </w:pPr>
      <w:r>
        <w:rPr>
          <w:rFonts w:hint="eastAsia" w:ascii="仿宋" w:hAnsi="MS Gothic" w:eastAsia="MS Gothic" w:cs="宋体"/>
          <w:color w:val="auto"/>
          <w:highlight w:val="none"/>
        </w:rPr>
        <w:sym w:font="Wingdings" w:char="00A8"/>
      </w:r>
      <w:r>
        <w:rPr>
          <w:rFonts w:hint="eastAsia" w:ascii="仿宋" w:hAnsi="仿宋" w:eastAsia="仿宋" w:cs="宋体"/>
          <w:color w:val="auto"/>
          <w:highlight w:val="none"/>
        </w:rPr>
        <w:t>货物全部由符合政策要求的中小企业制造，提供中小企业声明函；</w:t>
      </w:r>
    </w:p>
    <w:p w14:paraId="31DC95E2">
      <w:pPr>
        <w:spacing w:line="360" w:lineRule="auto"/>
        <w:ind w:firstLine="897" w:firstLineChars="374"/>
        <w:rPr>
          <w:rFonts w:ascii="仿宋" w:hAnsi="仿宋" w:eastAsia="仿宋" w:cs="宋体"/>
          <w:color w:val="auto"/>
          <w:highlight w:val="none"/>
        </w:rPr>
      </w:pPr>
      <w:r>
        <w:rPr>
          <w:rFonts w:hint="eastAsia" w:ascii="仿宋" w:hAnsi="仿宋" w:eastAsia="仿宋" w:cs="宋体"/>
          <w:color w:val="auto"/>
          <w:highlight w:val="none"/>
        </w:rPr>
        <w:sym w:font="Wingdings" w:char="00A8"/>
      </w:r>
      <w:r>
        <w:rPr>
          <w:rFonts w:hint="eastAsia" w:ascii="仿宋" w:hAnsi="仿宋" w:eastAsia="仿宋" w:cs="宋体"/>
          <w:color w:val="auto"/>
          <w:highlight w:val="none"/>
        </w:rPr>
        <w:t>货物全部由符合政策要求的小微企业制造，提供中小企业声明函；</w:t>
      </w:r>
    </w:p>
    <w:p w14:paraId="20DBF5C5">
      <w:pPr>
        <w:spacing w:line="360" w:lineRule="auto"/>
        <w:ind w:firstLine="897" w:firstLineChars="374"/>
        <w:rPr>
          <w:rFonts w:ascii="仿宋" w:hAnsi="仿宋" w:eastAsia="仿宋" w:cs="宋体"/>
          <w:color w:val="auto"/>
          <w:highlight w:val="none"/>
        </w:rPr>
      </w:pPr>
      <w:r>
        <w:rPr>
          <w:rFonts w:hint="eastAsia" w:ascii="仿宋" w:hAnsi="仿宋" w:eastAsia="仿宋" w:cs="宋体"/>
          <w:color w:val="auto"/>
          <w:highlight w:val="none"/>
        </w:rPr>
        <w:sym w:font="Wingdings" w:char="00A8"/>
      </w:r>
      <w:r>
        <w:rPr>
          <w:rFonts w:hint="eastAsia" w:ascii="仿宋" w:hAnsi="仿宋" w:eastAsia="仿宋" w:cs="宋体"/>
          <w:color w:val="auto"/>
          <w:highlight w:val="none"/>
        </w:rPr>
        <w:t>服务全部由符合政策要求的中小企业承接，提供中小企业声明函；</w:t>
      </w:r>
    </w:p>
    <w:p w14:paraId="486A2956">
      <w:pPr>
        <w:spacing w:line="360" w:lineRule="auto"/>
        <w:ind w:firstLine="897" w:firstLineChars="374"/>
        <w:rPr>
          <w:rFonts w:ascii="仿宋" w:hAnsi="仿宋" w:eastAsia="仿宋" w:cs="宋体"/>
          <w:color w:val="auto"/>
          <w:highlight w:val="none"/>
        </w:rPr>
      </w:pPr>
      <w:r>
        <w:rPr>
          <w:rFonts w:hint="eastAsia" w:ascii="仿宋" w:hAnsi="MS Mincho" w:eastAsia="MS Mincho" w:cs="MS Mincho"/>
          <w:color w:val="auto"/>
          <w:highlight w:val="none"/>
        </w:rPr>
        <w:t>☐</w:t>
      </w:r>
      <w:r>
        <w:rPr>
          <w:rFonts w:hint="eastAsia" w:ascii="仿宋" w:hAnsi="仿宋" w:eastAsia="仿宋" w:cs="宋体"/>
          <w:color w:val="auto"/>
          <w:highlight w:val="none"/>
        </w:rPr>
        <w:t>服务全部由符合政策要求的小微企业承接，提供中小企业声明函；</w:t>
      </w:r>
    </w:p>
    <w:p w14:paraId="78201C17">
      <w:pPr>
        <w:spacing w:line="360" w:lineRule="auto"/>
        <w:ind w:firstLine="480" w:firstLineChars="200"/>
        <w:rPr>
          <w:rFonts w:ascii="仿宋" w:hAnsi="仿宋" w:eastAsia="仿宋" w:cs="宋体"/>
          <w:color w:val="auto"/>
          <w:highlight w:val="none"/>
        </w:rPr>
      </w:pPr>
      <w:bookmarkStart w:id="23" w:name="_Hlk101132524"/>
      <w:r>
        <w:rPr>
          <w:rFonts w:hint="eastAsia" w:ascii="仿宋" w:hAnsi="仿宋" w:eastAsia="仿宋" w:cs="宋体"/>
          <w:color w:val="auto"/>
          <w:highlight w:val="none"/>
        </w:rPr>
        <w:sym w:font="Wingdings" w:char="00A8"/>
      </w:r>
      <w:r>
        <w:rPr>
          <w:rFonts w:hint="eastAsia" w:ascii="仿宋" w:hAnsi="仿宋" w:eastAsia="仿宋" w:cs="宋体"/>
          <w:color w:val="auto"/>
          <w:highlight w:val="none"/>
        </w:rPr>
        <w:t>要求以联合体形式参加，提供联合协议和中小企业声明函，联合体协议书中中小企业合同金额应当达到__%，其中小微企业合同金额应当达到__%;</w:t>
      </w:r>
      <w:r>
        <w:rPr>
          <w:rFonts w:hint="eastAsia" w:ascii="仿宋" w:hAnsi="仿宋" w:eastAsia="仿宋" w:cs="宋体"/>
          <w:color w:val="auto"/>
          <w:spacing w:val="8"/>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宋体"/>
          <w:color w:val="auto"/>
          <w:highlight w:val="none"/>
        </w:rPr>
        <w:t>；</w:t>
      </w:r>
    </w:p>
    <w:bookmarkEnd w:id="23"/>
    <w:p w14:paraId="777ED3F0">
      <w:pPr>
        <w:spacing w:line="360" w:lineRule="auto"/>
        <w:ind w:firstLine="480" w:firstLineChars="200"/>
        <w:rPr>
          <w:rFonts w:ascii="仿宋" w:hAnsi="仿宋" w:eastAsia="仿宋"/>
          <w:color w:val="auto"/>
          <w:szCs w:val="28"/>
          <w:highlight w:val="none"/>
        </w:rPr>
      </w:pPr>
      <w:r>
        <w:rPr>
          <w:rFonts w:hint="eastAsia" w:ascii="仿宋" w:hAnsi="仿宋" w:eastAsia="仿宋" w:cs="宋体"/>
          <w:color w:val="auto"/>
          <w:highlight w:val="none"/>
        </w:rPr>
        <w:t>☐要求合同分包，提供分包意向协议和中小企业声明函，分包意向协议中中小企业合同金额应当达到__% ，其中小微企业合同金额应当达到__% ;</w:t>
      </w:r>
      <w:r>
        <w:rPr>
          <w:rFonts w:hint="eastAsia" w:ascii="仿宋" w:hAnsi="仿宋" w:eastAsia="仿宋" w:cs="宋体"/>
          <w:color w:val="auto"/>
          <w:spacing w:val="8"/>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宋体"/>
          <w:color w:val="auto"/>
          <w:highlight w:val="none"/>
        </w:rPr>
        <w:t>；</w:t>
      </w:r>
    </w:p>
    <w:p w14:paraId="771D996E">
      <w:pPr>
        <w:spacing w:line="360" w:lineRule="auto"/>
        <w:ind w:firstLine="512" w:firstLineChars="200"/>
        <w:rPr>
          <w:rFonts w:ascii="仿宋" w:hAnsi="仿宋" w:eastAsia="仿宋"/>
          <w:color w:val="auto"/>
          <w:szCs w:val="28"/>
          <w:highlight w:val="none"/>
        </w:rPr>
      </w:pPr>
      <w:r>
        <w:rPr>
          <w:rFonts w:hint="eastAsia" w:ascii="仿宋" w:hAnsi="仿宋" w:eastAsia="仿宋" w:cs="宋体"/>
          <w:color w:val="auto"/>
          <w:spacing w:val="8"/>
          <w:highlight w:val="none"/>
        </w:rPr>
        <w:t>本项目的特定资格要求：无</w:t>
      </w:r>
      <w:r>
        <w:rPr>
          <w:rFonts w:hint="eastAsia" w:ascii="仿宋" w:hAnsi="仿宋" w:eastAsia="仿宋"/>
          <w:color w:val="auto"/>
          <w:szCs w:val="28"/>
          <w:highlight w:val="none"/>
        </w:rPr>
        <w:t>。</w:t>
      </w:r>
    </w:p>
    <w:p w14:paraId="3AC5920E">
      <w:pPr>
        <w:snapToGrid w:val="0"/>
        <w:spacing w:line="360" w:lineRule="auto"/>
        <w:ind w:firstLine="480" w:firstLineChars="200"/>
        <w:rPr>
          <w:rFonts w:ascii="仿宋" w:hAnsi="仿宋" w:eastAsia="仿宋"/>
          <w:color w:val="auto"/>
          <w:szCs w:val="28"/>
          <w:highlight w:val="none"/>
        </w:rPr>
      </w:pPr>
      <w:r>
        <w:rPr>
          <w:rFonts w:hint="eastAsia" w:ascii="仿宋" w:hAnsi="仿宋" w:eastAsia="仿宋" w:cs="宋体"/>
          <w:color w:val="auto"/>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6D19F1">
      <w:pPr>
        <w:pStyle w:val="3"/>
        <w:numPr>
          <w:ilvl w:val="0"/>
          <w:numId w:val="0"/>
        </w:numPr>
        <w:tabs>
          <w:tab w:val="left" w:pos="432"/>
        </w:tabs>
        <w:rPr>
          <w:rFonts w:ascii="黑体" w:hAnsi="黑体" w:cs="宋体"/>
          <w:color w:val="auto"/>
          <w:sz w:val="24"/>
          <w:highlight w:val="none"/>
        </w:rPr>
      </w:pPr>
      <w:bookmarkStart w:id="24" w:name="_Toc35393792"/>
      <w:bookmarkStart w:id="25" w:name="_Toc35393623"/>
      <w:r>
        <w:rPr>
          <w:rFonts w:hint="eastAsia" w:ascii="黑体" w:hAnsi="黑体" w:cs="宋体"/>
          <w:color w:val="auto"/>
          <w:sz w:val="24"/>
          <w:highlight w:val="none"/>
        </w:rPr>
        <w:t>三、获取招标文件</w:t>
      </w:r>
      <w:bookmarkEnd w:id="21"/>
      <w:bookmarkEnd w:id="22"/>
      <w:bookmarkEnd w:id="24"/>
      <w:bookmarkEnd w:id="25"/>
    </w:p>
    <w:p w14:paraId="72B95DEB">
      <w:pPr>
        <w:spacing w:line="360" w:lineRule="auto"/>
        <w:ind w:firstLine="480" w:firstLineChars="200"/>
        <w:rPr>
          <w:rFonts w:ascii="仿宋" w:hAnsi="仿宋" w:eastAsia="仿宋" w:cs="宋体"/>
          <w:color w:val="auto"/>
          <w:szCs w:val="28"/>
          <w:highlight w:val="none"/>
        </w:rPr>
      </w:pPr>
      <w:r>
        <w:rPr>
          <w:rFonts w:hint="eastAsia" w:ascii="仿宋" w:hAnsi="仿宋" w:eastAsia="仿宋" w:cs="宋体"/>
          <w:color w:val="auto"/>
          <w:szCs w:val="28"/>
          <w:highlight w:val="none"/>
        </w:rPr>
        <w:t>时间：</w:t>
      </w:r>
      <w:r>
        <w:rPr>
          <w:rFonts w:hint="eastAsia" w:ascii="仿宋" w:hAnsi="仿宋" w:eastAsia="仿宋"/>
          <w:color w:val="auto"/>
          <w:szCs w:val="28"/>
          <w:highlight w:val="none"/>
        </w:rPr>
        <w:t>/至</w:t>
      </w:r>
      <w:r>
        <w:rPr>
          <w:rFonts w:hint="eastAsia" w:ascii="仿宋" w:hAnsi="仿宋" w:eastAsia="仿宋"/>
          <w:bCs/>
          <w:color w:val="auto"/>
          <w:szCs w:val="28"/>
          <w:highlight w:val="none"/>
          <w:u w:val="single"/>
        </w:rPr>
        <w:t>2025年  月  日</w:t>
      </w:r>
      <w:r>
        <w:rPr>
          <w:rFonts w:ascii="仿宋" w:hAnsi="仿宋" w:eastAsia="仿宋"/>
          <w:color w:val="auto"/>
          <w:szCs w:val="28"/>
          <w:highlight w:val="none"/>
        </w:rPr>
        <w:t>，每天上午</w:t>
      </w:r>
      <w:r>
        <w:rPr>
          <w:rFonts w:ascii="仿宋" w:hAnsi="仿宋" w:eastAsia="仿宋"/>
          <w:snapToGrid w:val="0"/>
          <w:color w:val="auto"/>
          <w:szCs w:val="28"/>
          <w:highlight w:val="none"/>
        </w:rPr>
        <w:t>00:00至12:00</w:t>
      </w:r>
      <w:r>
        <w:rPr>
          <w:rFonts w:ascii="仿宋" w:hAnsi="仿宋" w:eastAsia="仿宋"/>
          <w:color w:val="auto"/>
          <w:szCs w:val="28"/>
          <w:highlight w:val="none"/>
        </w:rPr>
        <w:t> ，下午</w:t>
      </w:r>
      <w:r>
        <w:rPr>
          <w:rFonts w:ascii="仿宋" w:hAnsi="仿宋" w:eastAsia="仿宋"/>
          <w:snapToGrid w:val="0"/>
          <w:color w:val="auto"/>
          <w:szCs w:val="28"/>
          <w:highlight w:val="none"/>
        </w:rPr>
        <w:t>12:00至23:59</w:t>
      </w:r>
      <w:r>
        <w:rPr>
          <w:rFonts w:ascii="仿宋" w:hAnsi="仿宋" w:eastAsia="仿宋"/>
          <w:color w:val="auto"/>
          <w:szCs w:val="28"/>
          <w:highlight w:val="none"/>
        </w:rPr>
        <w:t>（北京时间，线上获取法定节假日均可，线下获取文件法定节假日除外）</w:t>
      </w:r>
    </w:p>
    <w:p w14:paraId="5BF74F4C">
      <w:pPr>
        <w:spacing w:line="360" w:lineRule="auto"/>
        <w:ind w:firstLine="480" w:firstLineChars="200"/>
        <w:rPr>
          <w:rFonts w:ascii="仿宋" w:hAnsi="仿宋" w:eastAsia="仿宋" w:cs="宋体"/>
          <w:color w:val="auto"/>
          <w:szCs w:val="28"/>
          <w:highlight w:val="none"/>
        </w:rPr>
      </w:pPr>
      <w:r>
        <w:rPr>
          <w:rFonts w:hint="eastAsia" w:ascii="仿宋" w:hAnsi="仿宋" w:eastAsia="仿宋" w:cs="宋体"/>
          <w:color w:val="auto"/>
          <w:szCs w:val="28"/>
          <w:highlight w:val="none"/>
        </w:rPr>
        <w:t>地点（网址）：</w:t>
      </w:r>
      <w:r>
        <w:rPr>
          <w:rFonts w:ascii="仿宋" w:hAnsi="仿宋" w:eastAsia="仿宋" w:cs="宋体"/>
          <w:snapToGrid w:val="0"/>
          <w:color w:val="auto"/>
          <w:szCs w:val="28"/>
          <w:highlight w:val="none"/>
        </w:rPr>
        <w:t>浙江政府采购网（</w:t>
      </w:r>
      <w:r>
        <w:rPr>
          <w:color w:val="auto"/>
          <w:highlight w:val="none"/>
        </w:rPr>
        <w:fldChar w:fldCharType="begin"/>
      </w:r>
      <w:r>
        <w:rPr>
          <w:color w:val="auto"/>
          <w:highlight w:val="none"/>
        </w:rPr>
        <w:instrText xml:space="preserve"> HYPERLINK "http://zfcg.czt.zj.gov.cn/" </w:instrText>
      </w:r>
      <w:r>
        <w:rPr>
          <w:color w:val="auto"/>
          <w:highlight w:val="none"/>
        </w:rPr>
        <w:fldChar w:fldCharType="separate"/>
      </w:r>
      <w:r>
        <w:rPr>
          <w:rStyle w:val="51"/>
          <w:rFonts w:ascii="仿宋" w:hAnsi="仿宋" w:eastAsia="仿宋" w:cs="宋体"/>
          <w:color w:val="auto"/>
          <w:kern w:val="2"/>
          <w:szCs w:val="28"/>
          <w:highlight w:val="none"/>
        </w:rPr>
        <w:t>http://zfcg.czt.zj.gov.cn/</w:t>
      </w:r>
      <w:r>
        <w:rPr>
          <w:rStyle w:val="51"/>
          <w:rFonts w:ascii="仿宋" w:hAnsi="仿宋" w:eastAsia="仿宋" w:cs="宋体"/>
          <w:color w:val="auto"/>
          <w:kern w:val="2"/>
          <w:szCs w:val="28"/>
          <w:highlight w:val="none"/>
        </w:rPr>
        <w:fldChar w:fldCharType="end"/>
      </w:r>
      <w:r>
        <w:rPr>
          <w:rFonts w:ascii="仿宋" w:hAnsi="仿宋" w:eastAsia="仿宋" w:cs="宋体"/>
          <w:snapToGrid w:val="0"/>
          <w:color w:val="auto"/>
          <w:szCs w:val="28"/>
          <w:highlight w:val="none"/>
        </w:rPr>
        <w:t>）</w:t>
      </w:r>
      <w:r>
        <w:rPr>
          <w:rFonts w:hint="eastAsia" w:ascii="仿宋" w:hAnsi="仿宋" w:eastAsia="仿宋" w:cs="宋体"/>
          <w:color w:val="auto"/>
          <w:szCs w:val="28"/>
          <w:highlight w:val="none"/>
        </w:rPr>
        <w:t>；</w:t>
      </w:r>
    </w:p>
    <w:p w14:paraId="5CD173D2">
      <w:pPr>
        <w:spacing w:line="360" w:lineRule="auto"/>
        <w:ind w:firstLine="480" w:firstLineChars="200"/>
        <w:rPr>
          <w:rFonts w:ascii="仿宋" w:hAnsi="仿宋" w:eastAsia="仿宋" w:cs="宋体"/>
          <w:color w:val="auto"/>
          <w:szCs w:val="28"/>
          <w:highlight w:val="none"/>
          <w:u w:val="single"/>
        </w:rPr>
      </w:pPr>
      <w:r>
        <w:rPr>
          <w:rFonts w:hint="eastAsia" w:ascii="仿宋" w:hAnsi="仿宋" w:eastAsia="仿宋" w:cs="宋体"/>
          <w:color w:val="auto"/>
          <w:szCs w:val="28"/>
          <w:highlight w:val="none"/>
        </w:rPr>
        <w:t>方式：供应商登录政采云平台http://www.zcygov.cn/，在线申请获取采购文件（进入“项目采购”应用，在获取采购文件菜单中选择项目，申请获取采购文件）。公告页面附件招标文件可以下载，仅供浏览使用；</w:t>
      </w:r>
    </w:p>
    <w:p w14:paraId="1561D3F4">
      <w:pPr>
        <w:spacing w:line="360" w:lineRule="auto"/>
        <w:ind w:firstLine="480" w:firstLineChars="200"/>
        <w:rPr>
          <w:rFonts w:ascii="仿宋" w:hAnsi="仿宋" w:eastAsia="仿宋" w:cs="宋体"/>
          <w:color w:val="auto"/>
          <w:szCs w:val="28"/>
          <w:highlight w:val="none"/>
        </w:rPr>
      </w:pPr>
      <w:r>
        <w:rPr>
          <w:rFonts w:hint="eastAsia" w:ascii="仿宋" w:hAnsi="仿宋" w:eastAsia="仿宋" w:cs="宋体"/>
          <w:color w:val="auto"/>
          <w:szCs w:val="28"/>
          <w:highlight w:val="none"/>
        </w:rPr>
        <w:t>售价：0。</w:t>
      </w:r>
    </w:p>
    <w:p w14:paraId="2D001D2D">
      <w:pPr>
        <w:pStyle w:val="3"/>
        <w:numPr>
          <w:ilvl w:val="0"/>
          <w:numId w:val="0"/>
        </w:numPr>
        <w:tabs>
          <w:tab w:val="left" w:pos="432"/>
        </w:tabs>
        <w:rPr>
          <w:rFonts w:ascii="黑体" w:hAnsi="黑体" w:cs="宋体"/>
          <w:color w:val="auto"/>
          <w:sz w:val="24"/>
          <w:highlight w:val="none"/>
        </w:rPr>
      </w:pPr>
      <w:bookmarkStart w:id="26" w:name="_Toc28359082"/>
      <w:bookmarkStart w:id="27" w:name="_Toc28359005"/>
      <w:bookmarkStart w:id="28" w:name="_Toc35393624"/>
      <w:bookmarkStart w:id="29" w:name="_Toc35393793"/>
      <w:r>
        <w:rPr>
          <w:rFonts w:hint="eastAsia" w:ascii="黑体" w:hAnsi="黑体" w:cs="宋体"/>
          <w:color w:val="auto"/>
          <w:sz w:val="24"/>
          <w:highlight w:val="none"/>
        </w:rPr>
        <w:t>四、提交投标文件</w:t>
      </w:r>
      <w:bookmarkEnd w:id="26"/>
      <w:bookmarkEnd w:id="27"/>
      <w:r>
        <w:rPr>
          <w:rFonts w:hint="eastAsia" w:ascii="黑体" w:hAnsi="黑体" w:cs="宋体"/>
          <w:color w:val="auto"/>
          <w:sz w:val="24"/>
          <w:highlight w:val="none"/>
        </w:rPr>
        <w:t>截止时间、开标时间和地点</w:t>
      </w:r>
      <w:bookmarkEnd w:id="28"/>
      <w:bookmarkEnd w:id="29"/>
    </w:p>
    <w:p w14:paraId="418A81C4">
      <w:pPr>
        <w:spacing w:line="360" w:lineRule="auto"/>
        <w:ind w:firstLine="480" w:firstLineChars="200"/>
        <w:rPr>
          <w:rFonts w:ascii="仿宋" w:hAnsi="仿宋" w:eastAsia="仿宋"/>
          <w:color w:val="auto"/>
          <w:szCs w:val="28"/>
          <w:highlight w:val="none"/>
        </w:rPr>
      </w:pPr>
      <w:r>
        <w:rPr>
          <w:rFonts w:hint="eastAsia" w:ascii="仿宋" w:hAnsi="仿宋" w:eastAsia="仿宋" w:cs="宋体"/>
          <w:color w:val="auto"/>
          <w:szCs w:val="28"/>
          <w:highlight w:val="none"/>
        </w:rPr>
        <w:t xml:space="preserve">提交投标文件截止时间： </w:t>
      </w:r>
      <w:r>
        <w:rPr>
          <w:rFonts w:hint="eastAsia" w:ascii="仿宋" w:hAnsi="仿宋" w:eastAsia="仿宋"/>
          <w:bCs/>
          <w:color w:val="auto"/>
          <w:szCs w:val="28"/>
          <w:highlight w:val="none"/>
          <w:u w:val="single"/>
        </w:rPr>
        <w:t>2025年  月  日09：30</w:t>
      </w:r>
      <w:r>
        <w:rPr>
          <w:rFonts w:hint="eastAsia" w:ascii="仿宋" w:hAnsi="仿宋" w:eastAsia="仿宋"/>
          <w:bCs/>
          <w:color w:val="auto"/>
          <w:szCs w:val="28"/>
          <w:highlight w:val="none"/>
        </w:rPr>
        <w:t>（北京时间）</w:t>
      </w:r>
    </w:p>
    <w:p w14:paraId="15901FE2">
      <w:pPr>
        <w:spacing w:line="360" w:lineRule="auto"/>
        <w:ind w:firstLine="480" w:firstLineChars="200"/>
        <w:rPr>
          <w:rFonts w:ascii="仿宋" w:hAnsi="仿宋" w:eastAsia="仿宋" w:cs="宋体"/>
          <w:color w:val="auto"/>
          <w:szCs w:val="28"/>
          <w:highlight w:val="none"/>
        </w:rPr>
      </w:pPr>
      <w:r>
        <w:rPr>
          <w:rFonts w:ascii="仿宋" w:hAnsi="仿宋" w:eastAsia="仿宋" w:cs="宋体"/>
          <w:color w:val="auto"/>
          <w:szCs w:val="28"/>
          <w:highlight w:val="none"/>
        </w:rPr>
        <w:t>投标地点（网址）：政府采购云平台（https://www.zcygov.cn）</w:t>
      </w:r>
    </w:p>
    <w:p w14:paraId="1B730591">
      <w:pPr>
        <w:spacing w:line="360" w:lineRule="auto"/>
        <w:ind w:firstLine="480" w:firstLineChars="200"/>
        <w:rPr>
          <w:rFonts w:ascii="仿宋" w:hAnsi="仿宋" w:eastAsia="仿宋" w:cs="宋体"/>
          <w:color w:val="auto"/>
          <w:szCs w:val="28"/>
          <w:highlight w:val="none"/>
        </w:rPr>
      </w:pPr>
      <w:r>
        <w:rPr>
          <w:rFonts w:ascii="仿宋" w:hAnsi="仿宋" w:eastAsia="仿宋" w:cs="宋体"/>
          <w:color w:val="auto"/>
          <w:szCs w:val="28"/>
          <w:highlight w:val="none"/>
        </w:rPr>
        <w:t>开标时间：</w:t>
      </w:r>
      <w:r>
        <w:rPr>
          <w:rFonts w:hint="eastAsia" w:ascii="仿宋" w:hAnsi="仿宋" w:eastAsia="仿宋" w:cs="宋体"/>
          <w:color w:val="auto"/>
          <w:szCs w:val="28"/>
          <w:highlight w:val="none"/>
          <w:u w:val="single"/>
        </w:rPr>
        <w:t>2025</w:t>
      </w:r>
      <w:r>
        <w:rPr>
          <w:rFonts w:hint="eastAsia" w:ascii="仿宋" w:hAnsi="仿宋" w:eastAsia="仿宋"/>
          <w:bCs/>
          <w:color w:val="auto"/>
          <w:szCs w:val="28"/>
          <w:highlight w:val="none"/>
          <w:u w:val="single"/>
        </w:rPr>
        <w:t>年  月  日09：30</w:t>
      </w:r>
    </w:p>
    <w:p w14:paraId="081046F4">
      <w:pPr>
        <w:spacing w:line="360" w:lineRule="auto"/>
        <w:ind w:firstLine="480" w:firstLineChars="200"/>
        <w:rPr>
          <w:rFonts w:ascii="仿宋" w:hAnsi="仿宋" w:eastAsia="仿宋"/>
          <w:color w:val="auto"/>
          <w:szCs w:val="28"/>
          <w:highlight w:val="none"/>
        </w:rPr>
      </w:pPr>
      <w:r>
        <w:rPr>
          <w:rFonts w:hint="eastAsia" w:ascii="仿宋" w:hAnsi="仿宋" w:eastAsia="仿宋"/>
          <w:color w:val="auto"/>
          <w:szCs w:val="28"/>
          <w:highlight w:val="none"/>
        </w:rPr>
        <w:t>开标地点（网址）：绍兴市柯桥区公共资源交易中心三楼</w:t>
      </w:r>
      <w:r>
        <w:rPr>
          <w:rFonts w:hint="eastAsia" w:ascii="仿宋" w:hAnsi="仿宋" w:eastAsia="仿宋"/>
          <w:color w:val="auto"/>
          <w:szCs w:val="28"/>
          <w:highlight w:val="none"/>
          <w:lang w:val="en-US" w:eastAsia="zh-CN"/>
        </w:rPr>
        <w:t xml:space="preserve">  </w:t>
      </w:r>
      <w:r>
        <w:rPr>
          <w:rFonts w:hint="eastAsia" w:ascii="仿宋" w:hAnsi="仿宋" w:eastAsia="仿宋" w:cs="宋体"/>
          <w:color w:val="auto"/>
          <w:szCs w:val="28"/>
          <w:highlight w:val="none"/>
        </w:rPr>
        <w:t>号交易室（绍兴市柯桥区纺都路1066号）通过</w:t>
      </w:r>
      <w:r>
        <w:rPr>
          <w:rFonts w:ascii="仿宋" w:hAnsi="仿宋" w:eastAsia="仿宋" w:cs="宋体"/>
          <w:color w:val="auto"/>
          <w:szCs w:val="28"/>
          <w:highlight w:val="none"/>
        </w:rPr>
        <w:t>政府采购云平台（https://www.zcygov.cn）在线开标</w:t>
      </w:r>
    </w:p>
    <w:p w14:paraId="254BA42F">
      <w:pPr>
        <w:pStyle w:val="3"/>
        <w:numPr>
          <w:ilvl w:val="0"/>
          <w:numId w:val="0"/>
        </w:numPr>
        <w:tabs>
          <w:tab w:val="left" w:pos="432"/>
        </w:tabs>
        <w:rPr>
          <w:rFonts w:ascii="黑体" w:hAnsi="黑体" w:cs="宋体"/>
          <w:color w:val="auto"/>
          <w:sz w:val="24"/>
          <w:highlight w:val="none"/>
        </w:rPr>
      </w:pPr>
      <w:bookmarkStart w:id="30" w:name="_Toc35393794"/>
      <w:bookmarkStart w:id="31" w:name="_Toc28359084"/>
      <w:bookmarkStart w:id="32" w:name="_Toc35393625"/>
      <w:bookmarkStart w:id="33" w:name="_Toc28359007"/>
      <w:r>
        <w:rPr>
          <w:rFonts w:hint="eastAsia" w:ascii="黑体" w:hAnsi="黑体" w:cs="宋体"/>
          <w:color w:val="auto"/>
          <w:sz w:val="24"/>
          <w:highlight w:val="none"/>
        </w:rPr>
        <w:t>五、公告期限</w:t>
      </w:r>
      <w:bookmarkEnd w:id="30"/>
      <w:bookmarkEnd w:id="31"/>
      <w:bookmarkEnd w:id="32"/>
      <w:bookmarkEnd w:id="33"/>
    </w:p>
    <w:p w14:paraId="2E4F2EEC">
      <w:pPr>
        <w:spacing w:line="360" w:lineRule="auto"/>
        <w:ind w:firstLine="480" w:firstLineChars="200"/>
        <w:rPr>
          <w:rFonts w:ascii="仿宋" w:hAnsi="仿宋" w:eastAsia="仿宋" w:cs="宋体"/>
          <w:color w:val="auto"/>
          <w:szCs w:val="28"/>
          <w:highlight w:val="none"/>
        </w:rPr>
      </w:pPr>
      <w:r>
        <w:rPr>
          <w:rFonts w:hint="eastAsia" w:ascii="仿宋" w:hAnsi="仿宋" w:eastAsia="仿宋" w:cs="宋体"/>
          <w:color w:val="auto"/>
          <w:szCs w:val="28"/>
          <w:highlight w:val="none"/>
        </w:rPr>
        <w:t>自本公告发布之日起5个工作日。</w:t>
      </w:r>
    </w:p>
    <w:p w14:paraId="56B672AB">
      <w:pPr>
        <w:pStyle w:val="3"/>
        <w:numPr>
          <w:ilvl w:val="0"/>
          <w:numId w:val="0"/>
        </w:numPr>
        <w:tabs>
          <w:tab w:val="left" w:pos="432"/>
        </w:tabs>
        <w:rPr>
          <w:rFonts w:ascii="黑体" w:hAnsi="黑体" w:cs="宋体"/>
          <w:color w:val="auto"/>
          <w:sz w:val="24"/>
          <w:highlight w:val="none"/>
        </w:rPr>
      </w:pPr>
      <w:r>
        <w:rPr>
          <w:rFonts w:hint="eastAsia" w:ascii="黑体" w:hAnsi="黑体" w:cs="宋体"/>
          <w:color w:val="auto"/>
          <w:sz w:val="24"/>
          <w:highlight w:val="none"/>
        </w:rPr>
        <w:t>六、采购意向公开链接</w:t>
      </w:r>
    </w:p>
    <w:p w14:paraId="65D37AFB">
      <w:pPr>
        <w:spacing w:line="360" w:lineRule="auto"/>
        <w:ind w:firstLine="480" w:firstLineChars="200"/>
        <w:rPr>
          <w:rFonts w:hint="eastAsia" w:ascii="仿宋" w:hAnsi="仿宋" w:eastAsia="仿宋"/>
          <w:color w:val="auto"/>
          <w:szCs w:val="28"/>
          <w:highlight w:val="none"/>
        </w:rPr>
      </w:pPr>
      <w:bookmarkStart w:id="34" w:name="_Toc35393795"/>
      <w:bookmarkStart w:id="35" w:name="_Toc35393626"/>
      <w:r>
        <w:rPr>
          <w:rFonts w:hint="eastAsia" w:ascii="仿宋" w:hAnsi="仿宋" w:eastAsia="仿宋"/>
          <w:color w:val="auto"/>
          <w:szCs w:val="28"/>
          <w:highlight w:val="none"/>
        </w:rPr>
        <w:t>https://zfcg.czt.zj.gov.cn/site/detail?parentId=600007&amp;articleId=w0hKGFTgpKsqJErOmZ1SwQ%3D%3D</w:t>
      </w:r>
    </w:p>
    <w:p w14:paraId="2E23259E">
      <w:pPr>
        <w:pStyle w:val="3"/>
        <w:numPr>
          <w:ilvl w:val="0"/>
          <w:numId w:val="0"/>
        </w:numPr>
        <w:tabs>
          <w:tab w:val="left" w:pos="432"/>
        </w:tabs>
        <w:rPr>
          <w:rFonts w:ascii="黑体" w:hAnsi="黑体" w:cs="宋体"/>
          <w:color w:val="auto"/>
          <w:sz w:val="24"/>
          <w:highlight w:val="none"/>
        </w:rPr>
      </w:pPr>
      <w:r>
        <w:rPr>
          <w:rFonts w:hint="eastAsia" w:ascii="黑体" w:hAnsi="黑体" w:cs="宋体"/>
          <w:color w:val="auto"/>
          <w:sz w:val="24"/>
          <w:highlight w:val="none"/>
        </w:rPr>
        <w:t>七、其他补充事宜</w:t>
      </w:r>
      <w:bookmarkEnd w:id="34"/>
      <w:bookmarkEnd w:id="35"/>
    </w:p>
    <w:p w14:paraId="55BCB6C5">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 xml:space="preserve">1. </w:t>
      </w:r>
      <w:r>
        <w:rPr>
          <w:rFonts w:ascii="仿宋" w:hAnsi="仿宋" w:eastAsia="仿宋" w:cs="宋体"/>
          <w:color w:val="auto"/>
          <w:highlight w:val="none"/>
        </w:rPr>
        <w:t>《浙江省财政厅关于进一步发挥政府采购政策功能全力推动经济稳进提质的通知》 （浙财采监</w:t>
      </w:r>
      <w:r>
        <w:rPr>
          <w:rFonts w:hint="eastAsia" w:ascii="仿宋" w:hAnsi="仿宋" w:eastAsia="仿宋" w:cs="仿宋"/>
          <w:color w:val="auto"/>
          <w:highlight w:val="none"/>
        </w:rPr>
        <w:t>〔2022〕</w:t>
      </w:r>
      <w:r>
        <w:rPr>
          <w:rFonts w:ascii="仿宋" w:hAnsi="仿宋" w:eastAsia="仿宋" w:cs="宋体"/>
          <w:color w:val="auto"/>
          <w:highlight w:val="none"/>
        </w:rPr>
        <w:t>3号）、《浙江省财政厅关于进一步促进政府采购公平竞争打造最优营商环境的通知》（浙财采监</w:t>
      </w:r>
      <w:r>
        <w:rPr>
          <w:rFonts w:hint="eastAsia" w:ascii="仿宋" w:hAnsi="仿宋" w:eastAsia="仿宋" w:cs="仿宋"/>
          <w:color w:val="auto"/>
          <w:highlight w:val="none"/>
        </w:rPr>
        <w:t>〔2021〕</w:t>
      </w:r>
      <w:r>
        <w:rPr>
          <w:rFonts w:ascii="仿宋" w:hAnsi="仿宋" w:eastAsia="仿宋" w:cs="宋体"/>
          <w:color w:val="auto"/>
          <w:highlight w:val="none"/>
        </w:rPr>
        <w:t>22号））、《浙江省财政厅关于进一步加大政府采购支持中小企业力度助力扎实稳住经济的通知》 （浙财采监</w:t>
      </w:r>
      <w:r>
        <w:rPr>
          <w:rFonts w:hint="eastAsia" w:ascii="仿宋" w:hAnsi="仿宋" w:eastAsia="仿宋" w:cs="仿宋"/>
          <w:color w:val="auto"/>
          <w:highlight w:val="none"/>
        </w:rPr>
        <w:t>〔2022〕</w:t>
      </w:r>
      <w:r>
        <w:rPr>
          <w:rFonts w:ascii="仿宋" w:hAnsi="仿宋" w:eastAsia="仿宋" w:cs="宋体"/>
          <w:color w:val="auto"/>
          <w:highlight w:val="none"/>
        </w:rPr>
        <w:t>8号）已分别于2022年1月29日、2022年2月1日和2022年7月1日开始实施，此前有关规定与上述文件内容不一致的，按上述文件要求执行</w:t>
      </w:r>
      <w:r>
        <w:rPr>
          <w:rFonts w:hint="eastAsia" w:ascii="仿宋" w:hAnsi="仿宋" w:eastAsia="仿宋" w:cs="宋体"/>
          <w:color w:val="auto"/>
          <w:highlight w:val="none"/>
        </w:rPr>
        <w:t>。</w:t>
      </w:r>
    </w:p>
    <w:p w14:paraId="4FC353DA">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 xml:space="preserve"> 2.根据《浙江省财政厅关于进一步促进政府采购公平竞争打造最优营商环境的通知》（浙财采监</w:t>
      </w:r>
      <w:r>
        <w:rPr>
          <w:rFonts w:hint="eastAsia" w:ascii="仿宋" w:hAnsi="仿宋" w:eastAsia="仿宋" w:cs="仿宋"/>
          <w:color w:val="auto"/>
          <w:highlight w:val="none"/>
        </w:rPr>
        <w:t>〔2021〕</w:t>
      </w:r>
      <w:r>
        <w:rPr>
          <w:rFonts w:hint="eastAsia" w:ascii="仿宋" w:hAnsi="仿宋" w:eastAsia="仿宋" w:cs="宋体"/>
          <w:color w:val="auto"/>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4049EE9">
      <w:pPr>
        <w:spacing w:line="360" w:lineRule="auto"/>
        <w:ind w:firstLine="480" w:firstLineChars="200"/>
        <w:rPr>
          <w:rFonts w:ascii="仿宋" w:hAnsi="仿宋" w:eastAsia="仿宋" w:cs="宋体"/>
          <w:color w:val="auto"/>
          <w:highlight w:val="none"/>
        </w:rPr>
      </w:pPr>
      <w:r>
        <w:rPr>
          <w:rFonts w:hint="eastAsia" w:ascii="仿宋" w:hAnsi="仿宋" w:eastAsia="仿宋" w:cs="仿宋"/>
          <w:color w:val="auto"/>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B6F732E">
      <w:pPr>
        <w:spacing w:line="360" w:lineRule="auto"/>
        <w:ind w:firstLine="480" w:firstLineChars="200"/>
        <w:rPr>
          <w:rFonts w:ascii="仿宋" w:hAnsi="仿宋" w:eastAsia="仿宋"/>
          <w:color w:val="auto"/>
          <w:szCs w:val="28"/>
          <w:highlight w:val="none"/>
        </w:rPr>
      </w:pPr>
      <w:r>
        <w:rPr>
          <w:rFonts w:hint="eastAsia" w:ascii="仿宋" w:hAnsi="仿宋" w:eastAsia="仿宋" w:cs="宋体"/>
          <w:color w:val="auto"/>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C4E68CA">
      <w:pPr>
        <w:pStyle w:val="3"/>
        <w:numPr>
          <w:ilvl w:val="0"/>
          <w:numId w:val="0"/>
        </w:numPr>
        <w:tabs>
          <w:tab w:val="left" w:pos="432"/>
        </w:tabs>
        <w:rPr>
          <w:rFonts w:ascii="黑体" w:hAnsi="黑体" w:cs="宋体"/>
          <w:color w:val="auto"/>
          <w:sz w:val="24"/>
          <w:highlight w:val="none"/>
        </w:rPr>
      </w:pPr>
      <w:bookmarkStart w:id="36" w:name="_Toc28359008"/>
      <w:bookmarkStart w:id="37" w:name="_Toc28359085"/>
      <w:bookmarkStart w:id="38" w:name="_Toc35393627"/>
      <w:bookmarkStart w:id="39" w:name="_Toc35393796"/>
      <w:r>
        <w:rPr>
          <w:rFonts w:hint="eastAsia" w:ascii="黑体" w:hAnsi="黑体" w:cs="宋体"/>
          <w:color w:val="auto"/>
          <w:sz w:val="24"/>
          <w:highlight w:val="none"/>
        </w:rPr>
        <w:t>八、对本次采购提出询问、质疑、投诉，请按以下方式联系。</w:t>
      </w:r>
      <w:bookmarkEnd w:id="36"/>
      <w:bookmarkEnd w:id="37"/>
      <w:bookmarkEnd w:id="38"/>
      <w:bookmarkEnd w:id="39"/>
    </w:p>
    <w:p w14:paraId="031B8625">
      <w:pPr>
        <w:spacing w:line="360" w:lineRule="auto"/>
        <w:ind w:firstLine="480" w:firstLineChars="200"/>
        <w:rPr>
          <w:rFonts w:ascii="仿宋" w:hAnsi="仿宋" w:eastAsia="仿宋" w:cs="宋体"/>
          <w:color w:val="auto"/>
          <w:szCs w:val="28"/>
          <w:highlight w:val="none"/>
        </w:rPr>
      </w:pPr>
      <w:r>
        <w:rPr>
          <w:rFonts w:ascii="仿宋" w:hAnsi="仿宋" w:eastAsia="仿宋" w:cs="宋体"/>
          <w:color w:val="auto"/>
          <w:szCs w:val="28"/>
          <w:highlight w:val="none"/>
        </w:rPr>
        <w:t>1.采购人信息</w:t>
      </w:r>
    </w:p>
    <w:p w14:paraId="54FB67B2">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名称：</w:t>
      </w:r>
      <w:r>
        <w:rPr>
          <w:rFonts w:hint="eastAsia" w:ascii="仿宋" w:hAnsi="仿宋" w:eastAsia="仿宋"/>
          <w:color w:val="auto"/>
          <w:szCs w:val="28"/>
          <w:highlight w:val="none"/>
        </w:rPr>
        <w:t>绍兴市柯桥区妇幼保健院</w:t>
      </w:r>
    </w:p>
    <w:p w14:paraId="79C2EC50">
      <w:pPr>
        <w:spacing w:line="360" w:lineRule="auto"/>
        <w:rPr>
          <w:rFonts w:ascii="宋体" w:hAnsi="宋体"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地址：</w:t>
      </w:r>
      <w:r>
        <w:rPr>
          <w:rFonts w:hint="eastAsia" w:ascii="仿宋" w:hAnsi="仿宋" w:eastAsia="仿宋"/>
          <w:color w:val="auto"/>
          <w:szCs w:val="28"/>
          <w:highlight w:val="none"/>
        </w:rPr>
        <w:t>绍兴市柯桥区柯岩大道778号</w:t>
      </w:r>
      <w:r>
        <w:rPr>
          <w:rFonts w:hint="eastAsia" w:ascii="宋体" w:hAnsi="宋体" w:cs="宋体"/>
          <w:color w:val="auto"/>
          <w:szCs w:val="28"/>
          <w:highlight w:val="none"/>
        </w:rPr>
        <w:t> </w:t>
      </w:r>
    </w:p>
    <w:p w14:paraId="5B460926">
      <w:pPr>
        <w:spacing w:line="360" w:lineRule="auto"/>
        <w:ind w:firstLine="480" w:firstLineChars="200"/>
        <w:rPr>
          <w:rFonts w:ascii="仿宋" w:hAnsi="仿宋" w:eastAsia="仿宋" w:cs="宋体"/>
          <w:color w:val="auto"/>
          <w:szCs w:val="28"/>
          <w:highlight w:val="none"/>
        </w:rPr>
      </w:pPr>
      <w:r>
        <w:rPr>
          <w:rFonts w:ascii="仿宋" w:hAnsi="仿宋" w:eastAsia="仿宋" w:cs="宋体"/>
          <w:color w:val="auto"/>
          <w:szCs w:val="28"/>
          <w:highlight w:val="none"/>
        </w:rPr>
        <w:t>传真：</w:t>
      </w:r>
      <w:r>
        <w:rPr>
          <w:rFonts w:hint="eastAsia" w:ascii="仿宋" w:hAnsi="仿宋" w:eastAsia="仿宋" w:cs="宋体"/>
          <w:color w:val="auto"/>
          <w:szCs w:val="28"/>
          <w:highlight w:val="none"/>
        </w:rPr>
        <w:t>/</w:t>
      </w:r>
    </w:p>
    <w:p w14:paraId="112FB9E9">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项目联系人（询问）：</w:t>
      </w:r>
      <w:r>
        <w:rPr>
          <w:rFonts w:hint="eastAsia" w:ascii="仿宋" w:hAnsi="仿宋" w:eastAsia="仿宋" w:cs="宋体"/>
          <w:color w:val="auto"/>
          <w:szCs w:val="28"/>
          <w:highlight w:val="none"/>
        </w:rPr>
        <w:t>沈才华</w:t>
      </w:r>
    </w:p>
    <w:p w14:paraId="5A7306BB">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项目联系方式（询问）：</w:t>
      </w:r>
      <w:r>
        <w:rPr>
          <w:rFonts w:hint="eastAsia" w:ascii="仿宋" w:hAnsi="仿宋" w:eastAsia="仿宋" w:cs="宋体"/>
          <w:color w:val="auto"/>
          <w:szCs w:val="28"/>
          <w:highlight w:val="none"/>
        </w:rPr>
        <w:t>13396855955</w:t>
      </w:r>
    </w:p>
    <w:p w14:paraId="68668A68">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质疑联系人：</w:t>
      </w:r>
      <w:r>
        <w:rPr>
          <w:rFonts w:hint="eastAsia" w:ascii="仿宋" w:hAnsi="仿宋" w:eastAsia="仿宋" w:cs="宋体"/>
          <w:color w:val="auto"/>
          <w:szCs w:val="28"/>
          <w:highlight w:val="none"/>
        </w:rPr>
        <w:t>毛小梅</w:t>
      </w:r>
    </w:p>
    <w:p w14:paraId="56841DE2">
      <w:pPr>
        <w:spacing w:line="360" w:lineRule="auto"/>
        <w:rPr>
          <w:rFonts w:ascii="仿宋" w:hAnsi="仿宋" w:eastAsia="仿宋" w:cs="仿宋"/>
          <w:color w:val="auto"/>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质疑联系方式：</w:t>
      </w:r>
      <w:r>
        <w:rPr>
          <w:rFonts w:hint="eastAsia" w:ascii="仿宋" w:hAnsi="仿宋" w:eastAsia="仿宋" w:cs="宋体"/>
          <w:color w:val="auto"/>
          <w:szCs w:val="28"/>
          <w:highlight w:val="none"/>
        </w:rPr>
        <w:t>0575-85028627</w:t>
      </w:r>
    </w:p>
    <w:p w14:paraId="14431BA0">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hint="eastAsia" w:ascii="仿宋" w:hAnsi="仿宋" w:eastAsia="仿宋" w:cs="仿宋"/>
          <w:color w:val="auto"/>
          <w:szCs w:val="28"/>
          <w:highlight w:val="none"/>
        </w:rPr>
        <w:t xml:space="preserve">  2.</w:t>
      </w:r>
      <w:r>
        <w:rPr>
          <w:rFonts w:ascii="仿宋" w:hAnsi="仿宋" w:eastAsia="仿宋" w:cs="宋体"/>
          <w:color w:val="auto"/>
          <w:szCs w:val="28"/>
          <w:highlight w:val="none"/>
        </w:rPr>
        <w:t>采购代理机构信息</w:t>
      </w:r>
    </w:p>
    <w:p w14:paraId="4A8037C9">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名称：</w:t>
      </w:r>
      <w:r>
        <w:rPr>
          <w:rFonts w:hint="eastAsia" w:ascii="仿宋" w:hAnsi="仿宋" w:eastAsia="仿宋" w:cs="仿宋"/>
          <w:color w:val="auto"/>
          <w:highlight w:val="none"/>
        </w:rPr>
        <w:t>浙江建诚工程管理咨询有限公司</w:t>
      </w:r>
    </w:p>
    <w:p w14:paraId="68AA7D1A">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地址：</w:t>
      </w:r>
      <w:r>
        <w:rPr>
          <w:rFonts w:hint="eastAsia" w:ascii="仿宋" w:hAnsi="仿宋" w:eastAsia="仿宋" w:cs="宋体"/>
          <w:color w:val="auto"/>
          <w:szCs w:val="28"/>
          <w:highlight w:val="none"/>
        </w:rPr>
        <w:t>绍兴市越城区平江路龙湖大厦14楼</w:t>
      </w:r>
    </w:p>
    <w:p w14:paraId="2C9F6B20">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传真：</w:t>
      </w:r>
      <w:r>
        <w:rPr>
          <w:rFonts w:hint="eastAsia" w:ascii="仿宋" w:hAnsi="仿宋" w:eastAsia="仿宋" w:cs="仿宋"/>
          <w:color w:val="auto"/>
          <w:highlight w:val="none"/>
        </w:rPr>
        <w:t>0575-88658182</w:t>
      </w:r>
    </w:p>
    <w:p w14:paraId="6E7A7C18">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项目联系人（询问）：</w:t>
      </w:r>
      <w:r>
        <w:rPr>
          <w:rFonts w:hint="eastAsia" w:ascii="仿宋" w:hAnsi="仿宋" w:eastAsia="仿宋" w:cs="仿宋"/>
          <w:color w:val="auto"/>
          <w:highlight w:val="none"/>
        </w:rPr>
        <w:t>来蒙恩</w:t>
      </w:r>
    </w:p>
    <w:p w14:paraId="038A75A4">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项目联系方式（询问）：</w:t>
      </w:r>
      <w:r>
        <w:rPr>
          <w:rFonts w:hint="eastAsia" w:ascii="仿宋" w:hAnsi="仿宋" w:eastAsia="仿宋" w:cs="仿宋"/>
          <w:color w:val="auto"/>
          <w:highlight w:val="none"/>
        </w:rPr>
        <w:t>15068998061</w:t>
      </w:r>
    </w:p>
    <w:p w14:paraId="37943B21">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质疑联系人：</w:t>
      </w:r>
      <w:r>
        <w:rPr>
          <w:rFonts w:hint="eastAsia" w:ascii="仿宋" w:hAnsi="仿宋" w:eastAsia="仿宋" w:cs="仿宋"/>
          <w:color w:val="auto"/>
          <w:highlight w:val="none"/>
        </w:rPr>
        <w:t>徐平阳</w:t>
      </w:r>
    </w:p>
    <w:p w14:paraId="198EBBD5">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质疑联系方式：</w:t>
      </w:r>
      <w:r>
        <w:rPr>
          <w:rFonts w:hint="eastAsia" w:ascii="仿宋" w:hAnsi="仿宋" w:eastAsia="仿宋" w:cs="宋体"/>
          <w:color w:val="auto"/>
          <w:szCs w:val="28"/>
          <w:highlight w:val="none"/>
        </w:rPr>
        <w:t>18157591508</w:t>
      </w:r>
    </w:p>
    <w:p w14:paraId="16C398F0">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hint="eastAsia" w:ascii="仿宋" w:hAnsi="仿宋" w:eastAsia="仿宋" w:cs="仿宋"/>
          <w:color w:val="auto"/>
          <w:szCs w:val="28"/>
          <w:highlight w:val="none"/>
        </w:rPr>
        <w:t>3.</w:t>
      </w:r>
      <w:r>
        <w:rPr>
          <w:rFonts w:ascii="仿宋" w:hAnsi="仿宋" w:eastAsia="仿宋" w:cs="宋体"/>
          <w:color w:val="auto"/>
          <w:szCs w:val="28"/>
          <w:highlight w:val="none"/>
        </w:rPr>
        <w:t xml:space="preserve">同级政府采购监督管理部门 </w:t>
      </w:r>
    </w:p>
    <w:p w14:paraId="181AD650">
      <w:pPr>
        <w:spacing w:line="360" w:lineRule="auto"/>
        <w:rPr>
          <w:rFonts w:ascii="仿宋" w:hAnsi="仿宋" w:eastAsia="仿宋" w:cs="宋体"/>
          <w:color w:val="auto"/>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名称：</w:t>
      </w:r>
      <w:r>
        <w:rPr>
          <w:rFonts w:hint="eastAsia" w:ascii="仿宋" w:hAnsi="仿宋" w:eastAsia="仿宋" w:cs="仿宋"/>
          <w:color w:val="auto"/>
          <w:highlight w:val="none"/>
        </w:rPr>
        <w:t>绍兴市柯桥区财政局</w:t>
      </w:r>
    </w:p>
    <w:p w14:paraId="5929F2A0">
      <w:pPr>
        <w:spacing w:line="360" w:lineRule="auto"/>
        <w:rPr>
          <w:rFonts w:ascii="仿宋" w:hAnsi="仿宋" w:eastAsia="仿宋" w:cs="宋体"/>
          <w:color w:val="auto"/>
          <w:highlight w:val="none"/>
        </w:rPr>
      </w:pPr>
      <w:r>
        <w:rPr>
          <w:rFonts w:hint="eastAsia" w:ascii="宋体" w:hAnsi="宋体" w:cs="宋体"/>
          <w:color w:val="auto"/>
          <w:highlight w:val="none"/>
        </w:rPr>
        <w:t> </w:t>
      </w:r>
      <w:r>
        <w:rPr>
          <w:rFonts w:ascii="仿宋" w:hAnsi="仿宋" w:eastAsia="仿宋" w:cs="宋体"/>
          <w:color w:val="auto"/>
          <w:highlight w:val="none"/>
        </w:rPr>
        <w:t>地址：</w:t>
      </w:r>
      <w:r>
        <w:rPr>
          <w:rFonts w:hint="eastAsia" w:ascii="仿宋" w:hAnsi="仿宋" w:eastAsia="仿宋" w:cs="仿宋"/>
          <w:color w:val="auto"/>
          <w:highlight w:val="none"/>
        </w:rPr>
        <w:t>绍兴市柯桥区育才路财税大楼</w:t>
      </w:r>
    </w:p>
    <w:p w14:paraId="478B87D4">
      <w:pPr>
        <w:spacing w:line="360" w:lineRule="auto"/>
        <w:rPr>
          <w:rFonts w:ascii="仿宋" w:hAnsi="仿宋" w:eastAsia="仿宋" w:cs="宋体"/>
          <w:color w:val="auto"/>
          <w:szCs w:val="28"/>
          <w:highlight w:val="none"/>
        </w:rPr>
      </w:pPr>
      <w:r>
        <w:rPr>
          <w:rFonts w:hint="eastAsia" w:ascii="宋体" w:hAnsi="宋体" w:cs="宋体"/>
          <w:color w:val="auto"/>
          <w:szCs w:val="28"/>
          <w:highlight w:val="none"/>
        </w:rPr>
        <w:t> </w:t>
      </w:r>
      <w:r>
        <w:rPr>
          <w:rFonts w:ascii="仿宋" w:hAnsi="仿宋" w:eastAsia="仿宋" w:cs="宋体"/>
          <w:color w:val="auto"/>
          <w:szCs w:val="28"/>
          <w:highlight w:val="none"/>
        </w:rPr>
        <w:t>传真：</w:t>
      </w:r>
      <w:r>
        <w:rPr>
          <w:rFonts w:ascii="仿宋" w:hAnsi="仿宋" w:eastAsia="仿宋" w:cs="宋体"/>
          <w:snapToGrid w:val="0"/>
          <w:color w:val="auto"/>
          <w:szCs w:val="28"/>
          <w:highlight w:val="none"/>
        </w:rPr>
        <w:t>/</w:t>
      </w:r>
      <w:r>
        <w:rPr>
          <w:rFonts w:hint="eastAsia" w:ascii="宋体" w:hAnsi="宋体" w:cs="宋体"/>
          <w:color w:val="auto"/>
          <w:szCs w:val="28"/>
          <w:highlight w:val="none"/>
        </w:rPr>
        <w:t> </w:t>
      </w:r>
    </w:p>
    <w:p w14:paraId="2DFBE875">
      <w:pPr>
        <w:spacing w:line="360" w:lineRule="auto"/>
        <w:ind w:firstLine="480" w:firstLineChars="200"/>
        <w:rPr>
          <w:rFonts w:ascii="仿宋" w:hAnsi="仿宋" w:eastAsia="仿宋" w:cs="宋体"/>
          <w:color w:val="auto"/>
          <w:highlight w:val="none"/>
        </w:rPr>
      </w:pPr>
      <w:r>
        <w:rPr>
          <w:rFonts w:ascii="仿宋" w:hAnsi="仿宋" w:eastAsia="仿宋" w:cs="宋体"/>
          <w:color w:val="auto"/>
          <w:szCs w:val="28"/>
          <w:highlight w:val="none"/>
        </w:rPr>
        <w:t>联系人：</w:t>
      </w:r>
      <w:r>
        <w:rPr>
          <w:rFonts w:hint="eastAsia" w:ascii="仿宋" w:hAnsi="仿宋" w:eastAsia="仿宋" w:cs="仿宋"/>
          <w:color w:val="auto"/>
          <w:highlight w:val="none"/>
        </w:rPr>
        <w:t>王涛</w:t>
      </w:r>
    </w:p>
    <w:p w14:paraId="6782DDA2">
      <w:pPr>
        <w:spacing w:line="360" w:lineRule="auto"/>
        <w:ind w:firstLine="480" w:firstLineChars="200"/>
        <w:rPr>
          <w:rFonts w:ascii="仿宋" w:hAnsi="仿宋" w:eastAsia="仿宋"/>
          <w:color w:val="auto"/>
          <w:szCs w:val="28"/>
          <w:highlight w:val="none"/>
          <w:u w:val="single"/>
        </w:rPr>
      </w:pPr>
      <w:r>
        <w:rPr>
          <w:rFonts w:ascii="仿宋" w:hAnsi="仿宋" w:eastAsia="仿宋" w:cs="宋体"/>
          <w:color w:val="auto"/>
          <w:highlight w:val="none"/>
        </w:rPr>
        <w:t>监督投诉电话：</w:t>
      </w:r>
      <w:r>
        <w:rPr>
          <w:rFonts w:hint="eastAsia" w:ascii="仿宋" w:hAnsi="仿宋" w:eastAsia="仿宋" w:cs="仿宋"/>
          <w:color w:val="auto"/>
          <w:highlight w:val="none"/>
        </w:rPr>
        <w:t>0575-85672135</w:t>
      </w:r>
    </w:p>
    <w:p w14:paraId="7F681EEA">
      <w:pPr>
        <w:ind w:firstLine="480" w:firstLineChars="200"/>
        <w:rPr>
          <w:rFonts w:ascii="仿宋" w:hAnsi="仿宋" w:eastAsia="仿宋" w:cs="宋体"/>
          <w:color w:val="auto"/>
          <w:szCs w:val="21"/>
          <w:highlight w:val="none"/>
        </w:rPr>
      </w:pPr>
      <w:r>
        <w:rPr>
          <w:rFonts w:ascii="仿宋" w:hAnsi="仿宋" w:eastAsia="仿宋" w:cs="宋体"/>
          <w:color w:val="auto"/>
          <w:szCs w:val="21"/>
          <w:highlight w:val="none"/>
        </w:rPr>
        <w:t>若对项目采购电子交易系统操作有疑问，可登录政采云（https://www.zcygov.cn/），点击右侧咨询小采，获取采小蜜智能服务管家帮助，或拨打政采云服务热线</w:t>
      </w:r>
      <w:r>
        <w:rPr>
          <w:rFonts w:hint="eastAsia" w:ascii="仿宋" w:hAnsi="仿宋" w:eastAsia="仿宋" w:cs="宋体"/>
          <w:color w:val="auto"/>
          <w:szCs w:val="21"/>
          <w:highlight w:val="none"/>
        </w:rPr>
        <w:t>95763</w:t>
      </w:r>
      <w:r>
        <w:rPr>
          <w:rFonts w:ascii="仿宋" w:hAnsi="仿宋" w:eastAsia="仿宋" w:cs="宋体"/>
          <w:color w:val="auto"/>
          <w:szCs w:val="21"/>
          <w:highlight w:val="none"/>
        </w:rPr>
        <w:t>获取热线服务帮助。       </w:t>
      </w:r>
    </w:p>
    <w:p w14:paraId="3A8810E7">
      <w:pPr>
        <w:ind w:firstLine="480" w:firstLineChars="200"/>
        <w:rPr>
          <w:rFonts w:ascii="仿宋" w:hAnsi="仿宋" w:eastAsia="仿宋" w:cs="宋体"/>
          <w:color w:val="auto"/>
          <w:szCs w:val="21"/>
          <w:highlight w:val="none"/>
        </w:rPr>
      </w:pPr>
      <w:r>
        <w:rPr>
          <w:rFonts w:ascii="仿宋" w:hAnsi="仿宋" w:eastAsia="仿宋" w:cs="宋体"/>
          <w:color w:val="auto"/>
          <w:szCs w:val="21"/>
          <w:highlight w:val="none"/>
        </w:rPr>
        <w:t>CA问题联系电话（人工）：汇信CA 400-888-4636；天谷CA 400-087-8198。</w:t>
      </w:r>
    </w:p>
    <w:p w14:paraId="1EF1479B">
      <w:pPr>
        <w:rPr>
          <w:color w:val="auto"/>
          <w:highlight w:val="none"/>
        </w:rPr>
      </w:pPr>
    </w:p>
    <w:p w14:paraId="4BD43B24">
      <w:pPr>
        <w:rPr>
          <w:color w:val="auto"/>
          <w:highlight w:val="none"/>
        </w:rPr>
      </w:pPr>
    </w:p>
    <w:p w14:paraId="529DC5E5">
      <w:pPr>
        <w:rPr>
          <w:color w:val="auto"/>
          <w:highlight w:val="none"/>
        </w:rPr>
      </w:pPr>
    </w:p>
    <w:p w14:paraId="44DA65D9">
      <w:pPr>
        <w:jc w:val="center"/>
        <w:rPr>
          <w:rFonts w:ascii="仿宋" w:hAnsi="仿宋" w:eastAsia="仿宋" w:cs="仿宋_GB2312"/>
          <w:b/>
          <w:color w:val="auto"/>
          <w:sz w:val="36"/>
          <w:szCs w:val="20"/>
          <w:highlight w:val="none"/>
        </w:rPr>
      </w:pPr>
      <w:r>
        <w:rPr>
          <w:rFonts w:hint="eastAsia"/>
          <w:color w:val="auto"/>
          <w:highlight w:val="none"/>
        </w:rPr>
        <w:br w:type="page"/>
      </w:r>
      <w:r>
        <w:rPr>
          <w:rFonts w:hint="eastAsia" w:ascii="仿宋" w:hAnsi="仿宋" w:eastAsia="仿宋" w:cs="仿宋_GB2312"/>
          <w:b/>
          <w:color w:val="auto"/>
          <w:sz w:val="36"/>
          <w:szCs w:val="20"/>
          <w:highlight w:val="none"/>
        </w:rPr>
        <w:t>第二部分</w:t>
      </w:r>
      <w:bookmarkEnd w:id="9"/>
      <w:r>
        <w:rPr>
          <w:rFonts w:hint="eastAsia" w:ascii="仿宋" w:hAnsi="仿宋" w:eastAsia="仿宋" w:cs="仿宋_GB2312"/>
          <w:b/>
          <w:color w:val="auto"/>
          <w:sz w:val="36"/>
          <w:szCs w:val="20"/>
          <w:highlight w:val="none"/>
        </w:rPr>
        <w:t xml:space="preserve"> 投标人须知</w:t>
      </w:r>
      <w:bookmarkEnd w:id="10"/>
    </w:p>
    <w:p w14:paraId="41AE6431">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4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49"/>
      </w:tblGrid>
      <w:tr w14:paraId="7CCBE0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2B163AD">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A4EA1F3">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事项</w:t>
            </w:r>
          </w:p>
        </w:tc>
        <w:tc>
          <w:tcPr>
            <w:tcW w:w="6249" w:type="dxa"/>
            <w:tcBorders>
              <w:top w:val="single" w:color="000000" w:sz="8" w:space="0"/>
              <w:left w:val="single" w:color="000000" w:sz="2" w:space="0"/>
              <w:bottom w:val="single" w:color="000000" w:sz="8" w:space="0"/>
              <w:right w:val="single" w:color="000000" w:sz="8" w:space="0"/>
            </w:tcBorders>
            <w:vAlign w:val="center"/>
          </w:tcPr>
          <w:p w14:paraId="6910AE2D">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本项目的特别规定</w:t>
            </w:r>
          </w:p>
        </w:tc>
      </w:tr>
      <w:tr w14:paraId="31B66E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2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C6948E1">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7A45FB6">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报价要求</w:t>
            </w:r>
          </w:p>
        </w:tc>
        <w:tc>
          <w:tcPr>
            <w:tcW w:w="6249" w:type="dxa"/>
            <w:tcBorders>
              <w:top w:val="single" w:color="000000" w:sz="8" w:space="0"/>
              <w:left w:val="single" w:color="000000" w:sz="2" w:space="0"/>
              <w:bottom w:val="single" w:color="000000" w:sz="8" w:space="0"/>
              <w:right w:val="single" w:color="000000" w:sz="8" w:space="0"/>
            </w:tcBorders>
            <w:vAlign w:val="center"/>
          </w:tcPr>
          <w:p w14:paraId="148E668A">
            <w:pPr>
              <w:pStyle w:val="18"/>
              <w:spacing w:line="400" w:lineRule="exact"/>
              <w:rPr>
                <w:rFonts w:ascii="仿宋" w:hAnsi="仿宋" w:eastAsia="仿宋" w:cs="宋体"/>
                <w:color w:val="auto"/>
                <w:highlight w:val="none"/>
              </w:rPr>
            </w:pPr>
            <w:r>
              <w:rPr>
                <w:rFonts w:hint="eastAsia" w:hAnsi="宋体" w:cs="宋体"/>
                <w:color w:val="auto"/>
                <w:highlight w:val="none"/>
              </w:rPr>
              <w:t>有关本项目开展</w:t>
            </w:r>
            <w:r>
              <w:rPr>
                <w:rFonts w:hint="eastAsia" w:hAnsi="宋体" w:cs="宋体"/>
                <w:color w:val="auto"/>
                <w:highlight w:val="none"/>
                <w:lang w:eastAsia="zh-CN"/>
              </w:rPr>
              <w:t>项目</w:t>
            </w:r>
            <w:r>
              <w:rPr>
                <w:rFonts w:hint="eastAsia" w:hAnsi="宋体" w:cs="宋体"/>
                <w:color w:val="auto"/>
                <w:highlight w:val="none"/>
              </w:rPr>
              <w:t>所需的</w:t>
            </w:r>
            <w:r>
              <w:rPr>
                <w:color w:val="auto"/>
                <w:highlight w:val="none"/>
              </w:rPr>
              <w:t>人员工资、福利、工具、利润、税金、保险及不可预见费用等一切费用均计入报价</w:t>
            </w:r>
            <w:r>
              <w:rPr>
                <w:rFonts w:hint="eastAsia" w:hAnsi="宋体" w:cs="宋体"/>
                <w:color w:val="auto"/>
                <w:highlight w:val="none"/>
              </w:rPr>
              <w:t>一。投标文件开标一览表（报价表）是报价的唯一载体，如投标人在政府采购云平台填写的投标报价与投标文件报价文件中开标一览表（报价表）不一致的，以报价文件中开标一览表（报价表）为准。投标文件中价格全部采用人民币报价。招标文件未列明，而投标人认为必需的费用也需列入报价。提醒：验收时检测费用由采购人承担，不包含在投标总价中；</w:t>
            </w:r>
          </w:p>
          <w:p w14:paraId="2543885B">
            <w:pPr>
              <w:spacing w:line="360" w:lineRule="auto"/>
              <w:rPr>
                <w:rFonts w:ascii="宋体" w:hAnsi="宋体" w:eastAsia="宋体" w:cs="宋体"/>
                <w:b/>
                <w:bCs/>
                <w:color w:val="auto"/>
                <w:highlight w:val="none"/>
                <w:lang w:val="zh-CN"/>
              </w:rPr>
            </w:pPr>
            <w:r>
              <w:rPr>
                <w:rFonts w:hint="eastAsia" w:ascii="宋体" w:hAnsi="宋体" w:eastAsia="宋体" w:cs="宋体"/>
                <w:b/>
                <w:bCs/>
                <w:color w:val="auto"/>
                <w:highlight w:val="none"/>
                <w:lang w:val="zh-CN"/>
              </w:rPr>
              <w:t>投标报价出现下列情形的，投标无效：</w:t>
            </w:r>
          </w:p>
          <w:p w14:paraId="2E8741DF">
            <w:pPr>
              <w:spacing w:line="360" w:lineRule="auto"/>
              <w:rPr>
                <w:rFonts w:ascii="宋体" w:hAnsi="宋体" w:eastAsia="宋体" w:cs="宋体"/>
                <w:b/>
                <w:bCs/>
                <w:color w:val="auto"/>
                <w:highlight w:val="none"/>
                <w:lang w:val="zh-CN"/>
              </w:rPr>
            </w:pPr>
            <w:r>
              <w:rPr>
                <w:rFonts w:hint="eastAsia" w:ascii="宋体" w:hAnsi="宋体" w:eastAsia="宋体" w:cs="宋体"/>
                <w:b/>
                <w:bCs/>
                <w:color w:val="auto"/>
                <w:highlight w:val="none"/>
              </w:rPr>
              <w:t>▲</w:t>
            </w:r>
            <w:r>
              <w:rPr>
                <w:rFonts w:hint="eastAsia" w:ascii="宋体" w:hAnsi="宋体" w:eastAsia="宋体" w:cs="宋体"/>
                <w:b/>
                <w:bCs/>
                <w:color w:val="auto"/>
                <w:highlight w:val="none"/>
                <w:lang w:val="zh-CN"/>
              </w:rPr>
              <w:t>投标文件出现不是唯一的、有选择性投标报价的；</w:t>
            </w:r>
          </w:p>
          <w:p w14:paraId="5E3ABE4A">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▲投标报价高于本项目采购预算或者最高限价的；</w:t>
            </w:r>
          </w:p>
          <w:p w14:paraId="3118478A">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▲报价明显低于其他通过符合性审查投标人的报价，有可能影响产品质量或者不能诚信履约的，</w:t>
            </w:r>
            <w:r>
              <w:rPr>
                <w:rFonts w:hint="eastAsia" w:ascii="宋体" w:hAnsi="宋体" w:cs="宋体"/>
                <w:b/>
                <w:color w:val="auto"/>
                <w:highlight w:val="none"/>
              </w:rPr>
              <w:t>未能按要求提供书面说明或者提交相关证明材料，</w:t>
            </w:r>
            <w:r>
              <w:rPr>
                <w:rFonts w:hint="eastAsia" w:ascii="宋体" w:hAnsi="宋体" w:eastAsia="宋体" w:cs="宋体"/>
                <w:b/>
                <w:bCs/>
                <w:color w:val="auto"/>
                <w:highlight w:val="none"/>
              </w:rPr>
              <w:t>不能证明其报价合理性的;</w:t>
            </w:r>
          </w:p>
          <w:p w14:paraId="79209295">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w:t>
            </w:r>
            <w:r>
              <w:rPr>
                <w:rFonts w:hint="eastAsia" w:ascii="宋体" w:hAnsi="宋体" w:eastAsia="宋体" w:cs="宋体"/>
                <w:b/>
                <w:bCs/>
                <w:color w:val="auto"/>
                <w:highlight w:val="none"/>
                <w:lang w:val="zh-CN"/>
              </w:rPr>
              <w:t>报价低于项目预算50%</w:t>
            </w:r>
            <w:r>
              <w:rPr>
                <w:rFonts w:hint="eastAsia" w:ascii="宋体" w:hAnsi="宋体" w:eastAsia="宋体" w:cs="宋体"/>
                <w:b/>
                <w:bCs/>
                <w:color w:val="auto"/>
                <w:highlight w:val="none"/>
              </w:rPr>
              <w:t>的投标报价，投标人应在投标文件中提供成本测算资料，未在投标文件中提供成本测算资料的，将被视为投标人不能证明其报价合理性；</w:t>
            </w:r>
          </w:p>
          <w:p w14:paraId="37A2AAA7">
            <w:pPr>
              <w:spacing w:line="360" w:lineRule="auto"/>
              <w:rPr>
                <w:rFonts w:ascii="宋体" w:hAnsi="宋体" w:eastAsia="宋体" w:cs="宋体"/>
                <w:b/>
                <w:bCs/>
                <w:color w:val="auto"/>
                <w:highlight w:val="none"/>
              </w:rPr>
            </w:pPr>
            <w:r>
              <w:rPr>
                <w:rFonts w:hint="eastAsia" w:ascii="仿宋" w:hAnsi="仿宋" w:eastAsia="仿宋"/>
                <w:b/>
                <w:color w:val="auto"/>
                <w:highlight w:val="none"/>
              </w:rPr>
              <w:t>▲</w:t>
            </w:r>
            <w:r>
              <w:rPr>
                <w:rFonts w:hint="eastAsia" w:ascii="宋体" w:hAnsi="宋体" w:eastAsia="宋体" w:cs="宋体"/>
                <w:b/>
                <w:bCs/>
                <w:color w:val="auto"/>
                <w:highlight w:val="none"/>
              </w:rPr>
              <w:t>《开标一览表(报价表)》填写不完整或字迹不能辨认或有漏项的,经评标委员会认定属于重大偏差的；</w:t>
            </w:r>
          </w:p>
          <w:p w14:paraId="53CBBB7C">
            <w:pPr>
              <w:spacing w:line="360" w:lineRule="auto"/>
              <w:rPr>
                <w:rFonts w:ascii="仿宋" w:hAnsi="仿宋" w:eastAsia="仿宋"/>
                <w:color w:val="auto"/>
                <w:highlight w:val="none"/>
              </w:rPr>
            </w:pPr>
            <w:r>
              <w:rPr>
                <w:rFonts w:hint="eastAsia" w:ascii="宋体" w:hAnsi="宋体" w:eastAsia="宋体" w:cs="宋体"/>
                <w:b/>
                <w:bCs/>
                <w:color w:val="auto"/>
                <w:highlight w:val="none"/>
              </w:rPr>
              <w:t>▲投标人对根据修正原则修正后的报价不确认的。</w:t>
            </w:r>
          </w:p>
        </w:tc>
      </w:tr>
      <w:tr w14:paraId="0DC0F9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082E079">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F67D2A">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项目采购类型</w:t>
            </w:r>
          </w:p>
        </w:tc>
        <w:tc>
          <w:tcPr>
            <w:tcW w:w="6249" w:type="dxa"/>
            <w:tcBorders>
              <w:top w:val="single" w:color="000000" w:sz="8" w:space="0"/>
              <w:left w:val="single" w:color="000000" w:sz="2" w:space="0"/>
              <w:bottom w:val="single" w:color="000000" w:sz="8" w:space="0"/>
              <w:right w:val="single" w:color="000000" w:sz="8" w:space="0"/>
            </w:tcBorders>
            <w:vAlign w:val="center"/>
          </w:tcPr>
          <w:p w14:paraId="2310DD95">
            <w:pPr>
              <w:snapToGrid w:val="0"/>
              <w:spacing w:line="360" w:lineRule="auto"/>
              <w:rPr>
                <w:rFonts w:ascii="仿宋" w:hAnsi="仿宋" w:eastAsia="仿宋"/>
                <w:color w:val="auto"/>
                <w:highlight w:val="none"/>
              </w:rPr>
            </w:pPr>
            <w:r>
              <w:rPr>
                <w:rFonts w:hint="eastAsia" w:ascii="仿宋" w:hAnsi="仿宋" w:eastAsia="仿宋"/>
                <w:color w:val="auto"/>
                <w:highlight w:val="none"/>
              </w:rPr>
              <w:t>本项目为</w:t>
            </w:r>
            <w:r>
              <w:rPr>
                <w:rFonts w:hint="eastAsia" w:ascii="仿宋" w:hAnsi="仿宋" w:eastAsia="仿宋"/>
                <w:color w:val="auto"/>
                <w:highlight w:val="none"/>
                <w:u w:val="single"/>
              </w:rPr>
              <w:t>服务类</w:t>
            </w:r>
            <w:r>
              <w:rPr>
                <w:rFonts w:hint="eastAsia" w:ascii="仿宋" w:hAnsi="仿宋" w:eastAsia="仿宋"/>
                <w:color w:val="auto"/>
                <w:highlight w:val="none"/>
              </w:rPr>
              <w:t>采购项目</w:t>
            </w:r>
          </w:p>
        </w:tc>
      </w:tr>
      <w:tr w14:paraId="322C14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49DED4F">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3252ECE">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分包或转包</w:t>
            </w:r>
          </w:p>
        </w:tc>
        <w:tc>
          <w:tcPr>
            <w:tcW w:w="6249" w:type="dxa"/>
            <w:tcBorders>
              <w:top w:val="single" w:color="000000" w:sz="8" w:space="0"/>
              <w:left w:val="single" w:color="000000" w:sz="2" w:space="0"/>
              <w:bottom w:val="single" w:color="000000" w:sz="8" w:space="0"/>
              <w:right w:val="single" w:color="000000" w:sz="8" w:space="0"/>
            </w:tcBorders>
            <w:vAlign w:val="center"/>
          </w:tcPr>
          <w:p w14:paraId="52B2FB41">
            <w:pPr>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（1）采购人</w:t>
            </w:r>
            <w:r>
              <w:rPr>
                <w:rFonts w:hint="eastAsia" w:ascii="仿宋" w:hAnsi="仿宋" w:eastAsia="仿宋" w:cs="仿宋_GB2312"/>
                <w:b/>
                <w:color w:val="auto"/>
                <w:highlight w:val="none"/>
              </w:rPr>
              <w:t>不同意</w:t>
            </w:r>
            <w:r>
              <w:rPr>
                <w:rFonts w:hint="eastAsia" w:ascii="仿宋" w:hAnsi="仿宋" w:eastAsia="仿宋" w:cs="仿宋_GB2312"/>
                <w:color w:val="auto"/>
                <w:highlight w:val="none"/>
              </w:rPr>
              <w:t>分包</w:t>
            </w:r>
          </w:p>
          <w:p w14:paraId="0C241635">
            <w:pPr>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（2）本项目不得转包。</w:t>
            </w:r>
          </w:p>
        </w:tc>
      </w:tr>
      <w:tr w14:paraId="6BD757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95DC7F7">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3F64BD8">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中小企业划分标准所属行业</w:t>
            </w:r>
          </w:p>
        </w:tc>
        <w:tc>
          <w:tcPr>
            <w:tcW w:w="6249" w:type="dxa"/>
            <w:tcBorders>
              <w:top w:val="single" w:color="000000" w:sz="8" w:space="0"/>
              <w:left w:val="single" w:color="000000" w:sz="2" w:space="0"/>
              <w:bottom w:val="single" w:color="000000" w:sz="8" w:space="0"/>
              <w:right w:val="single" w:color="000000" w:sz="8" w:space="0"/>
            </w:tcBorders>
            <w:vAlign w:val="center"/>
          </w:tcPr>
          <w:p w14:paraId="3B69DE3B">
            <w:pPr>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（1）采购标的：</w:t>
            </w:r>
            <w:r>
              <w:rPr>
                <w:rFonts w:hint="eastAsia" w:ascii="仿宋" w:hAnsi="仿宋" w:eastAsia="仿宋"/>
                <w:color w:val="auto"/>
                <w:szCs w:val="28"/>
                <w:highlight w:val="none"/>
              </w:rPr>
              <w:t>绍兴市柯桥区妇幼保健院HIS一体化集成平台（软件）项目</w:t>
            </w:r>
          </w:p>
          <w:p w14:paraId="086449DD">
            <w:pPr>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（2）所属行业：软件和信息技术服务业</w:t>
            </w:r>
          </w:p>
        </w:tc>
      </w:tr>
      <w:tr w14:paraId="2B34CD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1F9BC36">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5</w:t>
            </w:r>
          </w:p>
        </w:tc>
        <w:tc>
          <w:tcPr>
            <w:tcW w:w="1843" w:type="dxa"/>
            <w:tcBorders>
              <w:top w:val="single" w:color="auto" w:sz="4" w:space="0"/>
              <w:left w:val="single" w:color="auto" w:sz="4" w:space="0"/>
              <w:bottom w:val="single" w:color="000000" w:sz="8" w:space="0"/>
              <w:right w:val="single" w:color="000000" w:sz="8" w:space="0"/>
            </w:tcBorders>
            <w:vAlign w:val="center"/>
          </w:tcPr>
          <w:p w14:paraId="5BCABF7B">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开标前答疑会或现场考察</w:t>
            </w:r>
          </w:p>
        </w:tc>
        <w:tc>
          <w:tcPr>
            <w:tcW w:w="6249" w:type="dxa"/>
            <w:tcBorders>
              <w:top w:val="single" w:color="auto" w:sz="4" w:space="0"/>
              <w:left w:val="single" w:color="000000" w:sz="2" w:space="0"/>
              <w:bottom w:val="single" w:color="000000" w:sz="8" w:space="0"/>
              <w:right w:val="single" w:color="000000" w:sz="8" w:space="0"/>
            </w:tcBorders>
            <w:vAlign w:val="center"/>
          </w:tcPr>
          <w:p w14:paraId="372EBFFA">
            <w:pPr>
              <w:pStyle w:val="24"/>
              <w:spacing w:line="360" w:lineRule="auto"/>
              <w:rPr>
                <w:rFonts w:ascii="仿宋" w:hAnsi="仿宋" w:eastAsia="仿宋" w:cs="Times New Roman"/>
                <w:snapToGrid/>
                <w:color w:val="auto"/>
                <w:szCs w:val="20"/>
                <w:highlight w:val="none"/>
              </w:rPr>
            </w:pPr>
            <w:r>
              <w:rPr>
                <w:rFonts w:hint="eastAsia" w:ascii="仿宋" w:hAnsi="仿宋" w:eastAsia="仿宋" w:cs="Times New Roman"/>
                <w:b/>
                <w:snapToGrid/>
                <w:color w:val="auto"/>
                <w:szCs w:val="20"/>
                <w:highlight w:val="none"/>
              </w:rPr>
              <w:t>不组织。</w:t>
            </w:r>
          </w:p>
        </w:tc>
      </w:tr>
      <w:tr w14:paraId="02A795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0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808CCDB">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4A62394">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样品提供</w:t>
            </w:r>
          </w:p>
        </w:tc>
        <w:tc>
          <w:tcPr>
            <w:tcW w:w="6249" w:type="dxa"/>
            <w:tcBorders>
              <w:top w:val="single" w:color="000000" w:sz="8" w:space="0"/>
              <w:left w:val="single" w:color="000000" w:sz="2" w:space="0"/>
              <w:bottom w:val="single" w:color="000000" w:sz="8" w:space="0"/>
              <w:right w:val="single" w:color="000000" w:sz="8" w:space="0"/>
            </w:tcBorders>
            <w:vAlign w:val="center"/>
          </w:tcPr>
          <w:p w14:paraId="059355BA">
            <w:pPr>
              <w:spacing w:line="360" w:lineRule="auto"/>
              <w:rPr>
                <w:rFonts w:ascii="仿宋" w:hAnsi="仿宋" w:eastAsia="仿宋" w:cs="宋体"/>
                <w:color w:val="auto"/>
                <w:highlight w:val="none"/>
              </w:rPr>
            </w:pPr>
            <w:r>
              <w:rPr>
                <w:rFonts w:hint="eastAsia" w:ascii="仿宋" w:hAnsi="仿宋" w:eastAsia="仿宋" w:cs="宋体"/>
                <w:color w:val="auto"/>
                <w:highlight w:val="none"/>
              </w:rPr>
              <w:sym w:font="Wingdings" w:char="00FE"/>
            </w:r>
            <w:r>
              <w:rPr>
                <w:rFonts w:hint="eastAsia" w:ascii="仿宋" w:hAnsi="仿宋" w:eastAsia="仿宋" w:cs="宋体"/>
                <w:color w:val="auto"/>
                <w:highlight w:val="none"/>
              </w:rPr>
              <w:t>A不要求提供。</w:t>
            </w:r>
          </w:p>
          <w:p w14:paraId="75F9C908">
            <w:pPr>
              <w:spacing w:line="360" w:lineRule="auto"/>
              <w:rPr>
                <w:rFonts w:ascii="仿宋" w:hAnsi="仿宋" w:eastAsia="仿宋" w:cs="宋体"/>
                <w:color w:val="auto"/>
                <w:highlight w:val="none"/>
              </w:rPr>
            </w:pPr>
            <w:r>
              <w:rPr>
                <w:rFonts w:hint="eastAsia" w:ascii="仿宋" w:hAnsi="仿宋" w:eastAsia="仿宋" w:cs="宋体"/>
                <w:color w:val="auto"/>
                <w:highlight w:val="none"/>
              </w:rPr>
              <w:sym w:font="Wingdings" w:char="00A8"/>
            </w:r>
            <w:r>
              <w:rPr>
                <w:rFonts w:hint="eastAsia" w:ascii="仿宋" w:hAnsi="仿宋" w:eastAsia="仿宋" w:cs="宋体"/>
                <w:color w:val="auto"/>
                <w:highlight w:val="none"/>
              </w:rPr>
              <w:t>B要求提供，</w:t>
            </w:r>
          </w:p>
          <w:p w14:paraId="3D2A9BC8">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（1）</w:t>
            </w:r>
            <w:r>
              <w:rPr>
                <w:rFonts w:hint="eastAsia" w:ascii="仿宋" w:hAnsi="仿宋" w:eastAsia="仿宋" w:cs="宋体"/>
                <w:snapToGrid w:val="0"/>
                <w:color w:val="auto"/>
                <w:kern w:val="28"/>
                <w:highlight w:val="none"/>
              </w:rPr>
              <w:t>样品：详见商务技术评分中的样品要求</w:t>
            </w:r>
            <w:r>
              <w:rPr>
                <w:rFonts w:hint="eastAsia" w:ascii="仿宋" w:hAnsi="仿宋" w:eastAsia="仿宋" w:cs="宋体"/>
                <w:color w:val="auto"/>
                <w:highlight w:val="none"/>
              </w:rPr>
              <w:t>；</w:t>
            </w:r>
          </w:p>
          <w:p w14:paraId="057BEA76">
            <w:pPr>
              <w:spacing w:line="360" w:lineRule="auto"/>
              <w:rPr>
                <w:rFonts w:ascii="仿宋" w:hAnsi="仿宋" w:eastAsia="仿宋" w:cs="宋体"/>
                <w:color w:val="auto"/>
                <w:highlight w:val="none"/>
              </w:rPr>
            </w:pPr>
            <w:r>
              <w:rPr>
                <w:rFonts w:hint="eastAsia" w:ascii="仿宋" w:hAnsi="仿宋" w:eastAsia="仿宋" w:cs="宋体"/>
                <w:color w:val="auto"/>
                <w:highlight w:val="none"/>
              </w:rPr>
              <w:t>（2）</w:t>
            </w:r>
            <w:r>
              <w:rPr>
                <w:rFonts w:hint="eastAsia" w:ascii="仿宋" w:hAnsi="仿宋" w:eastAsia="仿宋" w:cs="宋体"/>
                <w:snapToGrid w:val="0"/>
                <w:color w:val="auto"/>
                <w:kern w:val="28"/>
                <w:highlight w:val="none"/>
              </w:rPr>
              <w:t>样品制作的标准和要求：详见商务技术评分中的样品要求</w:t>
            </w:r>
            <w:r>
              <w:rPr>
                <w:rFonts w:hint="eastAsia" w:ascii="仿宋" w:hAnsi="仿宋" w:eastAsia="仿宋" w:cs="宋体"/>
                <w:color w:val="auto"/>
                <w:highlight w:val="none"/>
              </w:rPr>
              <w:t>；</w:t>
            </w:r>
          </w:p>
          <w:p w14:paraId="27A6F6C0">
            <w:pPr>
              <w:spacing w:line="360" w:lineRule="auto"/>
              <w:rPr>
                <w:rFonts w:ascii="仿宋" w:hAnsi="仿宋" w:eastAsia="仿宋" w:cs="宋体"/>
                <w:color w:val="auto"/>
                <w:highlight w:val="none"/>
              </w:rPr>
            </w:pPr>
            <w:r>
              <w:rPr>
                <w:rFonts w:hint="eastAsia" w:ascii="仿宋" w:hAnsi="仿宋" w:eastAsia="仿宋" w:cs="宋体"/>
                <w:color w:val="auto"/>
                <w:highlight w:val="none"/>
              </w:rPr>
              <w:t>（3）样品的评审方法以及评审标准</w:t>
            </w:r>
            <w:r>
              <w:rPr>
                <w:rFonts w:hint="eastAsia" w:ascii="仿宋" w:hAnsi="仿宋" w:eastAsia="仿宋" w:cs="宋体"/>
                <w:snapToGrid w:val="0"/>
                <w:color w:val="auto"/>
                <w:kern w:val="28"/>
                <w:highlight w:val="none"/>
              </w:rPr>
              <w:t>：详见</w:t>
            </w:r>
            <w:r>
              <w:rPr>
                <w:rFonts w:hint="eastAsia" w:ascii="仿宋" w:hAnsi="仿宋" w:eastAsia="仿宋" w:cs="宋体"/>
                <w:snapToGrid w:val="0"/>
                <w:color w:val="auto"/>
                <w:kern w:val="28"/>
                <w:highlight w:val="none"/>
                <w:u w:val="single"/>
              </w:rPr>
              <w:t>评分办法</w:t>
            </w:r>
            <w:r>
              <w:rPr>
                <w:rFonts w:hint="eastAsia" w:ascii="仿宋" w:hAnsi="仿宋" w:eastAsia="仿宋" w:cs="宋体"/>
                <w:color w:val="auto"/>
                <w:highlight w:val="none"/>
              </w:rPr>
              <w:t>；</w:t>
            </w:r>
          </w:p>
          <w:p w14:paraId="6A5843D2">
            <w:pPr>
              <w:spacing w:line="360" w:lineRule="auto"/>
              <w:rPr>
                <w:rFonts w:ascii="仿宋" w:hAnsi="仿宋" w:eastAsia="仿宋" w:cs="宋体"/>
                <w:color w:val="auto"/>
                <w:highlight w:val="none"/>
              </w:rPr>
            </w:pPr>
            <w:r>
              <w:rPr>
                <w:rFonts w:hint="eastAsia" w:ascii="仿宋" w:hAnsi="仿宋" w:eastAsia="仿宋" w:cs="宋体"/>
                <w:color w:val="auto"/>
                <w:highlight w:val="none"/>
              </w:rPr>
              <w:t>（4）是否需要随样品提交检测报告：</w:t>
            </w:r>
            <w:r>
              <w:rPr>
                <w:rFonts w:hint="eastAsia" w:ascii="仿宋" w:hAnsi="仿宋" w:eastAsia="仿宋" w:cs="宋体"/>
                <w:color w:val="auto"/>
                <w:highlight w:val="none"/>
              </w:rPr>
              <w:sym w:font="Wingdings" w:char="00FE"/>
            </w:r>
            <w:r>
              <w:rPr>
                <w:rFonts w:hint="eastAsia" w:ascii="仿宋" w:hAnsi="仿宋" w:eastAsia="仿宋" w:cs="宋体"/>
                <w:color w:val="auto"/>
                <w:highlight w:val="none"/>
              </w:rPr>
              <w:t>否；☐是，检测机构的要求：/；检测内容：/。</w:t>
            </w:r>
          </w:p>
          <w:p w14:paraId="630E286D">
            <w:pPr>
              <w:spacing w:line="360" w:lineRule="auto"/>
              <w:rPr>
                <w:rFonts w:ascii="仿宋" w:hAnsi="仿宋" w:eastAsia="仿宋" w:cs="宋体"/>
                <w:color w:val="auto"/>
                <w:highlight w:val="none"/>
              </w:rPr>
            </w:pPr>
            <w:r>
              <w:rPr>
                <w:rFonts w:hint="eastAsia" w:ascii="仿宋" w:hAnsi="仿宋" w:eastAsia="仿宋" w:cs="宋体"/>
                <w:color w:val="auto"/>
                <w:highlight w:val="none"/>
              </w:rPr>
              <w:t>（5）提供样品的时间：</w:t>
            </w:r>
            <w:r>
              <w:rPr>
                <w:rFonts w:hint="eastAsia" w:ascii="仿宋" w:hAnsi="仿宋" w:eastAsia="仿宋" w:cs="宋体"/>
                <w:snapToGrid w:val="0"/>
                <w:color w:val="auto"/>
                <w:kern w:val="28"/>
                <w:highlight w:val="none"/>
                <w:u w:val="single"/>
              </w:rPr>
              <w:t>2025年  月  日9:30前</w:t>
            </w:r>
            <w:r>
              <w:rPr>
                <w:rFonts w:hint="eastAsia" w:ascii="仿宋" w:hAnsi="仿宋" w:eastAsia="仿宋" w:cs="宋体"/>
                <w:color w:val="auto"/>
                <w:highlight w:val="none"/>
              </w:rPr>
              <w:t>；地点：</w:t>
            </w:r>
            <w:r>
              <w:rPr>
                <w:rFonts w:hint="eastAsia" w:ascii="仿宋" w:hAnsi="仿宋" w:eastAsia="仿宋" w:cs="宋体"/>
                <w:snapToGrid w:val="0"/>
                <w:color w:val="auto"/>
                <w:kern w:val="28"/>
                <w:highlight w:val="none"/>
                <w:u w:val="single"/>
              </w:rPr>
              <w:t>绍兴市柯桥区纺都路1066号绍兴市柯桥区公共资源交易中心  楼样品室</w:t>
            </w:r>
            <w:r>
              <w:rPr>
                <w:rFonts w:hint="eastAsia" w:ascii="仿宋" w:hAnsi="仿宋" w:eastAsia="仿宋" w:cs="宋体"/>
                <w:color w:val="auto"/>
                <w:highlight w:val="none"/>
              </w:rPr>
              <w:t>；联系人：/，</w:t>
            </w:r>
            <w:r>
              <w:rPr>
                <w:rFonts w:hint="eastAsia" w:ascii="仿宋" w:hAnsi="仿宋" w:eastAsia="仿宋" w:cs="宋体"/>
                <w:color w:val="auto"/>
                <w:kern w:val="28"/>
                <w:highlight w:val="none"/>
              </w:rPr>
              <w:t>联系电话：/</w:t>
            </w:r>
            <w:r>
              <w:rPr>
                <w:rFonts w:hint="eastAsia" w:ascii="仿宋" w:hAnsi="仿宋" w:eastAsia="仿宋" w:cs="宋体"/>
                <w:color w:val="auto"/>
                <w:highlight w:val="none"/>
              </w:rPr>
              <w:t>。请投标人在上述时间内提供样品并按规定位置安装完毕。超过截止时间的，采购人或采购代理机构将不予接收，并将清场并封闭样品现场。</w:t>
            </w:r>
          </w:p>
          <w:p w14:paraId="18229600">
            <w:pPr>
              <w:spacing w:line="360" w:lineRule="auto"/>
              <w:rPr>
                <w:rFonts w:ascii="仿宋" w:hAnsi="仿宋" w:eastAsia="仿宋" w:cs="宋体"/>
                <w:color w:val="auto"/>
                <w:highlight w:val="none"/>
              </w:rPr>
            </w:pPr>
            <w:r>
              <w:rPr>
                <w:rFonts w:hint="eastAsia" w:ascii="仿宋" w:hAnsi="仿宋" w:eastAsia="仿宋" w:cs="宋体"/>
                <w:color w:val="auto"/>
                <w:highlight w:val="none"/>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4A0A56B">
            <w:pPr>
              <w:spacing w:line="360" w:lineRule="auto"/>
              <w:rPr>
                <w:rFonts w:ascii="仿宋" w:hAnsi="仿宋" w:eastAsia="仿宋" w:cs="宋体"/>
                <w:color w:val="auto"/>
                <w:highlight w:val="none"/>
              </w:rPr>
            </w:pPr>
            <w:r>
              <w:rPr>
                <w:rFonts w:hint="eastAsia" w:ascii="仿宋" w:hAnsi="仿宋" w:eastAsia="仿宋" w:cs="宋体"/>
                <w:color w:val="auto"/>
                <w:highlight w:val="none"/>
              </w:rPr>
              <w:t>（7）制作、运输、安装和保管样品所发生的一切费用由投标人自理。</w:t>
            </w:r>
          </w:p>
          <w:p w14:paraId="258E619F">
            <w:pPr>
              <w:pStyle w:val="24"/>
              <w:spacing w:line="360" w:lineRule="auto"/>
              <w:rPr>
                <w:rFonts w:ascii="仿宋" w:hAnsi="仿宋" w:eastAsia="仿宋"/>
                <w:b/>
                <w:color w:val="auto"/>
                <w:highlight w:val="none"/>
              </w:rPr>
            </w:pPr>
            <w:r>
              <w:rPr>
                <w:rFonts w:hint="eastAsia" w:ascii="仿宋" w:hAnsi="仿宋" w:eastAsia="仿宋"/>
                <w:color w:val="auto"/>
                <w:sz w:val="21"/>
                <w:highlight w:val="none"/>
              </w:rPr>
              <w:t>▲</w:t>
            </w:r>
            <w:r>
              <w:rPr>
                <w:rFonts w:hint="eastAsia" w:ascii="仿宋" w:hAnsi="仿宋" w:eastAsia="仿宋"/>
                <w:b/>
                <w:color w:val="auto"/>
                <w:kern w:val="28"/>
                <w:sz w:val="21"/>
                <w:highlight w:val="none"/>
              </w:rPr>
              <w:t>对未提供样品或提供样品不满足采购需求实质性条件，投标无效。</w:t>
            </w:r>
          </w:p>
        </w:tc>
      </w:tr>
      <w:tr w14:paraId="10548C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1"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8C8975A">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048BBA69">
            <w:pPr>
              <w:snapToGrid w:val="0"/>
              <w:spacing w:line="360" w:lineRule="auto"/>
              <w:jc w:val="center"/>
              <w:rPr>
                <w:rFonts w:ascii="仿宋" w:hAnsi="仿宋" w:eastAsia="仿宋" w:cs="仿宋_GB2312"/>
                <w:bCs/>
                <w:color w:val="auto"/>
                <w:highlight w:val="none"/>
              </w:rPr>
            </w:pPr>
            <w:r>
              <w:rPr>
                <w:rFonts w:hint="eastAsia" w:ascii="仿宋" w:hAnsi="仿宋" w:eastAsia="仿宋" w:cs="仿宋_GB2312"/>
                <w:b/>
                <w:color w:val="auto"/>
                <w:highlight w:val="none"/>
              </w:rPr>
              <w:t>演示</w:t>
            </w:r>
          </w:p>
        </w:tc>
        <w:tc>
          <w:tcPr>
            <w:tcW w:w="6249" w:type="dxa"/>
            <w:tcBorders>
              <w:top w:val="single" w:color="000000" w:sz="8" w:space="0"/>
              <w:left w:val="single" w:color="000000" w:sz="2" w:space="0"/>
              <w:bottom w:val="single" w:color="000000" w:sz="8" w:space="0"/>
              <w:right w:val="single" w:color="000000" w:sz="8" w:space="0"/>
            </w:tcBorders>
            <w:vAlign w:val="center"/>
          </w:tcPr>
          <w:p w14:paraId="0162D61E">
            <w:pPr>
              <w:spacing w:line="360" w:lineRule="auto"/>
              <w:rPr>
                <w:rFonts w:ascii="仿宋" w:hAnsi="仿宋" w:eastAsia="仿宋" w:cs="宋体"/>
                <w:color w:val="auto"/>
                <w:highlight w:val="none"/>
              </w:rPr>
            </w:pPr>
            <w:r>
              <w:rPr>
                <w:rFonts w:hint="eastAsia" w:ascii="仿宋" w:hAnsi="仿宋" w:eastAsia="仿宋" w:cs="宋体"/>
                <w:color w:val="auto"/>
                <w:highlight w:val="none"/>
              </w:rPr>
              <w:sym w:font="Wingdings" w:char="00A8"/>
            </w:r>
            <w:r>
              <w:rPr>
                <w:rFonts w:hint="eastAsia" w:ascii="仿宋" w:hAnsi="仿宋" w:eastAsia="仿宋" w:cs="宋体"/>
                <w:color w:val="auto"/>
                <w:highlight w:val="none"/>
              </w:rPr>
              <w:t>A不组织。</w:t>
            </w:r>
          </w:p>
          <w:p w14:paraId="41A61985">
            <w:pPr>
              <w:spacing w:line="360" w:lineRule="auto"/>
              <w:rPr>
                <w:rFonts w:ascii="仿宋" w:hAnsi="仿宋" w:eastAsia="仿宋" w:cs="宋体"/>
                <w:color w:val="auto"/>
                <w:highlight w:val="none"/>
              </w:rPr>
            </w:pPr>
            <w:r>
              <w:rPr>
                <w:rFonts w:hint="eastAsia" w:ascii="仿宋" w:hAnsi="仿宋" w:eastAsia="仿宋" w:cs="宋体"/>
                <w:color w:val="auto"/>
                <w:highlight w:val="none"/>
              </w:rPr>
              <w:sym w:font="Wingdings" w:char="00FE"/>
            </w:r>
            <w:r>
              <w:rPr>
                <w:rFonts w:hint="eastAsia" w:ascii="仿宋" w:hAnsi="仿宋" w:eastAsia="仿宋" w:cs="宋体"/>
                <w:color w:val="auto"/>
                <w:highlight w:val="none"/>
              </w:rPr>
              <w:t>B组织。</w:t>
            </w:r>
          </w:p>
          <w:p w14:paraId="0B9959C7">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（1）在评标时安排每个投标人进行演示。每个投标人时间不超过</w:t>
            </w:r>
            <w:r>
              <w:rPr>
                <w:rFonts w:hint="eastAsia" w:ascii="仿宋" w:hAnsi="仿宋" w:eastAsia="仿宋" w:cs="宋体"/>
                <w:color w:val="auto"/>
                <w:highlight w:val="none"/>
                <w:u w:val="single"/>
              </w:rPr>
              <w:t>20（编制时可根据项目情况进行调整）</w:t>
            </w:r>
            <w:r>
              <w:rPr>
                <w:rFonts w:hint="eastAsia" w:ascii="仿宋" w:hAnsi="仿宋" w:eastAsia="仿宋" w:cs="宋体"/>
                <w:color w:val="auto"/>
                <w:highlight w:val="none"/>
              </w:rPr>
              <w:t>分钟，讲解次序以投标文件解密时间先后次序为准，讲解演示人员不超过</w:t>
            </w:r>
            <w:r>
              <w:rPr>
                <w:rFonts w:hint="eastAsia" w:ascii="仿宋" w:hAnsi="仿宋" w:eastAsia="仿宋" w:cs="宋体"/>
                <w:color w:val="auto"/>
                <w:highlight w:val="none"/>
                <w:u w:val="single"/>
              </w:rPr>
              <w:t>3（编制时可根据项目情况进行调整）</w:t>
            </w:r>
            <w:r>
              <w:rPr>
                <w:rFonts w:hint="eastAsia" w:ascii="仿宋" w:hAnsi="仿宋" w:eastAsia="仿宋" w:cs="宋体"/>
                <w:color w:val="auto"/>
                <w:highlight w:val="none"/>
              </w:rPr>
              <w:t>人。讲解演示结束后按要求解答评标委员会提问。</w:t>
            </w:r>
          </w:p>
          <w:p w14:paraId="007DA96B">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（2）方案讲解演示方式：</w:t>
            </w:r>
          </w:p>
          <w:p w14:paraId="7774ADFE">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现场讲解演示。现场讲解地点为</w:t>
            </w:r>
            <w:r>
              <w:rPr>
                <w:rFonts w:hint="eastAsia" w:ascii="仿宋" w:hAnsi="仿宋" w:eastAsia="仿宋" w:cs="宋体"/>
                <w:color w:val="auto"/>
                <w:kern w:val="0"/>
                <w:sz w:val="24"/>
                <w:highlight w:val="none"/>
                <w:u w:val="single"/>
              </w:rPr>
              <w:t xml:space="preserve"> </w:t>
            </w:r>
            <w:r>
              <w:rPr>
                <w:rFonts w:hint="eastAsia" w:ascii="仿宋" w:hAnsi="仿宋" w:eastAsia="仿宋" w:cs="仿宋"/>
                <w:color w:val="auto"/>
                <w:sz w:val="24"/>
                <w:szCs w:val="28"/>
                <w:highlight w:val="none"/>
                <w:u w:val="single"/>
              </w:rPr>
              <w:t>绍兴市柯桥区纺都路1066号</w:t>
            </w:r>
            <w:r>
              <w:rPr>
                <w:rFonts w:hint="eastAsia" w:ascii="仿宋" w:hAnsi="仿宋" w:eastAsia="仿宋"/>
                <w:color w:val="auto"/>
                <w:sz w:val="24"/>
                <w:szCs w:val="28"/>
                <w:highlight w:val="none"/>
                <w:u w:val="single"/>
              </w:rPr>
              <w:t>柯桥区公共资源交易中心三楼</w:t>
            </w:r>
            <w:r>
              <w:rPr>
                <w:rFonts w:hint="eastAsia" w:ascii="仿宋" w:hAnsi="仿宋" w:eastAsia="仿宋"/>
                <w:color w:val="auto"/>
                <w:sz w:val="24"/>
                <w:szCs w:val="28"/>
                <w:highlight w:val="none"/>
                <w:u w:val="single"/>
                <w:lang w:val="en-US" w:eastAsia="zh-CN"/>
              </w:rPr>
              <w:t xml:space="preserve">1号开标室 </w:t>
            </w:r>
            <w:r>
              <w:rPr>
                <w:rFonts w:hint="eastAsia" w:ascii="仿宋" w:hAnsi="仿宋" w:eastAsia="仿宋" w:cs="宋体"/>
                <w:color w:val="auto"/>
                <w:highlight w:val="none"/>
              </w:rPr>
              <w:t>，讲解演示所用电脑等设备由投标人自备。现场讲解演示人员须携带授权委托书及身份证明，委托书格式详见招标文件格式范例附件1，否则不得讲解演示。</w:t>
            </w:r>
          </w:p>
          <w:p w14:paraId="6563A4F9">
            <w:pPr>
              <w:snapToGrid w:val="0"/>
              <w:spacing w:line="360" w:lineRule="auto"/>
              <w:rPr>
                <w:rFonts w:ascii="仿宋" w:hAnsi="仿宋" w:eastAsia="仿宋" w:cs="仿宋_GB2312"/>
                <w:b/>
                <w:color w:val="auto"/>
                <w:highlight w:val="none"/>
                <w:lang w:val="zh-CN"/>
              </w:rPr>
            </w:pPr>
            <w:r>
              <w:rPr>
                <w:rFonts w:hint="eastAsia" w:ascii="仿宋" w:hAnsi="仿宋" w:eastAsia="仿宋" w:cs="宋体"/>
                <w:color w:val="auto"/>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8CAE0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F4378EE">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75E1BF4">
            <w:pPr>
              <w:snapToGrid w:val="0"/>
              <w:spacing w:line="360" w:lineRule="auto"/>
              <w:jc w:val="center"/>
              <w:rPr>
                <w:rFonts w:ascii="仿宋" w:hAnsi="仿宋" w:eastAsia="仿宋" w:cs="仿宋_GB2312"/>
                <w:b/>
                <w:color w:val="auto"/>
                <w:highlight w:val="none"/>
              </w:rPr>
            </w:pPr>
            <w:r>
              <w:rPr>
                <w:rFonts w:hint="eastAsia" w:ascii="仿宋" w:hAnsi="仿宋" w:eastAsia="仿宋" w:cs="宋体"/>
                <w:b/>
                <w:color w:val="auto"/>
                <w:highlight w:val="none"/>
              </w:rPr>
              <w:t>节能产品、环境标志产品</w:t>
            </w:r>
          </w:p>
        </w:tc>
        <w:tc>
          <w:tcPr>
            <w:tcW w:w="6249" w:type="dxa"/>
            <w:tcBorders>
              <w:top w:val="single" w:color="000000" w:sz="8" w:space="0"/>
              <w:left w:val="single" w:color="000000" w:sz="2" w:space="0"/>
              <w:bottom w:val="single" w:color="000000" w:sz="8" w:space="0"/>
              <w:right w:val="single" w:color="000000" w:sz="8" w:space="0"/>
            </w:tcBorders>
            <w:vAlign w:val="center"/>
          </w:tcPr>
          <w:p w14:paraId="7D88999E">
            <w:pPr>
              <w:snapToGrid w:val="0"/>
              <w:spacing w:line="360" w:lineRule="auto"/>
              <w:rPr>
                <w:rFonts w:ascii="仿宋" w:hAnsi="仿宋" w:eastAsia="仿宋"/>
                <w:color w:val="auto"/>
                <w:highlight w:val="none"/>
              </w:rPr>
            </w:pPr>
            <w:r>
              <w:rPr>
                <w:rFonts w:hint="eastAsia" w:ascii="仿宋" w:hAnsi="仿宋" w:eastAsia="仿宋" w:cs="宋体"/>
                <w:color w:val="auto"/>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6A770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2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1217F89">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90B8B5B">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采购代理机构代理费用</w:t>
            </w:r>
          </w:p>
        </w:tc>
        <w:tc>
          <w:tcPr>
            <w:tcW w:w="6249" w:type="dxa"/>
            <w:tcBorders>
              <w:top w:val="single" w:color="000000" w:sz="8" w:space="0"/>
              <w:left w:val="single" w:color="000000" w:sz="2" w:space="0"/>
              <w:bottom w:val="single" w:color="000000" w:sz="8" w:space="0"/>
              <w:right w:val="single" w:color="000000" w:sz="8" w:space="0"/>
            </w:tcBorders>
            <w:vAlign w:val="center"/>
          </w:tcPr>
          <w:p w14:paraId="4975AEB4">
            <w:pPr>
              <w:snapToGrid w:val="0"/>
              <w:spacing w:line="360" w:lineRule="auto"/>
              <w:rPr>
                <w:rFonts w:ascii="仿宋" w:hAnsi="仿宋" w:eastAsia="仿宋"/>
                <w:color w:val="auto"/>
                <w:highlight w:val="none"/>
              </w:rPr>
            </w:pPr>
            <w:r>
              <w:rPr>
                <w:rFonts w:hint="eastAsia" w:ascii="仿宋" w:hAnsi="仿宋" w:eastAsia="仿宋"/>
                <w:color w:val="auto"/>
                <w:highlight w:val="none"/>
              </w:rPr>
              <w:t>由采购人支付</w:t>
            </w:r>
          </w:p>
        </w:tc>
      </w:tr>
      <w:tr w14:paraId="215FD5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1"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AF85EA2">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511E355">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投标</w:t>
            </w:r>
            <w:r>
              <w:rPr>
                <w:rFonts w:ascii="仿宋" w:hAnsi="仿宋" w:eastAsia="仿宋" w:cs="仿宋_GB2312"/>
                <w:b/>
                <w:color w:val="auto"/>
                <w:highlight w:val="none"/>
              </w:rPr>
              <w:t>保证金</w:t>
            </w:r>
            <w:r>
              <w:rPr>
                <w:rFonts w:hint="eastAsia" w:ascii="仿宋" w:hAnsi="仿宋" w:eastAsia="仿宋" w:cs="仿宋_GB2312"/>
                <w:b/>
                <w:color w:val="auto"/>
                <w:highlight w:val="none"/>
              </w:rPr>
              <w:t>缴纳</w:t>
            </w:r>
          </w:p>
        </w:tc>
        <w:tc>
          <w:tcPr>
            <w:tcW w:w="6249" w:type="dxa"/>
            <w:tcBorders>
              <w:top w:val="single" w:color="000000" w:sz="8" w:space="0"/>
              <w:left w:val="single" w:color="000000" w:sz="2" w:space="0"/>
              <w:bottom w:val="single" w:color="000000" w:sz="8" w:space="0"/>
              <w:right w:val="single" w:color="000000" w:sz="8" w:space="0"/>
            </w:tcBorders>
            <w:vAlign w:val="center"/>
          </w:tcPr>
          <w:p w14:paraId="664D47DF">
            <w:pPr>
              <w:pStyle w:val="14"/>
              <w:spacing w:line="360" w:lineRule="auto"/>
              <w:ind w:firstLine="0"/>
              <w:rPr>
                <w:rFonts w:ascii="仿宋" w:hAnsi="仿宋" w:eastAsia="仿宋" w:cs="仿宋_GB2312"/>
                <w:color w:val="auto"/>
                <w:highlight w:val="none"/>
              </w:rPr>
            </w:pPr>
            <w:r>
              <w:rPr>
                <w:rFonts w:hint="eastAsia" w:ascii="仿宋" w:hAnsi="仿宋" w:eastAsia="仿宋" w:cs="仿宋_GB2312"/>
                <w:color w:val="auto"/>
                <w:highlight w:val="none"/>
              </w:rPr>
              <w:t>不收取投标保证金</w:t>
            </w:r>
          </w:p>
        </w:tc>
      </w:tr>
      <w:tr w14:paraId="1AD3BE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6BFDB15">
            <w:pPr>
              <w:snapToGrid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79CAB8BF">
            <w:pPr>
              <w:snapToGrid w:val="0"/>
              <w:spacing w:line="360" w:lineRule="auto"/>
              <w:jc w:val="center"/>
              <w:rPr>
                <w:rFonts w:ascii="仿宋" w:hAnsi="仿宋" w:eastAsia="仿宋" w:cs="仿宋_GB2312"/>
                <w:b/>
                <w:color w:val="auto"/>
                <w:highlight w:val="none"/>
              </w:rPr>
            </w:pPr>
            <w:r>
              <w:rPr>
                <w:rFonts w:hint="eastAsia" w:ascii="仿宋" w:hAnsi="仿宋" w:eastAsia="仿宋" w:cs="仿宋_GB2312"/>
                <w:b/>
                <w:color w:val="auto"/>
                <w:highlight w:val="none"/>
              </w:rPr>
              <w:t>履约保证金金额</w:t>
            </w:r>
          </w:p>
        </w:tc>
        <w:tc>
          <w:tcPr>
            <w:tcW w:w="6249" w:type="dxa"/>
            <w:tcBorders>
              <w:top w:val="single" w:color="000000" w:sz="8" w:space="0"/>
              <w:left w:val="single" w:color="000000" w:sz="2" w:space="0"/>
              <w:bottom w:val="single" w:color="000000" w:sz="8" w:space="0"/>
              <w:right w:val="single" w:color="000000" w:sz="8" w:space="0"/>
            </w:tcBorders>
            <w:vAlign w:val="center"/>
          </w:tcPr>
          <w:p w14:paraId="0EB826FA">
            <w:pPr>
              <w:pStyle w:val="14"/>
              <w:spacing w:line="360" w:lineRule="auto"/>
              <w:ind w:firstLine="0"/>
              <w:rPr>
                <w:rFonts w:ascii="仿宋" w:hAnsi="仿宋" w:eastAsia="仿宋" w:cs="仿宋_GB2312"/>
                <w:color w:val="auto"/>
                <w:highlight w:val="none"/>
              </w:rPr>
            </w:pPr>
            <w:r>
              <w:rPr>
                <w:rFonts w:hint="eastAsia" w:ascii="仿宋" w:hAnsi="仿宋" w:eastAsia="仿宋" w:cs="仿宋_GB2312"/>
                <w:color w:val="auto"/>
                <w:highlight w:val="none"/>
              </w:rPr>
              <w:t>不收取履约保证金</w:t>
            </w:r>
          </w:p>
        </w:tc>
      </w:tr>
      <w:tr w14:paraId="1AC756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99E390B">
            <w:pPr>
              <w:snapToGrid w:val="0"/>
              <w:spacing w:line="360" w:lineRule="auto"/>
              <w:jc w:val="center"/>
              <w:rPr>
                <w:rFonts w:ascii="仿宋" w:hAnsi="仿宋" w:eastAsia="仿宋" w:cs="宋体"/>
                <w:color w:val="auto"/>
                <w:highlight w:val="none"/>
              </w:rPr>
            </w:pPr>
          </w:p>
          <w:p w14:paraId="688C1E9E">
            <w:pPr>
              <w:snapToGrid w:val="0"/>
              <w:spacing w:line="360" w:lineRule="auto"/>
              <w:jc w:val="center"/>
              <w:rPr>
                <w:rFonts w:ascii="仿宋" w:hAnsi="仿宋" w:eastAsia="仿宋" w:cs="仿宋_GB2312"/>
                <w:color w:val="auto"/>
                <w:highlight w:val="none"/>
              </w:rPr>
            </w:pPr>
            <w:r>
              <w:rPr>
                <w:rFonts w:hint="eastAsia" w:ascii="仿宋" w:hAnsi="仿宋" w:eastAsia="仿宋" w:cs="宋体"/>
                <w:color w:val="auto"/>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44C24D9">
            <w:pPr>
              <w:snapToGrid w:val="0"/>
              <w:spacing w:line="360" w:lineRule="auto"/>
              <w:jc w:val="center"/>
              <w:rPr>
                <w:rFonts w:ascii="仿宋" w:hAnsi="仿宋" w:eastAsia="仿宋" w:cs="仿宋_GB2312"/>
                <w:b/>
                <w:color w:val="auto"/>
                <w:highlight w:val="none"/>
              </w:rPr>
            </w:pPr>
            <w:r>
              <w:rPr>
                <w:rFonts w:hint="eastAsia" w:ascii="仿宋" w:hAnsi="仿宋" w:eastAsia="仿宋" w:cs="宋体"/>
                <w:b/>
                <w:color w:val="auto"/>
                <w:highlight w:val="none"/>
              </w:rPr>
              <w:t>中小企业信用融资</w:t>
            </w:r>
          </w:p>
        </w:tc>
        <w:tc>
          <w:tcPr>
            <w:tcW w:w="6249" w:type="dxa"/>
            <w:tcBorders>
              <w:top w:val="single" w:color="000000" w:sz="8" w:space="0"/>
              <w:left w:val="single" w:color="000000" w:sz="2" w:space="0"/>
              <w:bottom w:val="single" w:color="000000" w:sz="8" w:space="0"/>
              <w:right w:val="single" w:color="000000" w:sz="8" w:space="0"/>
            </w:tcBorders>
            <w:vAlign w:val="center"/>
          </w:tcPr>
          <w:p w14:paraId="1A775A9E">
            <w:pPr>
              <w:spacing w:line="360" w:lineRule="auto"/>
              <w:ind w:firstLine="480" w:firstLineChars="200"/>
              <w:rPr>
                <w:rFonts w:ascii="仿宋" w:hAnsi="仿宋" w:eastAsia="仿宋" w:cs="Arial"/>
                <w:b/>
                <w:color w:val="auto"/>
                <w:szCs w:val="21"/>
                <w:highlight w:val="none"/>
              </w:rPr>
            </w:pPr>
            <w:r>
              <w:rPr>
                <w:rFonts w:hint="eastAsia" w:ascii="仿宋" w:hAnsi="仿宋" w:eastAsia="仿宋" w:cs="宋体"/>
                <w:snapToGrid w:val="0"/>
                <w:color w:val="auto"/>
                <w:kern w:val="28"/>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FDB4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A9ED6CF">
            <w:pPr>
              <w:snapToGrid w:val="0"/>
              <w:spacing w:line="360" w:lineRule="auto"/>
              <w:jc w:val="center"/>
              <w:rPr>
                <w:rFonts w:ascii="仿宋" w:hAnsi="仿宋" w:eastAsia="仿宋" w:cs="仿宋_GB2312"/>
                <w:color w:val="auto"/>
                <w:highlight w:val="none"/>
              </w:rPr>
            </w:pPr>
            <w:r>
              <w:rPr>
                <w:rFonts w:hint="eastAsia" w:ascii="仿宋" w:hAnsi="仿宋" w:eastAsia="仿宋" w:cs="宋体"/>
                <w:color w:val="auto"/>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7FD7584">
            <w:pPr>
              <w:snapToGrid w:val="0"/>
              <w:spacing w:line="360" w:lineRule="auto"/>
              <w:jc w:val="center"/>
              <w:rPr>
                <w:rFonts w:ascii="仿宋" w:hAnsi="仿宋" w:eastAsia="仿宋" w:cs="仿宋_GB2312"/>
                <w:b/>
                <w:color w:val="auto"/>
                <w:highlight w:val="none"/>
              </w:rPr>
            </w:pPr>
            <w:r>
              <w:rPr>
                <w:rFonts w:hint="eastAsia" w:ascii="仿宋" w:hAnsi="仿宋" w:eastAsia="仿宋" w:cs="宋体"/>
                <w:b/>
                <w:color w:val="auto"/>
                <w:highlight w:val="none"/>
              </w:rPr>
              <w:t xml:space="preserve">备份投标文件送达地点和签收人员 </w:t>
            </w:r>
          </w:p>
        </w:tc>
        <w:tc>
          <w:tcPr>
            <w:tcW w:w="6249" w:type="dxa"/>
            <w:tcBorders>
              <w:top w:val="single" w:color="000000" w:sz="8" w:space="0"/>
              <w:left w:val="single" w:color="000000" w:sz="2" w:space="0"/>
              <w:bottom w:val="single" w:color="000000" w:sz="8" w:space="0"/>
              <w:right w:val="single" w:color="000000" w:sz="8" w:space="0"/>
            </w:tcBorders>
            <w:vAlign w:val="center"/>
          </w:tcPr>
          <w:p w14:paraId="7F7A7E27">
            <w:pPr>
              <w:pStyle w:val="24"/>
              <w:spacing w:line="360" w:lineRule="auto"/>
              <w:rPr>
                <w:rFonts w:ascii="仿宋" w:hAnsi="仿宋" w:eastAsia="仿宋"/>
                <w:b/>
                <w:color w:val="auto"/>
                <w:highlight w:val="none"/>
              </w:rPr>
            </w:pPr>
            <w:r>
              <w:rPr>
                <w:rFonts w:hint="eastAsia" w:ascii="仿宋" w:hAnsi="仿宋" w:eastAsia="仿宋" w:cs="宋体"/>
                <w:color w:val="auto"/>
                <w:kern w:val="28"/>
                <w:szCs w:val="24"/>
                <w:highlight w:val="none"/>
              </w:rPr>
              <w:t>项目实行电子投标。投标文件应按照本项目招标文件和电子交易平台的要求编制、加密，并应当在投标截止时间前在规定电子交易平台完成传输递交，投标截止时间后送达的投标文件，将被电子交易平台拒收。</w:t>
            </w:r>
            <w:r>
              <w:rPr>
                <w:rFonts w:hint="eastAsia" w:ascii="仿宋" w:hAnsi="仿宋" w:eastAsia="仿宋" w:cs="宋体"/>
                <w:color w:val="auto"/>
                <w:kern w:val="28"/>
                <w:szCs w:val="24"/>
                <w:highlight w:val="none"/>
              </w:rPr>
              <w:br w:type="textWrapping"/>
            </w:r>
            <w:r>
              <w:rPr>
                <w:rFonts w:hint="eastAsia" w:ascii="仿宋" w:hAnsi="仿宋" w:eastAsia="仿宋" w:cs="宋体"/>
                <w:color w:val="auto"/>
                <w:kern w:val="28"/>
                <w:szCs w:val="24"/>
                <w:highlight w:val="none"/>
              </w:rPr>
              <w:t>如认为需要，投标人可以选择递交备份投标文件，采用数据电文形式，以U盘或DVD光盘形式存储，并在投标截止时间前，通过邮寄方式，送达指定地点，逾期送达或未密封将被拒收。</w:t>
            </w:r>
            <w:r>
              <w:rPr>
                <w:rFonts w:hint="eastAsia" w:ascii="仿宋" w:hAnsi="仿宋" w:eastAsia="仿宋" w:cs="宋体"/>
                <w:color w:val="auto"/>
                <w:kern w:val="28"/>
                <w:szCs w:val="24"/>
                <w:highlight w:val="none"/>
              </w:rPr>
              <w:br w:type="textWrapping"/>
            </w:r>
            <w:r>
              <w:rPr>
                <w:rFonts w:hint="eastAsia" w:ascii="仿宋" w:hAnsi="仿宋" w:eastAsia="仿宋" w:cs="宋体"/>
                <w:color w:val="auto"/>
                <w:kern w:val="28"/>
                <w:szCs w:val="24"/>
                <w:highlight w:val="none"/>
              </w:rPr>
              <w:t>备份文件收件人：</w:t>
            </w:r>
            <w:r>
              <w:rPr>
                <w:rFonts w:hint="eastAsia" w:ascii="仿宋" w:hAnsi="仿宋" w:eastAsia="仿宋"/>
                <w:color w:val="auto"/>
                <w:szCs w:val="28"/>
                <w:highlight w:val="none"/>
              </w:rPr>
              <w:t>来蒙恩</w:t>
            </w:r>
            <w:r>
              <w:rPr>
                <w:rFonts w:hint="eastAsia" w:ascii="仿宋" w:hAnsi="仿宋" w:eastAsia="仿宋" w:cs="宋体"/>
                <w:color w:val="auto"/>
                <w:kern w:val="28"/>
                <w:szCs w:val="24"/>
                <w:highlight w:val="none"/>
              </w:rPr>
              <w:t>，联系方式：</w:t>
            </w:r>
            <w:r>
              <w:rPr>
                <w:rFonts w:hint="eastAsia" w:ascii="仿宋" w:hAnsi="仿宋" w:eastAsia="仿宋"/>
                <w:color w:val="auto"/>
                <w:szCs w:val="28"/>
                <w:highlight w:val="none"/>
              </w:rPr>
              <w:t>15068998061</w:t>
            </w:r>
            <w:r>
              <w:rPr>
                <w:rFonts w:hint="eastAsia" w:ascii="仿宋" w:hAnsi="仿宋" w:eastAsia="仿宋" w:cs="宋体"/>
                <w:color w:val="auto"/>
                <w:kern w:val="28"/>
                <w:szCs w:val="24"/>
                <w:highlight w:val="none"/>
              </w:rPr>
              <w:t>，收件地址：</w:t>
            </w:r>
            <w:r>
              <w:rPr>
                <w:rFonts w:hint="eastAsia" w:ascii="仿宋" w:hAnsi="仿宋" w:eastAsia="仿宋" w:cs="仿宋"/>
                <w:color w:val="auto"/>
                <w:szCs w:val="28"/>
                <w:highlight w:val="none"/>
              </w:rPr>
              <w:t>绍兴市柯桥区纺都路1066号</w:t>
            </w:r>
            <w:r>
              <w:rPr>
                <w:rFonts w:hint="eastAsia" w:ascii="仿宋" w:hAnsi="仿宋" w:eastAsia="仿宋"/>
                <w:color w:val="auto"/>
                <w:szCs w:val="28"/>
                <w:highlight w:val="none"/>
              </w:rPr>
              <w:t>柯桥区公共资源交易中心</w:t>
            </w:r>
            <w:r>
              <w:rPr>
                <w:rFonts w:hint="eastAsia" w:ascii="仿宋" w:hAnsi="仿宋" w:eastAsia="仿宋" w:cs="宋体"/>
                <w:color w:val="auto"/>
                <w:kern w:val="28"/>
                <w:szCs w:val="24"/>
                <w:highlight w:val="none"/>
              </w:rPr>
              <w:t>。（收件时间：</w:t>
            </w:r>
            <w:r>
              <w:rPr>
                <w:rFonts w:hint="eastAsia" w:ascii="仿宋" w:hAnsi="仿宋" w:eastAsia="仿宋" w:cs="宋体"/>
                <w:color w:val="auto"/>
                <w:kern w:val="28"/>
                <w:highlight w:val="none"/>
                <w:u w:val="single"/>
              </w:rPr>
              <w:t>2025年  月  日9:30 前</w:t>
            </w:r>
            <w:r>
              <w:rPr>
                <w:rFonts w:hint="eastAsia" w:ascii="仿宋" w:hAnsi="仿宋" w:eastAsia="仿宋" w:cs="宋体"/>
                <w:color w:val="auto"/>
                <w:kern w:val="28"/>
                <w:szCs w:val="24"/>
                <w:highlight w:val="none"/>
              </w:rPr>
              <w:t>，推荐使用中国邮政速递和顺丰快递,快递人员投递时须同时登记邮寄单号等相关信息。）</w:t>
            </w:r>
          </w:p>
        </w:tc>
      </w:tr>
    </w:tbl>
    <w:p w14:paraId="1B4FF292">
      <w:pPr>
        <w:spacing w:line="360" w:lineRule="auto"/>
        <w:ind w:firstLine="480" w:firstLineChars="200"/>
        <w:rPr>
          <w:rFonts w:ascii="仿宋" w:hAnsi="仿宋" w:eastAsia="仿宋"/>
          <w:b/>
          <w:color w:val="auto"/>
          <w:highlight w:val="none"/>
        </w:rPr>
      </w:pPr>
      <w:r>
        <w:rPr>
          <w:rFonts w:hint="eastAsia" w:ascii="仿宋" w:hAnsi="仿宋" w:eastAsia="仿宋"/>
          <w:b/>
          <w:color w:val="auto"/>
          <w:highlight w:val="none"/>
        </w:rPr>
        <w:t>注</w:t>
      </w:r>
      <w:r>
        <w:rPr>
          <w:rFonts w:ascii="仿宋" w:hAnsi="仿宋" w:eastAsia="仿宋"/>
          <w:b/>
          <w:color w:val="auto"/>
          <w:highlight w:val="none"/>
        </w:rPr>
        <w:t>：</w:t>
      </w:r>
      <w:r>
        <w:rPr>
          <w:rFonts w:hint="eastAsia" w:ascii="仿宋" w:hAnsi="仿宋" w:eastAsia="仿宋"/>
          <w:b/>
          <w:color w:val="auto"/>
          <w:highlight w:val="none"/>
        </w:rPr>
        <w:t>本项目</w:t>
      </w:r>
      <w:r>
        <w:rPr>
          <w:rFonts w:ascii="仿宋" w:hAnsi="仿宋" w:eastAsia="仿宋"/>
          <w:b/>
          <w:color w:val="auto"/>
          <w:highlight w:val="none"/>
        </w:rPr>
        <w:t>通用</w:t>
      </w:r>
      <w:r>
        <w:rPr>
          <w:rFonts w:hint="eastAsia" w:ascii="仿宋" w:hAnsi="仿宋" w:eastAsia="仿宋"/>
          <w:b/>
          <w:color w:val="auto"/>
          <w:highlight w:val="none"/>
        </w:rPr>
        <w:t>总则</w:t>
      </w:r>
      <w:r>
        <w:rPr>
          <w:rFonts w:ascii="仿宋" w:hAnsi="仿宋" w:eastAsia="仿宋"/>
          <w:b/>
          <w:color w:val="auto"/>
          <w:highlight w:val="none"/>
        </w:rPr>
        <w:t>条款与前附表等专</w:t>
      </w:r>
      <w:r>
        <w:rPr>
          <w:rFonts w:hint="eastAsia" w:ascii="仿宋" w:hAnsi="仿宋" w:eastAsia="仿宋"/>
          <w:b/>
          <w:color w:val="auto"/>
          <w:highlight w:val="none"/>
        </w:rPr>
        <w:t>用</w:t>
      </w:r>
      <w:r>
        <w:rPr>
          <w:rFonts w:ascii="仿宋" w:hAnsi="仿宋" w:eastAsia="仿宋"/>
          <w:b/>
          <w:color w:val="auto"/>
          <w:highlight w:val="none"/>
        </w:rPr>
        <w:t>特别规定有冲突之处，以专用条款（</w:t>
      </w:r>
      <w:r>
        <w:rPr>
          <w:rFonts w:hint="eastAsia" w:ascii="仿宋" w:hAnsi="仿宋" w:eastAsia="仿宋"/>
          <w:b/>
          <w:color w:val="auto"/>
          <w:highlight w:val="none"/>
        </w:rPr>
        <w:t>特别规定</w:t>
      </w:r>
      <w:r>
        <w:rPr>
          <w:rFonts w:ascii="仿宋" w:hAnsi="仿宋" w:eastAsia="仿宋"/>
          <w:b/>
          <w:color w:val="auto"/>
          <w:highlight w:val="none"/>
        </w:rPr>
        <w:t>）</w:t>
      </w:r>
      <w:r>
        <w:rPr>
          <w:rFonts w:hint="eastAsia" w:ascii="仿宋" w:hAnsi="仿宋" w:eastAsia="仿宋"/>
          <w:b/>
          <w:color w:val="auto"/>
          <w:highlight w:val="none"/>
        </w:rPr>
        <w:t>为准</w:t>
      </w:r>
    </w:p>
    <w:p w14:paraId="69931EF9">
      <w:pPr>
        <w:spacing w:line="360" w:lineRule="auto"/>
        <w:ind w:firstLine="3832" w:firstLineChars="1197"/>
        <w:outlineLvl w:val="0"/>
        <w:rPr>
          <w:rFonts w:ascii="仿宋" w:hAnsi="仿宋" w:eastAsia="仿宋" w:cs="仿宋_GB2312"/>
          <w:b/>
          <w:color w:val="auto"/>
          <w:sz w:val="32"/>
          <w:szCs w:val="20"/>
          <w:highlight w:val="none"/>
        </w:rPr>
      </w:pPr>
      <w:r>
        <w:rPr>
          <w:rFonts w:ascii="仿宋" w:hAnsi="仿宋" w:eastAsia="仿宋" w:cs="仿宋_GB2312"/>
          <w:b/>
          <w:color w:val="auto"/>
          <w:sz w:val="32"/>
          <w:szCs w:val="20"/>
          <w:highlight w:val="none"/>
        </w:rPr>
        <w:br w:type="page"/>
      </w:r>
      <w:bookmarkEnd w:id="11"/>
      <w:bookmarkStart w:id="40" w:name="第三部分"/>
      <w:bookmarkStart w:id="41" w:name="_Toc164416483"/>
      <w:r>
        <w:rPr>
          <w:rFonts w:hint="eastAsia" w:ascii="仿宋" w:hAnsi="仿宋" w:eastAsia="仿宋" w:cs="仿宋_GB2312"/>
          <w:b/>
          <w:color w:val="auto"/>
          <w:sz w:val="32"/>
          <w:szCs w:val="20"/>
          <w:highlight w:val="none"/>
        </w:rPr>
        <w:t>一、总则</w:t>
      </w:r>
    </w:p>
    <w:p w14:paraId="6A10A9FD">
      <w:pPr>
        <w:snapToGrid w:val="0"/>
        <w:spacing w:line="360" w:lineRule="auto"/>
        <w:ind w:firstLine="480" w:firstLineChars="200"/>
        <w:outlineLvl w:val="1"/>
        <w:rPr>
          <w:rFonts w:ascii="仿宋" w:hAnsi="仿宋" w:eastAsia="仿宋"/>
          <w:b/>
          <w:color w:val="auto"/>
          <w:highlight w:val="none"/>
        </w:rPr>
      </w:pPr>
      <w:r>
        <w:rPr>
          <w:rFonts w:hint="eastAsia" w:ascii="仿宋" w:hAnsi="仿宋" w:eastAsia="仿宋"/>
          <w:b/>
          <w:color w:val="auto"/>
          <w:highlight w:val="none"/>
        </w:rPr>
        <w:t>1.</w:t>
      </w:r>
      <w:r>
        <w:rPr>
          <w:rFonts w:ascii="仿宋" w:hAnsi="仿宋" w:eastAsia="仿宋"/>
          <w:b/>
          <w:color w:val="auto"/>
          <w:highlight w:val="none"/>
        </w:rPr>
        <w:t xml:space="preserve"> 适用范围</w:t>
      </w:r>
    </w:p>
    <w:p w14:paraId="5D4CEE0B">
      <w:pPr>
        <w:snapToGrid w:val="0"/>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本招标文件适用于该项目的招标、投标、开标、资格审查及信用信息查询、评标、定标、合同、验收等行为（法律、法规另有规定的，从其规定）。</w:t>
      </w:r>
    </w:p>
    <w:p w14:paraId="57B34449">
      <w:pPr>
        <w:spacing w:line="360" w:lineRule="auto"/>
        <w:ind w:firstLine="480" w:firstLineChars="200"/>
        <w:outlineLvl w:val="0"/>
        <w:rPr>
          <w:rFonts w:ascii="仿宋" w:hAnsi="仿宋" w:eastAsia="仿宋" w:cs="仿宋_GB2312"/>
          <w:b/>
          <w:color w:val="auto"/>
          <w:highlight w:val="none"/>
        </w:rPr>
      </w:pPr>
      <w:r>
        <w:rPr>
          <w:rFonts w:hint="eastAsia" w:ascii="仿宋" w:hAnsi="仿宋" w:eastAsia="仿宋" w:cs="仿宋_GB2312"/>
          <w:b/>
          <w:color w:val="auto"/>
          <w:highlight w:val="none"/>
        </w:rPr>
        <w:t>2.定义</w:t>
      </w:r>
    </w:p>
    <w:p w14:paraId="7A004ACB">
      <w:pPr>
        <w:spacing w:line="360" w:lineRule="auto"/>
        <w:ind w:firstLine="480" w:firstLineChars="200"/>
        <w:rPr>
          <w:rFonts w:ascii="仿宋" w:hAnsi="仿宋" w:eastAsia="仿宋"/>
          <w:color w:val="auto"/>
          <w:highlight w:val="none"/>
        </w:rPr>
      </w:pPr>
      <w:r>
        <w:rPr>
          <w:rFonts w:ascii="仿宋" w:hAnsi="仿宋" w:eastAsia="仿宋"/>
          <w:color w:val="auto"/>
          <w:highlight w:val="none"/>
        </w:rPr>
        <w:t xml:space="preserve">2.1 </w:t>
      </w:r>
      <w:r>
        <w:rPr>
          <w:rFonts w:hint="eastAsia" w:ascii="仿宋" w:hAnsi="仿宋" w:eastAsia="仿宋"/>
          <w:color w:val="auto"/>
          <w:highlight w:val="none"/>
        </w:rPr>
        <w:t>“采购人”系指招标公告中载明的本项目的采购人。</w:t>
      </w:r>
    </w:p>
    <w:p w14:paraId="56DBAB2C">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2.2“采购代理机构”系指招标公告中载明的本项目的采购代理机构。</w:t>
      </w:r>
    </w:p>
    <w:p w14:paraId="2B1AEC5E">
      <w:pPr>
        <w:spacing w:line="360" w:lineRule="auto"/>
        <w:ind w:firstLine="480" w:firstLineChars="200"/>
        <w:rPr>
          <w:rFonts w:ascii="仿宋" w:hAnsi="仿宋" w:eastAsia="仿宋"/>
          <w:color w:val="auto"/>
          <w:highlight w:val="none"/>
        </w:rPr>
      </w:pPr>
      <w:r>
        <w:rPr>
          <w:rFonts w:ascii="仿宋" w:hAnsi="仿宋" w:eastAsia="仿宋"/>
          <w:color w:val="auto"/>
          <w:highlight w:val="none"/>
        </w:rPr>
        <w:t>2.</w:t>
      </w:r>
      <w:r>
        <w:rPr>
          <w:rFonts w:hint="eastAsia" w:ascii="仿宋" w:hAnsi="仿宋" w:eastAsia="仿宋"/>
          <w:color w:val="auto"/>
          <w:highlight w:val="none"/>
        </w:rPr>
        <w:t>3“投标人”系指是指响应招标、参加投标竞争的法人、其他组织或者自然人。</w:t>
      </w:r>
    </w:p>
    <w:p w14:paraId="48597915">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2.4“负责人”系指法人企业的法定负责人，或其他组织为</w:t>
      </w:r>
      <w:r>
        <w:rPr>
          <w:rFonts w:ascii="仿宋" w:hAnsi="仿宋" w:eastAsia="仿宋"/>
          <w:color w:val="auto"/>
          <w:highlight w:val="none"/>
        </w:rPr>
        <w:t>法律、行政法规规定代表单位行使职权的主要负责人</w:t>
      </w:r>
      <w:r>
        <w:rPr>
          <w:rFonts w:hint="eastAsia" w:ascii="仿宋" w:hAnsi="仿宋" w:eastAsia="仿宋"/>
          <w:color w:val="auto"/>
          <w:highlight w:val="none"/>
        </w:rPr>
        <w:t>，或自然人本人。</w:t>
      </w:r>
    </w:p>
    <w:p w14:paraId="399DF9A8">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2.5“电子签名”系指数据电文中以电子形式所含、所附用于识别签名人身份并表明签名人认可其中内容的数据；“公章”系指单位法定名称章。</w:t>
      </w:r>
    </w:p>
    <w:p w14:paraId="46045E39">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2.6“电子交易平台”系指本项目政府采购活动所依托的政府采购云平台（https://www.zcygov.cn/）。</w:t>
      </w:r>
    </w:p>
    <w:p w14:paraId="5B4DF4C6">
      <w:pPr>
        <w:spacing w:line="360" w:lineRule="auto"/>
        <w:ind w:firstLine="480" w:firstLineChars="200"/>
        <w:rPr>
          <w:rFonts w:ascii="仿宋" w:hAnsi="仿宋" w:eastAsia="仿宋"/>
          <w:color w:val="auto"/>
          <w:highlight w:val="none"/>
        </w:rPr>
      </w:pPr>
      <w:r>
        <w:rPr>
          <w:rFonts w:hint="eastAsia" w:ascii="仿宋" w:hAnsi="仿宋" w:eastAsia="仿宋" w:cs="宋体"/>
          <w:color w:val="auto"/>
          <w:highlight w:val="none"/>
        </w:rPr>
        <w:t>2.7 “▲” 系指实质性要求条款，“</w:t>
      </w:r>
      <w:r>
        <w:rPr>
          <w:rFonts w:ascii="Wingdings" w:hAnsi="Wingdings" w:cs="宋体"/>
          <w:color w:val="auto"/>
          <w:highlight w:val="none"/>
        </w:rPr>
        <w:t></w:t>
      </w:r>
      <w:r>
        <w:rPr>
          <w:rFonts w:hint="eastAsia" w:ascii="仿宋" w:hAnsi="仿宋" w:eastAsia="仿宋" w:cs="宋体"/>
          <w:color w:val="auto"/>
          <w:highlight w:val="none"/>
        </w:rPr>
        <w:t>” 系指适用本项目的要求，“☐” 系指不适用本项目的要求，</w:t>
      </w:r>
      <w:r>
        <w:rPr>
          <w:rFonts w:hint="eastAsia" w:ascii="仿宋" w:hAnsi="仿宋" w:eastAsia="仿宋"/>
          <w:color w:val="auto"/>
          <w:highlight w:val="none"/>
        </w:rPr>
        <w:t>“★”系产品采购项目中单一产品或核心产品。</w:t>
      </w:r>
    </w:p>
    <w:p w14:paraId="05FDF46D">
      <w:pPr>
        <w:spacing w:line="360" w:lineRule="auto"/>
        <w:ind w:firstLine="480" w:firstLineChars="200"/>
        <w:rPr>
          <w:rFonts w:ascii="仿宋" w:hAnsi="仿宋" w:eastAsia="仿宋"/>
          <w:b/>
          <w:color w:val="auto"/>
          <w:highlight w:val="none"/>
        </w:rPr>
      </w:pPr>
      <w:r>
        <w:rPr>
          <w:rFonts w:hint="eastAsia" w:ascii="仿宋" w:hAnsi="仿宋" w:eastAsia="仿宋"/>
          <w:b/>
          <w:color w:val="auto"/>
          <w:highlight w:val="none"/>
        </w:rPr>
        <w:t>3.采购项目需要落实的政府采购政策</w:t>
      </w:r>
    </w:p>
    <w:p w14:paraId="44A97B99">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宋体"/>
          <w:color w:val="auto"/>
          <w:highlight w:val="none"/>
        </w:rPr>
        <w:t>优先采购向我国企业转让技术、与我国企业签订消化吸收再创新方案的供应商的进口产品。</w:t>
      </w:r>
    </w:p>
    <w:p w14:paraId="6EC3D724">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3.2 支持绿色发展</w:t>
      </w:r>
    </w:p>
    <w:p w14:paraId="1DD37D75">
      <w:pPr>
        <w:spacing w:line="360" w:lineRule="auto"/>
        <w:ind w:firstLine="480" w:firstLineChars="200"/>
        <w:rPr>
          <w:rFonts w:ascii="仿宋" w:hAnsi="仿宋" w:eastAsia="仿宋"/>
          <w:b/>
          <w:color w:val="auto"/>
          <w:highlight w:val="none"/>
        </w:rPr>
      </w:pPr>
      <w:r>
        <w:rPr>
          <w:rFonts w:hint="eastAsia" w:ascii="仿宋" w:hAnsi="仿宋" w:eastAsia="仿宋"/>
          <w:b/>
          <w:color w:val="auto"/>
          <w:highlight w:val="none"/>
        </w:rPr>
        <w:t>3.2.1根据财政部、发展改革委、生态环境部、市场监管总局《关于调整优化节能产品、环境标志产品政府采购执行机制的通知》财库〔2019〕9号，政府采购节能产品、环境标志产品实施品目清单管理。本项目采购产品属于政府强制采购节能品目清单的（详见《关于印发节能产品政府采购品目清单的通知》财库〔2019〕19号），投标人所投产品须为节能产品并提供该产品所在的节能产品政府采购清单页及国家确定的认证机构出具的、处于有效期之内节能产品认证证书或规定网站证书查询截图。</w:t>
      </w:r>
    </w:p>
    <w:p w14:paraId="12865986">
      <w:pPr>
        <w:spacing w:line="360" w:lineRule="auto"/>
        <w:ind w:firstLine="482" w:firstLineChars="200"/>
        <w:rPr>
          <w:rFonts w:ascii="宋体" w:hAnsi="宋体" w:cs="宋体"/>
          <w:color w:val="auto"/>
          <w:highlight w:val="none"/>
        </w:rPr>
      </w:pPr>
      <w:r>
        <w:rPr>
          <w:rFonts w:hint="eastAsia" w:ascii="宋体" w:hAnsi="宋体" w:cs="宋体"/>
          <w:b/>
          <w:color w:val="auto"/>
          <w:highlight w:val="none"/>
        </w:rPr>
        <w:t>▲采购人拟采购的产品属于政府强制采购的节能产品品目清单范围的，投标人相应的投标产品未获得国家确定的认证机构出具的、处于有效期之内的节能产品认证证书的，投标无效。</w:t>
      </w:r>
    </w:p>
    <w:p w14:paraId="241A809E">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3.2.2投标人提供产品如是节能（环境标志）产品，应当优先</w:t>
      </w:r>
      <w:r>
        <w:rPr>
          <w:rFonts w:ascii="仿宋" w:hAnsi="仿宋" w:eastAsia="仿宋"/>
          <w:color w:val="auto"/>
          <w:highlight w:val="none"/>
        </w:rPr>
        <w:t>提供《</w:t>
      </w:r>
      <w:r>
        <w:rPr>
          <w:rFonts w:hint="eastAsia" w:ascii="仿宋" w:hAnsi="仿宋" w:eastAsia="仿宋"/>
          <w:color w:val="auto"/>
          <w:highlight w:val="none"/>
        </w:rPr>
        <w:t>关于印发环境标志产品政府采购品目清单的通知</w:t>
      </w:r>
      <w:r>
        <w:rPr>
          <w:rFonts w:ascii="仿宋" w:hAnsi="仿宋" w:eastAsia="仿宋"/>
          <w:color w:val="auto"/>
          <w:highlight w:val="none"/>
        </w:rPr>
        <w:t>》</w:t>
      </w:r>
      <w:r>
        <w:rPr>
          <w:rFonts w:hint="eastAsia" w:ascii="仿宋" w:hAnsi="仿宋" w:eastAsia="仿宋"/>
          <w:color w:val="auto"/>
          <w:highlight w:val="none"/>
        </w:rPr>
        <w:t>财库〔2019〕</w:t>
      </w:r>
      <w:r>
        <w:rPr>
          <w:rFonts w:ascii="仿宋" w:hAnsi="仿宋" w:eastAsia="仿宋"/>
          <w:color w:val="auto"/>
          <w:highlight w:val="none"/>
        </w:rPr>
        <w:t>18</w:t>
      </w:r>
      <w:r>
        <w:rPr>
          <w:rFonts w:hint="eastAsia" w:ascii="仿宋" w:hAnsi="仿宋" w:eastAsia="仿宋"/>
          <w:color w:val="auto"/>
          <w:highlight w:val="none"/>
        </w:rPr>
        <w:t>号和《关于印发节能产品政府采购品目清单的通知》财库〔2019〕19号）内</w:t>
      </w:r>
      <w:r>
        <w:rPr>
          <w:rFonts w:ascii="仿宋" w:hAnsi="仿宋" w:eastAsia="仿宋"/>
          <w:color w:val="auto"/>
          <w:highlight w:val="none"/>
        </w:rPr>
        <w:t>产品，</w:t>
      </w:r>
      <w:r>
        <w:rPr>
          <w:rFonts w:hint="eastAsia" w:ascii="仿宋" w:hAnsi="仿宋" w:eastAsia="仿宋"/>
          <w:color w:val="auto"/>
          <w:highlight w:val="none"/>
        </w:rPr>
        <w:t>涉及项目</w:t>
      </w:r>
      <w:r>
        <w:rPr>
          <w:rFonts w:ascii="仿宋" w:hAnsi="仿宋" w:eastAsia="仿宋"/>
          <w:color w:val="auto"/>
          <w:highlight w:val="none"/>
        </w:rPr>
        <w:t>评分条款加分</w:t>
      </w:r>
      <w:r>
        <w:rPr>
          <w:rFonts w:hint="eastAsia" w:ascii="仿宋" w:hAnsi="仿宋" w:eastAsia="仿宋"/>
          <w:color w:val="auto"/>
          <w:highlight w:val="none"/>
        </w:rPr>
        <w:t>项</w:t>
      </w:r>
      <w:r>
        <w:rPr>
          <w:rFonts w:ascii="仿宋" w:hAnsi="仿宋" w:eastAsia="仿宋"/>
          <w:color w:val="auto"/>
          <w:highlight w:val="none"/>
        </w:rPr>
        <w:t>时，</w:t>
      </w:r>
      <w:r>
        <w:rPr>
          <w:rFonts w:hint="eastAsia" w:ascii="仿宋" w:hAnsi="仿宋" w:eastAsia="仿宋"/>
          <w:color w:val="auto"/>
          <w:highlight w:val="none"/>
        </w:rPr>
        <w:t>请</w:t>
      </w:r>
      <w:r>
        <w:rPr>
          <w:rFonts w:ascii="仿宋" w:hAnsi="仿宋" w:eastAsia="仿宋"/>
          <w:color w:val="auto"/>
          <w:highlight w:val="none"/>
        </w:rPr>
        <w:t>提</w:t>
      </w:r>
      <w:r>
        <w:rPr>
          <w:rFonts w:hint="eastAsia" w:ascii="仿宋" w:hAnsi="仿宋" w:eastAsia="仿宋"/>
          <w:color w:val="auto"/>
          <w:highlight w:val="none"/>
        </w:rPr>
        <w:t>供节能（环境标志）政府采购清单页及国家确定的认证机构出具的、处于有效期之内节能（环境标志）产品认证证书或规定网站证书查询截图。</w:t>
      </w:r>
    </w:p>
    <w:p w14:paraId="5393834F">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3.2.3参与实施政府采购节能（环境标志）产品认证机构详见《市场监管总局关于发布参与实施政府采购节能产品、环境标志产品认证机构名录的公告》（2019第16号）。</w:t>
      </w:r>
    </w:p>
    <w:p w14:paraId="09A8EB01">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3.2.4 纳入政府采购管理的修缮、装修类项目采购建材的，鼓励采购单位将绿色建材性能、指标等作为实质性条件纳入采购文件和合同，具体性能指标要求参考相关绿色建材政府采购需求标准。</w:t>
      </w:r>
    </w:p>
    <w:p w14:paraId="7C6B8CCE">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3.2.5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75F4A92">
      <w:pPr>
        <w:spacing w:line="360" w:lineRule="auto"/>
        <w:ind w:firstLine="480" w:firstLineChars="200"/>
        <w:rPr>
          <w:rFonts w:ascii="仿宋" w:hAnsi="仿宋" w:eastAsia="仿宋"/>
          <w:color w:val="auto"/>
          <w:highlight w:val="none"/>
        </w:rPr>
      </w:pPr>
      <w:r>
        <w:rPr>
          <w:rFonts w:hint="eastAsia" w:ascii="仿宋" w:hAnsi="仿宋" w:eastAsia="仿宋" w:cs="宋体"/>
          <w:color w:val="auto"/>
          <w:highlight w:val="none"/>
        </w:rPr>
        <w:t>3.2.6 鼓励供应商在参加政府采购过程中开展绿色设计、选择绿色材料、打造绿色制造工艺、开展绿色运输、做好废弃产品回收处理，实现产品全周期的绿色环保。</w:t>
      </w:r>
    </w:p>
    <w:p w14:paraId="22BDF9F2">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3.3支持中小企业发展</w:t>
      </w:r>
    </w:p>
    <w:p w14:paraId="021DB6C1">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3.3.1中小企业</w:t>
      </w:r>
      <w:r>
        <w:rPr>
          <w:rFonts w:ascii="仿宋" w:hAnsi="仿宋" w:eastAsia="仿宋"/>
          <w:color w:val="auto"/>
          <w:highlight w:val="none"/>
        </w:rPr>
        <w:t>，是指在中华人民共和国境内依法设立，依据国务院批准的中小企业划分标准确定的中型企业、小型企业和微型企业，但与大企业的负责人为同一人，或者与大企业存在直接控股、管理关系的除外。</w:t>
      </w:r>
    </w:p>
    <w:p w14:paraId="6340240F">
      <w:pPr>
        <w:spacing w:line="360" w:lineRule="auto"/>
        <w:ind w:firstLine="480" w:firstLineChars="200"/>
        <w:rPr>
          <w:rFonts w:ascii="仿宋" w:hAnsi="仿宋" w:eastAsia="仿宋"/>
          <w:color w:val="auto"/>
          <w:highlight w:val="none"/>
        </w:rPr>
      </w:pPr>
      <w:r>
        <w:rPr>
          <w:rFonts w:ascii="仿宋" w:hAnsi="仿宋" w:eastAsia="仿宋"/>
          <w:color w:val="auto"/>
          <w:highlight w:val="none"/>
        </w:rPr>
        <w:t>符合中小企业划分标准的个体工商户，在政府采购活动中视同中小企业。</w:t>
      </w:r>
    </w:p>
    <w:p w14:paraId="72E0A73F">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3.3.2在政府采购活动中，投标人提供的货物、工程或者服务符合下列情形的，享受中小企业扶持政策：</w:t>
      </w:r>
    </w:p>
    <w:p w14:paraId="0977584D">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（1）在货物采购项目中，货物由中小企业制造，即货物由中小企业生产且使用该中小企业商号或者注册商标；</w:t>
      </w:r>
    </w:p>
    <w:p w14:paraId="28957565">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（2）在工程采购项目中，工程由中小企业承建，即工程施工单位为中小企业；</w:t>
      </w:r>
    </w:p>
    <w:p w14:paraId="705E36D3">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（3）在服务采购项目中，服务由中小企业承接，即提供服务的人员为中小企业依照《中华人民共和国民法典》订立劳动合同的从业人员。</w:t>
      </w:r>
    </w:p>
    <w:p w14:paraId="0C1B4972">
      <w:pPr>
        <w:spacing w:line="360" w:lineRule="auto"/>
        <w:ind w:firstLine="480" w:firstLineChars="200"/>
        <w:rPr>
          <w:rFonts w:ascii="仿宋" w:hAnsi="仿宋" w:eastAsia="仿宋"/>
          <w:b/>
          <w:color w:val="auto"/>
          <w:highlight w:val="none"/>
        </w:rPr>
      </w:pPr>
      <w:r>
        <w:rPr>
          <w:rFonts w:hint="eastAsia" w:ascii="仿宋" w:hAnsi="仿宋" w:eastAsia="仿宋"/>
          <w:b/>
          <w:color w:val="auto"/>
          <w:highlight w:val="none"/>
        </w:rPr>
        <w:t>在货物采购项目中，投标人提供的货物既有中小企业制造货物，也有大型企业制造货物的，不享受中小企业扶持政策。</w:t>
      </w:r>
    </w:p>
    <w:p w14:paraId="19462D93">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以联合体形式参加政府采购活动，联合体各方均为中小企业的，联合体视同中小企业。其中，联合体各方均为小微企业的，联合体视同小微企业。</w:t>
      </w:r>
    </w:p>
    <w:p w14:paraId="3B91D77F">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b/>
          <w:color w:val="auto"/>
          <w:highlight w:val="none"/>
        </w:rPr>
        <w:t>10%</w:t>
      </w:r>
      <w:r>
        <w:rPr>
          <w:rFonts w:hint="eastAsia" w:ascii="仿宋" w:hAnsi="仿宋" w:eastAsia="仿宋"/>
          <w:color w:val="auto"/>
          <w:highlight w:val="none"/>
        </w:rPr>
        <w:t>的扣除，用扣除后的价格参与评审。</w:t>
      </w:r>
    </w:p>
    <w:p w14:paraId="443DF0A6">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3.3.4</w:t>
      </w:r>
      <w:r>
        <w:rPr>
          <w:rFonts w:ascii="仿宋" w:hAnsi="仿宋" w:eastAsia="仿宋"/>
          <w:color w:val="auto"/>
          <w:highlight w:val="none"/>
        </w:rPr>
        <w:t>接受大中型企业与小微企业组成联合体或者允许大中型企业向一家或者多家小微企业分包的</w:t>
      </w:r>
      <w:r>
        <w:rPr>
          <w:rFonts w:hint="eastAsia" w:ascii="仿宋" w:hAnsi="仿宋" w:eastAsia="仿宋"/>
          <w:color w:val="auto"/>
          <w:highlight w:val="none"/>
        </w:rPr>
        <w:t>政府</w:t>
      </w:r>
      <w:r>
        <w:rPr>
          <w:rFonts w:ascii="仿宋" w:hAnsi="仿宋" w:eastAsia="仿宋"/>
          <w:color w:val="auto"/>
          <w:highlight w:val="none"/>
        </w:rPr>
        <w:t>采购</w:t>
      </w:r>
      <w:r>
        <w:rPr>
          <w:rFonts w:hint="eastAsia" w:ascii="仿宋" w:hAnsi="仿宋" w:eastAsia="仿宋"/>
          <w:color w:val="auto"/>
          <w:highlight w:val="none"/>
        </w:rPr>
        <w:t>货物或服务</w:t>
      </w:r>
      <w:r>
        <w:rPr>
          <w:rFonts w:ascii="仿宋" w:hAnsi="仿宋" w:eastAsia="仿宋"/>
          <w:color w:val="auto"/>
          <w:highlight w:val="none"/>
        </w:rPr>
        <w:t>项目，对于联合协议或者分包意向协议约定小微企业的合同份额占到合同总金额30%以上的，对联合体或者大中型企业的报价给予</w:t>
      </w:r>
      <w:r>
        <w:rPr>
          <w:rFonts w:hint="eastAsia" w:ascii="仿宋" w:hAnsi="仿宋" w:eastAsia="仿宋"/>
          <w:b/>
          <w:bCs/>
          <w:color w:val="auto"/>
          <w:highlight w:val="none"/>
        </w:rPr>
        <w:t>4</w:t>
      </w:r>
      <w:r>
        <w:rPr>
          <w:rFonts w:ascii="仿宋" w:hAnsi="仿宋" w:eastAsia="仿宋"/>
          <w:b/>
          <w:bCs/>
          <w:color w:val="auto"/>
          <w:highlight w:val="none"/>
        </w:rPr>
        <w:t>%</w:t>
      </w:r>
      <w:r>
        <w:rPr>
          <w:rFonts w:ascii="仿宋" w:hAnsi="仿宋" w:eastAsia="仿宋"/>
          <w:color w:val="auto"/>
          <w:highlight w:val="none"/>
        </w:rPr>
        <w:t>的扣除，用扣除后的价格参加评审。组成联合体或者接受分包的小微企业与联合体内其他企业、分包企业之间存在直接控股、管理关系的，不享受价格扣除优惠政策。</w:t>
      </w:r>
    </w:p>
    <w:p w14:paraId="0A098096">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3.3.5符合《关于促进残疾人就业政府采购政策的通知》（财库〔2017〕141号）规定的条件并提供《残疾人福利性单位声明函》的残疾人福利性单位视同小型、微型企业；</w:t>
      </w:r>
    </w:p>
    <w:p w14:paraId="349D5B64">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3.3.6符合《关于政府采购支持监狱企业发展有关问题的通知》（财库[2014]68号）规定的监狱企业并提供由省级以上监狱管理局、戒毒管理局（含新疆生产建设兵团）出具的属于监狱企业证明文件的，视同为小型、微型企业。</w:t>
      </w:r>
    </w:p>
    <w:p w14:paraId="1620E27C">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3.3.7可享受中小企业扶持政策的投标人应按照招标文件格式要求提供《中小企业声明函》。</w:t>
      </w:r>
    </w:p>
    <w:p w14:paraId="1A4B3CEE">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3.3.8中小企业</w:t>
      </w:r>
      <w:r>
        <w:rPr>
          <w:rFonts w:ascii="仿宋" w:hAnsi="仿宋" w:eastAsia="仿宋"/>
          <w:color w:val="auto"/>
          <w:highlight w:val="none"/>
        </w:rPr>
        <w:t>享受扶持政策获得政府采购合同的，小微企业不得将合同分包给大中型企业，中型企业不得将合同分包给大型企业</w:t>
      </w:r>
      <w:r>
        <w:rPr>
          <w:rFonts w:hint="eastAsia" w:ascii="仿宋" w:hAnsi="仿宋" w:eastAsia="仿宋"/>
          <w:color w:val="auto"/>
          <w:highlight w:val="none"/>
        </w:rPr>
        <w:t>。</w:t>
      </w:r>
    </w:p>
    <w:p w14:paraId="4FCC6594">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3.4</w:t>
      </w:r>
      <w:r>
        <w:rPr>
          <w:rFonts w:hint="eastAsia" w:ascii="仿宋" w:hAnsi="仿宋" w:eastAsia="仿宋" w:cs="宋体"/>
          <w:bCs/>
          <w:color w:val="auto"/>
          <w:highlight w:val="none"/>
        </w:rPr>
        <w:t>支持创新发展</w:t>
      </w:r>
    </w:p>
    <w:p w14:paraId="34F9B5C1">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3.4.1 采购人优先采购被认定为首台套产品和“制造精品”的自主创新产品。</w:t>
      </w:r>
    </w:p>
    <w:p w14:paraId="7409DC61">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3.4.2首台套产品被纳入《首台套产品推广应用指导目录》之日起</w:t>
      </w:r>
      <w:r>
        <w:rPr>
          <w:rFonts w:ascii="仿宋" w:hAnsi="仿宋" w:eastAsia="仿宋" w:cs="宋体"/>
          <w:color w:val="auto"/>
          <w:highlight w:val="none"/>
        </w:rPr>
        <w:t>3</w:t>
      </w:r>
      <w:r>
        <w:rPr>
          <w:rFonts w:hint="eastAsia" w:ascii="仿宋" w:hAnsi="仿宋" w:eastAsia="仿宋" w:cs="宋体"/>
          <w:color w:val="auto"/>
          <w:highlight w:val="none"/>
        </w:rPr>
        <w:t>年内，以及产品核心技术高于国内领先水平，并具有明晰自主知识产权的“制造精品”产品，自认定之日起2年内视同已具备相应销售业绩，参加政府采购活动时业绩分值为满分。</w:t>
      </w:r>
    </w:p>
    <w:p w14:paraId="0BC8EA10">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3.5平等对待内外资企业和符合条件的破产重整企业</w:t>
      </w:r>
    </w:p>
    <w:p w14:paraId="53D6AB7C">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平等对待内外资企业和符合条件的破产重整企业，切实保障企业公平竞争，平等维护企业的合法利益。</w:t>
      </w:r>
    </w:p>
    <w:p w14:paraId="70577D2A">
      <w:pPr>
        <w:spacing w:line="360" w:lineRule="auto"/>
        <w:ind w:firstLine="480" w:firstLineChars="200"/>
        <w:rPr>
          <w:rFonts w:ascii="仿宋" w:hAnsi="仿宋" w:eastAsia="仿宋"/>
          <w:b/>
          <w:color w:val="auto"/>
          <w:highlight w:val="none"/>
        </w:rPr>
      </w:pPr>
      <w:r>
        <w:rPr>
          <w:rFonts w:hint="eastAsia" w:ascii="仿宋" w:hAnsi="仿宋" w:eastAsia="仿宋"/>
          <w:b/>
          <w:color w:val="auto"/>
          <w:highlight w:val="none"/>
        </w:rPr>
        <w:t>4. 询问、质疑、投诉</w:t>
      </w:r>
    </w:p>
    <w:p w14:paraId="3C977FA5">
      <w:pPr>
        <w:spacing w:line="360" w:lineRule="auto"/>
        <w:ind w:firstLine="480" w:firstLineChars="200"/>
        <w:rPr>
          <w:rFonts w:ascii="仿宋" w:hAnsi="仿宋" w:eastAsia="仿宋"/>
          <w:color w:val="auto"/>
          <w:highlight w:val="none"/>
          <w:lang w:val="zh-CN"/>
        </w:rPr>
      </w:pPr>
      <w:r>
        <w:rPr>
          <w:rFonts w:hint="eastAsia" w:ascii="仿宋" w:hAnsi="仿宋" w:eastAsia="仿宋"/>
          <w:color w:val="auto"/>
          <w:highlight w:val="none"/>
          <w:lang w:val="zh-CN"/>
        </w:rPr>
        <w:t>4.1在线询问、质疑、投诉</w:t>
      </w:r>
    </w:p>
    <w:p w14:paraId="02A07AEE">
      <w:pPr>
        <w:spacing w:line="360" w:lineRule="auto"/>
        <w:ind w:firstLine="480" w:firstLineChars="200"/>
        <w:rPr>
          <w:rFonts w:ascii="仿宋" w:hAnsi="仿宋" w:eastAsia="仿宋"/>
          <w:b/>
          <w:color w:val="auto"/>
          <w:highlight w:val="none"/>
        </w:rPr>
      </w:pPr>
      <w:r>
        <w:rPr>
          <w:rFonts w:hint="eastAsia" w:ascii="仿宋" w:hAnsi="仿宋" w:eastAsia="仿宋"/>
          <w:color w:val="auto"/>
          <w:highlight w:val="none"/>
          <w:lang w:val="zh-CN"/>
        </w:rPr>
        <w:t>根据《浙江省财政厅关于进一步促进政府采购公平竞争打造最优营商环境的通知》（浙财采监</w:t>
      </w:r>
      <w:r>
        <w:rPr>
          <w:rFonts w:hint="eastAsia" w:ascii="仿宋" w:hAnsi="仿宋" w:eastAsia="仿宋" w:cs="仿宋"/>
          <w:color w:val="auto"/>
          <w:highlight w:val="none"/>
        </w:rPr>
        <w:t>〔2021〕</w:t>
      </w:r>
      <w:r>
        <w:rPr>
          <w:rFonts w:hint="eastAsia" w:ascii="仿宋" w:hAnsi="仿宋" w:eastAsia="仿宋"/>
          <w:color w:val="auto"/>
          <w:highlight w:val="none"/>
          <w:lang w:val="zh-CN"/>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3A718767">
      <w:pPr>
        <w:autoSpaceDE w:val="0"/>
        <w:autoSpaceDN w:val="0"/>
        <w:spacing w:line="360" w:lineRule="auto"/>
        <w:ind w:firstLine="480" w:firstLineChars="200"/>
        <w:rPr>
          <w:rFonts w:ascii="仿宋" w:hAnsi="仿宋" w:eastAsia="仿宋" w:cs="宋体"/>
          <w:color w:val="auto"/>
          <w:highlight w:val="none"/>
          <w:lang w:val="zh-CN"/>
        </w:rPr>
      </w:pPr>
      <w:r>
        <w:rPr>
          <w:rFonts w:hint="eastAsia" w:ascii="仿宋" w:hAnsi="仿宋" w:eastAsia="仿宋" w:cs="宋体"/>
          <w:color w:val="auto"/>
          <w:highlight w:val="none"/>
          <w:lang w:val="zh-CN"/>
        </w:rPr>
        <w:t>4.2供应商询问</w:t>
      </w:r>
    </w:p>
    <w:p w14:paraId="0A56F5E1">
      <w:pPr>
        <w:autoSpaceDE w:val="0"/>
        <w:autoSpaceDN w:val="0"/>
        <w:spacing w:line="360" w:lineRule="auto"/>
        <w:ind w:firstLine="480" w:firstLineChars="200"/>
        <w:rPr>
          <w:rFonts w:ascii="仿宋" w:hAnsi="仿宋" w:eastAsia="仿宋" w:cs="宋体"/>
          <w:color w:val="auto"/>
          <w:highlight w:val="none"/>
          <w:lang w:val="zh-CN"/>
        </w:rPr>
      </w:pPr>
      <w:r>
        <w:rPr>
          <w:rFonts w:hint="eastAsia" w:ascii="仿宋" w:hAnsi="仿宋" w:eastAsia="仿宋" w:cs="宋体"/>
          <w:color w:val="auto"/>
          <w:highlight w:val="none"/>
          <w:lang w:val="zh-CN"/>
        </w:rPr>
        <w:t>供应商对政府采购活动事项有疑问的，可以提出询问，采购人或者采购代理机构应当在收到供应商询问后3个工作日内对供应商依法提出的询问作出答复，但答复的内容不得涉及商业秘密。供应商提出的询问超出采购人对采购代理机构委托授权范围的，采购代理机构应当告知供应商向采购人提出。</w:t>
      </w:r>
    </w:p>
    <w:p w14:paraId="55709BD5">
      <w:pPr>
        <w:autoSpaceDE w:val="0"/>
        <w:autoSpaceDN w:val="0"/>
        <w:spacing w:line="360" w:lineRule="auto"/>
        <w:ind w:firstLine="480" w:firstLineChars="200"/>
        <w:rPr>
          <w:rFonts w:ascii="仿宋" w:hAnsi="仿宋" w:eastAsia="仿宋" w:cs="宋体"/>
          <w:color w:val="auto"/>
          <w:highlight w:val="none"/>
          <w:lang w:val="zh-CN"/>
        </w:rPr>
      </w:pPr>
      <w:r>
        <w:rPr>
          <w:rFonts w:hint="eastAsia" w:ascii="仿宋" w:hAnsi="仿宋" w:eastAsia="仿宋" w:cs="宋体"/>
          <w:color w:val="auto"/>
          <w:highlight w:val="none"/>
          <w:lang w:val="zh-CN"/>
        </w:rPr>
        <w:t>4.3供应商质疑</w:t>
      </w:r>
    </w:p>
    <w:p w14:paraId="5742C66E">
      <w:pPr>
        <w:pStyle w:val="24"/>
        <w:spacing w:line="360" w:lineRule="auto"/>
        <w:ind w:firstLine="480" w:firstLineChars="200"/>
        <w:rPr>
          <w:rFonts w:ascii="仿宋" w:hAnsi="仿宋" w:eastAsia="仿宋" w:cs="宋体"/>
          <w:color w:val="auto"/>
          <w:szCs w:val="24"/>
          <w:highlight w:val="none"/>
        </w:rPr>
      </w:pPr>
      <w:r>
        <w:rPr>
          <w:rFonts w:hint="eastAsia" w:ascii="仿宋" w:hAnsi="仿宋" w:eastAsia="仿宋" w:cs="宋体"/>
          <w:color w:val="auto"/>
          <w:szCs w:val="24"/>
          <w:highlight w:val="none"/>
          <w:lang w:val="zh-CN"/>
        </w:rPr>
        <w:t>4.3</w:t>
      </w:r>
      <w:r>
        <w:rPr>
          <w:rFonts w:hint="eastAsia" w:ascii="仿宋" w:hAnsi="仿宋" w:eastAsia="仿宋" w:cs="宋体"/>
          <w:color w:val="auto"/>
          <w:szCs w:val="24"/>
          <w:highlight w:val="none"/>
        </w:rPr>
        <w:t>.1提出质疑的供应商应当是参与所质疑项目采购活动的供应商。潜在供应商已依法获取其可质疑的采购文件的，可以对该文件提出质疑。</w:t>
      </w:r>
    </w:p>
    <w:p w14:paraId="48E40521">
      <w:pPr>
        <w:pStyle w:val="24"/>
        <w:spacing w:line="360" w:lineRule="auto"/>
        <w:ind w:firstLine="480" w:firstLineChars="200"/>
        <w:rPr>
          <w:rFonts w:ascii="仿宋" w:hAnsi="仿宋" w:eastAsia="仿宋" w:cs="宋体"/>
          <w:color w:val="auto"/>
          <w:szCs w:val="24"/>
          <w:highlight w:val="none"/>
        </w:rPr>
      </w:pPr>
      <w:r>
        <w:rPr>
          <w:rFonts w:hint="eastAsia" w:ascii="仿宋" w:hAnsi="仿宋" w:eastAsia="仿宋" w:cs="宋体"/>
          <w:color w:val="auto"/>
          <w:szCs w:val="24"/>
          <w:highlight w:val="none"/>
          <w:lang w:val="zh-CN"/>
        </w:rPr>
        <w:t>4.3</w:t>
      </w:r>
      <w:r>
        <w:rPr>
          <w:rFonts w:hint="eastAsia" w:ascii="仿宋" w:hAnsi="仿宋" w:eastAsia="仿宋" w:cs="宋体"/>
          <w:color w:val="auto"/>
          <w:szCs w:val="24"/>
          <w:highlight w:val="none"/>
        </w:rPr>
        <w:t>.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519DB1D6">
      <w:pPr>
        <w:pStyle w:val="14"/>
        <w:spacing w:line="360" w:lineRule="auto"/>
        <w:ind w:firstLine="480" w:firstLineChars="200"/>
        <w:rPr>
          <w:rFonts w:ascii="仿宋" w:hAnsi="仿宋" w:eastAsia="仿宋" w:cs="宋体"/>
          <w:color w:val="auto"/>
          <w:kern w:val="2"/>
          <w:highlight w:val="none"/>
        </w:rPr>
      </w:pPr>
      <w:r>
        <w:rPr>
          <w:rFonts w:hint="eastAsia" w:ascii="仿宋" w:hAnsi="仿宋" w:eastAsia="仿宋" w:cs="宋体"/>
          <w:color w:val="auto"/>
          <w:kern w:val="2"/>
          <w:highlight w:val="none"/>
        </w:rPr>
        <w:t>4.3.2.1对采购文件提出质疑的，质疑期限为供应商获得采购文件之日或者采购文件公告期限届满之日起计算。</w:t>
      </w:r>
      <w:r>
        <w:rPr>
          <w:rFonts w:hint="eastAsia" w:ascii="仿宋" w:hAnsi="仿宋" w:eastAsia="仿宋"/>
          <w:color w:val="auto"/>
          <w:highlight w:val="none"/>
        </w:rPr>
        <w:t>采购文件在公告期限届满之日后获得的，应当自采购文件公告期限届满之日起计算，且应当在采购响应截止时间之前提出。</w:t>
      </w:r>
    </w:p>
    <w:p w14:paraId="715317A8">
      <w:pPr>
        <w:pStyle w:val="24"/>
        <w:spacing w:line="360" w:lineRule="auto"/>
        <w:ind w:left="547" w:leftChars="228"/>
        <w:rPr>
          <w:rFonts w:ascii="仿宋" w:hAnsi="仿宋" w:eastAsia="仿宋" w:cs="宋体"/>
          <w:color w:val="auto"/>
          <w:szCs w:val="24"/>
          <w:highlight w:val="none"/>
        </w:rPr>
      </w:pPr>
      <w:r>
        <w:rPr>
          <w:rFonts w:hint="eastAsia" w:ascii="仿宋" w:hAnsi="仿宋" w:eastAsia="仿宋" w:cs="宋体"/>
          <w:color w:val="auto"/>
          <w:szCs w:val="24"/>
          <w:highlight w:val="none"/>
        </w:rPr>
        <w:t>4.3.2.2对采购过程提出质疑的，质疑期限为各采购程序环节结束之日起计算。4.3.2.3对采购结果提出质疑的，质疑期限自采购结果公告期限届满之日起计算。</w:t>
      </w:r>
    </w:p>
    <w:p w14:paraId="43448388">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s="宋体"/>
          <w:color w:val="auto"/>
          <w:szCs w:val="24"/>
          <w:highlight w:val="none"/>
          <w:lang w:val="zh-CN"/>
        </w:rPr>
        <w:t>4.3.3</w:t>
      </w:r>
      <w:r>
        <w:rPr>
          <w:rFonts w:hint="eastAsia" w:ascii="仿宋" w:hAnsi="仿宋" w:eastAsia="仿宋" w:cs="宋体"/>
          <w:color w:val="auto"/>
          <w:szCs w:val="24"/>
          <w:highlight w:val="none"/>
        </w:rPr>
        <w:t>供应商提出质疑应当提交质疑函和必要的证明材料。质疑函应当包括下列内容：</w:t>
      </w:r>
    </w:p>
    <w:p w14:paraId="143D36D5">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s="宋体"/>
          <w:color w:val="auto"/>
          <w:szCs w:val="24"/>
          <w:highlight w:val="none"/>
          <w:lang w:val="zh-CN"/>
        </w:rPr>
        <w:t>4.3.3.1供应商的姓名或者名称、地址、邮编、联系人及联系电话；</w:t>
      </w:r>
    </w:p>
    <w:p w14:paraId="1F534E9B">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s="宋体"/>
          <w:color w:val="auto"/>
          <w:szCs w:val="24"/>
          <w:highlight w:val="none"/>
          <w:lang w:val="zh-CN"/>
        </w:rPr>
        <w:t>4.3.3.2质疑项目的名称、编号；</w:t>
      </w:r>
    </w:p>
    <w:p w14:paraId="598C7D6B">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s="宋体"/>
          <w:color w:val="auto"/>
          <w:szCs w:val="24"/>
          <w:highlight w:val="none"/>
          <w:lang w:val="zh-CN"/>
        </w:rPr>
        <w:t>4.3.3.3具体、明确的质疑事项和与质疑事项相关的请求；</w:t>
      </w:r>
    </w:p>
    <w:p w14:paraId="195215AE">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s="宋体"/>
          <w:color w:val="auto"/>
          <w:szCs w:val="24"/>
          <w:highlight w:val="none"/>
          <w:lang w:val="zh-CN"/>
        </w:rPr>
        <w:t>4.3.3.4事实依据；</w:t>
      </w:r>
    </w:p>
    <w:p w14:paraId="30A0BA97">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s="宋体"/>
          <w:color w:val="auto"/>
          <w:szCs w:val="24"/>
          <w:highlight w:val="none"/>
          <w:lang w:val="zh-CN"/>
        </w:rPr>
        <w:t>4.3.3.5必要的法律依据；</w:t>
      </w:r>
    </w:p>
    <w:p w14:paraId="6136C196">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s="宋体"/>
          <w:color w:val="auto"/>
          <w:szCs w:val="24"/>
          <w:highlight w:val="none"/>
          <w:lang w:val="zh-CN"/>
        </w:rPr>
        <w:t>4.3.3.6提出质疑的日期。</w:t>
      </w:r>
    </w:p>
    <w:p w14:paraId="010DAF28">
      <w:pPr>
        <w:pStyle w:val="24"/>
        <w:spacing w:line="360" w:lineRule="auto"/>
        <w:ind w:firstLine="480" w:firstLineChars="200"/>
        <w:rPr>
          <w:rFonts w:ascii="仿宋" w:hAnsi="仿宋" w:eastAsia="仿宋"/>
          <w:color w:val="auto"/>
          <w:szCs w:val="24"/>
          <w:highlight w:val="none"/>
        </w:rPr>
      </w:pPr>
      <w:r>
        <w:rPr>
          <w:rFonts w:hint="eastAsia" w:ascii="仿宋" w:hAnsi="仿宋" w:eastAsia="仿宋"/>
          <w:color w:val="auto"/>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275DAF81">
      <w:pPr>
        <w:pStyle w:val="24"/>
        <w:spacing w:line="360" w:lineRule="auto"/>
        <w:ind w:firstLine="480" w:firstLineChars="200"/>
        <w:rPr>
          <w:rFonts w:ascii="仿宋" w:hAnsi="仿宋" w:eastAsia="仿宋"/>
          <w:i/>
          <w:color w:val="auto"/>
          <w:highlight w:val="none"/>
        </w:rPr>
      </w:pPr>
      <w:r>
        <w:rPr>
          <w:rFonts w:hint="eastAsia" w:ascii="仿宋" w:hAnsi="仿宋" w:eastAsia="仿宋"/>
          <w:i/>
          <w:color w:val="auto"/>
          <w:highlight w:val="none"/>
        </w:rPr>
        <w:t>质疑函范本及制作说明详见附件2。</w:t>
      </w:r>
    </w:p>
    <w:p w14:paraId="3AC22AD4">
      <w:pPr>
        <w:pStyle w:val="24"/>
        <w:spacing w:line="360" w:lineRule="auto"/>
        <w:ind w:firstLine="480" w:firstLineChars="200"/>
        <w:rPr>
          <w:rFonts w:ascii="仿宋" w:hAnsi="仿宋" w:eastAsia="仿宋" w:cs="宋体"/>
          <w:color w:val="auto"/>
          <w:szCs w:val="24"/>
          <w:highlight w:val="none"/>
          <w:lang w:val="zh-CN"/>
        </w:rPr>
      </w:pPr>
      <w:r>
        <w:rPr>
          <w:rFonts w:hint="eastAsia" w:ascii="仿宋" w:hAnsi="仿宋" w:eastAsia="仿宋"/>
          <w:color w:val="auto"/>
          <w:szCs w:val="24"/>
          <w:highlight w:val="none"/>
        </w:rPr>
        <w:t>4.3.4对同一采购程序环节的质疑，供应商须在法定质疑期内一次性提出。</w:t>
      </w:r>
    </w:p>
    <w:p w14:paraId="1FC96890">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lang w:val="zh-CN"/>
        </w:rPr>
        <w:t>4.3</w:t>
      </w:r>
      <w:r>
        <w:rPr>
          <w:rFonts w:hint="eastAsia" w:ascii="仿宋" w:hAnsi="仿宋" w:eastAsia="仿宋"/>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w:t>
      </w:r>
      <w:r>
        <w:rPr>
          <w:rFonts w:hint="eastAsia" w:ascii="仿宋" w:hAnsi="仿宋" w:eastAsia="仿宋" w:cs="宋体"/>
          <w:color w:val="auto"/>
          <w:highlight w:val="none"/>
        </w:rPr>
        <w:t>将质疑答复</w:t>
      </w:r>
      <w:r>
        <w:rPr>
          <w:rFonts w:hint="eastAsia" w:ascii="仿宋" w:hAnsi="仿宋" w:eastAsia="仿宋"/>
          <w:color w:val="auto"/>
          <w:highlight w:val="none"/>
        </w:rPr>
        <w:t>内容及时在浙江政府采购网的“其他公告”栏目公开质疑答复，答复内容应当完整，但涉及国家秘密、个人隐私、商业秘密以及法律、法规规定应予保密的信息内容除外。</w:t>
      </w:r>
    </w:p>
    <w:p w14:paraId="41419CE3">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lang w:val="zh-CN"/>
        </w:rPr>
        <w:t>4.3</w:t>
      </w:r>
      <w:r>
        <w:rPr>
          <w:rFonts w:hint="eastAsia" w:ascii="仿宋" w:hAnsi="仿宋" w:eastAsia="仿宋"/>
          <w:color w:val="auto"/>
          <w:highlight w:val="none"/>
        </w:rPr>
        <w:t>.6询问或者质疑事项可能影响采购结果的，采购人应当暂停签订合同，已经签订合同的，应当中止履行合同。</w:t>
      </w:r>
    </w:p>
    <w:p w14:paraId="1F4B71F2">
      <w:pPr>
        <w:spacing w:line="360" w:lineRule="auto"/>
        <w:ind w:firstLine="480" w:firstLineChars="200"/>
        <w:rPr>
          <w:rFonts w:ascii="仿宋" w:hAnsi="仿宋" w:eastAsia="仿宋"/>
          <w:color w:val="auto"/>
          <w:highlight w:val="none"/>
          <w:lang w:val="zh-CN"/>
        </w:rPr>
      </w:pPr>
      <w:r>
        <w:rPr>
          <w:rFonts w:hint="eastAsia" w:ascii="仿宋" w:hAnsi="仿宋" w:eastAsia="仿宋"/>
          <w:color w:val="auto"/>
          <w:highlight w:val="none"/>
          <w:lang w:val="zh-CN"/>
        </w:rPr>
        <w:t>4.4供应商投诉</w:t>
      </w:r>
    </w:p>
    <w:p w14:paraId="28F19993">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54A3F796">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4.4.</w:t>
      </w:r>
      <w:r>
        <w:rPr>
          <w:rFonts w:hint="eastAsia" w:ascii="仿宋" w:hAnsi="仿宋" w:eastAsia="仿宋"/>
          <w:color w:val="auto"/>
          <w:highlight w:val="none"/>
          <w:lang w:val="zh-CN"/>
        </w:rPr>
        <w:t>2</w:t>
      </w:r>
      <w:r>
        <w:rPr>
          <w:rFonts w:hint="eastAsia" w:ascii="仿宋" w:hAnsi="仿宋" w:eastAsia="仿宋"/>
          <w:color w:val="auto"/>
          <w:highlight w:val="none"/>
        </w:rPr>
        <w:t>供应商投诉的事项不得超出已质疑事项的范围，基于质疑答复内容提出的投诉事项除外。</w:t>
      </w:r>
    </w:p>
    <w:p w14:paraId="164FCE81">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4.4.3供应商投诉应当有明确的请求和必要的证明材料。</w:t>
      </w:r>
    </w:p>
    <w:p w14:paraId="199AF54A">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4.4.4 以联合体形式参加政府采购活动的，其投诉应当由组成联合体的所有供应商共同提出。</w:t>
      </w:r>
    </w:p>
    <w:p w14:paraId="7D130587">
      <w:pPr>
        <w:spacing w:line="360" w:lineRule="auto"/>
        <w:ind w:left="480" w:leftChars="200"/>
        <w:rPr>
          <w:rFonts w:ascii="仿宋" w:hAnsi="仿宋" w:eastAsia="仿宋" w:cs="仿宋_GB2312"/>
          <w:i/>
          <w:color w:val="auto"/>
          <w:sz w:val="32"/>
          <w:szCs w:val="32"/>
          <w:highlight w:val="none"/>
        </w:rPr>
      </w:pPr>
      <w:r>
        <w:rPr>
          <w:rFonts w:hint="eastAsia" w:ascii="仿宋" w:hAnsi="仿宋" w:eastAsia="仿宋"/>
          <w:i/>
          <w:color w:val="auto"/>
          <w:highlight w:val="none"/>
        </w:rPr>
        <w:t>投诉书范本及制作说明详见附件3。</w:t>
      </w:r>
    </w:p>
    <w:p w14:paraId="18E27E33">
      <w:pPr>
        <w:rPr>
          <w:color w:val="auto"/>
          <w:highlight w:val="none"/>
        </w:rPr>
      </w:pPr>
      <w:bookmarkStart w:id="42" w:name="_Hlt74707468"/>
      <w:bookmarkEnd w:id="42"/>
      <w:bookmarkStart w:id="43" w:name="_Hlt68072990"/>
      <w:bookmarkEnd w:id="43"/>
      <w:bookmarkStart w:id="44" w:name="_Hlt74729768"/>
      <w:bookmarkEnd w:id="44"/>
      <w:bookmarkStart w:id="45" w:name="_Hlt74730295"/>
      <w:bookmarkEnd w:id="45"/>
      <w:bookmarkStart w:id="46" w:name="_Hlt68057669"/>
      <w:bookmarkEnd w:id="46"/>
      <w:bookmarkStart w:id="47" w:name="_Hlt75236290"/>
      <w:bookmarkEnd w:id="47"/>
      <w:bookmarkStart w:id="48" w:name="_Hlt74714665"/>
      <w:bookmarkEnd w:id="48"/>
      <w:bookmarkStart w:id="49" w:name="_Toc91899879"/>
    </w:p>
    <w:p w14:paraId="03DA479B">
      <w:pPr>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二、招标文件</w:t>
      </w:r>
      <w:bookmarkEnd w:id="49"/>
      <w:r>
        <w:rPr>
          <w:rFonts w:hint="eastAsia" w:ascii="仿宋" w:hAnsi="仿宋" w:eastAsia="仿宋" w:cs="仿宋_GB2312"/>
          <w:b/>
          <w:color w:val="auto"/>
          <w:sz w:val="32"/>
          <w:szCs w:val="20"/>
          <w:highlight w:val="none"/>
        </w:rPr>
        <w:t>的构成、澄清、修改</w:t>
      </w:r>
    </w:p>
    <w:p w14:paraId="6A77C112">
      <w:pPr>
        <w:pStyle w:val="24"/>
        <w:spacing w:line="360" w:lineRule="auto"/>
        <w:ind w:firstLine="480" w:firstLineChars="200"/>
        <w:rPr>
          <w:rFonts w:ascii="仿宋" w:hAnsi="仿宋" w:eastAsia="仿宋" w:cs="仿宋_GB2312"/>
          <w:b/>
          <w:color w:val="auto"/>
          <w:szCs w:val="24"/>
          <w:highlight w:val="none"/>
        </w:rPr>
      </w:pPr>
      <w:bookmarkStart w:id="50" w:name="_Toc91899880"/>
      <w:bookmarkStart w:id="51" w:name="_Hlt74730307"/>
      <w:r>
        <w:rPr>
          <w:rFonts w:hint="eastAsia" w:ascii="仿宋" w:hAnsi="仿宋" w:eastAsia="仿宋" w:cs="仿宋_GB2312"/>
          <w:b/>
          <w:color w:val="auto"/>
          <w:szCs w:val="24"/>
          <w:highlight w:val="none"/>
        </w:rPr>
        <w:t>5．招标文件的构成</w:t>
      </w:r>
      <w:bookmarkEnd w:id="50"/>
    </w:p>
    <w:bookmarkEnd w:id="51"/>
    <w:p w14:paraId="1B8B5A0C">
      <w:pPr>
        <w:pStyle w:val="24"/>
        <w:spacing w:line="360" w:lineRule="auto"/>
        <w:ind w:right="-512"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5.1 招标文件包括下列文件及附件</w:t>
      </w:r>
    </w:p>
    <w:p w14:paraId="2D2E1D17">
      <w:pPr>
        <w:pStyle w:val="24"/>
        <w:numPr>
          <w:ilvl w:val="0"/>
          <w:numId w:val="4"/>
        </w:numPr>
        <w:spacing w:line="360" w:lineRule="auto"/>
        <w:ind w:left="0"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第一部分 招标公告</w:t>
      </w:r>
    </w:p>
    <w:p w14:paraId="6FE0F56E">
      <w:pPr>
        <w:pStyle w:val="24"/>
        <w:numPr>
          <w:ilvl w:val="0"/>
          <w:numId w:val="4"/>
        </w:numPr>
        <w:spacing w:line="360" w:lineRule="auto"/>
        <w:ind w:left="0"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第二部分 投标人须知</w:t>
      </w:r>
    </w:p>
    <w:p w14:paraId="26E8D292">
      <w:pPr>
        <w:pStyle w:val="24"/>
        <w:numPr>
          <w:ilvl w:val="0"/>
          <w:numId w:val="4"/>
        </w:numPr>
        <w:spacing w:line="360" w:lineRule="auto"/>
        <w:ind w:left="0"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第三部分 采购需求</w:t>
      </w:r>
    </w:p>
    <w:p w14:paraId="634031CE">
      <w:pPr>
        <w:pStyle w:val="24"/>
        <w:numPr>
          <w:ilvl w:val="0"/>
          <w:numId w:val="4"/>
        </w:numPr>
        <w:spacing w:line="360" w:lineRule="auto"/>
        <w:ind w:left="0"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第四部分 评标方法及评分标准</w:t>
      </w:r>
    </w:p>
    <w:p w14:paraId="71F2AC23">
      <w:pPr>
        <w:pStyle w:val="24"/>
        <w:numPr>
          <w:ilvl w:val="0"/>
          <w:numId w:val="4"/>
        </w:numPr>
        <w:spacing w:line="360" w:lineRule="auto"/>
        <w:ind w:left="0"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第五部分 拟签订的合同文本</w:t>
      </w:r>
    </w:p>
    <w:p w14:paraId="2F8F1464">
      <w:pPr>
        <w:pStyle w:val="24"/>
        <w:numPr>
          <w:ilvl w:val="0"/>
          <w:numId w:val="4"/>
        </w:numPr>
        <w:spacing w:line="360" w:lineRule="auto"/>
        <w:ind w:left="0"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第六部分 应提交的有关格式范例</w:t>
      </w:r>
    </w:p>
    <w:p w14:paraId="20FBFACA">
      <w:pPr>
        <w:spacing w:line="360" w:lineRule="auto"/>
        <w:ind w:firstLine="480" w:firstLineChars="200"/>
        <w:rPr>
          <w:rFonts w:ascii="仿宋" w:hAnsi="仿宋" w:eastAsia="仿宋"/>
          <w:bCs/>
          <w:color w:val="auto"/>
          <w:highlight w:val="none"/>
        </w:rPr>
      </w:pPr>
      <w:r>
        <w:rPr>
          <w:rFonts w:hint="eastAsia" w:ascii="仿宋" w:hAnsi="仿宋" w:eastAsia="仿宋"/>
          <w:color w:val="auto"/>
          <w:highlight w:val="none"/>
        </w:rPr>
        <w:t>5.2与本项目有关的</w:t>
      </w:r>
      <w:r>
        <w:rPr>
          <w:rFonts w:hint="eastAsia" w:ascii="仿宋" w:hAnsi="仿宋" w:eastAsia="仿宋"/>
          <w:bCs/>
          <w:color w:val="auto"/>
          <w:highlight w:val="none"/>
        </w:rPr>
        <w:t>澄清或者修改等公告内容亦为招标文件的组成部分，</w:t>
      </w:r>
      <w:r>
        <w:rPr>
          <w:rFonts w:ascii="仿宋" w:hAnsi="仿宋" w:eastAsia="仿宋"/>
          <w:bCs/>
          <w:color w:val="auto"/>
          <w:highlight w:val="none"/>
        </w:rPr>
        <w:t>投标人</w:t>
      </w:r>
      <w:r>
        <w:rPr>
          <w:rFonts w:hint="eastAsia" w:ascii="仿宋" w:hAnsi="仿宋" w:eastAsia="仿宋"/>
          <w:bCs/>
          <w:color w:val="auto"/>
          <w:highlight w:val="none"/>
        </w:rPr>
        <w:t>须自行</w:t>
      </w:r>
      <w:r>
        <w:rPr>
          <w:rFonts w:ascii="仿宋" w:hAnsi="仿宋" w:eastAsia="仿宋"/>
          <w:bCs/>
          <w:color w:val="auto"/>
          <w:highlight w:val="none"/>
        </w:rPr>
        <w:t>于</w:t>
      </w:r>
      <w:r>
        <w:rPr>
          <w:rFonts w:hint="eastAsia" w:ascii="仿宋" w:hAnsi="仿宋" w:eastAsia="仿宋"/>
          <w:bCs/>
          <w:color w:val="auto"/>
          <w:highlight w:val="none"/>
        </w:rPr>
        <w:t>招标公告所</w:t>
      </w:r>
      <w:r>
        <w:rPr>
          <w:rFonts w:ascii="仿宋" w:hAnsi="仿宋" w:eastAsia="仿宋"/>
          <w:bCs/>
          <w:color w:val="auto"/>
          <w:highlight w:val="none"/>
        </w:rPr>
        <w:t>在网站</w:t>
      </w:r>
      <w:r>
        <w:rPr>
          <w:rFonts w:hint="eastAsia" w:ascii="仿宋" w:hAnsi="仿宋" w:eastAsia="仿宋"/>
          <w:bCs/>
          <w:color w:val="auto"/>
          <w:highlight w:val="none"/>
        </w:rPr>
        <w:t>获取</w:t>
      </w:r>
      <w:r>
        <w:rPr>
          <w:rFonts w:ascii="仿宋" w:hAnsi="仿宋" w:eastAsia="仿宋"/>
          <w:bCs/>
          <w:color w:val="auto"/>
          <w:highlight w:val="none"/>
        </w:rPr>
        <w:t>相关信息（</w:t>
      </w:r>
      <w:r>
        <w:rPr>
          <w:rFonts w:hint="eastAsia" w:ascii="仿宋" w:hAnsi="仿宋" w:eastAsia="仿宋"/>
          <w:bCs/>
          <w:color w:val="auto"/>
          <w:highlight w:val="none"/>
        </w:rPr>
        <w:t>浙江政府采购网网址http://www.zjzfcg.gov.cn</w:t>
      </w:r>
      <w:r>
        <w:rPr>
          <w:rFonts w:ascii="仿宋" w:hAnsi="仿宋" w:eastAsia="仿宋"/>
          <w:bCs/>
          <w:color w:val="auto"/>
          <w:highlight w:val="none"/>
        </w:rPr>
        <w:t>）</w:t>
      </w:r>
      <w:r>
        <w:rPr>
          <w:rFonts w:hint="eastAsia" w:ascii="仿宋" w:hAnsi="仿宋" w:eastAsia="仿宋" w:cs="仿宋_GB2312"/>
          <w:color w:val="auto"/>
          <w:highlight w:val="none"/>
        </w:rPr>
        <w:t>。</w:t>
      </w:r>
    </w:p>
    <w:p w14:paraId="1B918FEE">
      <w:pPr>
        <w:pStyle w:val="24"/>
        <w:spacing w:line="360" w:lineRule="auto"/>
        <w:ind w:firstLine="480" w:firstLineChars="20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6. 招标文件的澄清、修改</w:t>
      </w:r>
    </w:p>
    <w:p w14:paraId="475FEFA1">
      <w:pPr>
        <w:pStyle w:val="203"/>
        <w:snapToGrid w:val="0"/>
        <w:spacing w:before="0"/>
        <w:ind w:firstLine="480"/>
        <w:rPr>
          <w:rFonts w:ascii="仿宋" w:hAnsi="仿宋" w:eastAsia="仿宋"/>
          <w:color w:val="auto"/>
          <w:highlight w:val="none"/>
        </w:rPr>
      </w:pPr>
      <w:r>
        <w:rPr>
          <w:rFonts w:hint="eastAsia" w:ascii="仿宋" w:hAnsi="仿宋" w:eastAsia="仿宋"/>
          <w:color w:val="auto"/>
          <w:highlight w:val="none"/>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14:paraId="5E9CFED0">
      <w:pPr>
        <w:spacing w:line="360" w:lineRule="auto"/>
        <w:jc w:val="center"/>
        <w:outlineLvl w:val="0"/>
        <w:rPr>
          <w:rFonts w:ascii="仿宋" w:hAnsi="仿宋" w:eastAsia="仿宋" w:cs="仿宋_GB2312"/>
          <w:b/>
          <w:color w:val="auto"/>
          <w:sz w:val="32"/>
          <w:szCs w:val="20"/>
          <w:highlight w:val="none"/>
        </w:rPr>
      </w:pPr>
      <w:bookmarkStart w:id="52" w:name="_Hlt75236011"/>
      <w:bookmarkEnd w:id="52"/>
      <w:bookmarkStart w:id="53" w:name="_Toc91899884"/>
    </w:p>
    <w:p w14:paraId="0AB39CC7">
      <w:pPr>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三、投标</w:t>
      </w:r>
      <w:bookmarkEnd w:id="53"/>
    </w:p>
    <w:p w14:paraId="550574B2">
      <w:pPr>
        <w:pStyle w:val="24"/>
        <w:spacing w:line="360" w:lineRule="auto"/>
        <w:ind w:firstLine="480" w:firstLineChars="200"/>
        <w:rPr>
          <w:rFonts w:ascii="仿宋" w:hAnsi="仿宋" w:eastAsia="仿宋" w:cs="仿宋_GB2312"/>
          <w:b/>
          <w:color w:val="auto"/>
          <w:szCs w:val="24"/>
          <w:highlight w:val="none"/>
        </w:rPr>
      </w:pPr>
      <w:bookmarkStart w:id="54" w:name="_Toc86216991"/>
      <w:bookmarkStart w:id="55" w:name="_Toc91899892"/>
      <w:r>
        <w:rPr>
          <w:rFonts w:hint="eastAsia" w:ascii="仿宋" w:hAnsi="仿宋" w:eastAsia="仿宋" w:cs="仿宋_GB2312"/>
          <w:b/>
          <w:color w:val="auto"/>
          <w:szCs w:val="24"/>
          <w:highlight w:val="none"/>
        </w:rPr>
        <w:t>7.招标文件的获取</w:t>
      </w:r>
    </w:p>
    <w:p w14:paraId="450A9227">
      <w:pPr>
        <w:spacing w:line="360" w:lineRule="auto"/>
        <w:ind w:firstLine="480" w:firstLineChars="200"/>
        <w:rPr>
          <w:rFonts w:ascii="仿宋" w:hAnsi="仿宋" w:eastAsia="仿宋" w:cs="仿宋_GB2312"/>
          <w:snapToGrid w:val="0"/>
          <w:color w:val="auto"/>
          <w:kern w:val="28"/>
          <w:highlight w:val="none"/>
        </w:rPr>
      </w:pPr>
      <w:r>
        <w:rPr>
          <w:rFonts w:hint="eastAsia" w:ascii="仿宋" w:hAnsi="仿宋" w:eastAsia="仿宋" w:cs="仿宋_GB2312"/>
          <w:snapToGrid w:val="0"/>
          <w:color w:val="auto"/>
          <w:kern w:val="28"/>
          <w:highlight w:val="none"/>
        </w:rPr>
        <w:t>详见招标公告中获取招标文件的时间期限、地点、方式。附件中直接下载仅供浏览使用。</w:t>
      </w:r>
    </w:p>
    <w:p w14:paraId="3EC5F4FC">
      <w:pPr>
        <w:pStyle w:val="24"/>
        <w:spacing w:line="360" w:lineRule="auto"/>
        <w:ind w:firstLine="480" w:firstLineChars="20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8.开标前答疑会或现场考察</w:t>
      </w:r>
    </w:p>
    <w:p w14:paraId="7591FE05">
      <w:pPr>
        <w:pStyle w:val="24"/>
        <w:spacing w:line="360" w:lineRule="auto"/>
        <w:ind w:firstLine="480" w:firstLineChars="200"/>
        <w:rPr>
          <w:rFonts w:ascii="仿宋" w:hAnsi="仿宋" w:eastAsia="仿宋"/>
          <w:color w:val="auto"/>
          <w:szCs w:val="24"/>
          <w:highlight w:val="none"/>
        </w:rPr>
      </w:pPr>
      <w:r>
        <w:rPr>
          <w:rFonts w:hint="eastAsia" w:ascii="仿宋" w:hAnsi="仿宋" w:eastAsia="仿宋"/>
          <w:color w:val="auto"/>
          <w:szCs w:val="24"/>
          <w:highlight w:val="none"/>
        </w:rPr>
        <w:t>采购人视采购项目的具体情况，如果采购人组织潜在投标人现场考察或者召开开标前答疑会的，潜在投标人按前附表的规定参加现场考察或者开标前答疑会。</w:t>
      </w:r>
    </w:p>
    <w:p w14:paraId="71D8842F">
      <w:pPr>
        <w:pStyle w:val="24"/>
        <w:spacing w:line="360" w:lineRule="auto"/>
        <w:ind w:firstLine="480" w:firstLineChars="200"/>
        <w:rPr>
          <w:rFonts w:ascii="仿宋" w:hAnsi="仿宋" w:eastAsia="仿宋" w:cs="仿宋_GB2312"/>
          <w:b/>
          <w:color w:val="auto"/>
          <w:szCs w:val="24"/>
          <w:highlight w:val="none"/>
        </w:rPr>
      </w:pPr>
      <w:r>
        <w:rPr>
          <w:rFonts w:hint="eastAsia" w:ascii="仿宋" w:hAnsi="仿宋" w:eastAsia="仿宋"/>
          <w:b/>
          <w:color w:val="auto"/>
          <w:kern w:val="28"/>
          <w:szCs w:val="24"/>
          <w:highlight w:val="none"/>
        </w:rPr>
        <w:t>9.投标保证金</w:t>
      </w:r>
    </w:p>
    <w:p w14:paraId="74469CA1">
      <w:pPr>
        <w:pStyle w:val="203"/>
        <w:snapToGrid w:val="0"/>
        <w:spacing w:before="0"/>
        <w:ind w:firstLine="480"/>
        <w:rPr>
          <w:rFonts w:ascii="仿宋" w:hAnsi="仿宋" w:eastAsia="仿宋" w:cs="仿宋_GB2312"/>
          <w:color w:val="auto"/>
          <w:highlight w:val="none"/>
          <w:lang w:val="zh-CN"/>
        </w:rPr>
      </w:pPr>
      <w:r>
        <w:rPr>
          <w:rFonts w:hint="eastAsia" w:ascii="仿宋" w:hAnsi="仿宋" w:eastAsia="仿宋"/>
          <w:color w:val="auto"/>
          <w:highlight w:val="none"/>
        </w:rPr>
        <w:t>本项目不收取投标保证金。</w:t>
      </w:r>
    </w:p>
    <w:p w14:paraId="26D0D7EB">
      <w:pPr>
        <w:pStyle w:val="24"/>
        <w:spacing w:line="360" w:lineRule="auto"/>
        <w:ind w:firstLine="480" w:firstLineChars="20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10. 投标文件的语言</w:t>
      </w:r>
    </w:p>
    <w:p w14:paraId="1A97D9E3">
      <w:pPr>
        <w:autoSpaceDE w:val="0"/>
        <w:autoSpaceDN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rPr>
        <w:t>投标文件及投标人与采购有关的来往通知、函件和文件均应使用中文。</w:t>
      </w:r>
    </w:p>
    <w:p w14:paraId="5A5824E0">
      <w:pPr>
        <w:pStyle w:val="24"/>
        <w:spacing w:line="360" w:lineRule="auto"/>
        <w:ind w:firstLine="480" w:firstLineChars="20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11. 投标文件的组成</w:t>
      </w:r>
    </w:p>
    <w:p w14:paraId="21154197">
      <w:pPr>
        <w:pStyle w:val="24"/>
        <w:snapToGrid w:val="0"/>
        <w:spacing w:line="360" w:lineRule="auto"/>
        <w:ind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投标文件应当包括以下主要内容：</w:t>
      </w:r>
      <w:r>
        <w:rPr>
          <w:rFonts w:hint="eastAsia" w:ascii="仿宋" w:hAnsi="仿宋" w:eastAsia="仿宋" w:cs="仿宋_GB2312"/>
          <w:b/>
          <w:color w:val="auto"/>
          <w:szCs w:val="24"/>
          <w:highlight w:val="none"/>
        </w:rPr>
        <w:t>资格文件、商务技术文件、报价文件。</w:t>
      </w:r>
      <w:r>
        <w:rPr>
          <w:rFonts w:hint="eastAsia" w:ascii="仿宋" w:hAnsi="仿宋" w:eastAsia="仿宋" w:cs="仿宋_GB2312"/>
          <w:color w:val="auto"/>
          <w:szCs w:val="24"/>
          <w:highlight w:val="none"/>
        </w:rPr>
        <w:t>投标文件应当对招标文件提出的要求和条件作出明确响应。</w:t>
      </w:r>
    </w:p>
    <w:p w14:paraId="59BFEB9C">
      <w:pPr>
        <w:snapToGrid w:val="0"/>
        <w:spacing w:line="360" w:lineRule="auto"/>
        <w:ind w:firstLine="480" w:firstLineChars="200"/>
        <w:rPr>
          <w:rFonts w:ascii="仿宋" w:hAnsi="仿宋" w:eastAsia="仿宋" w:cs="仿宋_GB2312"/>
          <w:b/>
          <w:strike/>
          <w:color w:val="auto"/>
          <w:highlight w:val="none"/>
        </w:rPr>
      </w:pPr>
      <w:r>
        <w:rPr>
          <w:rFonts w:hint="eastAsia" w:ascii="仿宋" w:hAnsi="仿宋" w:eastAsia="仿宋" w:cs="仿宋_GB2312"/>
          <w:color w:val="auto"/>
          <w:highlight w:val="none"/>
        </w:rPr>
        <w:t>11.1</w:t>
      </w:r>
      <w:r>
        <w:rPr>
          <w:rFonts w:hint="eastAsia" w:ascii="仿宋" w:hAnsi="仿宋" w:eastAsia="仿宋" w:cs="仿宋_GB2312"/>
          <w:b/>
          <w:color w:val="auto"/>
          <w:highlight w:val="none"/>
        </w:rPr>
        <w:t>资格文件</w:t>
      </w:r>
      <w:r>
        <w:rPr>
          <w:rFonts w:hint="eastAsia" w:ascii="仿宋" w:hAnsi="仿宋" w:eastAsia="仿宋" w:cs="仿宋_GB2312"/>
          <w:color w:val="auto"/>
          <w:highlight w:val="none"/>
        </w:rPr>
        <w:t>应包括以下内容：证明其符合《中华人民共和国政府采购法》</w:t>
      </w:r>
      <w:r>
        <w:rPr>
          <w:rFonts w:hint="eastAsia" w:ascii="仿宋" w:hAnsi="仿宋" w:eastAsia="仿宋" w:cs="Arial"/>
          <w:color w:val="auto"/>
          <w:highlight w:val="none"/>
        </w:rPr>
        <w:t>规定的供应商基本条件和采购项目对供应商的特定条件</w:t>
      </w:r>
      <w:r>
        <w:rPr>
          <w:rFonts w:hint="eastAsia" w:ascii="仿宋" w:hAnsi="仿宋" w:eastAsia="仿宋" w:cs="仿宋_GB2312"/>
          <w:color w:val="auto"/>
          <w:highlight w:val="none"/>
        </w:rPr>
        <w:t>（如果项目要求）的有关资格证明文件。</w:t>
      </w:r>
      <w:r>
        <w:rPr>
          <w:rFonts w:hint="eastAsia" w:ascii="仿宋" w:hAnsi="仿宋" w:eastAsia="仿宋" w:cs="仿宋_GB2312"/>
          <w:b/>
          <w:color w:val="auto"/>
          <w:highlight w:val="none"/>
        </w:rPr>
        <w:t>（以联合体形式进行政府采购的，参加联合体的供应商均应当提供）</w:t>
      </w:r>
    </w:p>
    <w:p w14:paraId="03DB1FE2">
      <w:pPr>
        <w:pStyle w:val="24"/>
        <w:spacing w:line="360" w:lineRule="auto"/>
        <w:ind w:firstLine="480" w:firstLineChars="200"/>
        <w:rPr>
          <w:rFonts w:ascii="仿宋" w:hAnsi="仿宋" w:eastAsia="仿宋"/>
          <w:color w:val="auto"/>
          <w:highlight w:val="none"/>
        </w:rPr>
      </w:pPr>
      <w:bookmarkStart w:id="56" w:name="_Hlt68072998"/>
      <w:bookmarkEnd w:id="56"/>
      <w:bookmarkStart w:id="57" w:name="_Hlt68073093"/>
      <w:bookmarkEnd w:id="57"/>
      <w:bookmarkStart w:id="58" w:name="_Hlt68403820"/>
      <w:bookmarkEnd w:id="58"/>
      <w:r>
        <w:rPr>
          <w:rFonts w:hint="eastAsia" w:ascii="仿宋" w:hAnsi="仿宋" w:eastAsia="仿宋"/>
          <w:color w:val="auto"/>
          <w:highlight w:val="none"/>
        </w:rPr>
        <w:t>11.1.1营业执照(或事业法人登记证或其他工商等登记证明材料)复印件（投标人为自然人的，提供自然人的身份证明）</w:t>
      </w:r>
      <w:r>
        <w:rPr>
          <w:rFonts w:hint="eastAsia" w:ascii="仿宋" w:hAnsi="仿宋" w:eastAsia="仿宋"/>
          <w:b/>
          <w:color w:val="auto"/>
          <w:highlight w:val="none"/>
        </w:rPr>
        <w:t>；</w:t>
      </w:r>
      <w:r>
        <w:rPr>
          <w:rFonts w:hint="eastAsia" w:ascii="仿宋" w:hAnsi="仿宋" w:eastAsia="仿宋" w:cs="仿宋_GB2312"/>
          <w:b/>
          <w:color w:val="auto"/>
          <w:highlight w:val="none"/>
        </w:rPr>
        <w:t>（以联合体形式进行政府采购的，参加联合体的供应商均应当提供）</w:t>
      </w:r>
    </w:p>
    <w:p w14:paraId="69DA07AB">
      <w:pPr>
        <w:pStyle w:val="24"/>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金融、保险、通讯等特定行业的全国性企业所设立的区域性分支机构，以及个体工商户、个人独资企业、合伙企业，如果已经依法办理了工商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2738991F">
      <w:pPr>
        <w:pStyle w:val="24"/>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11.1.2投标声明函；</w:t>
      </w:r>
      <w:r>
        <w:rPr>
          <w:rFonts w:hint="eastAsia" w:ascii="仿宋" w:hAnsi="仿宋" w:eastAsia="仿宋" w:cs="仿宋_GB2312"/>
          <w:b/>
          <w:color w:val="auto"/>
          <w:highlight w:val="none"/>
        </w:rPr>
        <w:t>（以联合体形式进行政府采购的，参加联合体的供应商均应当提供）</w:t>
      </w:r>
    </w:p>
    <w:p w14:paraId="2FC6E8CF">
      <w:pPr>
        <w:pStyle w:val="24"/>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11.1.3联合体协议书（如有）；</w:t>
      </w:r>
    </w:p>
    <w:p w14:paraId="49730A55">
      <w:pPr>
        <w:pStyle w:val="24"/>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如以联合体形式参加政府采购活动的，</w:t>
      </w:r>
      <w:r>
        <w:rPr>
          <w:rFonts w:hint="eastAsia" w:ascii="仿宋" w:hAnsi="仿宋" w:eastAsia="仿宋"/>
          <w:color w:val="auto"/>
          <w:szCs w:val="24"/>
          <w:highlight w:val="none"/>
        </w:rPr>
        <w:t>联合体各方应当指定牵头人，授权其代表所有联合体成员负责投标和合同实施阶段的主办、协调工作，并应当</w:t>
      </w:r>
      <w:r>
        <w:rPr>
          <w:rFonts w:hint="eastAsia" w:ascii="仿宋" w:hAnsi="仿宋" w:eastAsia="仿宋"/>
          <w:color w:val="auto"/>
          <w:highlight w:val="none"/>
        </w:rPr>
        <w:t>提交联合体协议书，载明联合体各方承担的工作和义务；</w:t>
      </w:r>
    </w:p>
    <w:p w14:paraId="20A6E858">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11.1.4法定代表人授权书；</w:t>
      </w:r>
    </w:p>
    <w:p w14:paraId="0295B572">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如以联合体形式参加政府采购活动的，只需提供联合体牵头人法定代表人授权委托书；</w:t>
      </w:r>
      <w:r>
        <w:rPr>
          <w:rFonts w:hint="eastAsia" w:ascii="仿宋" w:hAnsi="仿宋" w:eastAsia="仿宋" w:cs="仿宋_GB2312"/>
          <w:color w:val="auto"/>
          <w:highlight w:val="none"/>
        </w:rPr>
        <w:t>如投标人代表系法定代表人，无需提供法定代表人授权委托书；</w:t>
      </w:r>
    </w:p>
    <w:p w14:paraId="3B5E458D">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11.1.5法定代表人及其授权代表的身份证复印件（正反面复印件）；如投标人代表系法定代表人，只需提供其身份证复印件（正反面复印件）；</w:t>
      </w:r>
    </w:p>
    <w:p w14:paraId="10A796CE">
      <w:pPr>
        <w:spacing w:line="360" w:lineRule="auto"/>
        <w:ind w:firstLine="480" w:firstLineChars="200"/>
        <w:rPr>
          <w:rFonts w:ascii="仿宋" w:hAnsi="仿宋" w:eastAsia="仿宋"/>
          <w:color w:val="auto"/>
          <w:szCs w:val="28"/>
          <w:highlight w:val="none"/>
        </w:rPr>
      </w:pPr>
      <w:r>
        <w:rPr>
          <w:rFonts w:hint="eastAsia" w:ascii="仿宋" w:hAnsi="仿宋" w:eastAsia="仿宋" w:cs="仿宋_GB2312"/>
          <w:color w:val="auto"/>
          <w:highlight w:val="none"/>
        </w:rPr>
        <w:t>11.1.6符合特定资格条件的有关证明材料。</w:t>
      </w:r>
    </w:p>
    <w:p w14:paraId="0BF3079D">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 投标人的</w:t>
      </w:r>
      <w:r>
        <w:rPr>
          <w:rFonts w:hint="eastAsia" w:ascii="仿宋" w:hAnsi="仿宋" w:eastAsia="仿宋" w:cs="仿宋_GB2312"/>
          <w:b/>
          <w:color w:val="auto"/>
          <w:highlight w:val="none"/>
        </w:rPr>
        <w:t>商务技术</w:t>
      </w:r>
      <w:r>
        <w:rPr>
          <w:rFonts w:hint="eastAsia" w:ascii="仿宋" w:hAnsi="仿宋" w:eastAsia="仿宋" w:cs="仿宋_GB2312"/>
          <w:b/>
          <w:color w:val="auto"/>
          <w:highlight w:val="none"/>
          <w:lang w:val="zh-CN"/>
        </w:rPr>
        <w:t>文件</w:t>
      </w:r>
      <w:r>
        <w:rPr>
          <w:rFonts w:hint="eastAsia" w:ascii="仿宋" w:hAnsi="仿宋" w:eastAsia="仿宋" w:cs="仿宋_GB2312"/>
          <w:color w:val="auto"/>
          <w:highlight w:val="none"/>
          <w:lang w:val="zh-CN"/>
        </w:rPr>
        <w:t>应包括以下内容：</w:t>
      </w:r>
    </w:p>
    <w:p w14:paraId="71C6ABBA">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11.2.1 投标函；</w:t>
      </w:r>
    </w:p>
    <w:p w14:paraId="2FA7DBF0">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11.2.2</w:t>
      </w:r>
      <w:r>
        <w:rPr>
          <w:rFonts w:hint="eastAsia" w:ascii="仿宋" w:hAnsi="仿宋" w:eastAsia="仿宋" w:cs="仿宋_GB2312"/>
          <w:snapToGrid w:val="0"/>
          <w:color w:val="auto"/>
          <w:szCs w:val="21"/>
          <w:highlight w:val="none"/>
          <w:lang w:val="zh-CN"/>
        </w:rPr>
        <w:t>评分对应表；如果本项目评标办法采用综合评审法，投标人需在商务技术文件中提供此评分对应表，供评标委员会评审时使用。</w:t>
      </w:r>
    </w:p>
    <w:p w14:paraId="7C822B88">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11.2.3投标产品规格配置清单；如果本项目涉及硬件设备采购，应当提供投标产品规格配置清单（设备名称、品牌及型号、规格配置详细说明、数量等）。所有技术指标表述均应采用中文，如当前公布的技术指标只有英文表述的，必须由投标人作出中文注释（评审时以中文注释为准</w:t>
      </w:r>
      <w:r>
        <w:rPr>
          <w:rFonts w:ascii="仿宋" w:hAnsi="仿宋" w:eastAsia="仿宋" w:cs="仿宋_GB2312"/>
          <w:color w:val="auto"/>
          <w:highlight w:val="none"/>
          <w:lang w:val="zh-CN"/>
        </w:rPr>
        <w:t>）</w:t>
      </w:r>
      <w:r>
        <w:rPr>
          <w:rFonts w:hint="eastAsia" w:ascii="仿宋" w:hAnsi="仿宋" w:eastAsia="仿宋" w:cs="仿宋_GB2312"/>
          <w:color w:val="auto"/>
          <w:highlight w:val="none"/>
          <w:lang w:val="zh-CN"/>
        </w:rPr>
        <w:t>。否则任何含糊不清的表述导致评标委员会技术扣分直至认定为投标无效都将是投标人的责任。</w:t>
      </w:r>
    </w:p>
    <w:p w14:paraId="752DD9FD">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如果本项目需采购政府强制采购的节能产品或投标人提供的产品是节能（环境标志）产品，投标人应当根据招标文件总则3.2节能环保要求提供相应证明材料；</w:t>
      </w:r>
    </w:p>
    <w:p w14:paraId="3D8898FB">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11.2.4技术响应表；</w:t>
      </w:r>
      <w:r>
        <w:rPr>
          <w:rFonts w:hint="eastAsia" w:ascii="仿宋" w:hAnsi="仿宋" w:eastAsia="仿宋" w:cs="仿宋_GB2312"/>
          <w:color w:val="auto"/>
          <w:highlight w:val="none"/>
        </w:rPr>
        <w:t>如果招标文件要求投标人提供投标产品技术指标证明材料的（如官网查询截图、产品彩页、检测报告等），投标人应当对照招标文件要求和投标文件响应情况提供相应证明材料，否则该项技术指标视为负偏离；</w:t>
      </w:r>
    </w:p>
    <w:p w14:paraId="25924013">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11.2.5商务响应表；</w:t>
      </w:r>
    </w:p>
    <w:p w14:paraId="4FCF4B33">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rPr>
        <w:t>11.2.6</w:t>
      </w:r>
      <w:r>
        <w:rPr>
          <w:rFonts w:hint="eastAsia" w:ascii="仿宋" w:hAnsi="仿宋" w:eastAsia="仿宋" w:cs="仿宋_GB2312"/>
          <w:color w:val="auto"/>
          <w:highlight w:val="none"/>
          <w:lang w:val="zh-CN"/>
        </w:rPr>
        <w:t>项目组织实施方案;项目组织实施方案包括但不限于以下内容：组织机构、工作时间进度表、工作程序和步骤、管理和协调方法、关键步骤的思路和要点；</w:t>
      </w:r>
    </w:p>
    <w:p w14:paraId="4C05D3F0">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11.2.7项目负责人情况表；</w:t>
      </w:r>
    </w:p>
    <w:p w14:paraId="0E70AEC7">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11.2.8项目组人员名单；</w:t>
      </w:r>
    </w:p>
    <w:p w14:paraId="3CB40FC8">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11.2.9售后服务方案（如有）。售后服务方案可包含且不限于对用户故障的响应、处理、定期巡检、维护、备品备件、常用耗材提供、售后服务机构设置、驻点人员情况等。服务承诺未明示可能涉及的前提设定和费用，视为是无条件和免费的；</w:t>
      </w:r>
    </w:p>
    <w:p w14:paraId="6037F9A4">
      <w:pPr>
        <w:tabs>
          <w:tab w:val="left" w:pos="0"/>
          <w:tab w:val="left" w:pos="840"/>
        </w:tabs>
        <w:autoSpaceDE w:val="0"/>
        <w:autoSpaceDN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11.2.10优惠条件及特殊承诺（如有）；</w:t>
      </w:r>
    </w:p>
    <w:p w14:paraId="12C45D12">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lang w:val="zh-CN"/>
        </w:rPr>
        <w:t>11.2.11投标人认为需要的其他商务技术文件或说明</w:t>
      </w:r>
      <w:r>
        <w:rPr>
          <w:rFonts w:hint="eastAsia" w:ascii="仿宋" w:hAnsi="仿宋" w:eastAsia="仿宋" w:cs="仿宋_GB2312"/>
          <w:snapToGrid w:val="0"/>
          <w:color w:val="auto"/>
          <w:highlight w:val="none"/>
          <w:lang w:val="zh-CN"/>
        </w:rPr>
        <w:t>。</w:t>
      </w:r>
    </w:p>
    <w:p w14:paraId="5E90A227">
      <w:pPr>
        <w:snapToGrid w:val="0"/>
        <w:spacing w:line="360" w:lineRule="auto"/>
        <w:ind w:firstLine="480" w:firstLineChars="200"/>
        <w:rPr>
          <w:rFonts w:ascii="仿宋" w:hAnsi="仿宋" w:eastAsia="仿宋" w:cs="仿宋_GB2312"/>
          <w:color w:val="auto"/>
          <w:highlight w:val="none"/>
          <w:u w:val="single"/>
          <w:lang w:val="zh-CN"/>
        </w:rPr>
      </w:pPr>
      <w:r>
        <w:rPr>
          <w:rFonts w:hint="eastAsia" w:ascii="仿宋" w:hAnsi="仿宋" w:eastAsia="仿宋" w:cs="仿宋_GB2312"/>
          <w:color w:val="auto"/>
          <w:highlight w:val="none"/>
          <w:lang w:val="zh-CN"/>
        </w:rPr>
        <w:t xml:space="preserve">11.3 </w:t>
      </w:r>
      <w:r>
        <w:rPr>
          <w:rFonts w:hint="eastAsia" w:ascii="仿宋" w:hAnsi="仿宋" w:eastAsia="仿宋" w:cs="仿宋_GB2312"/>
          <w:color w:val="auto"/>
          <w:highlight w:val="none"/>
        </w:rPr>
        <w:t>投标人的</w:t>
      </w:r>
      <w:r>
        <w:rPr>
          <w:rFonts w:hint="eastAsia" w:ascii="仿宋" w:hAnsi="仿宋" w:eastAsia="仿宋" w:cs="仿宋_GB2312"/>
          <w:b/>
          <w:color w:val="auto"/>
          <w:highlight w:val="none"/>
        </w:rPr>
        <w:t>报价文件</w:t>
      </w:r>
      <w:r>
        <w:rPr>
          <w:rFonts w:hint="eastAsia" w:ascii="仿宋" w:hAnsi="仿宋" w:eastAsia="仿宋" w:cs="仿宋_GB2312"/>
          <w:color w:val="auto"/>
          <w:highlight w:val="none"/>
        </w:rPr>
        <w:t>应包括以下内容：</w:t>
      </w:r>
    </w:p>
    <w:p w14:paraId="293BCAD9">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11.3.1</w:t>
      </w:r>
      <w:r>
        <w:rPr>
          <w:rFonts w:hint="eastAsia" w:ascii="仿宋" w:hAnsi="仿宋" w:eastAsia="仿宋" w:cs="仿宋_GB2312"/>
          <w:snapToGrid w:val="0"/>
          <w:color w:val="auto"/>
          <w:highlight w:val="none"/>
        </w:rPr>
        <w:t>开标一览表(报价表)</w:t>
      </w:r>
      <w:r>
        <w:rPr>
          <w:rFonts w:hint="eastAsia" w:ascii="仿宋" w:hAnsi="仿宋" w:eastAsia="仿宋" w:cs="仿宋_GB2312"/>
          <w:color w:val="auto"/>
          <w:highlight w:val="none"/>
        </w:rPr>
        <w:t>；</w:t>
      </w:r>
    </w:p>
    <w:p w14:paraId="20ECBF6F">
      <w:pPr>
        <w:pStyle w:val="24"/>
        <w:snapToGrid w:val="0"/>
        <w:spacing w:line="360" w:lineRule="auto"/>
        <w:ind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11.3.2中小企业声明函（如有）；</w:t>
      </w:r>
    </w:p>
    <w:p w14:paraId="256E6398">
      <w:pPr>
        <w:pStyle w:val="24"/>
        <w:snapToGrid w:val="0"/>
        <w:spacing w:line="360" w:lineRule="auto"/>
        <w:ind w:firstLine="480" w:firstLineChars="200"/>
        <w:rPr>
          <w:rFonts w:ascii="仿宋" w:hAnsi="仿宋" w:eastAsia="仿宋" w:cs="仿宋_GB2312"/>
          <w:color w:val="auto"/>
          <w:szCs w:val="24"/>
          <w:highlight w:val="none"/>
        </w:rPr>
      </w:pPr>
      <w:r>
        <w:rPr>
          <w:rFonts w:hint="eastAsia" w:ascii="仿宋" w:hAnsi="仿宋" w:eastAsia="仿宋" w:cs="仿宋_GB2312"/>
          <w:color w:val="auto"/>
          <w:szCs w:val="24"/>
          <w:highlight w:val="none"/>
        </w:rPr>
        <w:t>11.3.3残疾人福利性单位声明函（如有）。</w:t>
      </w:r>
    </w:p>
    <w:p w14:paraId="455CF88E">
      <w:pPr>
        <w:pStyle w:val="203"/>
        <w:snapToGrid w:val="0"/>
        <w:spacing w:before="0"/>
        <w:ind w:firstLine="482"/>
        <w:outlineLvl w:val="0"/>
        <w:rPr>
          <w:rFonts w:ascii="仿宋" w:hAnsi="仿宋" w:eastAsia="仿宋" w:cs="仿宋_GB2312"/>
          <w:b/>
          <w:color w:val="auto"/>
          <w:szCs w:val="24"/>
          <w:highlight w:val="none"/>
        </w:rPr>
      </w:pPr>
      <w:bookmarkStart w:id="59" w:name="_Toc91899887"/>
      <w:r>
        <w:rPr>
          <w:rFonts w:hint="eastAsia" w:ascii="仿宋" w:hAnsi="仿宋" w:eastAsia="仿宋" w:cs="仿宋_GB2312"/>
          <w:b/>
          <w:color w:val="auto"/>
          <w:szCs w:val="24"/>
          <w:highlight w:val="none"/>
        </w:rPr>
        <w:t>12</w:t>
      </w:r>
      <w:r>
        <w:rPr>
          <w:rFonts w:hint="eastAsia" w:ascii="仿宋" w:hAnsi="仿宋" w:eastAsia="仿宋" w:cs="仿宋_GB2312"/>
          <w:b/>
          <w:color w:val="auto"/>
          <w:szCs w:val="24"/>
          <w:highlight w:val="none"/>
          <w:lang w:val="zh-CN"/>
        </w:rPr>
        <w:t xml:space="preserve">. </w:t>
      </w:r>
      <w:r>
        <w:rPr>
          <w:rFonts w:hint="eastAsia" w:ascii="仿宋" w:hAnsi="仿宋" w:eastAsia="仿宋" w:cs="仿宋_GB2312"/>
          <w:b/>
          <w:color w:val="auto"/>
          <w:szCs w:val="24"/>
          <w:highlight w:val="none"/>
        </w:rPr>
        <w:t>投标文件的编制</w:t>
      </w:r>
    </w:p>
    <w:p w14:paraId="70E811CE">
      <w:pPr>
        <w:spacing w:line="360" w:lineRule="auto"/>
        <w:ind w:firstLine="480" w:firstLineChars="200"/>
        <w:rPr>
          <w:rFonts w:ascii="仿宋" w:hAnsi="仿宋" w:eastAsia="仿宋" w:cs="仿宋_GB2312"/>
          <w:b/>
          <w:color w:val="auto"/>
          <w:szCs w:val="21"/>
          <w:highlight w:val="none"/>
        </w:rPr>
      </w:pPr>
      <w:r>
        <w:rPr>
          <w:rFonts w:hint="eastAsia" w:ascii="仿宋" w:hAnsi="仿宋" w:eastAsia="仿宋"/>
          <w:b/>
          <w:color w:val="auto"/>
          <w:highlight w:val="none"/>
        </w:rPr>
        <w:t>▲</w:t>
      </w:r>
      <w:r>
        <w:rPr>
          <w:rFonts w:hint="eastAsia" w:ascii="仿宋" w:hAnsi="仿宋" w:eastAsia="仿宋" w:cs="仿宋_GB2312"/>
          <w:b/>
          <w:color w:val="auto"/>
          <w:highlight w:val="none"/>
        </w:rPr>
        <w:t>投标文件未按本条规定的格式编制的，投标无效；</w:t>
      </w:r>
    </w:p>
    <w:p w14:paraId="3757DA67">
      <w:pPr>
        <w:spacing w:line="360" w:lineRule="auto"/>
        <w:ind w:firstLine="480" w:firstLineChars="200"/>
        <w:rPr>
          <w:rFonts w:ascii="仿宋" w:hAnsi="仿宋" w:eastAsia="仿宋" w:cs="仿宋_GB2312"/>
          <w:b/>
          <w:color w:val="auto"/>
          <w:highlight w:val="none"/>
          <w:lang w:val="zh-CN"/>
        </w:rPr>
      </w:pPr>
      <w:r>
        <w:rPr>
          <w:rFonts w:hint="eastAsia" w:ascii="仿宋" w:hAnsi="仿宋" w:eastAsia="仿宋" w:cs="仿宋_GB2312"/>
          <w:b/>
          <w:color w:val="auto"/>
          <w:highlight w:val="none"/>
          <w:lang w:val="zh-CN"/>
        </w:rPr>
        <w:t>12.1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14:paraId="3D210AA9">
      <w:pPr>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12.2投标人进行电子投标应安装客户端软件</w:t>
      </w:r>
      <w:r>
        <w:rPr>
          <w:rFonts w:ascii="仿宋" w:hAnsi="仿宋" w:eastAsia="仿宋" w:cs="仿宋_GB2312"/>
          <w:color w:val="auto"/>
          <w:highlight w:val="none"/>
          <w:lang w:val="zh-CN"/>
        </w:rPr>
        <w:t>—</w:t>
      </w:r>
      <w:r>
        <w:rPr>
          <w:rFonts w:hint="eastAsia" w:ascii="仿宋" w:hAnsi="仿宋" w:eastAsia="仿宋" w:cs="仿宋_GB2312"/>
          <w:color w:val="auto"/>
          <w:highlight w:val="none"/>
          <w:lang w:val="zh-CN"/>
        </w:rPr>
        <w:t>“政采云电子交易客户端”，并按照招标文件和电子交易平台的要求编制并加密投标文件。投标人未按规定加密的投标文件，电子交易平台将拒收并提示。</w:t>
      </w:r>
    </w:p>
    <w:bookmarkEnd w:id="59"/>
    <w:p w14:paraId="5D0554AC">
      <w:pPr>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12.3使用“政采云电子交易客户端”需要提前申领CA数字证书，申领流程请自行前往“浙江政府采购网-下载专区-电子交易客户端-CA驱动和申领流程”进行查阅。</w:t>
      </w:r>
    </w:p>
    <w:p w14:paraId="7CC2AF0E">
      <w:pPr>
        <w:snapToGrid w:val="0"/>
        <w:spacing w:line="360" w:lineRule="auto"/>
        <w:ind w:firstLine="480" w:firstLineChars="200"/>
        <w:rPr>
          <w:rFonts w:ascii="仿宋" w:hAnsi="仿宋" w:eastAsia="仿宋" w:cs="仿宋_GB2312"/>
          <w:b/>
          <w:color w:val="auto"/>
          <w:highlight w:val="none"/>
        </w:rPr>
      </w:pPr>
      <w:r>
        <w:rPr>
          <w:rFonts w:hint="eastAsia" w:ascii="仿宋" w:hAnsi="仿宋" w:eastAsia="仿宋" w:cs="仿宋_GB2312"/>
          <w:b/>
          <w:color w:val="auto"/>
          <w:highlight w:val="none"/>
        </w:rPr>
        <w:t>13.投标文件的签署、盖章</w:t>
      </w:r>
    </w:p>
    <w:p w14:paraId="286C5354">
      <w:pPr>
        <w:pStyle w:val="203"/>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szCs w:val="24"/>
          <w:highlight w:val="none"/>
        </w:rPr>
        <w:t>13.1投标文件按照招标文件第六部分格式要</w:t>
      </w:r>
      <w:r>
        <w:rPr>
          <w:rFonts w:hint="eastAsia" w:ascii="仿宋" w:hAnsi="仿宋" w:eastAsia="仿宋" w:cs="仿宋_GB2312"/>
          <w:color w:val="auto"/>
          <w:highlight w:val="none"/>
        </w:rPr>
        <w:t>求进行签署、盖章。</w:t>
      </w:r>
      <w:r>
        <w:rPr>
          <w:rFonts w:hint="eastAsia" w:ascii="仿宋" w:hAnsi="仿宋" w:eastAsia="仿宋" w:cs="仿宋_GB2312"/>
          <w:b/>
          <w:color w:val="auto"/>
          <w:szCs w:val="24"/>
          <w:highlight w:val="none"/>
        </w:rPr>
        <w:t>其中电子投标文件中所需加盖公章部分均应采用电子签章（联合体投标的，投标人可加盖实体印章）</w:t>
      </w:r>
    </w:p>
    <w:p w14:paraId="5D50F00E">
      <w:pPr>
        <w:pStyle w:val="203"/>
        <w:snapToGrid w:val="0"/>
        <w:spacing w:before="0"/>
        <w:ind w:firstLine="482"/>
        <w:rPr>
          <w:rFonts w:ascii="仿宋" w:hAnsi="仿宋" w:eastAsia="仿宋" w:cs="仿宋_GB2312"/>
          <w:b/>
          <w:color w:val="auto"/>
          <w:highlight w:val="none"/>
        </w:rPr>
      </w:pPr>
      <w:r>
        <w:rPr>
          <w:rFonts w:hint="eastAsia" w:ascii="仿宋" w:hAnsi="仿宋" w:eastAsia="仿宋"/>
          <w:b/>
          <w:color w:val="auto"/>
          <w:highlight w:val="none"/>
        </w:rPr>
        <w:t>▲</w:t>
      </w:r>
      <w:r>
        <w:rPr>
          <w:rFonts w:hint="eastAsia" w:ascii="仿宋" w:hAnsi="仿宋" w:eastAsia="仿宋" w:cs="仿宋_GB2312"/>
          <w:b/>
          <w:color w:val="auto"/>
          <w:highlight w:val="none"/>
        </w:rPr>
        <w:t>投标人的投标文件未按照招标文件要求签署、盖章的，其投标无效</w:t>
      </w:r>
      <w:r>
        <w:rPr>
          <w:rFonts w:hint="eastAsia" w:ascii="仿宋" w:hAnsi="仿宋" w:eastAsia="仿宋" w:cs="仿宋_GB2312"/>
          <w:color w:val="auto"/>
          <w:szCs w:val="24"/>
          <w:highlight w:val="none"/>
        </w:rPr>
        <w:t>。</w:t>
      </w:r>
    </w:p>
    <w:p w14:paraId="4B55BA11">
      <w:pPr>
        <w:pStyle w:val="203"/>
        <w:snapToGrid w:val="0"/>
        <w:spacing w:before="0"/>
        <w:ind w:firstLine="480"/>
        <w:rPr>
          <w:rFonts w:ascii="仿宋" w:hAnsi="仿宋" w:eastAsia="仿宋" w:cs="仿宋_GB2312"/>
          <w:color w:val="auto"/>
          <w:szCs w:val="24"/>
          <w:highlight w:val="none"/>
        </w:rPr>
      </w:pPr>
      <w:r>
        <w:rPr>
          <w:rFonts w:hint="eastAsia" w:ascii="仿宋" w:hAnsi="仿宋" w:eastAsia="仿宋"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bookmarkEnd w:id="54"/>
    <w:bookmarkEnd w:id="55"/>
    <w:p w14:paraId="6DED04B5">
      <w:pPr>
        <w:snapToGrid w:val="0"/>
        <w:spacing w:line="360" w:lineRule="auto"/>
        <w:ind w:firstLine="480" w:firstLineChars="200"/>
        <w:rPr>
          <w:rFonts w:ascii="仿宋" w:hAnsi="仿宋" w:eastAsia="仿宋" w:cs="仿宋_GB2312"/>
          <w:b/>
          <w:color w:val="auto"/>
          <w:highlight w:val="none"/>
        </w:rPr>
      </w:pPr>
      <w:r>
        <w:rPr>
          <w:rFonts w:hint="eastAsia" w:ascii="仿宋" w:hAnsi="仿宋" w:eastAsia="仿宋" w:cs="仿宋_GB2312"/>
          <w:b/>
          <w:color w:val="auto"/>
          <w:highlight w:val="none"/>
        </w:rPr>
        <w:t>14. 投标文件的提交、补充、修改、撤回</w:t>
      </w:r>
    </w:p>
    <w:p w14:paraId="178293D0">
      <w:pPr>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85CE655">
      <w:pPr>
        <w:pStyle w:val="203"/>
        <w:spacing w:before="0"/>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14.2</w:t>
      </w:r>
      <w:r>
        <w:rPr>
          <w:rFonts w:hint="eastAsia" w:ascii="仿宋" w:hAnsi="仿宋" w:eastAsia="仿宋" w:cs="宋体"/>
          <w:color w:val="auto"/>
          <w:szCs w:val="24"/>
          <w:highlight w:val="none"/>
        </w:rPr>
        <w:t>电子交易平台收到投标文件，将妥善保存并即时向供应商发出确认回执通知。</w:t>
      </w:r>
      <w:r>
        <w:rPr>
          <w:rFonts w:hint="eastAsia" w:ascii="仿宋" w:hAnsi="仿宋" w:eastAsia="仿宋" w:cs="仿宋_GB2312"/>
          <w:color w:val="auto"/>
          <w:szCs w:val="24"/>
          <w:highlight w:val="none"/>
        </w:rPr>
        <w:t>在投标截止时间前，除供应商补充、修改或者撤回投标文件外，任何单位和个人不得解密或提取投标文件。</w:t>
      </w:r>
    </w:p>
    <w:p w14:paraId="05D46B8D">
      <w:pPr>
        <w:pStyle w:val="203"/>
        <w:spacing w:before="0"/>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14.3采购人、代理机构可以视情况延长投标文件提交的截止时间。在上述情况下，采购代理机构与投标人以前在投标截止期方面的全部权利、责任和义务，将适用于延长至新的投标截止期。</w:t>
      </w:r>
    </w:p>
    <w:p w14:paraId="58169BC7">
      <w:pPr>
        <w:pStyle w:val="24"/>
        <w:spacing w:line="360" w:lineRule="auto"/>
        <w:ind w:firstLine="480" w:firstLineChars="200"/>
        <w:rPr>
          <w:rFonts w:ascii="仿宋" w:hAnsi="仿宋" w:eastAsia="仿宋" w:cs="宋体"/>
          <w:b/>
          <w:color w:val="auto"/>
          <w:szCs w:val="24"/>
          <w:highlight w:val="none"/>
        </w:rPr>
      </w:pPr>
      <w:r>
        <w:rPr>
          <w:rFonts w:hint="eastAsia" w:ascii="仿宋" w:hAnsi="仿宋" w:eastAsia="仿宋" w:cs="宋体"/>
          <w:b/>
          <w:color w:val="auto"/>
          <w:szCs w:val="24"/>
          <w:highlight w:val="none"/>
        </w:rPr>
        <w:t>15.备份投标文件</w:t>
      </w:r>
    </w:p>
    <w:p w14:paraId="774B114E">
      <w:pPr>
        <w:pStyle w:val="24"/>
        <w:spacing w:line="360" w:lineRule="auto"/>
        <w:ind w:firstLine="360" w:firstLineChars="150"/>
        <w:rPr>
          <w:rFonts w:ascii="仿宋" w:hAnsi="仿宋" w:eastAsia="仿宋" w:cs="宋体"/>
          <w:b/>
          <w:color w:val="auto"/>
          <w:szCs w:val="24"/>
          <w:highlight w:val="none"/>
        </w:rPr>
      </w:pPr>
      <w:r>
        <w:rPr>
          <w:rFonts w:hint="eastAsia" w:ascii="仿宋" w:hAnsi="仿宋" w:eastAsia="仿宋" w:cs="宋体"/>
          <w:color w:val="auto"/>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宋体"/>
          <w:b/>
          <w:color w:val="auto"/>
          <w:szCs w:val="24"/>
          <w:highlight w:val="none"/>
        </w:rPr>
        <w:t>但采购人、采购代理机构不强制或变相强制投标人提交备份投标文件。</w:t>
      </w:r>
    </w:p>
    <w:p w14:paraId="76267CD7">
      <w:pPr>
        <w:pStyle w:val="24"/>
        <w:spacing w:line="360" w:lineRule="auto"/>
        <w:ind w:firstLine="480" w:firstLineChars="200"/>
        <w:rPr>
          <w:rFonts w:ascii="仿宋" w:hAnsi="仿宋" w:eastAsia="仿宋" w:cs="宋体"/>
          <w:b/>
          <w:color w:val="auto"/>
          <w:szCs w:val="24"/>
          <w:highlight w:val="none"/>
        </w:rPr>
      </w:pPr>
      <w:r>
        <w:rPr>
          <w:rFonts w:hint="eastAsia" w:ascii="仿宋" w:hAnsi="仿宋" w:eastAsia="仿宋" w:cs="宋体"/>
          <w:color w:val="auto"/>
          <w:szCs w:val="24"/>
          <w:highlight w:val="none"/>
        </w:rPr>
        <w:t>15.2备份投标文件须在“政采云投标客户端”制作生成，并储存在</w:t>
      </w:r>
      <w:r>
        <w:rPr>
          <w:rFonts w:hint="eastAsia" w:ascii="仿宋" w:hAnsi="仿宋" w:eastAsia="仿宋" w:cs="宋体"/>
          <w:color w:val="auto"/>
          <w:highlight w:val="none"/>
        </w:rPr>
        <w:t>DVD光盘等存储介质</w:t>
      </w:r>
      <w:r>
        <w:rPr>
          <w:rFonts w:hint="eastAsia" w:ascii="仿宋" w:hAnsi="仿宋" w:eastAsia="仿宋" w:cs="宋体"/>
          <w:color w:val="auto"/>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color w:val="auto"/>
          <w:highlight w:val="none"/>
        </w:rPr>
        <w:t>不符合上述制作、</w:t>
      </w:r>
      <w:r>
        <w:rPr>
          <w:rFonts w:hint="eastAsia" w:ascii="仿宋" w:hAnsi="仿宋" w:eastAsia="仿宋" w:cs="宋体"/>
          <w:b/>
          <w:color w:val="auto"/>
          <w:szCs w:val="24"/>
          <w:highlight w:val="none"/>
        </w:rPr>
        <w:t>存储、密封规定的备份投标文件将被视为无效或者被拒绝接收。</w:t>
      </w:r>
    </w:p>
    <w:p w14:paraId="3D47BADC">
      <w:pPr>
        <w:pStyle w:val="24"/>
        <w:spacing w:line="360" w:lineRule="auto"/>
        <w:ind w:firstLine="480" w:firstLineChars="200"/>
        <w:rPr>
          <w:rFonts w:ascii="仿宋" w:hAnsi="仿宋" w:eastAsia="仿宋" w:cs="宋体"/>
          <w:color w:val="auto"/>
          <w:szCs w:val="24"/>
          <w:highlight w:val="none"/>
        </w:rPr>
      </w:pPr>
      <w:r>
        <w:rPr>
          <w:rFonts w:hint="eastAsia" w:ascii="仿宋" w:hAnsi="仿宋" w:eastAsia="仿宋" w:cs="宋体"/>
          <w:color w:val="auto"/>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24183374">
      <w:pPr>
        <w:pStyle w:val="24"/>
        <w:spacing w:line="360" w:lineRule="auto"/>
        <w:ind w:firstLine="480" w:firstLineChars="200"/>
        <w:rPr>
          <w:rFonts w:ascii="仿宋" w:hAnsi="仿宋" w:eastAsia="仿宋" w:cs="宋体"/>
          <w:color w:val="auto"/>
          <w:szCs w:val="24"/>
          <w:highlight w:val="none"/>
        </w:rPr>
      </w:pPr>
      <w:r>
        <w:rPr>
          <w:rFonts w:hint="eastAsia" w:ascii="仿宋" w:hAnsi="仿宋" w:eastAsia="仿宋" w:cs="宋体"/>
          <w:color w:val="auto"/>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宋体"/>
          <w:snapToGrid/>
          <w:color w:val="auto"/>
          <w:szCs w:val="24"/>
          <w:highlight w:val="none"/>
        </w:rPr>
        <w:t>招标文件第二部分投标人须知前附表规定的备份投标文件送达地点；</w:t>
      </w:r>
      <w:r>
        <w:rPr>
          <w:rFonts w:hint="eastAsia" w:ascii="仿宋" w:hAnsi="仿宋" w:eastAsia="仿宋" w:cs="宋体"/>
          <w:color w:val="auto"/>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3046606B">
      <w:pPr>
        <w:pStyle w:val="203"/>
        <w:spacing w:before="0"/>
        <w:ind w:firstLine="482"/>
        <w:rPr>
          <w:rFonts w:ascii="仿宋" w:hAnsi="仿宋" w:eastAsia="仿宋" w:cs="仿宋_GB2312"/>
          <w:color w:val="auto"/>
          <w:szCs w:val="24"/>
          <w:highlight w:val="none"/>
        </w:rPr>
      </w:pPr>
      <w:r>
        <w:rPr>
          <w:rFonts w:hint="eastAsia" w:ascii="仿宋" w:hAnsi="仿宋" w:eastAsia="仿宋" w:cs="宋体"/>
          <w:b/>
          <w:color w:val="auto"/>
          <w:szCs w:val="24"/>
          <w:highlight w:val="none"/>
        </w:rPr>
        <w:t>15.5投标人仅提交备份投标文件，未在电子交易平台传输递交投标文件的，投标无效。</w:t>
      </w:r>
    </w:p>
    <w:p w14:paraId="61B3BE74">
      <w:pPr>
        <w:pStyle w:val="203"/>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16.投标文件的无效处理</w:t>
      </w:r>
    </w:p>
    <w:p w14:paraId="47B5F016">
      <w:pPr>
        <w:pStyle w:val="20"/>
        <w:spacing w:line="360" w:lineRule="auto"/>
        <w:ind w:left="480"/>
        <w:rPr>
          <w:rFonts w:ascii="仿宋" w:hAnsi="仿宋" w:eastAsia="仿宋" w:cs="仿宋_GB2312"/>
          <w:color w:val="auto"/>
          <w:szCs w:val="21"/>
          <w:highlight w:val="none"/>
        </w:rPr>
      </w:pPr>
      <w:r>
        <w:rPr>
          <w:rFonts w:hint="eastAsia" w:ascii="仿宋" w:hAnsi="仿宋" w:eastAsia="仿宋" w:cs="仿宋_GB2312"/>
          <w:color w:val="auto"/>
          <w:szCs w:val="21"/>
          <w:highlight w:val="none"/>
        </w:rPr>
        <w:t>有招标文件第四部分 “投标无效”章节</w:t>
      </w:r>
      <w:r>
        <w:rPr>
          <w:rFonts w:hint="eastAsia" w:ascii="仿宋" w:hAnsi="仿宋" w:eastAsia="仿宋"/>
          <w:color w:val="auto"/>
          <w:highlight w:val="none"/>
        </w:rPr>
        <w:t>规定</w:t>
      </w:r>
      <w:r>
        <w:rPr>
          <w:rFonts w:hint="eastAsia" w:ascii="仿宋" w:hAnsi="仿宋" w:eastAsia="仿宋" w:cs="仿宋_GB2312"/>
          <w:color w:val="auto"/>
          <w:szCs w:val="21"/>
          <w:highlight w:val="none"/>
        </w:rPr>
        <w:t>的情形之一的，投标无效：</w:t>
      </w:r>
    </w:p>
    <w:p w14:paraId="45CFA2F9">
      <w:pPr>
        <w:pStyle w:val="203"/>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17.投标有效期</w:t>
      </w:r>
    </w:p>
    <w:p w14:paraId="0BC03FBB">
      <w:pPr>
        <w:spacing w:line="360" w:lineRule="auto"/>
        <w:ind w:firstLine="480" w:firstLineChars="200"/>
        <w:rPr>
          <w:rFonts w:ascii="仿宋" w:hAnsi="仿宋" w:eastAsia="仿宋" w:cs="仿宋_GB2312"/>
          <w:color w:val="auto"/>
          <w:szCs w:val="20"/>
          <w:highlight w:val="none"/>
        </w:rPr>
      </w:pPr>
      <w:r>
        <w:rPr>
          <w:rFonts w:hint="eastAsia" w:ascii="仿宋" w:hAnsi="仿宋" w:eastAsia="仿宋" w:cs="仿宋_GB2312"/>
          <w:color w:val="auto"/>
          <w:szCs w:val="20"/>
          <w:highlight w:val="none"/>
        </w:rPr>
        <w:t>17.1投标有效期为从提交投标文件的截止之日起90天。</w:t>
      </w:r>
    </w:p>
    <w:p w14:paraId="281D3517">
      <w:pPr>
        <w:spacing w:line="360" w:lineRule="auto"/>
        <w:ind w:firstLine="480" w:firstLineChars="200"/>
        <w:rPr>
          <w:rFonts w:ascii="仿宋" w:hAnsi="仿宋" w:eastAsia="仿宋" w:cs="仿宋_GB2312"/>
          <w:b/>
          <w:color w:val="auto"/>
          <w:szCs w:val="21"/>
          <w:highlight w:val="none"/>
        </w:rPr>
      </w:pPr>
      <w:r>
        <w:rPr>
          <w:rFonts w:hint="eastAsia" w:ascii="仿宋" w:hAnsi="仿宋" w:eastAsia="仿宋" w:cs="仿宋_GB2312"/>
          <w:color w:val="auto"/>
          <w:szCs w:val="20"/>
          <w:highlight w:val="none"/>
        </w:rPr>
        <w:t>▲</w:t>
      </w:r>
      <w:r>
        <w:rPr>
          <w:rFonts w:hint="eastAsia" w:ascii="仿宋" w:hAnsi="仿宋" w:eastAsia="仿宋" w:cs="仿宋_GB2312"/>
          <w:b/>
          <w:color w:val="auto"/>
          <w:szCs w:val="20"/>
          <w:highlight w:val="none"/>
        </w:rPr>
        <w:t>投标人的投标文件中承</w:t>
      </w:r>
      <w:r>
        <w:rPr>
          <w:rFonts w:hint="eastAsia" w:ascii="仿宋" w:hAnsi="仿宋" w:eastAsia="仿宋" w:cs="仿宋_GB2312"/>
          <w:b/>
          <w:color w:val="auto"/>
          <w:szCs w:val="21"/>
          <w:highlight w:val="none"/>
        </w:rPr>
        <w:t>诺的投标有效期少于招标文件中载明的投标有效期的，投标无效。</w:t>
      </w:r>
    </w:p>
    <w:p w14:paraId="7E27C2CF">
      <w:pPr>
        <w:pStyle w:val="203"/>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17.2投标文件合格投递后，自投标截止日期起，在投标有效期内有效。投标有效期内，投标人不得撤销或更换投标文件。</w:t>
      </w:r>
    </w:p>
    <w:p w14:paraId="0C6C7B44">
      <w:pPr>
        <w:pStyle w:val="203"/>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17.3在原定投标有效期满之前，如果出现特殊情况，采购代理机构可以以公告形式通知投标人延长投标有效期。投标人同意延长的，不得要求或被允许修改其投标文件，投标人拒绝延长的，其投标无效。</w:t>
      </w:r>
    </w:p>
    <w:p w14:paraId="4DFA6C55">
      <w:pPr>
        <w:pStyle w:val="203"/>
        <w:spacing w:before="0"/>
        <w:ind w:firstLine="643"/>
        <w:rPr>
          <w:rFonts w:ascii="仿宋" w:hAnsi="仿宋" w:eastAsia="仿宋" w:cs="仿宋_GB2312"/>
          <w:b/>
          <w:color w:val="auto"/>
          <w:sz w:val="32"/>
          <w:highlight w:val="none"/>
        </w:rPr>
      </w:pPr>
      <w:bookmarkStart w:id="60" w:name="_Toc91899897"/>
    </w:p>
    <w:p w14:paraId="62DAEDCB">
      <w:pPr>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四、开标</w:t>
      </w:r>
      <w:bookmarkEnd w:id="60"/>
      <w:r>
        <w:rPr>
          <w:rFonts w:hint="eastAsia" w:ascii="仿宋" w:hAnsi="仿宋" w:eastAsia="仿宋" w:cs="仿宋_GB2312"/>
          <w:b/>
          <w:color w:val="auto"/>
          <w:sz w:val="32"/>
          <w:szCs w:val="20"/>
          <w:highlight w:val="none"/>
        </w:rPr>
        <w:t>、资格审查与信用信息查询</w:t>
      </w:r>
    </w:p>
    <w:p w14:paraId="08971FD4">
      <w:pPr>
        <w:pStyle w:val="204"/>
        <w:spacing w:before="0" w:line="360" w:lineRule="auto"/>
        <w:ind w:left="0" w:firstLine="480" w:firstLineChars="200"/>
        <w:contextualSpacing/>
        <w:rPr>
          <w:rFonts w:ascii="仿宋_GB2312" w:eastAsia="仿宋_GB2312"/>
          <w:color w:val="auto"/>
          <w:sz w:val="24"/>
          <w:highlight w:val="none"/>
        </w:rPr>
      </w:pPr>
      <w:r>
        <w:rPr>
          <w:rFonts w:hint="eastAsia" w:ascii="仿宋" w:hAnsi="仿宋" w:eastAsia="仿宋" w:cs="仿宋_GB2312"/>
          <w:b/>
          <w:color w:val="auto"/>
          <w:sz w:val="24"/>
          <w:szCs w:val="24"/>
          <w:highlight w:val="none"/>
        </w:rPr>
        <w:t>18.开标</w:t>
      </w:r>
    </w:p>
    <w:p w14:paraId="29B3A148">
      <w:pPr>
        <w:pStyle w:val="204"/>
        <w:spacing w:before="0" w:line="360" w:lineRule="auto"/>
        <w:ind w:left="0" w:firstLine="480" w:firstLineChars="200"/>
        <w:contextualSpacing/>
        <w:rPr>
          <w:rFonts w:ascii="仿宋" w:hAnsi="仿宋" w:eastAsia="仿宋" w:cs="仿宋_GB2312"/>
          <w:color w:val="auto"/>
          <w:sz w:val="24"/>
          <w:highlight w:val="none"/>
        </w:rPr>
      </w:pPr>
      <w:r>
        <w:rPr>
          <w:rFonts w:hint="eastAsia" w:ascii="仿宋" w:hAnsi="仿宋" w:eastAsia="仿宋" w:cs="仿宋_GB2312"/>
          <w:color w:val="auto"/>
          <w:sz w:val="24"/>
          <w:highlight w:val="none"/>
        </w:rPr>
        <w:t>18.1采购代理机构按照招标文件规定的时间通过电子交易平台组织开标，所有投标人均应当准时在线参加</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投标人不足3家的，不得开标。</w:t>
      </w:r>
    </w:p>
    <w:p w14:paraId="230763A5">
      <w:pPr>
        <w:pStyle w:val="204"/>
        <w:spacing w:before="0" w:line="360" w:lineRule="auto"/>
        <w:ind w:left="0" w:firstLine="480" w:firstLineChars="200"/>
        <w:contextualSpacing/>
        <w:rPr>
          <w:rFonts w:ascii="仿宋" w:hAnsi="仿宋" w:eastAsia="仿宋" w:cs="仿宋_GB2312"/>
          <w:color w:val="auto"/>
          <w:sz w:val="24"/>
          <w:highlight w:val="none"/>
        </w:rPr>
      </w:pPr>
      <w:r>
        <w:rPr>
          <w:rFonts w:hint="eastAsia" w:ascii="仿宋" w:hAnsi="仿宋" w:eastAsia="仿宋" w:cs="仿宋_GB2312"/>
          <w:color w:val="auto"/>
          <w:sz w:val="24"/>
          <w:highlight w:val="none"/>
        </w:rPr>
        <w:t>18.2开标时，电子交易平台按开标时间自动提取所有投标文件。采购代理机构依托电子交易平台发起开始解密指令，投标人按照平台提示和招标文件的规定在30分钟内完成在线解密。</w:t>
      </w:r>
    </w:p>
    <w:p w14:paraId="4B2C430C">
      <w:pPr>
        <w:pStyle w:val="204"/>
        <w:spacing w:before="0" w:line="360" w:lineRule="auto"/>
        <w:ind w:left="0" w:firstLine="480" w:firstLineChars="200"/>
        <w:contextualSpacing/>
        <w:rPr>
          <w:rFonts w:ascii="仿宋" w:hAnsi="仿宋" w:eastAsia="仿宋" w:cs="仿宋_GB2312"/>
          <w:color w:val="auto"/>
          <w:sz w:val="24"/>
          <w:highlight w:val="none"/>
        </w:rPr>
      </w:pPr>
      <w:r>
        <w:rPr>
          <w:rFonts w:hint="eastAsia" w:ascii="仿宋" w:hAnsi="仿宋" w:eastAsia="仿宋" w:cs="仿宋_GB2312"/>
          <w:b/>
          <w:color w:val="auto"/>
          <w:sz w:val="24"/>
          <w:highlight w:val="none"/>
        </w:rPr>
        <w:t>19、资格审查</w:t>
      </w:r>
    </w:p>
    <w:p w14:paraId="47C4057C">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19.1开标后，采购人或采购代理机构将依法对投标人的资格进行审查。</w:t>
      </w:r>
    </w:p>
    <w:p w14:paraId="38499ACD">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Arial"/>
          <w:color w:val="auto"/>
          <w:highlight w:val="none"/>
        </w:rPr>
        <w:t>19.2</w:t>
      </w:r>
      <w:r>
        <w:rPr>
          <w:rFonts w:hint="eastAsia" w:ascii="仿宋" w:hAnsi="仿宋" w:eastAsia="仿宋" w:cs="仿宋_GB2312"/>
          <w:color w:val="auto"/>
          <w:highlight w:val="none"/>
        </w:rPr>
        <w:t>采购人或采购代理机构依据法律法规和招标文件的规定，对投标人的基本资格条件、特定资格条件进行审查。</w:t>
      </w:r>
    </w:p>
    <w:p w14:paraId="1F053F85">
      <w:pPr>
        <w:pStyle w:val="203"/>
        <w:spacing w:before="0"/>
        <w:ind w:firstLine="480"/>
        <w:rPr>
          <w:rFonts w:ascii="仿宋" w:hAnsi="仿宋" w:eastAsia="仿宋" w:cs="仿宋_GB2312"/>
          <w:color w:val="auto"/>
          <w:highlight w:val="none"/>
        </w:rPr>
      </w:pPr>
      <w:r>
        <w:rPr>
          <w:rFonts w:hint="eastAsia" w:ascii="仿宋" w:hAnsi="仿宋" w:eastAsia="仿宋" w:cs="Arial"/>
          <w:color w:val="auto"/>
          <w:szCs w:val="24"/>
          <w:highlight w:val="none"/>
        </w:rPr>
        <w:t>19.3投标人未按照招标文件要求提供与</w:t>
      </w:r>
      <w:r>
        <w:rPr>
          <w:rFonts w:hint="eastAsia" w:ascii="仿宋" w:hAnsi="仿宋" w:eastAsia="仿宋" w:cs="仿宋_GB2312"/>
          <w:color w:val="auto"/>
          <w:highlight w:val="none"/>
        </w:rPr>
        <w:t>基本资格条件、特定资格条件相应的</w:t>
      </w:r>
      <w:r>
        <w:rPr>
          <w:rFonts w:hint="eastAsia" w:ascii="仿宋" w:hAnsi="仿宋" w:eastAsia="仿宋" w:cs="Arial"/>
          <w:color w:val="auto"/>
          <w:szCs w:val="24"/>
          <w:highlight w:val="none"/>
        </w:rPr>
        <w:t>有效资格证明材料的，视为</w:t>
      </w:r>
      <w:r>
        <w:rPr>
          <w:rFonts w:hint="eastAsia" w:ascii="仿宋" w:hAnsi="仿宋" w:eastAsia="仿宋" w:cs="仿宋_GB2312"/>
          <w:color w:val="auto"/>
          <w:highlight w:val="none"/>
        </w:rPr>
        <w:t>投标人不具备招标文件中规定的资格要求，其投标无效。</w:t>
      </w:r>
    </w:p>
    <w:p w14:paraId="24937205">
      <w:pPr>
        <w:pStyle w:val="203"/>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19.4对未通过资格审查的投标人，采购人或采购代理机构告知其未通过的原因。</w:t>
      </w:r>
    </w:p>
    <w:p w14:paraId="22089174">
      <w:pPr>
        <w:pStyle w:val="203"/>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19.5合格投标人不足3家的，不再评标。</w:t>
      </w:r>
    </w:p>
    <w:p w14:paraId="79F9AAA1">
      <w:pPr>
        <w:pStyle w:val="203"/>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20、信用信息查询</w:t>
      </w:r>
    </w:p>
    <w:p w14:paraId="5C6C04F9">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20.1信用信息查询渠道及截止时间：采购人或</w:t>
      </w:r>
      <w:r>
        <w:rPr>
          <w:rFonts w:ascii="仿宋" w:hAnsi="仿宋" w:eastAsia="仿宋" w:cs="Arial"/>
          <w:color w:val="auto"/>
          <w:szCs w:val="24"/>
          <w:highlight w:val="none"/>
        </w:rPr>
        <w:t>采购代理机构</w:t>
      </w:r>
      <w:r>
        <w:rPr>
          <w:rFonts w:hint="eastAsia" w:ascii="仿宋" w:hAnsi="仿宋" w:eastAsia="仿宋" w:cs="Arial"/>
          <w:color w:val="auto"/>
          <w:szCs w:val="24"/>
          <w:highlight w:val="none"/>
        </w:rPr>
        <w:t>将通过“信用中国”网站(www.creditchina.gov.cn)、中国政府采购网(www.ccgp.gov.cn)渠道查询投标人投标截止时间当天的信用记录。</w:t>
      </w:r>
    </w:p>
    <w:p w14:paraId="4B1CBBD6">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20.2信用信息查询记录和证据留存的具体方式：现场查询的投标人的信用记录、查询结果经确认后将与采购文件一起存档。</w:t>
      </w:r>
    </w:p>
    <w:p w14:paraId="11DE6B1E">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20.3信用信息的使用规则：经查询列入失信被执行人名单、重大税收违法案件当事人名单、政府采购严重违法失信行为记录名单的投标人将被拒绝参与政府采购活动。</w:t>
      </w:r>
    </w:p>
    <w:p w14:paraId="10983A63">
      <w:pPr>
        <w:pStyle w:val="203"/>
        <w:spacing w:before="0"/>
        <w:ind w:firstLine="480"/>
        <w:rPr>
          <w:rFonts w:ascii="仿宋" w:hAnsi="仿宋" w:eastAsia="仿宋" w:cs="仿宋_GB2312"/>
          <w:color w:val="auto"/>
          <w:highlight w:val="none"/>
        </w:rPr>
      </w:pPr>
      <w:r>
        <w:rPr>
          <w:rFonts w:hint="eastAsia" w:ascii="仿宋" w:hAnsi="仿宋" w:eastAsia="仿宋" w:cs="Arial"/>
          <w:color w:val="auto"/>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color w:val="auto"/>
          <w:highlight w:val="none"/>
        </w:rPr>
        <w:t>。</w:t>
      </w:r>
    </w:p>
    <w:p w14:paraId="1AC62B4D">
      <w:pPr>
        <w:pStyle w:val="203"/>
        <w:spacing w:before="0"/>
        <w:ind w:firstLine="0" w:firstLineChars="0"/>
        <w:rPr>
          <w:rFonts w:ascii="仿宋" w:hAnsi="仿宋" w:eastAsia="仿宋" w:cs="Arial"/>
          <w:color w:val="auto"/>
          <w:szCs w:val="24"/>
          <w:highlight w:val="none"/>
        </w:rPr>
      </w:pPr>
    </w:p>
    <w:p w14:paraId="4766EAC3">
      <w:pPr>
        <w:spacing w:line="360" w:lineRule="auto"/>
        <w:jc w:val="center"/>
        <w:outlineLvl w:val="0"/>
        <w:rPr>
          <w:rFonts w:ascii="仿宋" w:hAnsi="仿宋" w:eastAsia="仿宋" w:cs="仿宋_GB2312"/>
          <w:b/>
          <w:color w:val="auto"/>
          <w:sz w:val="32"/>
          <w:szCs w:val="20"/>
          <w:highlight w:val="none"/>
        </w:rPr>
      </w:pPr>
      <w:bookmarkStart w:id="61" w:name="_Hlt75236101"/>
      <w:bookmarkEnd w:id="61"/>
      <w:bookmarkStart w:id="62" w:name="_Toc91899902"/>
      <w:r>
        <w:rPr>
          <w:rFonts w:hint="eastAsia" w:ascii="仿宋" w:hAnsi="仿宋" w:eastAsia="仿宋" w:cs="仿宋_GB2312"/>
          <w:b/>
          <w:color w:val="auto"/>
          <w:sz w:val="32"/>
          <w:szCs w:val="20"/>
          <w:highlight w:val="none"/>
        </w:rPr>
        <w:t>五、评标</w:t>
      </w:r>
      <w:bookmarkEnd w:id="62"/>
    </w:p>
    <w:p w14:paraId="29639F2B">
      <w:pPr>
        <w:spacing w:line="360" w:lineRule="auto"/>
        <w:ind w:firstLine="480" w:firstLineChars="200"/>
        <w:rPr>
          <w:rFonts w:ascii="仿宋" w:hAnsi="仿宋" w:eastAsia="仿宋" w:cs="仿宋_GB2312"/>
          <w:b/>
          <w:color w:val="auto"/>
          <w:highlight w:val="none"/>
        </w:rPr>
      </w:pPr>
      <w:r>
        <w:rPr>
          <w:rFonts w:hint="eastAsia" w:ascii="仿宋" w:hAnsi="仿宋" w:eastAsia="仿宋" w:cs="仿宋_GB2312"/>
          <w:b/>
          <w:color w:val="auto"/>
          <w:highlight w:val="none"/>
        </w:rPr>
        <w:t>21.</w:t>
      </w:r>
      <w:r>
        <w:rPr>
          <w:rFonts w:hint="eastAsia" w:ascii="仿宋" w:hAnsi="仿宋" w:eastAsia="仿宋" w:cs="仿宋_GB2312"/>
          <w:color w:val="auto"/>
          <w:highlight w:val="none"/>
        </w:rPr>
        <w:t>详见招标文件第四部分“评标方法及评分标准”。</w:t>
      </w:r>
    </w:p>
    <w:p w14:paraId="56CECB6A">
      <w:pPr>
        <w:spacing w:line="360" w:lineRule="auto"/>
        <w:rPr>
          <w:rFonts w:ascii="仿宋" w:hAnsi="仿宋" w:eastAsia="仿宋" w:cs="仿宋_GB2312"/>
          <w:b/>
          <w:color w:val="auto"/>
          <w:highlight w:val="none"/>
        </w:rPr>
      </w:pPr>
    </w:p>
    <w:p w14:paraId="3CF12716">
      <w:pPr>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六、定标</w:t>
      </w:r>
    </w:p>
    <w:p w14:paraId="6C46D70E">
      <w:pPr>
        <w:pStyle w:val="20"/>
        <w:spacing w:line="360" w:lineRule="auto"/>
        <w:ind w:left="480" w:firstLine="482"/>
        <w:rPr>
          <w:rFonts w:ascii="仿宋" w:hAnsi="仿宋" w:eastAsia="仿宋" w:cs="仿宋_GB2312"/>
          <w:b/>
          <w:color w:val="auto"/>
          <w:highlight w:val="none"/>
        </w:rPr>
      </w:pPr>
      <w:r>
        <w:rPr>
          <w:rFonts w:hint="eastAsia" w:ascii="仿宋" w:hAnsi="仿宋" w:eastAsia="仿宋" w:cs="仿宋_GB2312"/>
          <w:b/>
          <w:color w:val="auto"/>
          <w:highlight w:val="none"/>
        </w:rPr>
        <w:t>22. 确定中标供应商</w:t>
      </w:r>
    </w:p>
    <w:p w14:paraId="32436298">
      <w:pPr>
        <w:pStyle w:val="203"/>
        <w:snapToGrid w:val="0"/>
        <w:spacing w:before="0"/>
        <w:ind w:firstLine="480"/>
        <w:rPr>
          <w:rFonts w:ascii="仿宋" w:hAnsi="仿宋" w:eastAsia="仿宋" w:cs="宋体"/>
          <w:b/>
          <w:color w:val="auto"/>
          <w:szCs w:val="24"/>
          <w:highlight w:val="none"/>
        </w:rPr>
      </w:pPr>
      <w:r>
        <w:rPr>
          <w:rFonts w:hint="eastAsia" w:ascii="仿宋" w:hAnsi="仿宋" w:eastAsia="仿宋"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AC99F62">
      <w:pPr>
        <w:pStyle w:val="203"/>
        <w:snapToGrid w:val="0"/>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23. 中标通知书与中标结果公告</w:t>
      </w:r>
    </w:p>
    <w:p w14:paraId="13FC7E8B">
      <w:pPr>
        <w:shd w:val="clear" w:color="auto" w:fill="FFFFFF"/>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23.1采购代理机构将在自中标人确定之日起2个工作日内，发布招标公告的网站上公告中标结果，同时发出中标通知书（中标人可在政采云平台自行下载中标通知书）。</w:t>
      </w:r>
    </w:p>
    <w:p w14:paraId="62FBE2CE">
      <w:pPr>
        <w:shd w:val="clear" w:color="auto" w:fill="FFFFFF"/>
        <w:spacing w:line="360" w:lineRule="auto"/>
        <w:ind w:firstLine="480"/>
        <w:rPr>
          <w:rFonts w:ascii="仿宋" w:hAnsi="仿宋" w:eastAsia="仿宋" w:cs="宋体"/>
          <w:color w:val="auto"/>
          <w:highlight w:val="none"/>
        </w:rPr>
      </w:pPr>
      <w:r>
        <w:rPr>
          <w:rFonts w:hint="eastAsia" w:ascii="仿宋" w:hAnsi="仿宋" w:eastAsia="仿宋" w:cs="仿宋_GB2312"/>
          <w:color w:val="auto"/>
          <w:highlight w:val="none"/>
        </w:rPr>
        <w:t>23.2</w:t>
      </w:r>
      <w:r>
        <w:rPr>
          <w:rFonts w:ascii="仿宋" w:hAnsi="仿宋" w:eastAsia="仿宋" w:cs="仿宋_GB2312"/>
          <w:color w:val="auto"/>
          <w:highlight w:val="none"/>
        </w:rPr>
        <w:t>中标结果公告内容包括采购人及其委托的采购代理机构的名称、地址、联系方式，项目名称和项目编号，中标人名称、地址和中标金额，主要中标标的的名称、规格型号、数量、单价、服务要求，</w:t>
      </w:r>
      <w:r>
        <w:rPr>
          <w:rFonts w:hint="eastAsia" w:ascii="仿宋" w:hAnsi="仿宋" w:eastAsia="仿宋" w:cs="宋体"/>
          <w:color w:val="auto"/>
          <w:highlight w:val="none"/>
        </w:rPr>
        <w:t>开标记录、资格审查情况、评审专家抽取规则、符合性审查情况、中标公告期限、评审专家名单、评分汇总及明细等。</w:t>
      </w:r>
    </w:p>
    <w:p w14:paraId="25845B20">
      <w:pPr>
        <w:shd w:val="clear" w:color="auto" w:fill="FFFFFF"/>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23.3</w:t>
      </w:r>
      <w:r>
        <w:rPr>
          <w:rFonts w:ascii="仿宋" w:hAnsi="仿宋" w:eastAsia="仿宋" w:cs="仿宋_GB2312"/>
          <w:color w:val="auto"/>
          <w:highlight w:val="none"/>
        </w:rPr>
        <w:t>公告期限为1个工作日。</w:t>
      </w:r>
    </w:p>
    <w:p w14:paraId="55EB6782">
      <w:pPr>
        <w:tabs>
          <w:tab w:val="left" w:pos="0"/>
        </w:tabs>
        <w:spacing w:line="360" w:lineRule="auto"/>
        <w:rPr>
          <w:rFonts w:ascii="仿宋" w:hAnsi="仿宋" w:eastAsia="仿宋"/>
          <w:color w:val="auto"/>
          <w:highlight w:val="none"/>
        </w:rPr>
      </w:pPr>
    </w:p>
    <w:p w14:paraId="6A9AE922">
      <w:pPr>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七、</w:t>
      </w:r>
      <w:r>
        <w:rPr>
          <w:rFonts w:ascii="仿宋" w:hAnsi="仿宋" w:eastAsia="仿宋" w:cs="仿宋_GB2312"/>
          <w:b/>
          <w:color w:val="auto"/>
          <w:sz w:val="32"/>
          <w:szCs w:val="20"/>
          <w:highlight w:val="none"/>
        </w:rPr>
        <w:t>电子</w:t>
      </w:r>
      <w:r>
        <w:rPr>
          <w:rFonts w:hint="eastAsia" w:ascii="仿宋" w:hAnsi="仿宋" w:eastAsia="仿宋" w:cs="仿宋_GB2312"/>
          <w:b/>
          <w:color w:val="auto"/>
          <w:sz w:val="32"/>
          <w:szCs w:val="20"/>
          <w:highlight w:val="none"/>
        </w:rPr>
        <w:t>交易活动的中止</w:t>
      </w:r>
    </w:p>
    <w:p w14:paraId="7861F78E">
      <w:pPr>
        <w:pStyle w:val="203"/>
        <w:snapToGrid w:val="0"/>
        <w:spacing w:before="0"/>
        <w:ind w:firstLine="482"/>
        <w:rPr>
          <w:rFonts w:ascii="仿宋" w:hAnsi="仿宋" w:eastAsia="仿宋" w:cs="仿宋_GB2312"/>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szCs w:val="24"/>
          <w:highlight w:val="none"/>
        </w:rPr>
        <w:t>4. 电子交易活动的中止。</w:t>
      </w:r>
      <w:r>
        <w:rPr>
          <w:rFonts w:hint="eastAsia" w:ascii="仿宋" w:hAnsi="仿宋" w:eastAsia="仿宋" w:cs="仿宋_GB2312"/>
          <w:color w:val="auto"/>
          <w:highlight w:val="none"/>
        </w:rPr>
        <w:t>采购过程中出现以下情形，</w:t>
      </w:r>
      <w:r>
        <w:rPr>
          <w:rFonts w:ascii="仿宋" w:hAnsi="仿宋" w:eastAsia="仿宋" w:cs="仿宋_GB2312"/>
          <w:color w:val="auto"/>
          <w:highlight w:val="none"/>
        </w:rPr>
        <w:t>导致</w:t>
      </w:r>
      <w:r>
        <w:rPr>
          <w:rFonts w:hint="eastAsia" w:ascii="仿宋" w:hAnsi="仿宋" w:eastAsia="仿宋" w:cs="仿宋_GB2312"/>
          <w:color w:val="auto"/>
          <w:highlight w:val="none"/>
        </w:rPr>
        <w:t>电子交易平台</w:t>
      </w:r>
      <w:r>
        <w:rPr>
          <w:rFonts w:ascii="仿宋" w:hAnsi="仿宋" w:eastAsia="仿宋" w:cs="仿宋_GB2312"/>
          <w:color w:val="auto"/>
          <w:highlight w:val="none"/>
        </w:rPr>
        <w:t>无法正常运行，或者无法保证电子</w:t>
      </w:r>
      <w:r>
        <w:rPr>
          <w:rFonts w:hint="eastAsia" w:ascii="仿宋" w:hAnsi="仿宋" w:eastAsia="仿宋" w:cs="仿宋_GB2312"/>
          <w:color w:val="auto"/>
          <w:highlight w:val="none"/>
        </w:rPr>
        <w:t>交易</w:t>
      </w:r>
      <w:r>
        <w:rPr>
          <w:rFonts w:ascii="仿宋" w:hAnsi="仿宋" w:eastAsia="仿宋" w:cs="仿宋_GB2312"/>
          <w:color w:val="auto"/>
          <w:highlight w:val="none"/>
        </w:rPr>
        <w:t>的公平、公正和安全时，</w:t>
      </w:r>
      <w:r>
        <w:rPr>
          <w:rFonts w:hint="eastAsia" w:ascii="仿宋" w:hAnsi="仿宋" w:eastAsia="仿宋" w:cs="仿宋_GB2312"/>
          <w:color w:val="auto"/>
          <w:highlight w:val="none"/>
        </w:rPr>
        <w:t>采购代理机构可</w:t>
      </w:r>
      <w:r>
        <w:rPr>
          <w:rFonts w:ascii="仿宋" w:hAnsi="仿宋" w:eastAsia="仿宋" w:cs="仿宋_GB2312"/>
          <w:color w:val="auto"/>
          <w:highlight w:val="none"/>
        </w:rPr>
        <w:t>中止电子</w:t>
      </w:r>
      <w:r>
        <w:rPr>
          <w:rFonts w:hint="eastAsia" w:ascii="仿宋" w:hAnsi="仿宋" w:eastAsia="仿宋" w:cs="仿宋_GB2312"/>
          <w:color w:val="auto"/>
          <w:highlight w:val="none"/>
        </w:rPr>
        <w:t>交易活动</w:t>
      </w:r>
      <w:r>
        <w:rPr>
          <w:rFonts w:ascii="仿宋" w:hAnsi="仿宋" w:eastAsia="仿宋" w:cs="仿宋_GB2312"/>
          <w:color w:val="auto"/>
          <w:highlight w:val="none"/>
        </w:rPr>
        <w:t>：</w:t>
      </w:r>
    </w:p>
    <w:p w14:paraId="200576E7">
      <w:pPr>
        <w:pStyle w:val="203"/>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24.1电子交易</w:t>
      </w:r>
      <w:r>
        <w:rPr>
          <w:rFonts w:ascii="仿宋" w:hAnsi="仿宋" w:eastAsia="仿宋" w:cs="仿宋_GB2312"/>
          <w:color w:val="auto"/>
          <w:highlight w:val="none"/>
        </w:rPr>
        <w:t>平台发生故障而无法</w:t>
      </w:r>
      <w:r>
        <w:rPr>
          <w:rFonts w:hint="eastAsia" w:ascii="仿宋" w:hAnsi="仿宋" w:eastAsia="仿宋" w:cs="仿宋_GB2312"/>
          <w:color w:val="auto"/>
          <w:highlight w:val="none"/>
        </w:rPr>
        <w:t>登录</w:t>
      </w:r>
      <w:r>
        <w:rPr>
          <w:rFonts w:ascii="仿宋" w:hAnsi="仿宋" w:eastAsia="仿宋" w:cs="仿宋_GB2312"/>
          <w:color w:val="auto"/>
          <w:highlight w:val="none"/>
        </w:rPr>
        <w:t xml:space="preserve">访问的； </w:t>
      </w:r>
    </w:p>
    <w:p w14:paraId="27876239">
      <w:pPr>
        <w:pStyle w:val="203"/>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24.2电子交易</w:t>
      </w:r>
      <w:r>
        <w:rPr>
          <w:rFonts w:ascii="仿宋" w:hAnsi="仿宋" w:eastAsia="仿宋" w:cs="仿宋_GB2312"/>
          <w:color w:val="auto"/>
          <w:highlight w:val="none"/>
        </w:rPr>
        <w:t>平台应用或数据库出现错误，不能进行正常操作</w:t>
      </w:r>
      <w:r>
        <w:rPr>
          <w:rFonts w:hint="eastAsia" w:ascii="仿宋" w:hAnsi="仿宋" w:eastAsia="仿宋" w:cs="仿宋_GB2312"/>
          <w:color w:val="auto"/>
          <w:highlight w:val="none"/>
        </w:rPr>
        <w:t>的</w:t>
      </w:r>
      <w:r>
        <w:rPr>
          <w:rFonts w:ascii="仿宋" w:hAnsi="仿宋" w:eastAsia="仿宋" w:cs="仿宋_GB2312"/>
          <w:color w:val="auto"/>
          <w:highlight w:val="none"/>
        </w:rPr>
        <w:t>；</w:t>
      </w:r>
    </w:p>
    <w:p w14:paraId="374B26B2">
      <w:pPr>
        <w:pStyle w:val="203"/>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24.3电子交易</w:t>
      </w:r>
      <w:r>
        <w:rPr>
          <w:rFonts w:ascii="仿宋" w:hAnsi="仿宋" w:eastAsia="仿宋" w:cs="仿宋_GB2312"/>
          <w:color w:val="auto"/>
          <w:highlight w:val="none"/>
        </w:rPr>
        <w:t>平台发现</w:t>
      </w:r>
      <w:r>
        <w:rPr>
          <w:rFonts w:hint="eastAsia" w:ascii="仿宋" w:hAnsi="仿宋" w:eastAsia="仿宋" w:cs="仿宋_GB2312"/>
          <w:color w:val="auto"/>
          <w:highlight w:val="none"/>
        </w:rPr>
        <w:t>严重</w:t>
      </w:r>
      <w:r>
        <w:rPr>
          <w:rFonts w:ascii="仿宋" w:hAnsi="仿宋" w:eastAsia="仿宋" w:cs="仿宋_GB2312"/>
          <w:color w:val="auto"/>
          <w:highlight w:val="none"/>
        </w:rPr>
        <w:t>安全漏洞，有潜在泄密危险的</w:t>
      </w:r>
      <w:r>
        <w:rPr>
          <w:rFonts w:hint="eastAsia" w:ascii="仿宋" w:hAnsi="仿宋" w:eastAsia="仿宋" w:cs="仿宋_GB2312"/>
          <w:color w:val="auto"/>
          <w:highlight w:val="none"/>
        </w:rPr>
        <w:t>；</w:t>
      </w:r>
    </w:p>
    <w:p w14:paraId="781573CD">
      <w:pPr>
        <w:pStyle w:val="203"/>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24.4</w:t>
      </w:r>
      <w:r>
        <w:rPr>
          <w:rFonts w:ascii="仿宋" w:hAnsi="仿宋" w:eastAsia="仿宋" w:cs="仿宋_GB2312"/>
          <w:color w:val="auto"/>
          <w:highlight w:val="none"/>
        </w:rPr>
        <w:t>病毒发作</w:t>
      </w:r>
      <w:r>
        <w:rPr>
          <w:rFonts w:hint="eastAsia" w:ascii="仿宋" w:hAnsi="仿宋" w:eastAsia="仿宋" w:cs="仿宋_GB2312"/>
          <w:color w:val="auto"/>
          <w:highlight w:val="none"/>
        </w:rPr>
        <w:t>导致不能进行</w:t>
      </w:r>
      <w:r>
        <w:rPr>
          <w:rFonts w:ascii="仿宋" w:hAnsi="仿宋" w:eastAsia="仿宋" w:cs="仿宋_GB2312"/>
          <w:color w:val="auto"/>
          <w:highlight w:val="none"/>
        </w:rPr>
        <w:t xml:space="preserve">正常操作的； </w:t>
      </w:r>
    </w:p>
    <w:p w14:paraId="1F731721">
      <w:pPr>
        <w:pStyle w:val="203"/>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24.5其他</w:t>
      </w:r>
      <w:r>
        <w:rPr>
          <w:rFonts w:ascii="仿宋" w:hAnsi="仿宋" w:eastAsia="仿宋" w:cs="仿宋_GB2312"/>
          <w:color w:val="auto"/>
          <w:highlight w:val="none"/>
        </w:rPr>
        <w:t>无法保证</w:t>
      </w:r>
      <w:r>
        <w:rPr>
          <w:rFonts w:hint="eastAsia" w:ascii="仿宋" w:hAnsi="仿宋" w:eastAsia="仿宋" w:cs="仿宋_GB2312"/>
          <w:color w:val="auto"/>
          <w:highlight w:val="none"/>
        </w:rPr>
        <w:t>电子交易</w:t>
      </w:r>
      <w:r>
        <w:rPr>
          <w:rFonts w:ascii="仿宋" w:hAnsi="仿宋" w:eastAsia="仿宋" w:cs="仿宋_GB2312"/>
          <w:color w:val="auto"/>
          <w:highlight w:val="none"/>
        </w:rPr>
        <w:t>的公平、公正和安全的情况。</w:t>
      </w:r>
    </w:p>
    <w:p w14:paraId="058DDC04">
      <w:pPr>
        <w:pStyle w:val="203"/>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出现</w:t>
      </w:r>
      <w:r>
        <w:rPr>
          <w:rFonts w:hint="eastAsia" w:ascii="仿宋" w:hAnsi="仿宋" w:eastAsia="仿宋" w:cs="仿宋_GB2312"/>
          <w:color w:val="auto"/>
          <w:highlight w:val="none"/>
        </w:rPr>
        <w:t>以上情形</w:t>
      </w:r>
      <w:r>
        <w:rPr>
          <w:rFonts w:ascii="仿宋" w:hAnsi="仿宋" w:eastAsia="仿宋" w:cs="仿宋_GB2312"/>
          <w:color w:val="auto"/>
          <w:highlight w:val="none"/>
        </w:rPr>
        <w:t>，</w:t>
      </w:r>
      <w:r>
        <w:rPr>
          <w:rFonts w:hint="eastAsia" w:ascii="仿宋" w:hAnsi="仿宋" w:eastAsia="仿宋" w:cs="仿宋_GB2312"/>
          <w:color w:val="auto"/>
          <w:highlight w:val="none"/>
        </w:rPr>
        <w:t>不影响采购公平、公正性的，采购组织机构可以</w:t>
      </w:r>
      <w:r>
        <w:rPr>
          <w:rFonts w:ascii="仿宋" w:hAnsi="仿宋" w:eastAsia="仿宋" w:cs="仿宋_GB2312"/>
          <w:color w:val="auto"/>
          <w:highlight w:val="none"/>
        </w:rPr>
        <w:t>待上述情形消除后继续</w:t>
      </w:r>
      <w:r>
        <w:rPr>
          <w:rFonts w:hint="eastAsia" w:ascii="仿宋" w:hAnsi="仿宋" w:eastAsia="仿宋" w:cs="仿宋_GB2312"/>
          <w:color w:val="auto"/>
          <w:highlight w:val="none"/>
        </w:rPr>
        <w:t>组织电子交易</w:t>
      </w:r>
      <w:r>
        <w:rPr>
          <w:rFonts w:ascii="仿宋" w:hAnsi="仿宋" w:eastAsia="仿宋" w:cs="仿宋_GB2312"/>
          <w:color w:val="auto"/>
          <w:highlight w:val="none"/>
        </w:rPr>
        <w:t>活动</w:t>
      </w:r>
      <w:r>
        <w:rPr>
          <w:rFonts w:hint="eastAsia" w:ascii="仿宋" w:hAnsi="仿宋" w:eastAsia="仿宋" w:cs="仿宋_GB2312"/>
          <w:color w:val="auto"/>
          <w:highlight w:val="none"/>
        </w:rPr>
        <w:t>，也可以决定某些环节以纸质形式进行；影响或可能影响</w:t>
      </w:r>
      <w:r>
        <w:rPr>
          <w:rFonts w:ascii="仿宋" w:hAnsi="仿宋" w:eastAsia="仿宋" w:cs="仿宋_GB2312"/>
          <w:color w:val="auto"/>
          <w:highlight w:val="none"/>
        </w:rPr>
        <w:t>采购公平、公正</w:t>
      </w:r>
      <w:r>
        <w:rPr>
          <w:rFonts w:hint="eastAsia" w:ascii="仿宋" w:hAnsi="仿宋" w:eastAsia="仿宋" w:cs="仿宋_GB2312"/>
          <w:color w:val="auto"/>
          <w:highlight w:val="none"/>
        </w:rPr>
        <w:t>性</w:t>
      </w:r>
      <w:r>
        <w:rPr>
          <w:rFonts w:ascii="仿宋" w:hAnsi="仿宋" w:eastAsia="仿宋" w:cs="仿宋_GB2312"/>
          <w:color w:val="auto"/>
          <w:highlight w:val="none"/>
        </w:rPr>
        <w:t>的，</w:t>
      </w:r>
      <w:r>
        <w:rPr>
          <w:rFonts w:hint="eastAsia" w:ascii="仿宋" w:hAnsi="仿宋" w:eastAsia="仿宋" w:cs="仿宋_GB2312"/>
          <w:color w:val="auto"/>
          <w:highlight w:val="none"/>
        </w:rPr>
        <w:t>应当重新采购</w:t>
      </w:r>
      <w:r>
        <w:rPr>
          <w:rFonts w:ascii="仿宋" w:hAnsi="仿宋" w:eastAsia="仿宋" w:cs="仿宋_GB2312"/>
          <w:color w:val="auto"/>
          <w:highlight w:val="none"/>
        </w:rPr>
        <w:t>。</w:t>
      </w:r>
    </w:p>
    <w:p w14:paraId="7DBE9D70">
      <w:pPr>
        <w:pStyle w:val="203"/>
        <w:snapToGrid w:val="0"/>
        <w:spacing w:before="0"/>
        <w:ind w:firstLine="480"/>
        <w:rPr>
          <w:rFonts w:ascii="仿宋" w:hAnsi="仿宋" w:eastAsia="仿宋" w:cs="仿宋_GB2312"/>
          <w:color w:val="auto"/>
          <w:highlight w:val="none"/>
        </w:rPr>
      </w:pPr>
    </w:p>
    <w:p w14:paraId="3DF47C6A">
      <w:pPr>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八、合同授予</w:t>
      </w:r>
    </w:p>
    <w:p w14:paraId="2494164C">
      <w:pPr>
        <w:pStyle w:val="20"/>
        <w:spacing w:line="360" w:lineRule="auto"/>
        <w:ind w:left="480" w:firstLine="482"/>
        <w:rPr>
          <w:rFonts w:ascii="仿宋" w:hAnsi="仿宋" w:eastAsia="仿宋" w:cs="仿宋_GB2312"/>
          <w:b/>
          <w:color w:val="auto"/>
          <w:highlight w:val="none"/>
        </w:rPr>
      </w:pPr>
      <w:r>
        <w:rPr>
          <w:rFonts w:hint="eastAsia" w:ascii="仿宋" w:hAnsi="仿宋" w:eastAsia="仿宋" w:cs="仿宋_GB2312"/>
          <w:b/>
          <w:color w:val="auto"/>
          <w:highlight w:val="none"/>
        </w:rPr>
        <w:t xml:space="preserve">25. </w:t>
      </w:r>
      <w:r>
        <w:rPr>
          <w:rFonts w:hint="eastAsia" w:ascii="仿宋" w:hAnsi="仿宋" w:eastAsia="仿宋" w:cs="仿宋_GB2312"/>
          <w:color w:val="auto"/>
          <w:highlight w:val="none"/>
        </w:rPr>
        <w:t>合同主要条款详见第五部分拟签订的合同文本。</w:t>
      </w:r>
    </w:p>
    <w:p w14:paraId="0280AA1B">
      <w:pPr>
        <w:pStyle w:val="20"/>
        <w:spacing w:line="360" w:lineRule="auto"/>
        <w:ind w:left="480" w:firstLine="482"/>
        <w:rPr>
          <w:rFonts w:ascii="仿宋" w:hAnsi="仿宋" w:eastAsia="仿宋" w:cs="仿宋_GB2312"/>
          <w:b/>
          <w:color w:val="auto"/>
          <w:highlight w:val="none"/>
        </w:rPr>
      </w:pPr>
      <w:r>
        <w:rPr>
          <w:rFonts w:hint="eastAsia" w:ascii="仿宋" w:hAnsi="仿宋" w:eastAsia="仿宋" w:cs="仿宋_GB2312"/>
          <w:b/>
          <w:color w:val="auto"/>
          <w:highlight w:val="none"/>
        </w:rPr>
        <w:t>26. 合同的签订</w:t>
      </w:r>
    </w:p>
    <w:p w14:paraId="257D6DEF">
      <w:pPr>
        <w:shd w:val="clear" w:color="auto" w:fill="FFFFFF"/>
        <w:spacing w:line="360" w:lineRule="auto"/>
        <w:ind w:firstLine="480"/>
        <w:rPr>
          <w:rFonts w:ascii="仿宋" w:hAnsi="仿宋" w:eastAsia="仿宋" w:cs="宋体"/>
          <w:color w:val="auto"/>
          <w:highlight w:val="none"/>
        </w:rPr>
      </w:pPr>
      <w:r>
        <w:rPr>
          <w:rFonts w:hint="eastAsia" w:ascii="仿宋" w:hAnsi="仿宋" w:eastAsia="仿宋" w:cs="宋体"/>
          <w:color w:val="auto"/>
          <w:highlight w:val="none"/>
        </w:rPr>
        <w:t>26.1 采购人与中标人应当通过电子交易平台在中标通知书发出之日起三十日内，按照招标文件确定的事项签订政府采购合同，并在签订之日起2个工作日内将政府采购合同在浙江政府采购网上公告（采购合同中涉及国家秘密、商业秘密和个人隐私的内容除外）。鼓励采购人视情况缩减采购合同签订时限，提高采购效率，杜绝“冷、硬、横、推”等不当行为。除不可抗力等特殊情况外，原则上采购人应当在中标通知书发出之日起十日内，与中标供应商按照采购文件确定的事项签订政府采购合同。</w:t>
      </w:r>
    </w:p>
    <w:p w14:paraId="1C6CBF6F">
      <w:pPr>
        <w:pStyle w:val="203"/>
        <w:snapToGrid w:val="0"/>
        <w:spacing w:before="0"/>
        <w:ind w:firstLine="480"/>
        <w:rPr>
          <w:rFonts w:ascii="仿宋" w:hAnsi="仿宋" w:eastAsia="仿宋" w:cs="宋体"/>
          <w:color w:val="auto"/>
          <w:highlight w:val="none"/>
          <w:lang w:val="zh-CN"/>
        </w:rPr>
      </w:pPr>
      <w:r>
        <w:rPr>
          <w:rFonts w:hint="eastAsia" w:ascii="仿宋" w:hAnsi="仿宋" w:eastAsia="仿宋" w:cs="宋体"/>
          <w:color w:val="auto"/>
          <w:highlight w:val="none"/>
          <w:lang w:val="zh-CN"/>
        </w:rPr>
        <w:t>26.2中标人按规定的时间、地点，由法定代表人或其授权代表与采购人代表签订合同。如中标人为联合体的，由联合体成员各方法定代表人或其授权代表与采购人代表签订合同。</w:t>
      </w:r>
    </w:p>
    <w:p w14:paraId="2FD2DDD4">
      <w:pPr>
        <w:spacing w:line="360" w:lineRule="auto"/>
        <w:ind w:firstLine="480" w:firstLineChars="200"/>
        <w:rPr>
          <w:rFonts w:ascii="仿宋" w:hAnsi="仿宋" w:eastAsia="仿宋" w:cs="宋体"/>
          <w:color w:val="auto"/>
          <w:szCs w:val="20"/>
          <w:highlight w:val="none"/>
          <w:lang w:val="zh-CN"/>
        </w:rPr>
      </w:pPr>
      <w:r>
        <w:rPr>
          <w:rFonts w:hint="eastAsia" w:ascii="仿宋" w:hAnsi="仿宋" w:eastAsia="仿宋" w:cs="宋体"/>
          <w:color w:val="auto"/>
          <w:szCs w:val="20"/>
          <w:highlight w:val="none"/>
          <w:lang w:val="zh-CN"/>
        </w:rPr>
        <w:t>26.3采购人或中标人不得向另一方提出超出招标文件及投标响应文件以外的任何要求作为签订合同的条件，不得订立背离招标文件确定的合同文本以及采购标的、规格型号、采购金额、采购数量、技术和服务等实质性内容的协议。如果中标人不能按照招标文件要求及其投标文件的承诺签订合同或其投标文件与事实不符，影响采购合同的实施，损害采购人利益，采购人有权拒绝签订合同，并报采购监督部门处理。</w:t>
      </w:r>
    </w:p>
    <w:p w14:paraId="5FE2A22E">
      <w:pPr>
        <w:pStyle w:val="203"/>
        <w:snapToGrid w:val="0"/>
        <w:spacing w:before="0"/>
        <w:ind w:firstLine="480"/>
        <w:rPr>
          <w:rFonts w:ascii="仿宋" w:hAnsi="仿宋" w:eastAsia="仿宋" w:cs="宋体"/>
          <w:color w:val="auto"/>
          <w:highlight w:val="none"/>
        </w:rPr>
      </w:pPr>
      <w:r>
        <w:rPr>
          <w:rFonts w:hint="eastAsia" w:ascii="仿宋" w:hAnsi="仿宋" w:eastAsia="仿宋" w:cs="宋体"/>
          <w:color w:val="auto"/>
          <w:highlight w:val="none"/>
        </w:rPr>
        <w:t>26.4鼓励采购人与中标供应商根据招标文件、投标文件等内容通过政府采购电子交易平台在线签订合同，自动备案。</w:t>
      </w:r>
    </w:p>
    <w:p w14:paraId="50E25D93">
      <w:pPr>
        <w:pStyle w:val="20"/>
        <w:tabs>
          <w:tab w:val="left" w:pos="2760"/>
        </w:tabs>
        <w:spacing w:line="360" w:lineRule="auto"/>
        <w:ind w:left="480" w:firstLine="482"/>
        <w:rPr>
          <w:rFonts w:ascii="仿宋" w:hAnsi="仿宋" w:eastAsia="仿宋" w:cs="仿宋_GB2312"/>
          <w:b/>
          <w:color w:val="auto"/>
          <w:highlight w:val="none"/>
        </w:rPr>
      </w:pPr>
      <w:r>
        <w:rPr>
          <w:rFonts w:hint="eastAsia" w:ascii="仿宋" w:hAnsi="仿宋" w:eastAsia="仿宋" w:cs="仿宋_GB2312"/>
          <w:b/>
          <w:color w:val="auto"/>
          <w:highlight w:val="none"/>
        </w:rPr>
        <w:t>27. 履约保证金</w:t>
      </w:r>
      <w:r>
        <w:rPr>
          <w:rFonts w:ascii="仿宋" w:hAnsi="仿宋" w:eastAsia="仿宋" w:cs="仿宋_GB2312"/>
          <w:b/>
          <w:color w:val="auto"/>
          <w:highlight w:val="none"/>
        </w:rPr>
        <w:tab/>
      </w:r>
    </w:p>
    <w:p w14:paraId="15911276">
      <w:pPr>
        <w:tabs>
          <w:tab w:val="left" w:pos="0"/>
        </w:tabs>
        <w:spacing w:line="360" w:lineRule="auto"/>
        <w:ind w:firstLine="482"/>
        <w:rPr>
          <w:rFonts w:ascii="仿宋" w:hAnsi="仿宋" w:eastAsia="仿宋" w:cs="宋体"/>
          <w:color w:val="auto"/>
          <w:highlight w:val="none"/>
        </w:rPr>
      </w:pPr>
      <w:r>
        <w:rPr>
          <w:rFonts w:hint="eastAsia" w:ascii="仿宋" w:hAnsi="仿宋" w:eastAsia="仿宋" w:cs="Helvetica"/>
          <w:color w:val="auto"/>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olor w:val="auto"/>
          <w:highlight w:val="none"/>
        </w:rPr>
        <w:t>。履约保证金的数额不得超过政府采购合同金额的</w:t>
      </w:r>
      <w:r>
        <w:rPr>
          <w:rFonts w:hint="eastAsia" w:ascii="仿宋" w:hAnsi="仿宋" w:eastAsia="仿宋"/>
          <w:b/>
          <w:color w:val="auto"/>
          <w:highlight w:val="none"/>
        </w:rPr>
        <w:t>0.5</w:t>
      </w:r>
      <w:r>
        <w:rPr>
          <w:rFonts w:hint="eastAsia" w:ascii="仿宋" w:hAnsi="仿宋" w:eastAsia="仿宋"/>
          <w:color w:val="auto"/>
          <w:highlight w:val="none"/>
        </w:rPr>
        <w:t>%，</w:t>
      </w:r>
      <w:r>
        <w:rPr>
          <w:rFonts w:hint="eastAsia" w:ascii="仿宋" w:hAnsi="仿宋" w:eastAsia="仿宋" w:cs="宋体"/>
          <w:color w:val="auto"/>
          <w:highlight w:val="none"/>
        </w:rPr>
        <w:t>鼓励采购人根据项目特点、供应商诚信等因素免收履约保证金或降低缴纳比例。鼓励和支持供应商以银行、保险公司出具的保函形式提供履约保证金。采购人不得拒收履约保函，项目验收结束后应及时退还，</w:t>
      </w:r>
      <w:r>
        <w:rPr>
          <w:rFonts w:ascii="仿宋" w:hAnsi="仿宋" w:eastAsia="仿宋" w:cs="宋体"/>
          <w:color w:val="auto"/>
          <w:highlight w:val="none"/>
        </w:rPr>
        <w:t>延迟退还的，应当按照合同约定和法律规定承担相应的赔偿责任</w:t>
      </w:r>
      <w:r>
        <w:rPr>
          <w:rFonts w:hint="eastAsia" w:ascii="仿宋" w:hAnsi="仿宋" w:eastAsia="仿宋" w:cs="宋体"/>
          <w:color w:val="auto"/>
          <w:highlight w:val="none"/>
        </w:rPr>
        <w:t>。</w:t>
      </w:r>
    </w:p>
    <w:p w14:paraId="65FCDF5E">
      <w:pPr>
        <w:pStyle w:val="3"/>
        <w:numPr>
          <w:ilvl w:val="0"/>
          <w:numId w:val="0"/>
        </w:numPr>
        <w:tabs>
          <w:tab w:val="left" w:pos="432"/>
        </w:tabs>
        <w:ind w:firstLine="480" w:firstLineChars="200"/>
        <w:rPr>
          <w:rFonts w:ascii="仿宋" w:eastAsia="仿宋" w:cs="宋体"/>
          <w:b w:val="0"/>
          <w:bCs w:val="0"/>
          <w:snapToGrid w:val="0"/>
          <w:color w:val="auto"/>
          <w:kern w:val="28"/>
          <w:sz w:val="24"/>
          <w:highlight w:val="none"/>
        </w:rPr>
      </w:pPr>
      <w:r>
        <w:rPr>
          <w:rFonts w:hint="eastAsia" w:ascii="仿宋" w:eastAsia="仿宋" w:cs="宋体"/>
          <w:b w:val="0"/>
          <w:bCs w:val="0"/>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D4FFC3D">
      <w:pPr>
        <w:pStyle w:val="20"/>
        <w:spacing w:line="360" w:lineRule="auto"/>
        <w:ind w:left="480" w:firstLine="482"/>
        <w:rPr>
          <w:rFonts w:ascii="仿宋" w:hAnsi="仿宋" w:eastAsia="仿宋" w:cs="仿宋_GB2312"/>
          <w:b/>
          <w:color w:val="auto"/>
          <w:highlight w:val="none"/>
        </w:rPr>
      </w:pPr>
      <w:r>
        <w:rPr>
          <w:rFonts w:hint="eastAsia" w:ascii="仿宋" w:hAnsi="仿宋" w:eastAsia="仿宋" w:cs="仿宋_GB2312"/>
          <w:b/>
          <w:color w:val="auto"/>
          <w:highlight w:val="none"/>
        </w:rPr>
        <w:t>28</w:t>
      </w:r>
      <w:r>
        <w:rPr>
          <w:rFonts w:ascii="仿宋" w:hAnsi="仿宋" w:eastAsia="仿宋" w:cs="仿宋_GB2312"/>
          <w:b/>
          <w:color w:val="auto"/>
          <w:highlight w:val="none"/>
        </w:rPr>
        <w:t>.预付款</w:t>
      </w:r>
    </w:p>
    <w:p w14:paraId="0B8A13F5">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采购单位应当在政府采购合同中约定预付款，对中小企业合同预付款比例原则上不低于合同金额的</w:t>
      </w:r>
      <w:r>
        <w:rPr>
          <w:rFonts w:ascii="仿宋" w:hAnsi="仿宋" w:eastAsia="仿宋"/>
          <w:color w:val="auto"/>
          <w:highlight w:val="none"/>
        </w:rPr>
        <w:t>40％</w:t>
      </w:r>
      <w:r>
        <w:rPr>
          <w:rFonts w:hint="eastAsia" w:ascii="仿宋" w:hAnsi="仿宋" w:eastAsia="仿宋"/>
          <w:color w:val="auto"/>
          <w:highlight w:val="none"/>
        </w:rPr>
        <w:t>，不高于合同金额的</w:t>
      </w:r>
      <w:r>
        <w:rPr>
          <w:rFonts w:ascii="仿宋" w:hAnsi="仿宋" w:eastAsia="仿宋"/>
          <w:color w:val="auto"/>
          <w:highlight w:val="none"/>
        </w:rPr>
        <w:t>70%；项目分年安排预算的，每年预付款比例</w:t>
      </w:r>
      <w:r>
        <w:rPr>
          <w:rFonts w:hint="eastAsia" w:ascii="仿宋" w:hAnsi="仿宋" w:eastAsia="仿宋"/>
          <w:color w:val="auto"/>
          <w:highlight w:val="none"/>
        </w:rPr>
        <w:t>不低于</w:t>
      </w:r>
      <w:r>
        <w:rPr>
          <w:rFonts w:ascii="仿宋" w:hAnsi="仿宋" w:eastAsia="仿宋"/>
          <w:color w:val="auto"/>
          <w:highlight w:val="none"/>
        </w:rPr>
        <w:t>项目年度计划支付资金额的40％</w:t>
      </w:r>
      <w:r>
        <w:rPr>
          <w:rFonts w:hint="eastAsia" w:ascii="仿宋" w:hAnsi="仿宋" w:eastAsia="仿宋"/>
          <w:color w:val="auto"/>
          <w:highlight w:val="none"/>
        </w:rPr>
        <w:t>，不高于年度计划支付金额的</w:t>
      </w:r>
      <w:r>
        <w:rPr>
          <w:rFonts w:ascii="仿宋" w:hAnsi="仿宋" w:eastAsia="仿宋"/>
          <w:color w:val="auto"/>
          <w:highlight w:val="none"/>
        </w:rPr>
        <w:t>70%</w:t>
      </w:r>
      <w:r>
        <w:rPr>
          <w:rFonts w:hint="eastAsia" w:ascii="仿宋" w:hAnsi="仿宋" w:eastAsia="仿宋"/>
          <w:color w:val="auto"/>
          <w:highlight w:val="none"/>
        </w:rPr>
        <w:t>。</w:t>
      </w:r>
      <w:r>
        <w:rPr>
          <w:rFonts w:ascii="仿宋" w:hAnsi="仿宋" w:eastAsia="仿宋"/>
          <w:color w:val="auto"/>
          <w:highlight w:val="none"/>
        </w:rPr>
        <w:t>对供应商为大型企业的项目或者以人工投入为主且实行按月定期结算支付款项的项目，预付款可低于上述比例或者不约定预付款。在签订合同时，</w:t>
      </w:r>
      <w:r>
        <w:rPr>
          <w:rFonts w:hint="eastAsia" w:ascii="仿宋" w:hAnsi="仿宋" w:eastAsia="仿宋"/>
          <w:color w:val="auto"/>
          <w:highlight w:val="none"/>
        </w:rPr>
        <w:t>供应商</w:t>
      </w:r>
      <w:r>
        <w:rPr>
          <w:rFonts w:ascii="仿宋" w:hAnsi="仿宋" w:eastAsia="仿宋"/>
          <w:color w:val="auto"/>
          <w:highlight w:val="none"/>
        </w:rPr>
        <w:t>明确表示无需预付款或者主动要求降低预付款比例的，</w:t>
      </w:r>
      <w:r>
        <w:rPr>
          <w:rFonts w:hint="eastAsia" w:ascii="仿宋" w:hAnsi="仿宋" w:eastAsia="仿宋"/>
          <w:color w:val="auto"/>
          <w:highlight w:val="none"/>
        </w:rPr>
        <w:t>采购单位</w:t>
      </w:r>
      <w:r>
        <w:rPr>
          <w:rFonts w:ascii="仿宋" w:hAnsi="仿宋" w:eastAsia="仿宋"/>
          <w:color w:val="auto"/>
          <w:highlight w:val="none"/>
        </w:rPr>
        <w:t>可不适用前述规定。</w:t>
      </w:r>
      <w:r>
        <w:rPr>
          <w:rFonts w:hint="eastAsia" w:ascii="仿宋" w:hAnsi="仿宋" w:eastAsia="仿宋"/>
          <w:color w:val="auto"/>
          <w:highlight w:val="none"/>
        </w:rPr>
        <w:t>采购单位</w:t>
      </w:r>
      <w:r>
        <w:rPr>
          <w:rFonts w:ascii="仿宋" w:hAnsi="仿宋" w:eastAsia="仿宋"/>
          <w:color w:val="auto"/>
          <w:highlight w:val="none"/>
        </w:rPr>
        <w:t>根据项目特点、供应商诚信等因素，可以要求</w:t>
      </w:r>
      <w:r>
        <w:rPr>
          <w:rFonts w:hint="eastAsia" w:ascii="仿宋" w:hAnsi="仿宋" w:eastAsia="仿宋"/>
          <w:color w:val="auto"/>
          <w:highlight w:val="none"/>
        </w:rPr>
        <w:t>供应商</w:t>
      </w:r>
      <w:r>
        <w:rPr>
          <w:rFonts w:ascii="仿宋" w:hAnsi="仿宋" w:eastAsia="仿宋"/>
          <w:color w:val="auto"/>
          <w:highlight w:val="none"/>
        </w:rPr>
        <w:t>提交银行、保险公司等金融机构出具的预付款保函或其他担保措施。政府采购预付款应在合同生效以及具备实施条件后</w:t>
      </w:r>
      <w:r>
        <w:rPr>
          <w:rFonts w:hint="eastAsia" w:ascii="仿宋" w:hAnsi="仿宋" w:eastAsia="仿宋"/>
          <w:color w:val="auto"/>
          <w:highlight w:val="none"/>
        </w:rPr>
        <w:t>7</w:t>
      </w:r>
      <w:r>
        <w:rPr>
          <w:rFonts w:ascii="仿宋" w:hAnsi="仿宋" w:eastAsia="仿宋"/>
          <w:color w:val="auto"/>
          <w:highlight w:val="none"/>
        </w:rPr>
        <w:t>个工作日内支付。</w:t>
      </w:r>
      <w:r>
        <w:rPr>
          <w:rFonts w:hint="eastAsia" w:ascii="仿宋" w:hAnsi="仿宋" w:eastAsia="仿宋"/>
          <w:color w:val="auto"/>
          <w:highlight w:val="none"/>
        </w:rPr>
        <w:t>政府采购工程以及与工程建设有关的货物、服务，采用招标方式采购的，预付款从其相关规定。供应商可登录政采云前台大厅选择金融服务</w:t>
      </w:r>
      <w:r>
        <w:rPr>
          <w:rFonts w:ascii="仿宋" w:hAnsi="仿宋" w:eastAsia="仿宋"/>
          <w:color w:val="auto"/>
          <w:highlight w:val="none"/>
        </w:rPr>
        <w:t xml:space="preserve"> - </w:t>
      </w:r>
      <w:r>
        <w:rPr>
          <w:rFonts w:hint="eastAsia" w:ascii="仿宋" w:hAnsi="仿宋" w:eastAsia="仿宋"/>
          <w:color w:val="auto"/>
          <w:highlight w:val="none"/>
        </w:rPr>
        <w:t>【保函保险服务】出具预付款保函，具体步骤：选择产品—填写供应商信息—选择中标项目—确认信息—等待保险</w:t>
      </w:r>
      <w:r>
        <w:rPr>
          <w:rFonts w:ascii="仿宋" w:hAnsi="仿宋" w:eastAsia="仿宋"/>
          <w:color w:val="auto"/>
          <w:highlight w:val="none"/>
        </w:rPr>
        <w:t>/保函受理—确认保单—支付保费—成功出单。政</w:t>
      </w:r>
      <w:r>
        <w:rPr>
          <w:rFonts w:hint="eastAsia" w:ascii="仿宋" w:hAnsi="仿宋" w:eastAsia="仿宋"/>
          <w:color w:val="auto"/>
          <w:highlight w:val="none"/>
        </w:rPr>
        <w:t>采云金融专线</w:t>
      </w:r>
      <w:r>
        <w:rPr>
          <w:rFonts w:ascii="仿宋" w:hAnsi="仿宋" w:eastAsia="仿宋"/>
          <w:color w:val="auto"/>
          <w:highlight w:val="none"/>
        </w:rPr>
        <w:t>400-903-9583。</w:t>
      </w:r>
    </w:p>
    <w:p w14:paraId="1DF35F9D">
      <w:pPr>
        <w:spacing w:line="360" w:lineRule="auto"/>
        <w:outlineLvl w:val="0"/>
        <w:rPr>
          <w:rFonts w:ascii="仿宋" w:hAnsi="仿宋" w:eastAsia="仿宋" w:cs="仿宋_GB2312"/>
          <w:b/>
          <w:color w:val="auto"/>
          <w:sz w:val="32"/>
          <w:szCs w:val="20"/>
          <w:highlight w:val="none"/>
        </w:rPr>
      </w:pPr>
    </w:p>
    <w:p w14:paraId="1F67D5BF">
      <w:pPr>
        <w:spacing w:line="360" w:lineRule="auto"/>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九、履约验收</w:t>
      </w:r>
    </w:p>
    <w:p w14:paraId="30FD8A0A">
      <w:pPr>
        <w:pStyle w:val="20"/>
        <w:spacing w:line="360" w:lineRule="auto"/>
        <w:ind w:left="480" w:firstLine="482"/>
        <w:rPr>
          <w:rFonts w:ascii="仿宋" w:hAnsi="仿宋" w:eastAsia="仿宋" w:cs="仿宋_GB2312"/>
          <w:b/>
          <w:color w:val="auto"/>
          <w:highlight w:val="none"/>
        </w:rPr>
      </w:pPr>
      <w:r>
        <w:rPr>
          <w:rFonts w:hint="eastAsia" w:ascii="仿宋" w:hAnsi="仿宋" w:eastAsia="仿宋" w:cs="仿宋_GB2312"/>
          <w:b/>
          <w:color w:val="auto"/>
          <w:highlight w:val="none"/>
        </w:rPr>
        <w:t>29.履约验收</w:t>
      </w:r>
    </w:p>
    <w:p w14:paraId="53476CE8">
      <w:pPr>
        <w:tabs>
          <w:tab w:val="left" w:pos="0"/>
        </w:tabs>
        <w:spacing w:line="360" w:lineRule="auto"/>
        <w:ind w:firstLine="480" w:firstLineChars="200"/>
        <w:rPr>
          <w:rFonts w:ascii="仿宋" w:hAnsi="仿宋" w:eastAsia="仿宋" w:cs="Helvetica"/>
          <w:color w:val="auto"/>
          <w:highlight w:val="none"/>
        </w:rPr>
      </w:pPr>
      <w:r>
        <w:rPr>
          <w:rFonts w:hint="eastAsia" w:ascii="仿宋" w:hAnsi="仿宋" w:eastAsia="仿宋" w:cs="Helvetica"/>
          <w:color w:val="auto"/>
          <w:highlight w:val="none"/>
        </w:rPr>
        <w:t>29.1采购人自行组织或委托采购代理机构对供应商进行履约验收，出具验收书，存档备查。如果发现与合同中要求不符，供应商须承担由此发生的一切损失和费用，并承担相应的法律责任。</w:t>
      </w:r>
    </w:p>
    <w:p w14:paraId="4802B3E2">
      <w:pPr>
        <w:tabs>
          <w:tab w:val="left" w:pos="0"/>
        </w:tabs>
        <w:spacing w:line="360" w:lineRule="auto"/>
        <w:ind w:firstLine="480" w:firstLineChars="200"/>
        <w:rPr>
          <w:rFonts w:ascii="仿宋" w:hAnsi="仿宋" w:eastAsia="仿宋" w:cs="Helvetica"/>
          <w:color w:val="auto"/>
          <w:highlight w:val="none"/>
        </w:rPr>
      </w:pPr>
      <w:r>
        <w:rPr>
          <w:rFonts w:hint="eastAsia" w:ascii="仿宋" w:hAnsi="仿宋" w:eastAsia="仿宋" w:cs="Helvetica"/>
          <w:color w:val="auto"/>
          <w:highlight w:val="none"/>
        </w:rPr>
        <w:t>29.2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10567424">
      <w:pPr>
        <w:tabs>
          <w:tab w:val="left" w:pos="0"/>
        </w:tabs>
        <w:spacing w:line="360" w:lineRule="auto"/>
        <w:ind w:firstLine="480" w:firstLineChars="200"/>
        <w:rPr>
          <w:rFonts w:ascii="仿宋" w:hAnsi="仿宋" w:eastAsia="仿宋" w:cs="Helvetica"/>
          <w:color w:val="auto"/>
          <w:highlight w:val="none"/>
        </w:rPr>
      </w:pPr>
      <w:r>
        <w:rPr>
          <w:rFonts w:hint="eastAsia" w:ascii="仿宋" w:hAnsi="仿宋" w:eastAsia="仿宋" w:cs="Helvetica"/>
          <w:color w:val="auto"/>
          <w:highlight w:val="none"/>
        </w:rPr>
        <w:t>29.3采购人可以邀请参加本项目的其他投标人或者第三方机构参与验收。参与验收的投标人或者第三方机构的意见作为验收书的参考资料一并存档。</w:t>
      </w:r>
    </w:p>
    <w:p w14:paraId="2117C66E">
      <w:pPr>
        <w:tabs>
          <w:tab w:val="left" w:pos="0"/>
        </w:tabs>
        <w:spacing w:line="360" w:lineRule="auto"/>
        <w:ind w:firstLine="480" w:firstLineChars="200"/>
        <w:rPr>
          <w:rFonts w:ascii="仿宋" w:hAnsi="仿宋" w:eastAsia="仿宋" w:cs="Helvetica"/>
          <w:color w:val="auto"/>
          <w:highlight w:val="none"/>
        </w:rPr>
      </w:pPr>
      <w:r>
        <w:rPr>
          <w:rFonts w:hint="eastAsia" w:ascii="仿宋" w:hAnsi="仿宋" w:eastAsia="仿宋" w:cs="Helvetica"/>
          <w:color w:val="auto"/>
          <w:highlight w:val="none"/>
        </w:rPr>
        <w:t>29.4政府向社会公众提供的公共服务项目验收时应当邀请服务对象参与并出具意见，政府向社会公众提供的公共服务项目以及合同金额达到分散采购限额标准的项目验收结果应于验收结束后及时在浙江政府采购网公开。</w:t>
      </w:r>
    </w:p>
    <w:p w14:paraId="1E487734">
      <w:pPr>
        <w:tabs>
          <w:tab w:val="left" w:pos="0"/>
        </w:tabs>
        <w:spacing w:line="360" w:lineRule="auto"/>
        <w:ind w:firstLine="480" w:firstLineChars="200"/>
        <w:rPr>
          <w:rFonts w:ascii="仿宋" w:hAnsi="仿宋" w:eastAsia="仿宋" w:cs="Helvetica"/>
          <w:color w:val="auto"/>
          <w:highlight w:val="none"/>
        </w:rPr>
      </w:pPr>
      <w:r>
        <w:rPr>
          <w:rFonts w:hint="eastAsia" w:ascii="仿宋" w:hAnsi="仿宋" w:eastAsia="仿宋" w:cs="Helvetica"/>
          <w:color w:val="auto"/>
          <w:highlight w:val="none"/>
        </w:rPr>
        <w:t>29.5 采购合同的履行、违约责任和解决争议的方式等适用《</w:t>
      </w:r>
      <w:r>
        <w:rPr>
          <w:rFonts w:ascii="仿宋" w:hAnsi="仿宋" w:eastAsia="仿宋" w:cs="Helvetica"/>
          <w:color w:val="auto"/>
          <w:highlight w:val="none"/>
        </w:rPr>
        <w:t>中华人民共和国民法典</w:t>
      </w:r>
      <w:r>
        <w:rPr>
          <w:rFonts w:hint="eastAsia" w:ascii="仿宋" w:hAnsi="仿宋" w:eastAsia="仿宋" w:cs="Helvetica"/>
          <w:color w:val="auto"/>
          <w:highlight w:val="none"/>
        </w:rPr>
        <w:t>》。</w:t>
      </w:r>
    </w:p>
    <w:p w14:paraId="3AF11059">
      <w:pPr>
        <w:tabs>
          <w:tab w:val="left" w:pos="0"/>
        </w:tabs>
        <w:spacing w:line="360" w:lineRule="auto"/>
        <w:ind w:firstLine="480" w:firstLineChars="200"/>
        <w:rPr>
          <w:rFonts w:ascii="仿宋" w:hAnsi="仿宋" w:eastAsia="仿宋" w:cs="Helvetica"/>
          <w:color w:val="auto"/>
          <w:highlight w:val="none"/>
        </w:rPr>
      </w:pPr>
      <w:r>
        <w:rPr>
          <w:rFonts w:hint="eastAsia" w:ascii="仿宋" w:hAnsi="仿宋" w:eastAsia="仿宋" w:cs="Helvetica"/>
          <w:color w:val="auto"/>
          <w:highlight w:val="none"/>
        </w:rPr>
        <w:t>29.6供应商在履约过程中有政府采购法律法规规定的违法违规情形的，采购人应当及时报告本级财政部门。</w:t>
      </w:r>
    </w:p>
    <w:p w14:paraId="1D97CBC8">
      <w:pPr>
        <w:tabs>
          <w:tab w:val="left" w:pos="0"/>
        </w:tabs>
        <w:spacing w:line="360" w:lineRule="auto"/>
        <w:rPr>
          <w:rFonts w:ascii="仿宋" w:hAnsi="仿宋" w:eastAsia="仿宋" w:cs="Helvetica"/>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40"/>
    <w:bookmarkEnd w:id="41"/>
    <w:p w14:paraId="41396A07">
      <w:pPr>
        <w:spacing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第三部分   采购需求</w:t>
      </w:r>
    </w:p>
    <w:p w14:paraId="0A504E7B">
      <w:pPr>
        <w:snapToGrid w:val="0"/>
        <w:spacing w:line="360" w:lineRule="auto"/>
        <w:rPr>
          <w:rFonts w:ascii="仿宋" w:hAnsi="仿宋" w:eastAsia="仿宋" w:cs="仿宋_GB2312"/>
          <w:b/>
          <w:i/>
          <w:color w:val="auto"/>
          <w:sz w:val="22"/>
          <w:szCs w:val="36"/>
          <w:highlight w:val="none"/>
        </w:rPr>
      </w:pPr>
    </w:p>
    <w:p w14:paraId="79A9F6D4">
      <w:pPr>
        <w:snapToGrid w:val="0"/>
        <w:spacing w:beforeLines="50" w:afterLines="50"/>
        <w:rPr>
          <w:rFonts w:ascii="仿宋" w:hAnsi="仿宋" w:eastAsia="仿宋"/>
          <w:color w:val="auto"/>
          <w:highlight w:val="none"/>
        </w:rPr>
      </w:pPr>
      <w:r>
        <w:rPr>
          <w:rFonts w:hint="eastAsia" w:ascii="仿宋" w:hAnsi="仿宋" w:eastAsia="仿宋"/>
          <w:color w:val="auto"/>
          <w:highlight w:val="none"/>
        </w:rPr>
        <w:t>特别说明：</w:t>
      </w:r>
    </w:p>
    <w:p w14:paraId="0D13020F">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1.需求中不允许偏离的实质性要求和条件，以“▲”号标明。</w:t>
      </w:r>
    </w:p>
    <w:p w14:paraId="1D3A5AAE">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2.</w:t>
      </w:r>
      <w:r>
        <w:rPr>
          <w:rFonts w:hint="eastAsia" w:ascii="仿宋" w:hAnsi="仿宋" w:eastAsia="仿宋" w:cs="仿宋_GB2312"/>
          <w:color w:val="auto"/>
          <w:highlight w:val="none"/>
        </w:rPr>
        <w:t>单</w:t>
      </w:r>
      <w:r>
        <w:rPr>
          <w:rFonts w:ascii="仿宋" w:hAnsi="仿宋" w:eastAsia="仿宋" w:cs="仿宋_GB2312"/>
          <w:color w:val="auto"/>
          <w:highlight w:val="none"/>
        </w:rPr>
        <w:t>一产品采购项目</w:t>
      </w:r>
      <w:r>
        <w:rPr>
          <w:rFonts w:hint="eastAsia" w:ascii="仿宋" w:hAnsi="仿宋" w:eastAsia="仿宋" w:cs="仿宋_GB2312"/>
          <w:color w:val="auto"/>
          <w:highlight w:val="none"/>
        </w:rPr>
        <w:t>中的该产品或者非</w:t>
      </w:r>
      <w:r>
        <w:rPr>
          <w:rFonts w:ascii="仿宋" w:hAnsi="仿宋" w:eastAsia="仿宋" w:cs="仿宋_GB2312"/>
          <w:color w:val="auto"/>
          <w:highlight w:val="none"/>
        </w:rPr>
        <w:t>单一产品采购项目</w:t>
      </w:r>
      <w:r>
        <w:rPr>
          <w:rFonts w:hint="eastAsia" w:ascii="仿宋" w:hAnsi="仿宋" w:eastAsia="仿宋" w:cs="仿宋_GB2312"/>
          <w:color w:val="auto"/>
          <w:highlight w:val="none"/>
        </w:rPr>
        <w:t>的核心产品，以</w:t>
      </w:r>
      <w:r>
        <w:rPr>
          <w:rFonts w:hint="eastAsia" w:ascii="仿宋" w:hAnsi="仿宋" w:eastAsia="仿宋"/>
          <w:color w:val="auto"/>
          <w:highlight w:val="none"/>
        </w:rPr>
        <w:t>“★”</w:t>
      </w:r>
      <w:r>
        <w:rPr>
          <w:rFonts w:hint="eastAsia" w:ascii="仿宋" w:hAnsi="仿宋" w:eastAsia="仿宋" w:cs="仿宋_GB2312"/>
          <w:color w:val="auto"/>
          <w:highlight w:val="none"/>
        </w:rPr>
        <w:t>标明。</w:t>
      </w:r>
    </w:p>
    <w:p w14:paraId="076A0520">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3.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14:paraId="0D72FEEA">
      <w:pPr>
        <w:rPr>
          <w:rFonts w:ascii="宋体" w:hAnsi="宋体" w:eastAsia="宋体"/>
          <w:color w:val="auto"/>
          <w:highlight w:val="none"/>
        </w:rPr>
      </w:pPr>
      <w:r>
        <w:rPr>
          <w:rFonts w:ascii="宋体" w:hAnsi="宋体" w:eastAsia="宋体"/>
          <w:color w:val="auto"/>
          <w:highlight w:val="none"/>
        </w:rPr>
        <w:br w:type="page"/>
      </w:r>
    </w:p>
    <w:p w14:paraId="56A55C32">
      <w:pPr>
        <w:pStyle w:val="3"/>
        <w:rPr>
          <w:i/>
          <w:color w:val="auto"/>
          <w:highlight w:val="none"/>
        </w:rPr>
      </w:pPr>
      <w:bookmarkStart w:id="63" w:name="_Toc187691845"/>
      <w:r>
        <w:rPr>
          <w:rFonts w:hint="eastAsia"/>
          <w:color w:val="auto"/>
          <w:highlight w:val="none"/>
        </w:rPr>
        <w:t>建设</w:t>
      </w:r>
      <w:r>
        <w:rPr>
          <w:color w:val="auto"/>
          <w:highlight w:val="none"/>
        </w:rPr>
        <w:t>目标</w:t>
      </w:r>
      <w:bookmarkEnd w:id="63"/>
    </w:p>
    <w:p w14:paraId="3A3BCAB9">
      <w:pPr>
        <w:adjustRightInd w:val="0"/>
        <w:snapToGrid w:val="0"/>
        <w:spacing w:line="360" w:lineRule="auto"/>
        <w:ind w:firstLine="480" w:firstLineChars="200"/>
        <w:rPr>
          <w:rFonts w:ascii="宋体" w:hAnsi="宋体" w:eastAsia="宋体" w:cs="Times New Roman"/>
          <w:color w:val="auto"/>
          <w:highlight w:val="none"/>
        </w:rPr>
      </w:pPr>
      <w:r>
        <w:rPr>
          <w:rFonts w:ascii="宋体" w:hAnsi="宋体" w:eastAsia="宋体" w:cs="Times New Roman"/>
          <w:color w:val="auto"/>
          <w:highlight w:val="none"/>
        </w:rPr>
        <w:t>根据</w:t>
      </w:r>
      <w:r>
        <w:rPr>
          <w:rFonts w:hint="eastAsia" w:ascii="宋体" w:hAnsi="宋体" w:eastAsia="宋体" w:cs="Times New Roman"/>
          <w:color w:val="auto"/>
          <w:highlight w:val="none"/>
        </w:rPr>
        <w:t>医院</w:t>
      </w:r>
      <w:r>
        <w:rPr>
          <w:rFonts w:ascii="宋体" w:hAnsi="宋体" w:eastAsia="宋体" w:cs="Times New Roman"/>
          <w:color w:val="auto"/>
          <w:highlight w:val="none"/>
        </w:rPr>
        <w:t>的总体战略目标，遵循《全国医院信息化建设标准与规范（试行）》、《医院信息互联互通标准化成熟度测评》建设规范，紧密结合经济社会发展规划以及卫生事业发展布局，围绕</w:t>
      </w:r>
      <w:r>
        <w:rPr>
          <w:rFonts w:hint="eastAsia" w:ascii="宋体" w:hAnsi="宋体" w:eastAsia="宋体" w:cs="Times New Roman"/>
          <w:color w:val="auto"/>
          <w:highlight w:val="none"/>
        </w:rPr>
        <w:t>“</w:t>
      </w:r>
      <w:r>
        <w:rPr>
          <w:rFonts w:ascii="宋体" w:hAnsi="宋体" w:eastAsia="宋体" w:cs="Times New Roman"/>
          <w:color w:val="auto"/>
          <w:highlight w:val="none"/>
        </w:rPr>
        <w:t>加快医疗卫生事业发展</w:t>
      </w:r>
      <w:r>
        <w:rPr>
          <w:rFonts w:hint="eastAsia" w:ascii="宋体" w:hAnsi="宋体" w:eastAsia="宋体" w:cs="Times New Roman"/>
          <w:color w:val="auto"/>
          <w:highlight w:val="none"/>
        </w:rPr>
        <w:t>”</w:t>
      </w:r>
      <w:r>
        <w:rPr>
          <w:rFonts w:ascii="宋体" w:hAnsi="宋体" w:eastAsia="宋体" w:cs="Times New Roman"/>
          <w:color w:val="auto"/>
          <w:highlight w:val="none"/>
        </w:rPr>
        <w:t>这一主线，稳步推动医院发展战略不断外延，医疗管理方式从传统管理向科学化、专业化、精细化管理转变，积极发挥</w:t>
      </w:r>
      <w:r>
        <w:rPr>
          <w:rFonts w:hint="eastAsia" w:ascii="宋体" w:hAnsi="宋体" w:eastAsia="宋体" w:cs="Times New Roman"/>
          <w:color w:val="auto"/>
          <w:highlight w:val="none"/>
        </w:rPr>
        <w:t>医院</w:t>
      </w:r>
      <w:r>
        <w:rPr>
          <w:rFonts w:ascii="宋体" w:hAnsi="宋体" w:eastAsia="宋体" w:cs="Times New Roman"/>
          <w:color w:val="auto"/>
          <w:highlight w:val="none"/>
        </w:rPr>
        <w:t>的技术和业务在所属地区的辐射功能，打造集医疗、预防、康复、科研、教育为一体，省内知名、全国具有一定影响力的现代化智慧型医院。</w:t>
      </w:r>
    </w:p>
    <w:p w14:paraId="6A34DEA1">
      <w:pPr>
        <w:adjustRightInd w:val="0"/>
        <w:snapToGrid w:val="0"/>
        <w:spacing w:line="360" w:lineRule="auto"/>
        <w:ind w:firstLine="480" w:firstLineChars="200"/>
        <w:rPr>
          <w:rFonts w:ascii="宋体" w:hAnsi="宋体" w:eastAsia="宋体" w:cs="Times New Roman"/>
          <w:color w:val="auto"/>
          <w:highlight w:val="none"/>
        </w:rPr>
      </w:pPr>
      <w:r>
        <w:rPr>
          <w:rFonts w:hint="eastAsia" w:ascii="宋体" w:hAnsi="宋体" w:eastAsia="宋体" w:cs="Times New Roman"/>
          <w:color w:val="auto"/>
          <w:highlight w:val="none"/>
        </w:rPr>
        <w:t>医院</w:t>
      </w:r>
      <w:r>
        <w:rPr>
          <w:rFonts w:ascii="宋体" w:hAnsi="宋体" w:eastAsia="宋体" w:cs="Times New Roman"/>
          <w:color w:val="auto"/>
          <w:highlight w:val="none"/>
        </w:rPr>
        <w:t>未来的高质量发展需要良好的信息化支撑，需要高水平产品（技术）和专业HIT服务的双轮驱动。此次智慧医院建设应遵循</w:t>
      </w:r>
      <w:r>
        <w:rPr>
          <w:rFonts w:hint="eastAsia" w:ascii="宋体" w:hAnsi="宋体" w:eastAsia="宋体" w:cs="Times New Roman"/>
          <w:color w:val="auto"/>
          <w:highlight w:val="none"/>
        </w:rPr>
        <w:t>“</w:t>
      </w:r>
      <w:r>
        <w:rPr>
          <w:rFonts w:ascii="宋体" w:hAnsi="宋体" w:eastAsia="宋体" w:cs="Times New Roman"/>
          <w:color w:val="auto"/>
          <w:highlight w:val="none"/>
        </w:rPr>
        <w:t>顶层设计、逐步实施</w:t>
      </w:r>
      <w:r>
        <w:rPr>
          <w:rFonts w:hint="eastAsia" w:ascii="宋体" w:hAnsi="宋体" w:eastAsia="宋体" w:cs="Times New Roman"/>
          <w:color w:val="auto"/>
          <w:highlight w:val="none"/>
        </w:rPr>
        <w:t>”</w:t>
      </w:r>
      <w:r>
        <w:rPr>
          <w:rFonts w:ascii="宋体" w:hAnsi="宋体" w:eastAsia="宋体" w:cs="Times New Roman"/>
          <w:color w:val="auto"/>
          <w:highlight w:val="none"/>
        </w:rPr>
        <w:t>原则，按照智慧医院建设理念，从功能实用、信息共享、服务智能的方向，建设智慧医院信息系统，帮助</w:t>
      </w:r>
      <w:r>
        <w:rPr>
          <w:rFonts w:hint="eastAsia" w:ascii="宋体" w:hAnsi="宋体" w:eastAsia="宋体" w:cs="Times New Roman"/>
          <w:color w:val="auto"/>
          <w:highlight w:val="none"/>
        </w:rPr>
        <w:t>医院</w:t>
      </w:r>
      <w:r>
        <w:rPr>
          <w:rFonts w:ascii="宋体" w:hAnsi="宋体" w:eastAsia="宋体" w:cs="Times New Roman"/>
          <w:color w:val="auto"/>
          <w:highlight w:val="none"/>
        </w:rPr>
        <w:t>改善患者就医体验、开展全生命周期健康管理。以问题和需求为导向持续加强信息化建设，满足医院未来5-10年高水平的医疗管理需求。最终达到互联互通四级甲等评级要求。</w:t>
      </w:r>
      <w:bookmarkStart w:id="64" w:name="_Toc494358419"/>
    </w:p>
    <w:p w14:paraId="216B373A">
      <w:pPr>
        <w:pStyle w:val="3"/>
        <w:rPr>
          <w:color w:val="auto"/>
          <w:highlight w:val="none"/>
        </w:rPr>
      </w:pPr>
      <w:bookmarkStart w:id="65" w:name="_Toc187691846"/>
      <w:r>
        <w:rPr>
          <w:rFonts w:hint="eastAsia"/>
          <w:color w:val="auto"/>
          <w:highlight w:val="none"/>
        </w:rPr>
        <w:t>建设清单</w:t>
      </w:r>
      <w:bookmarkEnd w:id="65"/>
    </w:p>
    <w:tbl>
      <w:tblPr>
        <w:tblStyle w:val="43"/>
        <w:tblW w:w="4997" w:type="pct"/>
        <w:tblInd w:w="0" w:type="dxa"/>
        <w:tblLayout w:type="autofit"/>
        <w:tblCellMar>
          <w:top w:w="0" w:type="dxa"/>
          <w:left w:w="108" w:type="dxa"/>
          <w:bottom w:w="0" w:type="dxa"/>
          <w:right w:w="108" w:type="dxa"/>
        </w:tblCellMar>
      </w:tblPr>
      <w:tblGrid>
        <w:gridCol w:w="1004"/>
        <w:gridCol w:w="1463"/>
        <w:gridCol w:w="5156"/>
        <w:gridCol w:w="1657"/>
      </w:tblGrid>
      <w:tr w14:paraId="7FD15CD1">
        <w:tblPrEx>
          <w:tblCellMar>
            <w:top w:w="0" w:type="dxa"/>
            <w:left w:w="108" w:type="dxa"/>
            <w:bottom w:w="0" w:type="dxa"/>
            <w:right w:w="108" w:type="dxa"/>
          </w:tblCellMar>
        </w:tblPrEx>
        <w:trPr>
          <w:trHeight w:val="66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B81D2F">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序号</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D9AE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系统</w:t>
            </w: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98C9EA">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子系统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E4723C">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备注</w:t>
            </w:r>
          </w:p>
        </w:tc>
      </w:tr>
      <w:tr w14:paraId="5FCDAF25">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2AC98">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w:t>
            </w:r>
          </w:p>
        </w:tc>
        <w:tc>
          <w:tcPr>
            <w:tcW w:w="788" w:type="pct"/>
            <w:vMerge w:val="restart"/>
            <w:tcBorders>
              <w:top w:val="single" w:color="000000" w:sz="4" w:space="0"/>
              <w:left w:val="single" w:color="000000" w:sz="4" w:space="0"/>
              <w:right w:val="single" w:color="000000" w:sz="4" w:space="0"/>
            </w:tcBorders>
            <w:shd w:val="clear" w:color="auto" w:fill="auto"/>
            <w:vAlign w:val="center"/>
          </w:tcPr>
          <w:p w14:paraId="2383099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医院信息系统</w:t>
            </w: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00A9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基础业务平台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300B3">
            <w:pPr>
              <w:jc w:val="center"/>
              <w:textAlignment w:val="center"/>
              <w:rPr>
                <w:rFonts w:ascii="宋体" w:hAnsi="宋体" w:eastAsia="宋体" w:cs="宋体"/>
                <w:color w:val="auto"/>
                <w:highlight w:val="none"/>
              </w:rPr>
            </w:pPr>
          </w:p>
        </w:tc>
      </w:tr>
      <w:tr w14:paraId="42948C60">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8811F5">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w:t>
            </w:r>
          </w:p>
        </w:tc>
        <w:tc>
          <w:tcPr>
            <w:tcW w:w="788" w:type="pct"/>
            <w:vMerge w:val="continue"/>
            <w:tcBorders>
              <w:left w:val="single" w:color="000000" w:sz="4" w:space="0"/>
              <w:right w:val="single" w:color="000000" w:sz="4" w:space="0"/>
            </w:tcBorders>
            <w:shd w:val="clear" w:color="auto" w:fill="auto"/>
            <w:vAlign w:val="center"/>
          </w:tcPr>
          <w:p w14:paraId="47D8D245">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3C453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门诊业务系统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20D29">
            <w:pPr>
              <w:jc w:val="center"/>
              <w:textAlignment w:val="center"/>
              <w:rPr>
                <w:rFonts w:ascii="宋体" w:hAnsi="宋体" w:eastAsia="宋体" w:cs="宋体"/>
                <w:color w:val="auto"/>
                <w:highlight w:val="none"/>
              </w:rPr>
            </w:pPr>
          </w:p>
        </w:tc>
      </w:tr>
      <w:tr w14:paraId="3A85E0BD">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91C99">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3</w:t>
            </w:r>
          </w:p>
        </w:tc>
        <w:tc>
          <w:tcPr>
            <w:tcW w:w="788" w:type="pct"/>
            <w:vMerge w:val="continue"/>
            <w:tcBorders>
              <w:left w:val="single" w:color="000000" w:sz="4" w:space="0"/>
              <w:right w:val="single" w:color="000000" w:sz="4" w:space="0"/>
            </w:tcBorders>
            <w:shd w:val="clear" w:color="auto" w:fill="auto"/>
            <w:vAlign w:val="center"/>
          </w:tcPr>
          <w:p w14:paraId="6B0C5BE5">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A5A85A">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急诊业务系统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909FF3">
            <w:pPr>
              <w:jc w:val="center"/>
              <w:textAlignment w:val="center"/>
              <w:rPr>
                <w:rFonts w:ascii="宋体" w:hAnsi="宋体" w:eastAsia="宋体" w:cs="宋体"/>
                <w:color w:val="auto"/>
                <w:highlight w:val="none"/>
              </w:rPr>
            </w:pPr>
          </w:p>
        </w:tc>
      </w:tr>
      <w:tr w14:paraId="5DE36323">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64BF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w:t>
            </w:r>
          </w:p>
        </w:tc>
        <w:tc>
          <w:tcPr>
            <w:tcW w:w="788" w:type="pct"/>
            <w:vMerge w:val="continue"/>
            <w:tcBorders>
              <w:left w:val="single" w:color="000000" w:sz="4" w:space="0"/>
              <w:right w:val="single" w:color="000000" w:sz="4" w:space="0"/>
            </w:tcBorders>
            <w:shd w:val="clear" w:color="auto" w:fill="auto"/>
            <w:vAlign w:val="center"/>
          </w:tcPr>
          <w:p w14:paraId="548E8A01">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4B05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住院业务系统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9DE1C">
            <w:pPr>
              <w:jc w:val="center"/>
              <w:textAlignment w:val="center"/>
              <w:rPr>
                <w:rFonts w:ascii="宋体" w:hAnsi="宋体" w:eastAsia="宋体" w:cs="宋体"/>
                <w:color w:val="auto"/>
                <w:highlight w:val="none"/>
              </w:rPr>
            </w:pPr>
          </w:p>
        </w:tc>
      </w:tr>
      <w:tr w14:paraId="110DEB67">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B8B4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w:t>
            </w:r>
          </w:p>
        </w:tc>
        <w:tc>
          <w:tcPr>
            <w:tcW w:w="788" w:type="pct"/>
            <w:vMerge w:val="continue"/>
            <w:tcBorders>
              <w:left w:val="single" w:color="000000" w:sz="4" w:space="0"/>
              <w:right w:val="single" w:color="000000" w:sz="4" w:space="0"/>
            </w:tcBorders>
            <w:shd w:val="clear" w:color="auto" w:fill="auto"/>
            <w:vAlign w:val="center"/>
          </w:tcPr>
          <w:p w14:paraId="74F49332">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D32C11">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药事业务系统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C2B81">
            <w:pPr>
              <w:jc w:val="center"/>
              <w:textAlignment w:val="center"/>
              <w:rPr>
                <w:rFonts w:ascii="宋体" w:hAnsi="宋体" w:eastAsia="宋体" w:cs="宋体"/>
                <w:color w:val="auto"/>
                <w:highlight w:val="none"/>
              </w:rPr>
            </w:pPr>
          </w:p>
        </w:tc>
      </w:tr>
      <w:tr w14:paraId="3B21636F">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3BEACC">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6</w:t>
            </w:r>
          </w:p>
        </w:tc>
        <w:tc>
          <w:tcPr>
            <w:tcW w:w="788" w:type="pct"/>
            <w:vMerge w:val="continue"/>
            <w:tcBorders>
              <w:left w:val="single" w:color="000000" w:sz="4" w:space="0"/>
              <w:right w:val="single" w:color="000000" w:sz="4" w:space="0"/>
            </w:tcBorders>
            <w:shd w:val="clear" w:color="auto" w:fill="auto"/>
            <w:vAlign w:val="center"/>
          </w:tcPr>
          <w:p w14:paraId="085622A5">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3CF46A">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医保管理系统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62A2E">
            <w:pPr>
              <w:jc w:val="center"/>
              <w:textAlignment w:val="center"/>
              <w:rPr>
                <w:rFonts w:ascii="宋体" w:hAnsi="宋体" w:eastAsia="宋体" w:cs="宋体"/>
                <w:color w:val="auto"/>
                <w:highlight w:val="none"/>
              </w:rPr>
            </w:pPr>
          </w:p>
        </w:tc>
      </w:tr>
      <w:tr w14:paraId="721CB8C3">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C054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7</w:t>
            </w:r>
          </w:p>
        </w:tc>
        <w:tc>
          <w:tcPr>
            <w:tcW w:w="788" w:type="pct"/>
            <w:vMerge w:val="continue"/>
            <w:tcBorders>
              <w:left w:val="single" w:color="000000" w:sz="4" w:space="0"/>
              <w:bottom w:val="single" w:color="000000" w:sz="4" w:space="0"/>
              <w:right w:val="single" w:color="000000" w:sz="4" w:space="0"/>
            </w:tcBorders>
            <w:shd w:val="clear" w:color="auto" w:fill="auto"/>
            <w:vAlign w:val="center"/>
          </w:tcPr>
          <w:p w14:paraId="436A2340">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3D02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统一支付平台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6639C6">
            <w:pPr>
              <w:jc w:val="center"/>
              <w:textAlignment w:val="center"/>
              <w:rPr>
                <w:rFonts w:ascii="宋体" w:hAnsi="宋体" w:eastAsia="宋体" w:cs="宋体"/>
                <w:color w:val="auto"/>
                <w:highlight w:val="none"/>
              </w:rPr>
            </w:pPr>
          </w:p>
        </w:tc>
      </w:tr>
      <w:tr w14:paraId="2F07139F">
        <w:tblPrEx>
          <w:tblCellMar>
            <w:top w:w="0" w:type="dxa"/>
            <w:left w:w="108" w:type="dxa"/>
            <w:bottom w:w="0" w:type="dxa"/>
            <w:right w:w="108" w:type="dxa"/>
          </w:tblCellMar>
        </w:tblPrEx>
        <w:trPr>
          <w:trHeight w:val="90"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779F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8</w:t>
            </w:r>
          </w:p>
        </w:tc>
        <w:tc>
          <w:tcPr>
            <w:tcW w:w="788" w:type="pct"/>
            <w:vMerge w:val="restart"/>
            <w:tcBorders>
              <w:top w:val="single" w:color="000000" w:sz="4" w:space="0"/>
              <w:left w:val="single" w:color="000000" w:sz="4" w:space="0"/>
              <w:right w:val="single" w:color="000000" w:sz="4" w:space="0"/>
            </w:tcBorders>
            <w:shd w:val="clear" w:color="auto" w:fill="auto"/>
            <w:vAlign w:val="center"/>
          </w:tcPr>
          <w:p w14:paraId="0CDEB238">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信息集成平台</w:t>
            </w: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A0272">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信息集成引擎</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EDA9E">
            <w:pPr>
              <w:jc w:val="center"/>
              <w:rPr>
                <w:rFonts w:ascii="宋体" w:hAnsi="宋体" w:eastAsia="宋体" w:cs="宋体"/>
                <w:color w:val="auto"/>
                <w:highlight w:val="none"/>
              </w:rPr>
            </w:pPr>
          </w:p>
        </w:tc>
      </w:tr>
      <w:tr w14:paraId="22D7C5C2">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418992">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9</w:t>
            </w:r>
          </w:p>
        </w:tc>
        <w:tc>
          <w:tcPr>
            <w:tcW w:w="788" w:type="pct"/>
            <w:vMerge w:val="continue"/>
            <w:tcBorders>
              <w:left w:val="single" w:color="000000" w:sz="4" w:space="0"/>
              <w:right w:val="single" w:color="000000" w:sz="4" w:space="0"/>
            </w:tcBorders>
            <w:shd w:val="clear" w:color="auto" w:fill="auto"/>
            <w:vAlign w:val="center"/>
          </w:tcPr>
          <w:p w14:paraId="7416DDCE">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82FC71">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信息集成标准与规范服务</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61FE1">
            <w:pPr>
              <w:jc w:val="center"/>
              <w:rPr>
                <w:rFonts w:ascii="宋体" w:hAnsi="宋体" w:eastAsia="宋体" w:cs="宋体"/>
                <w:color w:val="auto"/>
                <w:highlight w:val="none"/>
              </w:rPr>
            </w:pPr>
          </w:p>
        </w:tc>
      </w:tr>
      <w:tr w14:paraId="4EEB6E3A">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9C561">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10</w:t>
            </w:r>
          </w:p>
        </w:tc>
        <w:tc>
          <w:tcPr>
            <w:tcW w:w="788" w:type="pct"/>
            <w:vMerge w:val="continue"/>
            <w:tcBorders>
              <w:left w:val="single" w:color="000000" w:sz="4" w:space="0"/>
              <w:right w:val="single" w:color="000000" w:sz="4" w:space="0"/>
            </w:tcBorders>
            <w:shd w:val="clear" w:color="auto" w:fill="auto"/>
            <w:vAlign w:val="center"/>
          </w:tcPr>
          <w:p w14:paraId="35AB93BE">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1650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异常服务处理平台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4C1F85">
            <w:pPr>
              <w:jc w:val="center"/>
              <w:rPr>
                <w:rFonts w:ascii="宋体" w:hAnsi="宋体" w:eastAsia="宋体" w:cs="宋体"/>
                <w:color w:val="auto"/>
                <w:highlight w:val="none"/>
              </w:rPr>
            </w:pPr>
          </w:p>
        </w:tc>
      </w:tr>
      <w:tr w14:paraId="6C339EC9">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344DB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11</w:t>
            </w:r>
          </w:p>
        </w:tc>
        <w:tc>
          <w:tcPr>
            <w:tcW w:w="788" w:type="pct"/>
            <w:vMerge w:val="continue"/>
            <w:tcBorders>
              <w:left w:val="single" w:color="000000" w:sz="4" w:space="0"/>
              <w:right w:val="single" w:color="000000" w:sz="4" w:space="0"/>
            </w:tcBorders>
            <w:shd w:val="clear" w:color="auto" w:fill="auto"/>
            <w:vAlign w:val="center"/>
          </w:tcPr>
          <w:p w14:paraId="53E0C7FA">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9A1B5B">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消息检索平台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BCA8D">
            <w:pPr>
              <w:jc w:val="center"/>
              <w:rPr>
                <w:rFonts w:ascii="宋体" w:hAnsi="宋体" w:eastAsia="宋体" w:cs="宋体"/>
                <w:color w:val="auto"/>
                <w:highlight w:val="none"/>
              </w:rPr>
            </w:pPr>
          </w:p>
        </w:tc>
      </w:tr>
      <w:tr w14:paraId="3B77C052">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9F5A18">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12</w:t>
            </w:r>
          </w:p>
        </w:tc>
        <w:tc>
          <w:tcPr>
            <w:tcW w:w="788" w:type="pct"/>
            <w:vMerge w:val="continue"/>
            <w:tcBorders>
              <w:left w:val="single" w:color="000000" w:sz="4" w:space="0"/>
              <w:right w:val="single" w:color="000000" w:sz="4" w:space="0"/>
            </w:tcBorders>
            <w:shd w:val="clear" w:color="auto" w:fill="auto"/>
            <w:vAlign w:val="center"/>
          </w:tcPr>
          <w:p w14:paraId="4C7860A9">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95B23A">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主数据管理系统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F42A7">
            <w:pPr>
              <w:jc w:val="center"/>
              <w:rPr>
                <w:rFonts w:ascii="宋体" w:hAnsi="宋体" w:eastAsia="宋体" w:cs="宋体"/>
                <w:color w:val="auto"/>
                <w:highlight w:val="none"/>
              </w:rPr>
            </w:pPr>
          </w:p>
        </w:tc>
      </w:tr>
      <w:tr w14:paraId="795A27D7">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567E8">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13</w:t>
            </w:r>
          </w:p>
        </w:tc>
        <w:tc>
          <w:tcPr>
            <w:tcW w:w="788" w:type="pct"/>
            <w:vMerge w:val="continue"/>
            <w:tcBorders>
              <w:left w:val="single" w:color="000000" w:sz="4" w:space="0"/>
              <w:right w:val="single" w:color="000000" w:sz="4" w:space="0"/>
            </w:tcBorders>
            <w:shd w:val="clear" w:color="auto" w:fill="auto"/>
            <w:vAlign w:val="center"/>
          </w:tcPr>
          <w:p w14:paraId="5AB22F1B">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A309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一体化监控平台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6A2FA">
            <w:pPr>
              <w:jc w:val="center"/>
              <w:rPr>
                <w:rFonts w:ascii="宋体" w:hAnsi="宋体" w:eastAsia="宋体" w:cs="宋体"/>
                <w:color w:val="auto"/>
                <w:highlight w:val="none"/>
              </w:rPr>
            </w:pPr>
          </w:p>
        </w:tc>
      </w:tr>
      <w:tr w14:paraId="56307F05">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8BDE7F">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14</w:t>
            </w:r>
          </w:p>
        </w:tc>
        <w:tc>
          <w:tcPr>
            <w:tcW w:w="788" w:type="pct"/>
            <w:vMerge w:val="continue"/>
            <w:tcBorders>
              <w:left w:val="single" w:color="000000" w:sz="4" w:space="0"/>
              <w:right w:val="single" w:color="000000" w:sz="4" w:space="0"/>
            </w:tcBorders>
            <w:shd w:val="clear" w:color="auto" w:fill="auto"/>
            <w:vAlign w:val="center"/>
          </w:tcPr>
          <w:p w14:paraId="350AD684">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98FC71">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服务、消息分析平台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06275">
            <w:pPr>
              <w:jc w:val="center"/>
              <w:rPr>
                <w:rFonts w:ascii="宋体" w:hAnsi="宋体" w:eastAsia="宋体" w:cs="宋体"/>
                <w:color w:val="auto"/>
                <w:highlight w:val="none"/>
              </w:rPr>
            </w:pPr>
          </w:p>
        </w:tc>
      </w:tr>
      <w:tr w14:paraId="4D213AAA">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70B2D9">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15</w:t>
            </w:r>
          </w:p>
        </w:tc>
        <w:tc>
          <w:tcPr>
            <w:tcW w:w="788" w:type="pct"/>
            <w:vMerge w:val="continue"/>
            <w:tcBorders>
              <w:left w:val="single" w:color="000000" w:sz="4" w:space="0"/>
              <w:right w:val="single" w:color="000000" w:sz="4" w:space="0"/>
            </w:tcBorders>
            <w:shd w:val="clear" w:color="auto" w:fill="auto"/>
            <w:vAlign w:val="center"/>
          </w:tcPr>
          <w:p w14:paraId="3CE02112">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EFDD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互联互通定量</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39EBB0">
            <w:pPr>
              <w:jc w:val="center"/>
              <w:rPr>
                <w:rFonts w:ascii="宋体" w:hAnsi="宋体" w:eastAsia="宋体" w:cs="宋体"/>
                <w:color w:val="auto"/>
                <w:highlight w:val="none"/>
              </w:rPr>
            </w:pPr>
          </w:p>
        </w:tc>
      </w:tr>
      <w:tr w14:paraId="010DAC1A">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BC9B9C">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16</w:t>
            </w:r>
          </w:p>
        </w:tc>
        <w:tc>
          <w:tcPr>
            <w:tcW w:w="788" w:type="pct"/>
            <w:vMerge w:val="continue"/>
            <w:tcBorders>
              <w:left w:val="single" w:color="000000" w:sz="4" w:space="0"/>
              <w:right w:val="single" w:color="000000" w:sz="4" w:space="0"/>
            </w:tcBorders>
            <w:shd w:val="clear" w:color="auto" w:fill="auto"/>
            <w:vAlign w:val="center"/>
          </w:tcPr>
          <w:p w14:paraId="323D2189">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E2BD99">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互联互通定性</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F8F41">
            <w:pPr>
              <w:jc w:val="center"/>
              <w:rPr>
                <w:rFonts w:ascii="宋体" w:hAnsi="宋体" w:eastAsia="宋体" w:cs="宋体"/>
                <w:color w:val="auto"/>
                <w:highlight w:val="none"/>
              </w:rPr>
            </w:pPr>
          </w:p>
        </w:tc>
      </w:tr>
      <w:tr w14:paraId="324A49DE">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0C99A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17</w:t>
            </w:r>
          </w:p>
        </w:tc>
        <w:tc>
          <w:tcPr>
            <w:tcW w:w="788" w:type="pct"/>
            <w:vMerge w:val="continue"/>
            <w:tcBorders>
              <w:left w:val="single" w:color="000000" w:sz="4" w:space="0"/>
              <w:right w:val="single" w:color="000000" w:sz="4" w:space="0"/>
            </w:tcBorders>
            <w:shd w:val="clear" w:color="auto" w:fill="auto"/>
            <w:vAlign w:val="center"/>
          </w:tcPr>
          <w:p w14:paraId="2D720A44">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FC3B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互联互通消息检索</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213C9">
            <w:pPr>
              <w:jc w:val="center"/>
              <w:rPr>
                <w:rFonts w:ascii="宋体" w:hAnsi="宋体" w:eastAsia="宋体" w:cs="宋体"/>
                <w:color w:val="auto"/>
                <w:highlight w:val="none"/>
              </w:rPr>
            </w:pPr>
          </w:p>
        </w:tc>
      </w:tr>
      <w:tr w14:paraId="3B5FB83A">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13E37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18</w:t>
            </w:r>
          </w:p>
        </w:tc>
        <w:tc>
          <w:tcPr>
            <w:tcW w:w="788" w:type="pct"/>
            <w:vMerge w:val="continue"/>
            <w:tcBorders>
              <w:left w:val="single" w:color="000000" w:sz="4" w:space="0"/>
              <w:right w:val="single" w:color="000000" w:sz="4" w:space="0"/>
            </w:tcBorders>
            <w:shd w:val="clear" w:color="auto" w:fill="auto"/>
            <w:vAlign w:val="center"/>
          </w:tcPr>
          <w:p w14:paraId="5C3107B2">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383E8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数据接入平台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0E0F9">
            <w:pPr>
              <w:jc w:val="center"/>
              <w:rPr>
                <w:rFonts w:ascii="宋体" w:hAnsi="宋体" w:eastAsia="宋体" w:cs="宋体"/>
                <w:color w:val="auto"/>
                <w:highlight w:val="none"/>
              </w:rPr>
            </w:pPr>
          </w:p>
        </w:tc>
      </w:tr>
      <w:tr w14:paraId="0D8300C4">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744878">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19</w:t>
            </w:r>
          </w:p>
        </w:tc>
        <w:tc>
          <w:tcPr>
            <w:tcW w:w="788" w:type="pct"/>
            <w:vMerge w:val="continue"/>
            <w:tcBorders>
              <w:left w:val="single" w:color="000000" w:sz="4" w:space="0"/>
              <w:right w:val="single" w:color="000000" w:sz="4" w:space="0"/>
            </w:tcBorders>
            <w:shd w:val="clear" w:color="auto" w:fill="auto"/>
            <w:vAlign w:val="center"/>
          </w:tcPr>
          <w:p w14:paraId="5E1781D9">
            <w:pPr>
              <w:jc w:val="center"/>
              <w:textAlignment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644725">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前置业务存储数据库</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48175">
            <w:pPr>
              <w:jc w:val="center"/>
              <w:rPr>
                <w:rFonts w:ascii="宋体" w:hAnsi="宋体" w:eastAsia="宋体" w:cs="宋体"/>
                <w:color w:val="auto"/>
                <w:highlight w:val="none"/>
              </w:rPr>
            </w:pPr>
          </w:p>
        </w:tc>
      </w:tr>
      <w:tr w14:paraId="24BAACCB">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3C8F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20</w:t>
            </w:r>
          </w:p>
        </w:tc>
        <w:tc>
          <w:tcPr>
            <w:tcW w:w="788" w:type="pct"/>
            <w:vMerge w:val="continue"/>
            <w:tcBorders>
              <w:left w:val="single" w:color="000000" w:sz="4" w:space="0"/>
              <w:right w:val="single" w:color="000000" w:sz="4" w:space="0"/>
            </w:tcBorders>
            <w:shd w:val="clear" w:color="auto" w:fill="auto"/>
            <w:vAlign w:val="center"/>
          </w:tcPr>
          <w:p w14:paraId="57B48980">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9F3EEC">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临床数据资源平台</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0E828">
            <w:pPr>
              <w:jc w:val="center"/>
              <w:rPr>
                <w:rFonts w:ascii="宋体" w:hAnsi="宋体" w:eastAsia="宋体" w:cs="宋体"/>
                <w:color w:val="auto"/>
                <w:highlight w:val="none"/>
              </w:rPr>
            </w:pPr>
          </w:p>
        </w:tc>
      </w:tr>
      <w:tr w14:paraId="38968554">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5B28E">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21</w:t>
            </w:r>
          </w:p>
        </w:tc>
        <w:tc>
          <w:tcPr>
            <w:tcW w:w="788" w:type="pct"/>
            <w:vMerge w:val="continue"/>
            <w:tcBorders>
              <w:left w:val="single" w:color="000000" w:sz="4" w:space="0"/>
              <w:right w:val="single" w:color="000000" w:sz="4" w:space="0"/>
            </w:tcBorders>
            <w:shd w:val="clear" w:color="auto" w:fill="auto"/>
            <w:vAlign w:val="center"/>
          </w:tcPr>
          <w:p w14:paraId="4BD5BF19">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6241E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运营数据库</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AAD946">
            <w:pPr>
              <w:jc w:val="center"/>
              <w:rPr>
                <w:rFonts w:ascii="宋体" w:hAnsi="宋体" w:eastAsia="宋体" w:cs="宋体"/>
                <w:color w:val="auto"/>
                <w:highlight w:val="none"/>
              </w:rPr>
            </w:pPr>
          </w:p>
        </w:tc>
      </w:tr>
      <w:tr w14:paraId="14ABA522">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0805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22</w:t>
            </w:r>
          </w:p>
        </w:tc>
        <w:tc>
          <w:tcPr>
            <w:tcW w:w="788" w:type="pct"/>
            <w:vMerge w:val="continue"/>
            <w:tcBorders>
              <w:left w:val="single" w:color="000000" w:sz="4" w:space="0"/>
              <w:right w:val="single" w:color="000000" w:sz="4" w:space="0"/>
            </w:tcBorders>
            <w:shd w:val="clear" w:color="auto" w:fill="auto"/>
            <w:vAlign w:val="center"/>
          </w:tcPr>
          <w:p w14:paraId="5810C51D">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FA0285">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患者360全息视图</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85488">
            <w:pPr>
              <w:jc w:val="center"/>
              <w:rPr>
                <w:rFonts w:ascii="宋体" w:hAnsi="宋体" w:eastAsia="宋体" w:cs="宋体"/>
                <w:color w:val="auto"/>
                <w:highlight w:val="none"/>
              </w:rPr>
            </w:pPr>
          </w:p>
        </w:tc>
      </w:tr>
      <w:tr w14:paraId="422374A4">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FFB0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23</w:t>
            </w:r>
          </w:p>
        </w:tc>
        <w:tc>
          <w:tcPr>
            <w:tcW w:w="788" w:type="pct"/>
            <w:vMerge w:val="continue"/>
            <w:tcBorders>
              <w:left w:val="single" w:color="000000" w:sz="4" w:space="0"/>
              <w:right w:val="single" w:color="000000" w:sz="4" w:space="0"/>
            </w:tcBorders>
            <w:shd w:val="clear" w:color="auto" w:fill="auto"/>
            <w:vAlign w:val="center"/>
          </w:tcPr>
          <w:p w14:paraId="7E49F8D2">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DB35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闭环流程追溯管理系统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AFA3EA">
            <w:pPr>
              <w:jc w:val="center"/>
              <w:rPr>
                <w:rFonts w:ascii="宋体" w:hAnsi="宋体" w:eastAsia="宋体" w:cs="宋体"/>
                <w:color w:val="auto"/>
                <w:highlight w:val="none"/>
              </w:rPr>
            </w:pPr>
          </w:p>
        </w:tc>
      </w:tr>
      <w:tr w14:paraId="76F3BB43">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AC6F2F">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24</w:t>
            </w:r>
          </w:p>
        </w:tc>
        <w:tc>
          <w:tcPr>
            <w:tcW w:w="788" w:type="pct"/>
            <w:vMerge w:val="continue"/>
            <w:tcBorders>
              <w:left w:val="single" w:color="000000" w:sz="4" w:space="0"/>
              <w:right w:val="single" w:color="000000" w:sz="4" w:space="0"/>
            </w:tcBorders>
            <w:shd w:val="clear" w:color="auto" w:fill="auto"/>
            <w:vAlign w:val="center"/>
          </w:tcPr>
          <w:p w14:paraId="5F17A83F">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3908C">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元数据管理系统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10C13">
            <w:pPr>
              <w:jc w:val="center"/>
              <w:rPr>
                <w:rFonts w:ascii="宋体" w:hAnsi="宋体" w:eastAsia="宋体" w:cs="宋体"/>
                <w:color w:val="auto"/>
                <w:highlight w:val="none"/>
              </w:rPr>
            </w:pPr>
          </w:p>
        </w:tc>
      </w:tr>
      <w:tr w14:paraId="450A07B3">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7F0EEE">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25</w:t>
            </w:r>
          </w:p>
        </w:tc>
        <w:tc>
          <w:tcPr>
            <w:tcW w:w="788" w:type="pct"/>
            <w:vMerge w:val="continue"/>
            <w:tcBorders>
              <w:left w:val="single" w:color="000000" w:sz="4" w:space="0"/>
              <w:right w:val="single" w:color="000000" w:sz="4" w:space="0"/>
            </w:tcBorders>
            <w:shd w:val="clear" w:color="auto" w:fill="auto"/>
            <w:vAlign w:val="center"/>
          </w:tcPr>
          <w:p w14:paraId="5BA16F95">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A87BD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主索引管理系统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29DA4">
            <w:pPr>
              <w:jc w:val="center"/>
              <w:rPr>
                <w:rFonts w:ascii="宋体" w:hAnsi="宋体" w:eastAsia="宋体" w:cs="宋体"/>
                <w:color w:val="auto"/>
                <w:highlight w:val="none"/>
              </w:rPr>
            </w:pPr>
          </w:p>
        </w:tc>
      </w:tr>
      <w:tr w14:paraId="6489C7DC">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C6B515">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26</w:t>
            </w:r>
          </w:p>
        </w:tc>
        <w:tc>
          <w:tcPr>
            <w:tcW w:w="788" w:type="pct"/>
            <w:vMerge w:val="continue"/>
            <w:tcBorders>
              <w:left w:val="single" w:color="000000" w:sz="4" w:space="0"/>
              <w:right w:val="single" w:color="000000" w:sz="4" w:space="0"/>
            </w:tcBorders>
            <w:shd w:val="clear" w:color="auto" w:fill="auto"/>
            <w:vAlign w:val="center"/>
          </w:tcPr>
          <w:p w14:paraId="260A015D">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C0D6C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共享文档库</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F0044B">
            <w:pPr>
              <w:jc w:val="center"/>
              <w:rPr>
                <w:rFonts w:ascii="宋体" w:hAnsi="宋体" w:eastAsia="宋体" w:cs="宋体"/>
                <w:color w:val="auto"/>
                <w:highlight w:val="none"/>
              </w:rPr>
            </w:pPr>
          </w:p>
        </w:tc>
      </w:tr>
      <w:tr w14:paraId="53670994">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76D0A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27</w:t>
            </w:r>
          </w:p>
        </w:tc>
        <w:tc>
          <w:tcPr>
            <w:tcW w:w="788" w:type="pct"/>
            <w:vMerge w:val="continue"/>
            <w:tcBorders>
              <w:left w:val="single" w:color="000000" w:sz="4" w:space="0"/>
              <w:right w:val="single" w:color="000000" w:sz="4" w:space="0"/>
            </w:tcBorders>
            <w:shd w:val="clear" w:color="auto" w:fill="auto"/>
            <w:vAlign w:val="center"/>
          </w:tcPr>
          <w:p w14:paraId="5F0E7AAA">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8B702E">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共享文档管理系统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D9B9A">
            <w:pPr>
              <w:jc w:val="center"/>
              <w:rPr>
                <w:rFonts w:ascii="宋体" w:hAnsi="宋体" w:eastAsia="宋体" w:cs="宋体"/>
                <w:color w:val="auto"/>
                <w:highlight w:val="none"/>
              </w:rPr>
            </w:pPr>
          </w:p>
        </w:tc>
      </w:tr>
      <w:tr w14:paraId="521537BB">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463D7A">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28</w:t>
            </w:r>
          </w:p>
        </w:tc>
        <w:tc>
          <w:tcPr>
            <w:tcW w:w="788" w:type="pct"/>
            <w:vMerge w:val="continue"/>
            <w:tcBorders>
              <w:left w:val="single" w:color="000000" w:sz="4" w:space="0"/>
              <w:right w:val="single" w:color="000000" w:sz="4" w:space="0"/>
            </w:tcBorders>
            <w:shd w:val="clear" w:color="auto" w:fill="auto"/>
            <w:vAlign w:val="center"/>
          </w:tcPr>
          <w:p w14:paraId="21890C9D">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CB0AC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历史数据迁移</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3489A9">
            <w:pPr>
              <w:jc w:val="center"/>
              <w:rPr>
                <w:rFonts w:ascii="宋体" w:hAnsi="宋体" w:eastAsia="宋体" w:cs="宋体"/>
                <w:color w:val="auto"/>
                <w:highlight w:val="none"/>
              </w:rPr>
            </w:pPr>
          </w:p>
        </w:tc>
      </w:tr>
      <w:tr w14:paraId="19992B84">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DD27B0">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29</w:t>
            </w:r>
          </w:p>
        </w:tc>
        <w:tc>
          <w:tcPr>
            <w:tcW w:w="7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9D330E">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医院系统应用统一管理</w:t>
            </w: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C10F2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单点登录系统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29E0B">
            <w:pPr>
              <w:jc w:val="center"/>
              <w:rPr>
                <w:rFonts w:ascii="宋体" w:hAnsi="宋体" w:eastAsia="宋体" w:cs="宋体"/>
                <w:color w:val="auto"/>
                <w:highlight w:val="none"/>
              </w:rPr>
            </w:pPr>
          </w:p>
        </w:tc>
      </w:tr>
      <w:tr w14:paraId="629069C4">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6EA3F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30</w:t>
            </w:r>
          </w:p>
        </w:tc>
        <w:tc>
          <w:tcPr>
            <w:tcW w:w="7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0E096B">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88039">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后台管理系统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A1A64">
            <w:pPr>
              <w:jc w:val="center"/>
              <w:rPr>
                <w:rFonts w:ascii="宋体" w:hAnsi="宋体" w:eastAsia="宋体" w:cs="宋体"/>
                <w:color w:val="auto"/>
                <w:highlight w:val="none"/>
              </w:rPr>
            </w:pPr>
          </w:p>
        </w:tc>
      </w:tr>
      <w:tr w14:paraId="3C99CA9B">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087DB4">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31</w:t>
            </w:r>
          </w:p>
        </w:tc>
        <w:tc>
          <w:tcPr>
            <w:tcW w:w="7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5CB98">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电子病历四级</w:t>
            </w: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7A4A42">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评审时提供数据填报和截图服务</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20A34">
            <w:pPr>
              <w:jc w:val="center"/>
              <w:rPr>
                <w:rFonts w:ascii="宋体" w:hAnsi="宋体" w:eastAsia="宋体" w:cs="宋体"/>
                <w:color w:val="auto"/>
                <w:highlight w:val="none"/>
              </w:rPr>
            </w:pPr>
          </w:p>
        </w:tc>
      </w:tr>
      <w:tr w14:paraId="2E2DDF97">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9537F5">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32</w:t>
            </w:r>
          </w:p>
        </w:tc>
        <w:tc>
          <w:tcPr>
            <w:tcW w:w="7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DAA99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互联互通四甲测评贴身服务</w:t>
            </w: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950322">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互联互通四甲报名及自评材料准备及提交</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5B7F5">
            <w:pPr>
              <w:jc w:val="center"/>
              <w:rPr>
                <w:rFonts w:ascii="宋体" w:hAnsi="宋体" w:eastAsia="宋体" w:cs="宋体"/>
                <w:color w:val="auto"/>
                <w:highlight w:val="none"/>
              </w:rPr>
            </w:pPr>
          </w:p>
        </w:tc>
      </w:tr>
      <w:tr w14:paraId="3E1C97C1">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79E5B2">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33</w:t>
            </w:r>
          </w:p>
        </w:tc>
        <w:tc>
          <w:tcPr>
            <w:tcW w:w="7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0927B0">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7B037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互联互通四甲省预评估材料准备及提交</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358F4">
            <w:pPr>
              <w:jc w:val="center"/>
              <w:rPr>
                <w:rFonts w:ascii="宋体" w:hAnsi="宋体" w:eastAsia="宋体" w:cs="宋体"/>
                <w:color w:val="auto"/>
                <w:highlight w:val="none"/>
              </w:rPr>
            </w:pPr>
          </w:p>
        </w:tc>
      </w:tr>
      <w:tr w14:paraId="0125E0B7">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5AFE98">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34</w:t>
            </w:r>
          </w:p>
        </w:tc>
        <w:tc>
          <w:tcPr>
            <w:tcW w:w="7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859474">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EB5B2">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互联互通四甲测评服务数据准备</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584DE">
            <w:pPr>
              <w:jc w:val="center"/>
              <w:rPr>
                <w:rFonts w:ascii="宋体" w:hAnsi="宋体" w:eastAsia="宋体" w:cs="宋体"/>
                <w:color w:val="auto"/>
                <w:highlight w:val="none"/>
              </w:rPr>
            </w:pPr>
          </w:p>
        </w:tc>
      </w:tr>
      <w:tr w14:paraId="6649651C">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8ADC3">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35</w:t>
            </w:r>
          </w:p>
        </w:tc>
        <w:tc>
          <w:tcPr>
            <w:tcW w:w="7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478674">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2937F">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互联互通四甲现场查验-定量查验</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43FAE2">
            <w:pPr>
              <w:jc w:val="center"/>
              <w:rPr>
                <w:rFonts w:ascii="宋体" w:hAnsi="宋体" w:eastAsia="宋体" w:cs="宋体"/>
                <w:color w:val="auto"/>
                <w:highlight w:val="none"/>
              </w:rPr>
            </w:pPr>
          </w:p>
        </w:tc>
      </w:tr>
      <w:tr w14:paraId="6FC66F5D">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6A04A">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36</w:t>
            </w:r>
          </w:p>
        </w:tc>
        <w:tc>
          <w:tcPr>
            <w:tcW w:w="788"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3553E759">
            <w:pPr>
              <w:jc w:val="center"/>
              <w:rPr>
                <w:rFonts w:ascii="宋体" w:hAnsi="宋体" w:eastAsia="宋体" w:cs="宋体"/>
                <w:color w:val="auto"/>
                <w:highlight w:val="none"/>
              </w:rPr>
            </w:pPr>
          </w:p>
        </w:tc>
        <w:tc>
          <w:tcPr>
            <w:tcW w:w="27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1BFAD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互联互通四甲现场查验-定性查验</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47AFC1">
            <w:pPr>
              <w:jc w:val="center"/>
              <w:rPr>
                <w:rFonts w:ascii="宋体" w:hAnsi="宋体" w:eastAsia="宋体" w:cs="宋体"/>
                <w:color w:val="auto"/>
                <w:highlight w:val="none"/>
              </w:rPr>
            </w:pPr>
          </w:p>
        </w:tc>
      </w:tr>
      <w:tr w14:paraId="7252789D">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6DA9929E">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37</w:t>
            </w:r>
          </w:p>
        </w:tc>
        <w:tc>
          <w:tcPr>
            <w:tcW w:w="78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F334E99">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需要升级的系统</w:t>
            </w: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0457730F">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RBRVS绩效考核系统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BF20C">
            <w:pPr>
              <w:jc w:val="center"/>
              <w:rPr>
                <w:rFonts w:ascii="宋体" w:hAnsi="宋体" w:eastAsia="宋体" w:cs="宋体"/>
                <w:color w:val="auto"/>
                <w:highlight w:val="none"/>
              </w:rPr>
            </w:pPr>
          </w:p>
        </w:tc>
      </w:tr>
      <w:tr w14:paraId="5F48305D">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70591EDA">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38</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FEA1582">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6136EF5A">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排队叫号系统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D18A64">
            <w:pPr>
              <w:jc w:val="center"/>
              <w:rPr>
                <w:rFonts w:ascii="宋体" w:hAnsi="宋体" w:eastAsia="宋体" w:cs="宋体"/>
                <w:color w:val="auto"/>
                <w:highlight w:val="none"/>
              </w:rPr>
            </w:pPr>
          </w:p>
        </w:tc>
      </w:tr>
      <w:tr w14:paraId="1C2DADD8">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215885D0">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39</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D56BB60">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5E57E1D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病案系统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98CB9">
            <w:pPr>
              <w:jc w:val="center"/>
              <w:rPr>
                <w:rFonts w:ascii="宋体" w:hAnsi="宋体" w:eastAsia="宋体" w:cs="宋体"/>
                <w:color w:val="auto"/>
                <w:highlight w:val="none"/>
              </w:rPr>
            </w:pPr>
          </w:p>
        </w:tc>
      </w:tr>
      <w:tr w14:paraId="76C443C9">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426B0AEC">
            <w:pPr>
              <w:jc w:val="center"/>
              <w:textAlignment w:val="center"/>
              <w:rPr>
                <w:rFonts w:hint="default"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40</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7801633">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68749C35">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LIS系统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09BD8">
            <w:pPr>
              <w:jc w:val="center"/>
              <w:rPr>
                <w:rFonts w:ascii="宋体" w:hAnsi="宋体" w:eastAsia="宋体" w:cs="宋体"/>
                <w:color w:val="auto"/>
                <w:highlight w:val="none"/>
              </w:rPr>
            </w:pPr>
          </w:p>
        </w:tc>
      </w:tr>
      <w:tr w14:paraId="319FFA89">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2BA10CCC">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41</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44654A7">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0FD6D29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PACS</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7547EB">
            <w:pPr>
              <w:jc w:val="center"/>
              <w:rPr>
                <w:rFonts w:ascii="宋体" w:hAnsi="宋体" w:eastAsia="宋体" w:cs="宋体"/>
                <w:color w:val="auto"/>
                <w:highlight w:val="none"/>
              </w:rPr>
            </w:pPr>
          </w:p>
        </w:tc>
      </w:tr>
      <w:tr w14:paraId="38FAE9A3">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69E1992F">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42</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E5BC582">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79552CCE">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DRGS管理</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212CC">
            <w:pPr>
              <w:jc w:val="center"/>
              <w:rPr>
                <w:rFonts w:ascii="宋体" w:hAnsi="宋体" w:eastAsia="宋体" w:cs="宋体"/>
                <w:color w:val="auto"/>
                <w:highlight w:val="none"/>
              </w:rPr>
            </w:pPr>
          </w:p>
        </w:tc>
      </w:tr>
      <w:tr w14:paraId="7B5BA9FD">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7672CFFF">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43</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28EBBB5">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2B754E50">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HRP</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335CE1">
            <w:pPr>
              <w:jc w:val="center"/>
              <w:rPr>
                <w:rFonts w:ascii="宋体" w:hAnsi="宋体" w:eastAsia="宋体" w:cs="宋体"/>
                <w:color w:val="auto"/>
                <w:highlight w:val="none"/>
              </w:rPr>
            </w:pPr>
          </w:p>
        </w:tc>
      </w:tr>
      <w:tr w14:paraId="5F351805">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48D5AFB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44</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28A83EE">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182734C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不良事件上报</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62F39">
            <w:pPr>
              <w:jc w:val="center"/>
              <w:rPr>
                <w:rFonts w:ascii="宋体" w:hAnsi="宋体" w:eastAsia="宋体" w:cs="宋体"/>
                <w:color w:val="auto"/>
                <w:highlight w:val="none"/>
              </w:rPr>
            </w:pPr>
          </w:p>
        </w:tc>
      </w:tr>
      <w:tr w14:paraId="0CBA56A8">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08953181">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45</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39A0FDB">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725F5F35">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院感系统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121801">
            <w:pPr>
              <w:jc w:val="center"/>
              <w:rPr>
                <w:rFonts w:ascii="宋体" w:hAnsi="宋体" w:eastAsia="宋体" w:cs="宋体"/>
                <w:color w:val="auto"/>
                <w:highlight w:val="none"/>
              </w:rPr>
            </w:pPr>
          </w:p>
        </w:tc>
      </w:tr>
      <w:tr w14:paraId="548269BE">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473E7900">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46</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A7E90E1">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27D194D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供应室追溯系统、内镜追溯系统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ECBE83">
            <w:pPr>
              <w:jc w:val="center"/>
              <w:rPr>
                <w:rFonts w:ascii="宋体" w:hAnsi="宋体" w:eastAsia="宋体" w:cs="宋体"/>
                <w:color w:val="auto"/>
                <w:highlight w:val="none"/>
              </w:rPr>
            </w:pPr>
          </w:p>
        </w:tc>
      </w:tr>
      <w:tr w14:paraId="5E83131D">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2D2C139C">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47</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0A4E09D">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6C340C1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产科电子病历</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231C85">
            <w:pPr>
              <w:jc w:val="center"/>
              <w:rPr>
                <w:rFonts w:ascii="宋体" w:hAnsi="宋体" w:eastAsia="宋体" w:cs="宋体"/>
                <w:color w:val="auto"/>
                <w:highlight w:val="none"/>
              </w:rPr>
            </w:pPr>
          </w:p>
        </w:tc>
      </w:tr>
      <w:tr w14:paraId="403C7D65">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5953B47E">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48</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C4FF154">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109305B2">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审方系统合理用药处方点评</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1DB50">
            <w:pPr>
              <w:jc w:val="center"/>
              <w:rPr>
                <w:rFonts w:ascii="宋体" w:hAnsi="宋体" w:eastAsia="宋体" w:cs="宋体"/>
                <w:color w:val="auto"/>
                <w:highlight w:val="none"/>
              </w:rPr>
            </w:pPr>
          </w:p>
        </w:tc>
      </w:tr>
      <w:tr w14:paraId="4C4C1798">
        <w:tblPrEx>
          <w:tblCellMar>
            <w:top w:w="0" w:type="dxa"/>
            <w:left w:w="108" w:type="dxa"/>
            <w:bottom w:w="0" w:type="dxa"/>
            <w:right w:w="108" w:type="dxa"/>
          </w:tblCellMar>
        </w:tblPrEx>
        <w:trPr>
          <w:trHeight w:val="90"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751200B0">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49</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14BAB45">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32AC80C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随访系统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6DBE09">
            <w:pPr>
              <w:jc w:val="center"/>
              <w:rPr>
                <w:rFonts w:ascii="宋体" w:hAnsi="宋体" w:eastAsia="宋体" w:cs="宋体"/>
                <w:color w:val="auto"/>
                <w:highlight w:val="none"/>
              </w:rPr>
            </w:pPr>
          </w:p>
        </w:tc>
      </w:tr>
      <w:tr w14:paraId="131ABADB">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3B235FE9">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50</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A6451DC">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4D20AC1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自助机接口（门诊、住院、自助开单）</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731C9">
            <w:pPr>
              <w:jc w:val="center"/>
              <w:rPr>
                <w:rFonts w:ascii="宋体" w:hAnsi="宋体" w:eastAsia="宋体" w:cs="宋体"/>
                <w:color w:val="auto"/>
                <w:highlight w:val="none"/>
              </w:rPr>
            </w:pPr>
          </w:p>
        </w:tc>
      </w:tr>
      <w:tr w14:paraId="74583ABC">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32835F2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51</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EADFD22">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619559E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微信预约，挂号</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17A85">
            <w:pPr>
              <w:jc w:val="center"/>
              <w:rPr>
                <w:rFonts w:ascii="宋体" w:hAnsi="宋体" w:eastAsia="宋体" w:cs="宋体"/>
                <w:color w:val="auto"/>
                <w:highlight w:val="none"/>
              </w:rPr>
            </w:pPr>
          </w:p>
        </w:tc>
      </w:tr>
      <w:tr w14:paraId="5B44BE65">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2069A6A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52</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A6DA60B">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3079DB04">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输血管理</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633F84">
            <w:pPr>
              <w:jc w:val="center"/>
              <w:rPr>
                <w:rFonts w:ascii="宋体" w:hAnsi="宋体" w:eastAsia="宋体" w:cs="宋体"/>
                <w:color w:val="auto"/>
                <w:highlight w:val="none"/>
              </w:rPr>
            </w:pPr>
          </w:p>
        </w:tc>
      </w:tr>
      <w:tr w14:paraId="401E4CB2">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1391D6C3">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53</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0DC12EB">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60DF8AB7">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抖音预约小程序</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1C47F">
            <w:pPr>
              <w:jc w:val="center"/>
              <w:rPr>
                <w:rFonts w:ascii="宋体" w:hAnsi="宋体" w:eastAsia="宋体" w:cs="宋体"/>
                <w:color w:val="auto"/>
                <w:highlight w:val="none"/>
              </w:rPr>
            </w:pPr>
          </w:p>
        </w:tc>
      </w:tr>
      <w:tr w14:paraId="4A52CA1D">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3912AC91">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54</w:t>
            </w:r>
          </w:p>
        </w:tc>
        <w:tc>
          <w:tcPr>
            <w:tcW w:w="78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B9ADD02">
            <w:pPr>
              <w:pStyle w:val="17"/>
              <w:rPr>
                <w:rFonts w:ascii="宋体" w:hAnsi="宋体" w:eastAsia="宋体" w:cs="宋体"/>
                <w:color w:val="auto"/>
                <w:highlight w:val="none"/>
              </w:rPr>
            </w:pPr>
            <w:r>
              <w:rPr>
                <w:rFonts w:hint="eastAsia"/>
                <w:color w:val="auto"/>
                <w:highlight w:val="none"/>
                <w:lang w:val="en-US" w:eastAsia="zh-CN"/>
              </w:rPr>
              <w:t>其他系统</w:t>
            </w: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62567346">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体检系统（智能导诊）</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DB7965">
            <w:pPr>
              <w:jc w:val="center"/>
              <w:rPr>
                <w:rFonts w:ascii="宋体" w:hAnsi="宋体" w:eastAsia="宋体" w:cs="宋体"/>
                <w:color w:val="auto"/>
                <w:highlight w:val="none"/>
              </w:rPr>
            </w:pPr>
          </w:p>
        </w:tc>
      </w:tr>
      <w:tr w14:paraId="3C939BC0">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436A0D3A">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55</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248EA12">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56CDD70D">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手术麻醉系统</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A858E">
            <w:pPr>
              <w:jc w:val="center"/>
              <w:rPr>
                <w:rFonts w:ascii="宋体" w:hAnsi="宋体" w:eastAsia="宋体" w:cs="宋体"/>
                <w:color w:val="auto"/>
                <w:highlight w:val="none"/>
              </w:rPr>
            </w:pPr>
          </w:p>
        </w:tc>
      </w:tr>
      <w:tr w14:paraId="2C457993">
        <w:tblPrEx>
          <w:tblCellMar>
            <w:top w:w="0" w:type="dxa"/>
            <w:left w:w="108" w:type="dxa"/>
            <w:bottom w:w="0" w:type="dxa"/>
            <w:right w:w="108" w:type="dxa"/>
          </w:tblCellMar>
        </w:tblPrEx>
        <w:trPr>
          <w:trHeight w:val="311" w:hRule="atLeast"/>
        </w:trPr>
        <w:tc>
          <w:tcPr>
            <w:tcW w:w="541" w:type="pct"/>
            <w:tcBorders>
              <w:top w:val="single" w:color="000000" w:sz="4" w:space="0"/>
              <w:left w:val="single" w:color="000000" w:sz="4" w:space="0"/>
              <w:bottom w:val="single" w:color="000000" w:sz="4" w:space="0"/>
              <w:right w:val="single" w:color="auto" w:sz="4" w:space="0"/>
            </w:tcBorders>
            <w:shd w:val="clear" w:color="auto" w:fill="auto"/>
            <w:vAlign w:val="center"/>
          </w:tcPr>
          <w:p w14:paraId="668FD2DE">
            <w:pPr>
              <w:jc w:val="center"/>
              <w:textAlignment w:val="center"/>
              <w:rPr>
                <w:rFonts w:ascii="宋体" w:hAnsi="宋体" w:eastAsia="宋体" w:cs="宋体"/>
                <w:color w:val="auto"/>
                <w:highlight w:val="none"/>
              </w:rPr>
            </w:pPr>
            <w:r>
              <w:rPr>
                <w:rFonts w:hint="eastAsia" w:ascii="宋体" w:hAnsi="宋体" w:eastAsia="宋体" w:cs="宋体"/>
                <w:color w:val="auto"/>
                <w:highlight w:val="none"/>
              </w:rPr>
              <w:t>56</w:t>
            </w:r>
          </w:p>
        </w:tc>
        <w:tc>
          <w:tcPr>
            <w:tcW w:w="788"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5B016FD">
            <w:pPr>
              <w:jc w:val="center"/>
              <w:rPr>
                <w:rFonts w:ascii="宋体" w:hAnsi="宋体" w:eastAsia="宋体" w:cs="宋体"/>
                <w:color w:val="auto"/>
                <w:highlight w:val="none"/>
              </w:rPr>
            </w:pPr>
          </w:p>
        </w:tc>
        <w:tc>
          <w:tcPr>
            <w:tcW w:w="2776" w:type="pct"/>
            <w:tcBorders>
              <w:top w:val="single" w:color="000000" w:sz="4" w:space="0"/>
              <w:left w:val="single" w:color="auto" w:sz="4" w:space="0"/>
              <w:bottom w:val="single" w:color="000000" w:sz="4" w:space="0"/>
              <w:right w:val="single" w:color="000000" w:sz="4" w:space="0"/>
            </w:tcBorders>
            <w:shd w:val="clear" w:color="auto" w:fill="auto"/>
            <w:vAlign w:val="center"/>
          </w:tcPr>
          <w:p w14:paraId="03A204DB">
            <w:pPr>
              <w:jc w:val="center"/>
              <w:textAlignment w:val="center"/>
              <w:rPr>
                <w:rFonts w:ascii="宋体" w:hAnsi="宋体" w:eastAsia="宋体" w:cs="宋体"/>
                <w:color w:val="auto"/>
                <w:highlight w:val="none"/>
              </w:rPr>
            </w:pPr>
            <w:r>
              <w:rPr>
                <w:rFonts w:hint="eastAsia"/>
                <w:color w:val="auto"/>
                <w:highlight w:val="none"/>
                <w:lang w:eastAsia="zh-CN"/>
              </w:rPr>
              <w:t>病理系统及标本管理扩展项目</w:t>
            </w:r>
          </w:p>
        </w:tc>
        <w:tc>
          <w:tcPr>
            <w:tcW w:w="8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D2F35">
            <w:pPr>
              <w:jc w:val="center"/>
              <w:rPr>
                <w:rFonts w:ascii="宋体" w:hAnsi="宋体" w:eastAsia="宋体" w:cs="宋体"/>
                <w:color w:val="auto"/>
                <w:highlight w:val="none"/>
              </w:rPr>
            </w:pPr>
          </w:p>
        </w:tc>
      </w:tr>
    </w:tbl>
    <w:p w14:paraId="030E76ED">
      <w:pPr>
        <w:rPr>
          <w:color w:val="auto"/>
          <w:highlight w:val="none"/>
        </w:rPr>
      </w:pPr>
      <w:r>
        <w:rPr>
          <w:color w:val="auto"/>
          <w:highlight w:val="none"/>
        </w:rPr>
        <w:br w:type="page"/>
      </w:r>
    </w:p>
    <w:p w14:paraId="6CE8057A">
      <w:pPr>
        <w:pStyle w:val="3"/>
        <w:spacing w:before="0" w:after="0"/>
        <w:ind w:left="0" w:firstLine="0"/>
        <w:rPr>
          <w:rFonts w:ascii="宋体" w:hAnsi="宋体" w:eastAsia="宋体"/>
          <w:i/>
          <w:iCs w:val="0"/>
          <w:color w:val="auto"/>
          <w:highlight w:val="none"/>
        </w:rPr>
      </w:pPr>
      <w:bookmarkStart w:id="66" w:name="_Toc187691847"/>
      <w:r>
        <w:rPr>
          <w:rFonts w:hint="eastAsia" w:ascii="宋体" w:hAnsi="宋体" w:eastAsia="宋体"/>
          <w:iCs w:val="0"/>
          <w:color w:val="auto"/>
          <w:highlight w:val="none"/>
        </w:rPr>
        <w:t>医院信息系统</w:t>
      </w:r>
      <w:bookmarkEnd w:id="66"/>
    </w:p>
    <w:p w14:paraId="3F6F029B">
      <w:pPr>
        <w:pStyle w:val="4"/>
        <w:spacing w:line="360" w:lineRule="auto"/>
        <w:rPr>
          <w:rFonts w:ascii="宋体" w:hAnsi="宋体" w:eastAsia="宋体"/>
          <w:color w:val="auto"/>
          <w:highlight w:val="none"/>
        </w:rPr>
      </w:pPr>
      <w:r>
        <w:rPr>
          <w:rFonts w:ascii="宋体" w:hAnsi="宋体" w:eastAsia="宋体" w:cs="宋体"/>
          <w:color w:val="auto"/>
          <w:highlight w:val="none"/>
        </w:rPr>
        <w:t>基础业务平台</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1968"/>
        <w:gridCol w:w="7318"/>
      </w:tblGrid>
      <w:tr w14:paraId="551CF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64" w:hRule="atLeast"/>
          <w:jc w:val="center"/>
        </w:trPr>
        <w:tc>
          <w:tcPr>
            <w:tcW w:w="0" w:type="auto"/>
            <w:shd w:val="clear" w:color="auto" w:fill="FFFFFF"/>
            <w:noWrap/>
            <w:vAlign w:val="bottom"/>
          </w:tcPr>
          <w:p w14:paraId="575D23A5">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系统名称</w:t>
            </w:r>
          </w:p>
        </w:tc>
        <w:tc>
          <w:tcPr>
            <w:tcW w:w="0" w:type="auto"/>
            <w:shd w:val="clear" w:color="auto" w:fill="FFFFFF"/>
            <w:noWrap/>
            <w:vAlign w:val="bottom"/>
          </w:tcPr>
          <w:p w14:paraId="0F7BAF2C">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技术参数要求</w:t>
            </w:r>
          </w:p>
        </w:tc>
      </w:tr>
      <w:tr w14:paraId="14AC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0820CD84">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业务服务组件管理系统</w:t>
            </w:r>
          </w:p>
        </w:tc>
        <w:tc>
          <w:tcPr>
            <w:tcW w:w="0" w:type="auto"/>
            <w:shd w:val="clear" w:color="auto" w:fill="FFFFFF"/>
            <w:noWrap/>
            <w:vAlign w:val="center"/>
          </w:tcPr>
          <w:p w14:paraId="74F739DA">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业务组件是一个可以独立运行的系统或者模块，业务组件的目的是以方便业务组件独立升级和减少不必要的组件之间的交互为基本原则，通过一定程度的分离，实现软件重用。</w:t>
            </w:r>
          </w:p>
          <w:p w14:paraId="0E0F612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1、支持用户管理、用户角色、数据权限的定义；</w:t>
            </w:r>
          </w:p>
          <w:p w14:paraId="676DAD9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2、支持主数据、元数据的模型管理，实现各个组件间公用基础数据的管理；</w:t>
            </w:r>
          </w:p>
          <w:p w14:paraId="133038F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3、支持流程管理，实现流程与业务的分离；</w:t>
            </w:r>
          </w:p>
          <w:p w14:paraId="531D3A59">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4、支持SOAP或REST接口服务；</w:t>
            </w:r>
          </w:p>
          <w:p w14:paraId="58038407">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5、支持基于API的接口调用；</w:t>
            </w:r>
          </w:p>
          <w:p w14:paraId="55D19F8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6、支持容器部署；</w:t>
            </w:r>
          </w:p>
          <w:p w14:paraId="717B7428">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7、支持负载均衡和流量控制、限流等设置；</w:t>
            </w:r>
          </w:p>
          <w:p w14:paraId="3EA62B41">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8、支持服务灰度发布。</w:t>
            </w:r>
          </w:p>
        </w:tc>
      </w:tr>
      <w:tr w14:paraId="70C63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11715862">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模块工作站配置系统（提供系统功能截图）</w:t>
            </w:r>
          </w:p>
        </w:tc>
        <w:tc>
          <w:tcPr>
            <w:tcW w:w="0" w:type="auto"/>
            <w:shd w:val="clear" w:color="auto" w:fill="FFFFFF"/>
            <w:noWrap/>
            <w:vAlign w:val="center"/>
          </w:tcPr>
          <w:p w14:paraId="13A3B67D">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模块工作站配置是根据不同的组件和业务流程，根据不同角色，组装成相关的工作站模块。</w:t>
            </w:r>
          </w:p>
          <w:p w14:paraId="606074CB">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1、支持模块工作站的自定义配置；</w:t>
            </w:r>
          </w:p>
          <w:p w14:paraId="6C36263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2、支持模块顺序号的可配置调整。</w:t>
            </w:r>
          </w:p>
        </w:tc>
      </w:tr>
      <w:tr w14:paraId="7E91E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73FE1A4D">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业务工作站配置系统</w:t>
            </w:r>
          </w:p>
        </w:tc>
        <w:tc>
          <w:tcPr>
            <w:tcW w:w="0" w:type="auto"/>
            <w:shd w:val="clear" w:color="auto" w:fill="FFFFFF"/>
            <w:noWrap/>
            <w:vAlign w:val="center"/>
          </w:tcPr>
          <w:p w14:paraId="6281AEB9">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业务工作站配置是根据具体业务，基于模块工作站基础之上，根据实际应用场景配置而成、适应专科化管理的业务工作站。</w:t>
            </w:r>
          </w:p>
          <w:p w14:paraId="0BD61F2F">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1、支持业务工作站基于模块工作站的自定义配置；</w:t>
            </w:r>
          </w:p>
          <w:p w14:paraId="03C8B9C4">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2、支持模块顺序号的可配置调整。</w:t>
            </w:r>
          </w:p>
        </w:tc>
      </w:tr>
      <w:tr w14:paraId="249B3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317A1532">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业务规则支撑系统</w:t>
            </w:r>
          </w:p>
        </w:tc>
        <w:tc>
          <w:tcPr>
            <w:tcW w:w="0" w:type="auto"/>
            <w:shd w:val="clear" w:color="auto" w:fill="FFFFFF"/>
            <w:noWrap/>
            <w:vAlign w:val="center"/>
          </w:tcPr>
          <w:p w14:paraId="3A7E5359">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 xml:space="preserve">业务规则支撑系统能根据医院精细化、专科化管理要求，灵活设置不同规则，通过规则引擎与业务系统进行数据交互和规则适配，从而达到精细化管理目的。 </w:t>
            </w:r>
            <w:r>
              <w:rPr>
                <w:rFonts w:hint="eastAsia" w:ascii="宋体" w:hAnsi="宋体" w:eastAsia="宋体" w:cs="宋体"/>
                <w:color w:val="auto"/>
                <w:highlight w:val="none"/>
              </w:rPr>
              <w:br w:type="textWrapping"/>
            </w:r>
            <w:r>
              <w:rPr>
                <w:rFonts w:hint="eastAsia" w:ascii="宋体" w:hAnsi="宋体" w:eastAsia="宋体" w:cs="宋体"/>
                <w:color w:val="auto"/>
                <w:highlight w:val="none"/>
              </w:rPr>
              <w:t>1、支持业务规则复杂条件下的可视化配置；</w:t>
            </w:r>
            <w:r>
              <w:rPr>
                <w:rFonts w:hint="eastAsia" w:ascii="宋体" w:hAnsi="宋体" w:eastAsia="宋体" w:cs="宋体"/>
                <w:color w:val="auto"/>
                <w:highlight w:val="none"/>
              </w:rPr>
              <w:br w:type="textWrapping"/>
            </w:r>
            <w:r>
              <w:rPr>
                <w:rFonts w:hint="eastAsia" w:ascii="宋体" w:hAnsi="宋体" w:eastAsia="宋体" w:cs="宋体"/>
                <w:color w:val="auto"/>
                <w:highlight w:val="none"/>
              </w:rPr>
              <w:t>2、支持规则的触发权限控制；</w:t>
            </w:r>
            <w:r>
              <w:rPr>
                <w:rFonts w:hint="eastAsia" w:ascii="宋体" w:hAnsi="宋体" w:eastAsia="宋体" w:cs="宋体"/>
                <w:color w:val="auto"/>
                <w:highlight w:val="none"/>
              </w:rPr>
              <w:br w:type="textWrapping"/>
            </w:r>
            <w:r>
              <w:rPr>
                <w:rFonts w:hint="eastAsia" w:ascii="宋体" w:hAnsi="宋体" w:eastAsia="宋体" w:cs="宋体"/>
                <w:color w:val="auto"/>
                <w:highlight w:val="none"/>
              </w:rPr>
              <w:t>3、规则引擎支持通过字典引用定义规则。</w:t>
            </w:r>
          </w:p>
        </w:tc>
      </w:tr>
      <w:tr w14:paraId="4D288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44C9E13B">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基础数据维护系统</w:t>
            </w:r>
          </w:p>
        </w:tc>
        <w:tc>
          <w:tcPr>
            <w:tcW w:w="0" w:type="auto"/>
            <w:shd w:val="clear" w:color="auto" w:fill="FFFFFF"/>
            <w:noWrap/>
            <w:vAlign w:val="center"/>
          </w:tcPr>
          <w:p w14:paraId="7AF8506B">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基础字典管理是统一管理系统内部的多个基础字典。系统将字典表分为“公共字典”和“初始化部分”。提供统一的增删改维护工具。</w:t>
            </w:r>
          </w:p>
        </w:tc>
      </w:tr>
      <w:tr w14:paraId="49078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06C1F5CF">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用户及人员管理系统</w:t>
            </w:r>
          </w:p>
        </w:tc>
        <w:tc>
          <w:tcPr>
            <w:tcW w:w="0" w:type="auto"/>
            <w:shd w:val="clear" w:color="auto" w:fill="FFFFFF"/>
            <w:noWrap/>
            <w:vAlign w:val="center"/>
          </w:tcPr>
          <w:p w14:paraId="7C86D22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用户与人员管理用于整个系统的用户及分配相关应用权限。包含创建用户、创建角色、分配角色、分配权限等。</w:t>
            </w:r>
          </w:p>
          <w:p w14:paraId="284D1377">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整个系统使用统一登录界面，根据用户权限登录相应的工作站；</w:t>
            </w:r>
          </w:p>
          <w:p w14:paraId="2199FA5E">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权限与角色相关联，用户通过被赋予适当角色而得到这些角色对应的所有功能权限。这样可以简化权限的管理，不需要对每个具体用户分别设置功能权限。</w:t>
            </w:r>
          </w:p>
          <w:p w14:paraId="62F868F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系统主要包括：权限管理、角色管理、人员管理。</w:t>
            </w:r>
          </w:p>
          <w:p w14:paraId="3CE8F4D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（一）权限管理</w:t>
            </w:r>
          </w:p>
          <w:p w14:paraId="405EF4B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权限分类管理（增、删、改），权限点管理（增、删、改）。</w:t>
            </w:r>
          </w:p>
          <w:p w14:paraId="6899B21F">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1、支持权限分类名自定义，且遵循唯一约束。分类名命名原则上遵循子系统或者功能模块的命名规则；</w:t>
            </w:r>
          </w:p>
          <w:p w14:paraId="41C3C3FA">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2、支持是否有效设置：默认”有效“。如选择”无效“，则控制当前权限分类不可用；</w:t>
            </w:r>
          </w:p>
          <w:p w14:paraId="66D691C1">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3、支持编辑或删除权限分类，可编辑内容为权限分类名、权限分类code、是否有效；</w:t>
            </w:r>
          </w:p>
          <w:p w14:paraId="6163D5F4">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4、支持新增、删除、修改权限点。</w:t>
            </w:r>
          </w:p>
          <w:p w14:paraId="757614E7">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（二）角色管理</w:t>
            </w:r>
          </w:p>
          <w:p w14:paraId="533A7365">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角色分类管理（增、删、改）；角色分类对应角色明细管理（增、删、改）；角色对应权限配置。</w:t>
            </w:r>
          </w:p>
          <w:p w14:paraId="565DE7BE">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1、支持角色分类的新增、删除、修改；</w:t>
            </w:r>
          </w:p>
          <w:p w14:paraId="668BC2BA">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2、支持设置角色分类的有效IP范围、是否有效；</w:t>
            </w:r>
          </w:p>
          <w:p w14:paraId="5BCFA9A0">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3、支持角色的新增、删除、修改及角色拥有的权限点配置。</w:t>
            </w:r>
          </w:p>
          <w:p w14:paraId="45F7027F">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（三）人员管理（提供系统功能截图）</w:t>
            </w:r>
          </w:p>
          <w:p w14:paraId="0BB9FDB6">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线下人员管理（增、删、改）、线上用户账户管理（增、删、改、角色配置）。</w:t>
            </w:r>
          </w:p>
          <w:p w14:paraId="2A1F972E">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1、支持新增、删除、修改人员；</w:t>
            </w:r>
          </w:p>
          <w:p w14:paraId="565201D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2、支持设置人员的科室、工作、职称、状态等信息；</w:t>
            </w:r>
          </w:p>
          <w:p w14:paraId="116C0E9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3、支持对人员的角色配置；</w:t>
            </w:r>
          </w:p>
          <w:p w14:paraId="168E16E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4、支持对某个用户重置密码。</w:t>
            </w:r>
          </w:p>
        </w:tc>
      </w:tr>
      <w:tr w14:paraId="0D5C4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3598B6C0">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统一授权管理系统</w:t>
            </w:r>
          </w:p>
        </w:tc>
        <w:tc>
          <w:tcPr>
            <w:tcW w:w="0" w:type="auto"/>
            <w:shd w:val="clear" w:color="auto" w:fill="FFFFFF"/>
            <w:noWrap/>
            <w:vAlign w:val="center"/>
          </w:tcPr>
          <w:p w14:paraId="130D355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通过统一用户身份认证和权限管理，解决用户重复登陆、系统管理员繁琐的账号管理、权限分配和系统设置等工作。</w:t>
            </w:r>
            <w:r>
              <w:rPr>
                <w:rFonts w:hint="eastAsia" w:ascii="宋体" w:hAnsi="宋体" w:eastAsia="宋体" w:cs="宋体"/>
                <w:color w:val="auto"/>
                <w:highlight w:val="none"/>
              </w:rPr>
              <w:br w:type="textWrapping"/>
            </w:r>
            <w:r>
              <w:rPr>
                <w:rFonts w:hint="eastAsia" w:ascii="宋体" w:hAnsi="宋体" w:eastAsia="宋体" w:cs="宋体"/>
                <w:color w:val="auto"/>
                <w:highlight w:val="none"/>
              </w:rPr>
              <w:t>1、支持统一身份认证；</w:t>
            </w:r>
            <w:r>
              <w:rPr>
                <w:rFonts w:hint="eastAsia" w:ascii="宋体" w:hAnsi="宋体" w:eastAsia="宋体" w:cs="宋体"/>
                <w:color w:val="auto"/>
                <w:highlight w:val="none"/>
              </w:rPr>
              <w:br w:type="textWrapping"/>
            </w:r>
            <w:r>
              <w:rPr>
                <w:rFonts w:hint="eastAsia" w:ascii="宋体" w:hAnsi="宋体" w:eastAsia="宋体" w:cs="宋体"/>
                <w:color w:val="auto"/>
                <w:highlight w:val="none"/>
              </w:rPr>
              <w:t xml:space="preserve">2、支持多种身份认证方式； </w:t>
            </w:r>
            <w:r>
              <w:rPr>
                <w:rFonts w:hint="eastAsia" w:ascii="宋体" w:hAnsi="宋体" w:eastAsia="宋体" w:cs="宋体"/>
                <w:color w:val="auto"/>
                <w:highlight w:val="none"/>
              </w:rPr>
              <w:br w:type="textWrapping"/>
            </w:r>
            <w:r>
              <w:rPr>
                <w:rFonts w:hint="eastAsia" w:ascii="宋体" w:hAnsi="宋体" w:eastAsia="宋体" w:cs="宋体"/>
                <w:color w:val="auto"/>
                <w:highlight w:val="none"/>
              </w:rPr>
              <w:t xml:space="preserve">3、支持访问日志查询和审计日志查询； </w:t>
            </w:r>
            <w:r>
              <w:rPr>
                <w:rFonts w:hint="eastAsia" w:ascii="宋体" w:hAnsi="宋体" w:eastAsia="宋体" w:cs="宋体"/>
                <w:color w:val="auto"/>
                <w:highlight w:val="none"/>
              </w:rPr>
              <w:br w:type="textWrapping"/>
            </w:r>
            <w:r>
              <w:rPr>
                <w:rFonts w:hint="eastAsia" w:ascii="宋体" w:hAnsi="宋体" w:eastAsia="宋体" w:cs="宋体"/>
                <w:color w:val="auto"/>
                <w:highlight w:val="none"/>
              </w:rPr>
              <w:t>4、支持实习生、进修生由带教医生进行权限控制；（提供系统功能截图）；</w:t>
            </w:r>
            <w:r>
              <w:rPr>
                <w:rFonts w:hint="eastAsia" w:ascii="宋体" w:hAnsi="宋体" w:eastAsia="宋体" w:cs="宋体"/>
                <w:color w:val="auto"/>
                <w:highlight w:val="none"/>
              </w:rPr>
              <w:br w:type="textWrapping"/>
            </w:r>
            <w:r>
              <w:rPr>
                <w:rFonts w:hint="eastAsia" w:ascii="宋体" w:hAnsi="宋体" w:eastAsia="宋体" w:cs="宋体"/>
                <w:color w:val="auto"/>
                <w:highlight w:val="none"/>
              </w:rPr>
              <w:t>5、支持临床医疗授权。（提供系统功能截图）</w:t>
            </w:r>
          </w:p>
        </w:tc>
      </w:tr>
      <w:tr w14:paraId="0F341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2F58B274">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系统参数管理系统</w:t>
            </w:r>
          </w:p>
        </w:tc>
        <w:tc>
          <w:tcPr>
            <w:tcW w:w="0" w:type="auto"/>
            <w:shd w:val="clear" w:color="auto" w:fill="FFFFFF"/>
            <w:noWrap/>
            <w:vAlign w:val="center"/>
          </w:tcPr>
          <w:p w14:paraId="668944D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通过对系统参数的设置，满足个性化功能需求。</w:t>
            </w:r>
            <w:r>
              <w:rPr>
                <w:rFonts w:hint="eastAsia" w:ascii="宋体" w:hAnsi="宋体" w:eastAsia="宋体" w:cs="宋体"/>
                <w:color w:val="auto"/>
                <w:highlight w:val="none"/>
              </w:rPr>
              <w:br w:type="textWrapping"/>
            </w:r>
            <w:r>
              <w:rPr>
                <w:rFonts w:hint="eastAsia" w:ascii="宋体" w:hAnsi="宋体" w:eastAsia="宋体" w:cs="宋体"/>
                <w:color w:val="auto"/>
                <w:highlight w:val="none"/>
              </w:rPr>
              <w:t xml:space="preserve">1、支持系统参数的统一授权设置； </w:t>
            </w:r>
            <w:r>
              <w:rPr>
                <w:rFonts w:hint="eastAsia" w:ascii="宋体" w:hAnsi="宋体" w:eastAsia="宋体" w:cs="宋体"/>
                <w:color w:val="auto"/>
                <w:highlight w:val="none"/>
              </w:rPr>
              <w:br w:type="textWrapping"/>
            </w:r>
            <w:r>
              <w:rPr>
                <w:rFonts w:hint="eastAsia" w:ascii="宋体" w:hAnsi="宋体" w:eastAsia="宋体" w:cs="宋体"/>
                <w:color w:val="auto"/>
                <w:highlight w:val="none"/>
              </w:rPr>
              <w:t xml:space="preserve">2、支持本地参数的个性化设置； </w:t>
            </w:r>
            <w:r>
              <w:rPr>
                <w:rFonts w:hint="eastAsia" w:ascii="宋体" w:hAnsi="宋体" w:eastAsia="宋体" w:cs="宋体"/>
                <w:color w:val="auto"/>
                <w:highlight w:val="none"/>
              </w:rPr>
              <w:br w:type="textWrapping"/>
            </w:r>
            <w:r>
              <w:rPr>
                <w:rFonts w:hint="eastAsia" w:ascii="宋体" w:hAnsi="宋体" w:eastAsia="宋体" w:cs="宋体"/>
                <w:color w:val="auto"/>
                <w:highlight w:val="none"/>
              </w:rPr>
              <w:t>3、支持对参数设置的权限控制。</w:t>
            </w:r>
          </w:p>
        </w:tc>
      </w:tr>
      <w:tr w14:paraId="15E18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5866DCE4">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版本发布管理系统</w:t>
            </w:r>
          </w:p>
        </w:tc>
        <w:tc>
          <w:tcPr>
            <w:tcW w:w="0" w:type="auto"/>
            <w:shd w:val="clear" w:color="auto" w:fill="FFFFFF"/>
            <w:noWrap/>
            <w:vAlign w:val="center"/>
          </w:tcPr>
          <w:p w14:paraId="3C40E8B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提供系统版本管理。</w:t>
            </w:r>
          </w:p>
          <w:p w14:paraId="055313C9">
            <w:pPr>
              <w:numPr>
                <w:ilvl w:val="0"/>
                <w:numId w:val="5"/>
              </w:numPr>
              <w:adjustRightInd w:val="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系统支持自动升级；</w:t>
            </w:r>
          </w:p>
          <w:p w14:paraId="18F5173E">
            <w:pPr>
              <w:numPr>
                <w:ilvl w:val="0"/>
                <w:numId w:val="5"/>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ab/>
            </w:r>
            <w:r>
              <w:rPr>
                <w:rFonts w:hint="eastAsia" w:ascii="宋体" w:hAnsi="宋体" w:eastAsia="宋体" w:cs="宋体"/>
                <w:color w:val="auto"/>
                <w:highlight w:val="none"/>
              </w:rPr>
              <w:t>支持组件式（动态库）升级方式，实现细粒度自动升级；</w:t>
            </w:r>
          </w:p>
          <w:p w14:paraId="11CAF0D9">
            <w:pPr>
              <w:numPr>
                <w:ilvl w:val="0"/>
                <w:numId w:val="5"/>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提示升级内容。</w:t>
            </w:r>
          </w:p>
        </w:tc>
      </w:tr>
      <w:tr w14:paraId="1F762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shd w:val="clear" w:color="auto" w:fill="FFFFFF"/>
            <w:noWrap/>
            <w:vAlign w:val="center"/>
          </w:tcPr>
          <w:p w14:paraId="70ED6687">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开放服务平台</w:t>
            </w:r>
          </w:p>
        </w:tc>
        <w:tc>
          <w:tcPr>
            <w:tcW w:w="0" w:type="auto"/>
            <w:shd w:val="clear" w:color="auto" w:fill="FFFFFF"/>
            <w:noWrap/>
            <w:vAlign w:val="center"/>
          </w:tcPr>
          <w:p w14:paraId="5BDB90B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1、支持开放服务平台进行开放服务接口列表维护，允许用户自主管理开放服务接口；</w:t>
            </w:r>
          </w:p>
          <w:p w14:paraId="2BE73E9C">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2、支持应用列表维护，允许用户自主管理可调用开放平台的应用，每个应用独立授权AppKey；</w:t>
            </w:r>
          </w:p>
          <w:p w14:paraId="52F15D7D">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3、支持对每个应用进行指定接口的授权，允许用户自主管理应用可以使用的服务接口。</w:t>
            </w:r>
          </w:p>
        </w:tc>
      </w:tr>
    </w:tbl>
    <w:p w14:paraId="0C5625D4">
      <w:pPr>
        <w:pStyle w:val="4"/>
        <w:spacing w:line="360" w:lineRule="auto"/>
        <w:rPr>
          <w:rFonts w:ascii="宋体" w:hAnsi="宋体" w:eastAsia="宋体"/>
          <w:color w:val="auto"/>
          <w:highlight w:val="none"/>
        </w:rPr>
      </w:pPr>
      <w:r>
        <w:rPr>
          <w:rFonts w:hint="eastAsia" w:ascii="宋体" w:hAnsi="宋体" w:eastAsia="宋体"/>
          <w:color w:val="auto"/>
          <w:highlight w:val="none"/>
        </w:rPr>
        <w:t>门诊业务系统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962"/>
        <w:gridCol w:w="7324"/>
      </w:tblGrid>
      <w:tr w14:paraId="2E5E6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80" w:hRule="atLeast"/>
          <w:jc w:val="center"/>
        </w:trPr>
        <w:tc>
          <w:tcPr>
            <w:tcW w:w="1962" w:type="dxa"/>
            <w:shd w:val="clear" w:color="auto" w:fill="FFFFFF"/>
            <w:noWrap/>
            <w:vAlign w:val="bottom"/>
          </w:tcPr>
          <w:p w14:paraId="56E6DED8">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系统名称</w:t>
            </w:r>
          </w:p>
        </w:tc>
        <w:tc>
          <w:tcPr>
            <w:tcW w:w="7324" w:type="dxa"/>
            <w:shd w:val="clear" w:color="auto" w:fill="FFFFFF"/>
            <w:noWrap/>
            <w:vAlign w:val="bottom"/>
          </w:tcPr>
          <w:p w14:paraId="5C1D1B29">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技术参数要求</w:t>
            </w:r>
          </w:p>
        </w:tc>
      </w:tr>
      <w:tr w14:paraId="2CAF4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962" w:type="dxa"/>
            <w:shd w:val="clear" w:color="auto" w:fill="FFFFFF"/>
            <w:noWrap/>
            <w:vAlign w:val="center"/>
          </w:tcPr>
          <w:p w14:paraId="1BCB0DE6">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门诊预约挂号系统</w:t>
            </w:r>
          </w:p>
        </w:tc>
        <w:tc>
          <w:tcPr>
            <w:tcW w:w="7324" w:type="dxa"/>
            <w:shd w:val="clear" w:color="auto" w:fill="FFFFFF"/>
            <w:noWrap/>
            <w:vAlign w:val="center"/>
          </w:tcPr>
          <w:p w14:paraId="53354EE5">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w:t>
            </w:r>
            <w:r>
              <w:rPr>
                <w:rFonts w:hint="eastAsia" w:ascii="宋体" w:hAnsi="宋体" w:eastAsia="宋体" w:cs="宋体"/>
                <w:color w:val="auto"/>
                <w:highlight w:val="none"/>
              </w:rPr>
              <w:tab/>
            </w:r>
            <w:r>
              <w:rPr>
                <w:rFonts w:hint="eastAsia" w:ascii="宋体" w:hAnsi="宋体" w:eastAsia="宋体" w:cs="宋体"/>
                <w:color w:val="auto"/>
                <w:highlight w:val="none"/>
              </w:rPr>
              <w:t>支持多种代码输入，操作简便快速</w:t>
            </w:r>
            <w:r>
              <w:rPr>
                <w:rFonts w:hint="eastAsia" w:ascii="宋体" w:hAnsi="宋体" w:eastAsia="宋体" w:cs="宋体"/>
                <w:color w:val="auto"/>
                <w:highlight w:val="none"/>
                <w:lang w:eastAsia="zh-CN"/>
              </w:rPr>
              <w:t>；</w:t>
            </w:r>
          </w:p>
          <w:p w14:paraId="15A47084">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支持多种身份识别模式。支持身份证、就诊卡、医保卡以及各种医院定制卡的检索识别</w:t>
            </w:r>
            <w:r>
              <w:rPr>
                <w:rFonts w:hint="eastAsia" w:ascii="宋体" w:hAnsi="宋体" w:eastAsia="宋体" w:cs="宋体"/>
                <w:color w:val="auto"/>
                <w:highlight w:val="none"/>
                <w:lang w:eastAsia="zh-CN"/>
              </w:rPr>
              <w:t>；</w:t>
            </w:r>
          </w:p>
          <w:p w14:paraId="3A94B306">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3、</w:t>
            </w:r>
            <w:r>
              <w:rPr>
                <w:rFonts w:hint="eastAsia" w:ascii="宋体" w:hAnsi="宋体" w:eastAsia="宋体" w:cs="宋体"/>
                <w:color w:val="auto"/>
                <w:highlight w:val="none"/>
              </w:rPr>
              <w:tab/>
            </w:r>
            <w:r>
              <w:rPr>
                <w:rFonts w:hint="eastAsia" w:ascii="宋体" w:hAnsi="宋体" w:eastAsia="宋体" w:cs="宋体"/>
                <w:color w:val="auto"/>
                <w:highlight w:val="none"/>
              </w:rPr>
              <w:t>支持多种收费方式。如现金、银行卡、支票、预付费等</w:t>
            </w:r>
            <w:r>
              <w:rPr>
                <w:rFonts w:hint="eastAsia" w:ascii="宋体" w:hAnsi="宋体" w:eastAsia="宋体" w:cs="宋体"/>
                <w:color w:val="auto"/>
                <w:highlight w:val="none"/>
                <w:lang w:eastAsia="zh-CN"/>
              </w:rPr>
              <w:t>；</w:t>
            </w:r>
          </w:p>
          <w:p w14:paraId="3A4A1D0A">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4、</w:t>
            </w:r>
            <w:r>
              <w:rPr>
                <w:rFonts w:hint="eastAsia" w:ascii="宋体" w:hAnsi="宋体" w:eastAsia="宋体" w:cs="宋体"/>
                <w:color w:val="auto"/>
                <w:highlight w:val="none"/>
              </w:rPr>
              <w:tab/>
            </w:r>
            <w:r>
              <w:rPr>
                <w:rFonts w:hint="eastAsia" w:ascii="宋体" w:hAnsi="宋体" w:eastAsia="宋体" w:cs="宋体"/>
                <w:color w:val="auto"/>
                <w:highlight w:val="none"/>
              </w:rPr>
              <w:t>支持多种挂号及预约挂号方式</w:t>
            </w:r>
            <w:r>
              <w:rPr>
                <w:rFonts w:hint="eastAsia" w:ascii="宋体" w:hAnsi="宋体" w:eastAsia="宋体" w:cs="宋体"/>
                <w:color w:val="auto"/>
                <w:highlight w:val="none"/>
                <w:lang w:eastAsia="zh-CN"/>
              </w:rPr>
              <w:t>；</w:t>
            </w:r>
          </w:p>
          <w:p w14:paraId="209A98D1">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5、</w:t>
            </w:r>
            <w:r>
              <w:rPr>
                <w:rFonts w:hint="eastAsia" w:ascii="宋体" w:hAnsi="宋体" w:eastAsia="宋体" w:cs="宋体"/>
                <w:color w:val="auto"/>
                <w:highlight w:val="none"/>
              </w:rPr>
              <w:tab/>
            </w:r>
            <w:r>
              <w:rPr>
                <w:rFonts w:hint="eastAsia" w:ascii="宋体" w:hAnsi="宋体" w:eastAsia="宋体" w:cs="宋体"/>
                <w:color w:val="auto"/>
                <w:highlight w:val="none"/>
              </w:rPr>
              <w:t>支持预约不同的渠道管理，如窗口挂号、诊间预约、分诊台预约、预约中心预约、手机App预约、微信预约、第三方网站预约等</w:t>
            </w:r>
            <w:r>
              <w:rPr>
                <w:rFonts w:hint="eastAsia" w:ascii="宋体" w:hAnsi="宋体" w:eastAsia="宋体" w:cs="宋体"/>
                <w:color w:val="auto"/>
                <w:highlight w:val="none"/>
                <w:lang w:eastAsia="zh-CN"/>
              </w:rPr>
              <w:t>；</w:t>
            </w:r>
          </w:p>
          <w:p w14:paraId="37327EA6">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6、</w:t>
            </w:r>
            <w:r>
              <w:rPr>
                <w:rFonts w:hint="eastAsia" w:ascii="宋体" w:hAnsi="宋体" w:eastAsia="宋体" w:cs="宋体"/>
                <w:color w:val="auto"/>
                <w:highlight w:val="none"/>
              </w:rPr>
              <w:tab/>
            </w:r>
            <w:r>
              <w:rPr>
                <w:rFonts w:hint="eastAsia" w:ascii="宋体" w:hAnsi="宋体" w:eastAsia="宋体" w:cs="宋体"/>
                <w:color w:val="auto"/>
                <w:highlight w:val="none"/>
              </w:rPr>
              <w:t>支持预约号源池管理</w:t>
            </w:r>
            <w:r>
              <w:rPr>
                <w:rFonts w:hint="eastAsia" w:ascii="宋体" w:hAnsi="宋体" w:eastAsia="宋体" w:cs="宋体"/>
                <w:color w:val="auto"/>
                <w:highlight w:val="none"/>
                <w:lang w:eastAsia="zh-CN"/>
              </w:rPr>
              <w:t>；</w:t>
            </w:r>
          </w:p>
          <w:p w14:paraId="4514CA73">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7、</w:t>
            </w:r>
            <w:r>
              <w:rPr>
                <w:rFonts w:hint="eastAsia" w:ascii="宋体" w:hAnsi="宋体" w:eastAsia="宋体" w:cs="宋体"/>
                <w:color w:val="auto"/>
                <w:highlight w:val="none"/>
              </w:rPr>
              <w:tab/>
            </w:r>
            <w:r>
              <w:rPr>
                <w:rFonts w:hint="eastAsia" w:ascii="宋体" w:hAnsi="宋体" w:eastAsia="宋体" w:cs="宋体"/>
                <w:color w:val="auto"/>
                <w:highlight w:val="none"/>
              </w:rPr>
              <w:t>支持设置各渠道预约开放时间设置</w:t>
            </w:r>
            <w:r>
              <w:rPr>
                <w:rFonts w:hint="eastAsia" w:ascii="宋体" w:hAnsi="宋体" w:eastAsia="宋体" w:cs="宋体"/>
                <w:color w:val="auto"/>
                <w:highlight w:val="none"/>
                <w:lang w:eastAsia="zh-CN"/>
              </w:rPr>
              <w:t>；</w:t>
            </w:r>
          </w:p>
          <w:p w14:paraId="034416BB">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8、</w:t>
            </w:r>
            <w:r>
              <w:rPr>
                <w:rFonts w:hint="eastAsia" w:ascii="宋体" w:hAnsi="宋体" w:eastAsia="宋体" w:cs="宋体"/>
                <w:color w:val="auto"/>
                <w:highlight w:val="none"/>
              </w:rPr>
              <w:tab/>
            </w:r>
            <w:r>
              <w:rPr>
                <w:rFonts w:hint="eastAsia" w:ascii="宋体" w:hAnsi="宋体" w:eastAsia="宋体" w:cs="宋体"/>
                <w:color w:val="auto"/>
                <w:highlight w:val="none"/>
              </w:rPr>
              <w:t>支持发票管理。包含票据包管理、票据作废、票据使用等</w:t>
            </w:r>
            <w:r>
              <w:rPr>
                <w:rFonts w:hint="eastAsia" w:ascii="宋体" w:hAnsi="宋体" w:eastAsia="宋体" w:cs="宋体"/>
                <w:color w:val="auto"/>
                <w:highlight w:val="none"/>
                <w:lang w:eastAsia="zh-CN"/>
              </w:rPr>
              <w:t>；</w:t>
            </w:r>
          </w:p>
          <w:p w14:paraId="0907593C">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9、</w:t>
            </w:r>
            <w:r>
              <w:rPr>
                <w:rFonts w:hint="eastAsia" w:ascii="宋体" w:hAnsi="宋体" w:eastAsia="宋体" w:cs="宋体"/>
                <w:color w:val="auto"/>
                <w:highlight w:val="none"/>
              </w:rPr>
              <w:tab/>
            </w:r>
            <w:r>
              <w:rPr>
                <w:rFonts w:hint="eastAsia" w:ascii="宋体" w:hAnsi="宋体" w:eastAsia="宋体" w:cs="宋体"/>
                <w:color w:val="auto"/>
                <w:highlight w:val="none"/>
              </w:rPr>
              <w:t>支持挂号号表管理。号别模板按周和按月生成排班号表</w:t>
            </w:r>
            <w:r>
              <w:rPr>
                <w:rFonts w:hint="eastAsia" w:ascii="宋体" w:hAnsi="宋体" w:eastAsia="宋体" w:cs="宋体"/>
                <w:color w:val="auto"/>
                <w:highlight w:val="none"/>
                <w:lang w:eastAsia="zh-CN"/>
              </w:rPr>
              <w:t>；</w:t>
            </w:r>
          </w:p>
          <w:p w14:paraId="0F5A1E7F">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10、支持科室专家排班，对专家支持定制时间段排班</w:t>
            </w:r>
            <w:r>
              <w:rPr>
                <w:rFonts w:hint="eastAsia" w:ascii="宋体" w:hAnsi="宋体" w:eastAsia="宋体" w:cs="宋体"/>
                <w:color w:val="auto"/>
                <w:highlight w:val="none"/>
                <w:lang w:eastAsia="zh-CN"/>
              </w:rPr>
              <w:t>；</w:t>
            </w:r>
          </w:p>
          <w:p w14:paraId="06AB9365">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11、支持退号功能，可以按挂号条进行退号退费</w:t>
            </w:r>
            <w:r>
              <w:rPr>
                <w:rFonts w:hint="eastAsia" w:ascii="宋体" w:hAnsi="宋体" w:eastAsia="宋体" w:cs="宋体"/>
                <w:color w:val="auto"/>
                <w:highlight w:val="none"/>
                <w:lang w:eastAsia="zh-CN"/>
              </w:rPr>
              <w:t>；</w:t>
            </w:r>
          </w:p>
          <w:p w14:paraId="05DC1A3D">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12、支持门诊挂号支持收费核算功能</w:t>
            </w:r>
            <w:r>
              <w:rPr>
                <w:rFonts w:hint="eastAsia" w:ascii="宋体" w:hAnsi="宋体" w:eastAsia="宋体" w:cs="宋体"/>
                <w:color w:val="auto"/>
                <w:highlight w:val="none"/>
                <w:lang w:eastAsia="zh-CN"/>
              </w:rPr>
              <w:t>；</w:t>
            </w:r>
          </w:p>
          <w:p w14:paraId="41E05CE0">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13、支持门诊挂号预约功能，支持门诊挂号预约设定的日期内的号</w:t>
            </w:r>
            <w:r>
              <w:rPr>
                <w:rFonts w:hint="eastAsia" w:ascii="宋体" w:hAnsi="宋体" w:eastAsia="宋体" w:cs="宋体"/>
                <w:color w:val="auto"/>
                <w:highlight w:val="none"/>
                <w:lang w:eastAsia="zh-CN"/>
              </w:rPr>
              <w:t>；</w:t>
            </w:r>
          </w:p>
          <w:p w14:paraId="1F44C89E">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14、支持预约留号、预约限号处理</w:t>
            </w:r>
            <w:r>
              <w:rPr>
                <w:rFonts w:hint="eastAsia" w:ascii="宋体" w:hAnsi="宋体" w:eastAsia="宋体" w:cs="宋体"/>
                <w:color w:val="auto"/>
                <w:highlight w:val="none"/>
                <w:lang w:eastAsia="zh-CN"/>
              </w:rPr>
              <w:t>；</w:t>
            </w:r>
          </w:p>
          <w:p w14:paraId="13CE3A74">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15、支持门诊医生工作站直接预约</w:t>
            </w:r>
            <w:r>
              <w:rPr>
                <w:rFonts w:hint="eastAsia" w:ascii="宋体" w:hAnsi="宋体" w:eastAsia="宋体" w:cs="宋体"/>
                <w:color w:val="auto"/>
                <w:highlight w:val="none"/>
                <w:lang w:eastAsia="zh-CN"/>
              </w:rPr>
              <w:t>；</w:t>
            </w:r>
          </w:p>
          <w:p w14:paraId="4ACF2FE8">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16、支持预约时段设置，可以将患者预约到某一具体就诊时段</w:t>
            </w:r>
            <w:r>
              <w:rPr>
                <w:rFonts w:hint="eastAsia" w:ascii="宋体" w:hAnsi="宋体" w:eastAsia="宋体" w:cs="宋体"/>
                <w:color w:val="auto"/>
                <w:highlight w:val="none"/>
                <w:lang w:eastAsia="zh-CN"/>
              </w:rPr>
              <w:t>；</w:t>
            </w:r>
          </w:p>
          <w:p w14:paraId="608E9BCC">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17、支持智能预约服务功能</w:t>
            </w:r>
            <w:r>
              <w:rPr>
                <w:rFonts w:hint="eastAsia" w:ascii="宋体" w:hAnsi="宋体" w:eastAsia="宋体" w:cs="宋体"/>
                <w:color w:val="auto"/>
                <w:highlight w:val="none"/>
                <w:lang w:eastAsia="zh-CN"/>
              </w:rPr>
              <w:t>；</w:t>
            </w:r>
          </w:p>
          <w:p w14:paraId="2ABAA4D5">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18、支持各种相关的查询和统计功能。</w:t>
            </w:r>
          </w:p>
        </w:tc>
      </w:tr>
      <w:tr w14:paraId="00900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962" w:type="dxa"/>
            <w:shd w:val="clear" w:color="auto" w:fill="FFFFFF"/>
            <w:noWrap/>
            <w:vAlign w:val="center"/>
          </w:tcPr>
          <w:p w14:paraId="33457776">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自助服务系统对接</w:t>
            </w:r>
          </w:p>
        </w:tc>
        <w:tc>
          <w:tcPr>
            <w:tcW w:w="7324" w:type="dxa"/>
            <w:shd w:val="clear" w:color="auto" w:fill="FFFFFF"/>
            <w:noWrap/>
            <w:vAlign w:val="center"/>
          </w:tcPr>
          <w:p w14:paraId="721F1A4E">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预交金充值</w:t>
            </w:r>
          </w:p>
          <w:p w14:paraId="28DA2811">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预交金充值，实现现金的识别、接收等功能，患者可以在终端上对预交金账户进行现金充值，并结合医院信息系统实现对每台设备充值情况的管理控制。</w:t>
            </w:r>
          </w:p>
          <w:p w14:paraId="493F707E">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自助（预约）挂号服务</w:t>
            </w:r>
          </w:p>
          <w:p w14:paraId="19C0614E">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有卡患者支持在自助机上完成号别、科室、医生选择以及付费等操作。获得挂号单后，在相应的候诊大厅中等待叫号。包括：</w:t>
            </w:r>
          </w:p>
          <w:p w14:paraId="7A124C3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 xml:space="preserve">1、预约服务； </w:t>
            </w:r>
          </w:p>
          <w:p w14:paraId="58D418E5">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2、现场挂号；</w:t>
            </w:r>
          </w:p>
          <w:p w14:paraId="2FFCBC17">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3、现场报到；</w:t>
            </w:r>
          </w:p>
          <w:p w14:paraId="7C906715">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4、缴费管理；</w:t>
            </w:r>
          </w:p>
          <w:p w14:paraId="1B637E37">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5、自助开单；</w:t>
            </w:r>
          </w:p>
          <w:p w14:paraId="73A622D4">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6、检查预约；</w:t>
            </w:r>
          </w:p>
          <w:p w14:paraId="15D9E1CF">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7、查询挂号排班信息；</w:t>
            </w:r>
          </w:p>
          <w:p w14:paraId="6511011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8、查询医生、专家信息；</w:t>
            </w:r>
          </w:p>
          <w:p w14:paraId="18EC5A6E">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9、查询门诊科室信息。</w:t>
            </w:r>
          </w:p>
          <w:p w14:paraId="45DE00F2">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ab/>
            </w:r>
            <w:r>
              <w:rPr>
                <w:rFonts w:hint="eastAsia" w:ascii="宋体" w:hAnsi="宋体" w:eastAsia="宋体" w:cs="宋体"/>
                <w:color w:val="auto"/>
                <w:highlight w:val="none"/>
              </w:rPr>
              <w:t>门诊费用结算</w:t>
            </w:r>
          </w:p>
          <w:p w14:paraId="744F4FD7">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实现患者门诊自助结算功能，患者只需插入银行卡并根据提示操作就快速完成医保门诊费用结算。</w:t>
            </w:r>
          </w:p>
          <w:p w14:paraId="63693D16">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ab/>
            </w:r>
            <w:r>
              <w:rPr>
                <w:rFonts w:hint="eastAsia" w:ascii="宋体" w:hAnsi="宋体" w:eastAsia="宋体" w:cs="宋体"/>
                <w:color w:val="auto"/>
                <w:highlight w:val="none"/>
              </w:rPr>
              <w:t>发票打印</w:t>
            </w:r>
          </w:p>
          <w:p w14:paraId="664E989D">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即时、自助打印就诊发票（或收据）。</w:t>
            </w:r>
          </w:p>
          <w:p w14:paraId="509C707A">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医保系统接口对接</w:t>
            </w:r>
          </w:p>
          <w:p w14:paraId="7D4A21E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结合医保系统接口规范实现与医保的对接功能，实现包括门诊挂号、门诊挂号冲销、门诊收费、门诊收费冲销等业务受理。</w:t>
            </w:r>
          </w:p>
          <w:p w14:paraId="60002918">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就诊信息查询</w:t>
            </w:r>
          </w:p>
          <w:p w14:paraId="1272ED39">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实现系统之间的业数据交换和共享，如：个人预缴金帐户查询、本院就诊情况查询、门诊费用查询等。</w:t>
            </w:r>
          </w:p>
          <w:p w14:paraId="645AAC83">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ab/>
            </w:r>
            <w:r>
              <w:rPr>
                <w:rFonts w:hint="eastAsia" w:ascii="宋体" w:hAnsi="宋体" w:eastAsia="宋体" w:cs="宋体"/>
                <w:color w:val="auto"/>
                <w:highlight w:val="none"/>
              </w:rPr>
              <w:t>医保信息查询</w:t>
            </w:r>
          </w:p>
          <w:p w14:paraId="1408DA0A">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结合各医保机构的接口规范实现自助服务查询，查询过程中进行必要的身份识别处理及数据查看权限控制，确保参保人员个人隐私得到保障。</w:t>
            </w:r>
          </w:p>
          <w:p w14:paraId="601441EF">
            <w:pPr>
              <w:numPr>
                <w:ilvl w:val="0"/>
                <w:numId w:val="6"/>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系统安全管理</w:t>
            </w:r>
          </w:p>
          <w:p w14:paraId="3EAC97E0">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系统安全管理包括终端接入安全认证，终端功能使用认证，管理人员管理权限授权等功能。</w:t>
            </w:r>
          </w:p>
        </w:tc>
      </w:tr>
      <w:tr w14:paraId="65BAF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962" w:type="dxa"/>
            <w:shd w:val="clear" w:color="auto" w:fill="FFFFFF"/>
            <w:noWrap/>
            <w:vAlign w:val="center"/>
          </w:tcPr>
          <w:p w14:paraId="3EB4652C">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门诊收费系统</w:t>
            </w:r>
          </w:p>
        </w:tc>
        <w:tc>
          <w:tcPr>
            <w:tcW w:w="7324" w:type="dxa"/>
            <w:shd w:val="clear" w:color="auto" w:fill="FFFFFF"/>
            <w:noWrap/>
            <w:vAlign w:val="center"/>
          </w:tcPr>
          <w:p w14:paraId="6EFDE76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系统完成患者在门诊就诊期间的费用的记账、结算、收付款、打印发票、退费、预交金管理、结账等操作。</w:t>
            </w:r>
          </w:p>
          <w:p w14:paraId="1C194218">
            <w:pPr>
              <w:adjustRightInd w:val="0"/>
              <w:snapToGrid w:val="0"/>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1、支持多种定价策略，如根据不同的客户身份，就诊类型等关键信息，针对同一项目设定不同的价格体系；支持各时段批量调价</w:t>
            </w:r>
            <w:r>
              <w:rPr>
                <w:rFonts w:hint="eastAsia" w:ascii="宋体" w:hAnsi="宋体" w:eastAsia="宋体" w:cs="宋体"/>
                <w:color w:val="auto"/>
                <w:highlight w:val="none"/>
                <w:lang w:eastAsia="zh-CN"/>
              </w:rPr>
              <w:t>；</w:t>
            </w:r>
          </w:p>
          <w:p w14:paraId="6E7939F1">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2、能完成诊疗项目对应费用的对照关系，还支持根据诊疗项目开单时的场景数据自动计算费用项目及数量的对照方式；</w:t>
            </w:r>
          </w:p>
          <w:p w14:paraId="6CEEAF9A">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3、支持西药处方、中药饮片处方、协定处方模板进行划价；</w:t>
            </w:r>
          </w:p>
          <w:p w14:paraId="15185455">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4、支持银行卡、支付宝、微信等多种支付手段；</w:t>
            </w:r>
          </w:p>
          <w:p w14:paraId="597AFFC3">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5、支持从网络系统中自动获取或直接录入患者收费信息；</w:t>
            </w:r>
          </w:p>
          <w:p w14:paraId="44311035">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6、各种周期结帐功能；</w:t>
            </w:r>
          </w:p>
          <w:p w14:paraId="11D0690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7、完善的退费功能；</w:t>
            </w:r>
          </w:p>
          <w:p w14:paraId="26ED8636">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8、支持门诊预交金管理流程；</w:t>
            </w:r>
          </w:p>
          <w:p w14:paraId="5EE6FE10">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9、支持各种相关的查询、统计、打印功能；</w:t>
            </w:r>
          </w:p>
          <w:p w14:paraId="36B1DF74">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10、支持LED、LCD、CRT等对外显示设备和语音报价功能。</w:t>
            </w:r>
          </w:p>
        </w:tc>
      </w:tr>
      <w:tr w14:paraId="08422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962" w:type="dxa"/>
            <w:shd w:val="clear" w:color="auto" w:fill="FFFFFF"/>
            <w:noWrap/>
            <w:vAlign w:val="center"/>
          </w:tcPr>
          <w:p w14:paraId="66BF0928">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门诊医生站系统</w:t>
            </w:r>
          </w:p>
        </w:tc>
        <w:tc>
          <w:tcPr>
            <w:tcW w:w="7324" w:type="dxa"/>
            <w:shd w:val="clear" w:color="auto" w:fill="FFFFFF"/>
            <w:noWrap/>
            <w:vAlign w:val="center"/>
          </w:tcPr>
          <w:p w14:paraId="4B2F317B">
            <w:pPr>
              <w:numPr>
                <w:ilvl w:val="0"/>
                <w:numId w:val="7"/>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预约与分诊（提供系统功能截图）</w:t>
            </w:r>
          </w:p>
          <w:p w14:paraId="4E18269A">
            <w:pPr>
              <w:numPr>
                <w:ilvl w:val="0"/>
                <w:numId w:val="8"/>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接诊：根据挂号、分诊系统按规则接收接诊病人，支持刷卡、列表、病历号、病人姓名首拼等查找病人；</w:t>
            </w:r>
          </w:p>
          <w:p w14:paraId="71820DD2">
            <w:pPr>
              <w:numPr>
                <w:ilvl w:val="0"/>
                <w:numId w:val="8"/>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预约挂号：支持诊间预约挂号；</w:t>
            </w:r>
          </w:p>
          <w:p w14:paraId="06200475">
            <w:pPr>
              <w:numPr>
                <w:ilvl w:val="0"/>
                <w:numId w:val="8"/>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退号确认：当病人处于接诊状态后，需进行退号确认后，病人才允许退号，该功能与财务联动；</w:t>
            </w:r>
          </w:p>
          <w:p w14:paraId="00F261DA">
            <w:pPr>
              <w:numPr>
                <w:ilvl w:val="0"/>
                <w:numId w:val="8"/>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加号：支持诊间加号。</w:t>
            </w:r>
          </w:p>
          <w:p w14:paraId="338A2C27">
            <w:pPr>
              <w:numPr>
                <w:ilvl w:val="0"/>
                <w:numId w:val="7"/>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诊断</w:t>
            </w:r>
          </w:p>
          <w:p w14:paraId="44B65D63">
            <w:pPr>
              <w:numPr>
                <w:ilvl w:val="0"/>
                <w:numId w:val="9"/>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诊断管理：支持ICD10和中医诊断，两者可以同时输入；实现待查和备注功能；</w:t>
            </w:r>
          </w:p>
          <w:p w14:paraId="2DFA038F">
            <w:pPr>
              <w:numPr>
                <w:ilvl w:val="0"/>
                <w:numId w:val="9"/>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复诊病人就诊系统默认提示是否引用上次就诊诊断；录入的诊断可以设定级别；提供门慢特病申请及慢病与诊断的关联。</w:t>
            </w:r>
          </w:p>
          <w:p w14:paraId="60B520D3">
            <w:pPr>
              <w:numPr>
                <w:ilvl w:val="0"/>
                <w:numId w:val="7"/>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医嘱</w:t>
            </w:r>
          </w:p>
          <w:p w14:paraId="17DEA62B">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医嘱录入：提供多种方式录入患者化验、检查、治疗、药品、材料等所有医嘱的开立和审核。录入方式有：1.常用模板录入（个人模板/科室模板/院级模板）；2.拼音模糊查询；3.汉字模糊查询；4.医嘱复制（可复制历次就诊记录）；5.检验检查录入；6.医嘱字典录入。提供个人、科室、全院常用模板和常用的医嘱套餐维护；</w:t>
            </w:r>
          </w:p>
          <w:p w14:paraId="123FF3F9">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药品医嘱-西药：按用法、剂量、天数录入药品，自动根据门诊药房的药品包装规则计算最小的药品总量，支持药品常规用量用法的定义，开具药品时可以自动带出。支持特殊用法按备注的方式录入；</w:t>
            </w:r>
          </w:p>
          <w:p w14:paraId="590F2AD2">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药品医嘱-输液：输液药品自动\手动成组，支持间隔药品任意成组，按输液规则自动计算输液费用；</w:t>
            </w:r>
          </w:p>
          <w:p w14:paraId="58F85FC5">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药品医嘱-输液-注射证明单：按输液医嘱生成并打印注射证明单；</w:t>
            </w:r>
          </w:p>
          <w:p w14:paraId="48FD8968">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药品医嘱-草药：可提供多种方式的中药饮片，颗粒剂，协定处方，协定膏，膏方等具有中医特色方剂的中草药录入，符合草药录入习惯，支持按每帖多少剂量录入，草药处方自动传送至</w:t>
            </w:r>
            <w:r>
              <w:rPr>
                <w:rFonts w:hint="eastAsia" w:ascii="宋体" w:hAnsi="宋体" w:eastAsia="宋体" w:cs="宋体"/>
                <w:color w:val="auto"/>
                <w:highlight w:val="none"/>
              </w:rPr>
              <w:t>中药房，</w:t>
            </w:r>
            <w:r>
              <w:rPr>
                <w:rFonts w:hint="eastAsia" w:ascii="宋体" w:hAnsi="宋体" w:eastAsia="宋体" w:cs="宋体"/>
                <w:color w:val="auto"/>
                <w:highlight w:val="none"/>
              </w:rPr>
              <w:t>可按规则自动生成草药代煎费等；</w:t>
            </w:r>
          </w:p>
          <w:p w14:paraId="7CCDC52F">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药品医嘱-过敏管理：对于皮试药品自动提醒医生进行皮试检查，提示需要皮试或对应检查，并自动开立医嘱，支持财务流程（包括青霉素类和破伤风类处理流程）；</w:t>
            </w:r>
          </w:p>
          <w:p w14:paraId="653F384D">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药品医嘱-打印：药品处方打印，特殊处方（精神、麻醉）处方打印；</w:t>
            </w:r>
          </w:p>
          <w:p w14:paraId="25849042">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药品医嘱-合理用药：实现与合理用药接口，实现合理用药的实时提醒；</w:t>
            </w:r>
          </w:p>
          <w:p w14:paraId="44116BFA">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治疗项目-录入：将所有收费项目全部按临床习惯映射为临床项目，根据临床项目录入治疗项目；支持治疗项目执行医护人员确认，并支持门诊收费的财务流程；</w:t>
            </w:r>
          </w:p>
          <w:p w14:paraId="60931CB4">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治疗项目-确认：治疗医护人员对开方医生录入的治疗项目进行确认，支持治疗情况记录书写，支持门诊收费的财务流程；</w:t>
            </w:r>
          </w:p>
          <w:p w14:paraId="78DA78BE">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手术医嘱：门诊手术录入，支持预约；</w:t>
            </w:r>
          </w:p>
          <w:p w14:paraId="5E900091">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电子申请单-LIS：实现LIS电子申请单功能：电子开单、电子查阅报告，包含接口规范；</w:t>
            </w:r>
          </w:p>
          <w:p w14:paraId="442086EC">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电子申请单-RIS：实现放射电子申请单功能：电子开单、电子查阅报告，包含接口规范；</w:t>
            </w:r>
          </w:p>
          <w:p w14:paraId="322A3EA8">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电子申请单-报告查阅：查阅医技科室发布的申请单报告；</w:t>
            </w:r>
          </w:p>
          <w:p w14:paraId="1B4E7582">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电子申请单-检查预约：实现大型或特殊检查的预约管理；</w:t>
            </w:r>
          </w:p>
          <w:p w14:paraId="5AB0FD19">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医嘱审批：根据设置的处方规则，实现某些药品或项目的审批，审批可由满足条件的医生完成；</w:t>
            </w:r>
          </w:p>
          <w:p w14:paraId="0BB9D830">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消息通知：当医技科室发布危急值报告、护士站发布皮试等信息时，医生工作站可以接收到消息通知；</w:t>
            </w:r>
          </w:p>
          <w:p w14:paraId="55C6B347">
            <w:pPr>
              <w:numPr>
                <w:ilvl w:val="0"/>
                <w:numId w:val="10"/>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系统支持自动处方分方管理。</w:t>
            </w:r>
          </w:p>
          <w:p w14:paraId="4E529DF5">
            <w:pPr>
              <w:numPr>
                <w:ilvl w:val="0"/>
                <w:numId w:val="7"/>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住院申请（提供系统功能截图）</w:t>
            </w:r>
          </w:p>
          <w:p w14:paraId="55968698">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1、住院申请单：实现门诊转住院电子开单，进入住院预约排队序列。</w:t>
            </w:r>
          </w:p>
          <w:p w14:paraId="5E385230">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2、支持开立院前医嘱：在办理入院手续后自动转为住院医嘱，在病人入科前可以先行完成相关检查、检验。</w:t>
            </w:r>
          </w:p>
          <w:p w14:paraId="527407C0">
            <w:pPr>
              <w:numPr>
                <w:ilvl w:val="0"/>
                <w:numId w:val="7"/>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公共卫生、不良事件、传染病上报</w:t>
            </w:r>
          </w:p>
          <w:p w14:paraId="512D27C5">
            <w:pPr>
              <w:numPr>
                <w:ilvl w:val="0"/>
                <w:numId w:val="11"/>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提供公共卫生事件录入及上报；</w:t>
            </w:r>
          </w:p>
          <w:p w14:paraId="34B1DD1C">
            <w:pPr>
              <w:numPr>
                <w:ilvl w:val="0"/>
                <w:numId w:val="11"/>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提供不良事件录入及上报；</w:t>
            </w:r>
          </w:p>
          <w:p w14:paraId="707E7951">
            <w:pPr>
              <w:numPr>
                <w:ilvl w:val="0"/>
                <w:numId w:val="11"/>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提供传染病录入及上报。</w:t>
            </w:r>
          </w:p>
        </w:tc>
      </w:tr>
      <w:tr w14:paraId="77407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962" w:type="dxa"/>
            <w:shd w:val="clear" w:color="auto" w:fill="FFFFFF"/>
            <w:noWrap/>
            <w:vAlign w:val="center"/>
          </w:tcPr>
          <w:p w14:paraId="27C59C64">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门诊文书系统</w:t>
            </w:r>
          </w:p>
        </w:tc>
        <w:tc>
          <w:tcPr>
            <w:tcW w:w="7324" w:type="dxa"/>
            <w:shd w:val="clear" w:color="auto" w:fill="FFFFFF"/>
            <w:noWrap/>
            <w:vAlign w:val="center"/>
          </w:tcPr>
          <w:p w14:paraId="550A6C35">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门诊病历文书-结构化录入：根据门急诊结构化病历文件要求，门诊病历结构化模板支持各种结构化元素，满足病历书写规范要求，建立完整的递交审核流程，具有更改跟踪和显示功能。对于已提交的病历能自动记录、保存病历记录所有修改的痕迹；</w:t>
            </w:r>
          </w:p>
          <w:p w14:paraId="3AB18010">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门诊病历文书-结构化模板设置：支持设置专科科室模板、个人模板。可根据诊断、性别、年龄等自动定义病历结构和格式；</w:t>
            </w:r>
          </w:p>
          <w:p w14:paraId="1630CBFF">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可选择导入处方数据等；</w:t>
            </w:r>
          </w:p>
          <w:p w14:paraId="7F24D58B">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能提供插入检查检验结果功能。</w:t>
            </w:r>
          </w:p>
          <w:p w14:paraId="75FD3F5C">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病历数据与处方、检查报告等数据全院一体化管理；</w:t>
            </w:r>
          </w:p>
          <w:p w14:paraId="5F36E88B">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门诊病历提供历史病历引用，根据书写病历内容生成标准的病历文书；历史病历（包括住院或门诊纸质病历）完成数字化、可查阅，并能够与其他病历整合；</w:t>
            </w:r>
          </w:p>
          <w:p w14:paraId="2F75B1E2">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门诊病历文书-打印：支持门诊病历等各类文书打印；</w:t>
            </w:r>
          </w:p>
          <w:p w14:paraId="294A462A">
            <w:pPr>
              <w:numPr>
                <w:ilvl w:val="0"/>
                <w:numId w:val="12"/>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门诊病历具有安全控制机制，支持病历修改线上审批流程。</w:t>
            </w:r>
          </w:p>
        </w:tc>
      </w:tr>
      <w:tr w14:paraId="67B7A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962" w:type="dxa"/>
            <w:shd w:val="clear" w:color="auto" w:fill="FFFFFF"/>
            <w:noWrap/>
            <w:vAlign w:val="center"/>
          </w:tcPr>
          <w:p w14:paraId="6DB831E2">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皮试管理系统</w:t>
            </w:r>
          </w:p>
        </w:tc>
        <w:tc>
          <w:tcPr>
            <w:tcW w:w="7324" w:type="dxa"/>
            <w:shd w:val="clear" w:color="auto" w:fill="FFFFFF"/>
            <w:noWrap/>
            <w:vAlign w:val="center"/>
          </w:tcPr>
          <w:p w14:paraId="1BBAA2CD">
            <w:pPr>
              <w:numPr>
                <w:ilvl w:val="0"/>
                <w:numId w:val="13"/>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 xml:space="preserve">皮试病人报到、注射、结果录入； </w:t>
            </w:r>
          </w:p>
          <w:p w14:paraId="090C924D">
            <w:pPr>
              <w:numPr>
                <w:ilvl w:val="0"/>
                <w:numId w:val="13"/>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实现实时刷新等待病人，包含未报到但已开皮试医嘱的病人；</w:t>
            </w:r>
          </w:p>
          <w:p w14:paraId="43AC203B">
            <w:pPr>
              <w:numPr>
                <w:ilvl w:val="0"/>
                <w:numId w:val="13"/>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 xml:space="preserve">批量处理皮试病人； </w:t>
            </w:r>
          </w:p>
          <w:p w14:paraId="6BB3350D">
            <w:pPr>
              <w:numPr>
                <w:ilvl w:val="0"/>
                <w:numId w:val="13"/>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实现综合查询，多元化的数据条件查询。</w:t>
            </w:r>
          </w:p>
        </w:tc>
      </w:tr>
      <w:tr w14:paraId="711EC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962" w:type="dxa"/>
            <w:shd w:val="clear" w:color="auto" w:fill="FFFFFF"/>
            <w:noWrap/>
            <w:vAlign w:val="center"/>
          </w:tcPr>
          <w:p w14:paraId="60F3F539">
            <w:pPr>
              <w:adjustRightInd w:val="0"/>
              <w:snapToGrid w:val="0"/>
              <w:spacing w:line="360" w:lineRule="auto"/>
              <w:jc w:val="center"/>
              <w:rPr>
                <w:rFonts w:ascii="宋体" w:hAnsi="宋体" w:eastAsia="宋体" w:cs="宋体"/>
                <w:color w:val="auto"/>
                <w:highlight w:val="none"/>
              </w:rPr>
            </w:pPr>
            <w:r>
              <w:rPr>
                <w:rFonts w:hint="eastAsia" w:ascii="宋体" w:hAnsi="宋体" w:eastAsia="宋体" w:cs="宋体"/>
                <w:color w:val="auto"/>
                <w:highlight w:val="none"/>
              </w:rPr>
              <w:t>一站式服务系统</w:t>
            </w:r>
          </w:p>
        </w:tc>
        <w:tc>
          <w:tcPr>
            <w:tcW w:w="7324" w:type="dxa"/>
            <w:shd w:val="clear" w:color="auto" w:fill="FFFFFF"/>
            <w:noWrap/>
            <w:vAlign w:val="center"/>
          </w:tcPr>
          <w:p w14:paraId="3601F5AE">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预约处理</w:t>
            </w:r>
            <w:r>
              <w:rPr>
                <w:rFonts w:hint="eastAsia" w:ascii="宋体" w:hAnsi="宋体" w:eastAsia="宋体" w:cs="宋体"/>
                <w:color w:val="auto"/>
                <w:highlight w:val="none"/>
              </w:rPr>
              <w:br w:type="textWrapping"/>
            </w:r>
            <w:r>
              <w:rPr>
                <w:rFonts w:hint="eastAsia" w:ascii="宋体" w:hAnsi="宋体" w:eastAsia="宋体" w:cs="宋体"/>
                <w:color w:val="auto"/>
                <w:highlight w:val="none"/>
              </w:rPr>
              <w:t>1、检查预约（调用检查系统）：预约记录查询；</w:t>
            </w:r>
          </w:p>
          <w:p w14:paraId="1383D8DE">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2、预约黑名单管理：爽约记录查询；</w:t>
            </w:r>
          </w:p>
          <w:p w14:paraId="4ACBAD99">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主索引管理：建立主索引查询；</w:t>
            </w:r>
          </w:p>
          <w:p w14:paraId="7111974F">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出诊安排：门诊排班，医生请假登记，医生排班，审核号别，限号管理。</w:t>
            </w:r>
          </w:p>
          <w:p w14:paraId="67B94F97">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查询打印</w:t>
            </w:r>
            <w:r>
              <w:rPr>
                <w:rFonts w:hint="eastAsia" w:ascii="宋体" w:hAnsi="宋体" w:eastAsia="宋体" w:cs="宋体"/>
                <w:color w:val="auto"/>
                <w:highlight w:val="none"/>
              </w:rPr>
              <w:br w:type="textWrapping"/>
            </w:r>
            <w:r>
              <w:rPr>
                <w:rFonts w:hint="eastAsia" w:ascii="宋体" w:hAnsi="宋体" w:eastAsia="宋体" w:cs="宋体"/>
                <w:color w:val="auto"/>
                <w:highlight w:val="none"/>
              </w:rPr>
              <w:t>1、病历检索：门诊病历内容检索，检查检验报告查询，收据查询；</w:t>
            </w:r>
            <w:r>
              <w:rPr>
                <w:rFonts w:hint="eastAsia" w:ascii="宋体" w:hAnsi="宋体" w:eastAsia="宋体" w:cs="宋体"/>
                <w:color w:val="auto"/>
                <w:highlight w:val="none"/>
              </w:rPr>
              <w:br w:type="textWrapping"/>
            </w:r>
            <w:r>
              <w:rPr>
                <w:rFonts w:hint="eastAsia" w:ascii="宋体" w:hAnsi="宋体" w:eastAsia="宋体" w:cs="宋体"/>
                <w:color w:val="auto"/>
                <w:highlight w:val="none"/>
              </w:rPr>
              <w:t>2、门急诊医嘱执行统计；</w:t>
            </w:r>
          </w:p>
          <w:p w14:paraId="0B687700">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3、病理标本核对。</w:t>
            </w:r>
          </w:p>
          <w:p w14:paraId="09D5065D">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审核管理</w:t>
            </w:r>
          </w:p>
          <w:p w14:paraId="56635A04">
            <w:pPr>
              <w:numPr>
                <w:ilvl w:val="0"/>
                <w:numId w:val="15"/>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医学证明审核；</w:t>
            </w:r>
          </w:p>
          <w:p w14:paraId="249B8075">
            <w:pPr>
              <w:numPr>
                <w:ilvl w:val="0"/>
                <w:numId w:val="15"/>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麻醉药品专用病历号管理三大医保备案；</w:t>
            </w:r>
          </w:p>
          <w:p w14:paraId="395AB479">
            <w:pPr>
              <w:numPr>
                <w:ilvl w:val="0"/>
                <w:numId w:val="15"/>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规定病种备案、转院备案等；</w:t>
            </w:r>
          </w:p>
          <w:p w14:paraId="69E60E3D">
            <w:pPr>
              <w:numPr>
                <w:ilvl w:val="0"/>
                <w:numId w:val="15"/>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疾病维护门诊病历质控（提供系统功能截图）；</w:t>
            </w:r>
          </w:p>
          <w:p w14:paraId="7C8DC1C6">
            <w:pPr>
              <w:numPr>
                <w:ilvl w:val="0"/>
                <w:numId w:val="15"/>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门诊检查单质控：门诊病历质控评分汇总、门诊检查申请单质控汇总。</w:t>
            </w:r>
          </w:p>
          <w:p w14:paraId="50AB728D">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统计查询</w:t>
            </w:r>
            <w:r>
              <w:rPr>
                <w:rFonts w:hint="eastAsia" w:ascii="宋体" w:hAnsi="宋体" w:eastAsia="宋体" w:cs="宋体"/>
                <w:color w:val="auto"/>
                <w:highlight w:val="none"/>
              </w:rPr>
              <w:br w:type="textWrapping"/>
            </w:r>
            <w:r>
              <w:rPr>
                <w:rFonts w:hint="eastAsia" w:ascii="宋体" w:hAnsi="宋体" w:eastAsia="宋体" w:cs="宋体"/>
                <w:color w:val="auto"/>
                <w:highlight w:val="none"/>
              </w:rPr>
              <w:t>1、爽约统计；</w:t>
            </w:r>
          </w:p>
          <w:p w14:paraId="53BD2905">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2、取消预约统计；</w:t>
            </w:r>
          </w:p>
          <w:p w14:paraId="2AEAE916">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3、挂号员工作量统计，精英门诊挂号量统计，专家停诊率统计，精英门诊请假率统计，专家门诊排班统计，医生出诊量统计，医生准点率统计，实名制就诊率统计等。</w:t>
            </w:r>
          </w:p>
          <w:p w14:paraId="79F8FFEC">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预约统计</w:t>
            </w:r>
            <w:r>
              <w:rPr>
                <w:rFonts w:hint="eastAsia" w:ascii="宋体" w:hAnsi="宋体" w:eastAsia="宋体" w:cs="宋体"/>
                <w:color w:val="auto"/>
                <w:highlight w:val="none"/>
              </w:rPr>
              <w:br w:type="textWrapping"/>
            </w:r>
            <w:r>
              <w:rPr>
                <w:rFonts w:hint="eastAsia" w:ascii="宋体" w:hAnsi="宋体" w:eastAsia="宋体" w:cs="宋体"/>
                <w:color w:val="auto"/>
                <w:highlight w:val="none"/>
              </w:rPr>
              <w:t>1、预约登记情况查询，预约工作量统计，预约率统计；</w:t>
            </w:r>
          </w:p>
          <w:p w14:paraId="73BD10B2">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2、年度预约率统计，年度预约情况统计。</w:t>
            </w:r>
          </w:p>
          <w:p w14:paraId="0891D18C">
            <w:pPr>
              <w:numPr>
                <w:ilvl w:val="0"/>
                <w:numId w:val="14"/>
              </w:num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退费</w:t>
            </w:r>
            <w:r>
              <w:rPr>
                <w:rFonts w:hint="eastAsia" w:ascii="宋体" w:hAnsi="宋体" w:eastAsia="宋体" w:cs="宋体"/>
                <w:color w:val="auto"/>
                <w:highlight w:val="none"/>
              </w:rPr>
              <w:br w:type="textWrapping"/>
            </w:r>
            <w:r>
              <w:rPr>
                <w:rFonts w:hint="eastAsia" w:ascii="宋体" w:hAnsi="宋体" w:eastAsia="宋体" w:cs="宋体"/>
                <w:color w:val="auto"/>
                <w:highlight w:val="none"/>
              </w:rPr>
              <w:t>1、一站式退检查检验；</w:t>
            </w:r>
            <w:r>
              <w:rPr>
                <w:rFonts w:hint="eastAsia" w:ascii="宋体" w:hAnsi="宋体" w:eastAsia="宋体" w:cs="宋体"/>
                <w:color w:val="auto"/>
                <w:highlight w:val="none"/>
              </w:rPr>
              <w:br w:type="textWrapping"/>
            </w:r>
            <w:r>
              <w:rPr>
                <w:rFonts w:hint="eastAsia" w:ascii="宋体" w:hAnsi="宋体" w:eastAsia="宋体" w:cs="宋体"/>
                <w:color w:val="auto"/>
                <w:highlight w:val="none"/>
              </w:rPr>
              <w:t>2、一站式退药；</w:t>
            </w:r>
          </w:p>
          <w:p w14:paraId="40DA0E70">
            <w:pPr>
              <w:adjustRightInd w:val="0"/>
              <w:snapToGrid w:val="0"/>
              <w:spacing w:line="360" w:lineRule="auto"/>
              <w:rPr>
                <w:rFonts w:ascii="宋体" w:hAnsi="宋体" w:eastAsia="宋体" w:cs="宋体"/>
                <w:color w:val="auto"/>
                <w:highlight w:val="none"/>
              </w:rPr>
            </w:pPr>
            <w:r>
              <w:rPr>
                <w:rFonts w:hint="eastAsia" w:ascii="宋体" w:hAnsi="宋体" w:eastAsia="宋体" w:cs="宋体"/>
                <w:color w:val="auto"/>
                <w:highlight w:val="none"/>
              </w:rPr>
              <w:t>3、其他收费项目。</w:t>
            </w:r>
          </w:p>
        </w:tc>
      </w:tr>
    </w:tbl>
    <w:p w14:paraId="47FE9A4B">
      <w:pPr>
        <w:pStyle w:val="4"/>
        <w:spacing w:line="360" w:lineRule="auto"/>
        <w:rPr>
          <w:rFonts w:ascii="宋体" w:hAnsi="宋体" w:eastAsia="宋体"/>
          <w:color w:val="auto"/>
          <w:highlight w:val="none"/>
        </w:rPr>
      </w:pPr>
      <w:r>
        <w:rPr>
          <w:rFonts w:hint="eastAsia" w:ascii="宋体" w:hAnsi="宋体" w:eastAsia="宋体"/>
          <w:color w:val="auto"/>
          <w:highlight w:val="none"/>
        </w:rPr>
        <w:t>急诊业务系统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266"/>
        <w:gridCol w:w="8020"/>
      </w:tblGrid>
      <w:tr w14:paraId="7F6EE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02" w:hRule="atLeast"/>
          <w:jc w:val="center"/>
        </w:trPr>
        <w:tc>
          <w:tcPr>
            <w:tcW w:w="1266" w:type="dxa"/>
            <w:shd w:val="clear" w:color="auto" w:fill="FFFFFF"/>
            <w:noWrap/>
            <w:vAlign w:val="bottom"/>
          </w:tcPr>
          <w:p w14:paraId="4C7F8FA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系统名称</w:t>
            </w:r>
          </w:p>
        </w:tc>
        <w:tc>
          <w:tcPr>
            <w:tcW w:w="8020" w:type="dxa"/>
            <w:shd w:val="clear" w:color="auto" w:fill="FFFFFF"/>
            <w:noWrap/>
            <w:vAlign w:val="bottom"/>
          </w:tcPr>
          <w:p w14:paraId="1A2027E0">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技术参数要求</w:t>
            </w:r>
          </w:p>
        </w:tc>
      </w:tr>
      <w:tr w14:paraId="12722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66" w:type="dxa"/>
            <w:shd w:val="clear" w:color="auto" w:fill="FFFFFF"/>
            <w:noWrap/>
            <w:vAlign w:val="center"/>
          </w:tcPr>
          <w:p w14:paraId="705E7F16">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急诊预检分诊管理</w:t>
            </w:r>
          </w:p>
        </w:tc>
        <w:tc>
          <w:tcPr>
            <w:tcW w:w="8020" w:type="dxa"/>
            <w:shd w:val="clear" w:color="auto" w:fill="FFFFFF"/>
            <w:noWrap/>
            <w:vAlign w:val="center"/>
          </w:tcPr>
          <w:p w14:paraId="0C5758B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1、病人读取：基于院方提供的读卡器接口服务，实现患者信息的自动读取，并支持手工录入患者标识获取患者信息；</w:t>
            </w:r>
          </w:p>
          <w:p w14:paraId="10D0E7C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2、分诊病人浏览：基于医院信息系统的患者信息、挂号信息以及排队叫号系统的接口服务，实现分诊患者的信息浏览，要求显示患者信息、挂号信息及排队叫号信息；并支持查询分诊队列信息；</w:t>
            </w:r>
          </w:p>
          <w:p w14:paraId="7FE539A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3、急诊资源浏览：根据急诊资源的要求，实现在预检分诊系统中的急诊科室一览以及分诊科室的选择；</w:t>
            </w:r>
          </w:p>
          <w:p w14:paraId="460346E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4、评估功能：基础评估（包括生命体征、主诉、既往史、过敏史等基础信息）（提供系统功能截图）；</w:t>
            </w:r>
          </w:p>
          <w:p w14:paraId="1A8DE75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5、其它评估（疼痛评估、妇产儿专科评估、检伤评估、GCS评估等专科评估）；</w:t>
            </w:r>
          </w:p>
          <w:p w14:paraId="14694E6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6、分级分科：病情分级规则支撑自动分级、分科人工调整（提供系统功能截图）；</w:t>
            </w:r>
          </w:p>
          <w:p w14:paraId="00A9CDD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7、绿色通道：实现为特殊急诊患者开通绿色通道，标识绿色通道的患者记录；</w:t>
            </w:r>
          </w:p>
          <w:p w14:paraId="5B14EA4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8、分诊单打印：支持分诊单打印，根据现场调整；</w:t>
            </w:r>
          </w:p>
          <w:p w14:paraId="573E8F5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9、查询统计报表：分诊记录查询、分级汇总日报、分诊月度环比报表；</w:t>
            </w:r>
          </w:p>
          <w:p w14:paraId="5E94D82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10、急诊预检分诊系统提供一系列基础设置：</w:t>
            </w:r>
          </w:p>
          <w:p w14:paraId="2FE3498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（1）急诊科设置；</w:t>
            </w:r>
          </w:p>
          <w:p w14:paraId="15E464A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（2）分诊设置；</w:t>
            </w:r>
          </w:p>
          <w:p w14:paraId="63F774C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（3）主诉及判定依据；</w:t>
            </w:r>
          </w:p>
          <w:p w14:paraId="79FA836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（4）既往史字典；</w:t>
            </w:r>
          </w:p>
          <w:p w14:paraId="4728D84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（5）过敏史字典；</w:t>
            </w:r>
          </w:p>
          <w:p w14:paraId="7B508EF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（6）其它字典维护。</w:t>
            </w:r>
          </w:p>
        </w:tc>
      </w:tr>
      <w:tr w14:paraId="4A3C8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66" w:type="dxa"/>
            <w:shd w:val="clear" w:color="auto" w:fill="FFFFFF"/>
            <w:noWrap/>
            <w:vAlign w:val="center"/>
          </w:tcPr>
          <w:p w14:paraId="01748041">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急诊收费系统</w:t>
            </w:r>
          </w:p>
        </w:tc>
        <w:tc>
          <w:tcPr>
            <w:tcW w:w="8020" w:type="dxa"/>
            <w:shd w:val="clear" w:color="auto" w:fill="FFFFFF"/>
            <w:noWrap/>
            <w:vAlign w:val="center"/>
          </w:tcPr>
          <w:p w14:paraId="19A4719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1、收费</w:t>
            </w:r>
          </w:p>
          <w:p w14:paraId="7A8B1AA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（1）通过患者ID或单据号，获得当前患者信息和未交费医嘱单信息，补录划价通知单。对全部计价项目进行费用合计。结算支付并打印收据。此外，还可以对辅诊科室收费项目打印收据；</w:t>
            </w:r>
          </w:p>
          <w:p w14:paraId="0E96840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（2）可以通过门诊号或者身份证，医保卡，就诊卡识别患者身份，查询待结算费用，如果存在托收费用可以和待结算费用可以一起结算，打印同一张门诊收费票据；</w:t>
            </w:r>
          </w:p>
          <w:p w14:paraId="17E853E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（3）每次结算一张门诊收费票据；</w:t>
            </w:r>
          </w:p>
          <w:p w14:paraId="729861A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（4）允许多次就诊费用一起结算，但是要区分费别，需要医保允许多次就诊下费用一起结算；</w:t>
            </w:r>
          </w:p>
          <w:p w14:paraId="716B88D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（5）允许收费员修改收费项目（单据增删，条目增删改），可以将某些单据本次隐藏不收费；</w:t>
            </w:r>
          </w:p>
          <w:p w14:paraId="6C775DA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（6）体检收费单独页面，输入体检号，识别患者；</w:t>
            </w:r>
          </w:p>
          <w:p w14:paraId="6DF1C3E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（7）在患者登记时标记患者，结算时费用记账；</w:t>
            </w:r>
          </w:p>
          <w:p w14:paraId="50C1E56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（8）120急救收费，收费员根据手工单据手动录入项目收费，只能录入某些特定项目；</w:t>
            </w:r>
          </w:p>
          <w:p w14:paraId="351BBAF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（9）一次结算时如果费用明细超过票据打印限制数量提示收款员，过多费用明细需要人工分单；</w:t>
            </w:r>
          </w:p>
          <w:p w14:paraId="5618148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（10）未收费单据有效期根据医嘱类别分别设置；</w:t>
            </w:r>
          </w:p>
          <w:p w14:paraId="6AD3C34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（11）窗口收费会打印门诊收费票据，如果有检验、检查会打印条码；自助机会打印收费凭条；</w:t>
            </w:r>
          </w:p>
          <w:p w14:paraId="48ABE6B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（12）直接在科室执行的治疗费用托收。</w:t>
            </w:r>
          </w:p>
          <w:p w14:paraId="5E83016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2、退费</w:t>
            </w:r>
          </w:p>
          <w:p w14:paraId="22BFDA7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（1）可以对收费单据进行部分退费和全部退费；</w:t>
            </w:r>
          </w:p>
          <w:p w14:paraId="02C090B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（2）通过收据号查询该收据号对应的患者基本信息及收款费用明细信息（付费方式、收据分类、收费单据明细）。</w:t>
            </w:r>
          </w:p>
          <w:p w14:paraId="29A8EDF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3、预交金管理</w:t>
            </w:r>
          </w:p>
          <w:p w14:paraId="4587664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（1）通过患者ID或预交金收据号获得指定条件的预交金收据信息，可以对患者进行预交金的收退操作。退预交金时，根据参数“退预交金类型”值的不同，可分为指定记录退费和指定金额退费两种方式；</w:t>
            </w:r>
          </w:p>
          <w:p w14:paraId="46F846D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（2）只有急诊黄区和红区有预交金，只能在急诊使用，急诊结算时需要收回预缴款收据。</w:t>
            </w:r>
          </w:p>
          <w:p w14:paraId="2DD0E7E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4、挂号员结账</w:t>
            </w:r>
          </w:p>
          <w:p w14:paraId="35BFACD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选择结账日期，显示结账明细，确认结账，可对结账明细进行打印。默认结账日期为系统当前时间。统计结账日期到上次结账日期之间的挂号收费、退费信息。</w:t>
            </w:r>
          </w:p>
          <w:p w14:paraId="1AF4A6E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5、结账查询</w:t>
            </w:r>
          </w:p>
          <w:p w14:paraId="7755EFB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根据结账号、开始日期和结束日期、收款员一个或多个条件查询挂号结账记录，可查看每条结账记录的结账明细信息，并打印查询到的结账记录。</w:t>
            </w:r>
          </w:p>
          <w:p w14:paraId="3FE19BB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6、收费员结账</w:t>
            </w:r>
          </w:p>
          <w:p w14:paraId="361C5DC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（1）每日24时后台自动为所有收费员生成个人结账汇总单（包含自助），收费员可以查询个人结账汇总单；</w:t>
            </w:r>
          </w:p>
          <w:p w14:paraId="7ACA771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（2）提供给收费员查询自己未结账信息的功能，方便操作员对账；</w:t>
            </w:r>
          </w:p>
          <w:p w14:paraId="5D0E6DC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（3）挂号和门诊收费单独生成结账汇总单。</w:t>
            </w:r>
          </w:p>
          <w:p w14:paraId="044D973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7、收款员退费查询</w:t>
            </w:r>
          </w:p>
          <w:p w14:paraId="14C076E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收款员结账查询是在统计时间段内，指定结账类型下，对收款员已入账、未入账、结账状态进行统计查询。</w:t>
            </w:r>
          </w:p>
          <w:p w14:paraId="7517EF3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8、结账查询</w:t>
            </w:r>
          </w:p>
          <w:p w14:paraId="735ABB7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用户通过结账号、结账类型或收款员查询指定时间范围内的全部的结账记录，查看结账明细信息。还可以打印查询的结账记录。</w:t>
            </w:r>
          </w:p>
          <w:p w14:paraId="5EEC6DD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9、查询统计</w:t>
            </w:r>
          </w:p>
          <w:p w14:paraId="4BB6880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（1）日报表：</w:t>
            </w:r>
          </w:p>
          <w:p w14:paraId="7E3B85A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1.门诊结算日报表（代记账凭证），自动截至物理时间24时，通过借贷平衡计算当日现金、银行存款、银医通消费、移动支付、门诊结算收入汇总、医疗应收款，显示票据作废号码；</w:t>
            </w:r>
          </w:p>
          <w:p w14:paraId="28DC180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2.门诊结算日报表医疗应收款明细，作为门诊结算日报表的附表列明医疗应收款（各级医保拨付），与门诊结算日报表的借方科目医疗应收款栏相符。</w:t>
            </w:r>
          </w:p>
          <w:p w14:paraId="70BAEFF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门诊票据消耗量统计表，收费员消耗使用票据区间段号码和张数；</w:t>
            </w:r>
          </w:p>
          <w:p w14:paraId="0BAAAB7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3.银联卡交易门诊对账单（含自助机交易），银联卡刷卡（Mis-Pos）明细对账单，汇总金额与门诊结算日报表的借方科目银行存款栏银行卡金额相符，信用卡栏是核对独立刷信用卡机具的汇总金额；</w:t>
            </w:r>
          </w:p>
          <w:p w14:paraId="2D323B5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4.门诊收入日报表（按开单统计，咨询财务科）；</w:t>
            </w:r>
          </w:p>
          <w:p w14:paraId="3B248F9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5.收费员结账汇总单（收费员），收费员个人汇总单，现金、银行存款、结算明细和汇总、门诊收费票据号码及张数、反交易红冲原票据号码；</w:t>
            </w:r>
          </w:p>
          <w:p w14:paraId="0E22F27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6.收费员结账汇总单（自助机），所有自助机汇总单和各台自助机汇总单（可选择统计，自助机有数据统计无数据忽略）。</w:t>
            </w:r>
          </w:p>
          <w:p w14:paraId="65A3B14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（2）月报表</w:t>
            </w:r>
          </w:p>
          <w:p w14:paraId="1125866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1.门诊结算患者科室费用汇总表（咨询财务科）。</w:t>
            </w:r>
          </w:p>
          <w:p w14:paraId="00410B5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2.门诊收入日报表（按开单统计，咨询财务科）。</w:t>
            </w:r>
          </w:p>
          <w:p w14:paraId="0807260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3.门诊结算日报汇总表。</w:t>
            </w:r>
          </w:p>
          <w:p w14:paraId="7E2D38B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4.门诊结算日报汇总表医疗应收款明细。</w:t>
            </w:r>
          </w:p>
        </w:tc>
      </w:tr>
      <w:tr w14:paraId="22AB9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66" w:type="dxa"/>
            <w:shd w:val="clear" w:color="auto" w:fill="FFFFFF"/>
            <w:noWrap/>
            <w:vAlign w:val="center"/>
          </w:tcPr>
          <w:p w14:paraId="40F32653">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急诊医生工作站</w:t>
            </w:r>
          </w:p>
        </w:tc>
        <w:tc>
          <w:tcPr>
            <w:tcW w:w="8020" w:type="dxa"/>
            <w:shd w:val="clear" w:color="auto" w:fill="FFFFFF"/>
            <w:noWrap/>
            <w:vAlign w:val="center"/>
          </w:tcPr>
          <w:p w14:paraId="204BDEE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1、急诊医生的权限管理与认证</w:t>
            </w:r>
          </w:p>
          <w:p w14:paraId="5A8D372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（1）当医生工作站终端超过设定的时间没有操作时，能够自动锁定。再次进入时需要重新进行认证；</w:t>
            </w:r>
          </w:p>
          <w:p w14:paraId="5208A87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（2）提供系统登录功能：角色切换、修改口令、注销用户、系统退出，支持用户在病房医生、病房护士、急诊医生、急诊护士等角色之间切换业务系统。</w:t>
            </w:r>
          </w:p>
          <w:p w14:paraId="7488520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2、获取患者卡内基本信息</w:t>
            </w:r>
          </w:p>
          <w:p w14:paraId="4C848BC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（1）获取患者列表的基本信息：患者ID、病案号、姓名、性别、年龄、医保费用类别、急诊分级分区等；</w:t>
            </w:r>
          </w:p>
          <w:p w14:paraId="5D39DB1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（2）提供诊疗相关历史就诊的病史资料、主诉、现病史、既往史等；</w:t>
            </w:r>
          </w:p>
          <w:p w14:paraId="0FE82C8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（3）获取急诊预检分诊系统的信息：患者ID、姓名、分诊号、分科、病情分级、病情评估等。</w:t>
            </w:r>
          </w:p>
          <w:p w14:paraId="3B673EE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3、闭环医嘱管理功能</w:t>
            </w:r>
          </w:p>
          <w:p w14:paraId="1950E1E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（1）提供连续查阅医嘱模式，方便抢救和留观病人医嘱管理；</w:t>
            </w:r>
          </w:p>
          <w:p w14:paraId="66637BB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（2）提供各种急诊医嘱开立功能，包括：药品医嘱、检验医嘱、检查医嘱、治疗处置、用血、手术、抢救医嘱，支持医生处理各种急诊诊疗活动；</w:t>
            </w:r>
          </w:p>
          <w:p w14:paraId="382842B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（3）通过合理用药，提供药品信息查询、药品医嘱的自动监测、提醒和咨询功能；</w:t>
            </w:r>
          </w:p>
          <w:p w14:paraId="08E7213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（4）提供警示功能，如：过敏药物警示；</w:t>
            </w:r>
          </w:p>
          <w:p w14:paraId="171F2AC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（5）提供多种药品医嘱、检验医嘱、检查医嘱快捷开立方式，尤其支持急诊组合套餐的开立；</w:t>
            </w:r>
          </w:p>
          <w:p w14:paraId="7F047A0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（6）提供引用功能，如：医嘱、门诊诊断、临床表现引用到处方和各种申请单；</w:t>
            </w:r>
          </w:p>
          <w:p w14:paraId="459BB77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（7）提供医嘱打印功能，如：处方、检查申请单、检验申请单、治疗单等，打印结果由就诊医师签字生效；</w:t>
            </w:r>
          </w:p>
          <w:p w14:paraId="1878C76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（8）通过第三方接口，自动向相关部门传送检查、检验、诊断、处方、治疗处置等诊疗信息，以及相关的费用信息，保证医嘱指令顺利执行；</w:t>
            </w:r>
          </w:p>
          <w:p w14:paraId="7804BF9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（9）提供医嘱执行状态全程显示功能，可灵活配置各类医嘱的执行环节。</w:t>
            </w:r>
          </w:p>
          <w:p w14:paraId="61344CE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4、会诊管理</w:t>
            </w:r>
          </w:p>
          <w:p w14:paraId="1D0470C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（1）支持电子会诊申请单，会诊科室接收会诊申请信息；</w:t>
            </w:r>
          </w:p>
          <w:p w14:paraId="2D3A44E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（2）支持会诊医生登录系统后，书写会诊记录单，记录会诊整个医疗过程；</w:t>
            </w:r>
          </w:p>
          <w:p w14:paraId="4C6B481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（3）支持会诊费用自动计费，提高会诊效率；</w:t>
            </w:r>
          </w:p>
          <w:p w14:paraId="1FEB69B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（4）支持会诊过程中记录的资料，归档为急诊病历。</w:t>
            </w:r>
          </w:p>
          <w:p w14:paraId="5E17239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5、交班管理</w:t>
            </w:r>
          </w:p>
          <w:p w14:paraId="222E23D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（1）支持当班急诊医生对当前急诊患者情况录入病情、纠纷等各类信息；</w:t>
            </w:r>
          </w:p>
          <w:p w14:paraId="11718DB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（2）支持交班信息的业务流转，包括交班、接班；</w:t>
            </w:r>
          </w:p>
          <w:p w14:paraId="41E2867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（3）提供交班信息的查询。</w:t>
            </w:r>
          </w:p>
          <w:p w14:paraId="7A61829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6、其它功能</w:t>
            </w:r>
          </w:p>
          <w:p w14:paraId="3CFDB4F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（1）浏览患者的检验报告、检查报告；</w:t>
            </w:r>
          </w:p>
          <w:p w14:paraId="05685B0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（2）提供常见事务管理功能，如：转诊、诊断证明、住院申请；</w:t>
            </w:r>
          </w:p>
          <w:p w14:paraId="399490E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（3）提供疾病管理功能，如：疾病上报、随访等；</w:t>
            </w:r>
          </w:p>
          <w:p w14:paraId="5BC362A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（4）提供门急诊电子病历所涉及的全部系统维护，包括：字典维护、参数维护、医嘱模板维护、病历模板维护、用户及授权维护等。</w:t>
            </w:r>
          </w:p>
        </w:tc>
      </w:tr>
      <w:tr w14:paraId="386B7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66" w:type="dxa"/>
            <w:shd w:val="clear" w:color="auto" w:fill="FFFFFF"/>
            <w:noWrap/>
            <w:vAlign w:val="center"/>
          </w:tcPr>
          <w:p w14:paraId="366A870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急诊医生文书系统</w:t>
            </w:r>
          </w:p>
        </w:tc>
        <w:tc>
          <w:tcPr>
            <w:tcW w:w="8020" w:type="dxa"/>
            <w:shd w:val="clear" w:color="auto" w:fill="FFFFFF"/>
            <w:noWrap/>
            <w:vAlign w:val="center"/>
          </w:tcPr>
          <w:p w14:paraId="21339DD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1、医疗文书管理</w:t>
            </w:r>
            <w:r>
              <w:rPr>
                <w:rFonts w:hint="eastAsia" w:ascii="宋体" w:hAnsi="宋体" w:eastAsia="宋体"/>
                <w:color w:val="auto"/>
                <w:highlight w:val="none"/>
              </w:rPr>
              <w:br w:type="textWrapping"/>
            </w:r>
            <w:r>
              <w:rPr>
                <w:rFonts w:hint="eastAsia" w:ascii="宋体" w:hAnsi="宋体" w:eastAsia="宋体"/>
                <w:color w:val="auto"/>
                <w:highlight w:val="none"/>
              </w:rPr>
              <w:t>（1）提供专科化、结构化急诊医疗文书管理模式</w:t>
            </w:r>
            <w:r>
              <w:rPr>
                <w:rFonts w:hint="eastAsia" w:ascii="宋体" w:hAnsi="宋体" w:eastAsia="宋体"/>
                <w:color w:val="auto"/>
                <w:highlight w:val="none"/>
              </w:rPr>
              <w:br w:type="textWrapping"/>
            </w:r>
            <w:r>
              <w:rPr>
                <w:rFonts w:hint="eastAsia" w:ascii="宋体" w:hAnsi="宋体" w:eastAsia="宋体"/>
                <w:color w:val="auto"/>
                <w:highlight w:val="none"/>
              </w:rPr>
              <w:t>（2） 医疗文档记录包括急诊入科记录、病程记录、特殊操作记录、患者谈话记录、诊疗知情同意书；</w:t>
            </w:r>
            <w:r>
              <w:rPr>
                <w:rFonts w:hint="eastAsia" w:ascii="宋体" w:hAnsi="宋体" w:eastAsia="宋体"/>
                <w:color w:val="auto"/>
                <w:highlight w:val="none"/>
              </w:rPr>
              <w:br w:type="textWrapping"/>
            </w:r>
            <w:r>
              <w:rPr>
                <w:rFonts w:hint="eastAsia" w:ascii="宋体" w:hAnsi="宋体" w:eastAsia="宋体"/>
                <w:color w:val="auto"/>
                <w:highlight w:val="none"/>
              </w:rPr>
              <w:t>（3）提供编辑、浏览急诊科医疗文书；</w:t>
            </w:r>
            <w:r>
              <w:rPr>
                <w:rFonts w:hint="eastAsia" w:ascii="宋体" w:hAnsi="宋体" w:eastAsia="宋体"/>
                <w:color w:val="auto"/>
                <w:highlight w:val="none"/>
              </w:rPr>
              <w:br w:type="textWrapping"/>
            </w:r>
            <w:r>
              <w:rPr>
                <w:rFonts w:hint="eastAsia" w:ascii="宋体" w:hAnsi="宋体" w:eastAsia="宋体"/>
                <w:color w:val="auto"/>
                <w:highlight w:val="none"/>
              </w:rPr>
              <w:t>（4） 提供在病历概览界面呈现当前患者已书写的医疗病历记录；</w:t>
            </w:r>
            <w:r>
              <w:rPr>
                <w:rFonts w:hint="eastAsia" w:ascii="宋体" w:hAnsi="宋体" w:eastAsia="宋体"/>
                <w:color w:val="auto"/>
                <w:highlight w:val="none"/>
              </w:rPr>
              <w:br w:type="textWrapping"/>
            </w:r>
            <w:r>
              <w:rPr>
                <w:rFonts w:hint="eastAsia" w:ascii="宋体" w:hAnsi="宋体" w:eastAsia="宋体"/>
                <w:color w:val="auto"/>
                <w:highlight w:val="none"/>
              </w:rPr>
              <w:t>（5）提供根据左侧树形控件的病历类型，为当前患者创建对应病历；</w:t>
            </w:r>
            <w:r>
              <w:rPr>
                <w:rFonts w:hint="eastAsia" w:ascii="宋体" w:hAnsi="宋体" w:eastAsia="宋体"/>
                <w:color w:val="auto"/>
                <w:highlight w:val="none"/>
              </w:rPr>
              <w:br w:type="textWrapping"/>
            </w:r>
            <w:r>
              <w:rPr>
                <w:rFonts w:hint="eastAsia" w:ascii="宋体" w:hAnsi="宋体" w:eastAsia="宋体"/>
                <w:color w:val="auto"/>
                <w:highlight w:val="none"/>
              </w:rPr>
              <w:t>（6）提供各个类型的病历模板制作。</w:t>
            </w:r>
            <w:r>
              <w:rPr>
                <w:rFonts w:hint="eastAsia" w:ascii="宋体" w:hAnsi="宋体" w:eastAsia="宋体"/>
                <w:color w:val="auto"/>
                <w:highlight w:val="none"/>
              </w:rPr>
              <w:br w:type="textWrapping"/>
            </w:r>
            <w:r>
              <w:rPr>
                <w:rFonts w:hint="eastAsia" w:ascii="宋体" w:hAnsi="宋体" w:eastAsia="宋体"/>
                <w:color w:val="auto"/>
                <w:highlight w:val="none"/>
              </w:rPr>
              <w:t>（7）提供病历文书的预览、打印、重打功能</w:t>
            </w:r>
            <w:r>
              <w:rPr>
                <w:rFonts w:hint="eastAsia" w:ascii="宋体" w:hAnsi="宋体" w:eastAsia="宋体"/>
                <w:color w:val="auto"/>
                <w:highlight w:val="none"/>
              </w:rPr>
              <w:br w:type="textWrapping"/>
            </w:r>
            <w:r>
              <w:rPr>
                <w:rFonts w:hint="eastAsia" w:ascii="宋体" w:hAnsi="宋体" w:eastAsia="宋体"/>
                <w:color w:val="auto"/>
                <w:highlight w:val="none"/>
              </w:rPr>
              <w:t xml:space="preserve">  1）历史浏览：提供患者历史病历文书浏览；</w:t>
            </w:r>
            <w:r>
              <w:rPr>
                <w:rFonts w:hint="eastAsia" w:ascii="宋体" w:hAnsi="宋体" w:eastAsia="宋体"/>
                <w:color w:val="auto"/>
                <w:highlight w:val="none"/>
              </w:rPr>
              <w:br w:type="textWrapping"/>
            </w:r>
            <w:r>
              <w:rPr>
                <w:rFonts w:hint="eastAsia" w:ascii="宋体" w:hAnsi="宋体" w:eastAsia="宋体"/>
                <w:color w:val="auto"/>
                <w:highlight w:val="none"/>
              </w:rPr>
              <w:t xml:space="preserve">  2）模板管理：</w:t>
            </w:r>
            <w:r>
              <w:rPr>
                <w:rFonts w:hint="eastAsia" w:ascii="宋体" w:hAnsi="宋体" w:eastAsia="宋体"/>
                <w:color w:val="auto"/>
                <w:highlight w:val="none"/>
              </w:rPr>
              <w:br w:type="textWrapping"/>
            </w:r>
            <w:r>
              <w:rPr>
                <w:rFonts w:hint="eastAsia" w:ascii="宋体" w:hAnsi="宋体" w:eastAsia="宋体"/>
                <w:color w:val="auto"/>
                <w:highlight w:val="none"/>
              </w:rPr>
              <w:t>1.提供在各病历类型模板的基础上，医生可根据其模板内容录入诊疗内容；</w:t>
            </w:r>
            <w:r>
              <w:rPr>
                <w:rFonts w:hint="eastAsia" w:ascii="宋体" w:hAnsi="宋体" w:eastAsia="宋体"/>
                <w:color w:val="auto"/>
                <w:highlight w:val="none"/>
              </w:rPr>
              <w:br w:type="textWrapping"/>
            </w:r>
            <w:r>
              <w:rPr>
                <w:rFonts w:hint="eastAsia" w:ascii="宋体" w:hAnsi="宋体" w:eastAsia="宋体"/>
                <w:color w:val="auto"/>
                <w:highlight w:val="none"/>
              </w:rPr>
              <w:t>2.提供病历另存为模板功能，支持全院、全科、个人三级模板管理；</w:t>
            </w:r>
            <w:r>
              <w:rPr>
                <w:rFonts w:hint="eastAsia" w:ascii="宋体" w:hAnsi="宋体" w:eastAsia="宋体"/>
                <w:color w:val="auto"/>
                <w:highlight w:val="none"/>
              </w:rPr>
              <w:br w:type="textWrapping"/>
            </w:r>
            <w:r>
              <w:rPr>
                <w:rFonts w:hint="eastAsia" w:ascii="宋体" w:hAnsi="宋体" w:eastAsia="宋体"/>
                <w:color w:val="auto"/>
                <w:highlight w:val="none"/>
              </w:rPr>
              <w:t>3.纸质模板自定义，可培训信息科及其他相关人员制作模板工具；</w:t>
            </w:r>
            <w:r>
              <w:rPr>
                <w:rFonts w:hint="eastAsia" w:ascii="宋体" w:hAnsi="宋体" w:eastAsia="宋体"/>
                <w:color w:val="auto"/>
                <w:highlight w:val="none"/>
              </w:rPr>
              <w:br w:type="textWrapping"/>
            </w:r>
            <w:r>
              <w:rPr>
                <w:rFonts w:hint="eastAsia" w:ascii="宋体" w:hAnsi="宋体" w:eastAsia="宋体"/>
                <w:color w:val="auto"/>
                <w:highlight w:val="none"/>
              </w:rPr>
              <w:t>4.导入功能：提供导入急诊患者的检查、检验、生命体征、医嘱信息记录至当前患者的医疗文书中；检验检查结果导入。</w:t>
            </w:r>
          </w:p>
        </w:tc>
      </w:tr>
      <w:tr w14:paraId="0B915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66" w:type="dxa"/>
            <w:shd w:val="clear" w:color="auto" w:fill="FFFFFF"/>
            <w:noWrap/>
            <w:vAlign w:val="center"/>
          </w:tcPr>
          <w:p w14:paraId="1E8D266D">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急诊护士工作站</w:t>
            </w:r>
          </w:p>
        </w:tc>
        <w:tc>
          <w:tcPr>
            <w:tcW w:w="8020" w:type="dxa"/>
            <w:shd w:val="clear" w:color="auto" w:fill="FFFFFF"/>
            <w:noWrap/>
            <w:vAlign w:val="center"/>
          </w:tcPr>
          <w:p w14:paraId="14F20E8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1、分区一览：根据患者挂号信息、预检分诊信息，实现对急诊各分区的停滞患者的信息一览；</w:t>
            </w:r>
          </w:p>
          <w:p w14:paraId="3663CD0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2、患者索引：持检索当前患者在本院的历次就诊记录，涵盖住院、门诊记录；</w:t>
            </w:r>
          </w:p>
          <w:p w14:paraId="7AAB328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3、医嘱浏览</w:t>
            </w:r>
          </w:p>
          <w:p w14:paraId="7A12808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（1）提供浏览急诊科患者本次急诊诊疗过程中所有的医嘱项目；</w:t>
            </w:r>
          </w:p>
          <w:p w14:paraId="764F00D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（2）提供按医嘱类型、医嘱开立时间过滤当前患者医嘱单；</w:t>
            </w:r>
          </w:p>
          <w:p w14:paraId="0E5445B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（3）提供各类型医嘱单打印与重打功能；</w:t>
            </w:r>
          </w:p>
          <w:p w14:paraId="2528F2F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4、医嘱执行</w:t>
            </w:r>
          </w:p>
          <w:p w14:paraId="3D2AE17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（1）提供医嘱浏览功能；</w:t>
            </w:r>
          </w:p>
          <w:p w14:paraId="6B238E3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（2）支持留观室医生开立医嘱完毕后，实现医嘱对应的费用信息发送至收费室以支持收费系统进行缴费，医嘱对应的药品信息发送至急诊药房以支持药房系统进行取（配）药；</w:t>
            </w:r>
          </w:p>
          <w:p w14:paraId="39DAAD3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（3）提供输液单打印与重打；</w:t>
            </w:r>
          </w:p>
          <w:p w14:paraId="1CF15CF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（4）未执行医嘱有弹窗提醒。</w:t>
            </w:r>
          </w:p>
          <w:p w14:paraId="2BA4F21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5、标签打印：提供医嘱执行标签的打印。</w:t>
            </w:r>
          </w:p>
          <w:p w14:paraId="57D4EC5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6、计价处理</w:t>
            </w:r>
          </w:p>
          <w:p w14:paraId="4E99477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（1）支持费用录入，支持高值耗材费用录入；</w:t>
            </w:r>
          </w:p>
          <w:p w14:paraId="49E139C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（2）提供对对结算前患者进行手工划价和费用审核功能。</w:t>
            </w:r>
          </w:p>
          <w:p w14:paraId="5C64E6C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7、患者管理</w:t>
            </w:r>
          </w:p>
          <w:p w14:paraId="58DF18E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（1）提供床位分配功能；</w:t>
            </w:r>
          </w:p>
          <w:p w14:paraId="13D542F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（2）提供留抢登记功能；</w:t>
            </w:r>
          </w:p>
          <w:p w14:paraId="20C87E5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（3）提供离抢登记功能。</w:t>
            </w:r>
          </w:p>
        </w:tc>
      </w:tr>
      <w:tr w14:paraId="4FEA1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66" w:type="dxa"/>
            <w:shd w:val="clear" w:color="auto" w:fill="FFFFFF"/>
            <w:noWrap/>
            <w:vAlign w:val="center"/>
          </w:tcPr>
          <w:p w14:paraId="201A748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急诊护理文书系统</w:t>
            </w:r>
          </w:p>
        </w:tc>
        <w:tc>
          <w:tcPr>
            <w:tcW w:w="8020" w:type="dxa"/>
            <w:shd w:val="clear" w:color="auto" w:fill="FFFFFF"/>
            <w:noWrap/>
            <w:vAlign w:val="center"/>
          </w:tcPr>
          <w:p w14:paraId="6F00972B">
            <w:pPr>
              <w:numPr>
                <w:ilvl w:val="0"/>
                <w:numId w:val="16"/>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体温单</w:t>
            </w:r>
            <w:r>
              <w:rPr>
                <w:rFonts w:hint="eastAsia" w:ascii="宋体" w:hAnsi="宋体" w:eastAsia="宋体"/>
                <w:color w:val="auto"/>
                <w:highlight w:val="none"/>
              </w:rPr>
              <w:br w:type="textWrapping"/>
            </w:r>
            <w:r>
              <w:rPr>
                <w:rFonts w:hint="eastAsia" w:ascii="宋体" w:hAnsi="宋体" w:eastAsia="宋体"/>
                <w:color w:val="auto"/>
                <w:highlight w:val="none"/>
              </w:rPr>
              <w:t>（1）提供方便的录入界面，能够录入体温、脉搏、呼吸、出入量等基本体征信息，并可自动统计出入量；</w:t>
            </w:r>
            <w:r>
              <w:rPr>
                <w:rFonts w:hint="eastAsia" w:ascii="宋体" w:hAnsi="宋体" w:eastAsia="宋体"/>
                <w:color w:val="auto"/>
                <w:highlight w:val="none"/>
              </w:rPr>
              <w:br w:type="textWrapping"/>
            </w:r>
            <w:r>
              <w:rPr>
                <w:rFonts w:hint="eastAsia" w:ascii="宋体" w:hAnsi="宋体" w:eastAsia="宋体"/>
                <w:color w:val="auto"/>
                <w:highlight w:val="none"/>
              </w:rPr>
              <w:t>（2）全自动生成三测单，并支持彩色、黑白两种打印模式，自动生成体温曲线；</w:t>
            </w:r>
            <w:r>
              <w:rPr>
                <w:rFonts w:hint="eastAsia" w:ascii="宋体" w:hAnsi="宋体" w:eastAsia="宋体"/>
                <w:color w:val="auto"/>
                <w:highlight w:val="none"/>
              </w:rPr>
              <w:br w:type="textWrapping"/>
            </w:r>
            <w:r>
              <w:rPr>
                <w:rFonts w:hint="eastAsia" w:ascii="宋体" w:hAnsi="宋体" w:eastAsia="宋体"/>
                <w:color w:val="auto"/>
                <w:highlight w:val="none"/>
              </w:rPr>
              <w:t>（3）自动获取打印病人入院、出院、假出院（请假）、周末度假、转院、死亡、返院等相关信息；</w:t>
            </w:r>
            <w:r>
              <w:rPr>
                <w:rFonts w:hint="eastAsia" w:ascii="宋体" w:hAnsi="宋体" w:eastAsia="宋体"/>
                <w:color w:val="auto"/>
                <w:highlight w:val="none"/>
              </w:rPr>
              <w:br w:type="textWrapping"/>
            </w:r>
            <w:r>
              <w:rPr>
                <w:rFonts w:hint="eastAsia" w:ascii="宋体" w:hAnsi="宋体" w:eastAsia="宋体"/>
                <w:color w:val="auto"/>
                <w:highlight w:val="none"/>
              </w:rPr>
              <w:t>（4）支持根据科室情况自定义体温单样式。</w:t>
            </w:r>
            <w:r>
              <w:rPr>
                <w:rFonts w:hint="eastAsia" w:ascii="宋体" w:hAnsi="宋体" w:eastAsia="宋体"/>
                <w:color w:val="auto"/>
                <w:highlight w:val="none"/>
              </w:rPr>
              <w:br w:type="textWrapping"/>
            </w:r>
            <w:r>
              <w:rPr>
                <w:rFonts w:hint="eastAsia" w:ascii="宋体" w:hAnsi="宋体" w:eastAsia="宋体"/>
                <w:color w:val="auto"/>
                <w:highlight w:val="none"/>
              </w:rPr>
              <w:t>2、生命体征记录单</w:t>
            </w:r>
            <w:r>
              <w:rPr>
                <w:rFonts w:hint="eastAsia" w:ascii="宋体" w:hAnsi="宋体" w:eastAsia="宋体"/>
                <w:color w:val="auto"/>
                <w:highlight w:val="none"/>
              </w:rPr>
              <w:br w:type="textWrapping"/>
            </w:r>
            <w:r>
              <w:rPr>
                <w:rFonts w:hint="eastAsia" w:ascii="宋体" w:hAnsi="宋体" w:eastAsia="宋体"/>
                <w:color w:val="auto"/>
                <w:highlight w:val="none"/>
              </w:rPr>
              <w:t>（1）能够录入和显示体温、脉搏、呼吸、脉氧、血压、神志、血糖、瞳孔大小、瞳孔反映等体征值；</w:t>
            </w:r>
            <w:r>
              <w:rPr>
                <w:rFonts w:hint="eastAsia" w:ascii="宋体" w:hAnsi="宋体" w:eastAsia="宋体"/>
                <w:color w:val="auto"/>
                <w:highlight w:val="none"/>
              </w:rPr>
              <w:br w:type="textWrapping"/>
            </w:r>
            <w:r>
              <w:rPr>
                <w:rFonts w:hint="eastAsia" w:ascii="宋体" w:hAnsi="宋体" w:eastAsia="宋体"/>
                <w:color w:val="auto"/>
                <w:highlight w:val="none"/>
              </w:rPr>
              <w:t>（2）可根据科室情况自定义需要显示的体征项目，自动生成相应的生命体征记录。</w:t>
            </w:r>
            <w:r>
              <w:rPr>
                <w:rFonts w:hint="eastAsia" w:ascii="宋体" w:hAnsi="宋体" w:eastAsia="宋体"/>
                <w:color w:val="auto"/>
                <w:highlight w:val="none"/>
              </w:rPr>
              <w:br w:type="textWrapping"/>
            </w:r>
            <w:r>
              <w:rPr>
                <w:rFonts w:hint="eastAsia" w:ascii="宋体" w:hAnsi="宋体" w:eastAsia="宋体"/>
                <w:color w:val="auto"/>
                <w:highlight w:val="none"/>
              </w:rPr>
              <w:t>3、出入量记录单</w:t>
            </w:r>
            <w:r>
              <w:rPr>
                <w:rFonts w:hint="eastAsia" w:ascii="宋体" w:hAnsi="宋体" w:eastAsia="宋体"/>
                <w:color w:val="auto"/>
                <w:highlight w:val="none"/>
              </w:rPr>
              <w:br w:type="textWrapping"/>
            </w:r>
            <w:r>
              <w:rPr>
                <w:rFonts w:hint="eastAsia" w:ascii="宋体" w:hAnsi="宋体" w:eastAsia="宋体"/>
                <w:color w:val="auto"/>
                <w:highlight w:val="none"/>
              </w:rPr>
              <w:t>（1）能够录入、显示病人出入量记录；</w:t>
            </w:r>
            <w:r>
              <w:rPr>
                <w:rFonts w:hint="eastAsia" w:ascii="宋体" w:hAnsi="宋体" w:eastAsia="宋体"/>
                <w:color w:val="auto"/>
                <w:highlight w:val="none"/>
              </w:rPr>
              <w:br w:type="textWrapping"/>
            </w:r>
            <w:r>
              <w:rPr>
                <w:rFonts w:hint="eastAsia" w:ascii="宋体" w:hAnsi="宋体" w:eastAsia="宋体"/>
                <w:color w:val="auto"/>
                <w:highlight w:val="none"/>
              </w:rPr>
              <w:t>（2）能够提取输液类医嘱，并记入出入量；</w:t>
            </w:r>
            <w:r>
              <w:rPr>
                <w:rFonts w:hint="eastAsia" w:ascii="宋体" w:hAnsi="宋体" w:eastAsia="宋体"/>
                <w:color w:val="auto"/>
                <w:highlight w:val="none"/>
              </w:rPr>
              <w:br w:type="textWrapping"/>
            </w:r>
            <w:r>
              <w:rPr>
                <w:rFonts w:hint="eastAsia" w:ascii="宋体" w:hAnsi="宋体" w:eastAsia="宋体"/>
                <w:color w:val="auto"/>
                <w:highlight w:val="none"/>
              </w:rPr>
              <w:t>（3）可自动对出入量进行12小时小结及24小时总结统计。</w:t>
            </w:r>
            <w:r>
              <w:rPr>
                <w:rFonts w:hint="eastAsia" w:ascii="宋体" w:hAnsi="宋体" w:eastAsia="宋体"/>
                <w:color w:val="auto"/>
                <w:highlight w:val="none"/>
              </w:rPr>
              <w:br w:type="textWrapping"/>
            </w:r>
            <w:r>
              <w:rPr>
                <w:rFonts w:hint="eastAsia" w:ascii="宋体" w:hAnsi="宋体" w:eastAsia="宋体"/>
                <w:color w:val="auto"/>
                <w:highlight w:val="none"/>
              </w:rPr>
              <w:t>4、入院评估单</w:t>
            </w:r>
            <w:r>
              <w:rPr>
                <w:rFonts w:hint="eastAsia" w:ascii="宋体" w:hAnsi="宋体" w:eastAsia="宋体"/>
                <w:color w:val="auto"/>
                <w:highlight w:val="none"/>
              </w:rPr>
              <w:br w:type="textWrapping"/>
            </w:r>
            <w:r>
              <w:rPr>
                <w:rFonts w:hint="eastAsia" w:ascii="宋体" w:hAnsi="宋体" w:eastAsia="宋体"/>
                <w:color w:val="auto"/>
                <w:highlight w:val="none"/>
              </w:rPr>
              <w:t>（1）能够录入、显示病人入院评估相关信息；</w:t>
            </w:r>
            <w:r>
              <w:rPr>
                <w:rFonts w:hint="eastAsia" w:ascii="宋体" w:hAnsi="宋体" w:eastAsia="宋体"/>
                <w:color w:val="auto"/>
                <w:highlight w:val="none"/>
              </w:rPr>
              <w:br w:type="textWrapping"/>
            </w:r>
            <w:r>
              <w:rPr>
                <w:rFonts w:hint="eastAsia" w:ascii="宋体" w:hAnsi="宋体" w:eastAsia="宋体"/>
                <w:color w:val="auto"/>
                <w:highlight w:val="none"/>
              </w:rPr>
              <w:t>（2）可根据科室情况自定义评估项目。</w:t>
            </w:r>
            <w:r>
              <w:rPr>
                <w:rFonts w:hint="eastAsia" w:ascii="宋体" w:hAnsi="宋体" w:eastAsia="宋体"/>
                <w:color w:val="auto"/>
                <w:highlight w:val="none"/>
              </w:rPr>
              <w:br w:type="textWrapping"/>
            </w:r>
            <w:r>
              <w:rPr>
                <w:rFonts w:hint="eastAsia" w:ascii="宋体" w:hAnsi="宋体" w:eastAsia="宋体"/>
                <w:color w:val="auto"/>
                <w:highlight w:val="none"/>
              </w:rPr>
              <w:t>5、日常评估、护理评估、护理措施、护理记录</w:t>
            </w:r>
            <w:r>
              <w:rPr>
                <w:rFonts w:hint="eastAsia" w:ascii="宋体" w:hAnsi="宋体" w:eastAsia="宋体"/>
                <w:color w:val="auto"/>
                <w:highlight w:val="none"/>
              </w:rPr>
              <w:br w:type="textWrapping"/>
            </w:r>
            <w:r>
              <w:rPr>
                <w:rFonts w:hint="eastAsia" w:ascii="宋体" w:hAnsi="宋体" w:eastAsia="宋体"/>
                <w:color w:val="auto"/>
                <w:highlight w:val="none"/>
              </w:rPr>
              <w:t>（1）提供统一的操作界面，能够录入、显示病人病情及相关护理措施内容，提供自动进行相关量化统计及评分工具；</w:t>
            </w:r>
            <w:r>
              <w:rPr>
                <w:rFonts w:hint="eastAsia" w:ascii="宋体" w:hAnsi="宋体" w:eastAsia="宋体"/>
                <w:color w:val="auto"/>
                <w:highlight w:val="none"/>
              </w:rPr>
              <w:br w:type="textWrapping"/>
            </w:r>
            <w:r>
              <w:rPr>
                <w:rFonts w:hint="eastAsia" w:ascii="宋体" w:hAnsi="宋体" w:eastAsia="宋体"/>
                <w:color w:val="auto"/>
                <w:highlight w:val="none"/>
              </w:rPr>
              <w:t>（2）能够记录患者病情的主、客观因素及相关评估内容，记录执行相应的护理措施；</w:t>
            </w:r>
          </w:p>
          <w:p w14:paraId="6CE2C356">
            <w:pPr>
              <w:numPr>
                <w:ilvl w:val="0"/>
                <w:numId w:val="17"/>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评估项目、病情及护理措施用户自定义模板功能，方便用户选择输入。评估项目可分为常规项目评估和专科系统评估两大类。常规项目评估包含：安全评估、压疮危险因素评估、皮肤粘膜评估和管道评估；专科系统评估包含：心血管系统、呼吸系统、消化系统、神经系统、远动系统、生殖泌尿系统、心理社会、外科手术相关等；</w:t>
            </w:r>
          </w:p>
          <w:p w14:paraId="2C2FC7B6">
            <w:pPr>
              <w:numPr>
                <w:ilvl w:val="0"/>
                <w:numId w:val="17"/>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支持压疮风险评估，能针对病人生理状况、营养状况、浮肿、神志、压疮、感觉运动、大便失禁、小便失禁、强迫体位、长期卧床、多汗等压疮风险进行评估，支持评估项目可配置；</w:t>
            </w:r>
          </w:p>
          <w:p w14:paraId="0B55B7AB">
            <w:pPr>
              <w:numPr>
                <w:ilvl w:val="0"/>
                <w:numId w:val="17"/>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支持患者跌倒/坠床评估监控，能针对患者生理、行为、紊乱、神志、四肢活动、药物等情况进行住院患者跌倒/坠床评估、评分，自动统计评估总分；</w:t>
            </w:r>
          </w:p>
          <w:p w14:paraId="1F7B12DF">
            <w:pPr>
              <w:numPr>
                <w:ilvl w:val="0"/>
                <w:numId w:val="17"/>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自动生成护理记录单，可根据科室自定义记录单表单样式；</w:t>
            </w:r>
          </w:p>
          <w:p w14:paraId="4EC87EA5">
            <w:pPr>
              <w:numPr>
                <w:ilvl w:val="0"/>
                <w:numId w:val="17"/>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评估过程中发生须上报时间时，通过系统集成，实现实时上报质量问题、意外事件信息给相关质控部门、护理部管理部门的信息系统。</w:t>
            </w:r>
            <w:r>
              <w:rPr>
                <w:rFonts w:hint="eastAsia" w:ascii="宋体" w:hAnsi="宋体" w:eastAsia="宋体"/>
                <w:color w:val="auto"/>
                <w:highlight w:val="none"/>
              </w:rPr>
              <w:br w:type="textWrapping"/>
            </w:r>
            <w:r>
              <w:rPr>
                <w:rFonts w:hint="eastAsia" w:ascii="宋体" w:hAnsi="宋体" w:eastAsia="宋体"/>
                <w:color w:val="auto"/>
                <w:highlight w:val="none"/>
              </w:rPr>
              <w:t>6、护理健康宣教表</w:t>
            </w:r>
            <w:r>
              <w:rPr>
                <w:rFonts w:hint="eastAsia" w:ascii="宋体" w:hAnsi="宋体" w:eastAsia="宋体"/>
                <w:color w:val="auto"/>
                <w:highlight w:val="none"/>
              </w:rPr>
              <w:br w:type="textWrapping"/>
            </w:r>
            <w:r>
              <w:rPr>
                <w:rFonts w:hint="eastAsia" w:ascii="宋体" w:hAnsi="宋体" w:eastAsia="宋体"/>
                <w:color w:val="auto"/>
                <w:highlight w:val="none"/>
              </w:rPr>
              <w:t>（1）能够记录、显示护理人员针对病人进行疾病知识、安全、睡眠、饮食、排泄、药物、治疗、特殊检查、异常检查结果、康复、节前宣教等各方面的健康宣教的记录。</w:t>
            </w:r>
            <w:r>
              <w:rPr>
                <w:rFonts w:hint="eastAsia" w:ascii="宋体" w:hAnsi="宋体" w:eastAsia="宋体"/>
                <w:color w:val="auto"/>
                <w:highlight w:val="none"/>
              </w:rPr>
              <w:br w:type="textWrapping"/>
            </w:r>
            <w:r>
              <w:rPr>
                <w:rFonts w:hint="eastAsia" w:ascii="宋体" w:hAnsi="宋体" w:eastAsia="宋体"/>
                <w:color w:val="auto"/>
                <w:highlight w:val="none"/>
              </w:rPr>
              <w:t>7、病区护理交班簿</w:t>
            </w:r>
            <w:r>
              <w:rPr>
                <w:rFonts w:hint="eastAsia" w:ascii="宋体" w:hAnsi="宋体" w:eastAsia="宋体"/>
                <w:color w:val="auto"/>
                <w:highlight w:val="none"/>
              </w:rPr>
              <w:br w:type="textWrapping"/>
            </w:r>
            <w:r>
              <w:rPr>
                <w:rFonts w:hint="eastAsia" w:ascii="宋体" w:hAnsi="宋体" w:eastAsia="宋体"/>
                <w:color w:val="auto"/>
                <w:highlight w:val="none"/>
              </w:rPr>
              <w:t>（1）能够自动提取统计病区入院、返院、出院、假出院病人情况；</w:t>
            </w:r>
          </w:p>
          <w:p w14:paraId="3BB80E79">
            <w:pPr>
              <w:numPr>
                <w:ilvl w:val="0"/>
                <w:numId w:val="18"/>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能够自动提取统计I级、II级、I级改II级、II级改I级、转床病人情况；</w:t>
            </w:r>
          </w:p>
          <w:p w14:paraId="6FF4857C">
            <w:pPr>
              <w:numPr>
                <w:ilvl w:val="0"/>
                <w:numId w:val="18"/>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能够记录病区今日、明日记事情况；支持病区今日记事、明日记事模板功能；</w:t>
            </w:r>
          </w:p>
          <w:p w14:paraId="373DA02F">
            <w:pPr>
              <w:numPr>
                <w:ilvl w:val="0"/>
                <w:numId w:val="18"/>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能够记录病区日班、小夜班、大夜班病人病情变化、治疗、护理情况；</w:t>
            </w:r>
          </w:p>
          <w:p w14:paraId="4AD43CA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8、急诊文书与病区文书可共享。</w:t>
            </w:r>
          </w:p>
        </w:tc>
      </w:tr>
    </w:tbl>
    <w:p w14:paraId="2058B445">
      <w:pPr>
        <w:pStyle w:val="4"/>
        <w:spacing w:line="360" w:lineRule="auto"/>
        <w:rPr>
          <w:rFonts w:ascii="宋体" w:hAnsi="宋体" w:eastAsia="宋体"/>
          <w:color w:val="auto"/>
          <w:highlight w:val="none"/>
        </w:rPr>
      </w:pPr>
      <w:r>
        <w:rPr>
          <w:rFonts w:hint="eastAsia" w:ascii="宋体" w:hAnsi="宋体" w:eastAsia="宋体"/>
          <w:color w:val="auto"/>
          <w:highlight w:val="none"/>
        </w:rPr>
        <w:t>住院业务系统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254"/>
        <w:gridCol w:w="8032"/>
      </w:tblGrid>
      <w:tr w14:paraId="659C6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22" w:hRule="atLeast"/>
          <w:jc w:val="center"/>
        </w:trPr>
        <w:tc>
          <w:tcPr>
            <w:tcW w:w="1254" w:type="dxa"/>
            <w:shd w:val="clear" w:color="auto" w:fill="FFFFFF"/>
            <w:noWrap/>
            <w:vAlign w:val="center"/>
          </w:tcPr>
          <w:p w14:paraId="7106AD1B">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系统名称</w:t>
            </w:r>
          </w:p>
        </w:tc>
        <w:tc>
          <w:tcPr>
            <w:tcW w:w="8032" w:type="dxa"/>
            <w:shd w:val="clear" w:color="auto" w:fill="FFFFFF"/>
            <w:noWrap/>
            <w:vAlign w:val="center"/>
          </w:tcPr>
          <w:p w14:paraId="5D89C4A3">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技术参数要求</w:t>
            </w:r>
          </w:p>
        </w:tc>
      </w:tr>
      <w:tr w14:paraId="0739F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2E7EB8ED">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出入院管理</w:t>
            </w:r>
          </w:p>
        </w:tc>
        <w:tc>
          <w:tcPr>
            <w:tcW w:w="8032" w:type="dxa"/>
            <w:shd w:val="clear" w:color="auto" w:fill="FFFFFF"/>
            <w:noWrap/>
            <w:vAlign w:val="center"/>
          </w:tcPr>
          <w:p w14:paraId="4073FDF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1、支持患者ID、病案号、医保卡号、身份证等多种方式检索患者信息及历史信息，对患者主信息有自动查重功能并可以根据要求设置查重条件；</w:t>
            </w:r>
          </w:p>
          <w:p w14:paraId="4936CC8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2、提供ID合并和拆分功能并有记录；</w:t>
            </w:r>
          </w:p>
          <w:p w14:paraId="782ACBD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3、支持虚拟病区的维护管理；</w:t>
            </w:r>
          </w:p>
          <w:p w14:paraId="03D8CB0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4、支持不同医保、不同身份患者的入院流程规则的设置功能；</w:t>
            </w:r>
          </w:p>
          <w:p w14:paraId="0D08E35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5、支持不同渠道交款，微信、支付宝、银联卡、现金等交款模式；</w:t>
            </w:r>
          </w:p>
          <w:p w14:paraId="1A07AA0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6、支持出院召回、入科取消等回退操作；</w:t>
            </w:r>
          </w:p>
          <w:p w14:paraId="01860C8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7、支持入出转统计日报、月报等相关统计报表；</w:t>
            </w:r>
          </w:p>
          <w:p w14:paraId="68D2EA7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8、支持查看待入、待出、待转患者列表。</w:t>
            </w:r>
          </w:p>
        </w:tc>
      </w:tr>
      <w:tr w14:paraId="7BF83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33B2B38E">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住院收费管理系统</w:t>
            </w:r>
          </w:p>
        </w:tc>
        <w:tc>
          <w:tcPr>
            <w:tcW w:w="8032" w:type="dxa"/>
            <w:shd w:val="clear" w:color="auto" w:fill="FFFFFF"/>
            <w:noWrap/>
            <w:vAlign w:val="center"/>
          </w:tcPr>
          <w:p w14:paraId="27C521B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住院收费管理系统需满足以下功能要求：</w:t>
            </w:r>
          </w:p>
          <w:p w14:paraId="211F4C6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1、支持多种价格管理，根据不同的客户身份，就诊类型，分别定价，对同一项目设置不同的价格；</w:t>
            </w:r>
            <w:r>
              <w:rPr>
                <w:rFonts w:hint="eastAsia" w:ascii="宋体" w:hAnsi="宋体" w:eastAsia="宋体" w:cs="宋体"/>
                <w:color w:val="auto"/>
                <w:highlight w:val="none"/>
              </w:rPr>
              <w:t>支持各时段批量调价；</w:t>
            </w:r>
            <w:r>
              <w:rPr>
                <w:rFonts w:hint="eastAsia" w:ascii="宋体" w:hAnsi="宋体" w:eastAsia="宋体"/>
                <w:color w:val="auto"/>
                <w:highlight w:val="none"/>
              </w:rPr>
              <w:t>（提供系统功能截图）</w:t>
            </w:r>
          </w:p>
          <w:p w14:paraId="2F3DEF6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2、支持费用对照，不同诊疗项目对应费用的对照，需包括按照数量加收和按照数量定价的多种对照方式；</w:t>
            </w:r>
          </w:p>
          <w:p w14:paraId="413EE5A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3、病人费用管理，例如费用录入，病人结账，费用查询，退费申请，退费确认等；</w:t>
            </w:r>
          </w:p>
          <w:p w14:paraId="6772873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4、支持银行卡、支付宝、微信等多种支付手段；</w:t>
            </w:r>
          </w:p>
          <w:p w14:paraId="6E93930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5、支持商业保险报销管理，支持与第三方商业保险系统接口对接；</w:t>
            </w:r>
          </w:p>
          <w:p w14:paraId="7E224CC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6、支持住院财务管理：需包括日结、月结、季结、年结功能，住院财务分析；</w:t>
            </w:r>
          </w:p>
          <w:p w14:paraId="43E0AFF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7、支持住院收费科室工作量统计，月科室工作量统计，年科室工作量统计；</w:t>
            </w:r>
          </w:p>
          <w:p w14:paraId="58C7762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8、支持查询统计功能，包括药品、诊疗项目查询、科室收入统计、患者住院信息查询、病人查询、结算查询和住院发票查询；</w:t>
            </w:r>
          </w:p>
          <w:p w14:paraId="25049F2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9、支持按照不同患者设置预交金预警和控制消费提醒功能，支持对医保患者按照实际消费控制预警金额；</w:t>
            </w:r>
          </w:p>
          <w:p w14:paraId="4F0449D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10、支持绿色通道申请、审批、追溯、统计、三无患者登记等功能；</w:t>
            </w:r>
          </w:p>
          <w:p w14:paraId="58B1B03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11、支持各种打印功能；</w:t>
            </w:r>
          </w:p>
          <w:p w14:paraId="48408AF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12、支持医嘱费用划价和非医嘱费用补收；支持门急诊、住院医嘱执行确认以及取消执行等操作；支持个人/科室收费项目授权，个人/科室收费模板维护。</w:t>
            </w:r>
          </w:p>
        </w:tc>
      </w:tr>
      <w:tr w14:paraId="7F2BC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7BE3E46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住院医生工作站</w:t>
            </w:r>
          </w:p>
        </w:tc>
        <w:tc>
          <w:tcPr>
            <w:tcW w:w="8032" w:type="dxa"/>
            <w:shd w:val="clear" w:color="auto" w:fill="FFFFFF"/>
            <w:noWrap/>
            <w:vAlign w:val="center"/>
          </w:tcPr>
          <w:p w14:paraId="04ADF45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1、支持长期和临时医嘱的查询、录入和停止、作废等医嘱处理；</w:t>
            </w:r>
          </w:p>
          <w:p w14:paraId="2F01A69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医嘱包含检查、检验、处方、治疗处置、卫生材料、手术、护理、会诊、用血、转科、出院等。按照不同医嘱类型进行差别精细化处理，如用药完成完整的用药信息；检验医嘱注明检体、注意事项；检查医嘱检查部位、病情摘要等重要信息；手术完成申请及相关手术安排等；单独</w:t>
            </w:r>
            <w:r>
              <w:rPr>
                <w:rStyle w:val="70"/>
                <w:rFonts w:hint="eastAsia"/>
                <w:color w:val="auto"/>
                <w:highlight w:val="none"/>
              </w:rPr>
              <w:t>设置单病种和临床路径的医嘱管理</w:t>
            </w:r>
            <w:r>
              <w:rPr>
                <w:rFonts w:hint="eastAsia" w:ascii="宋体" w:hAnsi="宋体" w:eastAsia="宋体"/>
                <w:color w:val="auto"/>
                <w:highlight w:val="none"/>
              </w:rPr>
              <w:t>；（提供系统功能截图）</w:t>
            </w:r>
          </w:p>
          <w:p w14:paraId="494B934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3、支持维护手术对应等级；支持维护医生手术开立权限以及手术等级权限；支持根据科室、医生等纬度配置相对应能开立的手术；</w:t>
            </w:r>
          </w:p>
          <w:p w14:paraId="74E97EE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4、提供医嘱智能辅助，包括分类选取、患者既往医嘱查询和选入、常规医嘱、常用项目，医嘱组套、模板（包括医生私有模板）及相应编辑功能，常用项目可系统自动收集；</w:t>
            </w:r>
          </w:p>
          <w:p w14:paraId="3D0818B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5、提供处方点评，支持第三方临床知识库调用，可对药品剂量、药品相互作用、配伍禁忌、不良反应、适应症、禁忌症等进行监测和提醒；</w:t>
            </w:r>
          </w:p>
          <w:p w14:paraId="71ECDA8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6、提供医嘱执行情况、病床使用情况、处方、患者费用明细等查询；</w:t>
            </w:r>
          </w:p>
          <w:p w14:paraId="6E8ED98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7、支持患者关键信息、诊疗事件、医嘱执行信息的查看；</w:t>
            </w:r>
          </w:p>
          <w:p w14:paraId="033478B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8、支持医生按照国际疾病分类标准下达诊断；支持疾病编码、拼音、汉字等多重检索及模糊检索；支持临时科室常用诊断、自定义诊断下达；</w:t>
            </w:r>
          </w:p>
          <w:p w14:paraId="6D57F33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9、支持检验检查的申请、查询、取消和报告阅读等功能；</w:t>
            </w:r>
          </w:p>
          <w:p w14:paraId="263DA05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10、支持药品的退药、会诊流程、手术流程、用血流程和临床路径等闭环流程相关操作；</w:t>
            </w:r>
          </w:p>
          <w:p w14:paraId="128B740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11、支持抗生素、特殊用药治疗等的申请、审批流程；</w:t>
            </w:r>
          </w:p>
          <w:p w14:paraId="2917B8C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12、提供消息模块，接收并处理医务、会诊、危急值等消息；（提供系统功能截图）</w:t>
            </w:r>
          </w:p>
          <w:p w14:paraId="7ED173F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13、医生交接班管理模块；</w:t>
            </w:r>
          </w:p>
          <w:p w14:paraId="6B66E55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14、提供医生权限管理，如部门、等级、功能等；</w:t>
            </w:r>
          </w:p>
          <w:p w14:paraId="51E3E30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15、可查看护理文书；</w:t>
            </w:r>
          </w:p>
          <w:p w14:paraId="066F77E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16、支持母婴病案号独立，医嘱独立开立，医嘱费用分离；支持产科至新生儿科转科、取消转科，支持新生儿独立床卡；</w:t>
            </w:r>
          </w:p>
          <w:p w14:paraId="3F8D396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17、支持平会诊、急会诊、全院学科会诊、指定医生会诊；支持会诊闭环数据展示；支持电子会诊（包含申请发送、接受、确认、书写等功能）。</w:t>
            </w:r>
          </w:p>
        </w:tc>
      </w:tr>
      <w:tr w14:paraId="43D25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0859D077">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住院医生文书系统</w:t>
            </w:r>
          </w:p>
        </w:tc>
        <w:tc>
          <w:tcPr>
            <w:tcW w:w="8032" w:type="dxa"/>
            <w:shd w:val="clear" w:color="auto" w:fill="FFFFFF"/>
            <w:noWrap/>
            <w:vAlign w:val="center"/>
          </w:tcPr>
          <w:p w14:paraId="5222DE5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1、支持结构化电子病历，结构化存储，支持用户定制；</w:t>
            </w:r>
          </w:p>
          <w:p w14:paraId="68B057A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2、用户自定义的病历内容模版可衍生和重复利用，能分级管理；</w:t>
            </w:r>
          </w:p>
          <w:p w14:paraId="5082138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3、病历模板编辑器提供结构化自定义病历模板的功能，使用户能自己定义、修改模板和术语集；</w:t>
            </w:r>
          </w:p>
          <w:p w14:paraId="28875B6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4、病历编写功能，电子病历的录入和修改需要确认，应能完整记录各次修改的变动，电子病历的浏览和修改都需要有权限的控制，并留痕；</w:t>
            </w:r>
          </w:p>
          <w:p w14:paraId="19C6133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5、病历辅助录入，支持医生个人知识库、特殊字符、医学表达式、计算公式录入，支持特殊科室表达式多种方式录入；</w:t>
            </w:r>
          </w:p>
          <w:p w14:paraId="5CFF051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电子病历系统支持医生查询患者相关全部体征、既往病史资料，在完成与LIS、PACS等检查检验系统的集成后，能在医生站集中处理患者的全部的检查检验数据，可以将检验、检查数据插入到病历当中的任意位置；（提供系统功能截图）</w:t>
            </w:r>
          </w:p>
          <w:p w14:paraId="2005990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7、在授权下，可以将电子病历导出成文本或XML等格式化的，与外部系统进行交换。可以将指定格式的电子文档转换到入本系统，实现电子病历的传递；</w:t>
            </w:r>
          </w:p>
          <w:p w14:paraId="6CC2CC1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8、病历归档功能，病历支持归档备份；</w:t>
            </w:r>
          </w:p>
          <w:p w14:paraId="2D94462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9、包含传染病、院感、肿瘤、</w:t>
            </w:r>
            <w:r>
              <w:rPr>
                <w:rFonts w:hint="eastAsia" w:ascii="宋体" w:hAnsi="宋体" w:eastAsia="宋体"/>
                <w:color w:val="auto"/>
                <w:highlight w:val="none"/>
              </w:rPr>
              <w:t>慢性病等报卡功能；</w:t>
            </w:r>
          </w:p>
          <w:p w14:paraId="2CBB888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10、具有临床提醒功能，自动提醒功能内容应包括：事前提醒、事中监督、主要是时限性质控指标检测和关键病历填写项目完整性检测，具有院科两级的病历质控及统计功能；</w:t>
            </w:r>
          </w:p>
          <w:p w14:paraId="4245FF0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11、医生病历书写中有VTE及出血风险评估，并有提醒功能；（提供系统功能截图）</w:t>
            </w:r>
          </w:p>
        </w:tc>
      </w:tr>
      <w:tr w14:paraId="1C705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09DBE239">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住院护士工作站</w:t>
            </w:r>
          </w:p>
        </w:tc>
        <w:tc>
          <w:tcPr>
            <w:tcW w:w="8032" w:type="dxa"/>
            <w:shd w:val="clear" w:color="auto" w:fill="FFFFFF"/>
            <w:noWrap/>
            <w:vAlign w:val="center"/>
          </w:tcPr>
          <w:p w14:paraId="271DBB3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1、床位图支持多种展现模式可供任意选择，如简要模式、详细模式等，支持多种样式的标识、提醒、消息推送等，基础数据维护可根据需要灵活配置；（提供系统功能截图）</w:t>
            </w:r>
          </w:p>
          <w:p w14:paraId="12CE359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2、床卡中标识规范，支持护理等级、危重情况、隔离标志、过敏标识、耐药性标识、欠费情况、评估情况等标识信息，标识信息来源及与其他系统的使用支持实时同步更新；</w:t>
            </w:r>
          </w:p>
          <w:p w14:paraId="3B00A76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3、支持所有形式的查询功能，如按条件查询、状态查询、模糊查询、快捷查询；支持所有业务内容的查询功能，如医嘱查询、检验检查报告查询、执行记录查询等；</w:t>
            </w:r>
          </w:p>
          <w:p w14:paraId="46D9E87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4、床头卡支持打印功能，点击床头卡右键，可支持患者多种信息查询及快捷操作，支持腕带打印功能；</w:t>
            </w:r>
          </w:p>
          <w:p w14:paraId="19CFAA4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5、可根据需要对患者入院、手术、转科、出院等环节的医嘱执行、检验检查、治疗收费等进行流程控制，实现全闭环管理；</w:t>
            </w:r>
          </w:p>
          <w:p w14:paraId="29FD903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医嘱处理、医嘱执行、领药、收费等临床护理日常工作快速、便捷、智能，可根据需求灵活配置各种权限及按钮，支持静滴单、注射单、服药单、副治疗单等医嘱执行单打印及瓶签打印，可根据需要设置打印标记及按条件打印；</w:t>
            </w:r>
          </w:p>
          <w:p w14:paraId="4D52146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7、按医疗文书规范及医院病历质控要求配置医嘱单，支持全部打印、续打、补打等，支持导出，支持CA签名；</w:t>
            </w:r>
          </w:p>
          <w:p w14:paraId="7B5A99F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8、支持与护理日常工作相关系统的业务对接，如护理文书系统、护理管理系统、输血系统、手麻系统、静配系统、检验系统、PACS系统、急诊系统、消毒供应追溯系统、血透系统等；</w:t>
            </w:r>
          </w:p>
          <w:p w14:paraId="4D211E2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9、支持所有业务数据的报表统计，可按需要展示，支持报表导出功能。</w:t>
            </w:r>
          </w:p>
        </w:tc>
      </w:tr>
      <w:tr w14:paraId="68096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7B46B6AC">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病区护理文书系统</w:t>
            </w:r>
          </w:p>
        </w:tc>
        <w:tc>
          <w:tcPr>
            <w:tcW w:w="8032" w:type="dxa"/>
            <w:shd w:val="clear" w:color="auto" w:fill="FFFFFF"/>
            <w:noWrap/>
            <w:vAlign w:val="center"/>
          </w:tcPr>
          <w:p w14:paraId="270D614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1、体温单</w:t>
            </w:r>
          </w:p>
          <w:p w14:paraId="738E7F6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（1）提供方便的录入界面，能够录入体温、脉搏、呼吸、出入量等基本体征信息，并可自动统计出入量；</w:t>
            </w:r>
          </w:p>
          <w:p w14:paraId="4E5A0DD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（2）全自动生成三测单，并支持彩色、黑白两种打印模式，自动生成体温曲线；</w:t>
            </w:r>
          </w:p>
          <w:p w14:paraId="5DAC687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（3）自动获取打印病人入院、出院、假出院（请假）、周末度假、转院、死亡、返院等相关信息；</w:t>
            </w:r>
          </w:p>
          <w:p w14:paraId="3F7162A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（4）支持根据科室情况自定义体温单样式。</w:t>
            </w:r>
          </w:p>
          <w:p w14:paraId="47AAB4A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2、生命体征记录单</w:t>
            </w:r>
          </w:p>
          <w:p w14:paraId="0B5D9BB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（1）能够录入和显示体温、脉搏、呼吸、脉氧、血压、神志、血糖、瞳孔大小、瞳孔反映等体征值；</w:t>
            </w:r>
          </w:p>
          <w:p w14:paraId="1C1C7E2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（2）可根据科室情况自定义需要显示的体征项目，自动生成相应的生命体征记录。</w:t>
            </w:r>
          </w:p>
          <w:p w14:paraId="31B9515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3、出入量记录单</w:t>
            </w:r>
          </w:p>
          <w:p w14:paraId="0EFDC9C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（1）能够录入、显示病人出入量记录；</w:t>
            </w:r>
          </w:p>
          <w:p w14:paraId="7F9FBCD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（2）能够提取输液类医嘱，并记入出入量;</w:t>
            </w:r>
          </w:p>
          <w:p w14:paraId="2238FF9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（3）可自动对出入量进行12小时小结及24小时总结统计。</w:t>
            </w:r>
          </w:p>
          <w:p w14:paraId="074B258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4、入院评估单</w:t>
            </w:r>
          </w:p>
          <w:p w14:paraId="31CADBD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（1）能够录入、显示病人入院评估相关信息；</w:t>
            </w:r>
          </w:p>
          <w:p w14:paraId="5282603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（2）可根据科室情况自定义评估项目。</w:t>
            </w:r>
          </w:p>
          <w:p w14:paraId="79A7494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5、日常评估、护理评估、护理措施、护理记录</w:t>
            </w:r>
          </w:p>
          <w:p w14:paraId="44DC9A2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（1）提供统一的操作界面，能够录入、显示病人病情及相关护理措施内容；提供自动进行相关量化统计及评分工具；</w:t>
            </w:r>
          </w:p>
          <w:p w14:paraId="0002BB3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（2）能够记录患者病情的主、客观因素及相关评估内容，记录执行相应的护理措施；</w:t>
            </w:r>
          </w:p>
          <w:p w14:paraId="25C155E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评估项目、病情及护理措施用户自定义模板功能，方便用户选择输入。评估项目可分为常规项目评估和专科系统评估两大类。常规项目评估包含：安全评估、压疮危险因素评估、皮肤粘膜评估和管道评估；专科系统评估包含：心血管系统、呼吸系统、消化系统、神经系统、远动系统、生殖泌尿系统、心理社会、外科手术相关等；</w:t>
            </w:r>
          </w:p>
          <w:p w14:paraId="3643934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（4）支持压疮风险评估，能针对病人生理状况、营养状况、浮肿、神志、压疮、感觉运动、大便失禁、小便失禁、强迫体位、长期卧床、多汗等压疮风险进行评估，支持评估项目可配置；</w:t>
            </w:r>
          </w:p>
          <w:p w14:paraId="5590D55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（5）支持患者跌倒/坠床评估监控，能针对患者生理、行为、紊乱、神志、四肢活动、药物等情况进行住院患者跌倒/坠床评估、评分，自动统计评估总分；</w:t>
            </w:r>
          </w:p>
          <w:p w14:paraId="29CAE5C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（6）自动生成护理记录单，可根据科室自定义记录单表单样式；</w:t>
            </w:r>
          </w:p>
          <w:p w14:paraId="5CE6B86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（7）评估过程中发生须上报时间时，通过系统集成，实现实时上报质量问题、意外事件信息给相关质控部门、护理部管理部门的信息系统。</w:t>
            </w:r>
          </w:p>
          <w:p w14:paraId="4CA70B4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6、护理健康宣教表</w:t>
            </w:r>
          </w:p>
          <w:p w14:paraId="4C6A420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（1）能够记录、显示护理人员针对病人进行疾病知识、安全、睡眠、饮食、排泄、药物、治疗、特殊检查、异常检查结果、康复、节前宣教等各方面的健康宣教的记录。</w:t>
            </w:r>
          </w:p>
          <w:p w14:paraId="180AADB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w:t>
            </w:r>
            <w:r>
              <w:rPr>
                <w:rFonts w:hint="eastAsia" w:ascii="宋体" w:hAnsi="宋体" w:eastAsia="宋体"/>
                <w:color w:val="auto"/>
                <w:highlight w:val="none"/>
                <w:lang w:eastAsia="zh-CN"/>
              </w:rPr>
              <w:t>、</w:t>
            </w:r>
            <w:r>
              <w:rPr>
                <w:rFonts w:hint="eastAsia" w:ascii="宋体" w:hAnsi="宋体" w:eastAsia="宋体"/>
                <w:color w:val="auto"/>
                <w:highlight w:val="none"/>
              </w:rPr>
              <w:t>病区护理交班簿</w:t>
            </w:r>
          </w:p>
          <w:p w14:paraId="2A23F77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（1）能够自动提取统计病区入院、返院、出院、假出院病人情况；</w:t>
            </w:r>
          </w:p>
          <w:p w14:paraId="3D231CE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（2）能够自动提取统计I级、II级、I级改II级、II级改I级、转床病人情况；</w:t>
            </w:r>
          </w:p>
          <w:p w14:paraId="40AE103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（3）能够记录病区今日、明日记事情况；支持病区今日记事、明日记事模板功能。</w:t>
            </w:r>
          </w:p>
          <w:p w14:paraId="59D1DDC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（4）能够记录病区日班、小夜班、大夜班病人病情变化、治疗、护理情况。</w:t>
            </w:r>
          </w:p>
        </w:tc>
      </w:tr>
    </w:tbl>
    <w:p w14:paraId="5E205747">
      <w:pPr>
        <w:pStyle w:val="4"/>
        <w:rPr>
          <w:color w:val="auto"/>
          <w:highlight w:val="none"/>
        </w:rPr>
      </w:pPr>
      <w:r>
        <w:rPr>
          <w:color w:val="auto"/>
          <w:highlight w:val="none"/>
        </w:rPr>
        <w:t>药事业务系统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254"/>
        <w:gridCol w:w="8032"/>
      </w:tblGrid>
      <w:tr w14:paraId="21C51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48B0724F">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系统名称</w:t>
            </w:r>
          </w:p>
        </w:tc>
        <w:tc>
          <w:tcPr>
            <w:tcW w:w="8032" w:type="dxa"/>
            <w:shd w:val="clear" w:color="auto" w:fill="FFFFFF"/>
            <w:noWrap/>
            <w:vAlign w:val="center"/>
          </w:tcPr>
          <w:p w14:paraId="718FB3F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技术参数要求</w:t>
            </w:r>
          </w:p>
        </w:tc>
      </w:tr>
      <w:tr w14:paraId="3ECF4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53FBD289">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中/西药库管理系统</w:t>
            </w:r>
          </w:p>
        </w:tc>
        <w:tc>
          <w:tcPr>
            <w:tcW w:w="8032" w:type="dxa"/>
            <w:shd w:val="clear" w:color="auto" w:fill="FFFFFF"/>
            <w:noWrap/>
            <w:vAlign w:val="center"/>
          </w:tcPr>
          <w:p w14:paraId="22B4818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一、在中/西药药品出入库功能方面，支持：</w:t>
            </w:r>
          </w:p>
          <w:p w14:paraId="6CE9783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1.录入药品名称、规格、批号、价格、生产厂家、供货商、包装单位、发药单位等药品信息；</w:t>
            </w:r>
          </w:p>
          <w:p w14:paraId="648EFCD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 xml:space="preserve">2.具有自动生成采购计划及采购单功能；支持采购工作流审批； </w:t>
            </w:r>
          </w:p>
          <w:p w14:paraId="475F0D7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3.提供药品入库、出库、调价、调拨、盘点、报损丢失、退药等功能；</w:t>
            </w:r>
          </w:p>
          <w:p w14:paraId="1903095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4.提供特殊药品入库、出库管理功能（如：赠送、实验药品等）；</w:t>
            </w:r>
          </w:p>
          <w:p w14:paraId="1DCB03C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5.提供药品库存的日结、月结功能，并能校对帐目及库存的平衡关系；</w:t>
            </w:r>
          </w:p>
          <w:p w14:paraId="5834466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6.可随时生成各种药品的入库明细、出库明细、盘点明细、调价明细、调拨明细、报损明细、退药明细以及上面各项的汇总数据；</w:t>
            </w:r>
          </w:p>
          <w:p w14:paraId="691A931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7.可追踪各个药品的明细流水帐，可随时查验任一品种的库存变化入、出、存明细信息；</w:t>
            </w:r>
          </w:p>
          <w:p w14:paraId="0A6BB85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8.自动接收科室领药单功能；</w:t>
            </w:r>
          </w:p>
          <w:p w14:paraId="2FBDCDD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9.提供药品的核算功能，可统计分析各药房的消耗、库存；</w:t>
            </w:r>
          </w:p>
          <w:p w14:paraId="50C7DD4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10.可自动调整各种单据的输出内容和格式，并有操作员签字栏；</w:t>
            </w:r>
          </w:p>
          <w:p w14:paraId="438F673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11.提供药品字典库维护功能（如品种、价格、单位、计量、特殊标志等），支持一药多名、多单位操作，判断识别，实现统一规范药品名称；</w:t>
            </w:r>
          </w:p>
          <w:p w14:paraId="27CFB03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12.提供药品的有效期管理、可自动报警和统计过期药品的品种数和金额，并有库存量提示功能；（提供系统功能截图）</w:t>
            </w:r>
          </w:p>
          <w:p w14:paraId="54DA473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13.对毒麻药品、精神药品的种类、贵重药品、院内制剂、自费药等均有特定的判断识别处理；特殊使用科室或个人的管控。</w:t>
            </w:r>
          </w:p>
          <w:p w14:paraId="43B76B6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14.支持药品批次管理；</w:t>
            </w:r>
          </w:p>
          <w:p w14:paraId="0BC0490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15.支持药品的多级管理；</w:t>
            </w:r>
          </w:p>
          <w:p w14:paraId="2F1C9C0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16.支持抗菌药物、抗肿瘤药物等级字典维护；支持维护药品级别；支持维护医生门诊、住院药物使用权限；支持开立药物时根据药品级别以及医生使用权限进行校验，填写药物使用理由。</w:t>
            </w:r>
          </w:p>
          <w:p w14:paraId="3E5AE98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二、在药品会计核算及药品价格管理功能方面，要求支持：</w:t>
            </w:r>
          </w:p>
          <w:p w14:paraId="6C52DA1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1.药品从采购到发放给病人有进价、零售价以及设置扣率和加成率参数，这二种价格应由专人负责，根据物价部门的现行调价文件实现全院统一调价，提供自动调价确认和手动调价确认两种方式；</w:t>
            </w:r>
          </w:p>
          <w:p w14:paraId="5A40C8B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2.要记录调价的明细、时间及调价原因，并记录调价的盈亏等信息，传送到药品会计和财务会计；</w:t>
            </w:r>
          </w:p>
          <w:p w14:paraId="7F500AE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3.提供药品会计帐目、药品库管帐目及与财务系统的接口，实现数据共享。按会计制度规定，提供自动报帐和手工报帐核算功能；</w:t>
            </w:r>
          </w:p>
          <w:p w14:paraId="703DD27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4.药品会计帐务处理须实现计算进出药品库房和药房处方等的销售额与药品的收款额核对，做到帐物相符，并统计全院库房和药房的合计库存金额、消耗金额以及购入成本等信息，计算出各月的实际综合加成率；</w:t>
            </w:r>
          </w:p>
          <w:p w14:paraId="6FE346E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5.药品会计统计分析报表应实现对月、季、年进行准确可靠的统计，为“定额管理、加速周转、保证供应”提供依据；</w:t>
            </w:r>
          </w:p>
          <w:p w14:paraId="231B89B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6.提供医院各科室药品消耗统计核算功能；</w:t>
            </w:r>
          </w:p>
          <w:p w14:paraId="289A304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7.打印功能：对药品会计处理需要的帐簿、报表按统一规定的格式和内容进行打印和输出。</w:t>
            </w:r>
          </w:p>
        </w:tc>
      </w:tr>
      <w:tr w14:paraId="50ED4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5424A72A">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门诊西药房管理系统</w:t>
            </w:r>
          </w:p>
        </w:tc>
        <w:tc>
          <w:tcPr>
            <w:tcW w:w="8032" w:type="dxa"/>
            <w:shd w:val="clear" w:color="auto" w:fill="FFFFFF"/>
            <w:noWrap/>
            <w:vAlign w:val="center"/>
          </w:tcPr>
          <w:p w14:paraId="7FE63B3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1.可自动获取西药药品名称、规格、批号、价格、生产厂家、药品来源、药品剂型、药品属性、药品类别、医保（新农合）编码、领药人、开方医生和门诊患者等药品基本信息；</w:t>
            </w:r>
          </w:p>
          <w:p w14:paraId="27B6F7D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2.提供对门诊患者的处方执行划价功能；</w:t>
            </w:r>
          </w:p>
          <w:p w14:paraId="5D55729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3.提供对门诊收费的药品明细执行发药核对确认，消减库存的功能，并统计日处方量和各类别的处方量；</w:t>
            </w:r>
          </w:p>
          <w:p w14:paraId="5AACB56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4.可实现为住院患者划价、记帐和按医嘱执行发药；</w:t>
            </w:r>
          </w:p>
          <w:p w14:paraId="6F807D9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5.为门诊收费设置包装数、低限报警值、控制药品以及药品别名等功能；</w:t>
            </w:r>
          </w:p>
          <w:p w14:paraId="2D94395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6.门诊收费的药品金额和药房的发药金额执行对帐；</w:t>
            </w:r>
          </w:p>
          <w:p w14:paraId="2F75C2F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7.可自动生成药品进药计划申请单，并发往药库；</w:t>
            </w:r>
          </w:p>
          <w:p w14:paraId="1843534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8.提供对药库发到本药房的药品的出库单进行入库确认；</w:t>
            </w:r>
          </w:p>
          <w:p w14:paraId="3EF3707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9.提供本药房药品的调拨、盘点、报损、调换和退药功能；</w:t>
            </w:r>
          </w:p>
          <w:p w14:paraId="0E9D40B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10.具有药房药品的日结、月结功能，并自动比较会计帐及实物帐的平衡关系；</w:t>
            </w:r>
          </w:p>
          <w:p w14:paraId="00DA357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11.可随时查询某日和任意时间段的入库药品消耗，以及任意某一药品的入、出、存明细帐；</w:t>
            </w:r>
          </w:p>
          <w:p w14:paraId="34962BC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12.药品有效期管理及毒麻药品等的管理同药品库房管理中的</w:t>
            </w:r>
            <w:r>
              <w:rPr>
                <w:rFonts w:hint="eastAsia" w:ascii="宋体" w:hAnsi="宋体" w:eastAsia="宋体"/>
                <w:color w:val="auto"/>
                <w:highlight w:val="none"/>
              </w:rPr>
              <w:t>条款。</w:t>
            </w:r>
          </w:p>
          <w:p w14:paraId="0D4DF1A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13.支持多个门诊药房管理；</w:t>
            </w:r>
          </w:p>
          <w:p w14:paraId="45D3CD4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14.支持药品批次管理；</w:t>
            </w:r>
          </w:p>
          <w:p w14:paraId="1D218E4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15.支持二级审核发药；</w:t>
            </w:r>
          </w:p>
          <w:p w14:paraId="10CDFE4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16.支持LED屏或语音取药叫号，具备智慧发药功能；</w:t>
            </w:r>
          </w:p>
          <w:p w14:paraId="13AAB3C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17.支持维护同一药物国产或进口比例维护；支持根据医生配置集采药品额度；支持紧急情况下根据患者，医生，科室等纬度开通集采药品白名单功能；</w:t>
            </w:r>
          </w:p>
          <w:p w14:paraId="5E70584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18.配合门诊发药机接口制作。</w:t>
            </w:r>
          </w:p>
        </w:tc>
      </w:tr>
      <w:tr w14:paraId="7B1CB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62DB0367">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门诊中药房管理系统</w:t>
            </w:r>
          </w:p>
        </w:tc>
        <w:tc>
          <w:tcPr>
            <w:tcW w:w="8032" w:type="dxa"/>
            <w:shd w:val="clear" w:color="auto" w:fill="FFFFFF"/>
            <w:noWrap/>
            <w:vAlign w:val="center"/>
          </w:tcPr>
          <w:p w14:paraId="7AF3521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一、中药发药</w:t>
            </w:r>
          </w:p>
          <w:p w14:paraId="21AD836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根据中药待发药记录为患者进行发药。</w:t>
            </w:r>
          </w:p>
          <w:p w14:paraId="4F56496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（1）根据病案号（手工录入、读卡、扫码等），调出病人类别，公费证号，性别，姓名，工作单位，年龄；</w:t>
            </w:r>
          </w:p>
          <w:p w14:paraId="30A1DD8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（2）显示本次就诊所有已交费的处方，显示处方中药药品明细信息；</w:t>
            </w:r>
          </w:p>
          <w:p w14:paraId="1C2EC33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（3）勾选所有处方，进行中药发药。</w:t>
            </w:r>
          </w:p>
          <w:p w14:paraId="04248E9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二、中药药品上架</w:t>
            </w:r>
          </w:p>
          <w:p w14:paraId="0B58480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（1）支持第三方货架硬件设备，药框和药架货位绑定；</w:t>
            </w:r>
          </w:p>
          <w:p w14:paraId="18C153B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（2）中药药品上架时患者信息上LED屏；</w:t>
            </w:r>
          </w:p>
          <w:p w14:paraId="5ABBAE7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（3）支持药筐下架；</w:t>
            </w:r>
          </w:p>
          <w:p w14:paraId="02FE93F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（4）对于已经上架的中药药品，患者不来领取时候，可以解绑药篮和病人。但病人以后再来时要可以根据患者名称查询已经交费未发药的处方。</w:t>
            </w:r>
          </w:p>
          <w:p w14:paraId="4BB8DD0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三、中药退药</w:t>
            </w:r>
          </w:p>
          <w:p w14:paraId="2C22035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根据患者ID或处方号进行中药退药。</w:t>
            </w:r>
          </w:p>
          <w:p w14:paraId="4434830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（1）支持已缴费未发药状态下的中药退药处理；</w:t>
            </w:r>
          </w:p>
          <w:p w14:paraId="2237F9C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（2）支持已发药状态下中药退药处理；</w:t>
            </w:r>
          </w:p>
          <w:p w14:paraId="724F545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（3）支持处方全退；</w:t>
            </w:r>
          </w:p>
          <w:p w14:paraId="7BBD25F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（4）支持按品种中药退药；</w:t>
            </w:r>
          </w:p>
          <w:p w14:paraId="73A83E6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（5）支持按数量中药退药；</w:t>
            </w:r>
          </w:p>
          <w:p w14:paraId="48AECCE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（6）中药退药时候需要医生填写退药原因，中药药房能按照退药原因进行统计。</w:t>
            </w:r>
          </w:p>
          <w:p w14:paraId="00ED550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四、中药库存管理</w:t>
            </w:r>
          </w:p>
          <w:p w14:paraId="6F3ED7B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（1）中药药品入库；</w:t>
            </w:r>
          </w:p>
          <w:p w14:paraId="5218763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（2）中药药品出库；</w:t>
            </w:r>
          </w:p>
          <w:p w14:paraId="5FDA34C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（3）中药药品盘点；</w:t>
            </w:r>
          </w:p>
          <w:p w14:paraId="0306539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（4）中药药品货位维护；</w:t>
            </w:r>
          </w:p>
          <w:p w14:paraId="0FED7CC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（5）中药药品请领；</w:t>
            </w:r>
          </w:p>
          <w:p w14:paraId="3D2AC15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（6）中药药品库存消耗量查询；</w:t>
            </w:r>
          </w:p>
          <w:p w14:paraId="4BFC625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（7）中药药品流水账查询；</w:t>
            </w:r>
          </w:p>
          <w:p w14:paraId="4F47A07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（8）中药药品库存查询。</w:t>
            </w:r>
          </w:p>
          <w:p w14:paraId="4624715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五、中药门诊借药</w:t>
            </w:r>
          </w:p>
          <w:p w14:paraId="2F29D79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借药时候借药主记录填写（借药人，借药时间，借药科室，操作人，操作时间，是否已经还药），明细记录（药品名称，规格，借药数量，预还药时间），库存里需要有借药标识，不减少库存，库存查询时候可以某个药品的借药数量与实际数量；</w:t>
            </w:r>
          </w:p>
          <w:p w14:paraId="60F4B69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（2）还药时需要记录还药时候，调出这条借药记录，填写还药时间，还药操作人，还药数量，明细记录里面的药全部还清以后，设置主记录的已经还药标志为还药。</w:t>
            </w:r>
          </w:p>
          <w:p w14:paraId="65899EA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六、夜间摆药</w:t>
            </w:r>
          </w:p>
          <w:p w14:paraId="0AAD136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根据医嘱执行时间及病区为病区病人进行摆药。界面上方为医嘱开始时间、结束时间、病区、床号等产讯编辑区，界面中间为医嘱信息、摆药方式选择界面，界面下方为保存、打印、清屏、关闭等操作。</w:t>
            </w:r>
          </w:p>
          <w:p w14:paraId="05B167B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七、完成代煎药房功能。</w:t>
            </w:r>
          </w:p>
        </w:tc>
      </w:tr>
      <w:tr w14:paraId="28857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27EB6500">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急诊药房管理系统</w:t>
            </w:r>
          </w:p>
        </w:tc>
        <w:tc>
          <w:tcPr>
            <w:tcW w:w="8032" w:type="dxa"/>
            <w:shd w:val="clear" w:color="auto" w:fill="FFFFFF"/>
            <w:noWrap/>
            <w:vAlign w:val="center"/>
          </w:tcPr>
          <w:p w14:paraId="4F6BB2B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一、急诊发药</w:t>
            </w:r>
          </w:p>
          <w:p w14:paraId="40A3D9D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根据待发药记录为患者进行发药。</w:t>
            </w:r>
          </w:p>
          <w:p w14:paraId="5EB36D4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（1）根据病案号（手工录入、读卡、扫码等），调出病人类别，公费证号，性别，姓名，工作单位，年龄；</w:t>
            </w:r>
          </w:p>
          <w:p w14:paraId="540CDAC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（2）显示本次就诊所有已交费的处方，显示处方药品明细信息；</w:t>
            </w:r>
          </w:p>
          <w:p w14:paraId="63F3FA4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（3）勾选所有处方，进行发药。</w:t>
            </w:r>
          </w:p>
          <w:p w14:paraId="566E8E0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二、急诊药品上架</w:t>
            </w:r>
          </w:p>
          <w:p w14:paraId="1943FB3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（1）支持第三方货架硬件设备，药框和药架货位绑定；</w:t>
            </w:r>
          </w:p>
          <w:p w14:paraId="5E6D979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（2）药品上架时患者信息上LED屏；</w:t>
            </w:r>
          </w:p>
          <w:p w14:paraId="4A5DFC2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（3）支持药筐下架；</w:t>
            </w:r>
          </w:p>
          <w:p w14:paraId="1EFC1AB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（4）对于已经上架的药品，患者不来领取时候，可以解绑药篮和病人。但病人以后再来时要可以根据患者名称查询已经交费未发药的处方。</w:t>
            </w:r>
          </w:p>
          <w:p w14:paraId="6C50236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三、急诊退药</w:t>
            </w:r>
          </w:p>
          <w:p w14:paraId="7D2CD7C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根据患者ID或处方号进行急诊退药。</w:t>
            </w:r>
          </w:p>
          <w:p w14:paraId="48C82CF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（1）支持已缴费未发药状态下的退药处理；</w:t>
            </w:r>
          </w:p>
          <w:p w14:paraId="1122E65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（2）支持已发药状态下退药处理；</w:t>
            </w:r>
          </w:p>
          <w:p w14:paraId="62A27B2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（3）支持处方全退；</w:t>
            </w:r>
          </w:p>
          <w:p w14:paraId="06930D0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（4）支持按品种退药；</w:t>
            </w:r>
          </w:p>
          <w:p w14:paraId="1711FFA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（5）支持按数量退药；</w:t>
            </w:r>
          </w:p>
          <w:p w14:paraId="349C686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（6）退药时候需要医生填写退药原因，药房能按照退药原因进行统计。</w:t>
            </w:r>
          </w:p>
          <w:p w14:paraId="0BEFC02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四、急诊库存管理</w:t>
            </w:r>
          </w:p>
          <w:p w14:paraId="0748D3A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（1）急诊药品入库；</w:t>
            </w:r>
          </w:p>
          <w:p w14:paraId="3121AAC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（2）急诊药品出库；</w:t>
            </w:r>
          </w:p>
          <w:p w14:paraId="23ABFE2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（3）急诊药品盘点；</w:t>
            </w:r>
          </w:p>
          <w:p w14:paraId="030C10D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（4）急诊药品货位维护；</w:t>
            </w:r>
          </w:p>
          <w:p w14:paraId="14D7243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（5）急诊药品请领；</w:t>
            </w:r>
          </w:p>
          <w:p w14:paraId="01C385D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（6）急诊药品库存消耗量查询；</w:t>
            </w:r>
          </w:p>
          <w:p w14:paraId="3EFE0DA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（7）急诊药品流水账查询；</w:t>
            </w:r>
          </w:p>
          <w:p w14:paraId="0A02F63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（8）急诊药品库存查询。</w:t>
            </w:r>
          </w:p>
          <w:p w14:paraId="33821E5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五、急诊借药（提供系统功能截图）</w:t>
            </w:r>
          </w:p>
          <w:p w14:paraId="4CC1339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借药时候借药主记录填写（借药人，借药时间，借药科室，操作人，操作时间，是否已经还药），明细记录（药品名称，规格，借药数量，预还药时间），库存里需要有借药标识，不减少库存，库存查询时候可以某个药品的借药数量与实际数量；</w:t>
            </w:r>
          </w:p>
          <w:p w14:paraId="2C49CE6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（2）还药时需要记录还药时间，调出这条借药记录，填写还药时间，还药操作人，还药数量，明细记录里面的药全部还清以后，设置主记录的已经还药标志为还药。</w:t>
            </w:r>
          </w:p>
          <w:p w14:paraId="42C98E1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六、精麻药处方控制</w:t>
            </w:r>
          </w:p>
          <w:p w14:paraId="1725A11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药库维护这一类药品时候，可以填写最大使用天数，最大单次使用剂量。但是针对某个医生可以具体设置某一类药品可以不受这个限制，由药库管理人员给予调整这两个指标。</w:t>
            </w:r>
          </w:p>
          <w:p w14:paraId="1411D81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七、夜间摆药</w:t>
            </w:r>
          </w:p>
          <w:p w14:paraId="6B5DC3D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根据医嘱执行时间及病区为病区病人进行摆药。界面上方为医嘱开始时间、结束时间、病区、床号等产讯编辑区，界面中间为医嘱信息、摆药方式选择界面，界面下方为保存、打印、清屏、关闭等操作。</w:t>
            </w:r>
          </w:p>
          <w:p w14:paraId="6010D4F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八、自备药管理</w:t>
            </w:r>
          </w:p>
        </w:tc>
      </w:tr>
      <w:tr w14:paraId="7B9A5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34D94AD3">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住院西药房管理系统</w:t>
            </w:r>
          </w:p>
        </w:tc>
        <w:tc>
          <w:tcPr>
            <w:tcW w:w="8032" w:type="dxa"/>
            <w:shd w:val="clear" w:color="auto" w:fill="FFFFFF"/>
            <w:noWrap/>
            <w:vAlign w:val="center"/>
          </w:tcPr>
          <w:p w14:paraId="0561EB03">
            <w:pPr>
              <w:numPr>
                <w:ilvl w:val="0"/>
                <w:numId w:val="19"/>
              </w:numPr>
              <w:adjustRightInd w:val="0"/>
              <w:snapToGrid w:val="0"/>
              <w:spacing w:line="360" w:lineRule="auto"/>
              <w:rPr>
                <w:rFonts w:hint="eastAsia" w:ascii="宋体" w:hAnsi="宋体" w:eastAsia="宋体"/>
                <w:color w:val="auto"/>
                <w:highlight w:val="none"/>
                <w:lang w:eastAsia="zh-CN"/>
              </w:rPr>
            </w:pPr>
            <w:r>
              <w:rPr>
                <w:rFonts w:hint="eastAsia" w:ascii="宋体" w:hAnsi="宋体" w:eastAsia="宋体"/>
                <w:color w:val="auto"/>
                <w:highlight w:val="none"/>
              </w:rPr>
              <w:t>可自动获取药品名称、规格、批号、价格、生产厂家、药品来源、药品剂型、属性、类别和住院患者等药品基本信息</w:t>
            </w:r>
            <w:r>
              <w:rPr>
                <w:rFonts w:hint="eastAsia" w:ascii="宋体" w:hAnsi="宋体" w:eastAsia="宋体"/>
                <w:color w:val="auto"/>
                <w:highlight w:val="none"/>
                <w:lang w:eastAsia="zh-CN"/>
              </w:rPr>
              <w:t>；</w:t>
            </w:r>
          </w:p>
          <w:p w14:paraId="0154F050">
            <w:pPr>
              <w:numPr>
                <w:ilvl w:val="0"/>
                <w:numId w:val="19"/>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具有分别按患者的临时医嘱和长期医嘱执行确认上帐功能，并自动生成针剂、片剂、输液、毒麻和其它等类型的摆药单和统领单，同时追踪各药品的库存及患者的押金等，打印中草药处方单，并实现对特殊医嘱、隔日医嘱等的处理；</w:t>
            </w:r>
          </w:p>
          <w:p w14:paraId="5C49BC91">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提供科室、病房基数药管理与核算统计分析功能；</w:t>
            </w:r>
          </w:p>
          <w:p w14:paraId="253BD3AC">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提供查询和打印药品的出库明细功能；</w:t>
            </w:r>
          </w:p>
          <w:p w14:paraId="7832E02A">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可自动生成药品进药计划申请单，并发往药库；</w:t>
            </w:r>
          </w:p>
          <w:p w14:paraId="2A619B9E">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提供对药库发到本药房的药品的出库单进行入库确认；</w:t>
            </w:r>
          </w:p>
          <w:p w14:paraId="64500E5D">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提供本药房药品的调拨、盘点、报损、调换和退药功能；</w:t>
            </w:r>
          </w:p>
          <w:p w14:paraId="785B2683">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具有药房药品的日结、月结功能，并自动比较会计帐及实物帐的平衡关系；</w:t>
            </w:r>
          </w:p>
          <w:p w14:paraId="14FFA32D">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药品有效期管理及毒麻药品等的管理同药品库房管理中的规定；</w:t>
            </w:r>
          </w:p>
          <w:p w14:paraId="596A9D69">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支持多个住院药房管理；</w:t>
            </w:r>
          </w:p>
          <w:p w14:paraId="50630549">
            <w:pPr>
              <w:numPr>
                <w:ilvl w:val="0"/>
                <w:numId w:val="19"/>
              </w:numPr>
              <w:adjustRightInd w:val="0"/>
              <w:snapToGrid w:val="0"/>
              <w:spacing w:line="360" w:lineRule="auto"/>
              <w:ind w:left="0" w:leftChars="0" w:firstLine="0" w:firstLineChars="0"/>
              <w:rPr>
                <w:rFonts w:ascii="宋体" w:hAnsi="宋体" w:eastAsia="宋体"/>
                <w:color w:val="auto"/>
                <w:highlight w:val="none"/>
              </w:rPr>
            </w:pPr>
            <w:r>
              <w:rPr>
                <w:rFonts w:hint="eastAsia" w:ascii="宋体" w:hAnsi="宋体" w:eastAsia="宋体"/>
                <w:color w:val="auto"/>
                <w:highlight w:val="none"/>
              </w:rPr>
              <w:t>支持药品批次管理。</w:t>
            </w:r>
          </w:p>
        </w:tc>
      </w:tr>
      <w:tr w14:paraId="3AE05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27F2BB21">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抗生素管理系统</w:t>
            </w:r>
          </w:p>
        </w:tc>
        <w:tc>
          <w:tcPr>
            <w:tcW w:w="8032" w:type="dxa"/>
            <w:shd w:val="clear" w:color="auto" w:fill="FFFFFF"/>
            <w:noWrap/>
            <w:vAlign w:val="center"/>
          </w:tcPr>
          <w:p w14:paraId="66FA27D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w:t>
            </w:r>
            <w:r>
              <w:rPr>
                <w:rFonts w:hint="eastAsia" w:ascii="宋体" w:hAnsi="宋体" w:eastAsia="宋体"/>
                <w:color w:val="auto"/>
                <w:highlight w:val="none"/>
              </w:rPr>
              <w:tab/>
            </w:r>
            <w:r>
              <w:rPr>
                <w:rFonts w:hint="eastAsia" w:ascii="宋体" w:hAnsi="宋体" w:eastAsia="宋体"/>
                <w:color w:val="auto"/>
                <w:highlight w:val="none"/>
              </w:rPr>
              <w:t>抗生素开立管理</w:t>
            </w:r>
          </w:p>
          <w:p w14:paraId="1E25330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（1）抗生素开立权限的维护</w:t>
            </w:r>
          </w:p>
          <w:p w14:paraId="41B0ABB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根据医生不同的权限，维护抗生素的开立权。</w:t>
            </w:r>
          </w:p>
          <w:p w14:paraId="3B48BE1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（2）抗生素会诊申请</w:t>
            </w:r>
          </w:p>
          <w:p w14:paraId="28FEC1F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医生要求开具特殊使用级抗菌药物时，需要提交会诊申请，会诊同意后才能开立。</w:t>
            </w:r>
          </w:p>
          <w:p w14:paraId="26BB746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（3）应急抗生素管理</w:t>
            </w:r>
          </w:p>
          <w:p w14:paraId="1E1ABF3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如果情况特殊，比如值夜班时，临时找不到有达到权限的医生（医生账号密码不能给别人），可以在提示没有权限时，选择应急开立，此时需要填写原因。但是个人的应急开立等级也需要进行控制和维护，只有达到应急开立等级级别才能应急开立这个级别及以下的抗生素。</w:t>
            </w:r>
          </w:p>
          <w:p w14:paraId="4683941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（4）手术推荐抗生素使用</w:t>
            </w:r>
          </w:p>
          <w:p w14:paraId="60FA84F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登记抗生素药品时，选择预防，手术预防，选择手术名称时，匹配是否符合手术抗生素推荐用药，如果不符合，会出现推荐用药和不适用推荐用药理由，两个输入框，如果选择推荐用药，则会替换之前医生开立的抗生素，如果不使用推荐用药，必须填写不使用推荐用药理由，才能保存。</w:t>
            </w:r>
          </w:p>
          <w:p w14:paraId="23EA70A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（5）抗生素疗程管理</w:t>
            </w:r>
          </w:p>
          <w:p w14:paraId="1E4AB9E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针对非限制级抗菌药物的疗程控制，7天一个疗程，需提醒医生。</w:t>
            </w:r>
          </w:p>
          <w:p w14:paraId="3FB570E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w:t>
            </w:r>
            <w:r>
              <w:rPr>
                <w:rFonts w:hint="eastAsia" w:ascii="宋体" w:hAnsi="宋体" w:eastAsia="宋体"/>
                <w:color w:val="auto"/>
                <w:highlight w:val="none"/>
              </w:rPr>
              <w:tab/>
            </w:r>
            <w:r>
              <w:rPr>
                <w:rFonts w:hint="eastAsia" w:ascii="宋体" w:hAnsi="宋体" w:eastAsia="宋体"/>
                <w:color w:val="auto"/>
                <w:highlight w:val="none"/>
              </w:rPr>
              <w:t>抗生素使用查询</w:t>
            </w:r>
          </w:p>
          <w:p w14:paraId="577FD4E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（1）抗生素使用百分率（要求有2个选项，包括出院带药与不含出院带药）；</w:t>
            </w:r>
          </w:p>
          <w:p w14:paraId="59213C8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（2）抗菌药物使用强度（要求有2个选项，包括出院带药与不含出院带药）；</w:t>
            </w:r>
          </w:p>
          <w:p w14:paraId="739E9AC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（3）门诊/急诊使用抗菌药物人次比率；</w:t>
            </w:r>
          </w:p>
          <w:p w14:paraId="6573D96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（4）基药使用率；</w:t>
            </w:r>
          </w:p>
          <w:p w14:paraId="53589DB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（5）抗生素使用强度的前三位药品；</w:t>
            </w:r>
          </w:p>
          <w:p w14:paraId="1B3C6D3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（6）I类、介入切口手术抗菌药物预防使用率。</w:t>
            </w:r>
          </w:p>
        </w:tc>
      </w:tr>
    </w:tbl>
    <w:p w14:paraId="662B27BB">
      <w:pPr>
        <w:pStyle w:val="4"/>
        <w:rPr>
          <w:color w:val="auto"/>
          <w:highlight w:val="none"/>
        </w:rPr>
      </w:pPr>
      <w:r>
        <w:rPr>
          <w:rFonts w:hint="eastAsia"/>
          <w:color w:val="auto"/>
          <w:highlight w:val="none"/>
        </w:rPr>
        <w:t>医保管理系统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254"/>
        <w:gridCol w:w="8032"/>
      </w:tblGrid>
      <w:tr w14:paraId="2E65B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572BA110">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系统名称</w:t>
            </w:r>
          </w:p>
        </w:tc>
        <w:tc>
          <w:tcPr>
            <w:tcW w:w="8032" w:type="dxa"/>
            <w:shd w:val="clear" w:color="auto" w:fill="FFFFFF"/>
            <w:noWrap/>
            <w:vAlign w:val="center"/>
          </w:tcPr>
          <w:p w14:paraId="1A778105">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技术参数要求</w:t>
            </w:r>
          </w:p>
        </w:tc>
      </w:tr>
      <w:tr w14:paraId="7D424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jc w:val="center"/>
        </w:trPr>
        <w:tc>
          <w:tcPr>
            <w:tcW w:w="1254" w:type="dxa"/>
            <w:shd w:val="clear" w:color="auto" w:fill="FFFFFF"/>
            <w:noWrap/>
            <w:vAlign w:val="center"/>
          </w:tcPr>
          <w:p w14:paraId="38DF6C5C">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医保接口系统</w:t>
            </w:r>
          </w:p>
        </w:tc>
        <w:tc>
          <w:tcPr>
            <w:tcW w:w="8032" w:type="dxa"/>
            <w:shd w:val="clear" w:color="auto" w:fill="FFFFFF"/>
            <w:noWrap/>
            <w:vAlign w:val="center"/>
          </w:tcPr>
          <w:p w14:paraId="598FC16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功能要求如下：</w:t>
            </w:r>
          </w:p>
          <w:p w14:paraId="6E9FAA7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1、医保结算</w:t>
            </w:r>
          </w:p>
          <w:p w14:paraId="58501CB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 xml:space="preserve">（1）支持城镇职工、城镇居民、新农合、其他医保类型；支持特殊类型医疗保险结算对接与管理，如生育保险、工伤保险、单病种、门诊慢特病、健康体检等； </w:t>
            </w:r>
          </w:p>
          <w:p w14:paraId="2D99A4B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支持实时或定时的从上级医保部门下载更新的药品目录、诊疗目录、服务设施目录、黑名单、各种政策参数、政策审核函数、医疗保险结算表、医疗保险拒付明细、对帐单等，并根据政策要求对药品目录、诊疗目录、服务设施目录、黑名单进行对照维护；</w:t>
            </w:r>
          </w:p>
          <w:p w14:paraId="29E09B5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（3）医</w:t>
            </w:r>
            <w:r>
              <w:rPr>
                <w:rFonts w:hint="eastAsia" w:ascii="宋体" w:hAnsi="宋体" w:eastAsia="宋体"/>
                <w:color w:val="auto"/>
                <w:highlight w:val="none"/>
              </w:rPr>
              <w:t>保、惠民上传内容及处理：支持按医保、惠民要求实时或定时向上级医保部门、惠民报名上传数据，确保上传数据与医院信息系统中保留的数据的一致性；支持医保费用病区自助上传；</w:t>
            </w:r>
          </w:p>
          <w:p w14:paraId="0A00C8D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（4）支持提供患者汇总和明细费用数据，提供现有费用查询系统接口；</w:t>
            </w:r>
          </w:p>
          <w:p w14:paraId="2C4F144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（5）支持医保相关报表（包括医保电子凭证考核报表）、统计、对账等，可实现医保长款自动定位，冲正；</w:t>
            </w:r>
          </w:p>
          <w:p w14:paraId="73D4331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（6）电子发票接口改造：实现门诊、住院各流程电子发票对接、打印等功能，并支持通过自助终端打印；</w:t>
            </w:r>
          </w:p>
          <w:p w14:paraId="61397C0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（7）支持医保适应症提醒，个性化配置收费项目医保适应症提醒内容；支持按门诊住院类别、全部/医保/自费的费别、针对性的设置控制级别为强制/提醒的控费规则。</w:t>
            </w:r>
          </w:p>
          <w:p w14:paraId="4D25453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（8）支持医保医师、医保护师等对照维护；支持电子病历自动定时上传。</w:t>
            </w:r>
          </w:p>
          <w:p w14:paraId="5DF9C52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2、公费医疗接口开发</w:t>
            </w:r>
          </w:p>
          <w:p w14:paraId="4B20417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按照医保中心文档，完成医保接口的开发，生成动态库，通过门诊收费程序和出入院程序，调用动态库进行无缝链接，完成医保业务。</w:t>
            </w:r>
          </w:p>
        </w:tc>
      </w:tr>
    </w:tbl>
    <w:p w14:paraId="4C8EEF4F">
      <w:pPr>
        <w:pStyle w:val="4"/>
        <w:rPr>
          <w:color w:val="auto"/>
          <w:highlight w:val="none"/>
        </w:rPr>
      </w:pPr>
      <w:r>
        <w:rPr>
          <w:color w:val="auto"/>
          <w:highlight w:val="none"/>
        </w:rPr>
        <w:t>统一支付平台</w:t>
      </w:r>
    </w:p>
    <w:tbl>
      <w:tblPr>
        <w:tblStyle w:val="4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82"/>
        <w:gridCol w:w="8020"/>
      </w:tblGrid>
      <w:tr w14:paraId="563B86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82" w:type="dxa"/>
            <w:shd w:val="clear" w:color="auto" w:fill="FFFFFF" w:themeFill="background1"/>
            <w:vAlign w:val="center"/>
          </w:tcPr>
          <w:p w14:paraId="0821F63A">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系统名称</w:t>
            </w:r>
          </w:p>
        </w:tc>
        <w:tc>
          <w:tcPr>
            <w:tcW w:w="8020" w:type="dxa"/>
            <w:shd w:val="clear" w:color="auto" w:fill="FFFFFF" w:themeFill="background1"/>
            <w:vAlign w:val="center"/>
          </w:tcPr>
          <w:p w14:paraId="5EC27A7F">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技术参数要求</w:t>
            </w:r>
          </w:p>
        </w:tc>
      </w:tr>
      <w:tr w14:paraId="1EDFD9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82" w:type="dxa"/>
            <w:vAlign w:val="center"/>
          </w:tcPr>
          <w:p w14:paraId="5643C99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统一支付平台</w:t>
            </w:r>
          </w:p>
        </w:tc>
        <w:tc>
          <w:tcPr>
            <w:tcW w:w="8020" w:type="dxa"/>
            <w:vAlign w:val="center"/>
          </w:tcPr>
          <w:p w14:paraId="28234FA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通过支付平台与医保结算平台进行对接，提供快捷结算相关服务，支持支付宝、微信，包括：</w:t>
            </w:r>
          </w:p>
          <w:p w14:paraId="6FE12FD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1、医保结算接口相关服务：获取人员结算单信息、收费结算准备、收费结算信息回推、处方状态查询、住院预交金缴纳、处方分组合并；</w:t>
            </w:r>
          </w:p>
          <w:p w14:paraId="1CB7ECC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2、医保对账相关接口服务：获取日对账报文、获取操作员待对账日对账流水号列表、获取签到报文、签到信息推送、日对账消息回推。</w:t>
            </w:r>
          </w:p>
        </w:tc>
      </w:tr>
    </w:tbl>
    <w:p w14:paraId="68C2D8BC">
      <w:pPr>
        <w:rPr>
          <w:color w:val="auto"/>
          <w:highlight w:val="none"/>
        </w:rPr>
      </w:pPr>
      <w:r>
        <w:rPr>
          <w:color w:val="auto"/>
          <w:highlight w:val="none"/>
        </w:rPr>
        <w:br w:type="page"/>
      </w:r>
    </w:p>
    <w:p w14:paraId="3049CD7F">
      <w:pPr>
        <w:pStyle w:val="3"/>
        <w:spacing w:line="360" w:lineRule="auto"/>
        <w:rPr>
          <w:rFonts w:ascii="宋体" w:hAnsi="宋体" w:eastAsia="宋体"/>
          <w:i/>
          <w:iCs w:val="0"/>
          <w:color w:val="auto"/>
          <w:highlight w:val="none"/>
        </w:rPr>
      </w:pPr>
      <w:bookmarkStart w:id="67" w:name="_Toc187691848"/>
      <w:r>
        <w:rPr>
          <w:rFonts w:hint="eastAsia" w:ascii="宋体" w:hAnsi="宋体" w:eastAsia="宋体"/>
          <w:iCs w:val="0"/>
          <w:color w:val="auto"/>
          <w:highlight w:val="none"/>
        </w:rPr>
        <w:t>信息集成平台</w:t>
      </w:r>
      <w:bookmarkEnd w:id="67"/>
    </w:p>
    <w:p w14:paraId="151DFE8E">
      <w:pPr>
        <w:pStyle w:val="4"/>
        <w:spacing w:line="360" w:lineRule="auto"/>
        <w:rPr>
          <w:rFonts w:ascii="宋体" w:hAnsi="宋体" w:eastAsia="宋体"/>
          <w:color w:val="auto"/>
          <w:highlight w:val="none"/>
        </w:rPr>
      </w:pPr>
      <w:r>
        <w:rPr>
          <w:rFonts w:hint="eastAsia" w:ascii="宋体" w:hAnsi="宋体" w:eastAsia="宋体"/>
          <w:color w:val="auto"/>
          <w:highlight w:val="none"/>
        </w:rPr>
        <w:t>信息集成引擎</w:t>
      </w:r>
    </w:p>
    <w:tbl>
      <w:tblPr>
        <w:tblStyle w:val="43"/>
        <w:tblW w:w="0" w:type="auto"/>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autofit"/>
        <w:tblCellMar>
          <w:top w:w="0" w:type="dxa"/>
          <w:left w:w="108" w:type="dxa"/>
          <w:bottom w:w="0" w:type="dxa"/>
          <w:right w:w="108" w:type="dxa"/>
        </w:tblCellMar>
      </w:tblPr>
      <w:tblGrid>
        <w:gridCol w:w="1494"/>
        <w:gridCol w:w="7792"/>
      </w:tblGrid>
      <w:tr w14:paraId="3B0DC31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31C6508F">
            <w:pPr>
              <w:adjustRightInd w:val="0"/>
              <w:snapToGrid w:val="0"/>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功能列表</w:t>
            </w:r>
          </w:p>
        </w:tc>
        <w:tc>
          <w:tcPr>
            <w:tcW w:w="7792" w:type="dxa"/>
            <w:tcBorders>
              <w:top w:val="single" w:color="auto" w:sz="4" w:space="0"/>
              <w:left w:val="single" w:color="auto" w:sz="4" w:space="0"/>
              <w:bottom w:val="single" w:color="auto" w:sz="4" w:space="0"/>
              <w:right w:val="single" w:color="auto" w:sz="6" w:space="0"/>
            </w:tcBorders>
            <w:vAlign w:val="center"/>
          </w:tcPr>
          <w:p w14:paraId="5FB4A4D6">
            <w:pPr>
              <w:adjustRightInd w:val="0"/>
              <w:snapToGrid w:val="0"/>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技术要求</w:t>
            </w:r>
          </w:p>
        </w:tc>
      </w:tr>
      <w:tr w14:paraId="23B4FDC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2FDC2BA4">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支持多种协议</w:t>
            </w:r>
          </w:p>
        </w:tc>
        <w:tc>
          <w:tcPr>
            <w:tcW w:w="7792" w:type="dxa"/>
            <w:tcBorders>
              <w:top w:val="single" w:color="auto" w:sz="4" w:space="0"/>
              <w:left w:val="single" w:color="auto" w:sz="4" w:space="0"/>
              <w:bottom w:val="single" w:color="auto" w:sz="4" w:space="0"/>
              <w:right w:val="single" w:color="auto" w:sz="6" w:space="0"/>
            </w:tcBorders>
            <w:vAlign w:val="center"/>
          </w:tcPr>
          <w:p w14:paraId="1E0B5AD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具备Socket、WebService、</w:t>
            </w:r>
            <w:r>
              <w:rPr>
                <w:rFonts w:ascii="宋体" w:hAnsi="宋体" w:eastAsia="宋体"/>
                <w:color w:val="auto"/>
                <w:highlight w:val="none"/>
              </w:rPr>
              <w:t>TCP、SOAP、HTTP、FIlE</w:t>
            </w:r>
            <w:r>
              <w:rPr>
                <w:rFonts w:hint="eastAsia" w:ascii="宋体" w:hAnsi="宋体" w:eastAsia="宋体"/>
                <w:color w:val="auto"/>
                <w:highlight w:val="none"/>
              </w:rPr>
              <w:t>、FTP</w:t>
            </w:r>
            <w:r>
              <w:rPr>
                <w:rFonts w:ascii="宋体" w:hAnsi="宋体" w:eastAsia="宋体"/>
                <w:color w:val="auto"/>
                <w:highlight w:val="none"/>
              </w:rPr>
              <w:t>等</w:t>
            </w:r>
            <w:r>
              <w:rPr>
                <w:rFonts w:hint="eastAsia" w:ascii="宋体" w:hAnsi="宋体" w:eastAsia="宋体"/>
                <w:color w:val="auto"/>
                <w:highlight w:val="none"/>
              </w:rPr>
              <w:t>协议连接能力，以及与其他协议相互的转换能力。</w:t>
            </w:r>
          </w:p>
        </w:tc>
      </w:tr>
      <w:tr w14:paraId="32D338F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20C5EA36">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数据库访问</w:t>
            </w:r>
          </w:p>
        </w:tc>
        <w:tc>
          <w:tcPr>
            <w:tcW w:w="7792" w:type="dxa"/>
            <w:tcBorders>
              <w:top w:val="single" w:color="auto" w:sz="4" w:space="0"/>
              <w:left w:val="single" w:color="auto" w:sz="4" w:space="0"/>
              <w:bottom w:val="single" w:color="auto" w:sz="4" w:space="0"/>
              <w:right w:val="single" w:color="auto" w:sz="6" w:space="0"/>
            </w:tcBorders>
            <w:vAlign w:val="center"/>
          </w:tcPr>
          <w:p w14:paraId="1D96ABD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具备Database的连接能力,同时支持JDBC和ODBC连接方式，以及与Socket协议和WebService的相互转换能力。</w:t>
            </w:r>
          </w:p>
        </w:tc>
      </w:tr>
      <w:tr w14:paraId="4FB7E62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21BFDAFA">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动态路由</w:t>
            </w:r>
          </w:p>
        </w:tc>
        <w:tc>
          <w:tcPr>
            <w:tcW w:w="7792" w:type="dxa"/>
            <w:tcBorders>
              <w:top w:val="single" w:color="auto" w:sz="4" w:space="0"/>
              <w:left w:val="single" w:color="auto" w:sz="4" w:space="0"/>
              <w:bottom w:val="single" w:color="auto" w:sz="4" w:space="0"/>
              <w:right w:val="single" w:color="auto" w:sz="6" w:space="0"/>
            </w:tcBorders>
            <w:vAlign w:val="center"/>
          </w:tcPr>
          <w:p w14:paraId="44C883D8">
            <w:pPr>
              <w:numPr>
                <w:ilvl w:val="0"/>
                <w:numId w:val="20"/>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提供图形化路由配置模块；</w:t>
            </w:r>
          </w:p>
          <w:p w14:paraId="338A1C44">
            <w:pPr>
              <w:numPr>
                <w:ilvl w:val="0"/>
                <w:numId w:val="20"/>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提供动态调整路由机制，并支持不停服务动态调整；</w:t>
            </w:r>
          </w:p>
          <w:p w14:paraId="6B190125">
            <w:pPr>
              <w:numPr>
                <w:ilvl w:val="0"/>
                <w:numId w:val="20"/>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支持一对一、一对多、多对一路由转发。</w:t>
            </w:r>
          </w:p>
        </w:tc>
      </w:tr>
      <w:tr w14:paraId="001AB22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6C65D0F9">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数据转换</w:t>
            </w:r>
          </w:p>
        </w:tc>
        <w:tc>
          <w:tcPr>
            <w:tcW w:w="7792" w:type="dxa"/>
            <w:tcBorders>
              <w:top w:val="single" w:color="auto" w:sz="4" w:space="0"/>
              <w:left w:val="single" w:color="auto" w:sz="4" w:space="0"/>
              <w:bottom w:val="single" w:color="auto" w:sz="4" w:space="0"/>
              <w:right w:val="single" w:color="auto" w:sz="6" w:space="0"/>
            </w:tcBorders>
            <w:vAlign w:val="center"/>
          </w:tcPr>
          <w:p w14:paraId="11AA848F">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1、</w:t>
            </w:r>
            <w:r>
              <w:rPr>
                <w:rFonts w:hint="eastAsia" w:ascii="宋体" w:hAnsi="宋体" w:eastAsia="宋体"/>
                <w:color w:val="auto"/>
                <w:highlight w:val="none"/>
              </w:rPr>
              <w:t>提供图形化向导驱动的异构信息模型动态映射配置；</w:t>
            </w:r>
          </w:p>
          <w:p w14:paraId="300FF27C">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2、</w:t>
            </w:r>
            <w:r>
              <w:rPr>
                <w:rFonts w:hint="eastAsia" w:ascii="宋体" w:hAnsi="宋体" w:eastAsia="宋体"/>
                <w:color w:val="auto"/>
                <w:highlight w:val="none"/>
              </w:rPr>
              <w:t>支持以拖拉动作完成数据模型映射；</w:t>
            </w:r>
          </w:p>
          <w:p w14:paraId="07CAAFC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w:t>
            </w:r>
            <w:r>
              <w:rPr>
                <w:rFonts w:ascii="宋体" w:hAnsi="宋体" w:eastAsia="宋体"/>
                <w:color w:val="auto"/>
                <w:highlight w:val="none"/>
              </w:rPr>
              <w:t>、</w:t>
            </w:r>
            <w:r>
              <w:rPr>
                <w:rFonts w:hint="eastAsia" w:ascii="宋体" w:hAnsi="宋体" w:eastAsia="宋体"/>
                <w:color w:val="auto"/>
                <w:highlight w:val="none"/>
              </w:rPr>
              <w:t>支持异构系统之间的数据模型定义及处理；</w:t>
            </w:r>
          </w:p>
          <w:p w14:paraId="42D41D0F">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4、</w:t>
            </w:r>
            <w:r>
              <w:rPr>
                <w:rFonts w:hint="eastAsia" w:ascii="宋体" w:hAnsi="宋体" w:eastAsia="宋体"/>
                <w:color w:val="auto"/>
                <w:highlight w:val="none"/>
              </w:rPr>
              <w:t>支持XSLT数据模型定义及处理；</w:t>
            </w:r>
          </w:p>
          <w:p w14:paraId="2FE2039E">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5、</w:t>
            </w:r>
            <w:r>
              <w:rPr>
                <w:rFonts w:hint="eastAsia" w:ascii="宋体" w:hAnsi="宋体" w:eastAsia="宋体"/>
                <w:color w:val="auto"/>
                <w:highlight w:val="none"/>
              </w:rPr>
              <w:t>支持HL7标准的解析与映射。</w:t>
            </w:r>
          </w:p>
        </w:tc>
      </w:tr>
      <w:tr w14:paraId="5897643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437CE703">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业务流程建模</w:t>
            </w:r>
          </w:p>
        </w:tc>
        <w:tc>
          <w:tcPr>
            <w:tcW w:w="7792" w:type="dxa"/>
            <w:tcBorders>
              <w:top w:val="single" w:color="auto" w:sz="4" w:space="0"/>
              <w:left w:val="single" w:color="auto" w:sz="4" w:space="0"/>
              <w:bottom w:val="single" w:color="auto" w:sz="4" w:space="0"/>
              <w:right w:val="single" w:color="auto" w:sz="6" w:space="0"/>
            </w:tcBorders>
            <w:vAlign w:val="center"/>
          </w:tcPr>
          <w:p w14:paraId="45FC5E5B">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1、具有面向对象的编程模型</w:t>
            </w:r>
            <w:r>
              <w:rPr>
                <w:rFonts w:hint="eastAsia" w:ascii="宋体" w:hAnsi="宋体" w:eastAsia="宋体"/>
                <w:color w:val="auto"/>
                <w:highlight w:val="none"/>
              </w:rPr>
              <w:t>；</w:t>
            </w:r>
          </w:p>
          <w:p w14:paraId="1EAB1AC9">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2、含有建模组件，允许业务用户定义、查看和管理复杂的跨应用流程</w:t>
            </w:r>
            <w:r>
              <w:rPr>
                <w:rFonts w:hint="eastAsia" w:ascii="宋体" w:hAnsi="宋体" w:eastAsia="宋体"/>
                <w:color w:val="auto"/>
                <w:highlight w:val="none"/>
              </w:rPr>
              <w:t>；</w:t>
            </w:r>
          </w:p>
          <w:p w14:paraId="1A5AC0EC">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3、提供可视化流程编辑器和代码两种形式定义流程和整合逻辑，提供全过程服务</w:t>
            </w:r>
            <w:r>
              <w:rPr>
                <w:rFonts w:hint="eastAsia" w:ascii="宋体" w:hAnsi="宋体" w:eastAsia="宋体"/>
                <w:color w:val="auto"/>
                <w:highlight w:val="none"/>
              </w:rPr>
              <w:t>；</w:t>
            </w:r>
          </w:p>
          <w:p w14:paraId="7C45AE5D">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4、平台内建图形建模工具</w:t>
            </w:r>
            <w:r>
              <w:rPr>
                <w:rFonts w:hint="eastAsia" w:ascii="宋体" w:hAnsi="宋体" w:eastAsia="宋体"/>
                <w:color w:val="auto"/>
                <w:highlight w:val="none"/>
              </w:rPr>
              <w:t>；</w:t>
            </w:r>
          </w:p>
          <w:p w14:paraId="4AC63420">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5、通过图形化的方式查看定义的所有流程信息，包括流程名称，运行状态，发送方，接收方等</w:t>
            </w:r>
            <w:r>
              <w:rPr>
                <w:rFonts w:hint="eastAsia" w:ascii="宋体" w:hAnsi="宋体" w:eastAsia="宋体"/>
                <w:color w:val="auto"/>
                <w:highlight w:val="none"/>
              </w:rPr>
              <w:t>；</w:t>
            </w:r>
          </w:p>
          <w:p w14:paraId="733DF88C">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6、具有流程注册，修改，删除功能</w:t>
            </w:r>
            <w:r>
              <w:rPr>
                <w:rFonts w:hint="eastAsia" w:ascii="宋体" w:hAnsi="宋体" w:eastAsia="宋体"/>
                <w:color w:val="auto"/>
                <w:highlight w:val="none"/>
              </w:rPr>
              <w:t>；</w:t>
            </w:r>
          </w:p>
          <w:p w14:paraId="50F4392A">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7、具有流程配置及监控功能</w:t>
            </w:r>
            <w:r>
              <w:rPr>
                <w:rFonts w:hint="eastAsia" w:ascii="宋体" w:hAnsi="宋体" w:eastAsia="宋体"/>
                <w:color w:val="auto"/>
                <w:highlight w:val="none"/>
              </w:rPr>
              <w:t>；</w:t>
            </w:r>
          </w:p>
          <w:p w14:paraId="099230D1">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8、具有流程报警功能</w:t>
            </w:r>
            <w:r>
              <w:rPr>
                <w:rFonts w:hint="eastAsia" w:ascii="宋体" w:hAnsi="宋体" w:eastAsia="宋体"/>
                <w:color w:val="auto"/>
                <w:highlight w:val="none"/>
              </w:rPr>
              <w:t>；</w:t>
            </w:r>
          </w:p>
          <w:p w14:paraId="6C271AF3">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9、提供图形化快速配置业务流程功能</w:t>
            </w:r>
            <w:r>
              <w:rPr>
                <w:rFonts w:hint="eastAsia" w:ascii="宋体" w:hAnsi="宋体" w:eastAsia="宋体"/>
                <w:color w:val="auto"/>
                <w:highlight w:val="none"/>
              </w:rPr>
              <w:t>；</w:t>
            </w:r>
          </w:p>
          <w:p w14:paraId="6B4EB5D4">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10、提供在线调整业务流程模型功能</w:t>
            </w:r>
            <w:r>
              <w:rPr>
                <w:rFonts w:hint="eastAsia" w:ascii="宋体" w:hAnsi="宋体" w:eastAsia="宋体"/>
                <w:color w:val="auto"/>
                <w:highlight w:val="none"/>
              </w:rPr>
              <w:t>。</w:t>
            </w:r>
          </w:p>
        </w:tc>
      </w:tr>
      <w:tr w14:paraId="3315EE4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3D5AD235">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开发与运行效率</w:t>
            </w:r>
          </w:p>
        </w:tc>
        <w:tc>
          <w:tcPr>
            <w:tcW w:w="7792" w:type="dxa"/>
            <w:tcBorders>
              <w:top w:val="single" w:color="auto" w:sz="4" w:space="0"/>
              <w:left w:val="single" w:color="auto" w:sz="4" w:space="0"/>
              <w:bottom w:val="single" w:color="auto" w:sz="4" w:space="0"/>
              <w:right w:val="single" w:color="auto" w:sz="6" w:space="0"/>
            </w:tcBorders>
            <w:vAlign w:val="center"/>
          </w:tcPr>
          <w:p w14:paraId="1F81A6DB">
            <w:pPr>
              <w:widowControl w:val="0"/>
              <w:numPr>
                <w:ilvl w:val="0"/>
                <w:numId w:val="21"/>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提供BS和CS版的开发工具，增强开发便捷性</w:t>
            </w:r>
            <w:r>
              <w:rPr>
                <w:rFonts w:hint="eastAsia" w:ascii="宋体" w:hAnsi="宋体" w:eastAsia="宋体"/>
                <w:color w:val="auto"/>
                <w:highlight w:val="none"/>
              </w:rPr>
              <w:t>；</w:t>
            </w:r>
          </w:p>
          <w:p w14:paraId="62ADF1CB">
            <w:pPr>
              <w:widowControl w:val="0"/>
              <w:numPr>
                <w:ilvl w:val="0"/>
                <w:numId w:val="21"/>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内置消息中间件引擎,确保消息不丢失；</w:t>
            </w:r>
          </w:p>
          <w:p w14:paraId="3936322C">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3、</w:t>
            </w:r>
            <w:r>
              <w:rPr>
                <w:rFonts w:hint="eastAsia" w:ascii="宋体" w:hAnsi="宋体" w:eastAsia="宋体"/>
                <w:color w:val="auto"/>
                <w:highlight w:val="none"/>
              </w:rPr>
              <w:t>提供简单易用的web测试和调试功能，可以在节点连线和配置脚本上设置断点，在友好的图形界面展示消息的变化调试应用；</w:t>
            </w:r>
          </w:p>
          <w:p w14:paraId="5D7153A2">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4、</w:t>
            </w:r>
            <w:r>
              <w:rPr>
                <w:rFonts w:hint="eastAsia" w:ascii="宋体" w:hAnsi="宋体" w:eastAsia="宋体"/>
                <w:color w:val="auto"/>
                <w:highlight w:val="none"/>
              </w:rPr>
              <w:t>基于图形界面。</w:t>
            </w:r>
          </w:p>
        </w:tc>
      </w:tr>
      <w:tr w14:paraId="2B04BEBB">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35EDD120">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服务配置</w:t>
            </w:r>
          </w:p>
        </w:tc>
        <w:tc>
          <w:tcPr>
            <w:tcW w:w="7792" w:type="dxa"/>
            <w:tcBorders>
              <w:top w:val="single" w:color="auto" w:sz="4" w:space="0"/>
              <w:left w:val="single" w:color="auto" w:sz="4" w:space="0"/>
              <w:bottom w:val="single" w:color="auto" w:sz="4" w:space="0"/>
              <w:right w:val="single" w:color="auto" w:sz="6" w:space="0"/>
            </w:tcBorders>
            <w:vAlign w:val="center"/>
          </w:tcPr>
          <w:p w14:paraId="3D361495">
            <w:pPr>
              <w:widowControl w:val="0"/>
              <w:numPr>
                <w:ilvl w:val="0"/>
                <w:numId w:val="22"/>
              </w:numPr>
              <w:adjustRightInd w:val="0"/>
              <w:snapToGrid w:val="0"/>
              <w:spacing w:line="360" w:lineRule="auto"/>
              <w:ind w:left="420" w:hanging="420"/>
              <w:jc w:val="both"/>
              <w:rPr>
                <w:rFonts w:ascii="宋体" w:hAnsi="宋体" w:eastAsia="宋体"/>
                <w:color w:val="auto"/>
                <w:highlight w:val="none"/>
              </w:rPr>
            </w:pPr>
            <w:r>
              <w:rPr>
                <w:rFonts w:ascii="宋体" w:hAnsi="宋体" w:eastAsia="宋体"/>
                <w:color w:val="auto"/>
                <w:highlight w:val="none"/>
              </w:rPr>
              <w:t>提供服务超时配置</w:t>
            </w:r>
            <w:r>
              <w:rPr>
                <w:rFonts w:hint="eastAsia" w:ascii="宋体" w:hAnsi="宋体" w:eastAsia="宋体"/>
                <w:color w:val="auto"/>
                <w:highlight w:val="none"/>
              </w:rPr>
              <w:t>；</w:t>
            </w:r>
          </w:p>
          <w:p w14:paraId="40488CC0">
            <w:pPr>
              <w:widowControl w:val="0"/>
              <w:numPr>
                <w:ilvl w:val="0"/>
                <w:numId w:val="22"/>
              </w:numPr>
              <w:adjustRightInd w:val="0"/>
              <w:snapToGrid w:val="0"/>
              <w:spacing w:line="360" w:lineRule="auto"/>
              <w:ind w:left="420" w:hanging="420"/>
              <w:jc w:val="both"/>
              <w:rPr>
                <w:rFonts w:ascii="宋体" w:hAnsi="宋体" w:eastAsia="宋体"/>
                <w:color w:val="auto"/>
                <w:highlight w:val="none"/>
              </w:rPr>
            </w:pPr>
            <w:r>
              <w:rPr>
                <w:rFonts w:ascii="宋体" w:hAnsi="宋体" w:eastAsia="宋体"/>
                <w:color w:val="auto"/>
                <w:highlight w:val="none"/>
              </w:rPr>
              <w:t>提供服务重发配置</w:t>
            </w:r>
            <w:r>
              <w:rPr>
                <w:rFonts w:hint="eastAsia" w:ascii="宋体" w:hAnsi="宋体" w:eastAsia="宋体"/>
                <w:color w:val="auto"/>
                <w:highlight w:val="none"/>
              </w:rPr>
              <w:t>；</w:t>
            </w:r>
          </w:p>
          <w:p w14:paraId="2D0E002D">
            <w:pPr>
              <w:widowControl w:val="0"/>
              <w:numPr>
                <w:ilvl w:val="0"/>
                <w:numId w:val="22"/>
              </w:numPr>
              <w:adjustRightInd w:val="0"/>
              <w:snapToGrid w:val="0"/>
              <w:spacing w:line="360" w:lineRule="auto"/>
              <w:ind w:left="420" w:hanging="420"/>
              <w:jc w:val="both"/>
              <w:rPr>
                <w:rFonts w:ascii="宋体" w:hAnsi="宋体" w:eastAsia="宋体"/>
                <w:color w:val="auto"/>
                <w:highlight w:val="none"/>
              </w:rPr>
            </w:pPr>
            <w:r>
              <w:rPr>
                <w:rFonts w:ascii="宋体" w:hAnsi="宋体" w:eastAsia="宋体"/>
                <w:color w:val="auto"/>
                <w:highlight w:val="none"/>
              </w:rPr>
              <w:t>提供启用和关闭日志配置功能，方便单个服务排错调试</w:t>
            </w:r>
            <w:r>
              <w:rPr>
                <w:rFonts w:hint="eastAsia" w:ascii="宋体" w:hAnsi="宋体" w:eastAsia="宋体"/>
                <w:color w:val="auto"/>
                <w:highlight w:val="none"/>
              </w:rPr>
              <w:t>；</w:t>
            </w:r>
          </w:p>
          <w:p w14:paraId="01B38D70">
            <w:pPr>
              <w:widowControl w:val="0"/>
              <w:numPr>
                <w:ilvl w:val="0"/>
                <w:numId w:val="22"/>
              </w:numPr>
              <w:adjustRightInd w:val="0"/>
              <w:snapToGrid w:val="0"/>
              <w:spacing w:line="360" w:lineRule="auto"/>
              <w:ind w:left="420" w:hanging="420"/>
              <w:jc w:val="both"/>
              <w:rPr>
                <w:rFonts w:ascii="宋体" w:hAnsi="宋体" w:eastAsia="宋体"/>
                <w:color w:val="auto"/>
                <w:highlight w:val="none"/>
              </w:rPr>
            </w:pPr>
            <w:r>
              <w:rPr>
                <w:rFonts w:ascii="宋体" w:hAnsi="宋体" w:eastAsia="宋体"/>
                <w:color w:val="auto"/>
                <w:highlight w:val="none"/>
              </w:rPr>
              <w:t>支持服务并发数量配置</w:t>
            </w:r>
            <w:r>
              <w:rPr>
                <w:rFonts w:hint="eastAsia" w:ascii="宋体" w:hAnsi="宋体" w:eastAsia="宋体"/>
                <w:color w:val="auto"/>
                <w:highlight w:val="none"/>
              </w:rPr>
              <w:t>。</w:t>
            </w:r>
          </w:p>
        </w:tc>
      </w:tr>
      <w:tr w14:paraId="70FB660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7C419689">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交易跟踪</w:t>
            </w:r>
          </w:p>
        </w:tc>
        <w:tc>
          <w:tcPr>
            <w:tcW w:w="7792" w:type="dxa"/>
            <w:tcBorders>
              <w:top w:val="single" w:color="auto" w:sz="4" w:space="0"/>
              <w:left w:val="single" w:color="auto" w:sz="4" w:space="0"/>
              <w:bottom w:val="single" w:color="auto" w:sz="4" w:space="0"/>
              <w:right w:val="single" w:color="auto" w:sz="6" w:space="0"/>
            </w:tcBorders>
            <w:vAlign w:val="center"/>
          </w:tcPr>
          <w:p w14:paraId="3753D04E">
            <w:pPr>
              <w:widowControl w:val="0"/>
              <w:numPr>
                <w:ilvl w:val="0"/>
                <w:numId w:val="23"/>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提供交易的全流程跟踪，包括各节点详细出入参，交易时间等</w:t>
            </w:r>
            <w:r>
              <w:rPr>
                <w:rFonts w:hint="eastAsia" w:ascii="宋体" w:hAnsi="宋体" w:eastAsia="宋体"/>
                <w:color w:val="auto"/>
                <w:highlight w:val="none"/>
              </w:rPr>
              <w:t>；</w:t>
            </w:r>
          </w:p>
          <w:p w14:paraId="7F119B7C">
            <w:pPr>
              <w:widowControl w:val="0"/>
              <w:numPr>
                <w:ilvl w:val="0"/>
                <w:numId w:val="23"/>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提供交易跟踪可视化页面，页面包含错误告警信息，方便交易调试排错</w:t>
            </w:r>
            <w:r>
              <w:rPr>
                <w:rFonts w:hint="eastAsia" w:ascii="宋体" w:hAnsi="宋体" w:eastAsia="宋体"/>
                <w:color w:val="auto"/>
                <w:highlight w:val="none"/>
              </w:rPr>
              <w:t>。</w:t>
            </w:r>
          </w:p>
        </w:tc>
      </w:tr>
      <w:tr w14:paraId="60366A9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43E58B68">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服务告警</w:t>
            </w:r>
          </w:p>
        </w:tc>
        <w:tc>
          <w:tcPr>
            <w:tcW w:w="7792" w:type="dxa"/>
            <w:tcBorders>
              <w:top w:val="single" w:color="auto" w:sz="4" w:space="0"/>
              <w:left w:val="single" w:color="auto" w:sz="4" w:space="0"/>
              <w:bottom w:val="single" w:color="auto" w:sz="4" w:space="0"/>
              <w:right w:val="single" w:color="auto" w:sz="6" w:space="0"/>
            </w:tcBorders>
            <w:vAlign w:val="center"/>
          </w:tcPr>
          <w:p w14:paraId="7E0C982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ESB平台对告警的功能支持，以及与统一监控平台的整合能力。监控系统提供告警与监控指标数据，服务告警信息、监控指标可以支持</w:t>
            </w:r>
            <w:r>
              <w:rPr>
                <w:rFonts w:ascii="宋体" w:hAnsi="宋体" w:eastAsia="宋体"/>
                <w:color w:val="auto"/>
                <w:highlight w:val="none"/>
              </w:rPr>
              <w:t>短信、微信、钉钉</w:t>
            </w:r>
            <w:r>
              <w:rPr>
                <w:rFonts w:hint="eastAsia" w:ascii="宋体" w:hAnsi="宋体" w:eastAsia="宋体"/>
                <w:color w:val="auto"/>
                <w:highlight w:val="none"/>
              </w:rPr>
              <w:t>和EMAIL等任意手段，服务监控信息可以提供给统一监控平台,提供RESTFul的监控API。</w:t>
            </w:r>
          </w:p>
        </w:tc>
      </w:tr>
      <w:tr w14:paraId="583BB97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2BC23F35">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日志审计</w:t>
            </w:r>
          </w:p>
        </w:tc>
        <w:tc>
          <w:tcPr>
            <w:tcW w:w="7792" w:type="dxa"/>
            <w:tcBorders>
              <w:top w:val="single" w:color="auto" w:sz="4" w:space="0"/>
              <w:left w:val="single" w:color="auto" w:sz="4" w:space="0"/>
              <w:bottom w:val="single" w:color="auto" w:sz="4" w:space="0"/>
              <w:right w:val="single" w:color="auto" w:sz="6" w:space="0"/>
            </w:tcBorders>
            <w:vAlign w:val="center"/>
          </w:tcPr>
          <w:p w14:paraId="4EF72750">
            <w:pPr>
              <w:widowControl w:val="0"/>
              <w:numPr>
                <w:ilvl w:val="0"/>
                <w:numId w:val="24"/>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ESB平台能够记录服务交互的输入、输出数据报文信息，支持记录开关配置功能；</w:t>
            </w:r>
          </w:p>
          <w:p w14:paraId="6DCDE55F">
            <w:pPr>
              <w:widowControl w:val="0"/>
              <w:numPr>
                <w:ilvl w:val="0"/>
                <w:numId w:val="24"/>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提供日志查询过滤功能</w:t>
            </w:r>
            <w:r>
              <w:rPr>
                <w:rFonts w:hint="eastAsia" w:ascii="宋体" w:hAnsi="宋体" w:eastAsia="宋体"/>
                <w:color w:val="auto"/>
                <w:highlight w:val="none"/>
              </w:rPr>
              <w:t>；</w:t>
            </w:r>
          </w:p>
          <w:p w14:paraId="58742359">
            <w:pPr>
              <w:widowControl w:val="0"/>
              <w:numPr>
                <w:ilvl w:val="0"/>
                <w:numId w:val="24"/>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提供日志定期清理功能</w:t>
            </w:r>
            <w:r>
              <w:rPr>
                <w:rFonts w:hint="eastAsia" w:ascii="宋体" w:hAnsi="宋体" w:eastAsia="宋体"/>
                <w:color w:val="auto"/>
                <w:highlight w:val="none"/>
              </w:rPr>
              <w:t>。</w:t>
            </w:r>
          </w:p>
        </w:tc>
      </w:tr>
      <w:tr w14:paraId="7BD3793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29A92C30">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数据库方式认证和授权</w:t>
            </w:r>
          </w:p>
        </w:tc>
        <w:tc>
          <w:tcPr>
            <w:tcW w:w="7792" w:type="dxa"/>
            <w:tcBorders>
              <w:top w:val="single" w:color="auto" w:sz="4" w:space="0"/>
              <w:left w:val="single" w:color="auto" w:sz="4" w:space="0"/>
              <w:bottom w:val="single" w:color="auto" w:sz="4" w:space="0"/>
              <w:right w:val="single" w:color="auto" w:sz="6" w:space="0"/>
            </w:tcBorders>
            <w:vAlign w:val="center"/>
          </w:tcPr>
          <w:p w14:paraId="7317119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在认证授权功能方面的表现情况，ESB总线的安全性能力，可以对外来访问WebService客户端进行用户认证和访问权限的控制，认证和授权采用数据库的方式。</w:t>
            </w:r>
          </w:p>
        </w:tc>
      </w:tr>
      <w:tr w14:paraId="7076C82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6695F2B8">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IP访问控制</w:t>
            </w:r>
          </w:p>
        </w:tc>
        <w:tc>
          <w:tcPr>
            <w:tcW w:w="7792" w:type="dxa"/>
            <w:tcBorders>
              <w:top w:val="single" w:color="auto" w:sz="4" w:space="0"/>
              <w:left w:val="single" w:color="auto" w:sz="4" w:space="0"/>
              <w:bottom w:val="single" w:color="auto" w:sz="4" w:space="0"/>
              <w:right w:val="single" w:color="auto" w:sz="6" w:space="0"/>
            </w:tcBorders>
            <w:vAlign w:val="center"/>
          </w:tcPr>
          <w:p w14:paraId="2CC6138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在IP访问控制的表现情况，体现ESB总线的安全性能力。</w:t>
            </w:r>
          </w:p>
        </w:tc>
      </w:tr>
      <w:tr w14:paraId="2BD85EC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0B1C7DC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HTTPS支持</w:t>
            </w:r>
          </w:p>
        </w:tc>
        <w:tc>
          <w:tcPr>
            <w:tcW w:w="7792" w:type="dxa"/>
            <w:tcBorders>
              <w:top w:val="single" w:color="auto" w:sz="4" w:space="0"/>
              <w:left w:val="single" w:color="auto" w:sz="4" w:space="0"/>
              <w:bottom w:val="single" w:color="auto" w:sz="4" w:space="0"/>
              <w:right w:val="single" w:color="auto" w:sz="6" w:space="0"/>
            </w:tcBorders>
            <w:vAlign w:val="center"/>
          </w:tcPr>
          <w:p w14:paraId="08FC496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在HTTPS的表现情况，体现ESB总线的安全性能力。</w:t>
            </w:r>
          </w:p>
        </w:tc>
      </w:tr>
      <w:tr w14:paraId="431AA16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0A3736E1">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优先级处理</w:t>
            </w:r>
          </w:p>
        </w:tc>
        <w:tc>
          <w:tcPr>
            <w:tcW w:w="7792" w:type="dxa"/>
            <w:tcBorders>
              <w:top w:val="single" w:color="auto" w:sz="4" w:space="0"/>
              <w:left w:val="single" w:color="auto" w:sz="4" w:space="0"/>
              <w:bottom w:val="single" w:color="auto" w:sz="4" w:space="0"/>
              <w:right w:val="single" w:color="auto" w:sz="6" w:space="0"/>
            </w:tcBorders>
            <w:vAlign w:val="center"/>
          </w:tcPr>
          <w:p w14:paraId="2E5BF55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根据请求内容的优先级来分支到不同的处理流程。</w:t>
            </w:r>
          </w:p>
        </w:tc>
      </w:tr>
      <w:tr w14:paraId="7A27A550">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50F17CAA">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兼容性</w:t>
            </w:r>
          </w:p>
        </w:tc>
        <w:tc>
          <w:tcPr>
            <w:tcW w:w="7792" w:type="dxa"/>
            <w:tcBorders>
              <w:top w:val="single" w:color="auto" w:sz="4" w:space="0"/>
              <w:left w:val="single" w:color="auto" w:sz="4" w:space="0"/>
              <w:bottom w:val="single" w:color="auto" w:sz="4" w:space="0"/>
              <w:right w:val="single" w:color="auto" w:sz="6" w:space="0"/>
            </w:tcBorders>
            <w:vAlign w:val="center"/>
          </w:tcPr>
          <w:p w14:paraId="66938AD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1</w:t>
            </w:r>
            <w:r>
              <w:rPr>
                <w:rFonts w:ascii="宋体" w:hAnsi="宋体" w:eastAsia="宋体"/>
                <w:color w:val="auto"/>
                <w:highlight w:val="none"/>
              </w:rPr>
              <w:t>、</w:t>
            </w:r>
            <w:r>
              <w:rPr>
                <w:rFonts w:hint="eastAsia" w:ascii="宋体" w:hAnsi="宋体" w:eastAsia="宋体"/>
                <w:color w:val="auto"/>
                <w:highlight w:val="none"/>
              </w:rPr>
              <w:t>支持32位、64位的操作系统和硬件平台；</w:t>
            </w:r>
          </w:p>
          <w:p w14:paraId="3881653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2</w:t>
            </w:r>
            <w:r>
              <w:rPr>
                <w:rFonts w:ascii="宋体" w:hAnsi="宋体" w:eastAsia="宋体"/>
                <w:color w:val="auto"/>
                <w:highlight w:val="none"/>
              </w:rPr>
              <w:t>、</w:t>
            </w:r>
            <w:r>
              <w:rPr>
                <w:rFonts w:hint="eastAsia" w:ascii="宋体" w:hAnsi="宋体" w:eastAsia="宋体"/>
                <w:color w:val="auto"/>
                <w:highlight w:val="none"/>
              </w:rPr>
              <w:t>产品</w:t>
            </w:r>
            <w:r>
              <w:rPr>
                <w:rFonts w:ascii="宋体" w:hAnsi="宋体" w:eastAsia="宋体"/>
                <w:color w:val="auto"/>
                <w:highlight w:val="none"/>
              </w:rPr>
              <w:t>支持</w:t>
            </w:r>
            <w:r>
              <w:rPr>
                <w:rFonts w:hint="eastAsia" w:ascii="宋体" w:hAnsi="宋体" w:eastAsia="宋体"/>
                <w:color w:val="auto"/>
                <w:highlight w:val="none"/>
              </w:rPr>
              <w:t>虚拟化</w:t>
            </w:r>
            <w:r>
              <w:rPr>
                <w:rFonts w:ascii="宋体" w:hAnsi="宋体" w:eastAsia="宋体"/>
                <w:color w:val="auto"/>
                <w:highlight w:val="none"/>
              </w:rPr>
              <w:t>部署；</w:t>
            </w:r>
          </w:p>
          <w:p w14:paraId="5D0C3C0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3</w:t>
            </w:r>
            <w:r>
              <w:rPr>
                <w:rFonts w:ascii="宋体" w:hAnsi="宋体" w:eastAsia="宋体"/>
                <w:color w:val="auto"/>
                <w:highlight w:val="none"/>
              </w:rPr>
              <w:t>、</w:t>
            </w:r>
            <w:r>
              <w:rPr>
                <w:rFonts w:hint="eastAsia" w:ascii="宋体" w:hAnsi="宋体" w:eastAsia="宋体"/>
                <w:color w:val="auto"/>
                <w:highlight w:val="none"/>
              </w:rPr>
              <w:t>提供各种接口，连接各种数据库、数据仓库、现有应用软件系统、主机系统。用户可以之间通过SQL进行和数据库的操作，如把数据存入数据库，从数据库中取数据等。</w:t>
            </w:r>
          </w:p>
        </w:tc>
      </w:tr>
      <w:tr w14:paraId="1F160CE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22FD3189">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稳定可靠性</w:t>
            </w:r>
          </w:p>
        </w:tc>
        <w:tc>
          <w:tcPr>
            <w:tcW w:w="7792" w:type="dxa"/>
            <w:tcBorders>
              <w:top w:val="single" w:color="auto" w:sz="4" w:space="0"/>
              <w:left w:val="single" w:color="auto" w:sz="4" w:space="0"/>
              <w:bottom w:val="single" w:color="auto" w:sz="4" w:space="0"/>
              <w:right w:val="single" w:color="auto" w:sz="6" w:space="0"/>
            </w:tcBorders>
            <w:vAlign w:val="center"/>
          </w:tcPr>
          <w:p w14:paraId="6A58F34D">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1、</w:t>
            </w:r>
            <w:r>
              <w:rPr>
                <w:rFonts w:hint="eastAsia" w:ascii="宋体" w:hAnsi="宋体" w:eastAsia="宋体"/>
                <w:color w:val="auto"/>
                <w:highlight w:val="none"/>
              </w:rPr>
              <w:t>提供高可用解决方案，保障系统级别的稳定性和可靠性；</w:t>
            </w:r>
          </w:p>
          <w:p w14:paraId="1A4F42BF">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2、</w:t>
            </w:r>
            <w:r>
              <w:rPr>
                <w:rFonts w:hint="eastAsia" w:ascii="宋体" w:hAnsi="宋体" w:eastAsia="宋体"/>
                <w:color w:val="auto"/>
                <w:highlight w:val="none"/>
              </w:rPr>
              <w:t>集成多维度监视器，队列，作业，托管告警，保障平台服务稳定运行；</w:t>
            </w:r>
          </w:p>
          <w:p w14:paraId="31D6FA27">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3、</w:t>
            </w:r>
            <w:r>
              <w:rPr>
                <w:rFonts w:hint="eastAsia" w:ascii="宋体" w:hAnsi="宋体" w:eastAsia="宋体"/>
                <w:color w:val="auto"/>
                <w:highlight w:val="none"/>
              </w:rPr>
              <w:t>提供短信、邮件等智能化预警管理，提高故障处理的及时性和准确性。</w:t>
            </w:r>
          </w:p>
        </w:tc>
      </w:tr>
      <w:tr w14:paraId="275E0C5B">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jc w:val="center"/>
        </w:trPr>
        <w:tc>
          <w:tcPr>
            <w:tcW w:w="1494" w:type="dxa"/>
            <w:tcBorders>
              <w:top w:val="single" w:color="auto" w:sz="4" w:space="0"/>
              <w:left w:val="single" w:color="auto" w:sz="4" w:space="0"/>
              <w:bottom w:val="single" w:color="auto" w:sz="4" w:space="0"/>
              <w:right w:val="single" w:color="auto" w:sz="4" w:space="0"/>
            </w:tcBorders>
            <w:vAlign w:val="center"/>
          </w:tcPr>
          <w:p w14:paraId="1B1B3FD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医疗连接包</w:t>
            </w:r>
          </w:p>
        </w:tc>
        <w:tc>
          <w:tcPr>
            <w:tcW w:w="7792" w:type="dxa"/>
            <w:tcBorders>
              <w:top w:val="single" w:color="auto" w:sz="4" w:space="0"/>
              <w:left w:val="single" w:color="auto" w:sz="4" w:space="0"/>
              <w:bottom w:val="single" w:color="auto" w:sz="4" w:space="0"/>
              <w:right w:val="single" w:color="auto" w:sz="6" w:space="0"/>
            </w:tcBorders>
            <w:vAlign w:val="center"/>
          </w:tcPr>
          <w:p w14:paraId="39496E62">
            <w:pPr>
              <w:numPr>
                <w:ilvl w:val="0"/>
                <w:numId w:val="25"/>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支持国际标准和中国医疗数据标准HL7（Health Level Seven）v2.x、 v3.0等版本</w:t>
            </w:r>
            <w:r>
              <w:rPr>
                <w:rFonts w:ascii="宋体" w:hAnsi="宋体" w:eastAsia="宋体"/>
                <w:color w:val="auto"/>
                <w:highlight w:val="none"/>
              </w:rPr>
              <w:t>、支持FHIR消息</w:t>
            </w:r>
            <w:r>
              <w:rPr>
                <w:rFonts w:hint="eastAsia" w:ascii="宋体" w:hAnsi="宋体" w:eastAsia="宋体"/>
                <w:color w:val="auto"/>
                <w:highlight w:val="none"/>
              </w:rPr>
              <w:t>和DICOM标准；</w:t>
            </w:r>
          </w:p>
          <w:p w14:paraId="478AD31B">
            <w:pPr>
              <w:numPr>
                <w:ilvl w:val="0"/>
                <w:numId w:val="25"/>
              </w:num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支持Minimal Lower Layer Protocol (MLLP)等传输协议，连接各类医疗设备；</w:t>
            </w:r>
          </w:p>
          <w:p w14:paraId="2EC5B88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3、参考IHE集成规范，完善和优化院内集成业务流程。</w:t>
            </w:r>
          </w:p>
        </w:tc>
      </w:tr>
    </w:tbl>
    <w:p w14:paraId="1C1DEB6B">
      <w:pPr>
        <w:spacing w:line="360" w:lineRule="auto"/>
        <w:rPr>
          <w:rFonts w:ascii="宋体" w:hAnsi="宋体" w:eastAsia="宋体"/>
          <w:color w:val="auto"/>
          <w:highlight w:val="none"/>
        </w:rPr>
      </w:pPr>
    </w:p>
    <w:p w14:paraId="4F288C2B">
      <w:pPr>
        <w:pStyle w:val="4"/>
        <w:spacing w:line="360" w:lineRule="auto"/>
        <w:rPr>
          <w:rFonts w:ascii="宋体" w:hAnsi="宋体" w:eastAsia="宋体"/>
          <w:color w:val="auto"/>
          <w:highlight w:val="none"/>
        </w:rPr>
      </w:pPr>
      <w:r>
        <w:rPr>
          <w:rFonts w:hint="eastAsia" w:ascii="宋体" w:hAnsi="宋体" w:eastAsia="宋体"/>
          <w:color w:val="auto"/>
          <w:highlight w:val="none"/>
        </w:rPr>
        <w:t>信息集成标准与规范服务</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9"/>
        <w:gridCol w:w="7777"/>
      </w:tblGrid>
      <w:tr w14:paraId="61518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14:paraId="2B32D640">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0" w:type="auto"/>
            <w:vAlign w:val="center"/>
          </w:tcPr>
          <w:p w14:paraId="32BEA278">
            <w:pPr>
              <w:tabs>
                <w:tab w:val="left" w:pos="951"/>
              </w:tabs>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1B92F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0" w:type="auto"/>
            <w:vAlign w:val="center"/>
          </w:tcPr>
          <w:p w14:paraId="4544EC2A">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临床管理系统集成</w:t>
            </w:r>
          </w:p>
        </w:tc>
        <w:tc>
          <w:tcPr>
            <w:tcW w:w="0" w:type="auto"/>
            <w:vAlign w:val="center"/>
          </w:tcPr>
          <w:p w14:paraId="2D32FFF0">
            <w:pPr>
              <w:widowControl w:val="0"/>
              <w:numPr>
                <w:ilvl w:val="0"/>
                <w:numId w:val="26"/>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提供HIS、EMR、PACS、LIS、用血、心电、手麻等系统集成规范</w:t>
            </w:r>
            <w:r>
              <w:rPr>
                <w:rFonts w:hint="eastAsia" w:ascii="宋体" w:hAnsi="宋体" w:eastAsia="宋体"/>
                <w:color w:val="auto"/>
                <w:highlight w:val="none"/>
              </w:rPr>
              <w:t>；</w:t>
            </w:r>
          </w:p>
          <w:p w14:paraId="0CC81327">
            <w:pPr>
              <w:widowControl w:val="0"/>
              <w:numPr>
                <w:ilvl w:val="0"/>
                <w:numId w:val="26"/>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集成规范支持采用HL7交互协议、符合IHE要求的同时，能针对医院个性化业务流程做适当改造</w:t>
            </w:r>
            <w:r>
              <w:rPr>
                <w:rFonts w:hint="eastAsia" w:ascii="宋体" w:hAnsi="宋体" w:eastAsia="宋体"/>
                <w:color w:val="auto"/>
                <w:highlight w:val="none"/>
              </w:rPr>
              <w:t>；</w:t>
            </w:r>
          </w:p>
          <w:p w14:paraId="6E5088BF">
            <w:pPr>
              <w:widowControl w:val="0"/>
              <w:numPr>
                <w:ilvl w:val="0"/>
                <w:numId w:val="26"/>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提供通用API接口规范，如查询患者信息，查询检查报告，查询检验报告等场景</w:t>
            </w:r>
            <w:r>
              <w:rPr>
                <w:rFonts w:hint="eastAsia" w:ascii="宋体" w:hAnsi="宋体" w:eastAsia="宋体"/>
                <w:color w:val="auto"/>
                <w:highlight w:val="none"/>
              </w:rPr>
              <w:t>；</w:t>
            </w:r>
          </w:p>
          <w:p w14:paraId="7BE8C6BF">
            <w:pPr>
              <w:widowControl w:val="0"/>
              <w:numPr>
                <w:ilvl w:val="0"/>
                <w:numId w:val="26"/>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通过平台集成，使临床业务系统数据共享，状态流转、流程闭环。</w:t>
            </w:r>
          </w:p>
        </w:tc>
      </w:tr>
      <w:tr w14:paraId="116F8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14:paraId="320BD7B1">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医疗管理系统集成</w:t>
            </w:r>
          </w:p>
        </w:tc>
        <w:tc>
          <w:tcPr>
            <w:tcW w:w="0" w:type="auto"/>
            <w:vAlign w:val="center"/>
          </w:tcPr>
          <w:p w14:paraId="23C6815A">
            <w:pPr>
              <w:widowControl w:val="0"/>
              <w:numPr>
                <w:ilvl w:val="0"/>
                <w:numId w:val="27"/>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提供院感、护理管理，医务管理、消毒供应、分诊管理等系统集成规范</w:t>
            </w:r>
            <w:r>
              <w:rPr>
                <w:rFonts w:hint="eastAsia" w:ascii="宋体" w:hAnsi="宋体" w:eastAsia="宋体"/>
                <w:color w:val="auto"/>
                <w:highlight w:val="none"/>
              </w:rPr>
              <w:t>；</w:t>
            </w:r>
          </w:p>
          <w:p w14:paraId="156C03CD">
            <w:pPr>
              <w:widowControl w:val="0"/>
              <w:numPr>
                <w:ilvl w:val="0"/>
                <w:numId w:val="27"/>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通过平台集成，使医疗管理系统数据准确，同时避免数据库直连临床系统，保障临床管理系统数据安全性。</w:t>
            </w:r>
          </w:p>
        </w:tc>
      </w:tr>
      <w:tr w14:paraId="51E26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14:paraId="4C74D8A2">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运营管理系统集成</w:t>
            </w:r>
          </w:p>
        </w:tc>
        <w:tc>
          <w:tcPr>
            <w:tcW w:w="0" w:type="auto"/>
            <w:vAlign w:val="center"/>
          </w:tcPr>
          <w:p w14:paraId="7FA6316F">
            <w:pPr>
              <w:widowControl w:val="0"/>
              <w:numPr>
                <w:ilvl w:val="0"/>
                <w:numId w:val="28"/>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提供人力资源、HRP、药品管理、物资供应等集成规范</w:t>
            </w:r>
            <w:r>
              <w:rPr>
                <w:rFonts w:hint="eastAsia" w:ascii="宋体" w:hAnsi="宋体" w:eastAsia="宋体"/>
                <w:color w:val="auto"/>
                <w:highlight w:val="none"/>
              </w:rPr>
              <w:t>；</w:t>
            </w:r>
          </w:p>
          <w:p w14:paraId="363F201E">
            <w:pPr>
              <w:widowControl w:val="0"/>
              <w:numPr>
                <w:ilvl w:val="0"/>
                <w:numId w:val="28"/>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通过平台集成，减少手工流程，提高运营系统管理效率和数据准确性。</w:t>
            </w:r>
          </w:p>
        </w:tc>
      </w:tr>
      <w:tr w14:paraId="0B40E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14:paraId="03F9F9C0">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院外系统集成</w:t>
            </w:r>
          </w:p>
        </w:tc>
        <w:tc>
          <w:tcPr>
            <w:tcW w:w="0" w:type="auto"/>
            <w:vAlign w:val="center"/>
          </w:tcPr>
          <w:p w14:paraId="686F0D16">
            <w:pPr>
              <w:widowControl w:val="0"/>
              <w:numPr>
                <w:ilvl w:val="0"/>
                <w:numId w:val="29"/>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提供血液中心、支付宝、微信、短信等集成规范</w:t>
            </w:r>
            <w:r>
              <w:rPr>
                <w:rFonts w:hint="eastAsia" w:ascii="宋体" w:hAnsi="宋体" w:eastAsia="宋体"/>
                <w:color w:val="auto"/>
                <w:highlight w:val="none"/>
              </w:rPr>
              <w:t>；</w:t>
            </w:r>
          </w:p>
          <w:p w14:paraId="172404A8">
            <w:pPr>
              <w:widowControl w:val="0"/>
              <w:numPr>
                <w:ilvl w:val="0"/>
                <w:numId w:val="29"/>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提供互联网应用API接口规范，如建档、预约、挂号、门诊缴费、报告查看等。</w:t>
            </w:r>
          </w:p>
        </w:tc>
      </w:tr>
      <w:tr w14:paraId="255F8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14:paraId="6A5880E0">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互联互通标准服务</w:t>
            </w:r>
          </w:p>
        </w:tc>
        <w:tc>
          <w:tcPr>
            <w:tcW w:w="0" w:type="auto"/>
            <w:vAlign w:val="center"/>
          </w:tcPr>
          <w:p w14:paraId="312312A4">
            <w:pPr>
              <w:widowControl w:val="0"/>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提供互联互通32个标准服务接口规范</w:t>
            </w:r>
            <w:r>
              <w:rPr>
                <w:rFonts w:hint="eastAsia" w:ascii="宋体" w:hAnsi="宋体" w:eastAsia="宋体"/>
                <w:color w:val="auto"/>
                <w:highlight w:val="none"/>
              </w:rPr>
              <w:t>。</w:t>
            </w:r>
          </w:p>
        </w:tc>
      </w:tr>
    </w:tbl>
    <w:p w14:paraId="1D7C17FA">
      <w:pPr>
        <w:spacing w:line="360" w:lineRule="auto"/>
        <w:rPr>
          <w:rFonts w:ascii="宋体" w:hAnsi="宋体" w:eastAsia="宋体"/>
          <w:color w:val="auto"/>
          <w:highlight w:val="none"/>
        </w:rPr>
      </w:pPr>
    </w:p>
    <w:p w14:paraId="6A5301CD">
      <w:pPr>
        <w:pStyle w:val="4"/>
        <w:spacing w:line="360" w:lineRule="auto"/>
        <w:rPr>
          <w:rFonts w:ascii="宋体" w:hAnsi="宋体" w:eastAsia="宋体"/>
          <w:color w:val="auto"/>
          <w:highlight w:val="none"/>
        </w:rPr>
      </w:pPr>
      <w:r>
        <w:rPr>
          <w:rFonts w:hint="eastAsia" w:ascii="宋体" w:hAnsi="宋体" w:eastAsia="宋体"/>
          <w:color w:val="auto"/>
          <w:highlight w:val="none"/>
        </w:rPr>
        <w:t>异常服务处理平台</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3"/>
        <w:gridCol w:w="7736"/>
      </w:tblGrid>
      <w:tr w14:paraId="556D5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3" w:type="dxa"/>
            <w:vAlign w:val="center"/>
          </w:tcPr>
          <w:p w14:paraId="463C188A">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7736" w:type="dxa"/>
            <w:vAlign w:val="center"/>
          </w:tcPr>
          <w:p w14:paraId="524B2A6C">
            <w:pPr>
              <w:tabs>
                <w:tab w:val="left" w:pos="951"/>
              </w:tabs>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527C0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3" w:type="dxa"/>
            <w:vAlign w:val="center"/>
          </w:tcPr>
          <w:p w14:paraId="47A1950F">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异常服务处理</w:t>
            </w:r>
          </w:p>
        </w:tc>
        <w:tc>
          <w:tcPr>
            <w:tcW w:w="7736" w:type="dxa"/>
            <w:vAlign w:val="center"/>
          </w:tcPr>
          <w:p w14:paraId="43C03B12">
            <w:pPr>
              <w:widowControl w:val="0"/>
              <w:numPr>
                <w:ilvl w:val="0"/>
                <w:numId w:val="30"/>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提供集成平台主备服务切换进行短信通知</w:t>
            </w:r>
            <w:r>
              <w:rPr>
                <w:rFonts w:hint="eastAsia" w:ascii="宋体" w:hAnsi="宋体" w:eastAsia="宋体"/>
                <w:color w:val="auto"/>
                <w:highlight w:val="none"/>
              </w:rPr>
              <w:t>；</w:t>
            </w:r>
          </w:p>
          <w:p w14:paraId="727748F9">
            <w:pPr>
              <w:widowControl w:val="0"/>
              <w:numPr>
                <w:ilvl w:val="0"/>
                <w:numId w:val="30"/>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提供集成平台流转的消息出现异常可按规则自动补发功能</w:t>
            </w:r>
            <w:r>
              <w:rPr>
                <w:rFonts w:hint="eastAsia" w:ascii="宋体" w:hAnsi="宋体" w:eastAsia="宋体"/>
                <w:color w:val="auto"/>
                <w:highlight w:val="none"/>
              </w:rPr>
              <w:t>；</w:t>
            </w:r>
          </w:p>
          <w:p w14:paraId="156EDA13">
            <w:pPr>
              <w:widowControl w:val="0"/>
              <w:numPr>
                <w:ilvl w:val="0"/>
                <w:numId w:val="30"/>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提供第三方服务定时监测功能，出现长时间异常进行短信通知</w:t>
            </w:r>
            <w:r>
              <w:rPr>
                <w:rFonts w:hint="eastAsia" w:ascii="宋体" w:hAnsi="宋体" w:eastAsia="宋体"/>
                <w:color w:val="auto"/>
                <w:highlight w:val="none"/>
              </w:rPr>
              <w:t>；</w:t>
            </w:r>
          </w:p>
          <w:p w14:paraId="5D6CDD72">
            <w:pPr>
              <w:widowControl w:val="0"/>
              <w:numPr>
                <w:ilvl w:val="0"/>
                <w:numId w:val="30"/>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提供集成平台队列监控功能，产生大量队列进行短信通知</w:t>
            </w:r>
            <w:r>
              <w:rPr>
                <w:rFonts w:hint="eastAsia" w:ascii="宋体" w:hAnsi="宋体" w:eastAsia="宋体"/>
                <w:color w:val="auto"/>
                <w:highlight w:val="none"/>
              </w:rPr>
              <w:t>。</w:t>
            </w:r>
          </w:p>
        </w:tc>
      </w:tr>
    </w:tbl>
    <w:p w14:paraId="55D62467">
      <w:pPr>
        <w:spacing w:line="360" w:lineRule="auto"/>
        <w:rPr>
          <w:rFonts w:ascii="宋体" w:hAnsi="宋体" w:eastAsia="宋体"/>
          <w:color w:val="auto"/>
          <w:highlight w:val="none"/>
        </w:rPr>
      </w:pPr>
    </w:p>
    <w:p w14:paraId="1AA2C145">
      <w:pPr>
        <w:pStyle w:val="4"/>
        <w:spacing w:line="360" w:lineRule="auto"/>
        <w:rPr>
          <w:rFonts w:ascii="宋体" w:hAnsi="宋体" w:eastAsia="宋体"/>
          <w:color w:val="auto"/>
          <w:highlight w:val="none"/>
        </w:rPr>
      </w:pPr>
      <w:r>
        <w:rPr>
          <w:rFonts w:hint="eastAsia" w:ascii="宋体" w:hAnsi="宋体" w:eastAsia="宋体"/>
          <w:color w:val="auto"/>
          <w:highlight w:val="none"/>
        </w:rPr>
        <w:t>消息检索平台</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6"/>
        <w:gridCol w:w="7780"/>
      </w:tblGrid>
      <w:tr w14:paraId="1BCA4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6" w:type="dxa"/>
            <w:vAlign w:val="center"/>
          </w:tcPr>
          <w:p w14:paraId="67CA0CF7">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7780" w:type="dxa"/>
            <w:vAlign w:val="center"/>
          </w:tcPr>
          <w:p w14:paraId="4C732D50">
            <w:pPr>
              <w:tabs>
                <w:tab w:val="left" w:pos="951"/>
              </w:tabs>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67644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6" w:type="dxa"/>
            <w:vAlign w:val="center"/>
          </w:tcPr>
          <w:p w14:paraId="10CE2589">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消息检索</w:t>
            </w:r>
          </w:p>
        </w:tc>
        <w:tc>
          <w:tcPr>
            <w:tcW w:w="7780" w:type="dxa"/>
            <w:vAlign w:val="center"/>
          </w:tcPr>
          <w:p w14:paraId="41A4E62D">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将集成平台与第三方的注册类服务消息进行采集，提供一套便于现场运维的可是化消息检索功能。支持根据患者id、就诊号、医嘱号、服务名称等条件进行消息检索和原生日志跳转查看功能</w:t>
            </w:r>
            <w:r>
              <w:rPr>
                <w:rFonts w:hint="eastAsia" w:ascii="宋体" w:hAnsi="宋体" w:eastAsia="宋体"/>
                <w:color w:val="auto"/>
                <w:highlight w:val="none"/>
              </w:rPr>
              <w:t>。（提供系统功能截图）</w:t>
            </w:r>
          </w:p>
        </w:tc>
      </w:tr>
    </w:tbl>
    <w:p w14:paraId="4ABF4F6A">
      <w:pPr>
        <w:spacing w:line="360" w:lineRule="auto"/>
        <w:rPr>
          <w:rFonts w:ascii="宋体" w:hAnsi="宋体" w:eastAsia="宋体"/>
          <w:color w:val="auto"/>
          <w:highlight w:val="none"/>
        </w:rPr>
      </w:pPr>
    </w:p>
    <w:p w14:paraId="532EE994">
      <w:pPr>
        <w:pStyle w:val="4"/>
        <w:spacing w:line="360" w:lineRule="auto"/>
        <w:rPr>
          <w:rFonts w:ascii="宋体" w:hAnsi="宋体" w:eastAsia="宋体"/>
          <w:color w:val="auto"/>
          <w:highlight w:val="none"/>
        </w:rPr>
      </w:pPr>
      <w:r>
        <w:rPr>
          <w:rFonts w:hint="eastAsia" w:ascii="宋体" w:hAnsi="宋体" w:eastAsia="宋体"/>
          <w:color w:val="auto"/>
          <w:highlight w:val="none"/>
        </w:rPr>
        <w:t>主数据管理系统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56"/>
        <w:gridCol w:w="7830"/>
      </w:tblGrid>
      <w:tr w14:paraId="1FBFF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0" w:type="auto"/>
            <w:shd w:val="clear" w:color="auto" w:fill="auto"/>
            <w:noWrap/>
          </w:tcPr>
          <w:p w14:paraId="29320FFF">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功能列表</w:t>
            </w:r>
          </w:p>
        </w:tc>
        <w:tc>
          <w:tcPr>
            <w:tcW w:w="0" w:type="auto"/>
            <w:shd w:val="clear" w:color="auto" w:fill="auto"/>
            <w:noWrap/>
          </w:tcPr>
          <w:p w14:paraId="6EDB0B83">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功能要求</w:t>
            </w:r>
          </w:p>
        </w:tc>
      </w:tr>
      <w:tr w14:paraId="7C0B6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0" w:type="auto"/>
            <w:vMerge w:val="restart"/>
            <w:shd w:val="clear" w:color="auto" w:fill="auto"/>
            <w:noWrap/>
            <w:vAlign w:val="center"/>
          </w:tcPr>
          <w:p w14:paraId="198C0F08">
            <w:pPr>
              <w:spacing w:line="360" w:lineRule="auto"/>
              <w:jc w:val="center"/>
              <w:rPr>
                <w:rFonts w:ascii="宋体" w:hAnsi="宋体" w:eastAsia="宋体"/>
                <w:color w:val="auto"/>
                <w:highlight w:val="none"/>
              </w:rPr>
            </w:pPr>
            <w:r>
              <w:rPr>
                <w:rFonts w:hint="eastAsia" w:ascii="宋体" w:hAnsi="宋体" w:eastAsia="宋体"/>
                <w:color w:val="auto"/>
                <w:highlight w:val="none"/>
              </w:rPr>
              <w:t>主数据字典管理</w:t>
            </w:r>
          </w:p>
        </w:tc>
        <w:tc>
          <w:tcPr>
            <w:tcW w:w="0" w:type="auto"/>
            <w:shd w:val="clear" w:color="auto" w:fill="auto"/>
            <w:noWrap/>
            <w:vAlign w:val="center"/>
          </w:tcPr>
          <w:p w14:paraId="5E4C633D">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主数据字典自定义管理，可以自主扩展主数据定义和主数据内容。</w:t>
            </w:r>
          </w:p>
        </w:tc>
      </w:tr>
      <w:tr w14:paraId="1A246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0" w:type="auto"/>
            <w:vMerge w:val="continue"/>
            <w:shd w:val="clear" w:color="auto" w:fill="auto"/>
            <w:vAlign w:val="center"/>
          </w:tcPr>
          <w:p w14:paraId="47863168">
            <w:pPr>
              <w:spacing w:line="360" w:lineRule="auto"/>
              <w:jc w:val="both"/>
              <w:rPr>
                <w:rFonts w:ascii="宋体" w:hAnsi="宋体" w:eastAsia="宋体"/>
                <w:color w:val="auto"/>
                <w:highlight w:val="none"/>
              </w:rPr>
            </w:pPr>
          </w:p>
        </w:tc>
        <w:tc>
          <w:tcPr>
            <w:tcW w:w="0" w:type="auto"/>
            <w:shd w:val="clear" w:color="auto" w:fill="auto"/>
            <w:noWrap/>
            <w:vAlign w:val="center"/>
          </w:tcPr>
          <w:p w14:paraId="62D185B5">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针对主数据字典中的内容可进行自主权限设置。</w:t>
            </w:r>
          </w:p>
        </w:tc>
      </w:tr>
      <w:tr w14:paraId="6D82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0" w:type="auto"/>
            <w:vMerge w:val="restart"/>
            <w:shd w:val="clear" w:color="auto" w:fill="auto"/>
            <w:noWrap/>
            <w:vAlign w:val="center"/>
          </w:tcPr>
          <w:p w14:paraId="1D36FFDA">
            <w:pPr>
              <w:spacing w:line="360" w:lineRule="auto"/>
              <w:jc w:val="center"/>
              <w:rPr>
                <w:rFonts w:ascii="宋体" w:hAnsi="宋体" w:eastAsia="宋体"/>
                <w:color w:val="auto"/>
                <w:highlight w:val="none"/>
              </w:rPr>
            </w:pPr>
            <w:r>
              <w:rPr>
                <w:rFonts w:hint="eastAsia" w:ascii="宋体" w:hAnsi="宋体" w:eastAsia="宋体"/>
                <w:color w:val="auto"/>
                <w:highlight w:val="none"/>
              </w:rPr>
              <w:t>主数据订阅</w:t>
            </w:r>
          </w:p>
        </w:tc>
        <w:tc>
          <w:tcPr>
            <w:tcW w:w="0" w:type="auto"/>
            <w:shd w:val="clear" w:color="auto" w:fill="auto"/>
            <w:noWrap/>
            <w:vAlign w:val="center"/>
          </w:tcPr>
          <w:p w14:paraId="61CCB979">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多个系统可针对同一主数据进行注册，平台需要进行智能化区分管理。</w:t>
            </w:r>
          </w:p>
        </w:tc>
      </w:tr>
      <w:tr w14:paraId="76C0B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0" w:type="auto"/>
            <w:vMerge w:val="continue"/>
            <w:shd w:val="clear" w:color="auto" w:fill="auto"/>
            <w:vAlign w:val="center"/>
          </w:tcPr>
          <w:p w14:paraId="15058197">
            <w:pPr>
              <w:spacing w:line="360" w:lineRule="auto"/>
              <w:jc w:val="both"/>
              <w:rPr>
                <w:rFonts w:ascii="宋体" w:hAnsi="宋体" w:eastAsia="宋体"/>
                <w:color w:val="auto"/>
                <w:highlight w:val="none"/>
              </w:rPr>
            </w:pPr>
          </w:p>
        </w:tc>
        <w:tc>
          <w:tcPr>
            <w:tcW w:w="0" w:type="auto"/>
            <w:shd w:val="clear" w:color="auto" w:fill="auto"/>
            <w:noWrap/>
            <w:vAlign w:val="center"/>
          </w:tcPr>
          <w:p w14:paraId="713F5D78">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同一主数据可被多套系统进行订阅。</w:t>
            </w:r>
          </w:p>
        </w:tc>
      </w:tr>
      <w:tr w14:paraId="00854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0" w:type="auto"/>
            <w:vMerge w:val="restart"/>
            <w:shd w:val="clear" w:color="auto" w:fill="auto"/>
            <w:noWrap/>
            <w:vAlign w:val="center"/>
          </w:tcPr>
          <w:p w14:paraId="4AE8CA2B">
            <w:pPr>
              <w:spacing w:line="360" w:lineRule="auto"/>
              <w:jc w:val="both"/>
              <w:rPr>
                <w:rFonts w:ascii="宋体" w:hAnsi="宋体" w:eastAsia="宋体"/>
                <w:color w:val="auto"/>
                <w:highlight w:val="none"/>
              </w:rPr>
            </w:pPr>
            <w:r>
              <w:rPr>
                <w:rFonts w:hint="eastAsia" w:ascii="宋体" w:hAnsi="宋体" w:eastAsia="宋体"/>
                <w:color w:val="auto"/>
                <w:highlight w:val="none"/>
              </w:rPr>
              <w:t>主数据发布</w:t>
            </w:r>
          </w:p>
        </w:tc>
        <w:tc>
          <w:tcPr>
            <w:tcW w:w="0" w:type="auto"/>
            <w:shd w:val="clear" w:color="auto" w:fill="auto"/>
            <w:noWrap/>
            <w:vAlign w:val="center"/>
          </w:tcPr>
          <w:p w14:paraId="5257365B">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当主数据内容发生新增、修改、删除时，订阅系统可获得平台实时主档的数据推送。</w:t>
            </w:r>
          </w:p>
        </w:tc>
      </w:tr>
      <w:tr w14:paraId="0E6C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0" w:type="auto"/>
            <w:vMerge w:val="continue"/>
            <w:shd w:val="clear" w:color="auto" w:fill="auto"/>
            <w:vAlign w:val="center"/>
          </w:tcPr>
          <w:p w14:paraId="595F6ABA">
            <w:pPr>
              <w:spacing w:line="360" w:lineRule="auto"/>
              <w:jc w:val="both"/>
              <w:rPr>
                <w:rFonts w:ascii="宋体" w:hAnsi="宋体" w:eastAsia="宋体"/>
                <w:color w:val="auto"/>
                <w:highlight w:val="none"/>
              </w:rPr>
            </w:pPr>
          </w:p>
        </w:tc>
        <w:tc>
          <w:tcPr>
            <w:tcW w:w="0" w:type="auto"/>
            <w:shd w:val="clear" w:color="auto" w:fill="auto"/>
            <w:noWrap/>
            <w:vAlign w:val="center"/>
          </w:tcPr>
          <w:p w14:paraId="5D6DB5A6">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可针对系统进行不同权限的维护，订阅同一主数据时根据权限的区别，平台可以推送不同的内容。</w:t>
            </w:r>
          </w:p>
        </w:tc>
      </w:tr>
      <w:tr w14:paraId="380EE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0" w:type="auto"/>
            <w:vMerge w:val="restart"/>
            <w:shd w:val="clear" w:color="auto" w:fill="auto"/>
            <w:noWrap/>
            <w:vAlign w:val="center"/>
          </w:tcPr>
          <w:p w14:paraId="2521AF56">
            <w:pPr>
              <w:spacing w:line="360" w:lineRule="auto"/>
              <w:jc w:val="both"/>
              <w:rPr>
                <w:rFonts w:ascii="宋体" w:hAnsi="宋体" w:eastAsia="宋体"/>
                <w:color w:val="auto"/>
                <w:highlight w:val="none"/>
              </w:rPr>
            </w:pPr>
            <w:r>
              <w:rPr>
                <w:rFonts w:hint="eastAsia" w:ascii="宋体" w:hAnsi="宋体" w:eastAsia="宋体"/>
                <w:color w:val="auto"/>
                <w:highlight w:val="none"/>
              </w:rPr>
              <w:t>主数据管理</w:t>
            </w:r>
          </w:p>
        </w:tc>
        <w:tc>
          <w:tcPr>
            <w:tcW w:w="0" w:type="auto"/>
            <w:shd w:val="clear" w:color="auto" w:fill="auto"/>
            <w:noWrap/>
            <w:vAlign w:val="center"/>
          </w:tcPr>
          <w:p w14:paraId="24DD6E8F">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针对主数据平台有内容监控、统计、可视化展示功能。</w:t>
            </w:r>
          </w:p>
        </w:tc>
      </w:tr>
      <w:tr w14:paraId="65603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0" w:type="auto"/>
            <w:vMerge w:val="continue"/>
            <w:shd w:val="clear" w:color="auto" w:fill="auto"/>
            <w:vAlign w:val="center"/>
          </w:tcPr>
          <w:p w14:paraId="1D808047">
            <w:pPr>
              <w:spacing w:line="360" w:lineRule="auto"/>
              <w:jc w:val="both"/>
              <w:rPr>
                <w:rFonts w:ascii="宋体" w:hAnsi="宋体" w:eastAsia="宋体"/>
                <w:color w:val="auto"/>
                <w:highlight w:val="none"/>
              </w:rPr>
            </w:pPr>
          </w:p>
        </w:tc>
        <w:tc>
          <w:tcPr>
            <w:tcW w:w="0" w:type="auto"/>
            <w:shd w:val="clear" w:color="auto" w:fill="auto"/>
            <w:noWrap/>
            <w:vAlign w:val="center"/>
          </w:tcPr>
          <w:p w14:paraId="2A90B28D">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针对主数据有日志跟踪查询功能。</w:t>
            </w:r>
          </w:p>
        </w:tc>
      </w:tr>
      <w:tr w14:paraId="706D8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0" w:type="auto"/>
            <w:vMerge w:val="continue"/>
            <w:shd w:val="clear" w:color="auto" w:fill="auto"/>
            <w:vAlign w:val="center"/>
          </w:tcPr>
          <w:p w14:paraId="188425AD">
            <w:pPr>
              <w:spacing w:line="360" w:lineRule="auto"/>
              <w:jc w:val="both"/>
              <w:rPr>
                <w:rFonts w:ascii="宋体" w:hAnsi="宋体" w:eastAsia="宋体"/>
                <w:color w:val="auto"/>
                <w:highlight w:val="none"/>
              </w:rPr>
            </w:pPr>
          </w:p>
        </w:tc>
        <w:tc>
          <w:tcPr>
            <w:tcW w:w="0" w:type="auto"/>
            <w:shd w:val="clear" w:color="auto" w:fill="auto"/>
            <w:noWrap/>
            <w:vAlign w:val="center"/>
          </w:tcPr>
          <w:p w14:paraId="4363182C">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针对异常消息有报警重发功能。</w:t>
            </w:r>
          </w:p>
        </w:tc>
      </w:tr>
    </w:tbl>
    <w:p w14:paraId="7CE87D61">
      <w:pPr>
        <w:spacing w:line="360" w:lineRule="auto"/>
        <w:rPr>
          <w:rFonts w:ascii="宋体" w:hAnsi="宋体" w:eastAsia="宋体"/>
          <w:color w:val="auto"/>
          <w:highlight w:val="none"/>
        </w:rPr>
      </w:pPr>
    </w:p>
    <w:p w14:paraId="713349EF">
      <w:pPr>
        <w:pStyle w:val="4"/>
        <w:spacing w:line="360" w:lineRule="auto"/>
        <w:rPr>
          <w:rFonts w:ascii="宋体" w:hAnsi="宋体" w:eastAsia="宋体"/>
          <w:color w:val="auto"/>
          <w:highlight w:val="none"/>
        </w:rPr>
      </w:pPr>
      <w:r>
        <w:rPr>
          <w:rFonts w:hint="eastAsia" w:ascii="宋体" w:hAnsi="宋体" w:eastAsia="宋体"/>
          <w:color w:val="auto"/>
          <w:highlight w:val="none"/>
        </w:rPr>
        <w:t>一体化监控平台</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6"/>
        <w:gridCol w:w="7840"/>
      </w:tblGrid>
      <w:tr w14:paraId="20789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6" w:type="dxa"/>
            <w:vAlign w:val="center"/>
          </w:tcPr>
          <w:p w14:paraId="3F16BC17">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7840" w:type="dxa"/>
            <w:vAlign w:val="center"/>
          </w:tcPr>
          <w:p w14:paraId="5D72BBDF">
            <w:pPr>
              <w:tabs>
                <w:tab w:val="left" w:pos="951"/>
              </w:tabs>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02400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6" w:type="dxa"/>
            <w:vAlign w:val="center"/>
          </w:tcPr>
          <w:p w14:paraId="6E288904">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重要指标监控</w:t>
            </w:r>
          </w:p>
        </w:tc>
        <w:tc>
          <w:tcPr>
            <w:tcW w:w="7840" w:type="dxa"/>
            <w:vAlign w:val="center"/>
          </w:tcPr>
          <w:p w14:paraId="25E2C2D2">
            <w:pPr>
              <w:widowControl w:val="0"/>
              <w:numPr>
                <w:ilvl w:val="0"/>
                <w:numId w:val="31"/>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服务调用趋势展示，可按日、近7日、近30日展示及具体系统的统计图；</w:t>
            </w:r>
          </w:p>
          <w:p w14:paraId="0A4EDAD9">
            <w:pPr>
              <w:widowControl w:val="0"/>
              <w:numPr>
                <w:ilvl w:val="0"/>
                <w:numId w:val="31"/>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支持显示当前一小时</w:t>
            </w:r>
            <w:r>
              <w:rPr>
                <w:rFonts w:hint="eastAsia" w:ascii="宋体" w:hAnsi="宋体" w:eastAsia="宋体"/>
                <w:color w:val="auto"/>
                <w:highlight w:val="none"/>
              </w:rPr>
              <w:t>平台消息交换的压力；</w:t>
            </w:r>
          </w:p>
          <w:p w14:paraId="02105A25">
            <w:pPr>
              <w:widowControl w:val="0"/>
              <w:numPr>
                <w:ilvl w:val="0"/>
                <w:numId w:val="31"/>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服务调用平均耗时</w:t>
            </w:r>
            <w:r>
              <w:rPr>
                <w:rFonts w:hint="eastAsia" w:ascii="宋体" w:hAnsi="宋体" w:eastAsia="宋体"/>
                <w:color w:val="auto"/>
                <w:highlight w:val="none"/>
              </w:rPr>
              <w:t>；</w:t>
            </w:r>
          </w:p>
          <w:p w14:paraId="14D97125">
            <w:pPr>
              <w:widowControl w:val="0"/>
              <w:numPr>
                <w:ilvl w:val="0"/>
                <w:numId w:val="31"/>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展示当天服务种类的占比和调用次数占比（实时更新）：服务按类归总展示如：分为</w:t>
            </w:r>
            <w:r>
              <w:rPr>
                <w:rFonts w:ascii="宋体" w:hAnsi="宋体" w:eastAsia="宋体"/>
                <w:color w:val="auto"/>
                <w:highlight w:val="none"/>
              </w:rPr>
              <w:t>查询申请单服务，检查报告服务</w:t>
            </w:r>
            <w:r>
              <w:rPr>
                <w:rFonts w:hint="eastAsia" w:ascii="宋体" w:hAnsi="宋体" w:eastAsia="宋体"/>
                <w:color w:val="auto"/>
                <w:highlight w:val="none"/>
              </w:rPr>
              <w:t>；</w:t>
            </w:r>
          </w:p>
          <w:p w14:paraId="653ED259">
            <w:pPr>
              <w:widowControl w:val="0"/>
              <w:numPr>
                <w:ilvl w:val="0"/>
                <w:numId w:val="31"/>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展示当天厂商所属的应用占比和服务调用次数占比；</w:t>
            </w:r>
          </w:p>
          <w:p w14:paraId="11A3C284">
            <w:pPr>
              <w:widowControl w:val="0"/>
              <w:numPr>
                <w:ilvl w:val="0"/>
                <w:numId w:val="31"/>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服务告警与服务异常点击柱状统计图携带参数跳转至日志界面，显示日志详情，点击查看更多跳转到服务统计界面；</w:t>
            </w:r>
          </w:p>
          <w:p w14:paraId="55BC0BDD">
            <w:pPr>
              <w:widowControl w:val="0"/>
              <w:numPr>
                <w:ilvl w:val="0"/>
                <w:numId w:val="31"/>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服务调用延迟性统计（当日），显示服务调用延迟率前十的服务统计。</w:t>
            </w:r>
          </w:p>
        </w:tc>
      </w:tr>
      <w:tr w14:paraId="46834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6" w:type="dxa"/>
            <w:vAlign w:val="center"/>
          </w:tcPr>
          <w:p w14:paraId="367B54B3">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日志</w:t>
            </w:r>
            <w:r>
              <w:rPr>
                <w:rFonts w:ascii="宋体" w:hAnsi="宋体" w:eastAsia="宋体"/>
                <w:color w:val="auto"/>
                <w:highlight w:val="none"/>
              </w:rPr>
              <w:t>监控</w:t>
            </w:r>
          </w:p>
        </w:tc>
        <w:tc>
          <w:tcPr>
            <w:tcW w:w="7840" w:type="dxa"/>
            <w:vAlign w:val="center"/>
          </w:tcPr>
          <w:p w14:paraId="256A70D5">
            <w:pPr>
              <w:widowControl w:val="0"/>
              <w:numPr>
                <w:ilvl w:val="0"/>
                <w:numId w:val="32"/>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日志查询及列表查看，</w:t>
            </w:r>
            <w:r>
              <w:rPr>
                <w:rFonts w:ascii="宋体" w:hAnsi="宋体" w:eastAsia="宋体"/>
                <w:color w:val="auto"/>
                <w:highlight w:val="none"/>
              </w:rPr>
              <w:t>支持根据日志类型，服务，时间区间，关键字模糊等条件进行查询</w:t>
            </w:r>
            <w:r>
              <w:rPr>
                <w:rFonts w:hint="eastAsia" w:ascii="宋体" w:hAnsi="宋体" w:eastAsia="宋体"/>
                <w:color w:val="auto"/>
                <w:highlight w:val="none"/>
              </w:rPr>
              <w:t>；</w:t>
            </w:r>
          </w:p>
          <w:p w14:paraId="48A8BBEE">
            <w:pPr>
              <w:widowControl w:val="0"/>
              <w:numPr>
                <w:ilvl w:val="0"/>
                <w:numId w:val="32"/>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根据ESB消息流日志查询条件筛选，以列表形式展示目标结果数据；</w:t>
            </w:r>
          </w:p>
          <w:p w14:paraId="7D1EDC4C">
            <w:pPr>
              <w:widowControl w:val="0"/>
              <w:numPr>
                <w:ilvl w:val="0"/>
                <w:numId w:val="32"/>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有图形化全流程消息流追溯功能，能查看各交易耗时和出入参</w:t>
            </w:r>
            <w:r>
              <w:rPr>
                <w:rFonts w:hint="eastAsia" w:ascii="宋体" w:hAnsi="宋体" w:eastAsia="宋体"/>
                <w:color w:val="auto"/>
                <w:highlight w:val="none"/>
              </w:rPr>
              <w:t>；</w:t>
            </w:r>
          </w:p>
          <w:p w14:paraId="02216B59">
            <w:pPr>
              <w:widowControl w:val="0"/>
              <w:numPr>
                <w:ilvl w:val="0"/>
                <w:numId w:val="32"/>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根据运维日志查询条件筛选，以列表形式展示目标结果数据；</w:t>
            </w:r>
          </w:p>
          <w:p w14:paraId="1A963C0D">
            <w:pPr>
              <w:widowControl w:val="0"/>
              <w:numPr>
                <w:ilvl w:val="0"/>
                <w:numId w:val="32"/>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支持导出诊断日志，制定任务计划导出诊断日志，诊断日志包括服务器运行状态，平台运行状态，网络，磁盘，网络连接等状态</w:t>
            </w:r>
            <w:r>
              <w:rPr>
                <w:rFonts w:hint="eastAsia" w:ascii="宋体" w:hAnsi="宋体" w:eastAsia="宋体"/>
                <w:color w:val="auto"/>
                <w:highlight w:val="none"/>
              </w:rPr>
              <w:t>；</w:t>
            </w:r>
          </w:p>
          <w:p w14:paraId="722E545A">
            <w:pPr>
              <w:widowControl w:val="0"/>
              <w:numPr>
                <w:ilvl w:val="0"/>
                <w:numId w:val="32"/>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日志检索字段配置，设置要在内容字段查询的关键字段索引，注意节点配置及是否多标签解析标记。</w:t>
            </w:r>
          </w:p>
        </w:tc>
      </w:tr>
      <w:tr w14:paraId="4B836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6" w:type="dxa"/>
            <w:vAlign w:val="center"/>
          </w:tcPr>
          <w:p w14:paraId="6CEC5B28">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服务</w:t>
            </w:r>
            <w:r>
              <w:rPr>
                <w:rFonts w:hint="eastAsia" w:ascii="宋体" w:hAnsi="宋体" w:eastAsia="宋体"/>
                <w:color w:val="auto"/>
                <w:highlight w:val="none"/>
              </w:rPr>
              <w:t>监控</w:t>
            </w:r>
          </w:p>
        </w:tc>
        <w:tc>
          <w:tcPr>
            <w:tcW w:w="7840" w:type="dxa"/>
            <w:vAlign w:val="center"/>
          </w:tcPr>
          <w:p w14:paraId="154E0369">
            <w:pPr>
              <w:widowControl w:val="0"/>
              <w:numPr>
                <w:ilvl w:val="0"/>
                <w:numId w:val="33"/>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服务器状态展示及预警，根据不同服务器展示位置进行归类放置，展示服务器关键参数；</w:t>
            </w:r>
          </w:p>
          <w:p w14:paraId="18B36D61">
            <w:pPr>
              <w:widowControl w:val="0"/>
              <w:numPr>
                <w:ilvl w:val="0"/>
                <w:numId w:val="33"/>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数据库运行状态展示及预警，根据不同服务器展示位置进行归类放置，展示数据库运行参数；</w:t>
            </w:r>
          </w:p>
          <w:p w14:paraId="404CD16E">
            <w:pPr>
              <w:widowControl w:val="0"/>
              <w:numPr>
                <w:ilvl w:val="0"/>
                <w:numId w:val="33"/>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服务调用异常推送配置，</w:t>
            </w:r>
            <w:r>
              <w:rPr>
                <w:rFonts w:ascii="宋体" w:hAnsi="宋体" w:eastAsia="宋体"/>
                <w:color w:val="auto"/>
                <w:highlight w:val="none"/>
              </w:rPr>
              <w:t>可以通过短信，邮件等方式推送异常信息</w:t>
            </w:r>
            <w:r>
              <w:rPr>
                <w:rFonts w:hint="eastAsia" w:ascii="宋体" w:hAnsi="宋体" w:eastAsia="宋体"/>
                <w:color w:val="auto"/>
                <w:highlight w:val="none"/>
              </w:rPr>
              <w:t>；</w:t>
            </w:r>
          </w:p>
          <w:p w14:paraId="1DCA8EA2">
            <w:pPr>
              <w:widowControl w:val="0"/>
              <w:numPr>
                <w:ilvl w:val="0"/>
                <w:numId w:val="33"/>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实现全局告警，全局服务调用告警阈值与队列告警阈值设置。</w:t>
            </w:r>
          </w:p>
        </w:tc>
      </w:tr>
      <w:tr w14:paraId="0A580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6" w:type="dxa"/>
            <w:vAlign w:val="center"/>
          </w:tcPr>
          <w:p w14:paraId="51DC09E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队列</w:t>
            </w:r>
            <w:r>
              <w:rPr>
                <w:rFonts w:ascii="宋体" w:hAnsi="宋体" w:eastAsia="宋体"/>
                <w:color w:val="auto"/>
                <w:highlight w:val="none"/>
              </w:rPr>
              <w:t>监控</w:t>
            </w:r>
          </w:p>
        </w:tc>
        <w:tc>
          <w:tcPr>
            <w:tcW w:w="7840" w:type="dxa"/>
            <w:vAlign w:val="center"/>
          </w:tcPr>
          <w:p w14:paraId="0C7DD93B">
            <w:pPr>
              <w:widowControl w:val="0"/>
              <w:numPr>
                <w:ilvl w:val="0"/>
                <w:numId w:val="34"/>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队列管理器的新增、删除、修改实现队列管理器配置；</w:t>
            </w:r>
          </w:p>
          <w:p w14:paraId="0ED57C4E">
            <w:pPr>
              <w:widowControl w:val="0"/>
              <w:numPr>
                <w:ilvl w:val="0"/>
                <w:numId w:val="34"/>
              </w:numPr>
              <w:adjustRightInd w:val="0"/>
              <w:snapToGrid w:val="0"/>
              <w:spacing w:line="360" w:lineRule="auto"/>
              <w:jc w:val="both"/>
              <w:rPr>
                <w:rFonts w:ascii="宋体" w:hAnsi="宋体" w:eastAsia="宋体"/>
                <w:color w:val="auto"/>
                <w:highlight w:val="none"/>
              </w:rPr>
            </w:pPr>
            <w:r>
              <w:rPr>
                <w:rFonts w:ascii="宋体" w:hAnsi="宋体" w:eastAsia="宋体"/>
                <w:color w:val="auto"/>
                <w:highlight w:val="none"/>
              </w:rPr>
              <w:t>对列等待数量监控</w:t>
            </w:r>
            <w:r>
              <w:rPr>
                <w:rFonts w:hint="eastAsia" w:ascii="宋体" w:hAnsi="宋体" w:eastAsia="宋体"/>
                <w:color w:val="auto"/>
                <w:highlight w:val="none"/>
              </w:rPr>
              <w:t>；</w:t>
            </w:r>
          </w:p>
          <w:p w14:paraId="45A168B9">
            <w:pPr>
              <w:widowControl w:val="0"/>
              <w:numPr>
                <w:ilvl w:val="0"/>
                <w:numId w:val="34"/>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区别标识不同状态的队列，显示队列管理器所属队列列表。</w:t>
            </w:r>
          </w:p>
        </w:tc>
      </w:tr>
      <w:tr w14:paraId="55DFF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46" w:type="dxa"/>
            <w:vAlign w:val="center"/>
          </w:tcPr>
          <w:p w14:paraId="791EE5BD">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厂商信息</w:t>
            </w:r>
          </w:p>
        </w:tc>
        <w:tc>
          <w:tcPr>
            <w:tcW w:w="7840" w:type="dxa"/>
            <w:vAlign w:val="center"/>
          </w:tcPr>
          <w:p w14:paraId="1818675A">
            <w:pPr>
              <w:widowControl w:val="0"/>
              <w:numPr>
                <w:ilvl w:val="0"/>
                <w:numId w:val="35"/>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厂商所属系统调用信息查看，每个厂商显示其下属系统，针对每个系统显示其提供服务、消费服务状况；</w:t>
            </w:r>
          </w:p>
          <w:p w14:paraId="2AB161DA">
            <w:pPr>
              <w:widowControl w:val="0"/>
              <w:numPr>
                <w:ilvl w:val="0"/>
                <w:numId w:val="35"/>
              </w:numPr>
              <w:adjustRightInd w:val="0"/>
              <w:snapToGrid w:val="0"/>
              <w:spacing w:line="360" w:lineRule="auto"/>
              <w:jc w:val="both"/>
              <w:rPr>
                <w:rFonts w:ascii="宋体" w:hAnsi="宋体" w:eastAsia="宋体"/>
                <w:color w:val="auto"/>
                <w:highlight w:val="none"/>
              </w:rPr>
            </w:pPr>
            <w:r>
              <w:rPr>
                <w:rFonts w:hint="eastAsia" w:ascii="宋体" w:hAnsi="宋体" w:eastAsia="宋体"/>
                <w:color w:val="auto"/>
                <w:highlight w:val="none"/>
              </w:rPr>
              <w:t>服务调用日志查看，以报表形式展示某个服务调用日志分为总调用、异常、告警。</w:t>
            </w:r>
          </w:p>
        </w:tc>
      </w:tr>
    </w:tbl>
    <w:p w14:paraId="3CB74111">
      <w:pPr>
        <w:spacing w:line="360" w:lineRule="auto"/>
        <w:rPr>
          <w:rFonts w:ascii="宋体" w:hAnsi="宋体" w:eastAsia="宋体"/>
          <w:color w:val="auto"/>
          <w:highlight w:val="none"/>
        </w:rPr>
      </w:pPr>
    </w:p>
    <w:p w14:paraId="62E37A07">
      <w:pPr>
        <w:pStyle w:val="4"/>
        <w:spacing w:line="360" w:lineRule="auto"/>
        <w:rPr>
          <w:rFonts w:ascii="宋体" w:hAnsi="宋体" w:eastAsia="宋体"/>
          <w:color w:val="auto"/>
          <w:highlight w:val="none"/>
        </w:rPr>
      </w:pPr>
      <w:r>
        <w:rPr>
          <w:rFonts w:hint="eastAsia" w:ascii="宋体" w:hAnsi="宋体" w:eastAsia="宋体"/>
          <w:color w:val="auto"/>
          <w:highlight w:val="none"/>
        </w:rPr>
        <w:t>服务、消息分析平台</w:t>
      </w:r>
    </w:p>
    <w:tbl>
      <w:tblPr>
        <w:tblStyle w:val="43"/>
        <w:tblW w:w="9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7"/>
        <w:gridCol w:w="7651"/>
      </w:tblGrid>
      <w:tr w14:paraId="0990D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07" w:type="dxa"/>
            <w:vAlign w:val="center"/>
          </w:tcPr>
          <w:p w14:paraId="740030D2">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7651" w:type="dxa"/>
            <w:vAlign w:val="center"/>
          </w:tcPr>
          <w:p w14:paraId="24437B48">
            <w:pPr>
              <w:tabs>
                <w:tab w:val="left" w:pos="951"/>
              </w:tabs>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4AFA7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07" w:type="dxa"/>
            <w:vAlign w:val="center"/>
          </w:tcPr>
          <w:p w14:paraId="18FDF6CB">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服务分析</w:t>
            </w:r>
          </w:p>
        </w:tc>
        <w:tc>
          <w:tcPr>
            <w:tcW w:w="7651" w:type="dxa"/>
            <w:vAlign w:val="center"/>
          </w:tcPr>
          <w:p w14:paraId="72229385">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提供集成平台对接系统、交互服务统计功能</w:t>
            </w:r>
          </w:p>
          <w:p w14:paraId="3ECC4796">
            <w:pPr>
              <w:widowControl w:val="0"/>
              <w:numPr>
                <w:ilvl w:val="0"/>
                <w:numId w:val="36"/>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系统数量展示</w:t>
            </w:r>
            <w:r>
              <w:rPr>
                <w:rFonts w:hint="eastAsia" w:ascii="宋体" w:hAnsi="宋体" w:eastAsia="宋体"/>
                <w:color w:val="auto"/>
                <w:highlight w:val="none"/>
              </w:rPr>
              <w:t>；</w:t>
            </w:r>
          </w:p>
          <w:p w14:paraId="215601A7">
            <w:pPr>
              <w:widowControl w:val="0"/>
              <w:numPr>
                <w:ilvl w:val="0"/>
                <w:numId w:val="36"/>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服务数量展示</w:t>
            </w:r>
            <w:r>
              <w:rPr>
                <w:rFonts w:hint="eastAsia" w:ascii="宋体" w:hAnsi="宋体" w:eastAsia="宋体"/>
                <w:color w:val="auto"/>
                <w:highlight w:val="none"/>
              </w:rPr>
              <w:t>；</w:t>
            </w:r>
          </w:p>
          <w:p w14:paraId="7EFCCDE3">
            <w:pPr>
              <w:widowControl w:val="0"/>
              <w:numPr>
                <w:ilvl w:val="0"/>
                <w:numId w:val="36"/>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消费系统-服务分布展示</w:t>
            </w:r>
            <w:r>
              <w:rPr>
                <w:rFonts w:hint="eastAsia" w:ascii="宋体" w:hAnsi="宋体" w:eastAsia="宋体"/>
                <w:color w:val="auto"/>
                <w:highlight w:val="none"/>
              </w:rPr>
              <w:t>；</w:t>
            </w:r>
          </w:p>
          <w:p w14:paraId="0E74B541">
            <w:pPr>
              <w:widowControl w:val="0"/>
              <w:numPr>
                <w:ilvl w:val="0"/>
                <w:numId w:val="36"/>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内联服务、外联服务展示</w:t>
            </w:r>
            <w:r>
              <w:rPr>
                <w:rFonts w:hint="eastAsia" w:ascii="宋体" w:hAnsi="宋体" w:eastAsia="宋体"/>
                <w:color w:val="auto"/>
                <w:highlight w:val="none"/>
              </w:rPr>
              <w:t>；</w:t>
            </w:r>
          </w:p>
          <w:p w14:paraId="147A5A03">
            <w:pPr>
              <w:widowControl w:val="0"/>
              <w:numPr>
                <w:ilvl w:val="0"/>
                <w:numId w:val="36"/>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服务类型分布、注册消费关系分布</w:t>
            </w:r>
            <w:r>
              <w:rPr>
                <w:rFonts w:hint="eastAsia" w:ascii="宋体" w:hAnsi="宋体" w:eastAsia="宋体"/>
                <w:color w:val="auto"/>
                <w:highlight w:val="none"/>
              </w:rPr>
              <w:t>；</w:t>
            </w:r>
          </w:p>
          <w:p w14:paraId="727B9DD2">
            <w:pPr>
              <w:widowControl w:val="0"/>
              <w:numPr>
                <w:ilvl w:val="0"/>
                <w:numId w:val="36"/>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服务类型分布排名、服务类型分布明细展示</w:t>
            </w:r>
            <w:r>
              <w:rPr>
                <w:rFonts w:hint="eastAsia" w:ascii="宋体" w:hAnsi="宋体" w:eastAsia="宋体"/>
                <w:color w:val="auto"/>
                <w:highlight w:val="none"/>
              </w:rPr>
              <w:t>。</w:t>
            </w:r>
          </w:p>
        </w:tc>
      </w:tr>
      <w:tr w14:paraId="252C0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07" w:type="dxa"/>
            <w:vAlign w:val="center"/>
          </w:tcPr>
          <w:p w14:paraId="01309193">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消息分析</w:t>
            </w:r>
          </w:p>
        </w:tc>
        <w:tc>
          <w:tcPr>
            <w:tcW w:w="7651" w:type="dxa"/>
            <w:vAlign w:val="center"/>
          </w:tcPr>
          <w:p w14:paraId="3438A4A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提供基于集成平台服务消息分析功能</w:t>
            </w:r>
          </w:p>
          <w:p w14:paraId="5BD18DC8">
            <w:pPr>
              <w:widowControl w:val="0"/>
              <w:numPr>
                <w:ilvl w:val="0"/>
                <w:numId w:val="37"/>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服务数量、当日消息量分析</w:t>
            </w:r>
            <w:r>
              <w:rPr>
                <w:rFonts w:hint="eastAsia" w:ascii="宋体" w:hAnsi="宋体" w:eastAsia="宋体"/>
                <w:color w:val="auto"/>
                <w:highlight w:val="none"/>
              </w:rPr>
              <w:t>；</w:t>
            </w:r>
          </w:p>
          <w:p w14:paraId="2961CC84">
            <w:pPr>
              <w:widowControl w:val="0"/>
              <w:numPr>
                <w:ilvl w:val="0"/>
                <w:numId w:val="37"/>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5分钟内重点监控服务实时消息量分析</w:t>
            </w:r>
            <w:r>
              <w:rPr>
                <w:rFonts w:hint="eastAsia" w:ascii="宋体" w:hAnsi="宋体" w:eastAsia="宋体"/>
                <w:color w:val="auto"/>
                <w:highlight w:val="none"/>
              </w:rPr>
              <w:t>；</w:t>
            </w:r>
          </w:p>
          <w:p w14:paraId="30812AA5">
            <w:pPr>
              <w:widowControl w:val="0"/>
              <w:numPr>
                <w:ilvl w:val="0"/>
                <w:numId w:val="37"/>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本日、7天、30天集成平台消息量分析</w:t>
            </w:r>
            <w:r>
              <w:rPr>
                <w:rFonts w:hint="eastAsia" w:ascii="宋体" w:hAnsi="宋体" w:eastAsia="宋体"/>
                <w:color w:val="auto"/>
                <w:highlight w:val="none"/>
              </w:rPr>
              <w:t>；</w:t>
            </w:r>
          </w:p>
          <w:p w14:paraId="3EE26387">
            <w:pPr>
              <w:widowControl w:val="0"/>
              <w:numPr>
                <w:ilvl w:val="0"/>
                <w:numId w:val="37"/>
              </w:numPr>
              <w:adjustRightInd w:val="0"/>
              <w:snapToGrid w:val="0"/>
              <w:spacing w:line="360" w:lineRule="auto"/>
              <w:ind w:left="210" w:leftChars="0" w:hanging="210" w:firstLineChars="0"/>
              <w:jc w:val="both"/>
              <w:rPr>
                <w:rFonts w:ascii="宋体" w:hAnsi="宋体" w:eastAsia="宋体"/>
                <w:color w:val="auto"/>
                <w:highlight w:val="none"/>
              </w:rPr>
            </w:pPr>
            <w:r>
              <w:rPr>
                <w:rFonts w:ascii="宋体" w:hAnsi="宋体" w:eastAsia="宋体"/>
                <w:color w:val="auto"/>
                <w:highlight w:val="none"/>
              </w:rPr>
              <w:t>异常服务占比、错误消息日期分布</w:t>
            </w:r>
            <w:r>
              <w:rPr>
                <w:rFonts w:hint="eastAsia" w:ascii="宋体" w:hAnsi="宋体" w:eastAsia="宋体"/>
                <w:color w:val="auto"/>
                <w:highlight w:val="none"/>
              </w:rPr>
              <w:t>。</w:t>
            </w:r>
          </w:p>
        </w:tc>
      </w:tr>
    </w:tbl>
    <w:p w14:paraId="24419670">
      <w:pPr>
        <w:spacing w:line="360" w:lineRule="auto"/>
        <w:rPr>
          <w:rFonts w:ascii="宋体" w:hAnsi="宋体" w:eastAsia="宋体"/>
          <w:color w:val="auto"/>
          <w:highlight w:val="none"/>
        </w:rPr>
      </w:pPr>
    </w:p>
    <w:p w14:paraId="2519C483">
      <w:pPr>
        <w:pStyle w:val="4"/>
        <w:spacing w:line="360" w:lineRule="auto"/>
        <w:rPr>
          <w:rFonts w:ascii="宋体" w:hAnsi="宋体" w:eastAsia="宋体"/>
          <w:color w:val="auto"/>
          <w:highlight w:val="none"/>
        </w:rPr>
      </w:pPr>
      <w:r>
        <w:rPr>
          <w:rFonts w:hint="eastAsia" w:ascii="宋体" w:hAnsi="宋体" w:eastAsia="宋体"/>
          <w:color w:val="auto"/>
          <w:highlight w:val="none"/>
        </w:rPr>
        <w:t>互联互通定量服务</w:t>
      </w:r>
    </w:p>
    <w:tbl>
      <w:tblPr>
        <w:tblStyle w:val="43"/>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4"/>
        <w:gridCol w:w="7603"/>
      </w:tblGrid>
      <w:tr w14:paraId="4C3D0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4" w:type="dxa"/>
            <w:vAlign w:val="center"/>
          </w:tcPr>
          <w:p w14:paraId="76C380E4">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7603" w:type="dxa"/>
            <w:vAlign w:val="center"/>
          </w:tcPr>
          <w:p w14:paraId="495F0603">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0D94C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4" w:type="dxa"/>
            <w:vAlign w:val="center"/>
          </w:tcPr>
          <w:p w14:paraId="609489CE">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注册类交互服务</w:t>
            </w:r>
          </w:p>
        </w:tc>
        <w:tc>
          <w:tcPr>
            <w:tcW w:w="7603" w:type="dxa"/>
            <w:vAlign w:val="center"/>
          </w:tcPr>
          <w:p w14:paraId="03A0AD94">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提供相对应的定量评级注册类交互服务数量</w:t>
            </w:r>
          </w:p>
          <w:p w14:paraId="0BF875C0">
            <w:pPr>
              <w:numPr>
                <w:ilvl w:val="0"/>
                <w:numId w:val="38"/>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互联互通3级注册类服务数：1个</w:t>
            </w:r>
          </w:p>
          <w:p w14:paraId="05FB6413">
            <w:pPr>
              <w:numPr>
                <w:ilvl w:val="0"/>
                <w:numId w:val="38"/>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互联互通4乙注册类服务数：8个</w:t>
            </w:r>
          </w:p>
          <w:p w14:paraId="109EB4A1">
            <w:pPr>
              <w:numPr>
                <w:ilvl w:val="0"/>
                <w:numId w:val="38"/>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互联互通4甲注册类服务数：34个</w:t>
            </w:r>
          </w:p>
          <w:p w14:paraId="54B2248D">
            <w:pPr>
              <w:numPr>
                <w:ilvl w:val="0"/>
                <w:numId w:val="38"/>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互联互通5乙注册类服务数：42个</w:t>
            </w:r>
          </w:p>
          <w:p w14:paraId="40F14D2C">
            <w:pPr>
              <w:numPr>
                <w:ilvl w:val="0"/>
                <w:numId w:val="38"/>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互联互通5甲注册类服务数：52个</w:t>
            </w:r>
          </w:p>
        </w:tc>
      </w:tr>
      <w:tr w14:paraId="50F9E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94" w:type="dxa"/>
            <w:vAlign w:val="center"/>
          </w:tcPr>
          <w:p w14:paraId="2B9164AB">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非注册类交互服务</w:t>
            </w:r>
          </w:p>
        </w:tc>
        <w:tc>
          <w:tcPr>
            <w:tcW w:w="7603" w:type="dxa"/>
            <w:vAlign w:val="center"/>
          </w:tcPr>
          <w:p w14:paraId="2FF81820">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提供相对应的定量评级非注册类交互服务数量</w:t>
            </w:r>
          </w:p>
          <w:p w14:paraId="1A240763">
            <w:pPr>
              <w:numPr>
                <w:ilvl w:val="0"/>
                <w:numId w:val="39"/>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互联互通3级非注册类服务数：2个</w:t>
            </w:r>
          </w:p>
          <w:p w14:paraId="55E90E59">
            <w:pPr>
              <w:numPr>
                <w:ilvl w:val="0"/>
                <w:numId w:val="39"/>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互联互通4乙非注册类服务数：5个</w:t>
            </w:r>
          </w:p>
          <w:p w14:paraId="09850A32">
            <w:pPr>
              <w:numPr>
                <w:ilvl w:val="0"/>
                <w:numId w:val="39"/>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互联互通4甲非注册类服务数：18个</w:t>
            </w:r>
          </w:p>
          <w:p w14:paraId="4A2A0275">
            <w:pPr>
              <w:numPr>
                <w:ilvl w:val="0"/>
                <w:numId w:val="39"/>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互联互通5乙非注册类服务数：22个</w:t>
            </w:r>
          </w:p>
          <w:p w14:paraId="5FB15CF6">
            <w:pPr>
              <w:numPr>
                <w:ilvl w:val="0"/>
                <w:numId w:val="39"/>
              </w:numPr>
              <w:adjustRightInd w:val="0"/>
              <w:snapToGrid w:val="0"/>
              <w:spacing w:line="360" w:lineRule="auto"/>
              <w:ind w:left="360" w:leftChars="0" w:hanging="360" w:firstLineChars="0"/>
              <w:rPr>
                <w:rFonts w:ascii="宋体" w:hAnsi="宋体" w:eastAsia="宋体"/>
                <w:color w:val="auto"/>
                <w:highlight w:val="none"/>
              </w:rPr>
            </w:pPr>
            <w:r>
              <w:rPr>
                <w:rFonts w:ascii="宋体" w:hAnsi="宋体" w:eastAsia="宋体"/>
                <w:color w:val="auto"/>
                <w:highlight w:val="none"/>
              </w:rPr>
              <w:t>互联互通5甲非注册类服务数：29个</w:t>
            </w:r>
          </w:p>
        </w:tc>
      </w:tr>
    </w:tbl>
    <w:p w14:paraId="3A056839">
      <w:pPr>
        <w:spacing w:line="360" w:lineRule="auto"/>
        <w:rPr>
          <w:rFonts w:ascii="宋体" w:hAnsi="宋体" w:eastAsia="宋体"/>
          <w:color w:val="auto"/>
          <w:highlight w:val="none"/>
        </w:rPr>
      </w:pPr>
    </w:p>
    <w:p w14:paraId="145773A8">
      <w:pPr>
        <w:pStyle w:val="4"/>
        <w:spacing w:line="360" w:lineRule="auto"/>
        <w:rPr>
          <w:rFonts w:ascii="宋体" w:hAnsi="宋体" w:eastAsia="宋体"/>
          <w:color w:val="auto"/>
          <w:highlight w:val="none"/>
        </w:rPr>
      </w:pPr>
      <w:r>
        <w:rPr>
          <w:rFonts w:hint="eastAsia" w:ascii="宋体" w:hAnsi="宋体" w:eastAsia="宋体"/>
          <w:color w:val="auto"/>
          <w:highlight w:val="none"/>
        </w:rPr>
        <w:t>互联互通定性服务</w:t>
      </w:r>
    </w:p>
    <w:tbl>
      <w:tblPr>
        <w:tblStyle w:val="43"/>
        <w:tblW w:w="9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0"/>
        <w:gridCol w:w="7595"/>
      </w:tblGrid>
      <w:tr w14:paraId="4F183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0" w:type="dxa"/>
            <w:vAlign w:val="center"/>
          </w:tcPr>
          <w:p w14:paraId="4D9A44DC">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7595" w:type="dxa"/>
            <w:vAlign w:val="center"/>
          </w:tcPr>
          <w:p w14:paraId="2A88A1A5">
            <w:pPr>
              <w:tabs>
                <w:tab w:val="left" w:pos="951"/>
              </w:tabs>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7E270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10" w:type="dxa"/>
            <w:vAlign w:val="center"/>
          </w:tcPr>
          <w:p w14:paraId="758125E6">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定性交互服务改造</w:t>
            </w:r>
          </w:p>
        </w:tc>
        <w:tc>
          <w:tcPr>
            <w:tcW w:w="7595" w:type="dxa"/>
            <w:vAlign w:val="center"/>
          </w:tcPr>
          <w:p w14:paraId="17D3B90F">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按照评级要求对服务进行升级改造或新增院内交互服务，直至满足互联互通定性要求为止</w:t>
            </w:r>
          </w:p>
        </w:tc>
      </w:tr>
    </w:tbl>
    <w:p w14:paraId="2C79751A">
      <w:pPr>
        <w:spacing w:line="360" w:lineRule="auto"/>
        <w:rPr>
          <w:rFonts w:ascii="宋体" w:hAnsi="宋体" w:eastAsia="宋体"/>
          <w:color w:val="auto"/>
          <w:highlight w:val="none"/>
        </w:rPr>
      </w:pPr>
    </w:p>
    <w:p w14:paraId="443DA7A0">
      <w:pPr>
        <w:pStyle w:val="4"/>
        <w:spacing w:line="360" w:lineRule="auto"/>
        <w:rPr>
          <w:rFonts w:ascii="宋体" w:hAnsi="宋体" w:eastAsia="宋体"/>
          <w:color w:val="auto"/>
          <w:highlight w:val="none"/>
        </w:rPr>
      </w:pPr>
      <w:r>
        <w:rPr>
          <w:rFonts w:hint="eastAsia" w:ascii="宋体" w:hAnsi="宋体" w:eastAsia="宋体"/>
          <w:color w:val="auto"/>
          <w:highlight w:val="none"/>
        </w:rPr>
        <w:t>互联互通消息检索</w:t>
      </w:r>
    </w:p>
    <w:tbl>
      <w:tblPr>
        <w:tblStyle w:val="43"/>
        <w:tblW w:w="91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1"/>
        <w:gridCol w:w="7499"/>
      </w:tblGrid>
      <w:tr w14:paraId="52311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91" w:type="dxa"/>
            <w:vAlign w:val="center"/>
          </w:tcPr>
          <w:p w14:paraId="0DFB7AE7">
            <w:pPr>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功能列表</w:t>
            </w:r>
          </w:p>
        </w:tc>
        <w:tc>
          <w:tcPr>
            <w:tcW w:w="7499" w:type="dxa"/>
            <w:vAlign w:val="center"/>
          </w:tcPr>
          <w:p w14:paraId="2213D167">
            <w:pPr>
              <w:tabs>
                <w:tab w:val="left" w:pos="951"/>
              </w:tabs>
              <w:adjustRightInd w:val="0"/>
              <w:snapToGrid w:val="0"/>
              <w:spacing w:line="360" w:lineRule="auto"/>
              <w:jc w:val="center"/>
              <w:rPr>
                <w:rFonts w:ascii="宋体" w:hAnsi="宋体" w:eastAsia="宋体"/>
                <w:b/>
                <w:bCs/>
                <w:color w:val="auto"/>
                <w:highlight w:val="none"/>
              </w:rPr>
            </w:pPr>
            <w:r>
              <w:rPr>
                <w:rFonts w:ascii="宋体" w:hAnsi="宋体" w:eastAsia="宋体"/>
                <w:b/>
                <w:bCs/>
                <w:color w:val="auto"/>
                <w:highlight w:val="none"/>
              </w:rPr>
              <w:t>技术要求</w:t>
            </w:r>
          </w:p>
        </w:tc>
      </w:tr>
      <w:tr w14:paraId="7AD73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91" w:type="dxa"/>
            <w:vAlign w:val="center"/>
          </w:tcPr>
          <w:p w14:paraId="1B2CCC86">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消息检索</w:t>
            </w:r>
          </w:p>
        </w:tc>
        <w:tc>
          <w:tcPr>
            <w:tcW w:w="7499" w:type="dxa"/>
            <w:vAlign w:val="center"/>
          </w:tcPr>
          <w:p w14:paraId="2C40A7B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提供一套互联互通交互服务日志的可视化检索界面，支持日期时间、服务名称、患者id、就诊号等条件进行消息检索</w:t>
            </w:r>
          </w:p>
        </w:tc>
      </w:tr>
    </w:tbl>
    <w:p w14:paraId="23232091">
      <w:pPr>
        <w:pStyle w:val="4"/>
        <w:spacing w:line="360" w:lineRule="auto"/>
        <w:rPr>
          <w:rFonts w:ascii="宋体" w:hAnsi="宋体" w:eastAsia="宋体"/>
          <w:color w:val="auto"/>
          <w:highlight w:val="none"/>
        </w:rPr>
      </w:pPr>
      <w:r>
        <w:rPr>
          <w:rFonts w:hint="eastAsia" w:ascii="宋体" w:hAnsi="宋体" w:eastAsia="宋体"/>
          <w:color w:val="auto"/>
          <w:highlight w:val="none"/>
        </w:rPr>
        <w:t>数据接入平台</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4"/>
        <w:gridCol w:w="7552"/>
      </w:tblGrid>
      <w:tr w14:paraId="3049B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shd w:val="clear" w:color="auto" w:fill="auto"/>
            <w:noWrap/>
            <w:vAlign w:val="center"/>
          </w:tcPr>
          <w:p w14:paraId="2E3B6540">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功能列表</w:t>
            </w:r>
          </w:p>
        </w:tc>
        <w:tc>
          <w:tcPr>
            <w:tcW w:w="7552" w:type="dxa"/>
            <w:shd w:val="clear" w:color="auto" w:fill="auto"/>
            <w:noWrap/>
            <w:vAlign w:val="center"/>
          </w:tcPr>
          <w:p w14:paraId="1EB1644E">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功能要求</w:t>
            </w:r>
          </w:p>
        </w:tc>
      </w:tr>
      <w:tr w14:paraId="5FCD7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shd w:val="clear" w:color="auto" w:fill="auto"/>
            <w:noWrap/>
            <w:vAlign w:val="center"/>
          </w:tcPr>
          <w:p w14:paraId="56E942C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数据获取</w:t>
            </w:r>
          </w:p>
        </w:tc>
        <w:tc>
          <w:tcPr>
            <w:tcW w:w="7552" w:type="dxa"/>
            <w:shd w:val="clear" w:color="auto" w:fill="auto"/>
            <w:noWrap/>
            <w:vAlign w:val="center"/>
          </w:tcPr>
          <w:p w14:paraId="1E60721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采用国际知名品牌数据同步工具，采用数据库动态日志捕获同步技术，对生产系统的资源消耗控制在5%或以内，确保业务数据源和ODS数据的一致性控制在</w:t>
            </w:r>
            <w:r>
              <w:rPr>
                <w:rFonts w:ascii="宋体" w:hAnsi="宋体" w:eastAsia="宋体"/>
                <w:color w:val="auto"/>
                <w:highlight w:val="none"/>
              </w:rPr>
              <w:t>分钟</w:t>
            </w:r>
            <w:r>
              <w:rPr>
                <w:rFonts w:hint="eastAsia" w:ascii="宋体" w:hAnsi="宋体" w:eastAsia="宋体"/>
                <w:color w:val="auto"/>
                <w:highlight w:val="none"/>
              </w:rPr>
              <w:t>级。</w:t>
            </w:r>
          </w:p>
        </w:tc>
      </w:tr>
      <w:tr w14:paraId="22E49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shd w:val="clear" w:color="auto" w:fill="auto"/>
            <w:noWrap/>
            <w:vAlign w:val="center"/>
          </w:tcPr>
          <w:p w14:paraId="539DE0D1">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数据清洗</w:t>
            </w:r>
          </w:p>
        </w:tc>
        <w:tc>
          <w:tcPr>
            <w:tcW w:w="7552" w:type="dxa"/>
            <w:shd w:val="clear" w:color="auto" w:fill="auto"/>
            <w:noWrap/>
            <w:vAlign w:val="center"/>
          </w:tcPr>
          <w:p w14:paraId="2044E83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支持过滤不符合要求的数据。</w:t>
            </w:r>
          </w:p>
        </w:tc>
      </w:tr>
      <w:tr w14:paraId="2AC5B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shd w:val="clear" w:color="auto" w:fill="auto"/>
            <w:noWrap/>
            <w:vAlign w:val="center"/>
          </w:tcPr>
          <w:p w14:paraId="49A6A636">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转换</w:t>
            </w:r>
          </w:p>
        </w:tc>
        <w:tc>
          <w:tcPr>
            <w:tcW w:w="7552" w:type="dxa"/>
            <w:shd w:val="clear" w:color="auto" w:fill="auto"/>
            <w:noWrap/>
            <w:vAlign w:val="center"/>
          </w:tcPr>
          <w:p w14:paraId="5FE6178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支持对不一致的数据进行转换规则的计算。</w:t>
            </w:r>
          </w:p>
        </w:tc>
      </w:tr>
      <w:tr w14:paraId="7C824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shd w:val="clear" w:color="auto" w:fill="auto"/>
            <w:noWrap/>
            <w:vAlign w:val="center"/>
          </w:tcPr>
          <w:p w14:paraId="453C87BC">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装载</w:t>
            </w:r>
          </w:p>
        </w:tc>
        <w:tc>
          <w:tcPr>
            <w:tcW w:w="7552" w:type="dxa"/>
            <w:shd w:val="clear" w:color="auto" w:fill="auto"/>
            <w:noWrap/>
            <w:vAlign w:val="center"/>
          </w:tcPr>
          <w:p w14:paraId="5966333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能够加载经转换和汇总的数据到目标数据仓库中，可实现SQL或批量加载。</w:t>
            </w:r>
          </w:p>
        </w:tc>
      </w:tr>
      <w:tr w14:paraId="0E5A1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shd w:val="clear" w:color="auto" w:fill="auto"/>
            <w:noWrap/>
            <w:vAlign w:val="center"/>
          </w:tcPr>
          <w:p w14:paraId="65FA2635">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日志</w:t>
            </w:r>
          </w:p>
        </w:tc>
        <w:tc>
          <w:tcPr>
            <w:tcW w:w="7552" w:type="dxa"/>
            <w:shd w:val="clear" w:color="auto" w:fill="auto"/>
            <w:noWrap/>
            <w:vAlign w:val="center"/>
          </w:tcPr>
          <w:p w14:paraId="18CB77A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提供记录日志，随时可以知道数据同步及抽取运行情况，以便于在错误发生的情况下，快速定位错误原因和位置。</w:t>
            </w:r>
          </w:p>
        </w:tc>
      </w:tr>
    </w:tbl>
    <w:p w14:paraId="71FA8320">
      <w:pPr>
        <w:spacing w:line="360" w:lineRule="auto"/>
        <w:rPr>
          <w:rFonts w:ascii="宋体" w:hAnsi="宋体" w:eastAsia="宋体"/>
          <w:color w:val="auto"/>
          <w:highlight w:val="none"/>
        </w:rPr>
      </w:pPr>
    </w:p>
    <w:p w14:paraId="4009E8DD">
      <w:pPr>
        <w:spacing w:line="360" w:lineRule="auto"/>
        <w:rPr>
          <w:rFonts w:ascii="宋体" w:hAnsi="宋体" w:eastAsia="宋体"/>
          <w:color w:val="auto"/>
          <w:highlight w:val="none"/>
        </w:rPr>
      </w:pPr>
    </w:p>
    <w:p w14:paraId="63BEEEAE">
      <w:pPr>
        <w:pStyle w:val="4"/>
        <w:spacing w:line="360" w:lineRule="auto"/>
        <w:rPr>
          <w:rFonts w:ascii="宋体" w:hAnsi="宋体" w:eastAsia="宋体"/>
          <w:color w:val="auto"/>
          <w:highlight w:val="none"/>
        </w:rPr>
      </w:pPr>
      <w:r>
        <w:rPr>
          <w:rFonts w:hint="eastAsia" w:ascii="宋体" w:hAnsi="宋体" w:eastAsia="宋体"/>
          <w:color w:val="auto"/>
          <w:highlight w:val="none"/>
        </w:rPr>
        <w:t>前置业务存储数据库</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4"/>
        <w:gridCol w:w="7552"/>
      </w:tblGrid>
      <w:tr w14:paraId="5D8F3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shd w:val="clear" w:color="auto" w:fill="auto"/>
            <w:noWrap/>
            <w:vAlign w:val="center"/>
          </w:tcPr>
          <w:p w14:paraId="05972130">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功能列表</w:t>
            </w:r>
          </w:p>
        </w:tc>
        <w:tc>
          <w:tcPr>
            <w:tcW w:w="7552" w:type="dxa"/>
            <w:shd w:val="clear" w:color="auto" w:fill="auto"/>
            <w:noWrap/>
            <w:vAlign w:val="center"/>
          </w:tcPr>
          <w:p w14:paraId="5545211B">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功能要求</w:t>
            </w:r>
          </w:p>
        </w:tc>
      </w:tr>
      <w:tr w14:paraId="71E4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34" w:type="dxa"/>
            <w:shd w:val="clear" w:color="auto" w:fill="auto"/>
            <w:noWrap/>
            <w:vAlign w:val="center"/>
          </w:tcPr>
          <w:p w14:paraId="68783E9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历史数据</w:t>
            </w:r>
          </w:p>
        </w:tc>
        <w:tc>
          <w:tcPr>
            <w:tcW w:w="7552" w:type="dxa"/>
            <w:shd w:val="clear" w:color="auto" w:fill="auto"/>
            <w:noWrap/>
            <w:vAlign w:val="center"/>
          </w:tcPr>
          <w:p w14:paraId="6A5E44B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保存院内信息系统H</w:t>
            </w:r>
            <w:r>
              <w:rPr>
                <w:rFonts w:ascii="宋体" w:hAnsi="宋体" w:eastAsia="宋体"/>
                <w:color w:val="auto"/>
                <w:highlight w:val="none"/>
              </w:rPr>
              <w:t>IS</w:t>
            </w:r>
            <w:r>
              <w:rPr>
                <w:rFonts w:hint="eastAsia" w:ascii="宋体" w:hAnsi="宋体" w:eastAsia="宋体"/>
                <w:color w:val="auto"/>
                <w:highlight w:val="none"/>
              </w:rPr>
              <w:t>、E</w:t>
            </w:r>
            <w:r>
              <w:rPr>
                <w:rFonts w:ascii="宋体" w:hAnsi="宋体" w:eastAsia="宋体"/>
                <w:color w:val="auto"/>
                <w:highlight w:val="none"/>
              </w:rPr>
              <w:t>MR</w:t>
            </w:r>
            <w:r>
              <w:rPr>
                <w:rFonts w:hint="eastAsia" w:ascii="宋体" w:hAnsi="宋体" w:eastAsia="宋体"/>
                <w:color w:val="auto"/>
                <w:highlight w:val="none"/>
              </w:rPr>
              <w:t>、L</w:t>
            </w:r>
            <w:r>
              <w:rPr>
                <w:rFonts w:ascii="宋体" w:hAnsi="宋体" w:eastAsia="宋体"/>
                <w:color w:val="auto"/>
                <w:highlight w:val="none"/>
              </w:rPr>
              <w:t>IS</w:t>
            </w:r>
            <w:r>
              <w:rPr>
                <w:rFonts w:hint="eastAsia" w:ascii="宋体" w:hAnsi="宋体" w:eastAsia="宋体"/>
                <w:color w:val="auto"/>
                <w:highlight w:val="none"/>
              </w:rPr>
              <w:t>、P</w:t>
            </w:r>
            <w:r>
              <w:rPr>
                <w:rFonts w:ascii="宋体" w:hAnsi="宋体" w:eastAsia="宋体"/>
                <w:color w:val="auto"/>
                <w:highlight w:val="none"/>
              </w:rPr>
              <w:t>ACS</w:t>
            </w:r>
            <w:r>
              <w:rPr>
                <w:rFonts w:hint="eastAsia" w:ascii="宋体" w:hAnsi="宋体" w:eastAsia="宋体"/>
                <w:color w:val="auto"/>
                <w:highlight w:val="none"/>
              </w:rPr>
              <w:t>等系统有价值的历史数据，可以提供对外查询的能力，具备分担业务库查询的能力。</w:t>
            </w:r>
          </w:p>
        </w:tc>
      </w:tr>
      <w:tr w14:paraId="5BE84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34" w:type="dxa"/>
            <w:shd w:val="clear" w:color="auto" w:fill="auto"/>
            <w:noWrap/>
            <w:vAlign w:val="center"/>
          </w:tcPr>
          <w:p w14:paraId="39FC709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增量数据</w:t>
            </w:r>
          </w:p>
        </w:tc>
        <w:tc>
          <w:tcPr>
            <w:tcW w:w="7552" w:type="dxa"/>
            <w:shd w:val="clear" w:color="auto" w:fill="auto"/>
            <w:noWrap/>
            <w:vAlign w:val="center"/>
          </w:tcPr>
          <w:p w14:paraId="3F2B3D77">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保存院内信息系统H</w:t>
            </w:r>
            <w:r>
              <w:rPr>
                <w:rFonts w:ascii="宋体" w:hAnsi="宋体" w:eastAsia="宋体"/>
                <w:color w:val="auto"/>
                <w:highlight w:val="none"/>
              </w:rPr>
              <w:t>IS</w:t>
            </w:r>
            <w:r>
              <w:rPr>
                <w:rFonts w:hint="eastAsia" w:ascii="宋体" w:hAnsi="宋体" w:eastAsia="宋体"/>
                <w:color w:val="auto"/>
                <w:highlight w:val="none"/>
              </w:rPr>
              <w:t>、E</w:t>
            </w:r>
            <w:r>
              <w:rPr>
                <w:rFonts w:ascii="宋体" w:hAnsi="宋体" w:eastAsia="宋体"/>
                <w:color w:val="auto"/>
                <w:highlight w:val="none"/>
              </w:rPr>
              <w:t>MR</w:t>
            </w:r>
            <w:r>
              <w:rPr>
                <w:rFonts w:hint="eastAsia" w:ascii="宋体" w:hAnsi="宋体" w:eastAsia="宋体"/>
                <w:color w:val="auto"/>
                <w:highlight w:val="none"/>
              </w:rPr>
              <w:t>、L</w:t>
            </w:r>
            <w:r>
              <w:rPr>
                <w:rFonts w:ascii="宋体" w:hAnsi="宋体" w:eastAsia="宋体"/>
                <w:color w:val="auto"/>
                <w:highlight w:val="none"/>
              </w:rPr>
              <w:t>IS</w:t>
            </w:r>
            <w:r>
              <w:rPr>
                <w:rFonts w:hint="eastAsia" w:ascii="宋体" w:hAnsi="宋体" w:eastAsia="宋体"/>
                <w:color w:val="auto"/>
                <w:highlight w:val="none"/>
              </w:rPr>
              <w:t>、P</w:t>
            </w:r>
            <w:r>
              <w:rPr>
                <w:rFonts w:ascii="宋体" w:hAnsi="宋体" w:eastAsia="宋体"/>
                <w:color w:val="auto"/>
                <w:highlight w:val="none"/>
              </w:rPr>
              <w:t>ACS</w:t>
            </w:r>
            <w:r>
              <w:rPr>
                <w:rFonts w:hint="eastAsia" w:ascii="宋体" w:hAnsi="宋体" w:eastAsia="宋体"/>
                <w:color w:val="auto"/>
                <w:highlight w:val="none"/>
              </w:rPr>
              <w:t>等系统有价值的增量数据，能够达到</w:t>
            </w:r>
            <w:r>
              <w:rPr>
                <w:rFonts w:ascii="宋体" w:hAnsi="宋体" w:eastAsia="宋体"/>
                <w:color w:val="auto"/>
                <w:highlight w:val="none"/>
              </w:rPr>
              <w:t>分钟</w:t>
            </w:r>
            <w:r>
              <w:rPr>
                <w:rFonts w:hint="eastAsia" w:ascii="宋体" w:hAnsi="宋体" w:eastAsia="宋体"/>
                <w:color w:val="auto"/>
                <w:highlight w:val="none"/>
              </w:rPr>
              <w:t>级的同步水平。</w:t>
            </w:r>
          </w:p>
        </w:tc>
      </w:tr>
    </w:tbl>
    <w:p w14:paraId="1A6C0B04">
      <w:pPr>
        <w:spacing w:line="360" w:lineRule="auto"/>
        <w:rPr>
          <w:rFonts w:ascii="宋体" w:hAnsi="宋体" w:eastAsia="宋体"/>
          <w:color w:val="auto"/>
          <w:highlight w:val="none"/>
        </w:rPr>
      </w:pPr>
    </w:p>
    <w:p w14:paraId="39D2530E">
      <w:pPr>
        <w:pStyle w:val="4"/>
        <w:spacing w:line="360" w:lineRule="auto"/>
        <w:rPr>
          <w:rFonts w:ascii="宋体" w:hAnsi="宋体" w:eastAsia="宋体"/>
          <w:color w:val="auto"/>
          <w:highlight w:val="none"/>
        </w:rPr>
      </w:pPr>
      <w:r>
        <w:rPr>
          <w:rFonts w:hint="eastAsia" w:ascii="宋体" w:hAnsi="宋体" w:eastAsia="宋体"/>
          <w:color w:val="auto"/>
          <w:highlight w:val="none"/>
        </w:rPr>
        <w:t>临床数据资源平台</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56"/>
        <w:gridCol w:w="3044"/>
        <w:gridCol w:w="4686"/>
      </w:tblGrid>
      <w:tr w14:paraId="6A801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4" w:type="dxa"/>
            <w:shd w:val="clear" w:color="auto" w:fill="auto"/>
            <w:vAlign w:val="center"/>
          </w:tcPr>
          <w:p w14:paraId="3D1AAA39">
            <w:pPr>
              <w:tabs>
                <w:tab w:val="left" w:pos="1260"/>
              </w:tabs>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功能列表</w:t>
            </w:r>
          </w:p>
        </w:tc>
        <w:tc>
          <w:tcPr>
            <w:tcW w:w="7552" w:type="dxa"/>
            <w:gridSpan w:val="2"/>
            <w:shd w:val="clear" w:color="auto" w:fill="auto"/>
            <w:vAlign w:val="center"/>
          </w:tcPr>
          <w:p w14:paraId="257C5401">
            <w:pPr>
              <w:tabs>
                <w:tab w:val="left" w:pos="1260"/>
              </w:tabs>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技术要求</w:t>
            </w:r>
          </w:p>
        </w:tc>
      </w:tr>
      <w:tr w14:paraId="09F05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4" w:type="dxa"/>
            <w:vMerge w:val="restart"/>
            <w:shd w:val="clear" w:color="auto" w:fill="auto"/>
            <w:vAlign w:val="center"/>
          </w:tcPr>
          <w:p w14:paraId="041357C6">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数据存储</w:t>
            </w:r>
          </w:p>
        </w:tc>
        <w:tc>
          <w:tcPr>
            <w:tcW w:w="7552" w:type="dxa"/>
            <w:gridSpan w:val="2"/>
            <w:shd w:val="clear" w:color="auto" w:fill="auto"/>
            <w:vAlign w:val="center"/>
          </w:tcPr>
          <w:p w14:paraId="53BD98F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提供临床业务模型输出患者数据。就诊数据、医嘱数据及各类报告文书等数据进行整合存储，建立关联关系。</w:t>
            </w:r>
          </w:p>
        </w:tc>
      </w:tr>
      <w:tr w14:paraId="29E91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4" w:type="dxa"/>
            <w:vMerge w:val="continue"/>
            <w:shd w:val="clear" w:color="auto" w:fill="auto"/>
            <w:vAlign w:val="center"/>
          </w:tcPr>
          <w:p w14:paraId="23736B06">
            <w:pPr>
              <w:adjustRightInd w:val="0"/>
              <w:snapToGrid w:val="0"/>
              <w:spacing w:line="360" w:lineRule="auto"/>
              <w:jc w:val="center"/>
              <w:rPr>
                <w:rFonts w:ascii="宋体" w:hAnsi="宋体" w:eastAsia="宋体"/>
                <w:color w:val="auto"/>
                <w:highlight w:val="none"/>
              </w:rPr>
            </w:pPr>
          </w:p>
        </w:tc>
        <w:tc>
          <w:tcPr>
            <w:tcW w:w="7552" w:type="dxa"/>
            <w:gridSpan w:val="2"/>
            <w:shd w:val="clear" w:color="auto" w:fill="auto"/>
            <w:vAlign w:val="center"/>
          </w:tcPr>
          <w:p w14:paraId="0093E6A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支持对历史患者信息、医嘱、检查、检验、病理、手术、病案等数据进行抽取、清洗、转换，按标准化、结构化、分类存储。</w:t>
            </w:r>
          </w:p>
        </w:tc>
      </w:tr>
      <w:tr w14:paraId="594A5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4" w:type="dxa"/>
            <w:vMerge w:val="continue"/>
            <w:shd w:val="clear" w:color="auto" w:fill="auto"/>
            <w:vAlign w:val="center"/>
          </w:tcPr>
          <w:p w14:paraId="53C10A70">
            <w:pPr>
              <w:adjustRightInd w:val="0"/>
              <w:snapToGrid w:val="0"/>
              <w:spacing w:line="360" w:lineRule="auto"/>
              <w:rPr>
                <w:rFonts w:ascii="宋体" w:hAnsi="宋体" w:eastAsia="宋体"/>
                <w:color w:val="auto"/>
                <w:highlight w:val="none"/>
              </w:rPr>
            </w:pPr>
          </w:p>
        </w:tc>
        <w:tc>
          <w:tcPr>
            <w:tcW w:w="7552" w:type="dxa"/>
            <w:gridSpan w:val="2"/>
            <w:shd w:val="clear" w:color="auto" w:fill="auto"/>
            <w:vAlign w:val="center"/>
          </w:tcPr>
          <w:p w14:paraId="0635EE66">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临床数据集成以患者为中心，以就诊为索引的所有临床数据。数据接入可以支持多种数据接入形式与数据规范。</w:t>
            </w:r>
          </w:p>
        </w:tc>
      </w:tr>
      <w:tr w14:paraId="08120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4" w:type="dxa"/>
            <w:vMerge w:val="continue"/>
            <w:shd w:val="clear" w:color="auto" w:fill="auto"/>
            <w:vAlign w:val="center"/>
          </w:tcPr>
          <w:p w14:paraId="1BB471FE">
            <w:pPr>
              <w:adjustRightInd w:val="0"/>
              <w:snapToGrid w:val="0"/>
              <w:spacing w:line="360" w:lineRule="auto"/>
              <w:jc w:val="center"/>
              <w:rPr>
                <w:rFonts w:ascii="宋体" w:hAnsi="宋体" w:eastAsia="宋体"/>
                <w:color w:val="auto"/>
                <w:highlight w:val="none"/>
              </w:rPr>
            </w:pPr>
          </w:p>
        </w:tc>
        <w:tc>
          <w:tcPr>
            <w:tcW w:w="3424" w:type="dxa"/>
            <w:vMerge w:val="restart"/>
            <w:shd w:val="clear" w:color="auto" w:fill="auto"/>
            <w:vAlign w:val="center"/>
          </w:tcPr>
          <w:p w14:paraId="10CCAB4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为患者全息视图提供数据：</w:t>
            </w:r>
          </w:p>
          <w:p w14:paraId="5B0674B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作为患者全息视图的数据源，为其提供以患者为中心的患者临床全流程就诊数据。</w:t>
            </w:r>
          </w:p>
        </w:tc>
        <w:tc>
          <w:tcPr>
            <w:tcW w:w="0" w:type="auto"/>
            <w:shd w:val="clear" w:color="auto" w:fill="auto"/>
            <w:vAlign w:val="center"/>
          </w:tcPr>
          <w:p w14:paraId="15280DF3">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1</w:t>
            </w:r>
            <w:r>
              <w:rPr>
                <w:rFonts w:hint="eastAsia" w:ascii="宋体" w:hAnsi="宋体" w:eastAsia="宋体"/>
                <w:color w:val="auto"/>
                <w:highlight w:val="none"/>
              </w:rPr>
              <w:t>、支持多种数据采集的接入方式与规范：对接集成平台提供的各类接口。</w:t>
            </w:r>
          </w:p>
        </w:tc>
      </w:tr>
      <w:tr w14:paraId="3E55B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4" w:type="dxa"/>
            <w:vMerge w:val="continue"/>
            <w:shd w:val="clear" w:color="auto" w:fill="auto"/>
            <w:vAlign w:val="center"/>
          </w:tcPr>
          <w:p w14:paraId="115C6D50">
            <w:pPr>
              <w:adjustRightInd w:val="0"/>
              <w:snapToGrid w:val="0"/>
              <w:spacing w:line="360" w:lineRule="auto"/>
              <w:jc w:val="center"/>
              <w:rPr>
                <w:rFonts w:ascii="宋体" w:hAnsi="宋体" w:eastAsia="宋体"/>
                <w:color w:val="auto"/>
                <w:highlight w:val="none"/>
              </w:rPr>
            </w:pPr>
          </w:p>
        </w:tc>
        <w:tc>
          <w:tcPr>
            <w:tcW w:w="3424" w:type="dxa"/>
            <w:vMerge w:val="continue"/>
            <w:shd w:val="clear" w:color="auto" w:fill="auto"/>
            <w:vAlign w:val="center"/>
          </w:tcPr>
          <w:p w14:paraId="67D0C1BF">
            <w:pPr>
              <w:adjustRightInd w:val="0"/>
              <w:snapToGrid w:val="0"/>
              <w:spacing w:line="360" w:lineRule="auto"/>
              <w:rPr>
                <w:rFonts w:ascii="宋体" w:hAnsi="宋体" w:eastAsia="宋体"/>
                <w:color w:val="auto"/>
                <w:highlight w:val="none"/>
              </w:rPr>
            </w:pPr>
          </w:p>
        </w:tc>
        <w:tc>
          <w:tcPr>
            <w:tcW w:w="0" w:type="auto"/>
            <w:shd w:val="clear" w:color="auto" w:fill="auto"/>
            <w:vAlign w:val="center"/>
          </w:tcPr>
          <w:p w14:paraId="6FFE5F18">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2</w:t>
            </w:r>
            <w:r>
              <w:rPr>
                <w:rFonts w:hint="eastAsia" w:ascii="宋体" w:hAnsi="宋体" w:eastAsia="宋体"/>
                <w:color w:val="auto"/>
                <w:highlight w:val="none"/>
              </w:rPr>
              <w:t>、支持不同数据规范的接入：对接支持html、普通的txt等格式。</w:t>
            </w:r>
          </w:p>
        </w:tc>
      </w:tr>
      <w:tr w14:paraId="468AF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34" w:type="dxa"/>
            <w:vMerge w:val="continue"/>
            <w:shd w:val="clear" w:color="auto" w:fill="auto"/>
            <w:vAlign w:val="center"/>
          </w:tcPr>
          <w:p w14:paraId="6C9692EC">
            <w:pPr>
              <w:adjustRightInd w:val="0"/>
              <w:snapToGrid w:val="0"/>
              <w:spacing w:line="360" w:lineRule="auto"/>
              <w:jc w:val="center"/>
              <w:rPr>
                <w:rFonts w:ascii="宋体" w:hAnsi="宋体" w:eastAsia="宋体"/>
                <w:color w:val="auto"/>
                <w:highlight w:val="none"/>
              </w:rPr>
            </w:pPr>
          </w:p>
        </w:tc>
        <w:tc>
          <w:tcPr>
            <w:tcW w:w="3424" w:type="dxa"/>
            <w:vMerge w:val="continue"/>
            <w:shd w:val="clear" w:color="auto" w:fill="auto"/>
            <w:vAlign w:val="center"/>
          </w:tcPr>
          <w:p w14:paraId="46F1D73D">
            <w:pPr>
              <w:adjustRightInd w:val="0"/>
              <w:snapToGrid w:val="0"/>
              <w:spacing w:line="360" w:lineRule="auto"/>
              <w:rPr>
                <w:rFonts w:ascii="宋体" w:hAnsi="宋体" w:eastAsia="宋体"/>
                <w:color w:val="auto"/>
                <w:highlight w:val="none"/>
              </w:rPr>
            </w:pPr>
          </w:p>
        </w:tc>
        <w:tc>
          <w:tcPr>
            <w:tcW w:w="0" w:type="auto"/>
            <w:shd w:val="clear" w:color="auto" w:fill="auto"/>
            <w:vAlign w:val="center"/>
          </w:tcPr>
          <w:p w14:paraId="3178976E">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3</w:t>
            </w:r>
            <w:r>
              <w:rPr>
                <w:rFonts w:hint="eastAsia" w:ascii="宋体" w:hAnsi="宋体" w:eastAsia="宋体"/>
                <w:color w:val="auto"/>
                <w:highlight w:val="none"/>
              </w:rPr>
              <w:t>、数据接入程序支持分布式部署。</w:t>
            </w:r>
          </w:p>
        </w:tc>
      </w:tr>
    </w:tbl>
    <w:p w14:paraId="1315C274">
      <w:pPr>
        <w:pStyle w:val="4"/>
        <w:spacing w:line="360" w:lineRule="auto"/>
        <w:rPr>
          <w:rFonts w:ascii="宋体" w:hAnsi="宋体" w:eastAsia="宋体"/>
          <w:color w:val="auto"/>
          <w:highlight w:val="none"/>
        </w:rPr>
      </w:pPr>
      <w:r>
        <w:rPr>
          <w:rFonts w:hint="eastAsia" w:ascii="宋体" w:hAnsi="宋体" w:eastAsia="宋体"/>
          <w:color w:val="auto"/>
          <w:highlight w:val="none"/>
        </w:rPr>
        <w:t>运营数据库</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2"/>
        <w:gridCol w:w="7744"/>
      </w:tblGrid>
      <w:tr w14:paraId="05358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54B7FCBF">
            <w:pPr>
              <w:adjustRightInd w:val="0"/>
              <w:snapToGrid w:val="0"/>
              <w:spacing w:line="360" w:lineRule="auto"/>
              <w:jc w:val="center"/>
              <w:rPr>
                <w:rFonts w:ascii="宋体" w:hAnsi="宋体" w:eastAsia="宋体"/>
                <w:color w:val="auto"/>
                <w:highlight w:val="none"/>
              </w:rPr>
            </w:pPr>
            <w:r>
              <w:rPr>
                <w:rFonts w:hint="eastAsia" w:ascii="宋体" w:hAnsi="宋体" w:eastAsia="宋体"/>
                <w:b/>
                <w:color w:val="auto"/>
                <w:highlight w:val="none"/>
              </w:rPr>
              <w:t>功能列表</w:t>
            </w:r>
          </w:p>
        </w:tc>
        <w:tc>
          <w:tcPr>
            <w:tcW w:w="7744" w:type="dxa"/>
            <w:shd w:val="clear" w:color="auto" w:fill="auto"/>
            <w:vAlign w:val="center"/>
          </w:tcPr>
          <w:p w14:paraId="32110533">
            <w:pPr>
              <w:adjustRightInd w:val="0"/>
              <w:snapToGrid w:val="0"/>
              <w:spacing w:line="360" w:lineRule="auto"/>
              <w:jc w:val="center"/>
              <w:rPr>
                <w:rFonts w:ascii="宋体" w:hAnsi="宋体" w:eastAsia="宋体"/>
                <w:color w:val="auto"/>
                <w:highlight w:val="none"/>
              </w:rPr>
            </w:pPr>
            <w:r>
              <w:rPr>
                <w:rFonts w:hint="eastAsia" w:ascii="宋体" w:hAnsi="宋体" w:eastAsia="宋体"/>
                <w:b/>
                <w:color w:val="auto"/>
                <w:highlight w:val="none"/>
              </w:rPr>
              <w:t>功能要求</w:t>
            </w:r>
          </w:p>
        </w:tc>
      </w:tr>
      <w:tr w14:paraId="65620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vMerge w:val="restart"/>
            <w:shd w:val="clear" w:color="auto" w:fill="auto"/>
            <w:vAlign w:val="center"/>
          </w:tcPr>
          <w:p w14:paraId="05C388EA">
            <w:pPr>
              <w:adjustRightInd w:val="0"/>
              <w:snapToGrid w:val="0"/>
              <w:spacing w:line="360" w:lineRule="auto"/>
              <w:jc w:val="center"/>
              <w:rPr>
                <w:rFonts w:ascii="宋体" w:hAnsi="宋体" w:eastAsia="宋体"/>
                <w:b/>
                <w:color w:val="auto"/>
                <w:highlight w:val="none"/>
              </w:rPr>
            </w:pPr>
            <w:r>
              <w:rPr>
                <w:rFonts w:hint="eastAsia" w:ascii="宋体" w:hAnsi="宋体" w:eastAsia="宋体"/>
                <w:color w:val="auto"/>
                <w:highlight w:val="none"/>
              </w:rPr>
              <w:t>运营指标数据仓库</w:t>
            </w:r>
          </w:p>
        </w:tc>
        <w:tc>
          <w:tcPr>
            <w:tcW w:w="7744" w:type="dxa"/>
            <w:shd w:val="clear" w:color="auto" w:fill="auto"/>
            <w:vAlign w:val="center"/>
          </w:tcPr>
          <w:p w14:paraId="45AA45AF">
            <w:pPr>
              <w:adjustRightInd w:val="0"/>
              <w:snapToGrid w:val="0"/>
              <w:spacing w:line="360" w:lineRule="auto"/>
              <w:rPr>
                <w:rFonts w:ascii="宋体" w:hAnsi="宋体" w:eastAsia="宋体"/>
                <w:b/>
                <w:color w:val="auto"/>
                <w:highlight w:val="none"/>
              </w:rPr>
            </w:pPr>
            <w:r>
              <w:rPr>
                <w:rFonts w:hint="eastAsia" w:ascii="宋体" w:hAnsi="宋体" w:eastAsia="宋体"/>
                <w:color w:val="auto"/>
                <w:highlight w:val="none"/>
              </w:rPr>
              <w:t>提供统一的运营指标数据仓库，以提供指标持久化存储，基于指标的报表展现、汇总图表、分析能力均基于运营指标数据仓库；</w:t>
            </w:r>
          </w:p>
        </w:tc>
      </w:tr>
      <w:tr w14:paraId="533E5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vMerge w:val="continue"/>
            <w:shd w:val="clear" w:color="auto" w:fill="auto"/>
            <w:vAlign w:val="center"/>
          </w:tcPr>
          <w:p w14:paraId="3407DA9F">
            <w:pPr>
              <w:adjustRightInd w:val="0"/>
              <w:snapToGrid w:val="0"/>
              <w:spacing w:line="360" w:lineRule="auto"/>
              <w:jc w:val="center"/>
              <w:rPr>
                <w:rFonts w:ascii="宋体" w:hAnsi="宋体" w:eastAsia="宋体"/>
                <w:b/>
                <w:color w:val="auto"/>
                <w:highlight w:val="none"/>
              </w:rPr>
            </w:pPr>
          </w:p>
        </w:tc>
        <w:tc>
          <w:tcPr>
            <w:tcW w:w="7744" w:type="dxa"/>
            <w:shd w:val="clear" w:color="auto" w:fill="auto"/>
            <w:vAlign w:val="center"/>
          </w:tcPr>
          <w:p w14:paraId="51A45A92">
            <w:pPr>
              <w:adjustRightInd w:val="0"/>
              <w:snapToGrid w:val="0"/>
              <w:spacing w:line="360" w:lineRule="auto"/>
              <w:rPr>
                <w:rFonts w:ascii="宋体" w:hAnsi="宋体" w:eastAsia="宋体"/>
                <w:b/>
                <w:color w:val="auto"/>
                <w:highlight w:val="none"/>
              </w:rPr>
            </w:pPr>
            <w:r>
              <w:rPr>
                <w:rFonts w:hint="eastAsia" w:ascii="宋体" w:hAnsi="宋体" w:eastAsia="宋体"/>
                <w:color w:val="auto"/>
                <w:highlight w:val="none"/>
              </w:rPr>
              <w:t>提供支撑指标统计数据的明细数据仓库；</w:t>
            </w:r>
          </w:p>
        </w:tc>
      </w:tr>
      <w:tr w14:paraId="79018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2BA0DB90">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指标管理</w:t>
            </w:r>
          </w:p>
        </w:tc>
        <w:tc>
          <w:tcPr>
            <w:tcW w:w="7744" w:type="dxa"/>
            <w:shd w:val="clear" w:color="auto" w:fill="auto"/>
            <w:vAlign w:val="center"/>
          </w:tcPr>
          <w:p w14:paraId="29BC32EA">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可针对医院关注对象建立指标，指标建立支持指标公式利用加、减、乘、除等算法计算合成指标，添加指标说明。支持指标建立、修改、删除基本功能；并可按照业务对指标建立多个目录，具备目录增删改基本功能。</w:t>
            </w:r>
          </w:p>
        </w:tc>
      </w:tr>
      <w:tr w14:paraId="6F5CE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410E666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维度管理</w:t>
            </w:r>
          </w:p>
        </w:tc>
        <w:tc>
          <w:tcPr>
            <w:tcW w:w="7744" w:type="dxa"/>
            <w:shd w:val="clear" w:color="auto" w:fill="auto"/>
            <w:vAlign w:val="center"/>
          </w:tcPr>
          <w:p w14:paraId="039E175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可根据医院关注角度建立维度，对维度设置数据类型，选择字典名称。针对单一维度可新增或者引用其他维度方式以建立下钻维度。</w:t>
            </w:r>
          </w:p>
        </w:tc>
      </w:tr>
      <w:tr w14:paraId="33EBD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1542" w:type="dxa"/>
            <w:vMerge w:val="restart"/>
            <w:shd w:val="clear" w:color="auto" w:fill="auto"/>
            <w:vAlign w:val="center"/>
          </w:tcPr>
          <w:p w14:paraId="26781E6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指标数据采集</w:t>
            </w:r>
          </w:p>
        </w:tc>
        <w:tc>
          <w:tcPr>
            <w:tcW w:w="7744" w:type="dxa"/>
            <w:shd w:val="clear" w:color="auto" w:fill="auto"/>
            <w:vAlign w:val="center"/>
          </w:tcPr>
          <w:p w14:paraId="1E2D81EE">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提供指标数据的定时采集参数配置功能，支持批量配置，功能包括：数据源配置、采集模型配置、采集调度管理、错误日志查看等。</w:t>
            </w:r>
          </w:p>
        </w:tc>
      </w:tr>
      <w:tr w14:paraId="2D52F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542" w:type="dxa"/>
            <w:vMerge w:val="continue"/>
            <w:shd w:val="clear" w:color="auto" w:fill="auto"/>
            <w:vAlign w:val="center"/>
          </w:tcPr>
          <w:p w14:paraId="2C9E9967">
            <w:pPr>
              <w:adjustRightInd w:val="0"/>
              <w:snapToGrid w:val="0"/>
              <w:spacing w:line="360" w:lineRule="auto"/>
              <w:jc w:val="center"/>
              <w:rPr>
                <w:rFonts w:ascii="宋体" w:hAnsi="宋体" w:eastAsia="宋体"/>
                <w:color w:val="auto"/>
                <w:highlight w:val="none"/>
              </w:rPr>
            </w:pPr>
          </w:p>
        </w:tc>
        <w:tc>
          <w:tcPr>
            <w:tcW w:w="7744" w:type="dxa"/>
            <w:shd w:val="clear" w:color="auto" w:fill="auto"/>
            <w:vAlign w:val="center"/>
          </w:tcPr>
          <w:p w14:paraId="4DD9021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日志保存，针对某区间指标，当发现问题时可快速定位到日志，并重新执行即可完成指标重采集。</w:t>
            </w:r>
          </w:p>
        </w:tc>
      </w:tr>
      <w:tr w14:paraId="080DD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2696144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数据二次核准与同步</w:t>
            </w:r>
          </w:p>
        </w:tc>
        <w:tc>
          <w:tcPr>
            <w:tcW w:w="7744" w:type="dxa"/>
            <w:shd w:val="clear" w:color="auto" w:fill="auto"/>
            <w:vAlign w:val="center"/>
          </w:tcPr>
          <w:p w14:paraId="29C944C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支持数据仓库数据和源库（医院信息系统</w:t>
            </w:r>
            <w:r>
              <w:rPr>
                <w:rFonts w:ascii="宋体" w:hAnsi="宋体" w:eastAsia="宋体"/>
                <w:color w:val="auto"/>
                <w:highlight w:val="none"/>
              </w:rPr>
              <w:t>）数据结果随时校验核对，匹配不上的一键更新，数据</w:t>
            </w:r>
            <w:r>
              <w:rPr>
                <w:rFonts w:hint="eastAsia" w:ascii="宋体" w:hAnsi="宋体" w:eastAsia="宋体"/>
                <w:color w:val="auto"/>
                <w:highlight w:val="none"/>
              </w:rPr>
              <w:t>即可</w:t>
            </w:r>
            <w:r>
              <w:rPr>
                <w:rFonts w:ascii="宋体" w:hAnsi="宋体" w:eastAsia="宋体"/>
                <w:color w:val="auto"/>
                <w:highlight w:val="none"/>
              </w:rPr>
              <w:t>保持同步</w:t>
            </w:r>
            <w:r>
              <w:rPr>
                <w:rFonts w:hint="eastAsia" w:ascii="宋体" w:hAnsi="宋体" w:eastAsia="宋体"/>
                <w:color w:val="auto"/>
                <w:highlight w:val="none"/>
              </w:rPr>
              <w:t>。</w:t>
            </w:r>
          </w:p>
        </w:tc>
      </w:tr>
      <w:tr w14:paraId="15071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7DFBAE87">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指标权限管理</w:t>
            </w:r>
          </w:p>
        </w:tc>
        <w:tc>
          <w:tcPr>
            <w:tcW w:w="7744" w:type="dxa"/>
            <w:shd w:val="clear" w:color="auto" w:fill="auto"/>
            <w:vAlign w:val="center"/>
          </w:tcPr>
          <w:p w14:paraId="5040405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支持针对运营指标可进行全院</w:t>
            </w:r>
            <w:r>
              <w:rPr>
                <w:rFonts w:ascii="宋体" w:hAnsi="宋体" w:eastAsia="宋体"/>
                <w:color w:val="auto"/>
                <w:highlight w:val="none"/>
              </w:rPr>
              <w:t>/科室/医生进行层级权限划分，不同人员的权限数据不同</w:t>
            </w:r>
            <w:r>
              <w:rPr>
                <w:rFonts w:hint="eastAsia" w:ascii="宋体" w:hAnsi="宋体" w:eastAsia="宋体"/>
                <w:color w:val="auto"/>
                <w:highlight w:val="none"/>
              </w:rPr>
              <w:t>。</w:t>
            </w:r>
          </w:p>
        </w:tc>
      </w:tr>
      <w:tr w14:paraId="2AB43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002B7C16">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指标数据导出</w:t>
            </w:r>
          </w:p>
        </w:tc>
        <w:tc>
          <w:tcPr>
            <w:tcW w:w="7744" w:type="dxa"/>
            <w:shd w:val="clear" w:color="auto" w:fill="auto"/>
            <w:vAlign w:val="center"/>
          </w:tcPr>
          <w:p w14:paraId="681CA3B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提供每个院内指标逻辑后台保存，需要时可以一键导出，为院内后续数据追溯校验提供数据保障，减少后续不必要的工作量。</w:t>
            </w:r>
          </w:p>
        </w:tc>
      </w:tr>
      <w:tr w14:paraId="4144A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vMerge w:val="restart"/>
            <w:shd w:val="clear" w:color="auto" w:fill="auto"/>
            <w:vAlign w:val="center"/>
          </w:tcPr>
          <w:p w14:paraId="6CA33AF6">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指标数据服务</w:t>
            </w:r>
          </w:p>
        </w:tc>
        <w:tc>
          <w:tcPr>
            <w:tcW w:w="7744" w:type="dxa"/>
            <w:shd w:val="clear" w:color="auto" w:fill="auto"/>
            <w:vAlign w:val="center"/>
          </w:tcPr>
          <w:p w14:paraId="2A55232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提供指标数据的存储、获取服务；用于支撑基于指标仓库的综合分析系统。</w:t>
            </w:r>
          </w:p>
        </w:tc>
      </w:tr>
      <w:tr w14:paraId="6B100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vMerge w:val="continue"/>
            <w:shd w:val="clear" w:color="auto" w:fill="auto"/>
            <w:vAlign w:val="center"/>
          </w:tcPr>
          <w:p w14:paraId="5F9F1D97">
            <w:pPr>
              <w:adjustRightInd w:val="0"/>
              <w:snapToGrid w:val="0"/>
              <w:spacing w:line="360" w:lineRule="auto"/>
              <w:jc w:val="center"/>
              <w:rPr>
                <w:rFonts w:ascii="宋体" w:hAnsi="宋体" w:eastAsia="宋体"/>
                <w:color w:val="auto"/>
                <w:highlight w:val="none"/>
              </w:rPr>
            </w:pPr>
          </w:p>
        </w:tc>
        <w:tc>
          <w:tcPr>
            <w:tcW w:w="7744" w:type="dxa"/>
            <w:shd w:val="clear" w:color="auto" w:fill="auto"/>
            <w:vAlign w:val="center"/>
          </w:tcPr>
          <w:p w14:paraId="0D23D9C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提供按条件、按权限的指标数据获取服务，用于提供给外部系统使用指标统计数据。</w:t>
            </w:r>
          </w:p>
        </w:tc>
      </w:tr>
      <w:tr w14:paraId="34AB9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226A9717">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指标预警</w:t>
            </w:r>
          </w:p>
        </w:tc>
        <w:tc>
          <w:tcPr>
            <w:tcW w:w="7744" w:type="dxa"/>
            <w:shd w:val="clear" w:color="auto" w:fill="auto"/>
            <w:vAlign w:val="center"/>
          </w:tcPr>
          <w:p w14:paraId="2D0DC75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可为指标设置目标值（最小或最大），超过目标值后会有相应的指标提示（如颜色或大小区分）。</w:t>
            </w:r>
          </w:p>
        </w:tc>
      </w:tr>
      <w:tr w14:paraId="041BB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275EF76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手工补录</w:t>
            </w:r>
          </w:p>
        </w:tc>
        <w:tc>
          <w:tcPr>
            <w:tcW w:w="7744" w:type="dxa"/>
            <w:shd w:val="clear" w:color="auto" w:fill="auto"/>
            <w:vAlign w:val="center"/>
          </w:tcPr>
          <w:p w14:paraId="5AEDD88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对于无数据来源数据指标，提供用户手工补录界面，方便进行手工指标的补录，补录后的数据，可提供后续的所有数据应用。</w:t>
            </w:r>
          </w:p>
        </w:tc>
      </w:tr>
      <w:tr w14:paraId="704AB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42" w:type="dxa"/>
            <w:shd w:val="clear" w:color="auto" w:fill="auto"/>
            <w:vAlign w:val="center"/>
          </w:tcPr>
          <w:p w14:paraId="28547AFD">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其他数据来源指标采集</w:t>
            </w:r>
          </w:p>
        </w:tc>
        <w:tc>
          <w:tcPr>
            <w:tcW w:w="7744" w:type="dxa"/>
            <w:shd w:val="clear" w:color="auto" w:fill="auto"/>
            <w:vAlign w:val="center"/>
          </w:tcPr>
          <w:p w14:paraId="490783F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对于并未采集到O</w:t>
            </w:r>
            <w:r>
              <w:rPr>
                <w:rFonts w:ascii="宋体" w:hAnsi="宋体" w:eastAsia="宋体"/>
                <w:color w:val="auto"/>
                <w:highlight w:val="none"/>
              </w:rPr>
              <w:t>DS</w:t>
            </w:r>
            <w:r>
              <w:rPr>
                <w:rFonts w:hint="eastAsia" w:ascii="宋体" w:hAnsi="宋体" w:eastAsia="宋体"/>
                <w:color w:val="auto"/>
                <w:highlight w:val="none"/>
              </w:rPr>
              <w:t>的指标数据，当确实无需经过O</w:t>
            </w:r>
            <w:r>
              <w:rPr>
                <w:rFonts w:ascii="宋体" w:hAnsi="宋体" w:eastAsia="宋体"/>
                <w:color w:val="auto"/>
                <w:highlight w:val="none"/>
              </w:rPr>
              <w:t>DS</w:t>
            </w:r>
            <w:r>
              <w:rPr>
                <w:rFonts w:hint="eastAsia" w:ascii="宋体" w:hAnsi="宋体" w:eastAsia="宋体"/>
                <w:color w:val="auto"/>
                <w:highlight w:val="none"/>
              </w:rPr>
              <w:t>进行处理时，可独立设置数据来源（</w:t>
            </w:r>
            <w:r>
              <w:rPr>
                <w:rFonts w:ascii="宋体" w:hAnsi="宋体" w:eastAsia="宋体"/>
                <w:color w:val="auto"/>
                <w:highlight w:val="none"/>
              </w:rPr>
              <w:t>Oracle、Sqlserver），</w:t>
            </w:r>
            <w:r>
              <w:rPr>
                <w:rFonts w:hint="eastAsia" w:ascii="宋体" w:hAnsi="宋体" w:eastAsia="宋体"/>
                <w:color w:val="auto"/>
                <w:highlight w:val="none"/>
              </w:rPr>
              <w:t>其他数据来源指标的指标进行数据采集。</w:t>
            </w:r>
          </w:p>
        </w:tc>
      </w:tr>
    </w:tbl>
    <w:p w14:paraId="21B1236F">
      <w:pPr>
        <w:spacing w:line="360" w:lineRule="auto"/>
        <w:rPr>
          <w:rFonts w:ascii="宋体" w:hAnsi="宋体" w:eastAsia="宋体"/>
          <w:color w:val="auto"/>
          <w:highlight w:val="none"/>
        </w:rPr>
      </w:pPr>
    </w:p>
    <w:p w14:paraId="03E02FAE">
      <w:pPr>
        <w:pStyle w:val="4"/>
        <w:spacing w:line="360" w:lineRule="auto"/>
        <w:rPr>
          <w:rFonts w:ascii="宋体" w:hAnsi="宋体" w:eastAsia="宋体"/>
          <w:color w:val="auto"/>
          <w:highlight w:val="none"/>
        </w:rPr>
      </w:pPr>
      <w:r>
        <w:rPr>
          <w:rFonts w:hint="eastAsia" w:ascii="宋体" w:hAnsi="宋体" w:eastAsia="宋体"/>
          <w:color w:val="auto"/>
          <w:highlight w:val="none"/>
        </w:rPr>
        <w:t>患者360全息视图</w:t>
      </w:r>
    </w:p>
    <w:tbl>
      <w:tblPr>
        <w:tblStyle w:val="43"/>
        <w:tblW w:w="0" w:type="auto"/>
        <w:tblInd w:w="0" w:type="dxa"/>
        <w:tblLayout w:type="fixed"/>
        <w:tblCellMar>
          <w:top w:w="0" w:type="dxa"/>
          <w:left w:w="108" w:type="dxa"/>
          <w:bottom w:w="0" w:type="dxa"/>
          <w:right w:w="108" w:type="dxa"/>
        </w:tblCellMar>
      </w:tblPr>
      <w:tblGrid>
        <w:gridCol w:w="1542"/>
        <w:gridCol w:w="7744"/>
      </w:tblGrid>
      <w:tr w14:paraId="5F9A9A74">
        <w:tblPrEx>
          <w:tblCellMar>
            <w:top w:w="0" w:type="dxa"/>
            <w:left w:w="108" w:type="dxa"/>
            <w:bottom w:w="0" w:type="dxa"/>
            <w:right w:w="108" w:type="dxa"/>
          </w:tblCellMar>
        </w:tblPrEx>
        <w:trPr>
          <w:trHeight w:val="90" w:hRule="atLeast"/>
        </w:trPr>
        <w:tc>
          <w:tcPr>
            <w:tcW w:w="1542" w:type="dxa"/>
            <w:tcBorders>
              <w:top w:val="single" w:color="auto" w:sz="4" w:space="0"/>
              <w:left w:val="single" w:color="auto" w:sz="4" w:space="0"/>
              <w:bottom w:val="single" w:color="auto" w:sz="4" w:space="0"/>
              <w:right w:val="single" w:color="auto" w:sz="4" w:space="0"/>
            </w:tcBorders>
            <w:vAlign w:val="center"/>
          </w:tcPr>
          <w:p w14:paraId="5596E7EE">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功能列表</w:t>
            </w:r>
          </w:p>
        </w:tc>
        <w:tc>
          <w:tcPr>
            <w:tcW w:w="7744" w:type="dxa"/>
            <w:tcBorders>
              <w:top w:val="single" w:color="auto" w:sz="4" w:space="0"/>
              <w:left w:val="nil"/>
              <w:bottom w:val="single" w:color="auto" w:sz="4" w:space="0"/>
              <w:right w:val="single" w:color="auto" w:sz="4" w:space="0"/>
            </w:tcBorders>
            <w:noWrap/>
            <w:vAlign w:val="center"/>
          </w:tcPr>
          <w:p w14:paraId="408856AC">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功能要求</w:t>
            </w:r>
          </w:p>
        </w:tc>
      </w:tr>
      <w:tr w14:paraId="2F2E0C11">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1CBF464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视图切换</w:t>
            </w:r>
          </w:p>
        </w:tc>
        <w:tc>
          <w:tcPr>
            <w:tcW w:w="7744" w:type="dxa"/>
            <w:tcBorders>
              <w:top w:val="nil"/>
              <w:left w:val="nil"/>
              <w:bottom w:val="single" w:color="auto" w:sz="4" w:space="0"/>
              <w:right w:val="single" w:color="auto" w:sz="4" w:space="0"/>
            </w:tcBorders>
            <w:noWrap/>
            <w:vAlign w:val="center"/>
          </w:tcPr>
          <w:p w14:paraId="56E24AD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能够通过点击综合视图、就诊履历、专科视图切换可进入相应的功能模块，以不同的角度查看病人的就诊信息。</w:t>
            </w:r>
          </w:p>
        </w:tc>
      </w:tr>
      <w:tr w14:paraId="00793800">
        <w:tblPrEx>
          <w:tblCellMar>
            <w:top w:w="0" w:type="dxa"/>
            <w:left w:w="108" w:type="dxa"/>
            <w:bottom w:w="0" w:type="dxa"/>
            <w:right w:w="108" w:type="dxa"/>
          </w:tblCellMar>
        </w:tblPrEx>
        <w:trPr>
          <w:trHeight w:val="458" w:hRule="atLeast"/>
        </w:trPr>
        <w:tc>
          <w:tcPr>
            <w:tcW w:w="1542" w:type="dxa"/>
            <w:tcBorders>
              <w:top w:val="nil"/>
              <w:left w:val="single" w:color="auto" w:sz="4" w:space="0"/>
              <w:bottom w:val="single" w:color="auto" w:sz="4" w:space="0"/>
              <w:right w:val="single" w:color="auto" w:sz="4" w:space="0"/>
            </w:tcBorders>
            <w:vAlign w:val="center"/>
          </w:tcPr>
          <w:p w14:paraId="6E03DECC">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综合视图</w:t>
            </w:r>
          </w:p>
        </w:tc>
        <w:tc>
          <w:tcPr>
            <w:tcW w:w="7744" w:type="dxa"/>
            <w:tcBorders>
              <w:top w:val="nil"/>
              <w:left w:val="nil"/>
              <w:bottom w:val="single" w:color="auto" w:sz="4" w:space="0"/>
              <w:right w:val="single" w:color="auto" w:sz="4" w:space="0"/>
            </w:tcBorders>
            <w:noWrap/>
            <w:vAlign w:val="center"/>
          </w:tcPr>
          <w:p w14:paraId="59C914D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支持以就诊、诊断、检验、检查、手麻、医嘱、处方、病历文书、护理记录、体温单、执行记录、费用等临床分类角度，展示患者各项临床数据。（提供系统功能截图）</w:t>
            </w:r>
          </w:p>
          <w:p w14:paraId="55A2414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并在首页提供当前患者总结性信息。</w:t>
            </w:r>
          </w:p>
        </w:tc>
      </w:tr>
      <w:tr w14:paraId="6BF11534">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0735868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专科视图</w:t>
            </w:r>
          </w:p>
        </w:tc>
        <w:tc>
          <w:tcPr>
            <w:tcW w:w="7744" w:type="dxa"/>
            <w:tcBorders>
              <w:top w:val="nil"/>
              <w:left w:val="nil"/>
              <w:bottom w:val="single" w:color="auto" w:sz="4" w:space="0"/>
              <w:right w:val="single" w:color="auto" w:sz="4" w:space="0"/>
            </w:tcBorders>
            <w:noWrap/>
            <w:vAlign w:val="center"/>
          </w:tcPr>
          <w:p w14:paraId="44043BB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提供展示页面，根据用户(医生、护士、检验科医师等)对在院患者的信息关注点不同，在一个页面以个性化的方式展现患者的信息。从而更有效的帮助医护人员掌握患者信息。</w:t>
            </w:r>
          </w:p>
          <w:p w14:paraId="61512FD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能根据不同类型的患者要展现的内容进行设置。</w:t>
            </w:r>
          </w:p>
        </w:tc>
      </w:tr>
      <w:tr w14:paraId="3EF03486">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0CA5FA29">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检查报告</w:t>
            </w:r>
          </w:p>
        </w:tc>
        <w:tc>
          <w:tcPr>
            <w:tcW w:w="7744" w:type="dxa"/>
            <w:tcBorders>
              <w:top w:val="nil"/>
              <w:left w:val="nil"/>
              <w:bottom w:val="single" w:color="auto" w:sz="4" w:space="0"/>
              <w:right w:val="single" w:color="auto" w:sz="4" w:space="0"/>
            </w:tcBorders>
            <w:noWrap/>
            <w:vAlign w:val="center"/>
          </w:tcPr>
          <w:p w14:paraId="719AB85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需提供具体报告影像的跳转链接；异常报告需要突出显示；</w:t>
            </w:r>
          </w:p>
          <w:p w14:paraId="3EAA9C21">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当前报告对应闭环进程可以直接查看；提供历次同种报告的对比分析</w:t>
            </w:r>
          </w:p>
        </w:tc>
      </w:tr>
      <w:tr w14:paraId="542E70E8">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51E72FD3">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检验报告</w:t>
            </w:r>
          </w:p>
        </w:tc>
        <w:tc>
          <w:tcPr>
            <w:tcW w:w="7744" w:type="dxa"/>
            <w:tcBorders>
              <w:top w:val="nil"/>
              <w:left w:val="nil"/>
              <w:bottom w:val="single" w:color="auto" w:sz="4" w:space="0"/>
              <w:right w:val="single" w:color="auto" w:sz="4" w:space="0"/>
            </w:tcBorders>
            <w:noWrap/>
            <w:vAlign w:val="center"/>
          </w:tcPr>
          <w:p w14:paraId="19DA6AE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异常报告需要突出显示；当前报告对应闭环进程可以直接查看；</w:t>
            </w:r>
          </w:p>
          <w:p w14:paraId="349F85B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提供历次数值类型检验结果明细的对比分析；</w:t>
            </w:r>
          </w:p>
          <w:p w14:paraId="5364600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包含微生物、血培养等特殊检验的展现。</w:t>
            </w:r>
          </w:p>
        </w:tc>
      </w:tr>
      <w:tr w14:paraId="7D62FA87">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59708AC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综合首页</w:t>
            </w:r>
          </w:p>
        </w:tc>
        <w:tc>
          <w:tcPr>
            <w:tcW w:w="7744" w:type="dxa"/>
            <w:tcBorders>
              <w:top w:val="nil"/>
              <w:left w:val="nil"/>
              <w:bottom w:val="single" w:color="auto" w:sz="4" w:space="0"/>
              <w:right w:val="single" w:color="auto" w:sz="4" w:space="0"/>
            </w:tcBorders>
            <w:noWrap/>
            <w:vAlign w:val="center"/>
          </w:tcPr>
          <w:p w14:paraId="7F4EC8FF">
            <w:pPr>
              <w:pStyle w:val="39"/>
              <w:spacing w:before="0" w:beforeAutospacing="0" w:after="0" w:afterAutospacing="0" w:line="360" w:lineRule="auto"/>
              <w:rPr>
                <w:rFonts w:ascii="宋体" w:hAnsi="宋体" w:eastAsia="宋体"/>
                <w:color w:val="auto"/>
                <w:highlight w:val="none"/>
              </w:rPr>
            </w:pPr>
            <w:r>
              <w:rPr>
                <w:rFonts w:hint="eastAsia" w:ascii="宋体" w:hAnsi="宋体" w:eastAsia="宋体"/>
                <w:color w:val="auto"/>
                <w:highlight w:val="none"/>
              </w:rPr>
              <w:t>需要体现患者的所有就诊过程中，根据预设的项目重要性权重*项目发生时间计算排序，包括手术记录（手术并发症、植入物、手术名称）、特殊药物（精毒麻+抗生素）、危急值、异常检验指标和过敏源的内容的展现。高频检查、检验的展示；历次主要手术情况的展示；异常检验检查的展示。</w:t>
            </w:r>
          </w:p>
        </w:tc>
      </w:tr>
      <w:tr w14:paraId="530DC8FB">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5BFDC621">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病历文书</w:t>
            </w:r>
          </w:p>
        </w:tc>
        <w:tc>
          <w:tcPr>
            <w:tcW w:w="7744" w:type="dxa"/>
            <w:tcBorders>
              <w:top w:val="nil"/>
              <w:left w:val="nil"/>
              <w:bottom w:val="single" w:color="auto" w:sz="4" w:space="0"/>
              <w:right w:val="single" w:color="auto" w:sz="4" w:space="0"/>
            </w:tcBorders>
            <w:noWrap/>
            <w:vAlign w:val="center"/>
          </w:tcPr>
          <w:p w14:paraId="76873DA9">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能够提供非结构化病历文书的展现，报告图片、html等形式；</w:t>
            </w:r>
          </w:p>
          <w:p w14:paraId="60BBED7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数据范围包含所有电子化存储的病历；支持病历打印功能。</w:t>
            </w:r>
          </w:p>
        </w:tc>
      </w:tr>
      <w:tr w14:paraId="3BD1B922">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705A3843">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医嘱信息</w:t>
            </w:r>
          </w:p>
        </w:tc>
        <w:tc>
          <w:tcPr>
            <w:tcW w:w="7744" w:type="dxa"/>
            <w:tcBorders>
              <w:top w:val="nil"/>
              <w:left w:val="nil"/>
              <w:bottom w:val="single" w:color="auto" w:sz="4" w:space="0"/>
              <w:right w:val="single" w:color="auto" w:sz="4" w:space="0"/>
            </w:tcBorders>
            <w:noWrap/>
            <w:vAlign w:val="center"/>
          </w:tcPr>
          <w:p w14:paraId="234677A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需体现长期/临时、成组关系、医嘱状态、医嘱类型、母婴情况等；</w:t>
            </w:r>
          </w:p>
          <w:p w14:paraId="0B178BA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对参与闭环管理的医嘱进行闭环查看跳转；可以查看医嘱执行情况；</w:t>
            </w:r>
          </w:p>
          <w:p w14:paraId="619317D2">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对精毒麻用药进行重点标注。</w:t>
            </w:r>
          </w:p>
        </w:tc>
      </w:tr>
      <w:tr w14:paraId="5150EE08">
        <w:tblPrEx>
          <w:tblCellMar>
            <w:top w:w="0" w:type="dxa"/>
            <w:left w:w="108" w:type="dxa"/>
            <w:bottom w:w="0" w:type="dxa"/>
            <w:right w:w="108" w:type="dxa"/>
          </w:tblCellMar>
        </w:tblPrEx>
        <w:tc>
          <w:tcPr>
            <w:tcW w:w="1542" w:type="dxa"/>
            <w:tcBorders>
              <w:top w:val="nil"/>
              <w:left w:val="single" w:color="auto" w:sz="4" w:space="0"/>
              <w:bottom w:val="single" w:color="auto" w:sz="4" w:space="0"/>
              <w:right w:val="single" w:color="auto" w:sz="4" w:space="0"/>
            </w:tcBorders>
            <w:vAlign w:val="center"/>
          </w:tcPr>
          <w:p w14:paraId="1E4CE76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权限管理</w:t>
            </w:r>
          </w:p>
        </w:tc>
        <w:tc>
          <w:tcPr>
            <w:tcW w:w="7744" w:type="dxa"/>
            <w:tcBorders>
              <w:top w:val="nil"/>
              <w:left w:val="nil"/>
              <w:bottom w:val="single" w:color="auto" w:sz="4" w:space="0"/>
              <w:right w:val="single" w:color="auto" w:sz="4" w:space="0"/>
            </w:tcBorders>
            <w:noWrap/>
            <w:vAlign w:val="center"/>
          </w:tcPr>
          <w:p w14:paraId="71716E6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可设置不同角色，针对不同用户的需求，将角色设置不同的查看权限。</w:t>
            </w:r>
          </w:p>
        </w:tc>
      </w:tr>
    </w:tbl>
    <w:p w14:paraId="290574BF">
      <w:pPr>
        <w:spacing w:line="360" w:lineRule="auto"/>
        <w:rPr>
          <w:rFonts w:ascii="宋体" w:hAnsi="宋体" w:eastAsia="宋体"/>
          <w:color w:val="auto"/>
          <w:highlight w:val="none"/>
        </w:rPr>
      </w:pPr>
    </w:p>
    <w:p w14:paraId="4F451164">
      <w:pPr>
        <w:pStyle w:val="4"/>
        <w:spacing w:line="360" w:lineRule="auto"/>
        <w:rPr>
          <w:rFonts w:ascii="宋体" w:hAnsi="宋体" w:eastAsia="宋体"/>
          <w:color w:val="auto"/>
          <w:highlight w:val="none"/>
        </w:rPr>
      </w:pPr>
      <w:r>
        <w:rPr>
          <w:rFonts w:hint="eastAsia" w:ascii="宋体" w:hAnsi="宋体" w:eastAsia="宋体"/>
          <w:color w:val="auto"/>
          <w:highlight w:val="none"/>
        </w:rPr>
        <w:t>闭环流程追溯管理系统</w:t>
      </w:r>
    </w:p>
    <w:tbl>
      <w:tblPr>
        <w:tblStyle w:val="43"/>
        <w:tblW w:w="0" w:type="auto"/>
        <w:tblInd w:w="0" w:type="dxa"/>
        <w:tblLayout w:type="fixed"/>
        <w:tblCellMar>
          <w:top w:w="0" w:type="dxa"/>
          <w:left w:w="108" w:type="dxa"/>
          <w:bottom w:w="0" w:type="dxa"/>
          <w:right w:w="108" w:type="dxa"/>
        </w:tblCellMar>
      </w:tblPr>
      <w:tblGrid>
        <w:gridCol w:w="1554"/>
        <w:gridCol w:w="7732"/>
      </w:tblGrid>
      <w:tr w14:paraId="2677FE24">
        <w:tblPrEx>
          <w:tblCellMar>
            <w:top w:w="0" w:type="dxa"/>
            <w:left w:w="108" w:type="dxa"/>
            <w:bottom w:w="0" w:type="dxa"/>
            <w:right w:w="108" w:type="dxa"/>
          </w:tblCellMar>
        </w:tblPrEx>
        <w:trPr>
          <w:trHeight w:val="90" w:hRule="atLeast"/>
        </w:trPr>
        <w:tc>
          <w:tcPr>
            <w:tcW w:w="1554" w:type="dxa"/>
            <w:tcBorders>
              <w:top w:val="single" w:color="auto" w:sz="4" w:space="0"/>
              <w:left w:val="single" w:color="auto" w:sz="4" w:space="0"/>
              <w:bottom w:val="single" w:color="auto" w:sz="4" w:space="0"/>
              <w:right w:val="single" w:color="auto" w:sz="4" w:space="0"/>
            </w:tcBorders>
            <w:vAlign w:val="center"/>
          </w:tcPr>
          <w:p w14:paraId="7F9D796C">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功能列表</w:t>
            </w:r>
          </w:p>
        </w:tc>
        <w:tc>
          <w:tcPr>
            <w:tcW w:w="7732" w:type="dxa"/>
            <w:tcBorders>
              <w:top w:val="single" w:color="auto" w:sz="4" w:space="0"/>
              <w:left w:val="nil"/>
              <w:bottom w:val="single" w:color="auto" w:sz="4" w:space="0"/>
              <w:right w:val="single" w:color="auto" w:sz="4" w:space="0"/>
            </w:tcBorders>
            <w:noWrap/>
            <w:vAlign w:val="center"/>
          </w:tcPr>
          <w:p w14:paraId="54868350">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功能要求</w:t>
            </w:r>
          </w:p>
        </w:tc>
      </w:tr>
      <w:tr w14:paraId="6B8FB403">
        <w:tblPrEx>
          <w:tblCellMar>
            <w:top w:w="0" w:type="dxa"/>
            <w:left w:w="108" w:type="dxa"/>
            <w:bottom w:w="0" w:type="dxa"/>
            <w:right w:w="108" w:type="dxa"/>
          </w:tblCellMar>
        </w:tblPrEx>
        <w:tc>
          <w:tcPr>
            <w:tcW w:w="1554" w:type="dxa"/>
            <w:tcBorders>
              <w:top w:val="single" w:color="auto" w:sz="4" w:space="0"/>
              <w:left w:val="single" w:color="auto" w:sz="4" w:space="0"/>
              <w:bottom w:val="single" w:color="auto" w:sz="4" w:space="0"/>
              <w:right w:val="single" w:color="auto" w:sz="4" w:space="0"/>
            </w:tcBorders>
            <w:vAlign w:val="center"/>
          </w:tcPr>
          <w:p w14:paraId="6ECD106A">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节点管理</w:t>
            </w:r>
          </w:p>
        </w:tc>
        <w:tc>
          <w:tcPr>
            <w:tcW w:w="7732" w:type="dxa"/>
            <w:tcBorders>
              <w:top w:val="single" w:color="auto" w:sz="4" w:space="0"/>
              <w:left w:val="single" w:color="auto" w:sz="4" w:space="0"/>
              <w:bottom w:val="single" w:color="auto" w:sz="4" w:space="0"/>
              <w:right w:val="single" w:color="auto" w:sz="4" w:space="0"/>
            </w:tcBorders>
            <w:noWrap/>
            <w:vAlign w:val="center"/>
          </w:tcPr>
          <w:p w14:paraId="452C4E8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提供动态维护节点功能，可根据具体的节点事件新增修改。</w:t>
            </w:r>
          </w:p>
        </w:tc>
      </w:tr>
      <w:tr w14:paraId="752BDB12">
        <w:tc>
          <w:tcPr>
            <w:tcW w:w="1554" w:type="dxa"/>
            <w:tcBorders>
              <w:top w:val="single" w:color="auto" w:sz="4" w:space="0"/>
              <w:left w:val="single" w:color="auto" w:sz="4" w:space="0"/>
              <w:bottom w:val="single" w:color="auto" w:sz="4" w:space="0"/>
              <w:right w:val="single" w:color="auto" w:sz="4" w:space="0"/>
            </w:tcBorders>
            <w:vAlign w:val="center"/>
          </w:tcPr>
          <w:p w14:paraId="51FEB046">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流程管理</w:t>
            </w:r>
          </w:p>
        </w:tc>
        <w:tc>
          <w:tcPr>
            <w:tcW w:w="7732" w:type="dxa"/>
            <w:tcBorders>
              <w:top w:val="single" w:color="auto" w:sz="4" w:space="0"/>
              <w:left w:val="single" w:color="auto" w:sz="4" w:space="0"/>
              <w:bottom w:val="single" w:color="auto" w:sz="4" w:space="0"/>
              <w:right w:val="single" w:color="auto" w:sz="4" w:space="0"/>
            </w:tcBorders>
            <w:noWrap/>
            <w:vAlign w:val="center"/>
          </w:tcPr>
          <w:p w14:paraId="0D90D3F0">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可以对节点执行顺序的进行设置；可以设定节点触发条件。</w:t>
            </w:r>
          </w:p>
        </w:tc>
      </w:tr>
      <w:tr w14:paraId="7BA14E8A">
        <w:tblPrEx>
          <w:tblCellMar>
            <w:top w:w="0" w:type="dxa"/>
            <w:left w:w="108" w:type="dxa"/>
            <w:bottom w:w="0" w:type="dxa"/>
            <w:right w:w="108" w:type="dxa"/>
          </w:tblCellMar>
        </w:tblPrEx>
        <w:tc>
          <w:tcPr>
            <w:tcW w:w="1554" w:type="dxa"/>
            <w:tcBorders>
              <w:top w:val="single" w:color="auto" w:sz="4" w:space="0"/>
              <w:left w:val="single" w:color="auto" w:sz="4" w:space="0"/>
              <w:bottom w:val="single" w:color="auto" w:sz="4" w:space="0"/>
              <w:right w:val="single" w:color="auto" w:sz="4" w:space="0"/>
            </w:tcBorders>
            <w:vAlign w:val="center"/>
          </w:tcPr>
          <w:p w14:paraId="7AF246C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闭环展现</w:t>
            </w:r>
          </w:p>
        </w:tc>
        <w:tc>
          <w:tcPr>
            <w:tcW w:w="7732" w:type="dxa"/>
            <w:tcBorders>
              <w:top w:val="single" w:color="auto" w:sz="4" w:space="0"/>
              <w:left w:val="single" w:color="auto" w:sz="4" w:space="0"/>
              <w:bottom w:val="single" w:color="auto" w:sz="4" w:space="0"/>
              <w:right w:val="single" w:color="auto" w:sz="4" w:space="0"/>
            </w:tcBorders>
            <w:noWrap/>
            <w:vAlign w:val="center"/>
          </w:tcPr>
          <w:p w14:paraId="38A887EF">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要求提供按照患者一次就诊查询所有相关闭环；要求提供单次闭环情况展示页面。</w:t>
            </w:r>
          </w:p>
        </w:tc>
      </w:tr>
    </w:tbl>
    <w:p w14:paraId="46D9730B">
      <w:pPr>
        <w:pStyle w:val="4"/>
        <w:spacing w:line="360" w:lineRule="auto"/>
        <w:rPr>
          <w:rFonts w:ascii="宋体" w:hAnsi="宋体" w:eastAsia="宋体"/>
          <w:color w:val="auto"/>
          <w:highlight w:val="none"/>
        </w:rPr>
      </w:pPr>
      <w:r>
        <w:rPr>
          <w:rFonts w:hint="eastAsia" w:ascii="宋体" w:hAnsi="宋体" w:eastAsia="宋体"/>
          <w:color w:val="auto"/>
          <w:highlight w:val="none"/>
        </w:rPr>
        <w:t>元数据管理系统</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2"/>
        <w:gridCol w:w="7744"/>
      </w:tblGrid>
      <w:tr w14:paraId="783B4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42" w:type="dxa"/>
            <w:shd w:val="clear" w:color="auto" w:fill="auto"/>
            <w:noWrap/>
            <w:vAlign w:val="center"/>
          </w:tcPr>
          <w:p w14:paraId="6487E84E">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功能列表</w:t>
            </w:r>
          </w:p>
        </w:tc>
        <w:tc>
          <w:tcPr>
            <w:tcW w:w="7744" w:type="dxa"/>
            <w:shd w:val="clear" w:color="auto" w:fill="auto"/>
            <w:noWrap/>
            <w:vAlign w:val="center"/>
          </w:tcPr>
          <w:p w14:paraId="3D2F6037">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功能要求</w:t>
            </w:r>
          </w:p>
        </w:tc>
      </w:tr>
      <w:tr w14:paraId="142E4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542" w:type="dxa"/>
            <w:vMerge w:val="restart"/>
            <w:shd w:val="clear" w:color="auto" w:fill="auto"/>
            <w:noWrap/>
            <w:vAlign w:val="center"/>
          </w:tcPr>
          <w:p w14:paraId="5F81D384">
            <w:pPr>
              <w:spacing w:line="360" w:lineRule="auto"/>
              <w:jc w:val="both"/>
              <w:rPr>
                <w:rFonts w:ascii="宋体" w:hAnsi="宋体" w:eastAsia="宋体"/>
                <w:color w:val="auto"/>
                <w:highlight w:val="none"/>
              </w:rPr>
            </w:pPr>
            <w:r>
              <w:rPr>
                <w:rFonts w:hint="eastAsia" w:ascii="宋体" w:hAnsi="宋体" w:eastAsia="宋体"/>
                <w:color w:val="auto"/>
                <w:highlight w:val="none"/>
              </w:rPr>
              <w:t>元数据管理</w:t>
            </w:r>
          </w:p>
        </w:tc>
        <w:tc>
          <w:tcPr>
            <w:tcW w:w="7744" w:type="dxa"/>
            <w:shd w:val="clear" w:color="auto" w:fill="auto"/>
            <w:noWrap/>
            <w:vAlign w:val="center"/>
          </w:tcPr>
          <w:p w14:paraId="39CD62FB">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具备国家标准数据元和值域具备结构化管理维护的功能。</w:t>
            </w:r>
          </w:p>
        </w:tc>
      </w:tr>
      <w:tr w14:paraId="739CF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1542" w:type="dxa"/>
            <w:vMerge w:val="continue"/>
            <w:shd w:val="clear" w:color="auto" w:fill="auto"/>
            <w:vAlign w:val="center"/>
          </w:tcPr>
          <w:p w14:paraId="63C216D9">
            <w:pPr>
              <w:spacing w:line="360" w:lineRule="auto"/>
              <w:jc w:val="both"/>
              <w:rPr>
                <w:rFonts w:ascii="宋体" w:hAnsi="宋体" w:eastAsia="宋体"/>
                <w:color w:val="auto"/>
                <w:highlight w:val="none"/>
              </w:rPr>
            </w:pPr>
          </w:p>
        </w:tc>
        <w:tc>
          <w:tcPr>
            <w:tcW w:w="7744" w:type="dxa"/>
            <w:shd w:val="clear" w:color="auto" w:fill="auto"/>
            <w:noWrap/>
            <w:vAlign w:val="center"/>
          </w:tcPr>
          <w:p w14:paraId="09E1631A">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针对标准数据元和标准值域具备自定义映射功能。</w:t>
            </w:r>
          </w:p>
        </w:tc>
      </w:tr>
      <w:tr w14:paraId="6C640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1542" w:type="dxa"/>
            <w:vMerge w:val="continue"/>
            <w:shd w:val="clear" w:color="auto" w:fill="auto"/>
            <w:vAlign w:val="center"/>
          </w:tcPr>
          <w:p w14:paraId="3476E18C">
            <w:pPr>
              <w:spacing w:line="360" w:lineRule="auto"/>
              <w:jc w:val="both"/>
              <w:rPr>
                <w:rFonts w:ascii="宋体" w:hAnsi="宋体" w:eastAsia="宋体"/>
                <w:color w:val="auto"/>
                <w:highlight w:val="none"/>
              </w:rPr>
            </w:pPr>
          </w:p>
        </w:tc>
        <w:tc>
          <w:tcPr>
            <w:tcW w:w="7744" w:type="dxa"/>
            <w:shd w:val="clear" w:color="auto" w:fill="auto"/>
            <w:noWrap/>
            <w:vAlign w:val="center"/>
          </w:tcPr>
          <w:p w14:paraId="488EEF36">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针对院内数据元和值域具备结构化管理和维护功能。</w:t>
            </w:r>
          </w:p>
        </w:tc>
      </w:tr>
      <w:tr w14:paraId="008DA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542" w:type="dxa"/>
            <w:shd w:val="clear" w:color="auto" w:fill="auto"/>
            <w:noWrap/>
            <w:vAlign w:val="center"/>
          </w:tcPr>
          <w:p w14:paraId="04E65997">
            <w:pPr>
              <w:spacing w:line="360" w:lineRule="auto"/>
              <w:jc w:val="both"/>
              <w:rPr>
                <w:rFonts w:ascii="宋体" w:hAnsi="宋体" w:eastAsia="宋体"/>
                <w:color w:val="auto"/>
                <w:highlight w:val="none"/>
              </w:rPr>
            </w:pPr>
            <w:r>
              <w:rPr>
                <w:rFonts w:hint="eastAsia" w:ascii="宋体" w:hAnsi="宋体" w:eastAsia="宋体"/>
                <w:color w:val="auto"/>
                <w:highlight w:val="none"/>
              </w:rPr>
              <w:t>元数据对照</w:t>
            </w:r>
          </w:p>
        </w:tc>
        <w:tc>
          <w:tcPr>
            <w:tcW w:w="7744" w:type="dxa"/>
            <w:shd w:val="clear" w:color="auto" w:fill="auto"/>
            <w:noWrap/>
            <w:vAlign w:val="center"/>
          </w:tcPr>
          <w:p w14:paraId="67860483">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针对不同数据元和值域具备对照功能，并可提供第三方服务应用。</w:t>
            </w:r>
          </w:p>
        </w:tc>
      </w:tr>
      <w:tr w14:paraId="28931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1542" w:type="dxa"/>
            <w:shd w:val="clear" w:color="auto" w:fill="auto"/>
            <w:noWrap/>
            <w:vAlign w:val="center"/>
          </w:tcPr>
          <w:p w14:paraId="59B25AE6">
            <w:pPr>
              <w:spacing w:line="360" w:lineRule="auto"/>
              <w:jc w:val="both"/>
              <w:rPr>
                <w:rFonts w:ascii="宋体" w:hAnsi="宋体" w:eastAsia="宋体"/>
                <w:color w:val="auto"/>
                <w:highlight w:val="none"/>
              </w:rPr>
            </w:pPr>
            <w:r>
              <w:rPr>
                <w:rFonts w:hint="eastAsia" w:ascii="宋体" w:hAnsi="宋体" w:eastAsia="宋体"/>
                <w:color w:val="auto"/>
                <w:highlight w:val="none"/>
              </w:rPr>
              <w:t>元数据审批</w:t>
            </w:r>
          </w:p>
        </w:tc>
        <w:tc>
          <w:tcPr>
            <w:tcW w:w="7744" w:type="dxa"/>
            <w:shd w:val="clear" w:color="auto" w:fill="auto"/>
            <w:noWrap/>
            <w:vAlign w:val="center"/>
          </w:tcPr>
          <w:p w14:paraId="6C69540F">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针对元数据涉及的基础数据具备权限维护和审批功能。</w:t>
            </w:r>
          </w:p>
        </w:tc>
      </w:tr>
      <w:tr w14:paraId="73738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542" w:type="dxa"/>
            <w:vMerge w:val="restart"/>
            <w:shd w:val="clear" w:color="auto" w:fill="auto"/>
            <w:noWrap/>
            <w:vAlign w:val="center"/>
          </w:tcPr>
          <w:p w14:paraId="136BCE54">
            <w:pPr>
              <w:spacing w:line="360" w:lineRule="auto"/>
              <w:jc w:val="both"/>
              <w:rPr>
                <w:rFonts w:ascii="宋体" w:hAnsi="宋体" w:eastAsia="宋体"/>
                <w:color w:val="auto"/>
                <w:highlight w:val="none"/>
              </w:rPr>
            </w:pPr>
            <w:r>
              <w:rPr>
                <w:rFonts w:hint="eastAsia" w:ascii="宋体" w:hAnsi="宋体" w:eastAsia="宋体"/>
                <w:color w:val="auto"/>
                <w:highlight w:val="none"/>
              </w:rPr>
              <w:t>元数据服务</w:t>
            </w:r>
          </w:p>
        </w:tc>
        <w:tc>
          <w:tcPr>
            <w:tcW w:w="7744" w:type="dxa"/>
            <w:shd w:val="clear" w:color="auto" w:fill="auto"/>
            <w:noWrap/>
            <w:vAlign w:val="center"/>
          </w:tcPr>
          <w:p w14:paraId="784F19FE">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平台中数据元可再数据标准化治理、互联互通测评、电子病历测评等国内外标准中起到支撑数据作用。</w:t>
            </w:r>
          </w:p>
        </w:tc>
      </w:tr>
      <w:tr w14:paraId="17757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542" w:type="dxa"/>
            <w:vMerge w:val="continue"/>
            <w:shd w:val="clear" w:color="auto" w:fill="auto"/>
            <w:vAlign w:val="center"/>
          </w:tcPr>
          <w:p w14:paraId="125B2A63">
            <w:pPr>
              <w:spacing w:line="360" w:lineRule="auto"/>
              <w:jc w:val="both"/>
              <w:rPr>
                <w:rFonts w:ascii="宋体" w:hAnsi="宋体" w:eastAsia="宋体"/>
                <w:color w:val="auto"/>
                <w:highlight w:val="none"/>
              </w:rPr>
            </w:pPr>
          </w:p>
        </w:tc>
        <w:tc>
          <w:tcPr>
            <w:tcW w:w="7744" w:type="dxa"/>
            <w:shd w:val="clear" w:color="auto" w:fill="auto"/>
            <w:noWrap/>
            <w:vAlign w:val="center"/>
          </w:tcPr>
          <w:p w14:paraId="74AB91EA">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标准化数据元可被国家标准数据集和共享文档的结构化原子项目使用。</w:t>
            </w:r>
          </w:p>
        </w:tc>
      </w:tr>
    </w:tbl>
    <w:p w14:paraId="2A20684A">
      <w:pPr>
        <w:spacing w:line="360" w:lineRule="auto"/>
        <w:rPr>
          <w:rFonts w:ascii="宋体" w:hAnsi="宋体" w:eastAsia="宋体"/>
          <w:color w:val="auto"/>
          <w:highlight w:val="none"/>
        </w:rPr>
      </w:pPr>
    </w:p>
    <w:p w14:paraId="535C78F0">
      <w:pPr>
        <w:pStyle w:val="4"/>
        <w:spacing w:line="360" w:lineRule="auto"/>
        <w:rPr>
          <w:rFonts w:ascii="宋体" w:hAnsi="宋体" w:eastAsia="宋体"/>
          <w:color w:val="auto"/>
          <w:highlight w:val="none"/>
        </w:rPr>
      </w:pPr>
      <w:r>
        <w:rPr>
          <w:rFonts w:hint="eastAsia" w:ascii="宋体" w:hAnsi="宋体" w:eastAsia="宋体"/>
          <w:color w:val="auto"/>
          <w:highlight w:val="none"/>
        </w:rPr>
        <w:t>主索引管理系统</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2"/>
        <w:gridCol w:w="7744"/>
      </w:tblGrid>
      <w:tr w14:paraId="20745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42" w:type="dxa"/>
            <w:shd w:val="clear" w:color="auto" w:fill="auto"/>
            <w:noWrap/>
            <w:vAlign w:val="center"/>
          </w:tcPr>
          <w:p w14:paraId="46609020">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功能列表</w:t>
            </w:r>
          </w:p>
        </w:tc>
        <w:tc>
          <w:tcPr>
            <w:tcW w:w="7744" w:type="dxa"/>
            <w:shd w:val="clear" w:color="auto" w:fill="auto"/>
            <w:noWrap/>
            <w:vAlign w:val="center"/>
          </w:tcPr>
          <w:p w14:paraId="7241E1A3">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功能要求</w:t>
            </w:r>
          </w:p>
        </w:tc>
      </w:tr>
      <w:tr w14:paraId="361CB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542" w:type="dxa"/>
            <w:vMerge w:val="restart"/>
            <w:shd w:val="clear" w:color="auto" w:fill="auto"/>
            <w:noWrap/>
            <w:vAlign w:val="center"/>
          </w:tcPr>
          <w:p w14:paraId="7B4E89B6">
            <w:pPr>
              <w:spacing w:line="360" w:lineRule="auto"/>
              <w:jc w:val="center"/>
              <w:rPr>
                <w:rFonts w:ascii="宋体" w:hAnsi="宋体" w:eastAsia="宋体"/>
                <w:color w:val="auto"/>
                <w:highlight w:val="none"/>
              </w:rPr>
            </w:pPr>
            <w:r>
              <w:rPr>
                <w:rFonts w:hint="eastAsia" w:ascii="宋体" w:hAnsi="宋体" w:eastAsia="宋体"/>
                <w:color w:val="auto"/>
                <w:highlight w:val="none"/>
              </w:rPr>
              <w:t>主索引规则</w:t>
            </w:r>
          </w:p>
        </w:tc>
        <w:tc>
          <w:tcPr>
            <w:tcW w:w="7744" w:type="dxa"/>
            <w:shd w:val="clear" w:color="auto" w:fill="auto"/>
            <w:noWrap/>
            <w:vAlign w:val="center"/>
          </w:tcPr>
          <w:p w14:paraId="4759474E">
            <w:pPr>
              <w:spacing w:line="360" w:lineRule="auto"/>
              <w:jc w:val="both"/>
              <w:rPr>
                <w:rFonts w:ascii="宋体" w:hAnsi="宋体" w:eastAsia="宋体"/>
                <w:color w:val="auto"/>
                <w:highlight w:val="none"/>
              </w:rPr>
            </w:pPr>
            <w:r>
              <w:rPr>
                <w:rFonts w:hint="eastAsia" w:ascii="宋体" w:hAnsi="宋体" w:eastAsia="宋体"/>
                <w:color w:val="auto"/>
                <w:highlight w:val="none"/>
              </w:rPr>
              <w:t>主索引管理需要具备不同患者的匹配识别功能，至少应有精确匹配和模糊匹配多种患者身份识别算法规则。</w:t>
            </w:r>
          </w:p>
        </w:tc>
      </w:tr>
      <w:tr w14:paraId="35860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42" w:type="dxa"/>
            <w:vMerge w:val="continue"/>
            <w:shd w:val="clear" w:color="auto" w:fill="auto"/>
            <w:vAlign w:val="center"/>
          </w:tcPr>
          <w:p w14:paraId="3CC50945">
            <w:pPr>
              <w:spacing w:line="360" w:lineRule="auto"/>
              <w:jc w:val="center"/>
              <w:rPr>
                <w:rFonts w:ascii="宋体" w:hAnsi="宋体" w:eastAsia="宋体"/>
                <w:color w:val="auto"/>
                <w:highlight w:val="none"/>
              </w:rPr>
            </w:pPr>
          </w:p>
        </w:tc>
        <w:tc>
          <w:tcPr>
            <w:tcW w:w="7744" w:type="dxa"/>
            <w:shd w:val="clear" w:color="auto" w:fill="auto"/>
            <w:noWrap/>
            <w:vAlign w:val="center"/>
          </w:tcPr>
          <w:p w14:paraId="708DB939">
            <w:pPr>
              <w:spacing w:line="360" w:lineRule="auto"/>
              <w:jc w:val="both"/>
              <w:rPr>
                <w:rFonts w:ascii="宋体" w:hAnsi="宋体" w:eastAsia="宋体"/>
                <w:color w:val="auto"/>
                <w:highlight w:val="none"/>
              </w:rPr>
            </w:pPr>
            <w:r>
              <w:rPr>
                <w:rFonts w:hint="eastAsia" w:ascii="宋体" w:hAnsi="宋体" w:eastAsia="宋体"/>
                <w:color w:val="auto"/>
                <w:highlight w:val="none"/>
              </w:rPr>
              <w:t>精确匹配算法可维护多种唯一识别标识供系统自动匹配。</w:t>
            </w:r>
          </w:p>
        </w:tc>
      </w:tr>
      <w:tr w14:paraId="46662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542" w:type="dxa"/>
            <w:vMerge w:val="continue"/>
            <w:shd w:val="clear" w:color="auto" w:fill="auto"/>
            <w:vAlign w:val="center"/>
          </w:tcPr>
          <w:p w14:paraId="5FE8B54A">
            <w:pPr>
              <w:spacing w:line="360" w:lineRule="auto"/>
              <w:jc w:val="center"/>
              <w:rPr>
                <w:rFonts w:ascii="宋体" w:hAnsi="宋体" w:eastAsia="宋体"/>
                <w:color w:val="auto"/>
                <w:highlight w:val="none"/>
              </w:rPr>
            </w:pPr>
          </w:p>
        </w:tc>
        <w:tc>
          <w:tcPr>
            <w:tcW w:w="7744" w:type="dxa"/>
            <w:shd w:val="clear" w:color="auto" w:fill="auto"/>
            <w:noWrap/>
            <w:vAlign w:val="center"/>
          </w:tcPr>
          <w:p w14:paraId="7C6BD057">
            <w:pPr>
              <w:spacing w:line="360" w:lineRule="auto"/>
              <w:jc w:val="both"/>
              <w:rPr>
                <w:rFonts w:ascii="宋体" w:hAnsi="宋体" w:eastAsia="宋体"/>
                <w:color w:val="auto"/>
                <w:highlight w:val="none"/>
              </w:rPr>
            </w:pPr>
            <w:r>
              <w:rPr>
                <w:rFonts w:hint="eastAsia" w:ascii="宋体" w:hAnsi="宋体" w:eastAsia="宋体"/>
                <w:color w:val="auto"/>
                <w:highlight w:val="none"/>
              </w:rPr>
              <w:t>模糊匹配算法可联合使用多种患者身份项目（例如：姓名、地址、联系方式、联系人）等进行模糊匹配。</w:t>
            </w:r>
          </w:p>
        </w:tc>
      </w:tr>
      <w:tr w14:paraId="3B286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42" w:type="dxa"/>
            <w:shd w:val="clear" w:color="auto" w:fill="auto"/>
            <w:noWrap/>
            <w:vAlign w:val="center"/>
          </w:tcPr>
          <w:p w14:paraId="100BC48A">
            <w:pPr>
              <w:spacing w:line="360" w:lineRule="auto"/>
              <w:jc w:val="center"/>
              <w:rPr>
                <w:rFonts w:ascii="宋体" w:hAnsi="宋体" w:eastAsia="宋体"/>
                <w:color w:val="auto"/>
                <w:highlight w:val="none"/>
              </w:rPr>
            </w:pPr>
            <w:r>
              <w:rPr>
                <w:rFonts w:hint="eastAsia" w:ascii="宋体" w:hAnsi="宋体" w:eastAsia="宋体"/>
                <w:color w:val="auto"/>
                <w:highlight w:val="none"/>
              </w:rPr>
              <w:t>主索引合并</w:t>
            </w:r>
          </w:p>
        </w:tc>
        <w:tc>
          <w:tcPr>
            <w:tcW w:w="7744" w:type="dxa"/>
            <w:shd w:val="clear" w:color="auto" w:fill="auto"/>
            <w:noWrap/>
            <w:vAlign w:val="center"/>
          </w:tcPr>
          <w:p w14:paraId="305CD818">
            <w:pPr>
              <w:spacing w:line="360" w:lineRule="auto"/>
              <w:jc w:val="both"/>
              <w:rPr>
                <w:rFonts w:ascii="宋体" w:hAnsi="宋体" w:eastAsia="宋体"/>
                <w:color w:val="auto"/>
                <w:highlight w:val="none"/>
              </w:rPr>
            </w:pPr>
            <w:r>
              <w:rPr>
                <w:rFonts w:hint="eastAsia" w:ascii="宋体" w:hAnsi="宋体" w:eastAsia="宋体"/>
                <w:color w:val="auto"/>
                <w:highlight w:val="none"/>
              </w:rPr>
              <w:t>（提供系统功能截图）可提供自动或手动的患者合并功能。</w:t>
            </w:r>
          </w:p>
        </w:tc>
      </w:tr>
      <w:tr w14:paraId="43185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542" w:type="dxa"/>
            <w:vMerge w:val="restart"/>
            <w:shd w:val="clear" w:color="auto" w:fill="auto"/>
            <w:noWrap/>
            <w:vAlign w:val="center"/>
          </w:tcPr>
          <w:p w14:paraId="1842561B">
            <w:pPr>
              <w:spacing w:line="360" w:lineRule="auto"/>
              <w:jc w:val="center"/>
              <w:rPr>
                <w:rFonts w:ascii="宋体" w:hAnsi="宋体" w:eastAsia="宋体"/>
                <w:color w:val="auto"/>
                <w:highlight w:val="none"/>
              </w:rPr>
            </w:pPr>
            <w:r>
              <w:rPr>
                <w:rFonts w:hint="eastAsia" w:ascii="宋体" w:hAnsi="宋体" w:eastAsia="宋体"/>
                <w:color w:val="auto"/>
                <w:highlight w:val="none"/>
              </w:rPr>
              <w:t>主索引管理</w:t>
            </w:r>
          </w:p>
        </w:tc>
        <w:tc>
          <w:tcPr>
            <w:tcW w:w="7744" w:type="dxa"/>
            <w:shd w:val="clear" w:color="auto" w:fill="auto"/>
            <w:noWrap/>
            <w:vAlign w:val="center"/>
          </w:tcPr>
          <w:p w14:paraId="39CE4E88">
            <w:pPr>
              <w:spacing w:line="360" w:lineRule="auto"/>
              <w:jc w:val="both"/>
              <w:rPr>
                <w:rFonts w:ascii="宋体" w:hAnsi="宋体" w:eastAsia="宋体"/>
                <w:color w:val="auto"/>
                <w:highlight w:val="none"/>
              </w:rPr>
            </w:pPr>
            <w:r>
              <w:rPr>
                <w:rFonts w:hint="eastAsia" w:ascii="宋体" w:hAnsi="宋体" w:eastAsia="宋体"/>
                <w:color w:val="auto"/>
                <w:highlight w:val="none"/>
              </w:rPr>
              <w:t>主索引注册内容可提供业务系统对接，实时产生主索引新数据。</w:t>
            </w:r>
          </w:p>
        </w:tc>
      </w:tr>
      <w:tr w14:paraId="3BDCF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42" w:type="dxa"/>
            <w:vMerge w:val="continue"/>
            <w:shd w:val="clear" w:color="auto" w:fill="auto"/>
            <w:vAlign w:val="center"/>
          </w:tcPr>
          <w:p w14:paraId="04B0CC5F">
            <w:pPr>
              <w:spacing w:line="360" w:lineRule="auto"/>
              <w:jc w:val="both"/>
              <w:rPr>
                <w:rFonts w:ascii="宋体" w:hAnsi="宋体" w:eastAsia="宋体"/>
                <w:color w:val="auto"/>
                <w:highlight w:val="none"/>
              </w:rPr>
            </w:pPr>
          </w:p>
        </w:tc>
        <w:tc>
          <w:tcPr>
            <w:tcW w:w="7744" w:type="dxa"/>
            <w:shd w:val="clear" w:color="auto" w:fill="auto"/>
            <w:noWrap/>
            <w:vAlign w:val="center"/>
          </w:tcPr>
          <w:p w14:paraId="236B1A33">
            <w:pPr>
              <w:spacing w:line="360" w:lineRule="auto"/>
              <w:jc w:val="both"/>
              <w:rPr>
                <w:rFonts w:ascii="宋体" w:hAnsi="宋体" w:eastAsia="宋体"/>
                <w:color w:val="auto"/>
                <w:highlight w:val="none"/>
              </w:rPr>
            </w:pPr>
            <w:r>
              <w:rPr>
                <w:rFonts w:hint="eastAsia" w:ascii="宋体" w:hAnsi="宋体" w:eastAsia="宋体"/>
                <w:color w:val="auto"/>
                <w:highlight w:val="none"/>
              </w:rPr>
              <w:t>主索引管理需具备日志监控、展示、合并、拆分等功能。</w:t>
            </w:r>
          </w:p>
        </w:tc>
      </w:tr>
    </w:tbl>
    <w:p w14:paraId="0CE02253">
      <w:pPr>
        <w:pStyle w:val="4"/>
        <w:spacing w:line="360" w:lineRule="auto"/>
        <w:rPr>
          <w:rFonts w:ascii="宋体" w:hAnsi="宋体" w:eastAsia="宋体"/>
          <w:color w:val="auto"/>
          <w:highlight w:val="none"/>
        </w:rPr>
      </w:pPr>
      <w:r>
        <w:rPr>
          <w:rFonts w:hint="eastAsia" w:ascii="宋体" w:hAnsi="宋体" w:eastAsia="宋体"/>
          <w:color w:val="auto"/>
          <w:highlight w:val="none"/>
        </w:rPr>
        <w:t>共享文档库</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54"/>
        <w:gridCol w:w="7732"/>
      </w:tblGrid>
      <w:tr w14:paraId="025A5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4" w:type="dxa"/>
            <w:vAlign w:val="center"/>
          </w:tcPr>
          <w:p w14:paraId="45EA848C">
            <w:pPr>
              <w:spacing w:line="360" w:lineRule="auto"/>
              <w:jc w:val="center"/>
              <w:rPr>
                <w:rFonts w:ascii="宋体" w:hAnsi="宋体" w:eastAsia="宋体"/>
                <w:color w:val="auto"/>
                <w:highlight w:val="none"/>
              </w:rPr>
            </w:pPr>
            <w:r>
              <w:rPr>
                <w:rFonts w:hint="eastAsia" w:ascii="宋体" w:hAnsi="宋体" w:eastAsia="宋体"/>
                <w:b/>
                <w:color w:val="auto"/>
                <w:highlight w:val="none"/>
              </w:rPr>
              <w:t>功能列表</w:t>
            </w:r>
          </w:p>
        </w:tc>
        <w:tc>
          <w:tcPr>
            <w:tcW w:w="7732" w:type="dxa"/>
            <w:vAlign w:val="center"/>
          </w:tcPr>
          <w:p w14:paraId="613E6B4C">
            <w:pPr>
              <w:spacing w:line="360" w:lineRule="auto"/>
              <w:jc w:val="center"/>
              <w:rPr>
                <w:rFonts w:ascii="宋体" w:hAnsi="宋体" w:eastAsia="宋体"/>
                <w:color w:val="auto"/>
                <w:highlight w:val="none"/>
              </w:rPr>
            </w:pPr>
            <w:r>
              <w:rPr>
                <w:rFonts w:hint="eastAsia" w:ascii="宋体" w:hAnsi="宋体" w:eastAsia="宋体"/>
                <w:b/>
                <w:color w:val="auto"/>
                <w:highlight w:val="none"/>
              </w:rPr>
              <w:t>功能要求</w:t>
            </w:r>
          </w:p>
        </w:tc>
      </w:tr>
      <w:tr w14:paraId="36D3B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4" w:type="dxa"/>
            <w:vAlign w:val="center"/>
          </w:tcPr>
          <w:p w14:paraId="024C6BE8">
            <w:pPr>
              <w:spacing w:line="360" w:lineRule="auto"/>
              <w:jc w:val="center"/>
              <w:rPr>
                <w:rFonts w:ascii="宋体" w:hAnsi="宋体" w:eastAsia="宋体"/>
                <w:color w:val="auto"/>
                <w:highlight w:val="none"/>
              </w:rPr>
            </w:pPr>
            <w:r>
              <w:rPr>
                <w:rFonts w:hint="eastAsia" w:ascii="宋体" w:hAnsi="宋体" w:eastAsia="宋体"/>
                <w:color w:val="auto"/>
                <w:highlight w:val="none"/>
              </w:rPr>
              <w:t>数据集和共享文档的值域映射</w:t>
            </w:r>
          </w:p>
        </w:tc>
        <w:tc>
          <w:tcPr>
            <w:tcW w:w="7732" w:type="dxa"/>
            <w:vAlign w:val="center"/>
          </w:tcPr>
          <w:p w14:paraId="49E8FFF1">
            <w:pPr>
              <w:spacing w:line="360" w:lineRule="auto"/>
              <w:rPr>
                <w:rFonts w:ascii="宋体" w:hAnsi="宋体" w:eastAsia="宋体"/>
                <w:color w:val="auto"/>
                <w:highlight w:val="none"/>
              </w:rPr>
            </w:pPr>
            <w:r>
              <w:rPr>
                <w:rFonts w:hint="eastAsia" w:ascii="宋体" w:hAnsi="宋体" w:eastAsia="宋体"/>
                <w:color w:val="auto"/>
                <w:highlight w:val="none"/>
              </w:rPr>
              <w:t>根据元数据管理和数据集管理中的国标或者行业标准，进行文档中的值域和标准值域的转换。</w:t>
            </w:r>
          </w:p>
        </w:tc>
      </w:tr>
      <w:tr w14:paraId="51504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4" w:type="dxa"/>
            <w:vAlign w:val="center"/>
          </w:tcPr>
          <w:p w14:paraId="426EC815">
            <w:pPr>
              <w:spacing w:line="360" w:lineRule="auto"/>
              <w:jc w:val="center"/>
              <w:rPr>
                <w:rFonts w:ascii="宋体" w:hAnsi="宋体" w:eastAsia="宋体"/>
                <w:color w:val="auto"/>
                <w:highlight w:val="none"/>
              </w:rPr>
            </w:pPr>
            <w:r>
              <w:rPr>
                <w:rFonts w:hint="eastAsia" w:ascii="宋体" w:hAnsi="宋体" w:eastAsia="宋体"/>
                <w:color w:val="auto"/>
                <w:highlight w:val="none"/>
              </w:rPr>
              <w:t>数据集模板管理</w:t>
            </w:r>
          </w:p>
        </w:tc>
        <w:tc>
          <w:tcPr>
            <w:tcW w:w="7732" w:type="dxa"/>
            <w:vAlign w:val="center"/>
          </w:tcPr>
          <w:p w14:paraId="2A114D34">
            <w:pPr>
              <w:spacing w:line="360" w:lineRule="auto"/>
              <w:rPr>
                <w:rFonts w:ascii="宋体" w:hAnsi="宋体" w:eastAsia="宋体"/>
                <w:color w:val="auto"/>
                <w:highlight w:val="none"/>
              </w:rPr>
            </w:pPr>
            <w:r>
              <w:rPr>
                <w:rFonts w:hint="eastAsia" w:ascii="宋体" w:hAnsi="宋体" w:eastAsia="宋体"/>
                <w:color w:val="auto"/>
                <w:highlight w:val="none"/>
              </w:rPr>
              <w:t>基于元数据管理和国家制定的标准数据集（5</w:t>
            </w:r>
            <w:r>
              <w:rPr>
                <w:rFonts w:ascii="宋体" w:hAnsi="宋体" w:eastAsia="宋体"/>
                <w:color w:val="auto"/>
                <w:highlight w:val="none"/>
              </w:rPr>
              <w:t>8</w:t>
            </w:r>
            <w:r>
              <w:rPr>
                <w:rFonts w:hint="eastAsia" w:ascii="宋体" w:hAnsi="宋体" w:eastAsia="宋体"/>
                <w:color w:val="auto"/>
                <w:highlight w:val="none"/>
              </w:rPr>
              <w:t>种），可自定义配置标准数据集中的各项明细数据内容，保障院内数据集符合国家和行业标准要求。</w:t>
            </w:r>
          </w:p>
        </w:tc>
      </w:tr>
      <w:tr w14:paraId="4B6F4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4" w:type="dxa"/>
            <w:vAlign w:val="center"/>
          </w:tcPr>
          <w:p w14:paraId="07EC3F73">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共享文档模板管理</w:t>
            </w:r>
          </w:p>
        </w:tc>
        <w:tc>
          <w:tcPr>
            <w:tcW w:w="7732" w:type="dxa"/>
            <w:vAlign w:val="center"/>
          </w:tcPr>
          <w:p w14:paraId="1BAE1F1A">
            <w:pPr>
              <w:spacing w:line="360" w:lineRule="auto"/>
              <w:rPr>
                <w:rFonts w:ascii="宋体" w:hAnsi="宋体" w:eastAsia="宋体"/>
                <w:color w:val="auto"/>
                <w:highlight w:val="none"/>
              </w:rPr>
            </w:pPr>
            <w:r>
              <w:rPr>
                <w:rFonts w:hint="eastAsia" w:ascii="宋体" w:hAnsi="宋体" w:eastAsia="宋体"/>
                <w:color w:val="auto"/>
                <w:highlight w:val="none"/>
              </w:rPr>
              <w:t>根据OID、数据元、数据集生成共享文档模板，并可针对模板内容任一元素进行编辑管理。</w:t>
            </w:r>
          </w:p>
        </w:tc>
      </w:tr>
      <w:tr w14:paraId="00FD8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4" w:type="dxa"/>
            <w:vAlign w:val="center"/>
          </w:tcPr>
          <w:p w14:paraId="4BC6DC90">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共享文档生成</w:t>
            </w:r>
          </w:p>
        </w:tc>
        <w:tc>
          <w:tcPr>
            <w:tcW w:w="7732" w:type="dxa"/>
            <w:vAlign w:val="center"/>
          </w:tcPr>
          <w:p w14:paraId="73ECA1BD">
            <w:pPr>
              <w:spacing w:line="360" w:lineRule="auto"/>
              <w:rPr>
                <w:rFonts w:ascii="宋体" w:hAnsi="宋体" w:eastAsia="宋体"/>
                <w:color w:val="auto"/>
                <w:highlight w:val="none"/>
              </w:rPr>
            </w:pPr>
            <w:r>
              <w:rPr>
                <w:rFonts w:hint="eastAsia" w:ascii="宋体" w:hAnsi="宋体" w:eastAsia="宋体"/>
                <w:color w:val="auto"/>
                <w:highlight w:val="none"/>
              </w:rPr>
              <w:t>需支持多种文档生成模式，单一文档生成、单患者文档生成、选定时间文档生成、批量定时生成等多种文档生成模式。</w:t>
            </w:r>
          </w:p>
        </w:tc>
      </w:tr>
      <w:tr w14:paraId="67DD2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54" w:type="dxa"/>
            <w:vAlign w:val="center"/>
          </w:tcPr>
          <w:p w14:paraId="4A3A9F81">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共享文档浏览</w:t>
            </w:r>
          </w:p>
        </w:tc>
        <w:tc>
          <w:tcPr>
            <w:tcW w:w="7732" w:type="dxa"/>
            <w:vAlign w:val="center"/>
          </w:tcPr>
          <w:p w14:paraId="24B3FE8F">
            <w:pPr>
              <w:spacing w:line="360" w:lineRule="auto"/>
              <w:rPr>
                <w:rFonts w:ascii="宋体" w:hAnsi="宋体" w:eastAsia="宋体"/>
                <w:color w:val="auto"/>
                <w:highlight w:val="none"/>
              </w:rPr>
            </w:pPr>
            <w:r>
              <w:rPr>
                <w:rFonts w:hint="eastAsia" w:ascii="宋体" w:hAnsi="宋体" w:eastAsia="宋体"/>
                <w:color w:val="auto"/>
                <w:highlight w:val="none"/>
              </w:rPr>
              <w:t>浏览选定文档的数据概览，也可以查看XML源文件、XSD转化文件内容。</w:t>
            </w:r>
          </w:p>
        </w:tc>
      </w:tr>
    </w:tbl>
    <w:p w14:paraId="10798AC9">
      <w:pPr>
        <w:pStyle w:val="4"/>
        <w:spacing w:line="360" w:lineRule="auto"/>
        <w:rPr>
          <w:rFonts w:ascii="宋体" w:hAnsi="宋体" w:eastAsia="宋体"/>
          <w:color w:val="auto"/>
          <w:highlight w:val="none"/>
        </w:rPr>
      </w:pPr>
      <w:r>
        <w:rPr>
          <w:rFonts w:hint="eastAsia" w:ascii="宋体" w:hAnsi="宋体" w:eastAsia="宋体"/>
          <w:color w:val="auto"/>
          <w:highlight w:val="none"/>
        </w:rPr>
        <w:t>共享文档管理系统</w:t>
      </w:r>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2"/>
        <w:gridCol w:w="7744"/>
      </w:tblGrid>
      <w:tr w14:paraId="5C05D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42" w:type="dxa"/>
            <w:shd w:val="clear" w:color="auto" w:fill="auto"/>
            <w:noWrap/>
            <w:vAlign w:val="center"/>
          </w:tcPr>
          <w:p w14:paraId="1C254DDF">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功能列表</w:t>
            </w:r>
          </w:p>
        </w:tc>
        <w:tc>
          <w:tcPr>
            <w:tcW w:w="7744" w:type="dxa"/>
            <w:shd w:val="clear" w:color="auto" w:fill="auto"/>
            <w:noWrap/>
            <w:vAlign w:val="center"/>
          </w:tcPr>
          <w:p w14:paraId="5BCB7DF4">
            <w:pPr>
              <w:spacing w:line="360" w:lineRule="auto"/>
              <w:jc w:val="center"/>
              <w:rPr>
                <w:rFonts w:ascii="宋体" w:hAnsi="宋体" w:eastAsia="宋体"/>
                <w:b/>
                <w:bCs/>
                <w:color w:val="auto"/>
                <w:highlight w:val="none"/>
              </w:rPr>
            </w:pPr>
            <w:r>
              <w:rPr>
                <w:rFonts w:hint="eastAsia" w:ascii="宋体" w:hAnsi="宋体" w:eastAsia="宋体"/>
                <w:b/>
                <w:bCs/>
                <w:color w:val="auto"/>
                <w:highlight w:val="none"/>
              </w:rPr>
              <w:t>功能要求</w:t>
            </w:r>
          </w:p>
        </w:tc>
      </w:tr>
      <w:tr w14:paraId="2BF97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542" w:type="dxa"/>
            <w:shd w:val="clear" w:color="auto" w:fill="auto"/>
            <w:noWrap/>
            <w:vAlign w:val="center"/>
          </w:tcPr>
          <w:p w14:paraId="78863402">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共享文档配置</w:t>
            </w:r>
          </w:p>
        </w:tc>
        <w:tc>
          <w:tcPr>
            <w:tcW w:w="7744" w:type="dxa"/>
            <w:shd w:val="clear" w:color="auto" w:fill="auto"/>
            <w:noWrap/>
            <w:vAlign w:val="center"/>
          </w:tcPr>
          <w:p w14:paraId="66A1D2D5">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具备共享文档的可视化管理和配置功能，可针对文档中的项目进行自定义的配置和修改。</w:t>
            </w:r>
          </w:p>
        </w:tc>
      </w:tr>
      <w:tr w14:paraId="7FC36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1542" w:type="dxa"/>
            <w:shd w:val="clear" w:color="auto" w:fill="auto"/>
            <w:noWrap/>
            <w:vAlign w:val="center"/>
          </w:tcPr>
          <w:p w14:paraId="5D8B17BD">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共享文档校验</w:t>
            </w:r>
          </w:p>
        </w:tc>
        <w:tc>
          <w:tcPr>
            <w:tcW w:w="7744" w:type="dxa"/>
            <w:shd w:val="clear" w:color="auto" w:fill="auto"/>
            <w:noWrap/>
            <w:vAlign w:val="center"/>
          </w:tcPr>
          <w:p w14:paraId="7AB43519">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具备针对单一或多个共享文档内容完整性、合理性、逻辑性的校验功能。校验规则满足国家互联互通各等级的要求。</w:t>
            </w:r>
          </w:p>
        </w:tc>
      </w:tr>
      <w:tr w14:paraId="19B5B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542" w:type="dxa"/>
            <w:shd w:val="clear" w:color="auto" w:fill="auto"/>
            <w:noWrap/>
            <w:vAlign w:val="center"/>
          </w:tcPr>
          <w:p w14:paraId="2DA95564">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共享文档检索</w:t>
            </w:r>
          </w:p>
        </w:tc>
        <w:tc>
          <w:tcPr>
            <w:tcW w:w="7744" w:type="dxa"/>
            <w:shd w:val="clear" w:color="auto" w:fill="auto"/>
            <w:noWrap/>
            <w:vAlign w:val="center"/>
          </w:tcPr>
          <w:p w14:paraId="038A6609">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具备共享文档按类型、患者信息、时间等各条件检索查询功能。</w:t>
            </w:r>
          </w:p>
        </w:tc>
      </w:tr>
      <w:tr w14:paraId="23191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1542" w:type="dxa"/>
            <w:shd w:val="clear" w:color="auto" w:fill="auto"/>
            <w:noWrap/>
            <w:vAlign w:val="center"/>
          </w:tcPr>
          <w:p w14:paraId="547AE97B">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共享文档展示</w:t>
            </w:r>
          </w:p>
        </w:tc>
        <w:tc>
          <w:tcPr>
            <w:tcW w:w="7744" w:type="dxa"/>
            <w:shd w:val="clear" w:color="auto" w:fill="auto"/>
            <w:noWrap/>
            <w:vAlign w:val="center"/>
          </w:tcPr>
          <w:p w14:paraId="36967CAC">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具备共享文档可视化展示功能。</w:t>
            </w:r>
          </w:p>
        </w:tc>
      </w:tr>
      <w:tr w14:paraId="5AEA8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1542" w:type="dxa"/>
            <w:shd w:val="clear" w:color="auto" w:fill="auto"/>
            <w:noWrap/>
            <w:vAlign w:val="center"/>
          </w:tcPr>
          <w:p w14:paraId="477ED196">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共享文档脱敏</w:t>
            </w:r>
          </w:p>
        </w:tc>
        <w:tc>
          <w:tcPr>
            <w:tcW w:w="7744" w:type="dxa"/>
            <w:shd w:val="clear" w:color="auto" w:fill="auto"/>
            <w:noWrap/>
            <w:vAlign w:val="center"/>
          </w:tcPr>
          <w:p w14:paraId="5E76BFCE">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具备共享文档匿名脱敏功能。</w:t>
            </w:r>
          </w:p>
        </w:tc>
      </w:tr>
      <w:tr w14:paraId="3C425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542" w:type="dxa"/>
            <w:shd w:val="clear" w:color="auto" w:fill="auto"/>
            <w:noWrap/>
            <w:vAlign w:val="center"/>
          </w:tcPr>
          <w:p w14:paraId="23E75A6F">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共享文档交互</w:t>
            </w:r>
          </w:p>
        </w:tc>
        <w:tc>
          <w:tcPr>
            <w:tcW w:w="7744" w:type="dxa"/>
            <w:shd w:val="clear" w:color="auto" w:fill="auto"/>
            <w:noWrap/>
            <w:vAlign w:val="center"/>
          </w:tcPr>
          <w:p w14:paraId="178EB5C7">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具备与外部医疗机构或区域卫健单位针对共享文档进行交互展示的功能。</w:t>
            </w:r>
          </w:p>
        </w:tc>
      </w:tr>
      <w:tr w14:paraId="47D05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1542" w:type="dxa"/>
            <w:shd w:val="clear" w:color="auto" w:fill="auto"/>
            <w:noWrap/>
            <w:vAlign w:val="center"/>
          </w:tcPr>
          <w:p w14:paraId="4E5BD6DF">
            <w:pPr>
              <w:spacing w:line="360" w:lineRule="auto"/>
              <w:jc w:val="center"/>
              <w:rPr>
                <w:rFonts w:ascii="宋体" w:hAnsi="宋体" w:eastAsia="宋体"/>
                <w:color w:val="auto"/>
                <w:highlight w:val="none"/>
              </w:rPr>
            </w:pPr>
            <w:r>
              <w:rPr>
                <w:rFonts w:hint="eastAsia" w:ascii="宋体" w:hAnsi="宋体" w:eastAsia="宋体"/>
                <w:color w:val="auto"/>
                <w:highlight w:val="none"/>
              </w:rPr>
              <w:t>共享文档管理</w:t>
            </w:r>
          </w:p>
        </w:tc>
        <w:tc>
          <w:tcPr>
            <w:tcW w:w="7744" w:type="dxa"/>
            <w:shd w:val="clear" w:color="auto" w:fill="auto"/>
            <w:noWrap/>
            <w:vAlign w:val="center"/>
          </w:tcPr>
          <w:p w14:paraId="6A7E8C67">
            <w:pPr>
              <w:spacing w:line="360" w:lineRule="auto"/>
              <w:jc w:val="both"/>
              <w:rPr>
                <w:rFonts w:ascii="宋体" w:hAnsi="宋体" w:eastAsia="宋体" w:cs="Times New Roman"/>
                <w:color w:val="auto"/>
                <w:highlight w:val="none"/>
              </w:rPr>
            </w:pPr>
            <w:r>
              <w:rPr>
                <w:rFonts w:hint="eastAsia" w:ascii="宋体" w:hAnsi="宋体" w:eastAsia="宋体" w:cs="Times New Roman"/>
                <w:color w:val="auto"/>
                <w:highlight w:val="none"/>
              </w:rPr>
              <w:t>具备针对共享文档整体的分析展示、日志监控等功能。</w:t>
            </w:r>
          </w:p>
        </w:tc>
      </w:tr>
    </w:tbl>
    <w:p w14:paraId="6AFED5C5">
      <w:pPr>
        <w:spacing w:line="360" w:lineRule="auto"/>
        <w:rPr>
          <w:rFonts w:ascii="宋体" w:hAnsi="宋体" w:eastAsia="宋体"/>
          <w:color w:val="auto"/>
          <w:highlight w:val="none"/>
        </w:rPr>
      </w:pPr>
    </w:p>
    <w:p w14:paraId="5E3C3815">
      <w:pPr>
        <w:pStyle w:val="4"/>
        <w:spacing w:line="360" w:lineRule="auto"/>
        <w:rPr>
          <w:rFonts w:ascii="宋体" w:hAnsi="宋体" w:eastAsia="宋体"/>
          <w:color w:val="auto"/>
          <w:highlight w:val="none"/>
        </w:rPr>
      </w:pPr>
      <w:r>
        <w:rPr>
          <w:rFonts w:hint="eastAsia" w:ascii="宋体" w:hAnsi="宋体" w:eastAsia="宋体"/>
          <w:color w:val="auto"/>
          <w:highlight w:val="none"/>
        </w:rPr>
        <w:t>历史数据迁移</w:t>
      </w:r>
    </w:p>
    <w:p w14:paraId="3542B388">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对符合业务需求的、有价值的历史数据，如患者信息、医嘱信息、检查信息、检验信息、手术、麻醉、用血、病历文书信息、护理文书信息等，进行迁移。</w:t>
      </w:r>
    </w:p>
    <w:p w14:paraId="4E4928AA">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有如下步骤与输出结果：</w:t>
      </w:r>
    </w:p>
    <w:p w14:paraId="4F48178E">
      <w:pPr>
        <w:pStyle w:val="66"/>
        <w:numPr>
          <w:ilvl w:val="0"/>
          <w:numId w:val="40"/>
        </w:numPr>
        <w:spacing w:line="360" w:lineRule="auto"/>
        <w:ind w:left="900"/>
        <w:rPr>
          <w:rFonts w:ascii="宋体" w:hAnsi="宋体" w:eastAsia="宋体"/>
          <w:color w:val="auto"/>
          <w:highlight w:val="none"/>
        </w:rPr>
      </w:pPr>
      <w:r>
        <w:rPr>
          <w:rFonts w:hint="eastAsia" w:ascii="宋体" w:hAnsi="宋体" w:eastAsia="宋体"/>
          <w:color w:val="auto"/>
          <w:highlight w:val="none"/>
        </w:rPr>
        <w:t>数据分析结果</w:t>
      </w:r>
    </w:p>
    <w:p w14:paraId="115B2486">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依据临床业务的数据模型，以及原始数据的模型，对数据模型的匹配关系、数据内容的字典关系等进行分析，并与原厂商或信息科进行审核修正、调整工作；</w:t>
      </w:r>
    </w:p>
    <w:p w14:paraId="322C14C6">
      <w:pPr>
        <w:pStyle w:val="66"/>
        <w:numPr>
          <w:ilvl w:val="0"/>
          <w:numId w:val="40"/>
        </w:numPr>
        <w:spacing w:line="360" w:lineRule="auto"/>
        <w:ind w:left="900"/>
        <w:rPr>
          <w:rFonts w:ascii="宋体" w:hAnsi="宋体" w:eastAsia="宋体"/>
          <w:color w:val="auto"/>
          <w:highlight w:val="none"/>
        </w:rPr>
      </w:pPr>
      <w:r>
        <w:rPr>
          <w:rFonts w:hint="eastAsia" w:ascii="宋体" w:hAnsi="宋体" w:eastAsia="宋体"/>
          <w:color w:val="auto"/>
          <w:highlight w:val="none"/>
        </w:rPr>
        <w:t>数据抽取时间评估</w:t>
      </w:r>
    </w:p>
    <w:p w14:paraId="78088DBB">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通过对数据进行抽取测试，以评估依据上述的采集区间，一共采集需要多少时间，以在正式上线切换前的采集时间；</w:t>
      </w:r>
    </w:p>
    <w:p w14:paraId="0E1CEB59">
      <w:pPr>
        <w:pStyle w:val="66"/>
        <w:numPr>
          <w:ilvl w:val="0"/>
          <w:numId w:val="40"/>
        </w:numPr>
        <w:spacing w:line="360" w:lineRule="auto"/>
        <w:ind w:left="900"/>
        <w:rPr>
          <w:rFonts w:ascii="宋体" w:hAnsi="宋体" w:eastAsia="宋体"/>
          <w:color w:val="auto"/>
          <w:highlight w:val="none"/>
        </w:rPr>
      </w:pPr>
      <w:r>
        <w:rPr>
          <w:rFonts w:hint="eastAsia" w:ascii="宋体" w:hAnsi="宋体" w:eastAsia="宋体"/>
          <w:color w:val="auto"/>
          <w:highlight w:val="none"/>
        </w:rPr>
        <w:t>数据准确性校验</w:t>
      </w:r>
    </w:p>
    <w:p w14:paraId="741170C8">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通过采集结果与业务系统的对比，来校验数据，提高数据准确性；</w:t>
      </w:r>
    </w:p>
    <w:p w14:paraId="4588ADE2">
      <w:pPr>
        <w:pStyle w:val="66"/>
        <w:numPr>
          <w:ilvl w:val="0"/>
          <w:numId w:val="40"/>
        </w:numPr>
        <w:spacing w:line="360" w:lineRule="auto"/>
        <w:ind w:left="900"/>
        <w:rPr>
          <w:rFonts w:ascii="宋体" w:hAnsi="宋体" w:eastAsia="宋体"/>
          <w:color w:val="auto"/>
          <w:highlight w:val="none"/>
        </w:rPr>
      </w:pPr>
      <w:r>
        <w:rPr>
          <w:rFonts w:hint="eastAsia" w:ascii="宋体" w:hAnsi="宋体" w:eastAsia="宋体"/>
          <w:color w:val="auto"/>
          <w:highlight w:val="none"/>
        </w:rPr>
        <w:t>数据迁移任务</w:t>
      </w:r>
    </w:p>
    <w:p w14:paraId="3CC8D46B">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在分析、评估、校验完成后，在上线前分不同阶段开展迁移任务，如，第一步将当前月份之前的数据全部迁移入库；第二步在上线前将当前月份的数据一次性累加前期入库，完成全数据库的导入。</w:t>
      </w:r>
    </w:p>
    <w:p w14:paraId="59FC6758">
      <w:pPr>
        <w:pStyle w:val="3"/>
        <w:spacing w:line="360" w:lineRule="auto"/>
        <w:rPr>
          <w:rFonts w:ascii="宋体" w:hAnsi="宋体" w:eastAsia="宋体"/>
          <w:i/>
          <w:iCs w:val="0"/>
          <w:color w:val="auto"/>
          <w:highlight w:val="none"/>
        </w:rPr>
      </w:pPr>
      <w:bookmarkStart w:id="68" w:name="_Toc187691849"/>
      <w:r>
        <w:rPr>
          <w:rFonts w:hint="eastAsia" w:ascii="宋体" w:hAnsi="宋体" w:eastAsia="宋体"/>
          <w:iCs w:val="0"/>
          <w:color w:val="auto"/>
          <w:highlight w:val="none"/>
        </w:rPr>
        <w:t>医院系统应用统一管理</w:t>
      </w:r>
      <w:bookmarkEnd w:id="68"/>
    </w:p>
    <w:p w14:paraId="267641E2">
      <w:pPr>
        <w:pStyle w:val="4"/>
        <w:spacing w:line="360" w:lineRule="auto"/>
        <w:rPr>
          <w:rFonts w:ascii="宋体" w:hAnsi="宋体" w:eastAsia="宋体"/>
          <w:color w:val="auto"/>
          <w:highlight w:val="none"/>
        </w:rPr>
      </w:pPr>
      <w:r>
        <w:rPr>
          <w:rFonts w:hint="eastAsia" w:ascii="宋体" w:hAnsi="宋体" w:eastAsia="宋体"/>
          <w:color w:val="auto"/>
          <w:highlight w:val="none"/>
        </w:rPr>
        <w:t>单点登录系统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0"/>
        <w:gridCol w:w="7756"/>
      </w:tblGrid>
      <w:tr w14:paraId="63415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578113BF">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功能模块</w:t>
            </w:r>
          </w:p>
        </w:tc>
        <w:tc>
          <w:tcPr>
            <w:tcW w:w="7756" w:type="dxa"/>
            <w:vAlign w:val="center"/>
          </w:tcPr>
          <w:p w14:paraId="329826F5">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功能要求</w:t>
            </w:r>
          </w:p>
        </w:tc>
      </w:tr>
      <w:tr w14:paraId="2D0D1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62E66E5C">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普通登录</w:t>
            </w:r>
          </w:p>
        </w:tc>
        <w:tc>
          <w:tcPr>
            <w:tcW w:w="7756" w:type="dxa"/>
            <w:vAlign w:val="center"/>
          </w:tcPr>
          <w:p w14:paraId="688F769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输入账号、密码进行登录。</w:t>
            </w:r>
          </w:p>
        </w:tc>
      </w:tr>
      <w:tr w14:paraId="109E0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78339F32">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CA登录</w:t>
            </w:r>
          </w:p>
        </w:tc>
        <w:tc>
          <w:tcPr>
            <w:tcW w:w="7756" w:type="dxa"/>
            <w:vAlign w:val="center"/>
          </w:tcPr>
          <w:p w14:paraId="530BE9C4">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插入CA并输入用户密码 或CA扫码验证进行登录，登录成功后显示CA有效期。</w:t>
            </w:r>
          </w:p>
        </w:tc>
      </w:tr>
      <w:tr w14:paraId="77D6B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1423C8EF">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常用应用</w:t>
            </w:r>
          </w:p>
        </w:tc>
        <w:tc>
          <w:tcPr>
            <w:tcW w:w="7756" w:type="dxa"/>
            <w:vAlign w:val="center"/>
          </w:tcPr>
          <w:p w14:paraId="38E2066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点击率最频繁的将被推荐为常用应用。</w:t>
            </w:r>
          </w:p>
        </w:tc>
      </w:tr>
      <w:tr w14:paraId="71EED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5604398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所有应用</w:t>
            </w:r>
          </w:p>
        </w:tc>
        <w:tc>
          <w:tcPr>
            <w:tcW w:w="7756" w:type="dxa"/>
            <w:vAlign w:val="center"/>
          </w:tcPr>
          <w:p w14:paraId="087F17BD">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显示用户权限范围内的所有应用列表。</w:t>
            </w:r>
          </w:p>
        </w:tc>
      </w:tr>
      <w:tr w14:paraId="4DD01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2E72AC34">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分类应用</w:t>
            </w:r>
          </w:p>
        </w:tc>
        <w:tc>
          <w:tcPr>
            <w:tcW w:w="7756" w:type="dxa"/>
            <w:vAlign w:val="center"/>
          </w:tcPr>
          <w:p w14:paraId="55AF846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按不同的分组分类显示应用。</w:t>
            </w:r>
          </w:p>
        </w:tc>
      </w:tr>
      <w:tr w14:paraId="1D1AB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26AF6690">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应用跳转</w:t>
            </w:r>
          </w:p>
        </w:tc>
        <w:tc>
          <w:tcPr>
            <w:tcW w:w="7756" w:type="dxa"/>
            <w:vAlign w:val="center"/>
          </w:tcPr>
          <w:p w14:paraId="186ECEAC">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（提供系统功能截图）需要同时满足CS和BS架构的系统接入；提供多种改造方式供第三方系统改造；</w:t>
            </w:r>
          </w:p>
        </w:tc>
      </w:tr>
      <w:tr w14:paraId="6DC5F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25EB6F67">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个人信息维护</w:t>
            </w:r>
          </w:p>
        </w:tc>
        <w:tc>
          <w:tcPr>
            <w:tcW w:w="7756" w:type="dxa"/>
            <w:vAlign w:val="center"/>
          </w:tcPr>
          <w:p w14:paraId="2AA787A5">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维护个人基本信息。</w:t>
            </w:r>
          </w:p>
        </w:tc>
      </w:tr>
      <w:tr w14:paraId="5DFC5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31C40DC7">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密码修改</w:t>
            </w:r>
          </w:p>
        </w:tc>
        <w:tc>
          <w:tcPr>
            <w:tcW w:w="7756" w:type="dxa"/>
            <w:vAlign w:val="center"/>
          </w:tcPr>
          <w:p w14:paraId="37F246E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修改个人密码。</w:t>
            </w:r>
          </w:p>
        </w:tc>
      </w:tr>
      <w:tr w14:paraId="7B9DC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22919C37">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应用配置</w:t>
            </w:r>
          </w:p>
        </w:tc>
        <w:tc>
          <w:tcPr>
            <w:tcW w:w="7756" w:type="dxa"/>
            <w:vAlign w:val="center"/>
          </w:tcPr>
          <w:p w14:paraId="6518C5E8">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配置单点登录系统账户、密码等，配置是否显示单点应用。</w:t>
            </w:r>
          </w:p>
        </w:tc>
      </w:tr>
      <w:tr w14:paraId="6406F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53A02901">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下载控件</w:t>
            </w:r>
          </w:p>
        </w:tc>
        <w:tc>
          <w:tcPr>
            <w:tcW w:w="7756" w:type="dxa"/>
            <w:vAlign w:val="center"/>
          </w:tcPr>
          <w:p w14:paraId="59EDE96B">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下载单点登录系统运行所需客户端控件。</w:t>
            </w:r>
          </w:p>
        </w:tc>
      </w:tr>
      <w:tr w14:paraId="5937F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0229152F">
            <w:pPr>
              <w:adjustRightInd w:val="0"/>
              <w:snapToGrid w:val="0"/>
              <w:spacing w:line="360" w:lineRule="auto"/>
              <w:jc w:val="center"/>
              <w:rPr>
                <w:rFonts w:ascii="宋体" w:hAnsi="宋体" w:eastAsia="宋体"/>
                <w:color w:val="auto"/>
                <w:highlight w:val="none"/>
              </w:rPr>
            </w:pPr>
            <w:r>
              <w:rPr>
                <w:rFonts w:hint="eastAsia" w:ascii="宋体" w:hAnsi="宋体" w:eastAsia="宋体"/>
                <w:color w:val="auto"/>
                <w:highlight w:val="none"/>
              </w:rPr>
              <w:t>登录明细</w:t>
            </w:r>
          </w:p>
        </w:tc>
        <w:tc>
          <w:tcPr>
            <w:tcW w:w="7756" w:type="dxa"/>
            <w:vAlign w:val="center"/>
          </w:tcPr>
          <w:p w14:paraId="6C892378">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用户登录次数、使用天数以及登录方式等信息统计</w:t>
            </w:r>
            <w:r>
              <w:rPr>
                <w:rFonts w:hint="eastAsia" w:ascii="宋体" w:hAnsi="宋体" w:eastAsia="宋体"/>
                <w:color w:val="auto"/>
                <w:highlight w:val="none"/>
              </w:rPr>
              <w:t>。</w:t>
            </w:r>
          </w:p>
        </w:tc>
      </w:tr>
      <w:tr w14:paraId="21151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3E7E0688">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用户切换</w:t>
            </w:r>
          </w:p>
        </w:tc>
        <w:tc>
          <w:tcPr>
            <w:tcW w:w="7756" w:type="dxa"/>
            <w:vAlign w:val="center"/>
          </w:tcPr>
          <w:p w14:paraId="3532BF62">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管理员可切换不同用户进行系统登录</w:t>
            </w:r>
            <w:r>
              <w:rPr>
                <w:rFonts w:hint="eastAsia" w:ascii="宋体" w:hAnsi="宋体" w:eastAsia="宋体"/>
                <w:color w:val="auto"/>
                <w:highlight w:val="none"/>
              </w:rPr>
              <w:t>。</w:t>
            </w:r>
          </w:p>
        </w:tc>
      </w:tr>
      <w:tr w14:paraId="6F1B2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5586C4FD">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权限申请</w:t>
            </w:r>
          </w:p>
        </w:tc>
        <w:tc>
          <w:tcPr>
            <w:tcW w:w="7756" w:type="dxa"/>
            <w:vAlign w:val="center"/>
          </w:tcPr>
          <w:p w14:paraId="70F5BF80">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针对不同用户获取系统科室权限的申请功能</w:t>
            </w:r>
            <w:r>
              <w:rPr>
                <w:rFonts w:hint="eastAsia" w:ascii="宋体" w:hAnsi="宋体" w:eastAsia="宋体"/>
                <w:color w:val="auto"/>
                <w:highlight w:val="none"/>
              </w:rPr>
              <w:t>。</w:t>
            </w:r>
          </w:p>
        </w:tc>
      </w:tr>
      <w:tr w14:paraId="1DC6A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0" w:type="dxa"/>
            <w:vAlign w:val="center"/>
          </w:tcPr>
          <w:p w14:paraId="0108EB9D">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权限审核</w:t>
            </w:r>
          </w:p>
        </w:tc>
        <w:tc>
          <w:tcPr>
            <w:tcW w:w="7756" w:type="dxa"/>
            <w:vAlign w:val="center"/>
          </w:tcPr>
          <w:p w14:paraId="2115DB6C">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管理员对用户申请科室权限进行审核</w:t>
            </w:r>
            <w:r>
              <w:rPr>
                <w:rFonts w:hint="eastAsia" w:ascii="宋体" w:hAnsi="宋体" w:eastAsia="宋体"/>
                <w:color w:val="auto"/>
                <w:highlight w:val="none"/>
              </w:rPr>
              <w:t>。</w:t>
            </w:r>
          </w:p>
        </w:tc>
      </w:tr>
    </w:tbl>
    <w:p w14:paraId="6D1AF823">
      <w:pPr>
        <w:spacing w:line="360" w:lineRule="auto"/>
        <w:rPr>
          <w:rFonts w:ascii="宋体" w:hAnsi="宋体" w:eastAsia="宋体"/>
          <w:color w:val="auto"/>
          <w:highlight w:val="none"/>
        </w:rPr>
      </w:pPr>
    </w:p>
    <w:p w14:paraId="49BDE632">
      <w:pPr>
        <w:pStyle w:val="4"/>
        <w:spacing w:line="360" w:lineRule="auto"/>
        <w:rPr>
          <w:rFonts w:ascii="宋体" w:hAnsi="宋体" w:eastAsia="宋体"/>
          <w:color w:val="auto"/>
          <w:highlight w:val="none"/>
        </w:rPr>
      </w:pPr>
      <w:r>
        <w:rPr>
          <w:rFonts w:hint="eastAsia" w:ascii="宋体" w:hAnsi="宋体" w:eastAsia="宋体"/>
          <w:color w:val="auto"/>
          <w:highlight w:val="none"/>
        </w:rPr>
        <w:t>后台管理系统</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5"/>
        <w:gridCol w:w="1305"/>
        <w:gridCol w:w="6676"/>
      </w:tblGrid>
      <w:tr w14:paraId="681D4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14:paraId="5B9868A9">
            <w:pPr>
              <w:adjustRightInd w:val="0"/>
              <w:snapToGrid w:val="0"/>
              <w:spacing w:line="360" w:lineRule="auto"/>
              <w:jc w:val="center"/>
              <w:rPr>
                <w:rFonts w:ascii="宋体" w:hAnsi="宋体" w:eastAsia="宋体"/>
                <w:b/>
                <w:color w:val="auto"/>
                <w:highlight w:val="none"/>
              </w:rPr>
            </w:pPr>
            <w:r>
              <w:rPr>
                <w:rFonts w:ascii="宋体" w:hAnsi="宋体" w:eastAsia="宋体"/>
                <w:b/>
                <w:color w:val="auto"/>
                <w:highlight w:val="none"/>
              </w:rPr>
              <w:t>产品</w:t>
            </w:r>
          </w:p>
        </w:tc>
        <w:tc>
          <w:tcPr>
            <w:tcW w:w="0" w:type="auto"/>
            <w:vAlign w:val="center"/>
          </w:tcPr>
          <w:p w14:paraId="0CC14803">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功能模块</w:t>
            </w:r>
          </w:p>
        </w:tc>
        <w:tc>
          <w:tcPr>
            <w:tcW w:w="0" w:type="auto"/>
            <w:vAlign w:val="center"/>
          </w:tcPr>
          <w:p w14:paraId="2BD95FAD">
            <w:pPr>
              <w:adjustRightInd w:val="0"/>
              <w:snapToGrid w:val="0"/>
              <w:spacing w:line="360" w:lineRule="auto"/>
              <w:jc w:val="center"/>
              <w:rPr>
                <w:rFonts w:ascii="宋体" w:hAnsi="宋体" w:eastAsia="宋体"/>
                <w:b/>
                <w:color w:val="auto"/>
                <w:highlight w:val="none"/>
              </w:rPr>
            </w:pPr>
            <w:r>
              <w:rPr>
                <w:rFonts w:hint="eastAsia" w:ascii="宋体" w:hAnsi="宋体" w:eastAsia="宋体"/>
                <w:b/>
                <w:color w:val="auto"/>
                <w:highlight w:val="none"/>
              </w:rPr>
              <w:t>功能要求</w:t>
            </w:r>
          </w:p>
        </w:tc>
      </w:tr>
      <w:tr w14:paraId="2F218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restart"/>
            <w:tcBorders>
              <w:left w:val="single" w:color="auto" w:sz="4" w:space="0"/>
            </w:tcBorders>
            <w:vAlign w:val="center"/>
          </w:tcPr>
          <w:p w14:paraId="045E9E28">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临床数据仓库监控与管理</w:t>
            </w:r>
          </w:p>
        </w:tc>
        <w:tc>
          <w:tcPr>
            <w:tcW w:w="0" w:type="auto"/>
            <w:vAlign w:val="center"/>
          </w:tcPr>
          <w:p w14:paraId="2D55D2EC">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数据仓库监控</w:t>
            </w:r>
          </w:p>
        </w:tc>
        <w:tc>
          <w:tcPr>
            <w:tcW w:w="0" w:type="auto"/>
            <w:vAlign w:val="center"/>
          </w:tcPr>
          <w:p w14:paraId="58CB4652">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监控数据仓库的运行情况，例如数据总量、新增数据信息、数据同步信息、异常数据信息等</w:t>
            </w:r>
            <w:r>
              <w:rPr>
                <w:rFonts w:hint="eastAsia" w:ascii="宋体" w:hAnsi="宋体" w:eastAsia="宋体"/>
                <w:color w:val="auto"/>
                <w:highlight w:val="none"/>
              </w:rPr>
              <w:t>。</w:t>
            </w:r>
          </w:p>
        </w:tc>
      </w:tr>
      <w:tr w14:paraId="167EF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512CB399">
            <w:pPr>
              <w:adjustRightInd w:val="0"/>
              <w:snapToGrid w:val="0"/>
              <w:spacing w:line="360" w:lineRule="auto"/>
              <w:jc w:val="center"/>
              <w:rPr>
                <w:rFonts w:ascii="宋体" w:hAnsi="宋体" w:eastAsia="宋体"/>
                <w:color w:val="auto"/>
                <w:highlight w:val="none"/>
              </w:rPr>
            </w:pPr>
          </w:p>
        </w:tc>
        <w:tc>
          <w:tcPr>
            <w:tcW w:w="0" w:type="auto"/>
            <w:vAlign w:val="center"/>
          </w:tcPr>
          <w:p w14:paraId="73697503">
            <w:pPr>
              <w:adjustRightInd w:val="0"/>
              <w:snapToGrid w:val="0"/>
              <w:spacing w:line="360" w:lineRule="auto"/>
              <w:rPr>
                <w:rFonts w:ascii="宋体" w:hAnsi="宋体" w:eastAsia="宋体"/>
                <w:color w:val="auto"/>
                <w:highlight w:val="none"/>
              </w:rPr>
            </w:pPr>
            <w:r>
              <w:rPr>
                <w:rFonts w:hint="eastAsia" w:ascii="宋体" w:hAnsi="宋体" w:eastAsia="宋体"/>
                <w:color w:val="auto"/>
                <w:highlight w:val="none"/>
              </w:rPr>
              <w:t>前置业务存储数据库</w:t>
            </w:r>
            <w:r>
              <w:rPr>
                <w:rFonts w:ascii="宋体" w:hAnsi="宋体" w:eastAsia="宋体"/>
                <w:color w:val="auto"/>
                <w:highlight w:val="none"/>
              </w:rPr>
              <w:t>监控</w:t>
            </w:r>
          </w:p>
        </w:tc>
        <w:tc>
          <w:tcPr>
            <w:tcW w:w="0" w:type="auto"/>
            <w:vAlign w:val="center"/>
          </w:tcPr>
          <w:p w14:paraId="1CBAFCC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监控</w:t>
            </w:r>
            <w:r>
              <w:rPr>
                <w:rFonts w:hint="eastAsia" w:ascii="宋体" w:hAnsi="宋体" w:eastAsia="宋体"/>
                <w:color w:val="auto"/>
                <w:highlight w:val="none"/>
              </w:rPr>
              <w:t>前置业务存储数据库</w:t>
            </w:r>
            <w:r>
              <w:rPr>
                <w:rFonts w:ascii="宋体" w:hAnsi="宋体" w:eastAsia="宋体"/>
                <w:color w:val="auto"/>
                <w:highlight w:val="none"/>
              </w:rPr>
              <w:t>的同步情况</w:t>
            </w:r>
            <w:r>
              <w:rPr>
                <w:rFonts w:hint="eastAsia" w:ascii="宋体" w:hAnsi="宋体" w:eastAsia="宋体"/>
                <w:color w:val="auto"/>
                <w:highlight w:val="none"/>
              </w:rPr>
              <w:t>。</w:t>
            </w:r>
          </w:p>
        </w:tc>
      </w:tr>
      <w:tr w14:paraId="5F7C5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7CA467CE">
            <w:pPr>
              <w:adjustRightInd w:val="0"/>
              <w:snapToGrid w:val="0"/>
              <w:spacing w:line="360" w:lineRule="auto"/>
              <w:jc w:val="center"/>
              <w:rPr>
                <w:rFonts w:ascii="宋体" w:hAnsi="宋体" w:eastAsia="宋体"/>
                <w:color w:val="auto"/>
                <w:highlight w:val="none"/>
              </w:rPr>
            </w:pPr>
          </w:p>
        </w:tc>
        <w:tc>
          <w:tcPr>
            <w:tcW w:w="0" w:type="auto"/>
            <w:vAlign w:val="center"/>
          </w:tcPr>
          <w:p w14:paraId="310C7B6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服务器资源监控</w:t>
            </w:r>
          </w:p>
        </w:tc>
        <w:tc>
          <w:tcPr>
            <w:tcW w:w="0" w:type="auto"/>
            <w:vAlign w:val="center"/>
          </w:tcPr>
          <w:p w14:paraId="30FC2ED8">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监控服务器的资源消耗情况，满足针对Windows服务器和Linux服务器进行分开监控</w:t>
            </w:r>
            <w:r>
              <w:rPr>
                <w:rFonts w:hint="eastAsia" w:ascii="宋体" w:hAnsi="宋体" w:eastAsia="宋体"/>
                <w:color w:val="auto"/>
                <w:highlight w:val="none"/>
              </w:rPr>
              <w:t>。</w:t>
            </w:r>
          </w:p>
        </w:tc>
      </w:tr>
      <w:tr w14:paraId="6053D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3681A49C">
            <w:pPr>
              <w:adjustRightInd w:val="0"/>
              <w:snapToGrid w:val="0"/>
              <w:spacing w:line="360" w:lineRule="auto"/>
              <w:jc w:val="center"/>
              <w:rPr>
                <w:rFonts w:ascii="宋体" w:hAnsi="宋体" w:eastAsia="宋体"/>
                <w:color w:val="auto"/>
                <w:highlight w:val="none"/>
              </w:rPr>
            </w:pPr>
          </w:p>
        </w:tc>
        <w:tc>
          <w:tcPr>
            <w:tcW w:w="0" w:type="auto"/>
            <w:vAlign w:val="center"/>
          </w:tcPr>
          <w:p w14:paraId="3E307358">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消息队列消费</w:t>
            </w:r>
          </w:p>
        </w:tc>
        <w:tc>
          <w:tcPr>
            <w:tcW w:w="0" w:type="auto"/>
            <w:vAlign w:val="center"/>
          </w:tcPr>
          <w:p w14:paraId="315E275E">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监控kafka的数据消费情况</w:t>
            </w:r>
            <w:r>
              <w:rPr>
                <w:rFonts w:hint="eastAsia" w:ascii="宋体" w:hAnsi="宋体" w:eastAsia="宋体"/>
                <w:color w:val="auto"/>
                <w:highlight w:val="none"/>
              </w:rPr>
              <w:t>。</w:t>
            </w:r>
          </w:p>
        </w:tc>
      </w:tr>
      <w:tr w14:paraId="49992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restart"/>
            <w:tcBorders>
              <w:left w:val="single" w:color="auto" w:sz="4" w:space="0"/>
            </w:tcBorders>
            <w:vAlign w:val="center"/>
          </w:tcPr>
          <w:p w14:paraId="660A03C7">
            <w:pPr>
              <w:adjustRightInd w:val="0"/>
              <w:snapToGrid w:val="0"/>
              <w:spacing w:line="360" w:lineRule="auto"/>
              <w:jc w:val="center"/>
              <w:rPr>
                <w:rFonts w:ascii="宋体" w:hAnsi="宋体" w:eastAsia="宋体"/>
                <w:color w:val="auto"/>
                <w:highlight w:val="none"/>
              </w:rPr>
            </w:pPr>
            <w:r>
              <w:rPr>
                <w:rFonts w:ascii="宋体" w:hAnsi="宋体" w:eastAsia="宋体"/>
                <w:color w:val="auto"/>
                <w:highlight w:val="none"/>
              </w:rPr>
              <w:t>系统管理</w:t>
            </w:r>
          </w:p>
        </w:tc>
        <w:tc>
          <w:tcPr>
            <w:tcW w:w="0" w:type="auto"/>
            <w:vAlign w:val="center"/>
          </w:tcPr>
          <w:p w14:paraId="5880AFF1">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用户管理</w:t>
            </w:r>
          </w:p>
        </w:tc>
        <w:tc>
          <w:tcPr>
            <w:tcW w:w="0" w:type="auto"/>
            <w:vAlign w:val="center"/>
          </w:tcPr>
          <w:p w14:paraId="5479F62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提供用户信息查看信息，以及用户个人信息的修改维护，包括账号、姓名、登录密码、手机号、邮箱、CA标识、角色、用户分类、状态以及是否支持CA登录</w:t>
            </w:r>
            <w:r>
              <w:rPr>
                <w:rFonts w:hint="eastAsia" w:ascii="宋体" w:hAnsi="宋体" w:eastAsia="宋体"/>
                <w:color w:val="auto"/>
                <w:highlight w:val="none"/>
              </w:rPr>
              <w:t>。</w:t>
            </w:r>
          </w:p>
        </w:tc>
      </w:tr>
      <w:tr w14:paraId="42DAF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339EAB1F">
            <w:pPr>
              <w:adjustRightInd w:val="0"/>
              <w:snapToGrid w:val="0"/>
              <w:spacing w:line="360" w:lineRule="auto"/>
              <w:rPr>
                <w:rFonts w:ascii="宋体" w:hAnsi="宋体" w:eastAsia="宋体"/>
                <w:color w:val="auto"/>
                <w:highlight w:val="none"/>
              </w:rPr>
            </w:pPr>
          </w:p>
        </w:tc>
        <w:tc>
          <w:tcPr>
            <w:tcW w:w="0" w:type="auto"/>
            <w:vAlign w:val="center"/>
          </w:tcPr>
          <w:p w14:paraId="2C4D45F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角色管理</w:t>
            </w:r>
          </w:p>
        </w:tc>
        <w:tc>
          <w:tcPr>
            <w:tcW w:w="0" w:type="auto"/>
            <w:vAlign w:val="center"/>
          </w:tcPr>
          <w:p w14:paraId="28F45A1D">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提供角色信息维护以及角色菜单权限、角色系统权限的分配维护</w:t>
            </w:r>
            <w:r>
              <w:rPr>
                <w:rFonts w:hint="eastAsia" w:ascii="宋体" w:hAnsi="宋体" w:eastAsia="宋体"/>
                <w:color w:val="auto"/>
                <w:highlight w:val="none"/>
              </w:rPr>
              <w:t>。</w:t>
            </w:r>
          </w:p>
        </w:tc>
      </w:tr>
      <w:tr w14:paraId="17DCE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5AB718B5">
            <w:pPr>
              <w:adjustRightInd w:val="0"/>
              <w:snapToGrid w:val="0"/>
              <w:spacing w:line="360" w:lineRule="auto"/>
              <w:rPr>
                <w:rFonts w:ascii="宋体" w:hAnsi="宋体" w:eastAsia="宋体"/>
                <w:color w:val="auto"/>
                <w:highlight w:val="none"/>
              </w:rPr>
            </w:pPr>
          </w:p>
        </w:tc>
        <w:tc>
          <w:tcPr>
            <w:tcW w:w="0" w:type="auto"/>
            <w:vAlign w:val="center"/>
          </w:tcPr>
          <w:p w14:paraId="4798FB84">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菜单管理</w:t>
            </w:r>
          </w:p>
        </w:tc>
        <w:tc>
          <w:tcPr>
            <w:tcW w:w="0" w:type="auto"/>
            <w:vAlign w:val="center"/>
          </w:tcPr>
          <w:p w14:paraId="5DA0F522">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提供系统菜单的维护（增加、修改、删除等功能）</w:t>
            </w:r>
            <w:r>
              <w:rPr>
                <w:rFonts w:hint="eastAsia" w:ascii="宋体" w:hAnsi="宋体" w:eastAsia="宋体"/>
                <w:color w:val="auto"/>
                <w:highlight w:val="none"/>
              </w:rPr>
              <w:t>。</w:t>
            </w:r>
          </w:p>
        </w:tc>
      </w:tr>
      <w:tr w14:paraId="6B695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63CCE866">
            <w:pPr>
              <w:adjustRightInd w:val="0"/>
              <w:snapToGrid w:val="0"/>
              <w:spacing w:line="360" w:lineRule="auto"/>
              <w:rPr>
                <w:rFonts w:ascii="宋体" w:hAnsi="宋体" w:eastAsia="宋体"/>
                <w:color w:val="auto"/>
                <w:highlight w:val="none"/>
              </w:rPr>
            </w:pPr>
          </w:p>
        </w:tc>
        <w:tc>
          <w:tcPr>
            <w:tcW w:w="0" w:type="auto"/>
            <w:vAlign w:val="center"/>
          </w:tcPr>
          <w:p w14:paraId="18A1BFB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对接系统管理</w:t>
            </w:r>
          </w:p>
        </w:tc>
        <w:tc>
          <w:tcPr>
            <w:tcW w:w="0" w:type="auto"/>
            <w:vAlign w:val="center"/>
          </w:tcPr>
          <w:p w14:paraId="0D98792C">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提供对已对接的系统的维护配置</w:t>
            </w:r>
            <w:r>
              <w:rPr>
                <w:rFonts w:hint="eastAsia" w:ascii="宋体" w:hAnsi="宋体" w:eastAsia="宋体"/>
                <w:color w:val="auto"/>
                <w:highlight w:val="none"/>
              </w:rPr>
              <w:t>。</w:t>
            </w:r>
          </w:p>
        </w:tc>
      </w:tr>
      <w:tr w14:paraId="34333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59501B4C">
            <w:pPr>
              <w:adjustRightInd w:val="0"/>
              <w:snapToGrid w:val="0"/>
              <w:spacing w:line="360" w:lineRule="auto"/>
              <w:rPr>
                <w:rFonts w:ascii="宋体" w:hAnsi="宋体" w:eastAsia="宋体"/>
                <w:color w:val="auto"/>
                <w:highlight w:val="none"/>
              </w:rPr>
            </w:pPr>
          </w:p>
        </w:tc>
        <w:tc>
          <w:tcPr>
            <w:tcW w:w="0" w:type="auto"/>
            <w:vAlign w:val="center"/>
          </w:tcPr>
          <w:p w14:paraId="30C2617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科室审核</w:t>
            </w:r>
          </w:p>
        </w:tc>
        <w:tc>
          <w:tcPr>
            <w:tcW w:w="0" w:type="auto"/>
            <w:vAlign w:val="center"/>
          </w:tcPr>
          <w:p w14:paraId="0B5DF7D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提供用户对科室的审核权限的配置</w:t>
            </w:r>
            <w:r>
              <w:rPr>
                <w:rFonts w:hint="eastAsia" w:ascii="宋体" w:hAnsi="宋体" w:eastAsia="宋体"/>
                <w:color w:val="auto"/>
                <w:highlight w:val="none"/>
              </w:rPr>
              <w:t>。</w:t>
            </w:r>
          </w:p>
        </w:tc>
      </w:tr>
      <w:tr w14:paraId="4DDBB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3051D106">
            <w:pPr>
              <w:adjustRightInd w:val="0"/>
              <w:snapToGrid w:val="0"/>
              <w:spacing w:line="360" w:lineRule="auto"/>
              <w:rPr>
                <w:rFonts w:ascii="宋体" w:hAnsi="宋体" w:eastAsia="宋体"/>
                <w:color w:val="auto"/>
                <w:highlight w:val="none"/>
              </w:rPr>
            </w:pPr>
          </w:p>
        </w:tc>
        <w:tc>
          <w:tcPr>
            <w:tcW w:w="0" w:type="auto"/>
            <w:vAlign w:val="center"/>
          </w:tcPr>
          <w:p w14:paraId="14B9AF46">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脱敏设置</w:t>
            </w:r>
          </w:p>
        </w:tc>
        <w:tc>
          <w:tcPr>
            <w:tcW w:w="0" w:type="auto"/>
            <w:vAlign w:val="center"/>
          </w:tcPr>
          <w:p w14:paraId="2177EF3E">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提供用户对患者360视图的病人相关信息脱敏处理</w:t>
            </w:r>
            <w:r>
              <w:rPr>
                <w:rFonts w:hint="eastAsia" w:ascii="宋体" w:hAnsi="宋体" w:eastAsia="宋体"/>
                <w:color w:val="auto"/>
                <w:highlight w:val="none"/>
              </w:rPr>
              <w:t>。</w:t>
            </w:r>
          </w:p>
        </w:tc>
      </w:tr>
      <w:tr w14:paraId="5F9DE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1EF2C40E">
            <w:pPr>
              <w:adjustRightInd w:val="0"/>
              <w:snapToGrid w:val="0"/>
              <w:spacing w:line="360" w:lineRule="auto"/>
              <w:rPr>
                <w:rFonts w:ascii="宋体" w:hAnsi="宋体" w:eastAsia="宋体"/>
                <w:color w:val="auto"/>
                <w:highlight w:val="none"/>
              </w:rPr>
            </w:pPr>
          </w:p>
        </w:tc>
        <w:tc>
          <w:tcPr>
            <w:tcW w:w="0" w:type="auto"/>
            <w:vAlign w:val="center"/>
          </w:tcPr>
          <w:p w14:paraId="0BCEF853">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用户解锁</w:t>
            </w:r>
          </w:p>
        </w:tc>
        <w:tc>
          <w:tcPr>
            <w:tcW w:w="0" w:type="auto"/>
            <w:vAlign w:val="center"/>
          </w:tcPr>
          <w:p w14:paraId="71DBA1EB">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用户密码输入次数超过设定上限后会自动被锁，提供了用户解锁的功能</w:t>
            </w:r>
            <w:r>
              <w:rPr>
                <w:rFonts w:hint="eastAsia" w:ascii="宋体" w:hAnsi="宋体" w:eastAsia="宋体"/>
                <w:color w:val="auto"/>
                <w:highlight w:val="none"/>
              </w:rPr>
              <w:t>。</w:t>
            </w:r>
          </w:p>
        </w:tc>
      </w:tr>
      <w:tr w14:paraId="615A4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612916CE">
            <w:pPr>
              <w:adjustRightInd w:val="0"/>
              <w:snapToGrid w:val="0"/>
              <w:spacing w:line="360" w:lineRule="auto"/>
              <w:rPr>
                <w:rFonts w:ascii="宋体" w:hAnsi="宋体" w:eastAsia="宋体"/>
                <w:color w:val="auto"/>
                <w:highlight w:val="none"/>
              </w:rPr>
            </w:pPr>
          </w:p>
        </w:tc>
        <w:tc>
          <w:tcPr>
            <w:tcW w:w="0" w:type="auto"/>
            <w:vAlign w:val="center"/>
          </w:tcPr>
          <w:p w14:paraId="13F3F622">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登录背景</w:t>
            </w:r>
          </w:p>
        </w:tc>
        <w:tc>
          <w:tcPr>
            <w:tcW w:w="0" w:type="auto"/>
            <w:vAlign w:val="center"/>
          </w:tcPr>
          <w:p w14:paraId="05D97517">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提供界面的登录背景设置，可根据不同的节日设置不同的背景样式</w:t>
            </w:r>
            <w:r>
              <w:rPr>
                <w:rFonts w:hint="eastAsia" w:ascii="宋体" w:hAnsi="宋体" w:eastAsia="宋体"/>
                <w:color w:val="auto"/>
                <w:highlight w:val="none"/>
              </w:rPr>
              <w:t>。</w:t>
            </w:r>
          </w:p>
        </w:tc>
      </w:tr>
      <w:tr w14:paraId="3CFA7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163E9396">
            <w:pPr>
              <w:adjustRightInd w:val="0"/>
              <w:snapToGrid w:val="0"/>
              <w:spacing w:line="360" w:lineRule="auto"/>
              <w:rPr>
                <w:rFonts w:ascii="宋体" w:hAnsi="宋体" w:eastAsia="宋体"/>
                <w:color w:val="auto"/>
                <w:highlight w:val="none"/>
              </w:rPr>
            </w:pPr>
          </w:p>
        </w:tc>
        <w:tc>
          <w:tcPr>
            <w:tcW w:w="0" w:type="auto"/>
            <w:vAlign w:val="center"/>
          </w:tcPr>
          <w:p w14:paraId="49984030">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单点科室</w:t>
            </w:r>
          </w:p>
        </w:tc>
        <w:tc>
          <w:tcPr>
            <w:tcW w:w="0" w:type="auto"/>
            <w:vAlign w:val="center"/>
          </w:tcPr>
          <w:p w14:paraId="702AFC17">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提供单点科室信息查看信息，实时看到科室相关信息是否已完成同步</w:t>
            </w:r>
            <w:r>
              <w:rPr>
                <w:rFonts w:hint="eastAsia" w:ascii="宋体" w:hAnsi="宋体" w:eastAsia="宋体"/>
                <w:color w:val="auto"/>
                <w:highlight w:val="none"/>
              </w:rPr>
              <w:t>。</w:t>
            </w:r>
          </w:p>
        </w:tc>
      </w:tr>
      <w:tr w14:paraId="05776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Merge w:val="continue"/>
            <w:tcBorders>
              <w:left w:val="single" w:color="auto" w:sz="4" w:space="0"/>
            </w:tcBorders>
            <w:vAlign w:val="center"/>
          </w:tcPr>
          <w:p w14:paraId="2C274B54">
            <w:pPr>
              <w:adjustRightInd w:val="0"/>
              <w:snapToGrid w:val="0"/>
              <w:spacing w:line="360" w:lineRule="auto"/>
              <w:rPr>
                <w:rFonts w:ascii="宋体" w:hAnsi="宋体" w:eastAsia="宋体"/>
                <w:color w:val="auto"/>
                <w:highlight w:val="none"/>
              </w:rPr>
            </w:pPr>
          </w:p>
        </w:tc>
        <w:tc>
          <w:tcPr>
            <w:tcW w:w="0" w:type="auto"/>
            <w:vAlign w:val="center"/>
          </w:tcPr>
          <w:p w14:paraId="4EF267B2">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系统参数</w:t>
            </w:r>
          </w:p>
        </w:tc>
        <w:tc>
          <w:tcPr>
            <w:tcW w:w="0" w:type="auto"/>
            <w:vAlign w:val="center"/>
          </w:tcPr>
          <w:p w14:paraId="690FED83">
            <w:pPr>
              <w:adjustRightInd w:val="0"/>
              <w:snapToGrid w:val="0"/>
              <w:spacing w:line="360" w:lineRule="auto"/>
              <w:rPr>
                <w:rFonts w:ascii="宋体" w:hAnsi="宋体" w:eastAsia="宋体"/>
                <w:color w:val="auto"/>
                <w:highlight w:val="none"/>
              </w:rPr>
            </w:pPr>
            <w:r>
              <w:rPr>
                <w:rFonts w:ascii="宋体" w:hAnsi="宋体" w:eastAsia="宋体"/>
                <w:color w:val="auto"/>
                <w:highlight w:val="none"/>
              </w:rPr>
              <w:t>提供各个系统的统一参数配置维护</w:t>
            </w:r>
            <w:r>
              <w:rPr>
                <w:rFonts w:hint="eastAsia" w:ascii="宋体" w:hAnsi="宋体" w:eastAsia="宋体"/>
                <w:color w:val="auto"/>
                <w:highlight w:val="none"/>
              </w:rPr>
              <w:t>。</w:t>
            </w:r>
          </w:p>
        </w:tc>
      </w:tr>
    </w:tbl>
    <w:p w14:paraId="56F47662">
      <w:pPr>
        <w:spacing w:line="360" w:lineRule="auto"/>
        <w:rPr>
          <w:rFonts w:ascii="宋体" w:hAnsi="宋体" w:eastAsia="宋体"/>
          <w:color w:val="auto"/>
          <w:highlight w:val="none"/>
        </w:rPr>
      </w:pPr>
    </w:p>
    <w:p w14:paraId="40B48A06">
      <w:pPr>
        <w:pStyle w:val="3"/>
        <w:spacing w:line="360" w:lineRule="auto"/>
        <w:rPr>
          <w:rFonts w:ascii="宋体" w:hAnsi="宋体" w:eastAsia="宋体"/>
          <w:i/>
          <w:iCs w:val="0"/>
          <w:color w:val="auto"/>
          <w:highlight w:val="none"/>
        </w:rPr>
      </w:pPr>
      <w:r>
        <w:rPr>
          <w:rFonts w:hint="eastAsia" w:ascii="仿宋" w:hAnsi="仿宋" w:eastAsia="仿宋" w:cs="仿宋_GB2312"/>
          <w:color w:val="auto"/>
          <w:highlight w:val="none"/>
        </w:rPr>
        <w:t>互联互通四甲测评贴身服务</w:t>
      </w:r>
    </w:p>
    <w:p w14:paraId="20491113">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通过对医院信息系统进行整体评估，在满足医院现有业务需求和工作任务的基础上，对现有医院现有信息系统进行全面升级改造，查漏补缺，实现数据资源和信息服务的高度标准化规范化，实现医院内部信息系统全面互联互通和信息共享，实现与外部应用系统的标准化对接，提高医院信息系统整体应用水平，实现各级医疗机构医疗卫生服务与管理系统的标准化建设，促进实现医疗卫生机构之间标准化互联互通和信息共享，让信息化为医院带来更多的社会效益和经济效益。本次项目将为医院提供参评互联互通评审全流程贴身服务，提前一年进行对标及方案设计，保证系统功能运用时长最少半年，并且建设数据管控组织、管理、技术、执行等体系架构。具体的咨询服务内容介绍如下：</w:t>
      </w:r>
    </w:p>
    <w:p w14:paraId="251D41D0">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1、整理第一版的报名材料，涉及医院自我评估的推动，在线内容填写，证明材料编写等。</w:t>
      </w:r>
    </w:p>
    <w:p w14:paraId="4B4FDDBF">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2、证明材料对照医院内容，进行细节校准，并进行汇报PPT编写，涉及证明材料及PPT编写等。</w:t>
      </w:r>
    </w:p>
    <w:p w14:paraId="4EE08232">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3、组织团队开展实验室测评准备+准备前往北京测评中心，需要就实验室测评12项材料进行准备。材料清单如下：</w:t>
      </w:r>
    </w:p>
    <w:p w14:paraId="0BAEDB1B">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01-测试数据（用于数据集和共享文档测试）</w:t>
      </w:r>
    </w:p>
    <w:p w14:paraId="6283E442">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02-测试数据（用于交互服务测试）</w:t>
      </w:r>
    </w:p>
    <w:p w14:paraId="7D8AC82C">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03-产品说明文档</w:t>
      </w:r>
    </w:p>
    <w:p w14:paraId="09675B8A">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04-业务系统全屏截屏</w:t>
      </w:r>
    </w:p>
    <w:p w14:paraId="7910C9BC">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05-共享文档照片信息索引说明</w:t>
      </w:r>
    </w:p>
    <w:p w14:paraId="401D98AF">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06-共享文档数据元比例调查表</w:t>
      </w:r>
    </w:p>
    <w:p w14:paraId="7438EC6C">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07-交互服务日志截图</w:t>
      </w:r>
    </w:p>
    <w:p w14:paraId="7245115C">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08-被测环境（虚拟机，用于交互服务测试）</w:t>
      </w:r>
    </w:p>
    <w:p w14:paraId="0D36F48B">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09-被测环境运行配置说明</w:t>
      </w:r>
    </w:p>
    <w:p w14:paraId="41A72F25">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10-实验室测试配置表</w:t>
      </w:r>
    </w:p>
    <w:p w14:paraId="37B1DBFD">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11-实验室测试登记表</w:t>
      </w:r>
    </w:p>
    <w:p w14:paraId="4AA7CB5D">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12-申请机构测试数据声明</w:t>
      </w:r>
    </w:p>
    <w:p w14:paraId="3C93F3F1">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4、实验室专家来医院开展定量查验工作。</w:t>
      </w:r>
    </w:p>
    <w:p w14:paraId="141F0A64">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提前准备内容包括：</w:t>
      </w:r>
    </w:p>
    <w:p w14:paraId="1B31C7B3">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01-标准应用情况调查表</w:t>
      </w:r>
    </w:p>
    <w:p w14:paraId="15DE206A">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02-平台联通业务</w:t>
      </w:r>
    </w:p>
    <w:p w14:paraId="2AAE3F76">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03-基础信息调查表</w:t>
      </w:r>
    </w:p>
    <w:p w14:paraId="3252F213">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04-现场环境拓扑及配置表</w:t>
      </w:r>
    </w:p>
    <w:p w14:paraId="1B6771D4">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5、现场查验最终部分，卫计委邀请各5名以上专家到医院现场开展为期1到2天的现场查验工作，以及现场各项提早准备工作等。</w:t>
      </w:r>
    </w:p>
    <w:p w14:paraId="5D298764">
      <w:pPr>
        <w:pStyle w:val="3"/>
        <w:spacing w:line="360" w:lineRule="auto"/>
        <w:rPr>
          <w:rFonts w:ascii="宋体" w:hAnsi="宋体" w:eastAsia="宋体"/>
          <w:i/>
          <w:iCs w:val="0"/>
          <w:color w:val="auto"/>
          <w:highlight w:val="none"/>
        </w:rPr>
      </w:pPr>
      <w:bookmarkStart w:id="69" w:name="_Toc187691851"/>
      <w:r>
        <w:rPr>
          <w:rFonts w:hint="eastAsia" w:ascii="宋体" w:hAnsi="宋体" w:eastAsia="宋体"/>
          <w:iCs w:val="0"/>
          <w:color w:val="auto"/>
          <w:highlight w:val="none"/>
        </w:rPr>
        <w:t>系统集成与升级</w:t>
      </w:r>
      <w:bookmarkEnd w:id="69"/>
    </w:p>
    <w:p w14:paraId="4FD77CF7">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对以下系统进行升级与集成：</w:t>
      </w:r>
    </w:p>
    <w:p w14:paraId="703474F2">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RBRVS绩效考核系统</w:t>
      </w:r>
    </w:p>
    <w:p w14:paraId="0BAD23B4">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排队叫号系统</w:t>
      </w:r>
    </w:p>
    <w:p w14:paraId="6FE6573B">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病案系统</w:t>
      </w:r>
    </w:p>
    <w:p w14:paraId="5D8536DE">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LIS系统</w:t>
      </w:r>
    </w:p>
    <w:p w14:paraId="5FC05E97">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PACS</w:t>
      </w:r>
    </w:p>
    <w:p w14:paraId="4CA44204">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DRGS管理</w:t>
      </w:r>
    </w:p>
    <w:p w14:paraId="7A1A637A">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HRP</w:t>
      </w:r>
    </w:p>
    <w:p w14:paraId="7A031999">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不良事件上报</w:t>
      </w:r>
    </w:p>
    <w:p w14:paraId="3F5EB0E5">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院感系统</w:t>
      </w:r>
    </w:p>
    <w:p w14:paraId="0E85EB52">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供应室追溯系统、内镜追溯系统</w:t>
      </w:r>
    </w:p>
    <w:p w14:paraId="77B97781">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产科电子病历</w:t>
      </w:r>
    </w:p>
    <w:p w14:paraId="33DF69EE">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审方系统合理用药处方点评</w:t>
      </w:r>
    </w:p>
    <w:p w14:paraId="520D2B6F">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随访系统</w:t>
      </w:r>
    </w:p>
    <w:p w14:paraId="37FA6D40">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自助机接口（门诊、住院、自助开单）</w:t>
      </w:r>
    </w:p>
    <w:p w14:paraId="72B0C479">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微信预约，挂号</w:t>
      </w:r>
    </w:p>
    <w:p w14:paraId="207812AD">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输血管理</w:t>
      </w:r>
    </w:p>
    <w:p w14:paraId="5BAEEA84">
      <w:pPr>
        <w:spacing w:line="360" w:lineRule="auto"/>
        <w:ind w:firstLine="424" w:firstLineChars="177"/>
        <w:rPr>
          <w:rFonts w:ascii="宋体" w:hAnsi="宋体" w:eastAsia="宋体"/>
          <w:color w:val="auto"/>
          <w:highlight w:val="none"/>
        </w:rPr>
      </w:pPr>
      <w:r>
        <w:rPr>
          <w:rFonts w:hint="eastAsia" w:ascii="宋体" w:hAnsi="宋体" w:eastAsia="宋体"/>
          <w:color w:val="auto"/>
          <w:highlight w:val="none"/>
        </w:rPr>
        <w:t>抖音预约小程序</w:t>
      </w:r>
    </w:p>
    <w:p w14:paraId="5793E4D1">
      <w:pPr>
        <w:pStyle w:val="3"/>
        <w:spacing w:line="360" w:lineRule="auto"/>
        <w:rPr>
          <w:rFonts w:ascii="宋体" w:hAnsi="宋体" w:eastAsia="宋体"/>
          <w:i/>
          <w:iCs w:val="0"/>
          <w:color w:val="auto"/>
          <w:highlight w:val="none"/>
        </w:rPr>
      </w:pPr>
      <w:r>
        <w:rPr>
          <w:rFonts w:hint="eastAsia"/>
          <w:color w:val="auto"/>
          <w:highlight w:val="none"/>
          <w:lang w:val="en-US" w:eastAsia="zh-CN"/>
        </w:rPr>
        <w:t>其他系统</w:t>
      </w:r>
    </w:p>
    <w:p w14:paraId="2CC66222">
      <w:pPr>
        <w:pStyle w:val="4"/>
        <w:spacing w:line="360" w:lineRule="auto"/>
        <w:rPr>
          <w:rFonts w:ascii="宋体" w:hAnsi="宋体" w:eastAsia="宋体"/>
          <w:color w:val="auto"/>
          <w:highlight w:val="none"/>
        </w:rPr>
      </w:pPr>
      <w:r>
        <w:rPr>
          <w:rFonts w:hint="eastAsia" w:ascii="宋体" w:hAnsi="宋体" w:eastAsia="宋体"/>
          <w:color w:val="auto"/>
          <w:highlight w:val="none"/>
        </w:rPr>
        <w:t>体检系统（智能导诊）</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1"/>
        <w:gridCol w:w="7985"/>
      </w:tblGrid>
      <w:tr w14:paraId="7C583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1F0758A7">
            <w:pPr>
              <w:spacing w:line="360" w:lineRule="auto"/>
              <w:jc w:val="center"/>
              <w:rPr>
                <w:rFonts w:ascii="宋体" w:hAnsi="宋体" w:eastAsia="宋体" w:cs="宋体"/>
                <w:b/>
                <w:color w:val="auto"/>
                <w:highlight w:val="none"/>
              </w:rPr>
            </w:pPr>
            <w:r>
              <w:rPr>
                <w:rFonts w:hint="eastAsia" w:ascii="宋体" w:hAnsi="宋体" w:eastAsia="宋体" w:cs="宋体"/>
                <w:b/>
                <w:color w:val="auto"/>
                <w:highlight w:val="none"/>
              </w:rPr>
              <w:t>产品名称</w:t>
            </w:r>
          </w:p>
        </w:tc>
        <w:tc>
          <w:tcPr>
            <w:tcW w:w="7985" w:type="dxa"/>
            <w:tcBorders>
              <w:top w:val="single" w:color="auto" w:sz="4" w:space="0"/>
              <w:left w:val="single" w:color="auto" w:sz="4" w:space="0"/>
              <w:bottom w:val="single" w:color="auto" w:sz="4" w:space="0"/>
              <w:right w:val="single" w:color="auto" w:sz="4" w:space="0"/>
            </w:tcBorders>
            <w:vAlign w:val="center"/>
          </w:tcPr>
          <w:p w14:paraId="005212F3">
            <w:pPr>
              <w:spacing w:line="360" w:lineRule="auto"/>
              <w:jc w:val="center"/>
              <w:rPr>
                <w:rFonts w:ascii="宋体" w:hAnsi="宋体" w:eastAsia="宋体" w:cs="宋体"/>
                <w:b/>
                <w:color w:val="auto"/>
                <w:highlight w:val="none"/>
              </w:rPr>
            </w:pPr>
            <w:r>
              <w:rPr>
                <w:rFonts w:hint="eastAsia" w:ascii="宋体" w:hAnsi="宋体" w:eastAsia="宋体" w:cs="宋体"/>
                <w:b/>
                <w:color w:val="auto"/>
                <w:highlight w:val="none"/>
              </w:rPr>
              <w:t>功能要求</w:t>
            </w:r>
          </w:p>
        </w:tc>
      </w:tr>
      <w:tr w14:paraId="560B6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47F2F9D4">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1、整体要求</w:t>
            </w:r>
          </w:p>
        </w:tc>
      </w:tr>
      <w:tr w14:paraId="440EB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56CF816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整体要求</w:t>
            </w:r>
          </w:p>
        </w:tc>
        <w:tc>
          <w:tcPr>
            <w:tcW w:w="7985" w:type="dxa"/>
            <w:tcBorders>
              <w:top w:val="single" w:color="auto" w:sz="4" w:space="0"/>
              <w:left w:val="single" w:color="auto" w:sz="4" w:space="0"/>
              <w:bottom w:val="single" w:color="auto" w:sz="4" w:space="0"/>
              <w:right w:val="single" w:color="auto" w:sz="4" w:space="0"/>
            </w:tcBorders>
          </w:tcPr>
          <w:p w14:paraId="5CCF963F">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项目与医院现有系统实现全数据共享，满足任一数据一点录入、多点共享原则；</w:t>
            </w:r>
          </w:p>
          <w:p w14:paraId="3D562252">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整体设计具有标准性、可用性、先进性、安全性、整合性等特点。</w:t>
            </w:r>
          </w:p>
        </w:tc>
      </w:tr>
      <w:tr w14:paraId="3705A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17A858E9">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8B2E2C7">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系统符合国家结构化的、模块化的、稳定可靠的、实用的产品。必须符合《医院信息系统基本功能规范》新版标准的要求。必须符合《浙江省质控联合检查评分标准（健康体检专业）》的要求。</w:t>
            </w:r>
          </w:p>
        </w:tc>
      </w:tr>
      <w:tr w14:paraId="745A1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888CB40">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8B12B6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内网服务器采用Windows2008 Server R2及以上版本操作系统。内、外网应用：健康体检管理系统、微信公众号平台须使用常规的大型数据库SQL SERVER。</w:t>
            </w:r>
          </w:p>
        </w:tc>
      </w:tr>
      <w:tr w14:paraId="56AAF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301" w:type="dxa"/>
            <w:vMerge w:val="continue"/>
            <w:tcBorders>
              <w:left w:val="single" w:color="auto" w:sz="4" w:space="0"/>
              <w:right w:val="single" w:color="auto" w:sz="4" w:space="0"/>
            </w:tcBorders>
            <w:vAlign w:val="center"/>
          </w:tcPr>
          <w:p w14:paraId="69B74370">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9DF678E">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系统拥有检前通过微信公众号实现个检和团检的个性化体检预约功能，实现在线支付功能，预约数据与内网预约管理同步；检中健康体检信息管理功能、自助取单功能；检后通过微信公众号查询体检报告功能（实现历年结果对比）、检后复检通知、疾病通知随访功能。</w:t>
            </w:r>
          </w:p>
        </w:tc>
      </w:tr>
      <w:tr w14:paraId="2532B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5E5E6A4">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A5A0A1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客户机支持 Windows 7及以上版本。</w:t>
            </w:r>
          </w:p>
        </w:tc>
      </w:tr>
      <w:tr w14:paraId="748E2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6D2D743B">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EC6383E">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系统性能应满足医院的要求，稳定、可靠、实用。人机界面友好，输出、输入方便，图表生成美观，检索、查询简单快捷。</w:t>
            </w:r>
          </w:p>
        </w:tc>
      </w:tr>
      <w:tr w14:paraId="3828A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gridSpan w:val="2"/>
            <w:tcBorders>
              <w:left w:val="single" w:color="auto" w:sz="4" w:space="0"/>
              <w:bottom w:val="single" w:color="auto" w:sz="4" w:space="0"/>
              <w:right w:val="single" w:color="auto" w:sz="4" w:space="0"/>
            </w:tcBorders>
            <w:vAlign w:val="center"/>
          </w:tcPr>
          <w:p w14:paraId="4F0CCB19">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2、</w:t>
            </w:r>
            <w:r>
              <w:rPr>
                <w:rFonts w:hint="eastAsia" w:ascii="宋体" w:hAnsi="宋体" w:eastAsia="宋体" w:cs="宋体"/>
                <w:bCs/>
                <w:color w:val="auto"/>
                <w:highlight w:val="none"/>
              </w:rPr>
              <w:t>健康体检信息管理系统</w:t>
            </w:r>
          </w:p>
        </w:tc>
      </w:tr>
      <w:tr w14:paraId="37891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301" w:type="dxa"/>
            <w:vMerge w:val="restart"/>
            <w:tcBorders>
              <w:top w:val="single" w:color="auto" w:sz="4" w:space="0"/>
              <w:left w:val="single" w:color="auto" w:sz="4" w:space="0"/>
              <w:right w:val="single" w:color="auto" w:sz="4" w:space="0"/>
            </w:tcBorders>
            <w:vAlign w:val="center"/>
          </w:tcPr>
          <w:p w14:paraId="584A7C01">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知识库</w:t>
            </w:r>
          </w:p>
        </w:tc>
        <w:tc>
          <w:tcPr>
            <w:tcW w:w="7985" w:type="dxa"/>
            <w:tcBorders>
              <w:top w:val="single" w:color="auto" w:sz="4" w:space="0"/>
              <w:left w:val="single" w:color="auto" w:sz="4" w:space="0"/>
              <w:bottom w:val="single" w:color="auto" w:sz="4" w:space="0"/>
              <w:right w:val="single" w:color="auto" w:sz="4" w:space="0"/>
            </w:tcBorders>
          </w:tcPr>
          <w:p w14:paraId="722B9A7F">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①系统有内、外、眼、耳鼻喉、妇、口腔科，体检中心必备科室检查项目及项目结果模板库，体检结果和自动诊断绑定的专门知识库。</w:t>
            </w:r>
          </w:p>
        </w:tc>
      </w:tr>
      <w:tr w14:paraId="12E45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301" w:type="dxa"/>
            <w:vMerge w:val="continue"/>
            <w:tcBorders>
              <w:left w:val="single" w:color="auto" w:sz="4" w:space="0"/>
              <w:right w:val="single" w:color="auto" w:sz="4" w:space="0"/>
            </w:tcBorders>
            <w:vAlign w:val="center"/>
          </w:tcPr>
          <w:p w14:paraId="6BBBF754">
            <w:pPr>
              <w:spacing w:line="360" w:lineRule="auto"/>
              <w:jc w:val="center"/>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87925FA">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②系统有专门的检验知识库，医院所有用到的检验组合项目、体检项目，检验项目的判断标准，结果是否一般阳性、重大阳性、危急值的判断区间，自动生成诊断的知识库。</w:t>
            </w:r>
          </w:p>
        </w:tc>
      </w:tr>
      <w:tr w14:paraId="6F2A9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1" w:type="dxa"/>
            <w:vMerge w:val="continue"/>
            <w:tcBorders>
              <w:left w:val="single" w:color="auto" w:sz="4" w:space="0"/>
              <w:right w:val="single" w:color="auto" w:sz="4" w:space="0"/>
            </w:tcBorders>
            <w:vAlign w:val="center"/>
          </w:tcPr>
          <w:p w14:paraId="27D827C6">
            <w:pPr>
              <w:spacing w:line="360" w:lineRule="auto"/>
              <w:jc w:val="center"/>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B95E5ED">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③系统有专门的超声、放射、MR、病理等医技检查每个部位的专业知识库，自动诊断</w:t>
            </w:r>
          </w:p>
        </w:tc>
      </w:tr>
      <w:tr w14:paraId="5764F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301" w:type="dxa"/>
            <w:vMerge w:val="continue"/>
            <w:tcBorders>
              <w:left w:val="single" w:color="auto" w:sz="4" w:space="0"/>
              <w:right w:val="single" w:color="auto" w:sz="4" w:space="0"/>
            </w:tcBorders>
            <w:vAlign w:val="center"/>
          </w:tcPr>
          <w:p w14:paraId="461FAB99">
            <w:pPr>
              <w:spacing w:line="360" w:lineRule="auto"/>
              <w:jc w:val="center"/>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B37A1DC">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④系统拥有不少于6000条实际有效的诊断知识库，每条诊断有性别、年龄段、体检次数不同的体检建议。</w:t>
            </w:r>
          </w:p>
        </w:tc>
      </w:tr>
      <w:tr w14:paraId="031CD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1301" w:type="dxa"/>
            <w:vMerge w:val="continue"/>
            <w:tcBorders>
              <w:left w:val="single" w:color="auto" w:sz="4" w:space="0"/>
              <w:right w:val="single" w:color="auto" w:sz="4" w:space="0"/>
            </w:tcBorders>
            <w:vAlign w:val="center"/>
          </w:tcPr>
          <w:p w14:paraId="5968B136">
            <w:pPr>
              <w:spacing w:line="360" w:lineRule="auto"/>
              <w:jc w:val="center"/>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1B5D005">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⑤系统有诊断互斥功能，同类诊断不会在总检时同时出现。</w:t>
            </w:r>
          </w:p>
        </w:tc>
      </w:tr>
      <w:tr w14:paraId="7AFD3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301" w:type="dxa"/>
            <w:vMerge w:val="continue"/>
            <w:tcBorders>
              <w:left w:val="single" w:color="auto" w:sz="4" w:space="0"/>
              <w:right w:val="single" w:color="auto" w:sz="4" w:space="0"/>
            </w:tcBorders>
            <w:vAlign w:val="center"/>
          </w:tcPr>
          <w:p w14:paraId="432A77D1">
            <w:pPr>
              <w:spacing w:line="360" w:lineRule="auto"/>
              <w:jc w:val="center"/>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B12C306">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⑥系统有体检各种随访必须要有的短信库，预约短信、可领报告、体检时间及注意事项、生日短信、节日短信等。</w:t>
            </w:r>
          </w:p>
        </w:tc>
      </w:tr>
      <w:tr w14:paraId="14EE4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685F4A16">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体检预约</w:t>
            </w:r>
          </w:p>
        </w:tc>
        <w:tc>
          <w:tcPr>
            <w:tcW w:w="7985" w:type="dxa"/>
            <w:tcBorders>
              <w:top w:val="single" w:color="auto" w:sz="4" w:space="0"/>
              <w:left w:val="single" w:color="auto" w:sz="4" w:space="0"/>
              <w:bottom w:val="single" w:color="auto" w:sz="4" w:space="0"/>
              <w:right w:val="single" w:color="auto" w:sz="4" w:space="0"/>
            </w:tcBorders>
          </w:tcPr>
          <w:p w14:paraId="3E9AF26A">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①实现个人或单位团体的来人预约、电话预约、微信的线上个性化智能体检预约等，实现在线支付及对账管理功能。线上预约数据及时同步到内网系统。</w:t>
            </w:r>
          </w:p>
        </w:tc>
      </w:tr>
      <w:tr w14:paraId="70029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top w:val="single" w:color="auto" w:sz="4" w:space="0"/>
              <w:left w:val="single" w:color="auto" w:sz="4" w:space="0"/>
              <w:right w:val="single" w:color="auto" w:sz="4" w:space="0"/>
            </w:tcBorders>
            <w:vAlign w:val="center"/>
          </w:tcPr>
          <w:p w14:paraId="5F7B2151">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CDB820C">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②内网系统有预约管理功能，在一个界面内直观的汇总显示每天个人预约人数、单位预约人数和总人数。直观的列出某一天已经预约好的人员名单，系统能汇总出特殊项目的已约人次数和科室人次数。</w:t>
            </w:r>
          </w:p>
        </w:tc>
      </w:tr>
      <w:tr w14:paraId="1710F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top w:val="single" w:color="auto" w:sz="4" w:space="0"/>
              <w:left w:val="single" w:color="auto" w:sz="4" w:space="0"/>
              <w:right w:val="single" w:color="auto" w:sz="4" w:space="0"/>
            </w:tcBorders>
            <w:vAlign w:val="center"/>
          </w:tcPr>
          <w:p w14:paraId="21ACB635">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91C577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③个人可以在微信公众号里实现实名注册，单位团体可以由体检软件导入名单后，传到微信平台的后台操作，可以清楚区分同一个人，历年在不同单位的体检记录。</w:t>
            </w:r>
          </w:p>
        </w:tc>
      </w:tr>
      <w:tr w14:paraId="29F05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55FF5C9">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4BCE4C8C">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④针对到医院现场的散客，能够快速、便捷的实现个性化体检预约。对于互联网用户，需兼顾到普通用户并不具备专业医疗知识的特点。在预约方式、措施上可以实现灵活应对。</w:t>
            </w:r>
          </w:p>
        </w:tc>
      </w:tr>
      <w:tr w14:paraId="54D19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93ACD9B">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CA9CCAE">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⑤外网系统支持套餐推荐功能，支持套餐自定义排序，套餐支持客户加项或减项，支持必选项目、可选默认选中项目、可选默认不选中项目。支持套餐前台隐藏功能、支持套餐不可预约状态，支持套餐是否配置项目提醒功能，支持套餐性别限制、婚姻状况限制，支持套餐封面图功能。</w:t>
            </w:r>
          </w:p>
        </w:tc>
      </w:tr>
      <w:tr w14:paraId="7F77C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7AFB061">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14475BE">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⑥实现线上预约的1+X+Y模式的体检套餐，实现个性化体检套餐预约；套餐预约、全项目选择预约。线上预约完成体检套餐制定后，经订单确定、可直接实现线上缴费；预约成功后立即收到短信信息所检项目所需要注意的事项提醒；自助打印导引单（可根据身份证号、体检号等不同信息识别打印）。</w:t>
            </w:r>
          </w:p>
        </w:tc>
      </w:tr>
      <w:tr w14:paraId="33E15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3234B3BE">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3A7168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⑦团体线上预约同样支持个性化体检套餐制定，增减项目、超费部分线上实现直接缴费、退费。</w:t>
            </w:r>
          </w:p>
        </w:tc>
      </w:tr>
      <w:tr w14:paraId="7A640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7F223045">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5788ABF">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⑧各种途径的预约数据自动汇总生成预约统计表，实现预约数据统一管理，有每日体检个人、单位预约限额功能，对特殊人员的来检预约数据有相关标识（VIP，企事业单位领导等）。</w:t>
            </w:r>
          </w:p>
        </w:tc>
      </w:tr>
      <w:tr w14:paraId="229FB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6BAB9D14">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3CA290B">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⑨体检报告出来以后可以通过微信公众号平台，直接查看体检报告，实现体检最多跑一次功能。手机上体检报告可实现历年数据对比。</w:t>
            </w:r>
          </w:p>
        </w:tc>
      </w:tr>
      <w:tr w14:paraId="0E02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7FC76C20">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体检登记</w:t>
            </w:r>
          </w:p>
        </w:tc>
        <w:tc>
          <w:tcPr>
            <w:tcW w:w="7985" w:type="dxa"/>
            <w:tcBorders>
              <w:top w:val="single" w:color="auto" w:sz="4" w:space="0"/>
              <w:left w:val="single" w:color="auto" w:sz="4" w:space="0"/>
              <w:bottom w:val="single" w:color="auto" w:sz="4" w:space="0"/>
              <w:right w:val="single" w:color="auto" w:sz="4" w:space="0"/>
            </w:tcBorders>
          </w:tcPr>
          <w:p w14:paraId="19C10D80">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提供健康档案管理功能，自动生成健康档案号。实现一号制管理：通过二代身份证刷取或手工录入的方式完成个人信息的采集，支持直接读取身份证上照片或摄像头采集个人照片。根据身份证号码自动生成（或与往年健康档案绑定）健康档案；没有身份证号的，要有同名绑定功能：通过同名、工作单位相同、手机号相同、出生日期相同等条件进行手工绑定（或与往年健康档案绑定）。</w:t>
            </w:r>
          </w:p>
        </w:tc>
      </w:tr>
      <w:tr w14:paraId="652FD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B57FE48">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791DE41">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②登记时在一个界面内就可以选择健康体检，登记完成后能按各体检类型完成不同的业务流程。</w:t>
            </w:r>
          </w:p>
        </w:tc>
      </w:tr>
      <w:tr w14:paraId="2CD7F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FAACC14">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EC407AB">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③通过刷身份证，自动填写身份证上有的信息。根据身份证号调出该来检体人员的历史档案数据，档案数据须包含：疾病史、家族史、手术史、投诉建议记录、历年体检记录。</w:t>
            </w:r>
          </w:p>
        </w:tc>
      </w:tr>
      <w:tr w14:paraId="048CC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0FAEC34C">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AE6CD7A">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个人体检登记：可以直接选择基础体检套餐，可以复制其他人的套餐，可以叠加选择体检套餐，可以在套餐基础上按拼音码（关键字）或科室过滤快速实现增、减体检项目，实现体检项目的确定，（自动分析抽血费、材料费，根据需要添加早餐费）。每个体检项目都有单价，体检总金额当场合计。内、外网实时联动，外网体检预约数据直接进行登记操作。可实现快速船员体检登记。</w:t>
            </w:r>
          </w:p>
        </w:tc>
      </w:tr>
      <w:tr w14:paraId="68F24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1F8F123">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43A161EC">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⑤登记界面内系统具备从人员档案内调出往年已经体检过的人的身份信息（黑名单、普通人、白名单）。</w:t>
            </w:r>
          </w:p>
        </w:tc>
      </w:tr>
      <w:tr w14:paraId="661F0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6DBC967">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4D1DB3E9">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⑥单位体检登记：新来的单位创建单位信息，老单位找到原来单位信息后直接建立当年的单位体检记录，同一个单位多年体检记录都在一个目录下，可以清楚了解某个单位哪几年是在本院体检。针对集团单位、财政局、教育局等一个总单位下有无数子单位的，可以有单位分组功能管理功能（可以按总单位进行财务结算或生成总的单位团体报告）。</w:t>
            </w:r>
          </w:p>
        </w:tc>
      </w:tr>
      <w:tr w14:paraId="5C9DA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67F2CE83">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A9770EB">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⑦能通过EXCEL文件导入单位体检名单，能自动识别名单内信息列，能判断性别、手机号、身份证号是否正确。</w:t>
            </w:r>
          </w:p>
        </w:tc>
      </w:tr>
      <w:tr w14:paraId="03CA8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71A23839">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7D69964">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⑧系统能针对某个单位的体检记录创建体检套餐（可以复制往年或其他单位的的套餐），套餐拥有协议单价功能。通过性别、年龄段、婚姻状况、单位内部门、接触的危害因素等多种条件，把套餐分配给每个人。</w:t>
            </w:r>
          </w:p>
        </w:tc>
      </w:tr>
      <w:tr w14:paraId="210C8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7FF2C304">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结算收费</w:t>
            </w:r>
          </w:p>
        </w:tc>
        <w:tc>
          <w:tcPr>
            <w:tcW w:w="7985" w:type="dxa"/>
            <w:tcBorders>
              <w:top w:val="single" w:color="auto" w:sz="4" w:space="0"/>
              <w:left w:val="single" w:color="auto" w:sz="4" w:space="0"/>
              <w:bottom w:val="single" w:color="auto" w:sz="4" w:space="0"/>
              <w:right w:val="single" w:color="auto" w:sz="4" w:space="0"/>
            </w:tcBorders>
          </w:tcPr>
          <w:p w14:paraId="177F4F60">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①个人体检一般都是先收费后体检，针对特殊情况可在主任审核同意后，先体检再收费或不收费，读取线上已经缴费的信息直接跳过此步骤。</w:t>
            </w:r>
          </w:p>
        </w:tc>
      </w:tr>
      <w:tr w14:paraId="2E992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E2C1556">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2B89896">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个人体检结算:个人体检在登记完成后需先收费后体检，系统可以自动结算一个来检人员（或几个个检人员）的所有体检项目分项单价，自动汇总金额，可以选择结算人的体检号；可以按总价整体打折，可以单项打折或单项进行单价修改，可以总价摸零处理，得出最后付费金额。可以把几个人结算到一起开一张发票，发票的抬头可以手工输入，发票可以打印所有项目明细，可以按套餐打印，也可以只开一笔体检费。</w:t>
            </w:r>
          </w:p>
        </w:tc>
      </w:tr>
      <w:tr w14:paraId="17DAC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347C305">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41D9F35B">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③单位体检一般先体检后与单位进行总体结算、收费，需要有单位挂账管理功能。</w:t>
            </w:r>
          </w:p>
        </w:tc>
      </w:tr>
      <w:tr w14:paraId="16D5B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692D6FD9">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753E700">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单位体检结算：单位团体体检可先体检后结算收费，结算时支持单项打折、协议套餐结算、总价打折或摸零处理等多种折扣方式。可以直接打印出单位协议体检套餐、套餐项目明细、套餐金额、选择该套餐的人员名单；未检人员名单，未检（拒检）项目清单，套餐外加项人员及加项的项目清单等（个人已经付费的明确标识个人已经付费），以方便与单位进行结算。</w:t>
            </w:r>
          </w:p>
        </w:tc>
      </w:tr>
      <w:tr w14:paraId="7093C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1301" w:type="dxa"/>
            <w:vMerge w:val="continue"/>
            <w:tcBorders>
              <w:left w:val="single" w:color="auto" w:sz="4" w:space="0"/>
              <w:right w:val="single" w:color="auto" w:sz="4" w:space="0"/>
            </w:tcBorders>
            <w:vAlign w:val="center"/>
          </w:tcPr>
          <w:p w14:paraId="5A7923E6">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7D476C8">
            <w:pPr>
              <w:pStyle w:val="201"/>
              <w:spacing w:before="0" w:after="0" w:line="360" w:lineRule="auto"/>
              <w:ind w:firstLine="0" w:firstLineChars="0"/>
              <w:rPr>
                <w:rFonts w:hAnsi="宋体" w:eastAsia="宋体" w:cs="宋体"/>
                <w:bCs/>
                <w:color w:val="auto"/>
                <w:szCs w:val="24"/>
                <w:highlight w:val="none"/>
              </w:rPr>
            </w:pPr>
            <w:r>
              <w:rPr>
                <w:rFonts w:hint="eastAsia" w:hAnsi="宋体" w:eastAsia="宋体" w:cs="宋体"/>
                <w:bCs/>
                <w:color w:val="auto"/>
                <w:kern w:val="2"/>
                <w:szCs w:val="24"/>
                <w:highlight w:val="none"/>
              </w:rPr>
              <w:t>⑤具有单位挂账管理的功能，一个单位可以有多条体检记录，并根据体检记录支持开具多张不同抬头发票，对每张发票都有挂账、收款、坏账管理功能。</w:t>
            </w:r>
          </w:p>
        </w:tc>
      </w:tr>
      <w:tr w14:paraId="380B7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EE44A78">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7F08E02">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⑥系统开具的发票有领用、启用、缴销等管理功能。可以查询任何一张发票具体开具信息。</w:t>
            </w:r>
          </w:p>
        </w:tc>
      </w:tr>
      <w:tr w14:paraId="60119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6DAAD0AA">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A38F5FA">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⑦使用体检系统收费，一笔体检费可以有现金、支付宝、微信、银行卡、会员卡等多种形式的混合收费。</w:t>
            </w:r>
          </w:p>
        </w:tc>
      </w:tr>
      <w:tr w14:paraId="61152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574ED08A">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备单管理</w:t>
            </w:r>
          </w:p>
        </w:tc>
        <w:tc>
          <w:tcPr>
            <w:tcW w:w="7985" w:type="dxa"/>
            <w:tcBorders>
              <w:top w:val="single" w:color="auto" w:sz="4" w:space="0"/>
              <w:left w:val="single" w:color="auto" w:sz="4" w:space="0"/>
              <w:bottom w:val="single" w:color="auto" w:sz="4" w:space="0"/>
              <w:right w:val="single" w:color="auto" w:sz="4" w:space="0"/>
            </w:tcBorders>
          </w:tcPr>
          <w:p w14:paraId="15FBB6B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①支持个人及单位团体的导检单、条码、医技科室的检查单的批量打印功能，打印后记录打印次数；具备导检单和条码补打操作（可以按单项或合并项选择补打），检查单补打功能。</w:t>
            </w:r>
          </w:p>
        </w:tc>
      </w:tr>
      <w:tr w14:paraId="234BA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191030A2">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2868BB7">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②所有打印的单据格式都具备自定义功能，支持不同类别的体检有不同格式导检单及条码打印格式，导检单上根据黑白名单打印相应的标识，以方便护士医生辨别。</w:t>
            </w:r>
          </w:p>
        </w:tc>
      </w:tr>
      <w:tr w14:paraId="520D6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bottom w:val="single" w:color="auto" w:sz="4" w:space="0"/>
              <w:right w:val="single" w:color="auto" w:sz="4" w:space="0"/>
            </w:tcBorders>
            <w:vAlign w:val="center"/>
          </w:tcPr>
          <w:p w14:paraId="0BFD8044">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A350011">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③支持使用二代身份证、或预约成功提示码自助打印导检单、条码、检查单。</w:t>
            </w:r>
          </w:p>
        </w:tc>
      </w:tr>
      <w:tr w14:paraId="1BB69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2D7517CF">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来检确认管理</w:t>
            </w:r>
          </w:p>
        </w:tc>
        <w:tc>
          <w:tcPr>
            <w:tcW w:w="7985" w:type="dxa"/>
            <w:tcBorders>
              <w:top w:val="single" w:color="auto" w:sz="4" w:space="0"/>
              <w:left w:val="single" w:color="auto" w:sz="4" w:space="0"/>
              <w:bottom w:val="single" w:color="auto" w:sz="4" w:space="0"/>
              <w:right w:val="single" w:color="auto" w:sz="4" w:space="0"/>
            </w:tcBorders>
          </w:tcPr>
          <w:p w14:paraId="08FDC04E">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①来检确认功能：通过刷导检单或二代身份证，确认来检人员开始体检，确认时针对单位导入的名单信息不齐全的情况下，可补齐个人信息；自动拍下来检人员在前台的照片，以供后续科室确认身份。</w:t>
            </w:r>
          </w:p>
        </w:tc>
      </w:tr>
      <w:tr w14:paraId="3B0C3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3255A389">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A6B6D4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②收导检单功能：通过此功能可以确定来检人员是否所有科室都检查完毕，对拒检项目可以直接进行拒检标识及签字确认。</w:t>
            </w:r>
          </w:p>
        </w:tc>
      </w:tr>
      <w:tr w14:paraId="5461F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676B94B5">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4374DA5">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③为了前台操作人员方便，来检确认和打印导检单功能必须在一个界面里完成。</w:t>
            </w:r>
          </w:p>
        </w:tc>
      </w:tr>
      <w:tr w14:paraId="343E2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33CFEAE">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71697F14">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④来检人员到达健康管理中心后，可使用二代身份证在自助机上进行来检确认，确认时会自动拍下该人员的照片，以防止替检。</w:t>
            </w:r>
          </w:p>
        </w:tc>
      </w:tr>
      <w:tr w14:paraId="53683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01" w:type="dxa"/>
            <w:vMerge w:val="continue"/>
            <w:tcBorders>
              <w:left w:val="single" w:color="auto" w:sz="4" w:space="0"/>
              <w:right w:val="single" w:color="auto" w:sz="4" w:space="0"/>
            </w:tcBorders>
            <w:vAlign w:val="center"/>
          </w:tcPr>
          <w:p w14:paraId="52A59240">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D4F436F">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⑤系统具有体检挂起和解挂功能，对体检挂起人员有定时复检的通知功能。</w:t>
            </w:r>
          </w:p>
        </w:tc>
      </w:tr>
      <w:tr w14:paraId="27BF1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119651E9">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体检管理</w:t>
            </w:r>
          </w:p>
        </w:tc>
        <w:tc>
          <w:tcPr>
            <w:tcW w:w="7985" w:type="dxa"/>
            <w:tcBorders>
              <w:top w:val="single" w:color="auto" w:sz="4" w:space="0"/>
              <w:left w:val="single" w:color="auto" w:sz="4" w:space="0"/>
              <w:bottom w:val="single" w:color="auto" w:sz="4" w:space="0"/>
              <w:right w:val="single" w:color="auto" w:sz="4" w:space="0"/>
            </w:tcBorders>
          </w:tcPr>
          <w:p w14:paraId="2F65E00D">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①一般检查：实现与医院电子血压计，体重秤的接口，自动从设备获取结果数据，避免手工输入的差错，来检人员可自助进行一般检查。</w:t>
            </w:r>
          </w:p>
        </w:tc>
      </w:tr>
      <w:tr w14:paraId="5A6FD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76AD35B">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8A4065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抽血管理：抽血时刷导检单上的条码系统会显示该来检人员需要抽多少管血液样本，每支试管头什么颜色。每抽完一管，刷试管上的条码以确认该管血已抽，确保不会漏抽、错抽。同时抽血台拍照和展示前台已经拍取的照片功能，与前台拍的照片及身份证上照片进行比对，确认体检人身份。</w:t>
            </w:r>
          </w:p>
        </w:tc>
      </w:tr>
      <w:tr w14:paraId="229EC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2AFEF92">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E6C8887">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③血液、小便、大便、TCT病理样本等都可以进行采集确认。</w:t>
            </w:r>
          </w:p>
        </w:tc>
      </w:tr>
      <w:tr w14:paraId="4261C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5E440A8">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3807839">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临床科室检查（内、外、眼、五官、眼、妇、口腔科等的临床科室体检结果当场录入）：通过刷来检人员导检单上条码，读取之前拍摄的照片以确认身份。各科室检查项目的正常结果值自动填，如有异常结果，医生通过鼠标拉选方式从结果模板中选取体检结果，实现零键盘输入出体检结果。体检结果模板有26个字母点击检索功能。自动生成科室小结，根据小结内容自动生成疾病诊断或异常信息。在界面上可以直接看到来检人员本次已经体检结束科室的体检结果以及历年所有项目的体检结果。可以直接知道本科室当天还有多少人没有检查。</w:t>
            </w:r>
          </w:p>
        </w:tc>
      </w:tr>
      <w:tr w14:paraId="1FB9D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9BF8DB4">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792C22D1">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⑥针对有图片的检查项目，科室结果录入界面必须有图片的查看功能，可以通过截图功能截取另外仪器的检查图片结果。</w:t>
            </w:r>
          </w:p>
        </w:tc>
      </w:tr>
      <w:tr w14:paraId="6A74D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1EBB2C6">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059EC83">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⑦与医院的HIS、LIS、B超PACS、放射PACS（DR、CT、MR、内镜、病理、心电）等系统接口，实现医技科室体检结果的自动接收，同时具有防漏检，错检功能，对重大阳性或危急值体检结果调出重大阳性提醒处理功能。</w:t>
            </w:r>
          </w:p>
        </w:tc>
      </w:tr>
      <w:tr w14:paraId="1B778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7E91130B">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7B99EC8C">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⑧拥有专业的重大阳性、危急值结果设定库，医院有自己修改设定功能。在临床科室检查时或医技科室结果回收时，系统能自动判断体检结果是否为重大阳性或危急值，系统自动调出重大阳性提醒处理功能。</w:t>
            </w:r>
          </w:p>
        </w:tc>
      </w:tr>
      <w:tr w14:paraId="24681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929DCE8">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7BED78C">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⑨C13C14项目的倒时计：系统拥有C13、C14项目吃药以后的倒计时管理，时间到了，自动呼叫提醒来检人员回来吹气功能。</w:t>
            </w:r>
          </w:p>
        </w:tc>
      </w:tr>
      <w:tr w14:paraId="5C9EE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bottom w:val="single" w:color="auto" w:sz="4" w:space="0"/>
              <w:right w:val="single" w:color="auto" w:sz="4" w:space="0"/>
            </w:tcBorders>
            <w:vAlign w:val="center"/>
          </w:tcPr>
          <w:p w14:paraId="413C29DC">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42D0B315">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⑩实现与体检中心现有小仪器接口如：身高体重秤、血压计等体检设备的工作站的双向接口，在检查工作站上刷导检单上的条码可以自动往检查工作站软件中填写个人信息，集中收取所有辅助检查项目图文报告。实现体检报告中无纸张单页报告。</w:t>
            </w:r>
          </w:p>
        </w:tc>
      </w:tr>
      <w:tr w14:paraId="34E86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4B93BBE0">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总检处理</w:t>
            </w:r>
          </w:p>
        </w:tc>
        <w:tc>
          <w:tcPr>
            <w:tcW w:w="7985" w:type="dxa"/>
            <w:tcBorders>
              <w:top w:val="single" w:color="auto" w:sz="4" w:space="0"/>
              <w:left w:val="single" w:color="auto" w:sz="4" w:space="0"/>
              <w:bottom w:val="single" w:color="auto" w:sz="4" w:space="0"/>
              <w:right w:val="single" w:color="auto" w:sz="4" w:space="0"/>
            </w:tcBorders>
          </w:tcPr>
          <w:p w14:paraId="2FA59264">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预总检处理：具有检查所有体检项目结果是否齐全功能，是否有明显错误，应该有图片报告的项目图片是否收到的标识功能。项目结果不齐，但有先出体检报告需求的人，有强制结束，直接跳过总或直接进行总检的功能。对有明显的文字性错误，有进行修改或返回让该项目的检查医生修改的功能。</w:t>
            </w:r>
          </w:p>
        </w:tc>
      </w:tr>
      <w:tr w14:paraId="49409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0616AD7">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AE72819">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总检处理：总检界面可以查看所有体检项目结果功能，可以查看某些有图文报告的项目的图文报告。系统能自动收集所有体检阳性结果，并根据阳性结果自动生成体检综述功能。系统能对体检阳性结果进行分析，自动产生医生诊断及诊断建议，使主检医生可以很方便的完成总检操作。总检界面可以直接查看该体检人员历年体检结果。多个诊断可以自行合并给出体检建议，每个诊断可以设置星级。能直接登记随访任务。</w:t>
            </w:r>
          </w:p>
        </w:tc>
      </w:tr>
      <w:tr w14:paraId="2C8BC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3E95EB04">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B2D5FA1">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系统具备丰富的诊断词库，且检查医生可以随时便捷对诊断词库进行修改。诊断及描述规范（诊断词库、健康建议知识库）等，实现体检报告及健康服务规范、专业、人性化。系统可以按性别、年龄、第几年在本中心体检，都可以产生不同的健康建议。</w:t>
            </w:r>
          </w:p>
        </w:tc>
      </w:tr>
      <w:tr w14:paraId="0A9D6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999B1E8">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9809835">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④总检界面上直接拥有复检信息登记功能，可以登记来检人员需要复检的项目，和复检日期及复检预通知日期。</w:t>
            </w:r>
          </w:p>
        </w:tc>
      </w:tr>
      <w:tr w14:paraId="532A0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51F3CEA6">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6922DC5">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⑤总审处理：总检医生提交后由总审医生进行审核，对有问题的总检结论可以直接进行总审修改，或返回总检医生重新总检功能。</w:t>
            </w:r>
          </w:p>
        </w:tc>
      </w:tr>
      <w:tr w14:paraId="1655A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1301" w:type="dxa"/>
            <w:vMerge w:val="continue"/>
            <w:tcBorders>
              <w:left w:val="single" w:color="auto" w:sz="4" w:space="0"/>
              <w:right w:val="single" w:color="auto" w:sz="4" w:space="0"/>
            </w:tcBorders>
            <w:vAlign w:val="center"/>
          </w:tcPr>
          <w:p w14:paraId="1F72CCD2">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EDB564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⑥复检管理：复检预通知日期到的时候，系统自动提醒对需要复检的人进行短信或电话通知，并记录随访结果。</w:t>
            </w:r>
          </w:p>
        </w:tc>
      </w:tr>
      <w:tr w14:paraId="297F5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3ECB0E13">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体检报告发放</w:t>
            </w:r>
          </w:p>
        </w:tc>
        <w:tc>
          <w:tcPr>
            <w:tcW w:w="7985" w:type="dxa"/>
            <w:tcBorders>
              <w:top w:val="single" w:color="auto" w:sz="4" w:space="0"/>
              <w:left w:val="single" w:color="auto" w:sz="4" w:space="0"/>
              <w:bottom w:val="single" w:color="auto" w:sz="4" w:space="0"/>
              <w:right w:val="single" w:color="auto" w:sz="4" w:space="0"/>
            </w:tcBorders>
          </w:tcPr>
          <w:p w14:paraId="772D85C5">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①能够同时兼容干部健康体检，普通人健康体检、各类招工体检等多种体检类型，根据体检类型匹配对应的体检报告格式。拥有个人体检报告和单位健康体检团体分析报告功能。</w:t>
            </w:r>
          </w:p>
        </w:tc>
      </w:tr>
      <w:tr w14:paraId="561E9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66E1FAA">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A8D3F8D">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②有复检人员信息管理功能，可以直接打印复检通知书和近三年体检对比报告。</w:t>
            </w:r>
          </w:p>
        </w:tc>
      </w:tr>
      <w:tr w14:paraId="1A9E3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22A0972">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D90678C">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③所有的体检报告格式都可以自定义，在不需要系统修改代码的情况下，由医院健康管理中心的操作人员可以自行修改。体检报告可以打印成纸质报告，可以生成HTML、CVS、PDF、JPG等电子文档传递。</w:t>
            </w:r>
          </w:p>
        </w:tc>
      </w:tr>
      <w:tr w14:paraId="6376D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E6055B0">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C19B567">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④具有单位打印或批量或选择一批进行打印的功能。有报告打印次数记录，报告打印完成后，直接生成短信通知，提醒来检人员领取。</w:t>
            </w:r>
          </w:p>
        </w:tc>
      </w:tr>
      <w:tr w14:paraId="68C68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30E38479">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7C87A537">
            <w:pPr>
              <w:pStyle w:val="201"/>
              <w:spacing w:before="0" w:after="0" w:line="360" w:lineRule="auto"/>
              <w:ind w:firstLine="0" w:firstLineChars="0"/>
              <w:rPr>
                <w:rFonts w:hAnsi="宋体" w:eastAsia="宋体" w:cs="宋体"/>
                <w:bCs/>
                <w:color w:val="auto"/>
                <w:szCs w:val="24"/>
                <w:highlight w:val="none"/>
              </w:rPr>
            </w:pPr>
            <w:r>
              <w:rPr>
                <w:rFonts w:hint="eastAsia" w:hAnsi="宋体" w:eastAsia="宋体" w:cs="宋体"/>
                <w:bCs/>
                <w:color w:val="auto"/>
                <w:szCs w:val="24"/>
                <w:highlight w:val="none"/>
              </w:rPr>
              <w:t>⑤</w:t>
            </w:r>
            <w:r>
              <w:rPr>
                <w:rFonts w:hint="eastAsia" w:hAnsi="宋体" w:eastAsia="宋体" w:cs="宋体"/>
                <w:bCs/>
                <w:color w:val="auto"/>
                <w:kern w:val="2"/>
                <w:szCs w:val="24"/>
                <w:highlight w:val="none"/>
              </w:rPr>
              <w:t>快递发放：如体检报告需要快递，可以在体检系统中录入快递信息。</w:t>
            </w:r>
          </w:p>
        </w:tc>
      </w:tr>
      <w:tr w14:paraId="740DC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35729DC0">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3CE7A130">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⑥报告领取：体检报告有本人领、送单位、别人代领功能。若非本人领取报告，需要记录来领取报告人的身份信息，有电话身份确认记录。</w:t>
            </w:r>
          </w:p>
        </w:tc>
      </w:tr>
      <w:tr w14:paraId="18982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bottom w:val="single" w:color="auto" w:sz="4" w:space="0"/>
              <w:right w:val="single" w:color="auto" w:sz="4" w:space="0"/>
            </w:tcBorders>
            <w:vAlign w:val="center"/>
          </w:tcPr>
          <w:p w14:paraId="6FFF68EF">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5123924F">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⑦报告线上查询：体检报告生成以后，来检人员可以通过网站、微信来查询自己的体检报告，通过身份证号、预留手机号发送验证码方式进行报告查询。</w:t>
            </w:r>
          </w:p>
        </w:tc>
      </w:tr>
      <w:tr w14:paraId="54446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613B78D9">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3、体检中心微信公众号平台（实现个性化团检预约、查询报告）  </w:t>
            </w:r>
          </w:p>
        </w:tc>
      </w:tr>
      <w:tr w14:paraId="11935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right w:val="single" w:color="auto" w:sz="4" w:space="0"/>
            </w:tcBorders>
            <w:vAlign w:val="center"/>
          </w:tcPr>
          <w:p w14:paraId="6EF655C6">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F327EFB">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①工作人员在医院电脑端批量导入体检人员名单并针对单位建立体检卡，绑定个人电子体检卡。</w:t>
            </w:r>
          </w:p>
        </w:tc>
      </w:tr>
      <w:tr w14:paraId="7F571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29ECFA8A">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EDE4AC1">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②体检人员在移动端自己或帮他人预约体检，拥有按问卷自动推荐的个性化体检预约功能，有套餐预约和单项预约功能。预约时可以选择体检日期和体检时间段。</w:t>
            </w:r>
          </w:p>
        </w:tc>
      </w:tr>
      <w:tr w14:paraId="07A51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75B74FF2">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47D5C13">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③手机端预约成功后，医院体检系统上能按预约信息进行预约排检管理。</w:t>
            </w:r>
          </w:p>
        </w:tc>
      </w:tr>
      <w:tr w14:paraId="24DC4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0D0028D5">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7B0784B7">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④支持检前注意事项和体检流程图推送和查询，支持体检满意度调查和意见反馈推送，支持移动端查询体检报告。</w:t>
            </w:r>
          </w:p>
        </w:tc>
      </w:tr>
      <w:tr w14:paraId="5E990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624EE8E3">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13D4013E">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⑤支持电子体检卡管理、多维度查询统计等功能。</w:t>
            </w:r>
          </w:p>
        </w:tc>
      </w:tr>
      <w:tr w14:paraId="0CD72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6BCB5998">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4、体检中心现有小仪器接口</w:t>
            </w:r>
          </w:p>
        </w:tc>
      </w:tr>
      <w:tr w14:paraId="319B7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tcBorders>
              <w:top w:val="single" w:color="auto" w:sz="4" w:space="0"/>
              <w:left w:val="single" w:color="auto" w:sz="4" w:space="0"/>
              <w:bottom w:val="single" w:color="auto" w:sz="4" w:space="0"/>
              <w:right w:val="single" w:color="auto" w:sz="4" w:space="0"/>
            </w:tcBorders>
            <w:vAlign w:val="center"/>
          </w:tcPr>
          <w:p w14:paraId="45D8FE97">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77881F4">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实现与健康管理中心现有的数字检查设备接口，使体检结果无需手工录入，实现与医院现有血压计、身高体重秤等电子检查设备的接口，病人信息不管对方系统是否提供接口都要能自动插入对方系统，不需要手工输入个人信息；图文报告自动回取到体检软件，实现体检报告无单页插入报告，由体检系统一次性生成，可多次打印体检报告。</w:t>
            </w:r>
          </w:p>
        </w:tc>
      </w:tr>
      <w:tr w14:paraId="1D9C4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0" w:type="auto"/>
            <w:gridSpan w:val="2"/>
            <w:tcBorders>
              <w:top w:val="single" w:color="auto" w:sz="4" w:space="0"/>
              <w:left w:val="single" w:color="auto" w:sz="4" w:space="0"/>
              <w:bottom w:val="single" w:color="auto" w:sz="4" w:space="0"/>
              <w:right w:val="single" w:color="auto" w:sz="4" w:space="0"/>
            </w:tcBorders>
            <w:vAlign w:val="center"/>
          </w:tcPr>
          <w:p w14:paraId="52784C4A">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5、第三方系统接口</w:t>
            </w:r>
          </w:p>
        </w:tc>
      </w:tr>
      <w:tr w14:paraId="3FBBA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restart"/>
            <w:tcBorders>
              <w:top w:val="single" w:color="auto" w:sz="4" w:space="0"/>
              <w:left w:val="single" w:color="auto" w:sz="4" w:space="0"/>
              <w:bottom w:val="single" w:color="auto" w:sz="4" w:space="0"/>
              <w:right w:val="single" w:color="auto" w:sz="4" w:space="0"/>
            </w:tcBorders>
            <w:vAlign w:val="center"/>
          </w:tcPr>
          <w:p w14:paraId="7DF8C0DC">
            <w:pPr>
              <w:spacing w:line="360" w:lineRule="auto"/>
              <w:jc w:val="center"/>
              <w:rPr>
                <w:rFonts w:ascii="宋体" w:hAnsi="宋体" w:eastAsia="宋体" w:cs="宋体"/>
                <w:bCs/>
                <w:color w:val="auto"/>
                <w:highlight w:val="none"/>
              </w:rPr>
            </w:pPr>
            <w:r>
              <w:rPr>
                <w:rFonts w:hint="eastAsia" w:ascii="宋体" w:hAnsi="宋体" w:eastAsia="宋体" w:cs="宋体"/>
                <w:bCs/>
                <w:color w:val="auto"/>
                <w:highlight w:val="none"/>
              </w:rPr>
              <w:t>接口要求</w:t>
            </w:r>
          </w:p>
        </w:tc>
        <w:tc>
          <w:tcPr>
            <w:tcW w:w="7985" w:type="dxa"/>
            <w:tcBorders>
              <w:top w:val="single" w:color="auto" w:sz="4" w:space="0"/>
              <w:left w:val="single" w:color="auto" w:sz="4" w:space="0"/>
              <w:bottom w:val="single" w:color="auto" w:sz="4" w:space="0"/>
              <w:right w:val="single" w:color="auto" w:sz="4" w:space="0"/>
            </w:tcBorders>
          </w:tcPr>
          <w:p w14:paraId="5CD6D481">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①实现与医院现有HIS、LIS、PACS、电生理等系统进行无缝连接，使系统实现完全的自动化，不再需要人工采集医技检查结果数据；</w:t>
            </w:r>
          </w:p>
          <w:p w14:paraId="5C73C419">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提供标准的开放接口，以便同医院的其他管理信息系统交换数据。</w:t>
            </w:r>
          </w:p>
        </w:tc>
      </w:tr>
      <w:tr w14:paraId="1B8F3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top w:val="single" w:color="auto" w:sz="4" w:space="0"/>
              <w:left w:val="single" w:color="auto" w:sz="4" w:space="0"/>
              <w:right w:val="single" w:color="auto" w:sz="4" w:space="0"/>
            </w:tcBorders>
            <w:vAlign w:val="center"/>
          </w:tcPr>
          <w:p w14:paraId="1B301564">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0AC96B5B">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②HIS接口：实现与医院HIS系统的双向对接，与医院一号制管理无缝融合，体检软件登记的人员与HIS系统建档人员同步。体检登记好以后可以直接通过HIS系统缴费。</w:t>
            </w:r>
          </w:p>
        </w:tc>
      </w:tr>
      <w:tr w14:paraId="7E2AE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4492D39F">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6A6C9A09">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③LIS接口：实现体检软件与LIS系统的双向对接，由体检系统打印LIS条码，LIS系统直接刷条码进行样本检验，体检系统可以自动回取所有检验项目结果，能自动判断是否收集齐全、是否有漏检、误检，如果有重大阳性或危急值结果的能及时报警，采血台需要有拍照功能。</w:t>
            </w:r>
          </w:p>
        </w:tc>
      </w:tr>
      <w:tr w14:paraId="5073E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301" w:type="dxa"/>
            <w:vMerge w:val="continue"/>
            <w:tcBorders>
              <w:left w:val="single" w:color="auto" w:sz="4" w:space="0"/>
              <w:right w:val="single" w:color="auto" w:sz="4" w:space="0"/>
            </w:tcBorders>
            <w:vAlign w:val="center"/>
          </w:tcPr>
          <w:p w14:paraId="3382A6D7">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420B45E0">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④PACS系统接口：实现与医院现用PACS系统的双向接口，使B超、放射、心电、内镜、病理科系统无需二次登记，检查的结果可以自动回传体检系统，能自动判断是否有漏检、误检，如果有重大阳性或危急值结果的能及时报警。</w:t>
            </w:r>
          </w:p>
        </w:tc>
      </w:tr>
      <w:tr w14:paraId="64A33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1301" w:type="dxa"/>
            <w:vMerge w:val="continue"/>
            <w:tcBorders>
              <w:left w:val="single" w:color="auto" w:sz="4" w:space="0"/>
              <w:right w:val="single" w:color="auto" w:sz="4" w:space="0"/>
            </w:tcBorders>
            <w:vAlign w:val="center"/>
          </w:tcPr>
          <w:p w14:paraId="0A61D635">
            <w:pPr>
              <w:spacing w:line="360" w:lineRule="auto"/>
              <w:rPr>
                <w:rFonts w:ascii="宋体" w:hAnsi="宋体" w:eastAsia="宋体" w:cs="宋体"/>
                <w:bCs/>
                <w:color w:val="auto"/>
                <w:highlight w:val="none"/>
              </w:rPr>
            </w:pPr>
          </w:p>
        </w:tc>
        <w:tc>
          <w:tcPr>
            <w:tcW w:w="7985" w:type="dxa"/>
            <w:tcBorders>
              <w:top w:val="single" w:color="auto" w:sz="4" w:space="0"/>
              <w:left w:val="single" w:color="auto" w:sz="4" w:space="0"/>
              <w:bottom w:val="single" w:color="auto" w:sz="4" w:space="0"/>
              <w:right w:val="single" w:color="auto" w:sz="4" w:space="0"/>
            </w:tcBorders>
          </w:tcPr>
          <w:p w14:paraId="2652EF7E">
            <w:pPr>
              <w:spacing w:line="360" w:lineRule="auto"/>
              <w:rPr>
                <w:rFonts w:ascii="宋体" w:hAnsi="宋体" w:eastAsia="宋体" w:cs="宋体"/>
                <w:bCs/>
                <w:color w:val="auto"/>
                <w:highlight w:val="none"/>
              </w:rPr>
            </w:pPr>
            <w:r>
              <w:rPr>
                <w:rFonts w:hint="eastAsia" w:ascii="宋体" w:hAnsi="宋体" w:eastAsia="宋体" w:cs="宋体"/>
                <w:bCs/>
                <w:color w:val="auto"/>
                <w:highlight w:val="none"/>
              </w:rPr>
              <w:t>⑤体检数据平台接口： 根据要求，实现体检数据平台上可以进行体检预约、报告查询功能，并对医院工作人员进行相关操作培训。</w:t>
            </w:r>
          </w:p>
        </w:tc>
      </w:tr>
    </w:tbl>
    <w:p w14:paraId="0F91E3AE">
      <w:pPr>
        <w:rPr>
          <w:color w:val="auto"/>
          <w:highlight w:val="none"/>
        </w:rPr>
      </w:pPr>
    </w:p>
    <w:p w14:paraId="4FE84891">
      <w:pPr>
        <w:pStyle w:val="4"/>
        <w:spacing w:line="360" w:lineRule="auto"/>
        <w:rPr>
          <w:rFonts w:ascii="宋体" w:hAnsi="宋体" w:eastAsia="宋体"/>
          <w:color w:val="auto"/>
          <w:highlight w:val="none"/>
        </w:rPr>
      </w:pPr>
      <w:r>
        <w:rPr>
          <w:rFonts w:hint="eastAsia" w:ascii="宋体" w:hAnsi="宋体" w:eastAsia="宋体"/>
          <w:color w:val="auto"/>
          <w:highlight w:val="none"/>
        </w:rPr>
        <w:t>手术麻醉系统</w:t>
      </w:r>
    </w:p>
    <w:tbl>
      <w:tblPr>
        <w:tblStyle w:val="4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66"/>
        <w:gridCol w:w="8220"/>
      </w:tblGrid>
      <w:tr w14:paraId="174AC8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7908B636">
            <w:pPr>
              <w:spacing w:line="360" w:lineRule="auto"/>
              <w:jc w:val="center"/>
              <w:rPr>
                <w:rFonts w:ascii="宋体" w:hAnsi="宋体" w:eastAsia="宋体" w:cs="宋体"/>
                <w:b/>
                <w:bCs/>
                <w:color w:val="auto"/>
                <w:highlight w:val="none"/>
              </w:rPr>
            </w:pPr>
            <w:r>
              <w:rPr>
                <w:rFonts w:ascii="宋体" w:hAnsi="宋体" w:eastAsia="宋体" w:cs="宋体"/>
                <w:b/>
                <w:bCs/>
                <w:color w:val="auto"/>
                <w:highlight w:val="none"/>
              </w:rPr>
              <w:t>功能</w:t>
            </w:r>
          </w:p>
        </w:tc>
        <w:tc>
          <w:tcPr>
            <w:tcW w:w="0" w:type="auto"/>
            <w:vAlign w:val="center"/>
          </w:tcPr>
          <w:p w14:paraId="7EAA4E7E">
            <w:pPr>
              <w:spacing w:line="360" w:lineRule="auto"/>
              <w:jc w:val="center"/>
              <w:rPr>
                <w:rFonts w:ascii="宋体" w:hAnsi="宋体" w:eastAsia="宋体" w:cs="宋体"/>
                <w:b/>
                <w:bCs/>
                <w:color w:val="auto"/>
                <w:highlight w:val="none"/>
              </w:rPr>
            </w:pPr>
            <w:r>
              <w:rPr>
                <w:rFonts w:ascii="宋体" w:hAnsi="宋体" w:eastAsia="宋体" w:cs="宋体"/>
                <w:b/>
                <w:bCs/>
                <w:color w:val="auto"/>
                <w:highlight w:val="none"/>
              </w:rPr>
              <w:t>功能要求</w:t>
            </w:r>
          </w:p>
        </w:tc>
      </w:tr>
      <w:tr w14:paraId="46A35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2D33AAEB">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手术排班需求</w:t>
            </w:r>
          </w:p>
        </w:tc>
        <w:tc>
          <w:tcPr>
            <w:tcW w:w="0" w:type="auto"/>
            <w:vAlign w:val="center"/>
          </w:tcPr>
          <w:p w14:paraId="584972E1">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能够批量接收HIS下达的手术申请信息。</w:t>
            </w:r>
            <w:r>
              <w:rPr>
                <w:rFonts w:ascii="宋体" w:hAnsi="Times New Roman" w:cs="宋体"/>
                <w:color w:val="auto"/>
                <w:sz w:val="24"/>
                <w:szCs w:val="24"/>
                <w:highlight w:val="none"/>
                <w:lang w:val="zh-CN"/>
              </w:rPr>
              <w:t>包括门诊、急诊、病区所有的手术通知单，下达手术室前需由该科室主任或上级医生审核手术，护士核对手术后，下达至手术室。</w:t>
            </w:r>
          </w:p>
          <w:p w14:paraId="3BC588A4">
            <w:pPr>
              <w:pStyle w:val="192"/>
              <w:widowControl/>
              <w:numPr>
                <w:ilvl w:val="0"/>
                <w:numId w:val="41"/>
              </w:numPr>
              <w:spacing w:line="360" w:lineRule="auto"/>
              <w:ind w:left="0" w:firstLine="0" w:firstLineChars="0"/>
              <w:contextualSpacing/>
              <w:rPr>
                <w:rFonts w:hint="default" w:ascii="宋体" w:hAnsi="宋体" w:cs="宋体"/>
                <w:color w:val="auto"/>
                <w:highlight w:val="none"/>
              </w:rPr>
            </w:pPr>
            <w:r>
              <w:rPr>
                <w:rFonts w:ascii="宋体" w:hAnsi="宋体" w:cs="宋体"/>
                <w:color w:val="auto"/>
                <w:highlight w:val="none"/>
              </w:rPr>
              <w:t>能够接收指定时间段内HIS下达的手术申请信息；根据手术自动区分手术级别。</w:t>
            </w:r>
          </w:p>
          <w:p w14:paraId="230D3A4A">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能够查看临床科室申请的手术申请单详细信息。可显示临床科室对手术的特殊要求，需要有必填项的设置。</w:t>
            </w:r>
          </w:p>
          <w:p w14:paraId="154F79E6">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能够批量安排HIS下达的手术申请信息，对手术申请进行统筹处理，分配手术资源，完成麻醉的排班过程。</w:t>
            </w:r>
          </w:p>
          <w:p w14:paraId="21CACE5E">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为手术申请信息分配麻醉医生及助手。</w:t>
            </w:r>
          </w:p>
          <w:p w14:paraId="42CDDD8C">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能够显示手术的特殊要求等。</w:t>
            </w:r>
          </w:p>
          <w:p w14:paraId="104040F7">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能够为手术申请安排洗手护士、巡回护士；能体现交接过程及带教过程，并能按要求统计功能。</w:t>
            </w:r>
          </w:p>
          <w:p w14:paraId="23FDA1FD">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能够根据手术安排情况自动生成符合医院要求的患者接送单，下送手术，病区电脑能显示并提醒，并反馈手术室病区是否接受处理信息。</w:t>
            </w:r>
          </w:p>
          <w:p w14:paraId="0589E5D1">
            <w:pPr>
              <w:pStyle w:val="192"/>
              <w:widowControl/>
              <w:numPr>
                <w:ilvl w:val="0"/>
                <w:numId w:val="41"/>
              </w:numPr>
              <w:spacing w:line="360" w:lineRule="auto"/>
              <w:ind w:left="0" w:firstLine="0" w:firstLineChars="0"/>
              <w:contextualSpacing/>
              <w:rPr>
                <w:rFonts w:hint="default" w:ascii="宋体" w:hAnsi="宋体" w:cs="宋体"/>
                <w:color w:val="auto"/>
                <w:sz w:val="24"/>
                <w:szCs w:val="24"/>
                <w:highlight w:val="none"/>
              </w:rPr>
            </w:pPr>
            <w:r>
              <w:rPr>
                <w:rFonts w:ascii="宋体" w:hAnsi="宋体" w:cs="宋体"/>
                <w:color w:val="auto"/>
                <w:sz w:val="24"/>
                <w:szCs w:val="24"/>
                <w:highlight w:val="none"/>
              </w:rPr>
              <w:t>能够根据手术安排情况自动生成符合医院要求的手术通知单；整体及具体的手术通知单，手术通知单要区分择期手术，急诊手术及日间手术，并能按要求统计功能。</w:t>
            </w:r>
          </w:p>
        </w:tc>
      </w:tr>
      <w:tr w14:paraId="5A2B3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541E0CBA">
            <w:pPr>
              <w:spacing w:line="360" w:lineRule="auto"/>
              <w:jc w:val="center"/>
              <w:rPr>
                <w:rFonts w:ascii="宋体" w:hAnsi="宋体" w:eastAsia="宋体" w:cs="宋体"/>
                <w:color w:val="auto"/>
                <w:highlight w:val="none"/>
              </w:rPr>
            </w:pPr>
            <w:r>
              <w:rPr>
                <w:rFonts w:ascii="宋体" w:hAnsi="宋体" w:eastAsia="宋体" w:cs="宋体"/>
                <w:color w:val="auto"/>
                <w:highlight w:val="none"/>
              </w:rPr>
              <w:t>术前准备需求</w:t>
            </w:r>
          </w:p>
        </w:tc>
        <w:tc>
          <w:tcPr>
            <w:tcW w:w="0" w:type="auto"/>
            <w:vAlign w:val="center"/>
          </w:tcPr>
          <w:p w14:paraId="2778DC59">
            <w:pPr>
              <w:pStyle w:val="192"/>
              <w:widowControl/>
              <w:numPr>
                <w:ilvl w:val="0"/>
                <w:numId w:val="42"/>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能够批量接收HIS下达的手术排班信息，手术室完成排班确认后，病区医生及护士能查看到手术安排信息。</w:t>
            </w:r>
          </w:p>
          <w:p w14:paraId="0278581C">
            <w:pPr>
              <w:pStyle w:val="192"/>
              <w:widowControl/>
              <w:numPr>
                <w:ilvl w:val="0"/>
                <w:numId w:val="42"/>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能够按照医院要求的格式自动生成术前访视单，护理术前访视单，部分信息自动导入。</w:t>
            </w:r>
          </w:p>
          <w:p w14:paraId="4EABD3D8">
            <w:pPr>
              <w:pStyle w:val="192"/>
              <w:widowControl/>
              <w:numPr>
                <w:ilvl w:val="0"/>
                <w:numId w:val="42"/>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通过与医院信息系统集成，查看患者的病历信息、检查检验信息、医嘱信息等；自动导入以上信息:术前术后手术护理访视单，压力性损伤评估单、手术护理清点单、护理记录单、手术收费记录单、新生儿出生记录单、产时记录单等。</w:t>
            </w:r>
          </w:p>
          <w:p w14:paraId="1EC98BAB">
            <w:pPr>
              <w:pStyle w:val="192"/>
              <w:widowControl/>
              <w:numPr>
                <w:ilvl w:val="0"/>
                <w:numId w:val="42"/>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能够提供麻醉计划单，辅助麻醉医生通过系统查看患者病情、病史，便于拟定患者麻醉计划。</w:t>
            </w:r>
          </w:p>
          <w:p w14:paraId="524D4263">
            <w:pPr>
              <w:pStyle w:val="192"/>
              <w:widowControl/>
              <w:numPr>
                <w:ilvl w:val="0"/>
                <w:numId w:val="42"/>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能够支持安排急诊患者进行手术，下达手术室前需由该科室主任或上级医生审核手术，护士核对手术后，下达至手术室。同时能接收门诊手术通知单。</w:t>
            </w:r>
          </w:p>
          <w:p w14:paraId="275E293D">
            <w:pPr>
              <w:pStyle w:val="192"/>
              <w:widowControl/>
              <w:numPr>
                <w:ilvl w:val="0"/>
                <w:numId w:val="42"/>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能够按照医院要求的格式自动生成患者知情同意书。</w:t>
            </w:r>
          </w:p>
          <w:p w14:paraId="4E5959B5">
            <w:pPr>
              <w:pStyle w:val="66"/>
              <w:numPr>
                <w:ilvl w:val="0"/>
                <w:numId w:val="42"/>
              </w:numPr>
              <w:spacing w:line="360" w:lineRule="auto"/>
              <w:rPr>
                <w:rFonts w:hint="eastAsia" w:ascii="宋体" w:hAnsi="宋体" w:eastAsia="宋体" w:cs="宋体"/>
                <w:color w:val="auto"/>
                <w:highlight w:val="none"/>
              </w:rPr>
            </w:pPr>
            <w:r>
              <w:rPr>
                <w:rFonts w:ascii="宋体" w:hAnsi="宋体" w:eastAsia="宋体" w:cs="宋体"/>
                <w:color w:val="auto"/>
                <w:highlight w:val="none"/>
              </w:rPr>
              <w:t>能够通过系统集成查看患者信息，配合麻醉术前访视结果，辅助麻醉医生快速完成麻醉术前评估及评分功能。</w:t>
            </w:r>
          </w:p>
          <w:p w14:paraId="6F5DD9BD">
            <w:pPr>
              <w:pStyle w:val="66"/>
              <w:numPr>
                <w:ilvl w:val="0"/>
                <w:numId w:val="42"/>
              </w:numPr>
              <w:spacing w:line="360" w:lineRule="auto"/>
              <w:rPr>
                <w:rFonts w:ascii="宋体" w:hAnsi="宋体" w:eastAsia="宋体" w:cs="宋体"/>
                <w:color w:val="auto"/>
                <w:highlight w:val="none"/>
              </w:rPr>
            </w:pPr>
            <w:r>
              <w:rPr>
                <w:rFonts w:hint="eastAsia"/>
                <w:color w:val="auto"/>
                <w:highlight w:val="none"/>
              </w:rPr>
              <w:t>术前医嘱可按要求进行查询并执行。增加术前手术交接单并实现</w:t>
            </w:r>
            <w:r>
              <w:rPr>
                <w:color w:val="auto"/>
                <w:highlight w:val="none"/>
              </w:rPr>
              <w:t>PDA</w:t>
            </w:r>
            <w:r>
              <w:rPr>
                <w:rFonts w:hint="eastAsia"/>
                <w:color w:val="auto"/>
                <w:highlight w:val="none"/>
              </w:rPr>
              <w:t>进行交接，包括病区来的手术、门诊来的手术、急诊科来的手术。</w:t>
            </w:r>
          </w:p>
        </w:tc>
      </w:tr>
      <w:tr w14:paraId="1FFC24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3FB73D9E">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术中麻醉管理需求</w:t>
            </w:r>
          </w:p>
        </w:tc>
        <w:tc>
          <w:tcPr>
            <w:tcW w:w="0" w:type="auto"/>
            <w:vAlign w:val="center"/>
          </w:tcPr>
          <w:p w14:paraId="265499AF">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支持设置体征参数在麻醉单上的显示方式。</w:t>
            </w:r>
          </w:p>
          <w:p w14:paraId="543C4B82">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能够从手术申请中提取患者基本信息、手术人员信息自动填充到麻醉记录单中。</w:t>
            </w:r>
          </w:p>
          <w:p w14:paraId="0EE3583A">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能够自动记取该点对应的时间作为事件发生时间（或持续事件的起始时间），自动匹配该事件对应的剂量、途径、持续情况等。</w:t>
            </w:r>
          </w:p>
          <w:p w14:paraId="48CD1420">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能够通过下拉菜单、拼音检索等方式，实现麻醉事件及用药的快速录入。</w:t>
            </w:r>
          </w:p>
          <w:p w14:paraId="51602BBF">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能够在药品录入时自动匹配录入的药品剂量、浓度、速度单位；术中用药医嘱按要求进行查询并执行。</w:t>
            </w:r>
          </w:p>
          <w:p w14:paraId="77D30EFD">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能够实现麻醉单模板套用，并支持以公有和私有的方式管理麻醉记录单模板。</w:t>
            </w:r>
          </w:p>
          <w:p w14:paraId="12A1E691">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能够将术中麻醉操作以数字序号方式标记在治疗序号区域对应时间点，对应麻醉备注区域事件详情。</w:t>
            </w:r>
          </w:p>
          <w:p w14:paraId="21E1B00F">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能够辅助用户对受到干扰的伪差生命体征数据进行修正的功能。</w:t>
            </w:r>
          </w:p>
          <w:p w14:paraId="007C580F">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模拟监护仪对体征参数进行动态显示。</w:t>
            </w:r>
          </w:p>
          <w:p w14:paraId="36DBEE7A">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修正前原始数据的保存功能。</w:t>
            </w:r>
          </w:p>
          <w:p w14:paraId="677059CF">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能够支持麻醉记录界面缩放功能。</w:t>
            </w:r>
          </w:p>
          <w:p w14:paraId="3AD89C67">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能够实现直接在麻醉记录单上拖动调整用药时间。</w:t>
            </w:r>
          </w:p>
          <w:p w14:paraId="0C45F6E8">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能够实现直接在麻醉记录单上拖动快速调整输血、出量、入量时间。</w:t>
            </w:r>
          </w:p>
          <w:p w14:paraId="2961A957">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能够实现术中出入量汇总自动计算。</w:t>
            </w:r>
          </w:p>
          <w:p w14:paraId="02C5454B">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能够支持患者体征的密集采集。</w:t>
            </w:r>
          </w:p>
          <w:p w14:paraId="4936C836">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能够实现交接班麻醉医生的记录。</w:t>
            </w:r>
          </w:p>
          <w:p w14:paraId="0671459E">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提供转出手术时，可选择转出至病房、PACU、ICU；支持PDA实现。</w:t>
            </w:r>
          </w:p>
          <w:p w14:paraId="5A2928CC">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能够按照医院要求的格式生成护理记录单，支持同步麻醉单上相关信息，并记录患者手术过程中的护理信息，部分信息自动导入。</w:t>
            </w:r>
          </w:p>
          <w:p w14:paraId="417BACDD">
            <w:pPr>
              <w:pStyle w:val="192"/>
              <w:widowControl/>
              <w:numPr>
                <w:ilvl w:val="0"/>
                <w:numId w:val="43"/>
              </w:numPr>
              <w:spacing w:line="360" w:lineRule="auto"/>
              <w:ind w:left="0" w:firstLine="0" w:firstLineChars="0"/>
              <w:contextualSpacing/>
              <w:jc w:val="left"/>
              <w:rPr>
                <w:rFonts w:ascii="宋体" w:hAnsi="宋体" w:cs="宋体"/>
                <w:color w:val="auto"/>
                <w:sz w:val="24"/>
                <w:szCs w:val="24"/>
                <w:highlight w:val="none"/>
              </w:rPr>
            </w:pPr>
            <w:r>
              <w:rPr>
                <w:rFonts w:ascii="宋体" w:hAnsi="宋体" w:cs="宋体"/>
                <w:color w:val="auto"/>
                <w:sz w:val="24"/>
                <w:szCs w:val="24"/>
                <w:highlight w:val="none"/>
              </w:rPr>
              <w:t>能够生成器械清点单，记录术中手术器械名称和数量，并可记录核对后的器械数量。支持通过模板套用录入；部分信息自动导入；支持PDA实现；支持追溯系统信息导入。</w:t>
            </w:r>
          </w:p>
          <w:p w14:paraId="02868354">
            <w:pPr>
              <w:pStyle w:val="192"/>
              <w:widowControl/>
              <w:numPr>
                <w:ilvl w:val="0"/>
                <w:numId w:val="43"/>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Times New Roman" w:cs="宋体"/>
                <w:color w:val="auto"/>
                <w:sz w:val="24"/>
                <w:szCs w:val="24"/>
                <w:highlight w:val="none"/>
                <w:lang w:val="zh-CN"/>
              </w:rPr>
              <w:t>手术装状态病区及手术室门口实时显示。</w:t>
            </w:r>
          </w:p>
        </w:tc>
      </w:tr>
      <w:tr w14:paraId="7BD971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70189F6E">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术后管理需求</w:t>
            </w:r>
          </w:p>
        </w:tc>
        <w:tc>
          <w:tcPr>
            <w:tcW w:w="0" w:type="auto"/>
            <w:vAlign w:val="center"/>
          </w:tcPr>
          <w:p w14:paraId="49C985A0">
            <w:pPr>
              <w:spacing w:line="360" w:lineRule="auto"/>
              <w:rPr>
                <w:rFonts w:ascii="宋体" w:hAnsi="宋体" w:eastAsia="宋体" w:cs="宋体"/>
                <w:color w:val="auto"/>
                <w:highlight w:val="none"/>
              </w:rPr>
            </w:pPr>
            <w:r>
              <w:rPr>
                <w:rFonts w:ascii="宋体" w:hAnsi="宋体" w:eastAsia="宋体" w:cs="宋体"/>
                <w:color w:val="auto"/>
                <w:highlight w:val="none"/>
              </w:rPr>
              <w:t>1、能够自动采集患者苏醒过程中的生命体征趋势并自动绘制在复苏记录单上。</w:t>
            </w:r>
          </w:p>
          <w:p w14:paraId="30E8BC47">
            <w:pPr>
              <w:spacing w:line="360" w:lineRule="auto"/>
              <w:rPr>
                <w:rFonts w:ascii="宋体" w:hAnsi="宋体" w:eastAsia="宋体" w:cs="宋体"/>
                <w:color w:val="auto"/>
                <w:highlight w:val="none"/>
              </w:rPr>
            </w:pPr>
            <w:r>
              <w:rPr>
                <w:rFonts w:ascii="宋体" w:hAnsi="宋体" w:eastAsia="宋体" w:cs="宋体"/>
                <w:color w:val="auto"/>
                <w:highlight w:val="none"/>
              </w:rPr>
              <w:t>2、能够支持复苏记录单延续术中麻醉记录单。</w:t>
            </w:r>
          </w:p>
          <w:p w14:paraId="3EB51FD7">
            <w:pPr>
              <w:spacing w:line="360" w:lineRule="auto"/>
              <w:rPr>
                <w:rFonts w:ascii="宋体" w:hAnsi="宋体" w:eastAsia="宋体" w:cs="宋体"/>
                <w:color w:val="auto"/>
                <w:highlight w:val="none"/>
              </w:rPr>
            </w:pPr>
            <w:r>
              <w:rPr>
                <w:rFonts w:ascii="宋体" w:hAnsi="宋体" w:eastAsia="宋体" w:cs="宋体"/>
                <w:color w:val="auto"/>
                <w:highlight w:val="none"/>
              </w:rPr>
              <w:t>3、能够对手术患者进行术后手术信息登记和统计</w:t>
            </w:r>
            <w:r>
              <w:rPr>
                <w:rFonts w:hint="eastAsia" w:ascii="宋体" w:hAnsi="宋体" w:eastAsia="宋体" w:cs="宋体"/>
                <w:color w:val="auto"/>
                <w:highlight w:val="none"/>
              </w:rPr>
              <w:t>；护理报表：手术台次、手术级别、手术医生、手术名称、病区、时间等按要求进行统计并导出。洗手护士及巡回护士工作时间统计并导出。</w:t>
            </w:r>
          </w:p>
          <w:p w14:paraId="5002CD50">
            <w:pPr>
              <w:spacing w:line="360" w:lineRule="auto"/>
              <w:rPr>
                <w:rFonts w:ascii="宋体" w:hAnsi="宋体" w:eastAsia="宋体" w:cs="宋体"/>
                <w:color w:val="auto"/>
                <w:highlight w:val="none"/>
              </w:rPr>
            </w:pPr>
            <w:r>
              <w:rPr>
                <w:rFonts w:ascii="宋体" w:hAnsi="宋体" w:eastAsia="宋体" w:cs="宋体"/>
                <w:color w:val="auto"/>
                <w:highlight w:val="none"/>
              </w:rPr>
              <w:t>4、能够按照医院要求的格式生成术后随访单，记录患者术后随访信息</w:t>
            </w:r>
            <w:r>
              <w:rPr>
                <w:rFonts w:hint="eastAsia" w:ascii="宋体" w:hAnsi="宋体" w:eastAsia="宋体" w:cs="宋体"/>
                <w:color w:val="auto"/>
                <w:highlight w:val="none"/>
              </w:rPr>
              <w:t>；护理也需术后访视单，部分信息自动导入。</w:t>
            </w:r>
          </w:p>
          <w:p w14:paraId="5D6DDF01">
            <w:pPr>
              <w:spacing w:line="360" w:lineRule="auto"/>
              <w:rPr>
                <w:rFonts w:ascii="宋体" w:hAnsi="宋体" w:eastAsia="宋体" w:cs="宋体"/>
                <w:color w:val="auto"/>
                <w:highlight w:val="none"/>
              </w:rPr>
            </w:pPr>
            <w:r>
              <w:rPr>
                <w:rFonts w:ascii="宋体" w:hAnsi="宋体" w:eastAsia="宋体" w:cs="宋体"/>
                <w:color w:val="auto"/>
                <w:highlight w:val="none"/>
              </w:rPr>
              <w:t>5、能够按照医院要求的格式生成术后镇痛记录单，记录患者术后镇痛效果。</w:t>
            </w:r>
          </w:p>
          <w:p w14:paraId="7BF36318">
            <w:pPr>
              <w:spacing w:line="360" w:lineRule="auto"/>
              <w:rPr>
                <w:rFonts w:ascii="宋体" w:hAnsi="宋体" w:eastAsia="宋体" w:cs="宋体"/>
                <w:color w:val="auto"/>
                <w:highlight w:val="none"/>
              </w:rPr>
            </w:pPr>
            <w:r>
              <w:rPr>
                <w:rFonts w:ascii="宋体" w:hAnsi="宋体" w:eastAsia="宋体" w:cs="宋体"/>
                <w:color w:val="auto"/>
                <w:highlight w:val="none"/>
              </w:rPr>
              <w:t>6、能够按照医院要求的格式生成麻醉总结记录单，记录对患者的麻醉过程、麻醉效果进行总结。</w:t>
            </w:r>
          </w:p>
          <w:p w14:paraId="5E859080">
            <w:pPr>
              <w:spacing w:line="360" w:lineRule="auto"/>
              <w:rPr>
                <w:rFonts w:ascii="宋体" w:hAnsi="宋体" w:eastAsia="宋体" w:cs="宋体"/>
                <w:color w:val="auto"/>
                <w:highlight w:val="none"/>
              </w:rPr>
            </w:pPr>
            <w:r>
              <w:rPr>
                <w:rFonts w:ascii="宋体" w:hAnsi="宋体" w:eastAsia="宋体" w:cs="宋体"/>
                <w:color w:val="auto"/>
                <w:highlight w:val="none"/>
              </w:rPr>
              <w:t>7、能够提供麻醉Steward苏醒评分。</w:t>
            </w:r>
          </w:p>
          <w:p w14:paraId="359B2962">
            <w:pPr>
              <w:spacing w:line="360" w:lineRule="auto"/>
              <w:rPr>
                <w:rFonts w:hint="eastAsia" w:ascii="宋体" w:hAnsi="宋体" w:eastAsia="宋体" w:cs="宋体"/>
                <w:color w:val="auto"/>
                <w:highlight w:val="none"/>
              </w:rPr>
            </w:pPr>
            <w:r>
              <w:rPr>
                <w:rFonts w:ascii="宋体" w:hAnsi="宋体" w:eastAsia="宋体" w:cs="宋体"/>
                <w:color w:val="auto"/>
                <w:highlight w:val="none"/>
              </w:rPr>
              <w:t>8、能够提供疼痛评分。</w:t>
            </w:r>
          </w:p>
          <w:p w14:paraId="31DE8CF9">
            <w:pPr>
              <w:spacing w:line="360" w:lineRule="auto"/>
              <w:rPr>
                <w:rFonts w:ascii="宋体" w:hAnsi="宋体" w:eastAsia="宋体" w:cs="宋体"/>
                <w:color w:val="auto"/>
                <w:highlight w:val="none"/>
              </w:rPr>
            </w:pPr>
            <w:r>
              <w:rPr>
                <w:rFonts w:hint="eastAsia" w:ascii="宋体" w:hAnsi="宋体" w:eastAsia="宋体" w:cs="宋体"/>
                <w:color w:val="auto"/>
                <w:highlight w:val="none"/>
              </w:rPr>
              <w:t>9、</w:t>
            </w:r>
            <w:r>
              <w:rPr>
                <w:rFonts w:hint="eastAsia" w:ascii="宋体" w:hAnsi="Times New Roman" w:eastAsia="宋体" w:cs="宋体"/>
                <w:color w:val="auto"/>
                <w:highlight w:val="none"/>
                <w:lang w:val="zh-CN"/>
              </w:rPr>
              <w:t>患者回病区能电脑显示及提醒，并能反馈病区是否接收处理。</w:t>
            </w:r>
          </w:p>
        </w:tc>
      </w:tr>
      <w:tr w14:paraId="1401B0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2FFDE0CD">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手术取消管理需求</w:t>
            </w:r>
          </w:p>
        </w:tc>
        <w:tc>
          <w:tcPr>
            <w:tcW w:w="0" w:type="auto"/>
            <w:vAlign w:val="center"/>
          </w:tcPr>
          <w:p w14:paraId="483ADCEB">
            <w:pPr>
              <w:spacing w:line="360" w:lineRule="auto"/>
              <w:rPr>
                <w:rFonts w:ascii="宋体" w:hAnsi="宋体" w:eastAsia="宋体" w:cs="宋体"/>
                <w:color w:val="auto"/>
                <w:highlight w:val="none"/>
              </w:rPr>
            </w:pPr>
            <w:r>
              <w:rPr>
                <w:rFonts w:ascii="宋体" w:hAnsi="宋体" w:eastAsia="宋体" w:cs="宋体"/>
                <w:color w:val="auto"/>
                <w:highlight w:val="none"/>
              </w:rPr>
              <w:t>1、能够对未安排的手术申请可以进行取消操作。</w:t>
            </w:r>
          </w:p>
          <w:p w14:paraId="4393BE97">
            <w:pPr>
              <w:spacing w:line="360" w:lineRule="auto"/>
              <w:rPr>
                <w:rFonts w:ascii="宋体" w:hAnsi="宋体" w:eastAsia="宋体" w:cs="宋体"/>
                <w:color w:val="auto"/>
                <w:highlight w:val="none"/>
              </w:rPr>
            </w:pPr>
            <w:r>
              <w:rPr>
                <w:rFonts w:ascii="宋体" w:hAnsi="宋体" w:eastAsia="宋体" w:cs="宋体"/>
                <w:color w:val="auto"/>
                <w:highlight w:val="none"/>
              </w:rPr>
              <w:t>2、能够对已安排的手术申请可以进行撤销操作。</w:t>
            </w:r>
          </w:p>
          <w:p w14:paraId="23108679">
            <w:pPr>
              <w:spacing w:line="360" w:lineRule="auto"/>
              <w:rPr>
                <w:rFonts w:ascii="宋体" w:hAnsi="宋体" w:eastAsia="宋体" w:cs="宋体"/>
                <w:color w:val="auto"/>
                <w:highlight w:val="none"/>
              </w:rPr>
            </w:pPr>
            <w:r>
              <w:rPr>
                <w:rFonts w:ascii="宋体" w:hAnsi="宋体" w:eastAsia="宋体" w:cs="宋体"/>
                <w:color w:val="auto"/>
                <w:highlight w:val="none"/>
              </w:rPr>
              <w:t>3、能够记录手术申请取消原因。</w:t>
            </w:r>
          </w:p>
        </w:tc>
      </w:tr>
      <w:tr w14:paraId="74506C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0141339C">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病案管理需求</w:t>
            </w:r>
          </w:p>
        </w:tc>
        <w:tc>
          <w:tcPr>
            <w:tcW w:w="0" w:type="auto"/>
            <w:vAlign w:val="center"/>
          </w:tcPr>
          <w:p w14:paraId="1E690884">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能够支持病案单独打印和集中打印。</w:t>
            </w:r>
          </w:p>
          <w:p w14:paraId="4CBE7C8F">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能够支持病案的归档。</w:t>
            </w:r>
          </w:p>
          <w:p w14:paraId="753EBBE4">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能够显示病案归档时间和归档状态。</w:t>
            </w:r>
          </w:p>
          <w:p w14:paraId="7891B3FC">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能够控制提交病案操作权限。</w:t>
            </w:r>
          </w:p>
          <w:p w14:paraId="36CE3CF0">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能够在提交病案时进行病案完整情况校验和提醒。</w:t>
            </w:r>
          </w:p>
          <w:p w14:paraId="47A2661C">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能够检索指定患者病案信息。</w:t>
            </w:r>
          </w:p>
          <w:p w14:paraId="18395E95">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能够查阅指定患者历史住院的手术麻醉记录。</w:t>
            </w:r>
          </w:p>
          <w:p w14:paraId="2B5E08E8">
            <w:pPr>
              <w:pStyle w:val="192"/>
              <w:widowControl/>
              <w:numPr>
                <w:ilvl w:val="0"/>
                <w:numId w:val="44"/>
              </w:numPr>
              <w:spacing w:line="360" w:lineRule="auto"/>
              <w:ind w:left="40" w:firstLine="0" w:firstLineChars="0"/>
              <w:contextualSpacing/>
              <w:jc w:val="left"/>
              <w:rPr>
                <w:rFonts w:ascii="宋体" w:hAnsi="宋体" w:cs="宋体"/>
                <w:color w:val="auto"/>
                <w:sz w:val="24"/>
                <w:szCs w:val="24"/>
                <w:highlight w:val="none"/>
              </w:rPr>
            </w:pPr>
            <w:r>
              <w:rPr>
                <w:rFonts w:ascii="宋体" w:hAnsi="宋体" w:cs="宋体"/>
                <w:color w:val="auto"/>
                <w:sz w:val="24"/>
                <w:szCs w:val="24"/>
                <w:highlight w:val="none"/>
              </w:rPr>
              <w:t>能够浏览指定患者所有历史麻醉病案。</w:t>
            </w:r>
          </w:p>
          <w:p w14:paraId="132410FD">
            <w:pPr>
              <w:pStyle w:val="192"/>
              <w:widowControl/>
              <w:numPr>
                <w:ilvl w:val="0"/>
                <w:numId w:val="44"/>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Times New Roman" w:cs="宋体"/>
                <w:color w:val="auto"/>
                <w:sz w:val="24"/>
                <w:szCs w:val="24"/>
                <w:highlight w:val="none"/>
                <w:lang w:val="zh-CN"/>
              </w:rPr>
              <w:t>手术护理记录单、手术清点记录单、压力性损伤评估单、护理术前术后访视单、收费记录单、植入物记录单、病理记录单可单独、集中打印并支持以上麻醉记录单的功能。</w:t>
            </w:r>
          </w:p>
        </w:tc>
      </w:tr>
      <w:tr w14:paraId="390468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5869942D">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系统支持管理需求</w:t>
            </w:r>
          </w:p>
        </w:tc>
        <w:tc>
          <w:tcPr>
            <w:tcW w:w="0" w:type="auto"/>
            <w:vAlign w:val="center"/>
          </w:tcPr>
          <w:p w14:paraId="45D2671E">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能够支持WEB services、视图等多种集成方式。</w:t>
            </w:r>
          </w:p>
          <w:p w14:paraId="447FC5C1">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通过HIS获取患者基本信息、医嘱信息、住院信息、手术申请信息；自动导入以上信息：术前术后手术护理访视单，压力性损伤评估单、手术护理清点单、护理记录单、手术收费记录单、新生儿出生记录单、产时记录单等。</w:t>
            </w:r>
          </w:p>
          <w:p w14:paraId="384C1A5E">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能够支持通过LIS获取患者检验报告。</w:t>
            </w:r>
          </w:p>
          <w:p w14:paraId="55AB630D">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能够获取监护仪上的血压、脉搏、心率、SPO2等患者生命体征信息。</w:t>
            </w:r>
          </w:p>
          <w:p w14:paraId="5EC9C35A">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能够记录断网情况下的当台患者体征数据。</w:t>
            </w:r>
          </w:p>
          <w:p w14:paraId="0DFA6406">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能够支持通过HIS更新本地字典。</w:t>
            </w:r>
          </w:p>
          <w:p w14:paraId="75F06880">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能够支持用户手工维护本地字典。</w:t>
            </w:r>
          </w:p>
          <w:p w14:paraId="278B4203">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能够支持维护科室手术间。具体有哪些</w:t>
            </w:r>
          </w:p>
          <w:p w14:paraId="17DCE748">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能够配置麻醉记录字典，包括麻醉事件、麻醉常用量、麻醉方法。</w:t>
            </w:r>
          </w:p>
          <w:p w14:paraId="0D9EA7B4">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能够离线保存采集到的体征数据。</w:t>
            </w:r>
          </w:p>
          <w:p w14:paraId="042C9496">
            <w:pPr>
              <w:pStyle w:val="192"/>
              <w:widowControl/>
              <w:numPr>
                <w:ilvl w:val="0"/>
                <w:numId w:val="45"/>
              </w:numPr>
              <w:spacing w:line="360" w:lineRule="auto"/>
              <w:ind w:left="40" w:firstLine="0" w:firstLineChars="0"/>
              <w:contextualSpacing/>
              <w:jc w:val="left"/>
              <w:rPr>
                <w:rFonts w:ascii="宋体" w:hAnsi="宋体" w:cs="宋体"/>
                <w:color w:val="auto"/>
                <w:sz w:val="24"/>
                <w:szCs w:val="24"/>
                <w:highlight w:val="none"/>
              </w:rPr>
            </w:pPr>
            <w:r>
              <w:rPr>
                <w:rFonts w:ascii="宋体" w:hAnsi="宋体" w:cs="宋体"/>
                <w:color w:val="auto"/>
                <w:sz w:val="24"/>
                <w:szCs w:val="24"/>
                <w:highlight w:val="none"/>
              </w:rPr>
              <w:t>能够提供数据库备份机制，定期对数据进行备份。</w:t>
            </w:r>
          </w:p>
          <w:p w14:paraId="1E2187DE">
            <w:pPr>
              <w:pStyle w:val="192"/>
              <w:widowControl/>
              <w:numPr>
                <w:ilvl w:val="0"/>
                <w:numId w:val="45"/>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Times New Roman" w:cs="宋体"/>
                <w:color w:val="auto"/>
                <w:sz w:val="24"/>
                <w:szCs w:val="24"/>
                <w:highlight w:val="none"/>
                <w:lang w:val="zh-CN"/>
              </w:rPr>
              <w:t>支持与急诊系统、病理系统、追溯系统的信息及连接操作。</w:t>
            </w:r>
          </w:p>
        </w:tc>
      </w:tr>
      <w:tr w14:paraId="73804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725C8ADD">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用户权限管理需求</w:t>
            </w:r>
          </w:p>
        </w:tc>
        <w:tc>
          <w:tcPr>
            <w:tcW w:w="0" w:type="auto"/>
            <w:vAlign w:val="center"/>
          </w:tcPr>
          <w:p w14:paraId="4F33209C">
            <w:pPr>
              <w:spacing w:line="360" w:lineRule="auto"/>
              <w:rPr>
                <w:rFonts w:ascii="宋体" w:hAnsi="宋体" w:eastAsia="宋体" w:cs="宋体"/>
                <w:color w:val="auto"/>
                <w:highlight w:val="none"/>
              </w:rPr>
            </w:pPr>
            <w:r>
              <w:rPr>
                <w:rFonts w:ascii="宋体" w:hAnsi="宋体" w:eastAsia="宋体" w:cs="宋体"/>
                <w:color w:val="auto"/>
                <w:highlight w:val="none"/>
              </w:rPr>
              <w:t>1、能够为指定用户分配角色以获得相应的程序访问权限。</w:t>
            </w:r>
          </w:p>
          <w:p w14:paraId="44FB433B">
            <w:pPr>
              <w:spacing w:line="360" w:lineRule="auto"/>
              <w:rPr>
                <w:rFonts w:ascii="宋体" w:hAnsi="宋体" w:eastAsia="宋体" w:cs="宋体"/>
                <w:color w:val="auto"/>
                <w:highlight w:val="none"/>
              </w:rPr>
            </w:pPr>
            <w:r>
              <w:rPr>
                <w:rFonts w:ascii="宋体" w:hAnsi="宋体" w:eastAsia="宋体" w:cs="宋体"/>
                <w:color w:val="auto"/>
                <w:highlight w:val="none"/>
              </w:rPr>
              <w:t>2、能够编辑系统角色的名称，用于分配一系列的程序功能访问权限。</w:t>
            </w:r>
          </w:p>
          <w:p w14:paraId="533C0B6E">
            <w:pPr>
              <w:spacing w:line="360" w:lineRule="auto"/>
              <w:rPr>
                <w:rFonts w:ascii="宋体" w:hAnsi="宋体" w:eastAsia="宋体" w:cs="宋体"/>
                <w:color w:val="auto"/>
                <w:highlight w:val="none"/>
              </w:rPr>
            </w:pPr>
            <w:r>
              <w:rPr>
                <w:rFonts w:ascii="宋体" w:hAnsi="宋体" w:eastAsia="宋体" w:cs="宋体"/>
                <w:color w:val="auto"/>
                <w:highlight w:val="none"/>
              </w:rPr>
              <w:t>3、能够根据医院信息化管理的要求创建用户，包括登陆用户名、密码及所在科室。</w:t>
            </w:r>
          </w:p>
          <w:p w14:paraId="0BD40BD3">
            <w:pPr>
              <w:spacing w:line="360" w:lineRule="auto"/>
              <w:rPr>
                <w:rFonts w:ascii="宋体" w:hAnsi="宋体" w:eastAsia="宋体" w:cs="宋体"/>
                <w:color w:val="auto"/>
                <w:highlight w:val="none"/>
              </w:rPr>
            </w:pPr>
            <w:r>
              <w:rPr>
                <w:rFonts w:ascii="宋体" w:hAnsi="宋体" w:eastAsia="宋体" w:cs="宋体"/>
                <w:color w:val="auto"/>
                <w:highlight w:val="none"/>
              </w:rPr>
              <w:t>4、能够修改指定用户的登陆密码。</w:t>
            </w:r>
          </w:p>
          <w:p w14:paraId="5E283508">
            <w:pPr>
              <w:spacing w:line="360" w:lineRule="auto"/>
              <w:rPr>
                <w:rFonts w:ascii="宋体" w:hAnsi="宋体" w:eastAsia="宋体" w:cs="宋体"/>
                <w:color w:val="auto"/>
                <w:highlight w:val="none"/>
              </w:rPr>
            </w:pPr>
            <w:r>
              <w:rPr>
                <w:rFonts w:ascii="宋体" w:hAnsi="宋体" w:eastAsia="宋体" w:cs="宋体"/>
                <w:color w:val="auto"/>
                <w:highlight w:val="none"/>
              </w:rPr>
              <w:t>5、能够分配指定角色所具备的系统权限。</w:t>
            </w:r>
          </w:p>
        </w:tc>
      </w:tr>
      <w:tr w14:paraId="2D231B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65E90FB9">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统计查询需求</w:t>
            </w:r>
          </w:p>
        </w:tc>
        <w:tc>
          <w:tcPr>
            <w:tcW w:w="0" w:type="auto"/>
            <w:vAlign w:val="center"/>
          </w:tcPr>
          <w:p w14:paraId="46EFD196">
            <w:pPr>
              <w:spacing w:line="360" w:lineRule="auto"/>
              <w:rPr>
                <w:rFonts w:ascii="宋体" w:hAnsi="宋体" w:eastAsia="宋体" w:cs="宋体"/>
                <w:color w:val="auto"/>
                <w:highlight w:val="none"/>
              </w:rPr>
            </w:pPr>
            <w:r>
              <w:rPr>
                <w:rFonts w:ascii="宋体" w:hAnsi="宋体" w:eastAsia="宋体" w:cs="宋体"/>
                <w:color w:val="auto"/>
                <w:highlight w:val="none"/>
              </w:rPr>
              <w:t>1、能够根据指定条件统计麻醉医生例数及平均麻醉时长。</w:t>
            </w:r>
          </w:p>
          <w:p w14:paraId="57207DA6">
            <w:pPr>
              <w:spacing w:line="360" w:lineRule="auto"/>
              <w:rPr>
                <w:rFonts w:ascii="宋体" w:hAnsi="宋体" w:eastAsia="宋体" w:cs="宋体"/>
                <w:color w:val="auto"/>
                <w:highlight w:val="none"/>
              </w:rPr>
            </w:pPr>
            <w:r>
              <w:rPr>
                <w:rFonts w:ascii="宋体" w:hAnsi="宋体" w:eastAsia="宋体" w:cs="宋体"/>
                <w:color w:val="auto"/>
                <w:highlight w:val="none"/>
              </w:rPr>
              <w:t>2、能够根据指定条件统计护士例数及平均手术时长。</w:t>
            </w:r>
            <w:r>
              <w:rPr>
                <w:rFonts w:hint="eastAsia" w:ascii="宋体" w:hAnsi="宋体" w:eastAsia="宋体" w:cs="宋体"/>
                <w:color w:val="auto"/>
                <w:highlight w:val="none"/>
              </w:rPr>
              <w:t>及时间要求内的总时长统计的报表并能导出。</w:t>
            </w:r>
          </w:p>
          <w:p w14:paraId="4B9FC60B">
            <w:pPr>
              <w:spacing w:line="360" w:lineRule="auto"/>
              <w:rPr>
                <w:rFonts w:ascii="宋体" w:hAnsi="宋体" w:eastAsia="宋体" w:cs="宋体"/>
                <w:color w:val="auto"/>
                <w:highlight w:val="none"/>
              </w:rPr>
            </w:pPr>
            <w:r>
              <w:rPr>
                <w:rFonts w:ascii="宋体" w:hAnsi="宋体" w:eastAsia="宋体" w:cs="宋体"/>
                <w:color w:val="auto"/>
                <w:highlight w:val="none"/>
              </w:rPr>
              <w:t>3、能够根据指定条件统计手术医生例数及平均手术时长。</w:t>
            </w:r>
          </w:p>
          <w:p w14:paraId="7033DFB8">
            <w:pPr>
              <w:spacing w:line="360" w:lineRule="auto"/>
              <w:rPr>
                <w:rFonts w:ascii="宋体" w:hAnsi="宋体" w:eastAsia="宋体" w:cs="宋体"/>
                <w:color w:val="auto"/>
                <w:highlight w:val="none"/>
              </w:rPr>
            </w:pPr>
            <w:r>
              <w:rPr>
                <w:rFonts w:ascii="宋体" w:hAnsi="宋体" w:eastAsia="宋体" w:cs="宋体"/>
                <w:color w:val="auto"/>
                <w:highlight w:val="none"/>
              </w:rPr>
              <w:t>4、能够根据指定条件统计麻醉科麻醉例数及平均麻醉时长。</w:t>
            </w:r>
          </w:p>
          <w:p w14:paraId="7FF835D3">
            <w:pPr>
              <w:spacing w:line="360" w:lineRule="auto"/>
              <w:rPr>
                <w:rFonts w:ascii="宋体" w:hAnsi="宋体" w:eastAsia="宋体" w:cs="宋体"/>
                <w:color w:val="auto"/>
                <w:highlight w:val="none"/>
              </w:rPr>
            </w:pPr>
            <w:r>
              <w:rPr>
                <w:rFonts w:ascii="宋体" w:hAnsi="宋体" w:eastAsia="宋体" w:cs="宋体"/>
                <w:color w:val="auto"/>
                <w:highlight w:val="none"/>
              </w:rPr>
              <w:t>5、能够统计指定日期范围内的ASA不同等级的例数。</w:t>
            </w:r>
          </w:p>
          <w:p w14:paraId="48E31402">
            <w:pPr>
              <w:spacing w:line="360" w:lineRule="auto"/>
              <w:rPr>
                <w:rFonts w:ascii="宋体" w:hAnsi="宋体" w:eastAsia="宋体" w:cs="宋体"/>
                <w:color w:val="auto"/>
                <w:highlight w:val="none"/>
              </w:rPr>
            </w:pPr>
            <w:r>
              <w:rPr>
                <w:rFonts w:ascii="宋体" w:hAnsi="宋体" w:eastAsia="宋体" w:cs="宋体"/>
                <w:color w:val="auto"/>
                <w:highlight w:val="none"/>
              </w:rPr>
              <w:t>6、能够统计指定日期范围内全科或者指定医生不同麻醉方法的手术例数。</w:t>
            </w:r>
          </w:p>
          <w:p w14:paraId="2A4191BC">
            <w:pPr>
              <w:spacing w:line="360" w:lineRule="auto"/>
              <w:rPr>
                <w:rFonts w:ascii="宋体" w:hAnsi="宋体" w:eastAsia="宋体" w:cs="宋体"/>
                <w:color w:val="auto"/>
                <w:highlight w:val="none"/>
              </w:rPr>
            </w:pPr>
            <w:r>
              <w:rPr>
                <w:rFonts w:ascii="宋体" w:hAnsi="宋体" w:eastAsia="宋体" w:cs="宋体"/>
                <w:color w:val="auto"/>
                <w:highlight w:val="none"/>
              </w:rPr>
              <w:t>7、能够根据指定条件实现手术总例数及临床手术科室分类例数</w:t>
            </w:r>
            <w:r>
              <w:rPr>
                <w:rFonts w:hint="eastAsia" w:ascii="宋体" w:hAnsi="宋体" w:eastAsia="宋体" w:cs="宋体"/>
                <w:color w:val="auto"/>
                <w:highlight w:val="none"/>
              </w:rPr>
              <w:t>，统计的报表并能导出。</w:t>
            </w:r>
          </w:p>
          <w:p w14:paraId="70B5E305">
            <w:pPr>
              <w:spacing w:line="360" w:lineRule="auto"/>
              <w:rPr>
                <w:rFonts w:ascii="宋体" w:hAnsi="宋体" w:eastAsia="宋体" w:cs="宋体"/>
                <w:color w:val="auto"/>
                <w:highlight w:val="none"/>
              </w:rPr>
            </w:pPr>
            <w:r>
              <w:rPr>
                <w:rFonts w:ascii="宋体" w:hAnsi="宋体" w:eastAsia="宋体" w:cs="宋体"/>
                <w:color w:val="auto"/>
                <w:highlight w:val="none"/>
              </w:rPr>
              <w:t>8、能够根据患者信息、医护人员、科室、手术时间、</w:t>
            </w:r>
            <w:r>
              <w:rPr>
                <w:rFonts w:hint="eastAsia" w:ascii="宋体" w:hAnsi="宋体" w:eastAsia="宋体" w:cs="宋体"/>
                <w:color w:val="auto"/>
                <w:highlight w:val="none"/>
              </w:rPr>
              <w:t>手术级别、手术名称、</w:t>
            </w:r>
            <w:r>
              <w:rPr>
                <w:rFonts w:ascii="宋体" w:hAnsi="宋体" w:eastAsia="宋体" w:cs="宋体"/>
                <w:color w:val="auto"/>
                <w:highlight w:val="none"/>
              </w:rPr>
              <w:t>手术状态、麻醉效果条件实现手术信息的查询</w:t>
            </w:r>
            <w:r>
              <w:rPr>
                <w:rFonts w:hint="eastAsia" w:ascii="宋体" w:hAnsi="宋体" w:eastAsia="宋体" w:cs="宋体"/>
                <w:color w:val="auto"/>
                <w:highlight w:val="none"/>
              </w:rPr>
              <w:t>统计的报表并能导出。</w:t>
            </w:r>
          </w:p>
          <w:p w14:paraId="1B4A359B">
            <w:pPr>
              <w:spacing w:line="360" w:lineRule="auto"/>
              <w:rPr>
                <w:rFonts w:ascii="宋体" w:hAnsi="宋体" w:eastAsia="宋体" w:cs="宋体"/>
                <w:color w:val="auto"/>
                <w:highlight w:val="none"/>
              </w:rPr>
            </w:pPr>
            <w:r>
              <w:rPr>
                <w:rFonts w:ascii="宋体" w:hAnsi="宋体" w:eastAsia="宋体" w:cs="宋体"/>
                <w:color w:val="auto"/>
                <w:highlight w:val="none"/>
              </w:rPr>
              <w:t>9、能够统计指定日期范围内的术后镇痛患者信息。</w:t>
            </w:r>
          </w:p>
          <w:p w14:paraId="5FF5FD54">
            <w:pPr>
              <w:spacing w:line="360" w:lineRule="auto"/>
              <w:rPr>
                <w:rFonts w:ascii="宋体" w:hAnsi="宋体" w:eastAsia="宋体" w:cs="宋体"/>
                <w:color w:val="auto"/>
                <w:highlight w:val="none"/>
              </w:rPr>
            </w:pPr>
            <w:r>
              <w:rPr>
                <w:rFonts w:ascii="宋体" w:hAnsi="宋体" w:eastAsia="宋体" w:cs="宋体"/>
                <w:color w:val="auto"/>
                <w:highlight w:val="none"/>
              </w:rPr>
              <w:t>10、能够将上述统计查询结果导出为EXCEL格式报表。</w:t>
            </w:r>
          </w:p>
        </w:tc>
      </w:tr>
      <w:tr w14:paraId="73F3AC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4207828B">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医护患协同管理需求</w:t>
            </w:r>
          </w:p>
        </w:tc>
        <w:tc>
          <w:tcPr>
            <w:tcW w:w="0" w:type="auto"/>
            <w:vAlign w:val="center"/>
          </w:tcPr>
          <w:p w14:paraId="1727EC4F">
            <w:pPr>
              <w:spacing w:line="360" w:lineRule="auto"/>
              <w:rPr>
                <w:rFonts w:ascii="宋体" w:hAnsi="宋体" w:eastAsia="宋体" w:cs="宋体"/>
                <w:color w:val="auto"/>
                <w:highlight w:val="none"/>
              </w:rPr>
            </w:pPr>
            <w:r>
              <w:rPr>
                <w:rFonts w:ascii="宋体" w:hAnsi="宋体" w:eastAsia="宋体" w:cs="宋体"/>
                <w:color w:val="auto"/>
                <w:highlight w:val="none"/>
              </w:rPr>
              <w:t>1、能够通过大屏显示当天手术安排信息，可根据手术进展实时刷新手术状态</w:t>
            </w:r>
            <w:r>
              <w:rPr>
                <w:rFonts w:hint="eastAsia" w:ascii="宋体" w:hAnsi="宋体" w:eastAsia="宋体" w:cs="宋体"/>
                <w:color w:val="auto"/>
                <w:highlight w:val="none"/>
              </w:rPr>
              <w:t>，病区电脑，手术医生手机也可看到。</w:t>
            </w:r>
          </w:p>
          <w:p w14:paraId="6E8B2D5E">
            <w:pPr>
              <w:spacing w:line="360" w:lineRule="auto"/>
              <w:rPr>
                <w:rFonts w:ascii="宋体" w:hAnsi="宋体" w:eastAsia="宋体" w:cs="宋体"/>
                <w:color w:val="auto"/>
                <w:highlight w:val="none"/>
              </w:rPr>
            </w:pPr>
            <w:r>
              <w:rPr>
                <w:rFonts w:ascii="宋体" w:hAnsi="宋体" w:eastAsia="宋体" w:cs="宋体"/>
                <w:color w:val="auto"/>
                <w:highlight w:val="none"/>
              </w:rPr>
              <w:t>2、能够在大屏上动态显示当前手术的进展情况。支持语音播报通知功能。</w:t>
            </w:r>
          </w:p>
          <w:p w14:paraId="111C229B">
            <w:pPr>
              <w:spacing w:line="360" w:lineRule="auto"/>
              <w:rPr>
                <w:rFonts w:ascii="宋体" w:hAnsi="宋体" w:eastAsia="宋体" w:cs="宋体"/>
                <w:color w:val="auto"/>
                <w:highlight w:val="none"/>
              </w:rPr>
            </w:pPr>
            <w:r>
              <w:rPr>
                <w:rFonts w:ascii="宋体" w:hAnsi="宋体" w:eastAsia="宋体" w:cs="宋体"/>
                <w:color w:val="auto"/>
                <w:highlight w:val="none"/>
              </w:rPr>
              <w:t>3、能够配置大屏公告显示的内容及显示效果。</w:t>
            </w:r>
          </w:p>
        </w:tc>
      </w:tr>
      <w:tr w14:paraId="069A8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2D8E4A93">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手术智能排班管理需求</w:t>
            </w:r>
          </w:p>
        </w:tc>
        <w:tc>
          <w:tcPr>
            <w:tcW w:w="0" w:type="auto"/>
            <w:vAlign w:val="center"/>
          </w:tcPr>
          <w:p w14:paraId="00163CC0">
            <w:pPr>
              <w:pStyle w:val="192"/>
              <w:widowControl/>
              <w:numPr>
                <w:ilvl w:val="0"/>
                <w:numId w:val="46"/>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能够按照排班规则提供手术间配置、医生配置等配置功能。</w:t>
            </w:r>
          </w:p>
          <w:p w14:paraId="7BB8BE22">
            <w:pPr>
              <w:pStyle w:val="192"/>
              <w:widowControl/>
              <w:numPr>
                <w:ilvl w:val="0"/>
                <w:numId w:val="46"/>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能够查看从HIS系统中下达并接收到的手术申请，能够集中显示指定日期所有可安排的人员信息。</w:t>
            </w:r>
          </w:p>
          <w:p w14:paraId="2B6E31F9">
            <w:pPr>
              <w:pStyle w:val="192"/>
              <w:widowControl/>
              <w:numPr>
                <w:ilvl w:val="0"/>
                <w:numId w:val="46"/>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能够记录预约手术的取消原因。</w:t>
            </w:r>
          </w:p>
          <w:p w14:paraId="26DAF21E">
            <w:pPr>
              <w:pStyle w:val="192"/>
              <w:widowControl/>
              <w:numPr>
                <w:ilvl w:val="0"/>
                <w:numId w:val="46"/>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能够根据手术安排情况自动生成手术通知单并打印，能够用浏览器查看手术排班结果。</w:t>
            </w:r>
          </w:p>
        </w:tc>
      </w:tr>
      <w:tr w14:paraId="738579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142A4CFC">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复苏管理需求</w:t>
            </w:r>
          </w:p>
        </w:tc>
        <w:tc>
          <w:tcPr>
            <w:tcW w:w="0" w:type="auto"/>
            <w:vAlign w:val="center"/>
          </w:tcPr>
          <w:p w14:paraId="7131B6D8">
            <w:pPr>
              <w:pStyle w:val="192"/>
              <w:widowControl/>
              <w:numPr>
                <w:ilvl w:val="0"/>
                <w:numId w:val="47"/>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能够按照排班规则提供手术间配置、医生配置等配置功能。</w:t>
            </w:r>
          </w:p>
          <w:p w14:paraId="5B99FC7C">
            <w:pPr>
              <w:pStyle w:val="192"/>
              <w:widowControl/>
              <w:numPr>
                <w:ilvl w:val="0"/>
                <w:numId w:val="47"/>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能够查看从HIS系统中下达并接收到的手术申请，能够集中显示指定日期所有可安排的人员信息。</w:t>
            </w:r>
          </w:p>
          <w:p w14:paraId="2ECF10D0">
            <w:pPr>
              <w:pStyle w:val="192"/>
              <w:widowControl/>
              <w:numPr>
                <w:ilvl w:val="0"/>
                <w:numId w:val="47"/>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能够记录预约手术的取消原因。</w:t>
            </w:r>
          </w:p>
          <w:p w14:paraId="748D2D13">
            <w:pPr>
              <w:pStyle w:val="192"/>
              <w:widowControl/>
              <w:numPr>
                <w:ilvl w:val="0"/>
                <w:numId w:val="47"/>
              </w:numPr>
              <w:spacing w:line="360" w:lineRule="auto"/>
              <w:ind w:left="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能够根据手术安排情况自动生成手术通知单并打印，能够用浏览器查看手术排班结果。</w:t>
            </w:r>
          </w:p>
        </w:tc>
      </w:tr>
      <w:tr w14:paraId="11ED2E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0" w:type="auto"/>
            <w:vAlign w:val="center"/>
          </w:tcPr>
          <w:p w14:paraId="07DD5E9B">
            <w:pPr>
              <w:spacing w:line="360" w:lineRule="auto"/>
              <w:jc w:val="center"/>
              <w:rPr>
                <w:rFonts w:ascii="宋体" w:hAnsi="宋体" w:eastAsia="宋体" w:cs="宋体"/>
                <w:color w:val="auto"/>
                <w:highlight w:val="none"/>
                <w:lang w:val="en-GB"/>
              </w:rPr>
            </w:pPr>
            <w:r>
              <w:rPr>
                <w:rFonts w:ascii="宋体" w:hAnsi="宋体" w:eastAsia="宋体" w:cs="宋体"/>
                <w:color w:val="auto"/>
                <w:highlight w:val="none"/>
                <w:lang w:val="en-GB"/>
              </w:rPr>
              <w:t>麻醉质量管理需求</w:t>
            </w:r>
          </w:p>
        </w:tc>
        <w:tc>
          <w:tcPr>
            <w:tcW w:w="0" w:type="auto"/>
            <w:vAlign w:val="center"/>
          </w:tcPr>
          <w:p w14:paraId="25C9F373">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能够在用户打印文书时自动检查文书内容，在未填写完整时弹出提醒。</w:t>
            </w:r>
          </w:p>
          <w:p w14:paraId="06F5FFFC">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能够自定义文书必填项目。</w:t>
            </w:r>
          </w:p>
          <w:p w14:paraId="09D50268">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能够提供独立界面浏览患者文书完成情况，对科室麻醉文书工作进行管控。</w:t>
            </w:r>
          </w:p>
          <w:p w14:paraId="0174D1F7">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能够自动汇总质控相关数据，便于科室定期自查。</w:t>
            </w:r>
          </w:p>
          <w:p w14:paraId="290BA423">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具体等级评审统计项目包括：</w:t>
            </w:r>
          </w:p>
          <w:p w14:paraId="7026D123">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麻醉总例数/季/年</w:t>
            </w:r>
          </w:p>
          <w:p w14:paraId="12897F0C">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由麻醉医师实施镇痛治疗例数/季/年</w:t>
            </w:r>
          </w:p>
          <w:p w14:paraId="2C8644EC">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由麻醉医师实施心肺复苏治疗例数/季/年</w:t>
            </w:r>
          </w:p>
          <w:p w14:paraId="1FD223DF">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麻醉复苏（Steward苏醒评分）管理例数/季/年</w:t>
            </w:r>
          </w:p>
          <w:p w14:paraId="3E56D399">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麻醉非预期的相关事件例数/季/年</w:t>
            </w:r>
          </w:p>
          <w:p w14:paraId="48D8994D">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麻醉分级（ASA病情分级）管理例数/季/年。</w:t>
            </w:r>
          </w:p>
          <w:p w14:paraId="5BEFEFBE">
            <w:pPr>
              <w:pStyle w:val="192"/>
              <w:widowControl/>
              <w:numPr>
                <w:ilvl w:val="0"/>
                <w:numId w:val="48"/>
              </w:numPr>
              <w:spacing w:line="360" w:lineRule="auto"/>
              <w:ind w:left="40" w:firstLine="0" w:firstLineChars="0"/>
              <w:contextualSpacing/>
              <w:jc w:val="left"/>
              <w:rPr>
                <w:rFonts w:hint="default" w:ascii="宋体" w:hAnsi="宋体" w:cs="宋体"/>
                <w:color w:val="auto"/>
                <w:sz w:val="24"/>
                <w:szCs w:val="24"/>
                <w:highlight w:val="none"/>
              </w:rPr>
            </w:pPr>
            <w:r>
              <w:rPr>
                <w:rFonts w:ascii="宋体" w:hAnsi="宋体" w:cs="宋体"/>
                <w:color w:val="auto"/>
                <w:sz w:val="24"/>
                <w:szCs w:val="24"/>
                <w:highlight w:val="none"/>
              </w:rPr>
              <w:t>能够提供麻醉质控单，支持录入17项质控所需数据，对质控指标进行监测。</w:t>
            </w:r>
          </w:p>
        </w:tc>
      </w:tr>
    </w:tbl>
    <w:p w14:paraId="0DC3275B">
      <w:pPr>
        <w:rPr>
          <w:color w:val="auto"/>
          <w:highlight w:val="none"/>
        </w:rPr>
      </w:pPr>
    </w:p>
    <w:p w14:paraId="01AB7D74">
      <w:pPr>
        <w:pStyle w:val="4"/>
        <w:spacing w:line="360" w:lineRule="auto"/>
        <w:rPr>
          <w:rFonts w:ascii="宋体" w:hAnsi="宋体" w:eastAsia="宋体"/>
          <w:color w:val="auto"/>
          <w:highlight w:val="none"/>
        </w:rPr>
      </w:pPr>
      <w:r>
        <w:rPr>
          <w:rFonts w:hint="eastAsia"/>
          <w:color w:val="auto"/>
          <w:highlight w:val="none"/>
          <w:lang w:eastAsia="zh-CN"/>
        </w:rPr>
        <w:t>病理系统及标本管理扩展项目</w:t>
      </w:r>
    </w:p>
    <w:tbl>
      <w:tblPr>
        <w:tblStyle w:val="43"/>
        <w:tblW w:w="4956" w:type="pct"/>
        <w:tblInd w:w="0" w:type="dxa"/>
        <w:tblLayout w:type="autofit"/>
        <w:tblCellMar>
          <w:top w:w="15" w:type="dxa"/>
          <w:left w:w="15" w:type="dxa"/>
          <w:bottom w:w="15" w:type="dxa"/>
          <w:right w:w="15" w:type="dxa"/>
        </w:tblCellMar>
      </w:tblPr>
      <w:tblGrid>
        <w:gridCol w:w="1418"/>
        <w:gridCol w:w="7715"/>
      </w:tblGrid>
      <w:tr w14:paraId="31C3C5D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356059B">
            <w:pPr>
              <w:spacing w:line="360"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序号</w:t>
            </w: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FD47900">
            <w:pPr>
              <w:spacing w:line="360"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功能</w:t>
            </w:r>
          </w:p>
        </w:tc>
      </w:tr>
      <w:tr w14:paraId="030737B8">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7007396">
            <w:pPr>
              <w:numPr>
                <w:ilvl w:val="0"/>
                <w:numId w:val="49"/>
              </w:numPr>
              <w:spacing w:line="360" w:lineRule="auto"/>
              <w:jc w:val="center"/>
              <w:textAlignment w:val="center"/>
              <w:rPr>
                <w:rFonts w:ascii="宋体" w:hAnsi="宋体" w:eastAsia="宋体" w:cs="宋体"/>
                <w:b/>
                <w:bCs/>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F2ADE24">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检查登记</w:t>
            </w:r>
          </w:p>
        </w:tc>
      </w:tr>
      <w:tr w14:paraId="2750F771">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A4C1491">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3CF369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支持与HIS集成，获取电子申请单登记；无电子申请单时，获取患者基本信息登记。</w:t>
            </w:r>
          </w:p>
        </w:tc>
      </w:tr>
      <w:tr w14:paraId="1C6E201C">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FE01E9A">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B8A1D7D">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支持根据检查项目生成病理号，及根据更细的检查项目分支生成。</w:t>
            </w:r>
          </w:p>
        </w:tc>
      </w:tr>
      <w:tr w14:paraId="4E1B21C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1C4E66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3C0651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支持登记成功后，自动拍摄送检单，自动打印回执单。</w:t>
            </w:r>
          </w:p>
        </w:tc>
      </w:tr>
      <w:tr w14:paraId="3D3280B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A877E25">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82DEAC1">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支持标本采集部位初始化，提升手工登记时标本信息录入效率。</w:t>
            </w:r>
          </w:p>
        </w:tc>
      </w:tr>
      <w:tr w14:paraId="5136B8F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906E4DB">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2C3B11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支持标本标签条码的打印。</w:t>
            </w:r>
          </w:p>
        </w:tc>
      </w:tr>
      <w:tr w14:paraId="64EA138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281E28B">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59B44DA">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支持添加标本记录。</w:t>
            </w:r>
          </w:p>
        </w:tc>
      </w:tr>
      <w:tr w14:paraId="1E14B5C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FF42D5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885B6EF">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支持补充收费。</w:t>
            </w:r>
          </w:p>
        </w:tc>
      </w:tr>
      <w:tr w14:paraId="654ED387">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2552271">
            <w:pPr>
              <w:numPr>
                <w:ilvl w:val="0"/>
                <w:numId w:val="49"/>
              </w:numPr>
              <w:spacing w:line="360" w:lineRule="auto"/>
              <w:jc w:val="center"/>
              <w:textAlignment w:val="center"/>
              <w:rPr>
                <w:rFonts w:ascii="宋体" w:hAnsi="宋体" w:eastAsia="宋体" w:cs="宋体"/>
                <w:b/>
                <w:bCs/>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235DA29">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标本取材</w:t>
            </w:r>
          </w:p>
        </w:tc>
      </w:tr>
      <w:tr w14:paraId="1BBFEF81">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552BB39">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A6588EF">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支持通过扫描标本袋上的条码/二维码进行取材，并支持同步打开取材记录工作站。</w:t>
            </w:r>
          </w:p>
        </w:tc>
      </w:tr>
      <w:tr w14:paraId="2ECA141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C84ADD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6F330D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支持大体标本图像拍摄，并实时同步至取材记录医生工作站。</w:t>
            </w:r>
          </w:p>
        </w:tc>
      </w:tr>
      <w:tr w14:paraId="7CD071FC">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296B6E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862E0A2">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支持通过输入标本条码、包埋盒号获取取材记录。</w:t>
            </w:r>
          </w:p>
        </w:tc>
      </w:tr>
      <w:tr w14:paraId="1F2D9B1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DD1547E">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91A62E2">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支持显示取材记录详情、冰冻检查、申请单、材块记录、标本记录。</w:t>
            </w:r>
          </w:p>
        </w:tc>
      </w:tr>
      <w:tr w14:paraId="219707F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A7A68F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2920F0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支持取材医生对取材信息进行拍照、录像、录音，以及查看图片、录像，播放语音。</w:t>
            </w:r>
          </w:p>
        </w:tc>
      </w:tr>
      <w:tr w14:paraId="0AFD652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B8C0A47">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C99D107">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支持根据送检标本自动定位巨检模板。</w:t>
            </w:r>
          </w:p>
        </w:tc>
      </w:tr>
      <w:tr w14:paraId="02EA81A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2E75C8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29449C6">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支持通过编码、材块类型、取材部位查询材块记录。</w:t>
            </w:r>
          </w:p>
        </w:tc>
      </w:tr>
      <w:tr w14:paraId="1013B21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1E1E15B">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81299C7">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支持增加蜡块；及蜡块的补收费。</w:t>
            </w:r>
          </w:p>
        </w:tc>
      </w:tr>
      <w:tr w14:paraId="4A39E7A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C34745B">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3AF393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支持包埋盒标签打印。</w:t>
            </w:r>
          </w:p>
        </w:tc>
      </w:tr>
      <w:tr w14:paraId="5EE00BE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5B22545">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7D9E8CD">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支持对取材蜡块进行重补取、脱钙标记。</w:t>
            </w:r>
          </w:p>
        </w:tc>
      </w:tr>
      <w:tr w14:paraId="2B1F6D1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D5D169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080315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支持不合格标本录入，包含处理方式、不合格原因，及打印拒收单。</w:t>
            </w:r>
          </w:p>
        </w:tc>
      </w:tr>
      <w:tr w14:paraId="31FF748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9DE7631">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7633E6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支持显示未取材、已取材、全部三个状态下的取材列表，以及对应的统计数量。</w:t>
            </w:r>
          </w:p>
        </w:tc>
      </w:tr>
      <w:tr w14:paraId="37CEF23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4CE1D69">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CC118D4">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支持取材交接、打印交接清单。</w:t>
            </w:r>
          </w:p>
        </w:tc>
      </w:tr>
      <w:tr w14:paraId="68583EF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86F327F">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1C7DDF7">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支持取材统计，方便查看标本数、材块数。</w:t>
            </w:r>
          </w:p>
        </w:tc>
      </w:tr>
      <w:tr w14:paraId="6EC6855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A6304BA">
            <w:pPr>
              <w:numPr>
                <w:ilvl w:val="0"/>
                <w:numId w:val="49"/>
              </w:numPr>
              <w:spacing w:line="360" w:lineRule="auto"/>
              <w:jc w:val="center"/>
              <w:textAlignment w:val="center"/>
              <w:rPr>
                <w:rFonts w:ascii="宋体" w:hAnsi="宋体" w:eastAsia="宋体" w:cs="宋体"/>
                <w:b/>
                <w:bCs/>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9BA3333">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切片制片</w:t>
            </w:r>
          </w:p>
        </w:tc>
      </w:tr>
      <w:tr w14:paraId="19AC974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AC180F4">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062E51A">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脱水</w:t>
            </w:r>
          </w:p>
        </w:tc>
      </w:tr>
      <w:tr w14:paraId="175C020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4719CBC">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A3D53BC">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支持对包埋盒中玻片的智能识别，标识每个玻片的标本号，支持手工修改。</w:t>
            </w:r>
          </w:p>
        </w:tc>
      </w:tr>
      <w:tr w14:paraId="04BE79F0">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9188F22">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024F7CB">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支持为包埋盒指定脱水篮、脱水机。</w:t>
            </w:r>
          </w:p>
        </w:tc>
      </w:tr>
      <w:tr w14:paraId="42EA4CA0">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26EFB7D">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65DD04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支持查看脱水机当前待脱水、剩余可脱水组织数，以及使用状态；支持自动提醒医生更换试剂。</w:t>
            </w:r>
          </w:p>
        </w:tc>
      </w:tr>
      <w:tr w14:paraId="02C61EC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6BF851A">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44D1543">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支持设定脱水时间，自动结束脱水并记录结束时间。</w:t>
            </w:r>
          </w:p>
        </w:tc>
      </w:tr>
      <w:tr w14:paraId="65B0FC9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9BCC4C9">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3957212">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支持对蜡块进行质控评分。</w:t>
            </w:r>
          </w:p>
        </w:tc>
      </w:tr>
      <w:tr w14:paraId="2A9E20A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7F6E2B0">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0F1C99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支持异常情况提醒。</w:t>
            </w:r>
          </w:p>
        </w:tc>
      </w:tr>
      <w:tr w14:paraId="656A5EF0">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DAF3542">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B881F4D">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支持查看全流程详情，包含环节、完成时间、操作人等信息。</w:t>
            </w:r>
          </w:p>
        </w:tc>
      </w:tr>
      <w:tr w14:paraId="456FEBC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9D0470E">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729464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支持多条件查询手工批量开始脱水、结束脱水。</w:t>
            </w:r>
          </w:p>
        </w:tc>
      </w:tr>
      <w:tr w14:paraId="73FD48C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FC014F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D20C93C">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包埋</w:t>
            </w:r>
          </w:p>
        </w:tc>
      </w:tr>
      <w:tr w14:paraId="57D942B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DDB1E00">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B4A5D6F">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支持将包埋盒进行智能识别。</w:t>
            </w:r>
          </w:p>
        </w:tc>
      </w:tr>
      <w:tr w14:paraId="76ED9AC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AB4CAA2">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5037BAB">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支持显示已识别、未识别的所有包埋盒记录，并进行漏识别包埋盒提醒。</w:t>
            </w:r>
          </w:p>
        </w:tc>
      </w:tr>
      <w:tr w14:paraId="663B36A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33905A1">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DFCF5F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支持查看包埋盒详情，包含送检标本、取材部位、大体所见、技术医嘱申请原因、质控评分。</w:t>
            </w:r>
          </w:p>
        </w:tc>
      </w:tr>
      <w:tr w14:paraId="11A857A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B2B3C1E">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426897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支持包埋盒回退，并输入回退原因。</w:t>
            </w:r>
          </w:p>
        </w:tc>
      </w:tr>
      <w:tr w14:paraId="26E363CC">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14AB7B5">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570E65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支持异常情况提醒。</w:t>
            </w:r>
          </w:p>
        </w:tc>
      </w:tr>
      <w:tr w14:paraId="15964D8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C8050F9">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6D2575A">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支持查看全流程详情，包含环节、完成时间、操作人等信息。</w:t>
            </w:r>
          </w:p>
        </w:tc>
      </w:tr>
      <w:tr w14:paraId="153BDA0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0BB9E0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2C18F37">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切片</w:t>
            </w:r>
          </w:p>
        </w:tc>
      </w:tr>
      <w:tr w14:paraId="5E96BB5D">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EFE017A">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5AB3C2C">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支持捞片医生登录。</w:t>
            </w:r>
          </w:p>
        </w:tc>
      </w:tr>
      <w:tr w14:paraId="630B99D8">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C4F4ECF">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E485D43">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支持将包埋盒进行智能识别。</w:t>
            </w:r>
          </w:p>
        </w:tc>
      </w:tr>
      <w:tr w14:paraId="71C9961D">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18DC1D7">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8C5BA91">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支持自动识别匹配切片，匹配成功后自动打印切片标签。</w:t>
            </w:r>
          </w:p>
        </w:tc>
      </w:tr>
      <w:tr w14:paraId="4F7EFED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3148215">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3A5590A">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支持显示已识别、未识别的所有包埋盒以及切片记录，并进行漏识别包埋盒/切片提醒。</w:t>
            </w:r>
          </w:p>
        </w:tc>
      </w:tr>
      <w:tr w14:paraId="2867FD6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8A7E297">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CD4BD1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支持切片回退，并输入回退原因。</w:t>
            </w:r>
          </w:p>
        </w:tc>
      </w:tr>
      <w:tr w14:paraId="3871907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CEDD669">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D316E3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支持异常情况提醒。</w:t>
            </w:r>
          </w:p>
        </w:tc>
      </w:tr>
      <w:tr w14:paraId="758B528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584F4E9">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C30F54B">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支持查看全流程详情，包含环节、完成时间、操作人等信息。</w:t>
            </w:r>
          </w:p>
        </w:tc>
      </w:tr>
      <w:tr w14:paraId="1C44259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9B4766B">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1AE083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支持对蜡块进行质控评分。</w:t>
            </w:r>
          </w:p>
        </w:tc>
      </w:tr>
      <w:tr w14:paraId="13FF7ED7">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9398E43">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75E1301">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支持记录切片医生、切片时间。</w:t>
            </w:r>
          </w:p>
        </w:tc>
      </w:tr>
      <w:tr w14:paraId="71AB3D10">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0957F6C">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176BA4B">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染色</w:t>
            </w:r>
          </w:p>
        </w:tc>
      </w:tr>
      <w:tr w14:paraId="4E0AE29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2AE709D">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EB261C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支持查看染色机当前染色切片数、染色机类型，以及使用状态，并及时提醒医生更换试剂。</w:t>
            </w:r>
          </w:p>
        </w:tc>
      </w:tr>
      <w:tr w14:paraId="451A3D3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636AFEA">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4ECDD43">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支持设定染色时间，自动结束染色并记录结束时间。</w:t>
            </w:r>
          </w:p>
        </w:tc>
      </w:tr>
      <w:tr w14:paraId="1BF06D4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48ED790">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D2531F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支持对蜡块进行质控评分。</w:t>
            </w:r>
          </w:p>
        </w:tc>
      </w:tr>
      <w:tr w14:paraId="7C3D01E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296F1CC">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D5365BB">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支持异常情况提醒。</w:t>
            </w:r>
          </w:p>
        </w:tc>
      </w:tr>
      <w:tr w14:paraId="005E9C4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297A4E1">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0EE0EB4">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支持查看全流程详情，包含环节、完成时间、操作人等信息。</w:t>
            </w:r>
          </w:p>
        </w:tc>
      </w:tr>
      <w:tr w14:paraId="1372CAD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1135952">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E9FCBDB">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支持多条件查询手工批量开始染色、结束染色。</w:t>
            </w:r>
          </w:p>
        </w:tc>
      </w:tr>
      <w:tr w14:paraId="2029B5A7">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466E490">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DDEE21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支持记录染色操作医生、染色时间。</w:t>
            </w:r>
          </w:p>
        </w:tc>
      </w:tr>
      <w:tr w14:paraId="1C1B4FD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9C2A7F3">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A5D09E9">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封片</w:t>
            </w:r>
          </w:p>
        </w:tc>
      </w:tr>
      <w:tr w14:paraId="11AB6E3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0A50282">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A97956D">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支持将切片进行智能识别。</w:t>
            </w:r>
          </w:p>
        </w:tc>
      </w:tr>
      <w:tr w14:paraId="00A3338C">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178373D">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7FBFE7A">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支持通过输入切片号获取记录。</w:t>
            </w:r>
          </w:p>
        </w:tc>
      </w:tr>
      <w:tr w14:paraId="5B3CFF47">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A5322FB">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04240A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支持显示已识别、未识别的所有切片记录，并进行漏识别切片提醒。</w:t>
            </w:r>
          </w:p>
        </w:tc>
      </w:tr>
      <w:tr w14:paraId="45B67FF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F43AF0C">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A3C693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支持查看切片详情，包含送检标本、取材部位、大体所见、技术医嘱申请原因、质控评分。</w:t>
            </w:r>
          </w:p>
        </w:tc>
      </w:tr>
      <w:tr w14:paraId="4DCA554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D448EB9">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7914D16">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支持切片回退，并输入回退原因。</w:t>
            </w:r>
          </w:p>
        </w:tc>
      </w:tr>
      <w:tr w14:paraId="32B7A77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C6AFAA3">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76B7D22">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支持异常情况提醒。</w:t>
            </w:r>
          </w:p>
        </w:tc>
      </w:tr>
      <w:tr w14:paraId="65A34E9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C0E5ED5">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6245FC7">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支持查看全流程详情，包含环节、完成时间、操作人等信息。</w:t>
            </w:r>
          </w:p>
        </w:tc>
      </w:tr>
      <w:tr w14:paraId="22C3CE2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D3363CB">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40279C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支持对蜡块进行质控评分。</w:t>
            </w:r>
          </w:p>
        </w:tc>
      </w:tr>
      <w:tr w14:paraId="47D9D4E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3710D77">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B52E8F3">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支持记录封片医生、封片时间。</w:t>
            </w:r>
          </w:p>
        </w:tc>
      </w:tr>
      <w:tr w14:paraId="5FAD11A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C2DF053">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558D056">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制片确认</w:t>
            </w:r>
          </w:p>
        </w:tc>
      </w:tr>
      <w:tr w14:paraId="0814395D">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F7C1DA4">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96CD86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支持将晾片板上的玻片进行智能识别。</w:t>
            </w:r>
          </w:p>
        </w:tc>
      </w:tr>
      <w:tr w14:paraId="4AB8522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E5413F9">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525B80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支持通过输入切片号区间获取记录。</w:t>
            </w:r>
          </w:p>
        </w:tc>
      </w:tr>
      <w:tr w14:paraId="6060EC3C">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3D00443">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2FE343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支持制片超时提醒，用高亮颜色显示。</w:t>
            </w:r>
          </w:p>
        </w:tc>
      </w:tr>
      <w:tr w14:paraId="5A9E0A1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5978013">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E573B5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支持对玻片进行质控评分。</w:t>
            </w:r>
          </w:p>
        </w:tc>
      </w:tr>
      <w:tr w14:paraId="6B23303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00B90B8">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B7F1D8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支持实时显示今日科室待确认数、我的已确认数的统计数量。</w:t>
            </w:r>
          </w:p>
        </w:tc>
      </w:tr>
      <w:tr w14:paraId="4F95FC8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D118D6B">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6EBA376">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支持查看全流程详情，包含环节、完成时间、操作人等信息。</w:t>
            </w:r>
          </w:p>
        </w:tc>
      </w:tr>
      <w:tr w14:paraId="1FE32E4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D608F3D">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4C3C6DE">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提供列表同病理号自动选择。</w:t>
            </w:r>
          </w:p>
        </w:tc>
      </w:tr>
      <w:tr w14:paraId="24F534B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EA88656">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C60ECD9">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制片交接</w:t>
            </w:r>
          </w:p>
        </w:tc>
      </w:tr>
      <w:tr w14:paraId="0BB4831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B7CFF1F">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1F71526">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支持将切片进行智能识别。</w:t>
            </w:r>
          </w:p>
        </w:tc>
      </w:tr>
      <w:tr w14:paraId="58E00C27">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46D24B1">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ED2B4DE">
            <w:pPr>
              <w:spacing w:line="360" w:lineRule="auto"/>
              <w:rPr>
                <w:rFonts w:ascii="宋体" w:hAnsi="宋体" w:eastAsia="宋体" w:cs="宋体"/>
                <w:color w:val="auto"/>
                <w:highlight w:val="none"/>
              </w:rPr>
            </w:pPr>
            <w:r>
              <w:rPr>
                <w:rFonts w:hint="eastAsia" w:ascii="宋体" w:hAnsi="宋体" w:eastAsia="宋体" w:cs="宋体"/>
                <w:color w:val="auto"/>
                <w:highlight w:val="none"/>
              </w:rPr>
              <w:t>识别失败记录支持手工输入玻片号进行识别。</w:t>
            </w:r>
          </w:p>
        </w:tc>
      </w:tr>
      <w:tr w14:paraId="5443C6ED">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239E654">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F21608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支持实时显示今日待确认、待交接、已交接、失败失败的统计数量。</w:t>
            </w:r>
          </w:p>
        </w:tc>
      </w:tr>
      <w:tr w14:paraId="7832CE8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AB29459">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032FD24">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支持手工批量交接。</w:t>
            </w:r>
          </w:p>
        </w:tc>
      </w:tr>
      <w:tr w14:paraId="7EE1674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329A117">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96EB76B">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支持交接成功后自动打印交接单。</w:t>
            </w:r>
          </w:p>
        </w:tc>
      </w:tr>
      <w:tr w14:paraId="5D036C4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0DBAB42">
            <w:pPr>
              <w:numPr>
                <w:ilvl w:val="2"/>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929908B">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支持通过登记日期、取材日期、送检日期、送检医院、送检科室、检查项目，输入病理号、病历号、住院号、门诊号、患者姓名、加急查询玻片记录。</w:t>
            </w:r>
          </w:p>
        </w:tc>
      </w:tr>
      <w:tr w14:paraId="1B10513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C6C1272">
            <w:pPr>
              <w:numPr>
                <w:ilvl w:val="0"/>
                <w:numId w:val="49"/>
              </w:numPr>
              <w:spacing w:line="360" w:lineRule="auto"/>
              <w:jc w:val="center"/>
              <w:textAlignment w:val="center"/>
              <w:rPr>
                <w:rFonts w:ascii="宋体" w:hAnsi="宋体" w:eastAsia="宋体" w:cs="宋体"/>
                <w:b/>
                <w:bCs/>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E328134">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病理诊断</w:t>
            </w:r>
          </w:p>
        </w:tc>
      </w:tr>
      <w:tr w14:paraId="31FFFBBD">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E2414C9">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70A464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支持采集病理图像。</w:t>
            </w:r>
          </w:p>
        </w:tc>
      </w:tr>
      <w:tr w14:paraId="1E28152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8D33AC5">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B5242BA">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支持浏览数字切片。</w:t>
            </w:r>
          </w:p>
        </w:tc>
      </w:tr>
      <w:tr w14:paraId="599169B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44FF4EF">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07427E4">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支持报告列表显示危急值、迟发报告、技术医嘱、特检医嘱、科内会诊、远程会诊、紧急锁定等异常流程消息，方便医生快速处理。</w:t>
            </w:r>
          </w:p>
        </w:tc>
      </w:tr>
      <w:tr w14:paraId="1324A3F0">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FDD8AE7">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101AE2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支持公共和私有诊断模板，选择模板时可追加或替换镜下所见、病理诊断的内容。</w:t>
            </w:r>
          </w:p>
        </w:tc>
      </w:tr>
      <w:tr w14:paraId="7EB2272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08432A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BB04D06">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支持报告模板编辑，根据权限控制编辑公共模板、私有模板、常用词库等。</w:t>
            </w:r>
          </w:p>
        </w:tc>
      </w:tr>
      <w:tr w14:paraId="126497E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B853731">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7232E1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支持报告编辑时根据送检标本关联书写模板。</w:t>
            </w:r>
          </w:p>
        </w:tc>
      </w:tr>
      <w:tr w14:paraId="5BBDA75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1A44A2F">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1FD306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支持报告编辑时一键清除镜下所见、病理诊断内容。</w:t>
            </w:r>
          </w:p>
        </w:tc>
      </w:tr>
      <w:tr w14:paraId="5049022C">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BBBD564">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50FA7DA">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支持报告编辑时暂存、签名、预览、自动下一个。</w:t>
            </w:r>
          </w:p>
        </w:tc>
      </w:tr>
      <w:tr w14:paraId="6A3FCEE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80F1CDB">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D72970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支持报告的电子签名，及显示和打印时的验签。</w:t>
            </w:r>
          </w:p>
        </w:tc>
      </w:tr>
      <w:tr w14:paraId="26D8DBC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1EC8C38">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28E89B2">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支持报告编辑时查看患者申请单，对患者病史、过敏史、临床诊断等关键字段醒目标记。</w:t>
            </w:r>
          </w:p>
        </w:tc>
      </w:tr>
      <w:tr w14:paraId="2069C61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F9DD8F8">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EA5EFBD">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支持报告编辑时查看材块信息。</w:t>
            </w:r>
          </w:p>
        </w:tc>
      </w:tr>
      <w:tr w14:paraId="28B977E1">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04615C9">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47B277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支持迟发报告，支持站内信和短信通知相应医生。</w:t>
            </w:r>
          </w:p>
        </w:tc>
      </w:tr>
      <w:tr w14:paraId="6686C8A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FB819C9">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5D164AE">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支持补充报告、更改报告，支持站内信和短信通知相应医生/患者。</w:t>
            </w:r>
          </w:p>
        </w:tc>
      </w:tr>
      <w:tr w14:paraId="209B0BB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676BAE7">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04EBFE1">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支持技术医嘱、特检医嘱及记录查看，并支持站内信和短信通知相应医生</w:t>
            </w:r>
          </w:p>
        </w:tc>
      </w:tr>
      <w:tr w14:paraId="0F782481">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AB35724">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4C7E17F">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支持在报告编辑页面查看外院会诊详情。</w:t>
            </w:r>
          </w:p>
        </w:tc>
      </w:tr>
      <w:tr w14:paraId="10F7738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896CC5D">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6D4DA87">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支持报告编辑时远程会诊申请功能，以及会诊报告完成提醒。</w:t>
            </w:r>
          </w:p>
        </w:tc>
      </w:tr>
      <w:tr w14:paraId="6AB3C9F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EA9F923">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2DE1FF7">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支持报告编辑时科内会诊申请功能，以及会诊报告完成提醒。</w:t>
            </w:r>
          </w:p>
        </w:tc>
      </w:tr>
      <w:tr w14:paraId="53E734A7">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09DEB3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5168BA4">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支持玻片质控评分，默认“优”，良好、合格、不合格时提供扣分项选择。</w:t>
            </w:r>
          </w:p>
        </w:tc>
      </w:tr>
      <w:tr w14:paraId="6D0A0870">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8C7FEB5">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83BB3B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支持临床符合率评分，默认“完全符合”，也可选择基本符合、不符合。</w:t>
            </w:r>
          </w:p>
        </w:tc>
      </w:tr>
      <w:tr w14:paraId="23A2478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5F5014F">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43E42CC">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支持冰冻符合评分，对比常规病理诊断结果与冰冻检查诊断结果，默认“完全符合”，也可选择基本符合、不符合，选择不符合时输入情况说明、原因分析、预防措施。</w:t>
            </w:r>
          </w:p>
        </w:tc>
      </w:tr>
      <w:tr w14:paraId="0F1B34EC">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002FF4A">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9812B1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支持报告批量书写、批量审核、批量打印、批量发放功能。</w:t>
            </w:r>
          </w:p>
        </w:tc>
      </w:tr>
      <w:tr w14:paraId="3456061E">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8692BA6">
            <w:pPr>
              <w:numPr>
                <w:ilvl w:val="0"/>
                <w:numId w:val="49"/>
              </w:numPr>
              <w:spacing w:line="360" w:lineRule="auto"/>
              <w:jc w:val="center"/>
              <w:textAlignment w:val="center"/>
              <w:rPr>
                <w:rFonts w:ascii="宋体" w:hAnsi="宋体" w:eastAsia="宋体" w:cs="宋体"/>
                <w:b/>
                <w:bCs/>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44795D1">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档案管理</w:t>
            </w:r>
          </w:p>
        </w:tc>
      </w:tr>
      <w:tr w14:paraId="11EB8499">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06783D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81D9F7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支持玻片/蜡块智能识别，支持填写归档地点、柜子、抽屉。</w:t>
            </w:r>
          </w:p>
        </w:tc>
      </w:tr>
      <w:tr w14:paraId="3E432B4D">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BB7ED53">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39897D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支持对识别失败玻片/蜡块进行手工归档。</w:t>
            </w:r>
          </w:p>
        </w:tc>
      </w:tr>
      <w:tr w14:paraId="4CB56AFF">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653C45D">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D12AE5F">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支持显示待归档列表，并且支持遗失标记。</w:t>
            </w:r>
          </w:p>
        </w:tc>
      </w:tr>
      <w:tr w14:paraId="331CFF5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5DAD4DB">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707B43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支持手工批量归档。</w:t>
            </w:r>
          </w:p>
        </w:tc>
      </w:tr>
      <w:tr w14:paraId="65F37E4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AF4D204">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A0FD8B7">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支持手工批量遗失标记。</w:t>
            </w:r>
          </w:p>
        </w:tc>
      </w:tr>
      <w:tr w14:paraId="3A09517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1C3112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6B412D8">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支持输入借阅人、联系电话、押金、费用、借阅天数、身份证号、联系地址、备注，以及选择的玻片/蜡块提交借阅申请。</w:t>
            </w:r>
          </w:p>
        </w:tc>
      </w:tr>
      <w:tr w14:paraId="6795AF35">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8166E74">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12633A5">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支持借阅申请成功后自动打印借阅单和收费凭证。</w:t>
            </w:r>
          </w:p>
        </w:tc>
      </w:tr>
      <w:tr w14:paraId="66FB1DA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592D1B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5CDA2984">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支持对玻片和蜡块进行状态变更，及赔偿金额录入。</w:t>
            </w:r>
          </w:p>
        </w:tc>
      </w:tr>
      <w:tr w14:paraId="7B357780">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0CB4A18">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0584B22">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支持归还申请成功后，自动扫描借阅单。</w:t>
            </w:r>
          </w:p>
        </w:tc>
      </w:tr>
      <w:tr w14:paraId="7AE54CA8">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C50CFCB">
            <w:pPr>
              <w:numPr>
                <w:ilvl w:val="0"/>
                <w:numId w:val="49"/>
              </w:numPr>
              <w:spacing w:line="360" w:lineRule="auto"/>
              <w:jc w:val="center"/>
              <w:textAlignment w:val="center"/>
              <w:rPr>
                <w:rFonts w:ascii="宋体" w:hAnsi="宋体" w:eastAsia="宋体" w:cs="宋体"/>
                <w:b/>
                <w:bCs/>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D697269">
            <w:pPr>
              <w:spacing w:line="360" w:lineRule="auto"/>
              <w:rPr>
                <w:rFonts w:ascii="宋体" w:hAnsi="宋体" w:eastAsia="宋体" w:cs="宋体"/>
                <w:b/>
                <w:bCs/>
                <w:color w:val="auto"/>
                <w:highlight w:val="none"/>
              </w:rPr>
            </w:pPr>
            <w:r>
              <w:rPr>
                <w:rFonts w:hint="eastAsia" w:ascii="宋体" w:hAnsi="宋体" w:eastAsia="宋体" w:cs="宋体"/>
                <w:b/>
                <w:bCs/>
                <w:color w:val="auto"/>
                <w:highlight w:val="none"/>
              </w:rPr>
              <w:t>系统管理</w:t>
            </w:r>
          </w:p>
        </w:tc>
      </w:tr>
      <w:tr w14:paraId="0FFAD01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6E5555C5">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C3F9255">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提供用户编辑，包含用户基本信息、用户头像和手写签名。</w:t>
            </w:r>
          </w:p>
        </w:tc>
      </w:tr>
      <w:tr w14:paraId="1F23C191">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F4D054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8881E24">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提供CA证书绑定、解绑。</w:t>
            </w:r>
          </w:p>
        </w:tc>
      </w:tr>
      <w:tr w14:paraId="04E65C8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43F0F0F0">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078A4891">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提供用户组编辑，包含用户组信息、权限信息。</w:t>
            </w:r>
          </w:p>
        </w:tc>
      </w:tr>
      <w:tr w14:paraId="5A3C3144">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D88F60E">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07D6564">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提供数字字典的编辑。</w:t>
            </w:r>
          </w:p>
        </w:tc>
      </w:tr>
      <w:tr w14:paraId="2609CE28">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45A3841">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bottom"/>
          </w:tcPr>
          <w:p w14:paraId="7046303D">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提供检查项目分类编辑。</w:t>
            </w:r>
          </w:p>
        </w:tc>
      </w:tr>
      <w:tr w14:paraId="007A45DB">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C3C6981">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bottom"/>
          </w:tcPr>
          <w:p w14:paraId="3C1D6458">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提供检查项目、标本分类、试剂套餐、收费项目、收费套餐编辑。支持项目的拖动排序。</w:t>
            </w:r>
          </w:p>
        </w:tc>
      </w:tr>
      <w:tr w14:paraId="38FFC72A">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D2545FA">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bottom"/>
          </w:tcPr>
          <w:p w14:paraId="0120C7BC">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提供打印模板（如申请单、标本标签、送检单、配送单、登记回执单等）的编辑。</w:t>
            </w:r>
          </w:p>
        </w:tc>
      </w:tr>
      <w:tr w14:paraId="1DE31186">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1CDA69A1">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bottom"/>
          </w:tcPr>
          <w:p w14:paraId="33E420F0">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支持书写模板、巨检模板编辑。</w:t>
            </w:r>
          </w:p>
        </w:tc>
      </w:tr>
      <w:tr w14:paraId="772B6583">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3B766D2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bottom"/>
          </w:tcPr>
          <w:p w14:paraId="1B8BAFE9">
            <w:pPr>
              <w:spacing w:line="360" w:lineRule="auto"/>
              <w:rPr>
                <w:rFonts w:ascii="宋体" w:hAnsi="宋体" w:eastAsia="宋体" w:cs="宋体"/>
                <w:color w:val="auto"/>
                <w:highlight w:val="none"/>
              </w:rPr>
            </w:pPr>
            <w:r>
              <w:rPr>
                <w:rFonts w:hint="eastAsia" w:ascii="宋体" w:hAnsi="宋体" w:eastAsia="宋体" w:cs="宋体"/>
                <w:color w:val="auto"/>
                <w:highlight w:val="none"/>
              </w:rPr>
              <w:t>支持质控模板编辑。</w:t>
            </w:r>
          </w:p>
        </w:tc>
      </w:tr>
      <w:tr w14:paraId="7F27EC52">
        <w:tblPrEx>
          <w:tblCellMar>
            <w:top w:w="15" w:type="dxa"/>
            <w:left w:w="15" w:type="dxa"/>
            <w:bottom w:w="15" w:type="dxa"/>
            <w:right w:w="15" w:type="dxa"/>
          </w:tblCellMar>
        </w:tblPrEx>
        <w:trPr>
          <w:trHeight w:val="15" w:hRule="atLeast"/>
        </w:trPr>
        <w:tc>
          <w:tcPr>
            <w:tcW w:w="776"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7C42B442">
            <w:pPr>
              <w:numPr>
                <w:ilvl w:val="1"/>
                <w:numId w:val="49"/>
              </w:numPr>
              <w:spacing w:line="360" w:lineRule="auto"/>
              <w:jc w:val="center"/>
              <w:textAlignment w:val="center"/>
              <w:rPr>
                <w:rFonts w:ascii="宋体" w:hAnsi="宋体" w:eastAsia="宋体" w:cs="宋体"/>
                <w:color w:val="auto"/>
                <w:highlight w:val="none"/>
              </w:rPr>
            </w:pPr>
          </w:p>
        </w:tc>
        <w:tc>
          <w:tcPr>
            <w:tcW w:w="4223" w:type="pct"/>
            <w:tcBorders>
              <w:top w:val="single" w:color="auto" w:sz="2" w:space="0"/>
              <w:left w:val="single" w:color="auto" w:sz="2" w:space="0"/>
              <w:bottom w:val="single" w:color="auto" w:sz="2" w:space="0"/>
              <w:right w:val="single" w:color="auto" w:sz="2" w:space="0"/>
            </w:tcBorders>
            <w:shd w:val="clear" w:color="auto" w:fill="auto"/>
            <w:tcMar>
              <w:top w:w="0" w:type="dxa"/>
              <w:left w:w="72" w:type="dxa"/>
              <w:bottom w:w="0" w:type="dxa"/>
              <w:right w:w="72" w:type="dxa"/>
            </w:tcMar>
            <w:vAlign w:val="center"/>
          </w:tcPr>
          <w:p w14:paraId="299585D0">
            <w:pPr>
              <w:spacing w:line="360" w:lineRule="auto"/>
              <w:rPr>
                <w:rFonts w:ascii="宋体" w:hAnsi="宋体" w:eastAsia="宋体" w:cs="宋体"/>
                <w:color w:val="auto"/>
                <w:highlight w:val="none"/>
              </w:rPr>
            </w:pPr>
            <w:r>
              <w:rPr>
                <w:rFonts w:hint="eastAsia" w:ascii="宋体" w:hAnsi="宋体" w:eastAsia="宋体" w:cs="宋体"/>
                <w:color w:val="auto"/>
                <w:highlight w:val="none"/>
              </w:rPr>
              <w:t>提供可视化界面用于各类运行参数的配置。</w:t>
            </w:r>
          </w:p>
        </w:tc>
      </w:tr>
    </w:tbl>
    <w:p w14:paraId="7BCC840F">
      <w:pPr>
        <w:rPr>
          <w:color w:val="auto"/>
          <w:highlight w:val="none"/>
        </w:rPr>
      </w:pPr>
    </w:p>
    <w:p w14:paraId="04E8E373">
      <w:pPr>
        <w:pStyle w:val="3"/>
        <w:rPr>
          <w:color w:val="auto"/>
          <w:highlight w:val="none"/>
        </w:rPr>
      </w:pPr>
      <w:bookmarkStart w:id="70" w:name="_Toc187691853"/>
      <w:r>
        <w:rPr>
          <w:rFonts w:hint="eastAsia"/>
          <w:color w:val="auto"/>
          <w:highlight w:val="none"/>
        </w:rPr>
        <w:t>本次项目信创适配性规划</w:t>
      </w:r>
      <w:bookmarkEnd w:id="70"/>
    </w:p>
    <w:p w14:paraId="5DAC0F77">
      <w:pPr>
        <w:adjustRightInd w:val="0"/>
        <w:snapToGrid w:val="0"/>
        <w:spacing w:line="360" w:lineRule="auto"/>
        <w:ind w:firstLine="480" w:firstLineChars="200"/>
        <w:rPr>
          <w:rFonts w:ascii="宋体" w:hAnsi="宋体" w:eastAsia="宋体" w:cs="Times New Roman"/>
          <w:bCs/>
          <w:color w:val="auto"/>
          <w:highlight w:val="none"/>
        </w:rPr>
      </w:pPr>
      <w:r>
        <w:rPr>
          <w:rFonts w:hint="eastAsia" w:ascii="宋体" w:hAnsi="宋体" w:eastAsia="宋体" w:cs="Times New Roman"/>
          <w:bCs/>
          <w:color w:val="auto"/>
          <w:highlight w:val="none"/>
        </w:rPr>
        <w:t>本次项目所建设的医院信息系统、信息集成平台、医院系统应用统一管理均应具备在信创客户端、操作系统、服务器、数据库、中间件环境下运行的条件，满足国家信创进程相应要求。</w:t>
      </w:r>
      <w:bookmarkEnd w:id="0"/>
      <w:bookmarkEnd w:id="1"/>
      <w:bookmarkEnd w:id="64"/>
    </w:p>
    <w:p w14:paraId="3A46C232">
      <w:pPr>
        <w:adjustRightInd w:val="0"/>
        <w:snapToGrid w:val="0"/>
        <w:spacing w:line="360" w:lineRule="auto"/>
        <w:ind w:firstLine="480" w:firstLineChars="200"/>
        <w:rPr>
          <w:rFonts w:ascii="宋体" w:hAnsi="宋体" w:eastAsia="宋体" w:cs="Times New Roman"/>
          <w:bCs/>
          <w:color w:val="auto"/>
          <w:highlight w:val="none"/>
        </w:rPr>
      </w:pPr>
    </w:p>
    <w:p w14:paraId="4D3D5331">
      <w:pPr>
        <w:snapToGrid w:val="0"/>
        <w:spacing w:line="480" w:lineRule="exact"/>
        <w:jc w:val="center"/>
        <w:rPr>
          <w:rFonts w:ascii="仿宋" w:hAnsi="仿宋" w:eastAsia="仿宋"/>
          <w:b/>
          <w:color w:val="auto"/>
          <w:sz w:val="28"/>
          <w:szCs w:val="28"/>
          <w:highlight w:val="none"/>
        </w:rPr>
      </w:pPr>
      <w:r>
        <w:rPr>
          <w:rFonts w:hint="eastAsia" w:ascii="仿宋" w:hAnsi="仿宋" w:eastAsia="仿宋" w:cs="仿宋_GB2312"/>
          <w:b/>
          <w:color w:val="auto"/>
          <w:sz w:val="32"/>
          <w:highlight w:val="none"/>
        </w:rPr>
        <w:t>二、商务要求</w:t>
      </w:r>
    </w:p>
    <w:p w14:paraId="40B5D6DB">
      <w:pPr>
        <w:snapToGrid w:val="0"/>
        <w:spacing w:line="360" w:lineRule="auto"/>
        <w:rPr>
          <w:rFonts w:ascii="仿宋" w:eastAsia="仿宋"/>
          <w:b/>
          <w:bCs/>
          <w:color w:val="auto"/>
          <w:highlight w:val="none"/>
        </w:rPr>
      </w:pPr>
      <w:r>
        <w:rPr>
          <w:rFonts w:hint="eastAsia" w:ascii="仿宋" w:hAnsi="仿宋" w:eastAsia="仿宋"/>
          <w:color w:val="auto"/>
          <w:highlight w:val="none"/>
        </w:rPr>
        <w:t>▲</w:t>
      </w:r>
      <w:r>
        <w:rPr>
          <w:rFonts w:hint="eastAsia" w:ascii="仿宋" w:eastAsia="仿宋"/>
          <w:b/>
          <w:bCs/>
          <w:color w:val="auto"/>
          <w:highlight w:val="none"/>
        </w:rPr>
        <w:t>2.1服务期限</w:t>
      </w:r>
    </w:p>
    <w:p w14:paraId="017C77C9">
      <w:pPr>
        <w:snapToGrid w:val="0"/>
        <w:spacing w:line="360" w:lineRule="auto"/>
        <w:rPr>
          <w:rFonts w:ascii="仿宋" w:hAnsi="仿宋" w:eastAsia="仿宋" w:cs="Times New Roman"/>
          <w:color w:val="auto"/>
          <w:szCs w:val="28"/>
          <w:highlight w:val="none"/>
        </w:rPr>
      </w:pPr>
      <w:r>
        <w:rPr>
          <w:rFonts w:hint="eastAsia" w:ascii="仿宋" w:hAnsi="仿宋" w:eastAsia="仿宋" w:cs="Times New Roman"/>
          <w:color w:val="auto"/>
          <w:szCs w:val="28"/>
          <w:highlight w:val="none"/>
        </w:rPr>
        <w:t>2.1.1在合同签订后</w:t>
      </w:r>
      <w:r>
        <w:rPr>
          <w:rFonts w:hint="eastAsia" w:ascii="仿宋" w:hAnsi="仿宋" w:eastAsia="仿宋" w:cs="Times New Roman"/>
          <w:color w:val="auto"/>
          <w:szCs w:val="28"/>
          <w:highlight w:val="none"/>
          <w:lang w:val="en-US" w:eastAsia="zh-CN"/>
        </w:rPr>
        <w:t>3</w:t>
      </w:r>
      <w:r>
        <w:rPr>
          <w:rFonts w:hint="eastAsia" w:ascii="仿宋" w:hAnsi="仿宋" w:eastAsia="仿宋" w:cs="Times New Roman"/>
          <w:color w:val="auto"/>
          <w:szCs w:val="28"/>
          <w:highlight w:val="none"/>
        </w:rPr>
        <w:t>个月内完成</w:t>
      </w:r>
      <w:r>
        <w:rPr>
          <w:rFonts w:hint="eastAsia"/>
          <w:color w:val="auto"/>
          <w:highlight w:val="none"/>
          <w:lang w:eastAsia="zh-CN"/>
        </w:rPr>
        <w:t>（</w:t>
      </w:r>
      <w:r>
        <w:rPr>
          <w:rFonts w:hint="eastAsia" w:ascii="仿宋" w:hAnsi="仿宋" w:eastAsia="仿宋" w:cs="仿宋_GB2312"/>
          <w:color w:val="auto"/>
          <w:highlight w:val="none"/>
          <w:lang w:val="en-US" w:eastAsia="zh-CN"/>
        </w:rPr>
        <w:t>除</w:t>
      </w:r>
      <w:r>
        <w:rPr>
          <w:rFonts w:hint="eastAsia" w:ascii="仿宋" w:hAnsi="仿宋" w:eastAsia="仿宋" w:cs="仿宋_GB2312"/>
          <w:color w:val="auto"/>
          <w:highlight w:val="none"/>
        </w:rPr>
        <w:t>互联互通四甲测评</w:t>
      </w:r>
      <w:r>
        <w:rPr>
          <w:rFonts w:hint="eastAsia" w:ascii="仿宋" w:hAnsi="仿宋" w:eastAsia="仿宋" w:cs="仿宋_GB2312"/>
          <w:color w:val="auto"/>
          <w:highlight w:val="none"/>
          <w:lang w:val="en-US" w:eastAsia="zh-CN"/>
        </w:rPr>
        <w:t>外的系统</w:t>
      </w:r>
      <w:r>
        <w:rPr>
          <w:rFonts w:hint="eastAsia"/>
          <w:color w:val="auto"/>
          <w:highlight w:val="none"/>
          <w:lang w:val="en-US" w:eastAsia="zh-CN"/>
        </w:rPr>
        <w:t>）</w:t>
      </w:r>
      <w:r>
        <w:rPr>
          <w:rFonts w:hint="eastAsia" w:ascii="仿宋" w:hAnsi="仿宋" w:eastAsia="仿宋" w:cs="Times New Roman"/>
          <w:color w:val="auto"/>
          <w:szCs w:val="28"/>
          <w:highlight w:val="none"/>
        </w:rPr>
        <w:t>上线，总体工期在3年左右，质保服务期限详见产品功能清单。</w:t>
      </w:r>
    </w:p>
    <w:p w14:paraId="182050E5">
      <w:pPr>
        <w:pStyle w:val="17"/>
        <w:bidi w:val="0"/>
        <w:rPr>
          <w:color w:val="auto"/>
          <w:highlight w:val="none"/>
        </w:rPr>
      </w:pPr>
      <w:r>
        <w:rPr>
          <w:rFonts w:hint="eastAsia" w:ascii="仿宋" w:hAnsi="仿宋" w:eastAsia="仿宋" w:cs="Times New Roman"/>
          <w:color w:val="auto"/>
          <w:szCs w:val="28"/>
          <w:highlight w:val="none"/>
        </w:rPr>
        <w:t>2</w:t>
      </w:r>
      <w:r>
        <w:rPr>
          <w:rFonts w:hint="eastAsia" w:ascii="仿宋" w:hAnsi="Times New Roman" w:eastAsia="仿宋" w:cs="Times New Roman"/>
          <w:color w:val="auto"/>
          <w:sz w:val="24"/>
          <w:szCs w:val="24"/>
          <w:highlight w:val="none"/>
          <w:lang w:val="en-US" w:eastAsia="zh-CN" w:bidi="ar-SA"/>
        </w:rPr>
        <w:t>.1.2质保期为一年。（从项目整体验收通过之日起计算）。</w:t>
      </w:r>
      <w:r>
        <w:rPr>
          <w:rFonts w:hint="eastAsia" w:ascii="仿宋" w:hAnsi="Times New Roman" w:eastAsia="仿宋" w:cs="Times New Roman"/>
          <w:color w:val="auto"/>
          <w:sz w:val="24"/>
          <w:szCs w:val="24"/>
          <w:highlight w:val="none"/>
          <w:lang w:val="en-US" w:eastAsia="zh-CN" w:bidi="ar-SA"/>
        </w:rPr>
        <w:t>初验以后到质保期间需不少于3人驻场。</w:t>
      </w:r>
    </w:p>
    <w:p w14:paraId="04176D1D">
      <w:pPr>
        <w:snapToGrid w:val="0"/>
        <w:spacing w:line="360" w:lineRule="auto"/>
        <w:rPr>
          <w:rFonts w:ascii="仿宋" w:eastAsia="仿宋"/>
          <w:b/>
          <w:bCs/>
          <w:color w:val="auto"/>
          <w:highlight w:val="none"/>
        </w:rPr>
      </w:pPr>
      <w:r>
        <w:rPr>
          <w:rFonts w:hint="eastAsia" w:ascii="仿宋" w:eastAsia="仿宋"/>
          <w:b/>
          <w:bCs/>
          <w:color w:val="auto"/>
          <w:highlight w:val="none"/>
        </w:rPr>
        <w:t>2.2技术培训</w:t>
      </w:r>
    </w:p>
    <w:p w14:paraId="6A63440D">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2.2.1投标人须提供包括系统软件、应用软件、安装调试等内容的培训。投标人须在投标书中提供详细的培训计划。培训应面对不同层面的系统用户，保证用户能独立地管理、维护和配置系统，以便整个系统能够正常、安全的运行。</w:t>
      </w:r>
    </w:p>
    <w:p w14:paraId="693DB96C">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2.2.2中标人须对招标人的技术人员培训。投标人须在投标文件中提供详细的培训计划，包括培训内容、培训时间、培训费用等。</w:t>
      </w:r>
    </w:p>
    <w:p w14:paraId="3824A273">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2.2.</w:t>
      </w:r>
      <w:r>
        <w:rPr>
          <w:rFonts w:hint="eastAsia" w:ascii="仿宋" w:hAnsi="Times New Roman" w:eastAsia="仿宋" w:cs="Times New Roman"/>
          <w:color w:val="auto"/>
          <w:highlight w:val="none"/>
          <w:lang w:val="en-US" w:eastAsia="zh-CN"/>
        </w:rPr>
        <w:t>3</w:t>
      </w:r>
      <w:r>
        <w:rPr>
          <w:rFonts w:hint="eastAsia" w:ascii="仿宋" w:hAnsi="Times New Roman" w:eastAsia="仿宋" w:cs="Times New Roman"/>
          <w:color w:val="auto"/>
          <w:highlight w:val="none"/>
        </w:rPr>
        <w:t xml:space="preserve">技术培训费用应包含在投标总价中。    </w:t>
      </w:r>
    </w:p>
    <w:p w14:paraId="2C064037">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2.2.</w:t>
      </w:r>
      <w:r>
        <w:rPr>
          <w:rFonts w:hint="eastAsia" w:ascii="仿宋" w:hAnsi="Times New Roman" w:eastAsia="仿宋" w:cs="Times New Roman"/>
          <w:color w:val="auto"/>
          <w:highlight w:val="none"/>
          <w:lang w:val="en-US" w:eastAsia="zh-CN"/>
        </w:rPr>
        <w:t>4</w:t>
      </w:r>
      <w:r>
        <w:rPr>
          <w:rFonts w:hint="eastAsia" w:ascii="仿宋" w:hAnsi="Times New Roman" w:eastAsia="仿宋" w:cs="Times New Roman"/>
          <w:color w:val="auto"/>
          <w:highlight w:val="none"/>
        </w:rPr>
        <w:t>技术培训至少应包括下列内容：</w:t>
      </w:r>
    </w:p>
    <w:p w14:paraId="08E7D64B">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2.2.</w:t>
      </w:r>
      <w:r>
        <w:rPr>
          <w:rFonts w:hint="eastAsia" w:ascii="仿宋" w:hAnsi="Times New Roman" w:eastAsia="仿宋" w:cs="Times New Roman"/>
          <w:color w:val="auto"/>
          <w:highlight w:val="none"/>
          <w:lang w:val="en-US" w:eastAsia="zh-CN"/>
        </w:rPr>
        <w:t>4</w:t>
      </w:r>
      <w:r>
        <w:rPr>
          <w:rFonts w:hint="eastAsia" w:ascii="仿宋" w:hAnsi="Times New Roman" w:eastAsia="仿宋" w:cs="Times New Roman"/>
          <w:color w:val="auto"/>
          <w:highlight w:val="none"/>
        </w:rPr>
        <w:t>.1原理、构成和功能的描述。</w:t>
      </w:r>
    </w:p>
    <w:p w14:paraId="2BC5CAF6">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2.2.</w:t>
      </w:r>
      <w:r>
        <w:rPr>
          <w:rFonts w:hint="eastAsia" w:ascii="仿宋" w:hAnsi="Times New Roman" w:eastAsia="仿宋" w:cs="Times New Roman"/>
          <w:color w:val="auto"/>
          <w:highlight w:val="none"/>
          <w:lang w:val="en-US" w:eastAsia="zh-CN"/>
        </w:rPr>
        <w:t>4</w:t>
      </w:r>
      <w:r>
        <w:rPr>
          <w:rFonts w:hint="eastAsia" w:ascii="仿宋" w:hAnsi="Times New Roman" w:eastAsia="仿宋" w:cs="Times New Roman"/>
          <w:color w:val="auto"/>
          <w:highlight w:val="none"/>
        </w:rPr>
        <w:t>.2常见故障的处理或排除。</w:t>
      </w:r>
    </w:p>
    <w:p w14:paraId="6E459375">
      <w:pPr>
        <w:snapToGrid w:val="0"/>
        <w:spacing w:line="360" w:lineRule="auto"/>
        <w:rPr>
          <w:rFonts w:ascii="仿宋" w:eastAsia="仿宋"/>
          <w:b/>
          <w:bCs/>
          <w:color w:val="auto"/>
          <w:highlight w:val="none"/>
        </w:rPr>
      </w:pPr>
      <w:r>
        <w:rPr>
          <w:rFonts w:hint="eastAsia" w:ascii="仿宋" w:hAnsi="仿宋" w:eastAsia="仿宋"/>
          <w:color w:val="auto"/>
          <w:highlight w:val="none"/>
        </w:rPr>
        <w:t>▲</w:t>
      </w:r>
      <w:r>
        <w:rPr>
          <w:rFonts w:hint="eastAsia" w:ascii="仿宋" w:eastAsia="仿宋"/>
          <w:b/>
          <w:bCs/>
          <w:color w:val="auto"/>
          <w:highlight w:val="none"/>
        </w:rPr>
        <w:t>2.3数量调整</w:t>
      </w:r>
    </w:p>
    <w:p w14:paraId="05021F22">
      <w:pPr>
        <w:snapToGrid w:val="0"/>
        <w:spacing w:line="360" w:lineRule="auto"/>
        <w:rPr>
          <w:rFonts w:ascii="仿宋" w:eastAsia="仿宋"/>
          <w:color w:val="auto"/>
          <w:highlight w:val="none"/>
        </w:rPr>
      </w:pPr>
      <w:r>
        <w:rPr>
          <w:rFonts w:hint="eastAsia" w:ascii="仿宋" w:eastAsia="仿宋"/>
          <w:color w:val="auto"/>
          <w:highlight w:val="none"/>
        </w:rPr>
        <w:t>采购人保留合同履行中调整部分服务的权力，投标人应对服务类别明细报价，按投标单价不变的前提下进行调整，双方不得拒绝。合同最终结算金额按实际使用量乘以投标单价进行计算，追加的采购金额不得超过原合同采购金额的10%。如遇本次招标没有涉及的服务时，由中标人提供申请，采购人确认后实施。</w:t>
      </w:r>
    </w:p>
    <w:p w14:paraId="2E8AB205">
      <w:pPr>
        <w:snapToGrid w:val="0"/>
        <w:spacing w:line="360" w:lineRule="auto"/>
        <w:rPr>
          <w:rFonts w:ascii="仿宋" w:eastAsia="仿宋"/>
          <w:b/>
          <w:bCs/>
          <w:color w:val="auto"/>
          <w:highlight w:val="none"/>
        </w:rPr>
      </w:pPr>
      <w:r>
        <w:rPr>
          <w:rFonts w:hint="eastAsia" w:ascii="仿宋" w:hAnsi="仿宋" w:eastAsia="仿宋"/>
          <w:color w:val="auto"/>
          <w:highlight w:val="none"/>
        </w:rPr>
        <w:t>▲</w:t>
      </w:r>
      <w:r>
        <w:rPr>
          <w:rFonts w:hint="eastAsia" w:ascii="仿宋" w:eastAsia="仿宋"/>
          <w:b/>
          <w:bCs/>
          <w:color w:val="auto"/>
          <w:highlight w:val="none"/>
        </w:rPr>
        <w:t>2.4付款方式</w:t>
      </w:r>
    </w:p>
    <w:p w14:paraId="6B5E803D">
      <w:pPr>
        <w:pStyle w:val="17"/>
        <w:adjustRightInd w:val="0"/>
        <w:snapToGrid w:val="0"/>
        <w:spacing w:line="360" w:lineRule="auto"/>
        <w:rPr>
          <w:rFonts w:ascii="仿宋" w:eastAsia="仿宋"/>
          <w:color w:val="auto"/>
          <w:highlight w:val="none"/>
        </w:rPr>
      </w:pPr>
      <w:r>
        <w:rPr>
          <w:rFonts w:hint="eastAsia" w:ascii="仿宋" w:eastAsia="仿宋"/>
          <w:color w:val="auto"/>
          <w:highlight w:val="none"/>
        </w:rPr>
        <w:t>合同签订后，甲方向中标方支付合同金额的20%作为预付款，核心系统上线一个月后进行初步验收,验收通过后甲方支付至合同金额的40%,</w:t>
      </w:r>
      <w:r>
        <w:rPr>
          <w:rFonts w:hint="eastAsia" w:ascii="仿宋" w:eastAsia="仿宋"/>
          <w:color w:val="auto"/>
          <w:highlight w:val="none"/>
          <w:lang w:val="en-US" w:eastAsia="zh-CN"/>
        </w:rPr>
        <w:t>初验当年通过电子病历评审（四级），</w:t>
      </w:r>
      <w:r>
        <w:rPr>
          <w:rFonts w:hint="eastAsia" w:ascii="仿宋" w:eastAsia="仿宋"/>
          <w:color w:val="auto"/>
          <w:highlight w:val="none"/>
        </w:rPr>
        <w:t>初验通过一年后进行终验，验收通过后甲方支付至合同金额的80%,医院成功通过互联互通4级甲等测评后,甲方支付至合同金额的90%，医院成功通过互联互通4级甲等测评后三个月,甲方支付至合同金额的 100%。</w:t>
      </w:r>
    </w:p>
    <w:p w14:paraId="4FBD8C13">
      <w:pPr>
        <w:snapToGrid w:val="0"/>
        <w:spacing w:line="360" w:lineRule="auto"/>
        <w:rPr>
          <w:rFonts w:ascii="仿宋" w:eastAsia="仿宋"/>
          <w:color w:val="auto"/>
          <w:highlight w:val="none"/>
        </w:rPr>
      </w:pPr>
      <w:r>
        <w:rPr>
          <w:rFonts w:hint="eastAsia" w:ascii="仿宋" w:eastAsia="仿宋"/>
          <w:color w:val="auto"/>
          <w:highlight w:val="none"/>
        </w:rPr>
        <w:t>（采购人应明确“涉及中小企业合同的，按采购文件总则28预付款规定执行”的条款）</w:t>
      </w:r>
    </w:p>
    <w:p w14:paraId="136C5D69">
      <w:pPr>
        <w:spacing w:line="360" w:lineRule="auto"/>
        <w:rPr>
          <w:rFonts w:ascii="仿宋" w:eastAsia="仿宋"/>
          <w:b/>
          <w:bCs/>
          <w:color w:val="auto"/>
          <w:highlight w:val="none"/>
        </w:rPr>
      </w:pPr>
      <w:r>
        <w:rPr>
          <w:rFonts w:hint="eastAsia" w:ascii="仿宋" w:hAnsi="仿宋" w:eastAsia="仿宋"/>
          <w:color w:val="auto"/>
          <w:highlight w:val="none"/>
        </w:rPr>
        <w:t>▲</w:t>
      </w:r>
      <w:r>
        <w:rPr>
          <w:rFonts w:hint="eastAsia" w:ascii="仿宋" w:eastAsia="仿宋"/>
          <w:b/>
          <w:bCs/>
          <w:color w:val="auto"/>
          <w:highlight w:val="none"/>
        </w:rPr>
        <w:t>2.5验收</w:t>
      </w:r>
    </w:p>
    <w:p w14:paraId="206392EB">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2.5.1甲方对乙方提交的服务及产品依据招标文件上的技术规格要求和国家有关质量标准进行现场初步验收，外观、说明书符合招标文件技术要求的，给予签收，初步验收不合格的不予签收。交付运行后后，甲方组织相关人员进行验收。</w:t>
      </w:r>
    </w:p>
    <w:p w14:paraId="40E3C8EB">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2.5.2乙方交付前应对服务及产品作出全面检查和对验收文件进行整理，并列出清单，作为甲方交付验收和使用的技术条件依据，检验的结果应随服务及产品交甲方。</w:t>
      </w:r>
    </w:p>
    <w:p w14:paraId="02AE175C">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2.5.3甲方对乙方提供的服务及产品在使用前进行调试时，乙方需负责安装并培训甲方的使用操作人员，并协助甲方一起调试，直到符合技术要求，甲方才做最终验收。</w:t>
      </w:r>
    </w:p>
    <w:p w14:paraId="168F9A94">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2.5.</w:t>
      </w:r>
      <w:r>
        <w:rPr>
          <w:rFonts w:hint="eastAsia" w:ascii="仿宋" w:hAnsi="Times New Roman" w:eastAsia="仿宋" w:cs="Times New Roman"/>
          <w:color w:val="auto"/>
          <w:highlight w:val="none"/>
          <w:lang w:val="en-US" w:eastAsia="zh-CN"/>
        </w:rPr>
        <w:t>4</w:t>
      </w:r>
      <w:r>
        <w:rPr>
          <w:rFonts w:hint="eastAsia" w:ascii="仿宋" w:hAnsi="Times New Roman" w:eastAsia="仿宋" w:cs="Times New Roman"/>
          <w:color w:val="auto"/>
          <w:highlight w:val="none"/>
        </w:rPr>
        <w:t>验收时乙方必须在现场，验收完毕后作出验收结果报告。</w:t>
      </w:r>
    </w:p>
    <w:p w14:paraId="1AE13329">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2.5.</w:t>
      </w:r>
      <w:r>
        <w:rPr>
          <w:rFonts w:hint="eastAsia" w:ascii="仿宋" w:hAnsi="Times New Roman" w:eastAsia="仿宋" w:cs="Times New Roman"/>
          <w:color w:val="auto"/>
          <w:highlight w:val="none"/>
          <w:lang w:val="en-US" w:eastAsia="zh-CN"/>
        </w:rPr>
        <w:t>5</w:t>
      </w:r>
      <w:r>
        <w:rPr>
          <w:rFonts w:hint="eastAsia" w:ascii="仿宋" w:hAnsi="Times New Roman" w:eastAsia="仿宋" w:cs="Times New Roman"/>
          <w:color w:val="auto"/>
          <w:highlight w:val="none"/>
        </w:rPr>
        <w:t>项目的工作内容及成果文档的提交应覆盖以下内容，电子文档是成果不可分割的部分。</w:t>
      </w:r>
    </w:p>
    <w:p w14:paraId="084293F0">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(a)实施确认书；</w:t>
      </w:r>
    </w:p>
    <w:p w14:paraId="3F1E1CBE">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(b)培训资料；</w:t>
      </w:r>
    </w:p>
    <w:p w14:paraId="3BAB7352">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(c)安装维护手册；</w:t>
      </w:r>
    </w:p>
    <w:p w14:paraId="49296DD5">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(d)使用操作手册；</w:t>
      </w:r>
    </w:p>
    <w:p w14:paraId="09895F2A">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(e)项目验收报告</w:t>
      </w:r>
    </w:p>
    <w:p w14:paraId="3CFE254F">
      <w:pPr>
        <w:spacing w:line="360" w:lineRule="auto"/>
        <w:rPr>
          <w:rFonts w:ascii="仿宋" w:hAnsi="Times New Roman" w:eastAsia="仿宋" w:cs="Times New Roman"/>
          <w:b/>
          <w:bCs/>
          <w:color w:val="auto"/>
          <w:highlight w:val="none"/>
        </w:rPr>
      </w:pPr>
      <w:r>
        <w:rPr>
          <w:rFonts w:hint="eastAsia" w:ascii="仿宋" w:hAnsi="Times New Roman" w:eastAsia="仿宋" w:cs="Times New Roman"/>
          <w:b/>
          <w:bCs/>
          <w:color w:val="auto"/>
          <w:highlight w:val="none"/>
        </w:rPr>
        <w:t>▲2.6售后服务</w:t>
      </w:r>
    </w:p>
    <w:p w14:paraId="7C241C56">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2.6.1整体项目验收通过后按产品功能清单中要求的质保年限提供质保服务(投标人可根据自身实力作出更长时间的质保承诺)。在此期间，投标人应免费处理因质量发生的故障，并进行正常保养。投标人必须按招标方指定的方式提供7*24小时支持维护服务，包括电话、远程维护等方式。必须保证有足够的人员（专人专职）及技术支持电话负责本系统现场运维工作，并保证10分钟内响应，1小时之内解决问题，对于1小时内无法解决的问题，应提出应急措施。</w:t>
      </w:r>
    </w:p>
    <w:p w14:paraId="21125189">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2.6.2需注明质保期满后收费售后和服务的价格承诺。</w:t>
      </w:r>
    </w:p>
    <w:p w14:paraId="43237E8E">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2.6.3中标人应自行承担选派专业人员的住宿、就餐和交通等费用。</w:t>
      </w:r>
    </w:p>
    <w:p w14:paraId="3EE9EB87">
      <w:pPr>
        <w:spacing w:line="360" w:lineRule="auto"/>
        <w:rPr>
          <w:rFonts w:ascii="仿宋" w:hAnsi="Times New Roman" w:eastAsia="仿宋" w:cs="Times New Roman"/>
          <w:b/>
          <w:bCs/>
          <w:color w:val="auto"/>
          <w:highlight w:val="none"/>
        </w:rPr>
      </w:pPr>
      <w:r>
        <w:rPr>
          <w:rFonts w:hint="eastAsia" w:ascii="仿宋" w:hAnsi="Times New Roman" w:eastAsia="仿宋" w:cs="Times New Roman"/>
          <w:b/>
          <w:bCs/>
          <w:color w:val="auto"/>
          <w:highlight w:val="none"/>
        </w:rPr>
        <w:t>▲2.7安全及隐私要求</w:t>
      </w:r>
    </w:p>
    <w:p w14:paraId="64245A54">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信息安全是任何业务开展的基础，投标人对于本次项目涉及的相关信息的安全和隐私保护措施，给出详细可行的解决方案，包括但不限于应用审计安全、用户权限控制等。</w:t>
      </w:r>
    </w:p>
    <w:p w14:paraId="6218248B">
      <w:pPr>
        <w:spacing w:line="360" w:lineRule="auto"/>
        <w:rPr>
          <w:rFonts w:ascii="仿宋" w:hAnsi="Times New Roman" w:eastAsia="仿宋" w:cs="Times New Roman"/>
          <w:b/>
          <w:bCs/>
          <w:color w:val="auto"/>
          <w:highlight w:val="none"/>
        </w:rPr>
      </w:pPr>
      <w:r>
        <w:rPr>
          <w:rFonts w:hint="eastAsia" w:ascii="仿宋" w:hAnsi="Times New Roman" w:eastAsia="仿宋" w:cs="Times New Roman"/>
          <w:b/>
          <w:bCs/>
          <w:color w:val="auto"/>
          <w:highlight w:val="none"/>
        </w:rPr>
        <w:t>▲2.8结算原则</w:t>
      </w:r>
    </w:p>
    <w:p w14:paraId="1D48AC63">
      <w:pPr>
        <w:snapToGrid w:val="0"/>
        <w:spacing w:line="360" w:lineRule="auto"/>
        <w:rPr>
          <w:rFonts w:ascii="仿宋" w:hAnsi="Times New Roman" w:eastAsia="仿宋" w:cs="Times New Roman"/>
          <w:color w:val="auto"/>
          <w:highlight w:val="none"/>
        </w:rPr>
      </w:pPr>
      <w:r>
        <w:rPr>
          <w:rFonts w:hint="eastAsia" w:ascii="仿宋" w:hAnsi="Times New Roman" w:eastAsia="仿宋" w:cs="Times New Roman"/>
          <w:color w:val="auto"/>
          <w:highlight w:val="none"/>
        </w:rPr>
        <w:t>2.8.1中标单价一次性包死，不再调整，经招标人分级审批认可的数量增减，在结算时按中标单价按实调整。</w:t>
      </w:r>
    </w:p>
    <w:p w14:paraId="15634C31">
      <w:pPr>
        <w:spacing w:line="360" w:lineRule="auto"/>
        <w:rPr>
          <w:rFonts w:hint="eastAsia" w:ascii="仿宋" w:hAnsi="Times New Roman" w:eastAsia="仿宋" w:cs="Times New Roman"/>
          <w:b/>
          <w:bCs/>
          <w:color w:val="auto"/>
          <w:highlight w:val="none"/>
          <w:lang w:val="en-US" w:eastAsia="zh-CN"/>
        </w:rPr>
      </w:pPr>
      <w:r>
        <w:rPr>
          <w:rFonts w:hint="eastAsia" w:ascii="仿宋" w:hAnsi="Times New Roman" w:eastAsia="仿宋" w:cs="Times New Roman"/>
          <w:b/>
          <w:bCs/>
          <w:color w:val="auto"/>
          <w:highlight w:val="none"/>
          <w:lang w:val="en-US" w:eastAsia="zh-CN"/>
        </w:rPr>
        <w:t>2.9其他要求</w:t>
      </w:r>
    </w:p>
    <w:p w14:paraId="5C100533">
      <w:pPr>
        <w:snapToGrid w:val="0"/>
        <w:spacing w:line="360" w:lineRule="auto"/>
        <w:rPr>
          <w:rFonts w:hint="eastAsia" w:ascii="仿宋" w:hAnsi="Times New Roman" w:eastAsia="仿宋" w:cs="Times New Roman"/>
          <w:color w:val="auto"/>
          <w:highlight w:val="none"/>
          <w:lang w:val="en-US" w:eastAsia="zh-CN"/>
        </w:rPr>
      </w:pPr>
      <w:r>
        <w:rPr>
          <w:rFonts w:hint="eastAsia" w:ascii="仿宋" w:hAnsi="Times New Roman" w:eastAsia="仿宋" w:cs="Times New Roman"/>
          <w:color w:val="auto"/>
          <w:highlight w:val="none"/>
          <w:lang w:val="en-US" w:eastAsia="zh-CN"/>
        </w:rPr>
        <w:t>2.9.1</w:t>
      </w:r>
      <w:r>
        <w:rPr>
          <w:rFonts w:hint="eastAsia" w:ascii="仿宋" w:hAnsi="Times New Roman" w:eastAsia="仿宋" w:cs="Times New Roman"/>
          <w:color w:val="auto"/>
          <w:highlight w:val="none"/>
          <w:lang w:val="en-US" w:eastAsia="zh-CN"/>
        </w:rPr>
        <w:t>系统要满足原HIS的所有功能和所有接口功能。在医院进行电子病历等级（四级）评审时提供数据填报、截图等服务。建设期间所涉及到的所有接口费用包含在投标报价中。</w:t>
      </w:r>
    </w:p>
    <w:p w14:paraId="1C8EB92C">
      <w:pPr>
        <w:snapToGrid w:val="0"/>
        <w:spacing w:line="360" w:lineRule="auto"/>
        <w:rPr>
          <w:rFonts w:hint="default" w:ascii="仿宋" w:hAnsi="Times New Roman" w:eastAsia="仿宋" w:cs="Times New Roman"/>
          <w:color w:val="auto"/>
          <w:highlight w:val="none"/>
          <w:lang w:val="en-US" w:eastAsia="zh-CN"/>
        </w:rPr>
      </w:pPr>
      <w:r>
        <w:rPr>
          <w:rFonts w:hint="eastAsia" w:ascii="仿宋" w:hAnsi="Times New Roman" w:eastAsia="仿宋" w:cs="Times New Roman"/>
          <w:color w:val="auto"/>
          <w:highlight w:val="none"/>
          <w:lang w:val="en-US" w:eastAsia="zh-CN"/>
        </w:rPr>
        <w:t>2.9.2面向患者和基础网络的三级等保测评费用包含在本次投标报价中。</w:t>
      </w:r>
    </w:p>
    <w:p w14:paraId="65F7EF11">
      <w:pPr>
        <w:spacing w:line="360" w:lineRule="auto"/>
        <w:rPr>
          <w:rFonts w:hint="default" w:ascii="仿宋" w:hAnsi="Times New Roman" w:eastAsia="仿宋" w:cs="Times New Roman"/>
          <w:b/>
          <w:bCs/>
          <w:color w:val="auto"/>
          <w:highlight w:val="none"/>
          <w:lang w:val="en-US" w:eastAsia="zh-CN"/>
        </w:rPr>
      </w:pPr>
    </w:p>
    <w:p w14:paraId="4A945ADB">
      <w:pPr>
        <w:pStyle w:val="202"/>
        <w:rPr>
          <w:rFonts w:ascii="仿宋" w:hAnsi="仿宋" w:eastAsia="仿宋" w:cs="仿宋"/>
          <w:bCs/>
          <w:color w:val="auto"/>
          <w:highlight w:val="none"/>
        </w:rPr>
      </w:pPr>
    </w:p>
    <w:p w14:paraId="0786463C">
      <w:pPr>
        <w:pStyle w:val="202"/>
        <w:rPr>
          <w:rFonts w:ascii="仿宋" w:hAnsi="仿宋" w:eastAsia="仿宋" w:cs="仿宋"/>
          <w:bCs/>
          <w:color w:val="auto"/>
          <w:highlight w:val="none"/>
        </w:rPr>
      </w:pPr>
    </w:p>
    <w:p w14:paraId="215112C2">
      <w:pPr>
        <w:pStyle w:val="202"/>
        <w:rPr>
          <w:rFonts w:ascii="仿宋" w:eastAsia="仿宋"/>
          <w:color w:val="auto"/>
          <w:highlight w:val="none"/>
        </w:rPr>
      </w:pPr>
    </w:p>
    <w:p w14:paraId="0962638F">
      <w:pPr>
        <w:spacing w:line="36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 xml:space="preserve">第四部分   </w:t>
      </w:r>
      <w:bookmarkStart w:id="71" w:name="_Toc184312077"/>
      <w:bookmarkEnd w:id="71"/>
      <w:bookmarkStart w:id="72" w:name="_Toc184313266"/>
      <w:bookmarkEnd w:id="72"/>
      <w:bookmarkStart w:id="73" w:name="_Toc184310334"/>
      <w:bookmarkEnd w:id="73"/>
      <w:bookmarkStart w:id="74" w:name="_Toc184310337"/>
      <w:bookmarkEnd w:id="74"/>
      <w:bookmarkStart w:id="75" w:name="_Toc184308076"/>
      <w:bookmarkEnd w:id="75"/>
      <w:bookmarkStart w:id="76" w:name="_Toc184310300"/>
      <w:bookmarkEnd w:id="76"/>
      <w:bookmarkStart w:id="77" w:name="_Toc184308108"/>
      <w:bookmarkEnd w:id="77"/>
      <w:bookmarkStart w:id="78" w:name="_Toc184312130"/>
      <w:bookmarkEnd w:id="78"/>
      <w:bookmarkStart w:id="79" w:name="_Toc184308036"/>
      <w:bookmarkEnd w:id="79"/>
      <w:bookmarkStart w:id="80" w:name="_Toc184312111"/>
      <w:bookmarkEnd w:id="80"/>
      <w:bookmarkStart w:id="81" w:name="_Toc184314480"/>
      <w:bookmarkEnd w:id="81"/>
      <w:bookmarkStart w:id="82" w:name="_Toc184313257"/>
      <w:bookmarkEnd w:id="82"/>
      <w:bookmarkStart w:id="83" w:name="_Toc184313299"/>
      <w:bookmarkEnd w:id="83"/>
      <w:bookmarkStart w:id="84" w:name="_Toc184314459"/>
      <w:bookmarkEnd w:id="84"/>
      <w:bookmarkStart w:id="85" w:name="_Toc184310332"/>
      <w:bookmarkEnd w:id="85"/>
      <w:bookmarkStart w:id="86" w:name="_Toc184310321"/>
      <w:bookmarkEnd w:id="86"/>
      <w:bookmarkStart w:id="87" w:name="_Toc184310287"/>
      <w:bookmarkEnd w:id="87"/>
      <w:bookmarkStart w:id="88" w:name="_Toc184314460"/>
      <w:bookmarkEnd w:id="88"/>
      <w:bookmarkStart w:id="89" w:name="_Toc184308050"/>
      <w:bookmarkEnd w:id="89"/>
      <w:bookmarkStart w:id="90" w:name="_Toc184312085"/>
      <w:bookmarkEnd w:id="90"/>
      <w:bookmarkStart w:id="91" w:name="_Toc184314428"/>
      <w:bookmarkEnd w:id="91"/>
      <w:bookmarkStart w:id="92" w:name="_Toc184312134"/>
      <w:bookmarkEnd w:id="92"/>
      <w:bookmarkStart w:id="93" w:name="_Toc184308070"/>
      <w:bookmarkEnd w:id="93"/>
      <w:bookmarkStart w:id="94" w:name="_Toc184314430"/>
      <w:bookmarkEnd w:id="94"/>
      <w:bookmarkStart w:id="95" w:name="_Toc184312071"/>
      <w:bookmarkEnd w:id="95"/>
      <w:bookmarkStart w:id="96" w:name="_Toc184310315"/>
      <w:bookmarkEnd w:id="96"/>
      <w:bookmarkStart w:id="97" w:name="_Toc184308091"/>
      <w:bookmarkEnd w:id="97"/>
      <w:bookmarkStart w:id="98" w:name="_Toc184312129"/>
      <w:bookmarkEnd w:id="98"/>
      <w:bookmarkStart w:id="99" w:name="_Toc184313269"/>
      <w:bookmarkEnd w:id="99"/>
      <w:bookmarkStart w:id="100" w:name="_Toc184310326"/>
      <w:bookmarkEnd w:id="100"/>
      <w:bookmarkStart w:id="101" w:name="_Toc184312114"/>
      <w:bookmarkEnd w:id="101"/>
      <w:bookmarkStart w:id="102" w:name="_Toc184314468"/>
      <w:bookmarkEnd w:id="102"/>
      <w:bookmarkStart w:id="103" w:name="_Toc184312099"/>
      <w:bookmarkEnd w:id="103"/>
      <w:bookmarkStart w:id="104" w:name="_Toc184308079"/>
      <w:bookmarkEnd w:id="104"/>
      <w:bookmarkStart w:id="105" w:name="_Toc184310303"/>
      <w:bookmarkEnd w:id="105"/>
      <w:bookmarkStart w:id="106" w:name="_Toc184310282"/>
      <w:bookmarkEnd w:id="106"/>
      <w:bookmarkStart w:id="107" w:name="_Toc184312126"/>
      <w:bookmarkEnd w:id="107"/>
      <w:bookmarkStart w:id="108" w:name="_Toc184310290"/>
      <w:bookmarkEnd w:id="108"/>
      <w:bookmarkStart w:id="109" w:name="_Toc184312079"/>
      <w:bookmarkEnd w:id="109"/>
      <w:bookmarkStart w:id="110" w:name="_Toc184314439"/>
      <w:bookmarkEnd w:id="110"/>
      <w:bookmarkStart w:id="111" w:name="_Toc184308059"/>
      <w:bookmarkEnd w:id="111"/>
      <w:bookmarkStart w:id="112" w:name="_Toc184312102"/>
      <w:bookmarkEnd w:id="112"/>
      <w:bookmarkStart w:id="113" w:name="_Toc184308068"/>
      <w:bookmarkEnd w:id="113"/>
      <w:bookmarkStart w:id="114" w:name="_Toc184308074"/>
      <w:bookmarkEnd w:id="114"/>
      <w:bookmarkStart w:id="115" w:name="_Toc184308048"/>
      <w:bookmarkEnd w:id="115"/>
      <w:bookmarkStart w:id="116" w:name="_Toc184308054"/>
      <w:bookmarkEnd w:id="116"/>
      <w:bookmarkStart w:id="117" w:name="_Toc184308064"/>
      <w:bookmarkEnd w:id="117"/>
      <w:bookmarkStart w:id="118" w:name="_Toc184312076"/>
      <w:bookmarkEnd w:id="118"/>
      <w:bookmarkStart w:id="119" w:name="_Toc184308087"/>
      <w:bookmarkEnd w:id="119"/>
      <w:bookmarkStart w:id="120" w:name="_Toc184310331"/>
      <w:bookmarkEnd w:id="120"/>
      <w:bookmarkStart w:id="121" w:name="_Toc184312101"/>
      <w:bookmarkEnd w:id="121"/>
      <w:bookmarkStart w:id="122" w:name="_Toc184308069"/>
      <w:bookmarkEnd w:id="122"/>
      <w:bookmarkStart w:id="123" w:name="_Toc184308093"/>
      <w:bookmarkEnd w:id="123"/>
      <w:bookmarkStart w:id="124" w:name="_Toc184312098"/>
      <w:bookmarkEnd w:id="124"/>
      <w:bookmarkStart w:id="125" w:name="_Toc184314451"/>
      <w:bookmarkEnd w:id="125"/>
      <w:bookmarkStart w:id="126" w:name="_Toc184313243"/>
      <w:bookmarkEnd w:id="126"/>
      <w:bookmarkStart w:id="127" w:name="_Toc184314437"/>
      <w:bookmarkEnd w:id="127"/>
      <w:bookmarkStart w:id="128" w:name="_Toc184313290"/>
      <w:bookmarkEnd w:id="128"/>
      <w:bookmarkStart w:id="129" w:name="_Toc184308105"/>
      <w:bookmarkEnd w:id="129"/>
      <w:bookmarkStart w:id="130" w:name="_Toc184308080"/>
      <w:bookmarkEnd w:id="130"/>
      <w:bookmarkStart w:id="131" w:name="_Toc184313251"/>
      <w:bookmarkEnd w:id="131"/>
      <w:bookmarkStart w:id="132" w:name="_Toc184314448"/>
      <w:bookmarkEnd w:id="132"/>
      <w:bookmarkStart w:id="133" w:name="_Toc184310276"/>
      <w:bookmarkEnd w:id="133"/>
      <w:bookmarkStart w:id="134" w:name="_Toc184312124"/>
      <w:bookmarkEnd w:id="134"/>
      <w:bookmarkStart w:id="135" w:name="_Toc184310341"/>
      <w:bookmarkEnd w:id="135"/>
      <w:bookmarkStart w:id="136" w:name="_Toc184313289"/>
      <w:bookmarkEnd w:id="136"/>
      <w:bookmarkStart w:id="137" w:name="_Toc184308060"/>
      <w:bookmarkEnd w:id="137"/>
      <w:bookmarkStart w:id="138" w:name="_Toc184313297"/>
      <w:bookmarkEnd w:id="138"/>
      <w:bookmarkStart w:id="139" w:name="_Toc184314449"/>
      <w:bookmarkEnd w:id="139"/>
      <w:bookmarkStart w:id="140" w:name="_Toc184313302"/>
      <w:bookmarkEnd w:id="140"/>
      <w:bookmarkStart w:id="141" w:name="_Toc184308075"/>
      <w:bookmarkEnd w:id="141"/>
      <w:bookmarkStart w:id="142" w:name="_Toc184314431"/>
      <w:bookmarkEnd w:id="142"/>
      <w:bookmarkStart w:id="143" w:name="_Toc184312131"/>
      <w:bookmarkEnd w:id="143"/>
      <w:bookmarkStart w:id="144" w:name="_Toc184313307"/>
      <w:bookmarkEnd w:id="144"/>
      <w:bookmarkStart w:id="145" w:name="_Toc184310340"/>
      <w:bookmarkEnd w:id="145"/>
      <w:bookmarkStart w:id="146" w:name="_Toc184313275"/>
      <w:bookmarkEnd w:id="146"/>
      <w:bookmarkStart w:id="147" w:name="_Toc184313273"/>
      <w:bookmarkEnd w:id="147"/>
      <w:bookmarkStart w:id="148" w:name="_Toc184313258"/>
      <w:bookmarkEnd w:id="148"/>
      <w:bookmarkStart w:id="149" w:name="_Toc184308044"/>
      <w:bookmarkEnd w:id="149"/>
      <w:bookmarkStart w:id="150" w:name="_Toc184313291"/>
      <w:bookmarkEnd w:id="150"/>
      <w:bookmarkStart w:id="151" w:name="_Toc184308065"/>
      <w:bookmarkEnd w:id="151"/>
      <w:bookmarkStart w:id="152" w:name="_Toc184312087"/>
      <w:bookmarkEnd w:id="152"/>
      <w:bookmarkStart w:id="153" w:name="_Toc184314477"/>
      <w:bookmarkEnd w:id="153"/>
      <w:bookmarkStart w:id="154" w:name="_Toc184308098"/>
      <w:bookmarkEnd w:id="154"/>
      <w:bookmarkStart w:id="155" w:name="_Toc184310311"/>
      <w:bookmarkEnd w:id="155"/>
      <w:bookmarkStart w:id="156" w:name="_Toc184312081"/>
      <w:bookmarkEnd w:id="156"/>
      <w:bookmarkStart w:id="157" w:name="_Toc184314452"/>
      <w:bookmarkEnd w:id="157"/>
      <w:bookmarkStart w:id="158" w:name="_Toc184310288"/>
      <w:bookmarkEnd w:id="158"/>
      <w:bookmarkStart w:id="159" w:name="_Toc184310285"/>
      <w:bookmarkEnd w:id="159"/>
      <w:bookmarkStart w:id="160" w:name="_Toc184310289"/>
      <w:bookmarkEnd w:id="160"/>
      <w:bookmarkStart w:id="161" w:name="_Toc184308071"/>
      <w:bookmarkEnd w:id="161"/>
      <w:bookmarkStart w:id="162" w:name="_Toc184312117"/>
      <w:bookmarkEnd w:id="162"/>
      <w:bookmarkStart w:id="163" w:name="_Toc184308058"/>
      <w:bookmarkEnd w:id="163"/>
      <w:bookmarkStart w:id="164" w:name="_Toc184310297"/>
      <w:bookmarkEnd w:id="164"/>
      <w:bookmarkStart w:id="165" w:name="_Toc184310281"/>
      <w:bookmarkEnd w:id="165"/>
      <w:bookmarkStart w:id="166" w:name="_Toc184308106"/>
      <w:bookmarkEnd w:id="166"/>
      <w:bookmarkStart w:id="167" w:name="_Toc184314478"/>
      <w:bookmarkEnd w:id="167"/>
      <w:bookmarkStart w:id="168" w:name="_Toc184310295"/>
      <w:bookmarkEnd w:id="168"/>
      <w:bookmarkStart w:id="169" w:name="_Toc184308089"/>
      <w:bookmarkEnd w:id="169"/>
      <w:bookmarkStart w:id="170" w:name="_Toc184312137"/>
      <w:bookmarkEnd w:id="170"/>
      <w:bookmarkStart w:id="171" w:name="_Toc184313264"/>
      <w:bookmarkEnd w:id="171"/>
      <w:bookmarkStart w:id="172" w:name="_Toc184312113"/>
      <w:bookmarkEnd w:id="172"/>
      <w:bookmarkStart w:id="173" w:name="_Toc184310310"/>
      <w:bookmarkEnd w:id="173"/>
      <w:bookmarkStart w:id="174" w:name="_Toc184314445"/>
      <w:bookmarkEnd w:id="174"/>
      <w:bookmarkStart w:id="175" w:name="_Toc184310291"/>
      <w:bookmarkEnd w:id="175"/>
      <w:bookmarkStart w:id="176" w:name="_Toc184312083"/>
      <w:bookmarkEnd w:id="176"/>
      <w:bookmarkStart w:id="177" w:name="_Toc184310325"/>
      <w:bookmarkEnd w:id="177"/>
      <w:bookmarkStart w:id="178" w:name="_Toc184312091"/>
      <w:bookmarkEnd w:id="178"/>
      <w:bookmarkStart w:id="179" w:name="_Toc184312128"/>
      <w:bookmarkEnd w:id="179"/>
      <w:bookmarkStart w:id="180" w:name="_Toc184313305"/>
      <w:bookmarkEnd w:id="180"/>
      <w:bookmarkStart w:id="181" w:name="_Toc184312070"/>
      <w:bookmarkEnd w:id="181"/>
      <w:bookmarkStart w:id="182" w:name="_Toc184313249"/>
      <w:bookmarkEnd w:id="182"/>
      <w:bookmarkStart w:id="183" w:name="_Toc184314467"/>
      <w:bookmarkEnd w:id="183"/>
      <w:bookmarkStart w:id="184" w:name="_Toc184314471"/>
      <w:bookmarkEnd w:id="184"/>
      <w:bookmarkStart w:id="185" w:name="_Toc184310324"/>
      <w:bookmarkEnd w:id="185"/>
      <w:bookmarkStart w:id="186" w:name="_Toc184312138"/>
      <w:bookmarkEnd w:id="186"/>
      <w:bookmarkStart w:id="187" w:name="_Toc184310316"/>
      <w:bookmarkEnd w:id="187"/>
      <w:bookmarkStart w:id="188" w:name="_Toc184308095"/>
      <w:bookmarkEnd w:id="188"/>
      <w:bookmarkStart w:id="189" w:name="_Toc184314441"/>
      <w:bookmarkEnd w:id="189"/>
      <w:bookmarkStart w:id="190" w:name="_Toc184313238"/>
      <w:bookmarkEnd w:id="190"/>
      <w:bookmarkStart w:id="191" w:name="_Toc184314435"/>
      <w:bookmarkEnd w:id="191"/>
      <w:bookmarkStart w:id="192" w:name="_Toc184308100"/>
      <w:bookmarkEnd w:id="192"/>
      <w:bookmarkStart w:id="193" w:name="_Toc184314410"/>
      <w:bookmarkEnd w:id="193"/>
      <w:bookmarkStart w:id="194" w:name="_Toc184308102"/>
      <w:bookmarkEnd w:id="194"/>
      <w:bookmarkStart w:id="195" w:name="_Toc184313250"/>
      <w:bookmarkEnd w:id="195"/>
      <w:bookmarkStart w:id="196" w:name="_Toc184310305"/>
      <w:bookmarkEnd w:id="196"/>
      <w:bookmarkStart w:id="197" w:name="_Toc184314426"/>
      <w:bookmarkEnd w:id="197"/>
      <w:bookmarkStart w:id="198" w:name="_Toc184312110"/>
      <w:bookmarkEnd w:id="198"/>
      <w:bookmarkStart w:id="199" w:name="_Toc184308047"/>
      <w:bookmarkEnd w:id="199"/>
      <w:bookmarkStart w:id="200" w:name="_Toc184313282"/>
      <w:bookmarkEnd w:id="200"/>
      <w:bookmarkStart w:id="201" w:name="_Toc184312080"/>
      <w:bookmarkEnd w:id="201"/>
      <w:bookmarkStart w:id="202" w:name="_Toc184313281"/>
      <w:bookmarkEnd w:id="202"/>
      <w:bookmarkStart w:id="203" w:name="_Toc184314416"/>
      <w:bookmarkEnd w:id="203"/>
      <w:bookmarkStart w:id="204" w:name="_Toc184313276"/>
      <w:bookmarkEnd w:id="204"/>
      <w:bookmarkStart w:id="205" w:name="_Toc184308066"/>
      <w:bookmarkEnd w:id="205"/>
      <w:bookmarkStart w:id="206" w:name="_Toc184312073"/>
      <w:bookmarkEnd w:id="206"/>
      <w:bookmarkStart w:id="207" w:name="_Toc184313271"/>
      <w:bookmarkEnd w:id="207"/>
      <w:bookmarkStart w:id="208" w:name="_Toc184312086"/>
      <w:bookmarkEnd w:id="208"/>
      <w:bookmarkStart w:id="209" w:name="_Toc184308052"/>
      <w:bookmarkEnd w:id="209"/>
      <w:bookmarkStart w:id="210" w:name="_Toc184313239"/>
      <w:bookmarkEnd w:id="210"/>
      <w:bookmarkStart w:id="211" w:name="_Toc184312122"/>
      <w:bookmarkEnd w:id="211"/>
      <w:bookmarkStart w:id="212" w:name="_Toc184313308"/>
      <w:bookmarkEnd w:id="212"/>
      <w:bookmarkStart w:id="213" w:name="_Toc184313263"/>
      <w:bookmarkEnd w:id="213"/>
      <w:bookmarkStart w:id="214" w:name="_Toc184310320"/>
      <w:bookmarkEnd w:id="214"/>
      <w:bookmarkStart w:id="215" w:name="_Toc184312084"/>
      <w:bookmarkEnd w:id="215"/>
      <w:bookmarkStart w:id="216" w:name="_Toc184308085"/>
      <w:bookmarkEnd w:id="216"/>
      <w:bookmarkStart w:id="217" w:name="_Toc184314470"/>
      <w:bookmarkEnd w:id="217"/>
      <w:bookmarkStart w:id="218" w:name="_Toc184313309"/>
      <w:bookmarkEnd w:id="218"/>
      <w:bookmarkStart w:id="219" w:name="_Toc184313279"/>
      <w:bookmarkEnd w:id="219"/>
      <w:bookmarkStart w:id="220" w:name="_Toc184308038"/>
      <w:bookmarkEnd w:id="220"/>
      <w:bookmarkStart w:id="221" w:name="_Toc184313293"/>
      <w:bookmarkEnd w:id="221"/>
      <w:bookmarkStart w:id="222" w:name="_Toc184313256"/>
      <w:bookmarkEnd w:id="222"/>
      <w:bookmarkStart w:id="223" w:name="_Toc184314466"/>
      <w:bookmarkEnd w:id="223"/>
      <w:bookmarkStart w:id="224" w:name="_Toc184308072"/>
      <w:bookmarkEnd w:id="224"/>
      <w:bookmarkStart w:id="225" w:name="_Toc184314476"/>
      <w:bookmarkEnd w:id="225"/>
      <w:bookmarkStart w:id="226" w:name="_Toc184313287"/>
      <w:bookmarkEnd w:id="226"/>
      <w:bookmarkStart w:id="227" w:name="_Toc184314469"/>
      <w:bookmarkEnd w:id="227"/>
      <w:bookmarkStart w:id="228" w:name="_Toc184310286"/>
      <w:bookmarkEnd w:id="228"/>
      <w:bookmarkStart w:id="229" w:name="_Toc184314414"/>
      <w:bookmarkEnd w:id="229"/>
      <w:bookmarkStart w:id="230" w:name="_Toc184313270"/>
      <w:bookmarkEnd w:id="230"/>
      <w:bookmarkStart w:id="231" w:name="_Toc184308081"/>
      <w:bookmarkEnd w:id="231"/>
      <w:bookmarkStart w:id="232" w:name="_Toc184312120"/>
      <w:bookmarkEnd w:id="232"/>
      <w:bookmarkStart w:id="233" w:name="_Toc184312127"/>
      <w:bookmarkEnd w:id="233"/>
      <w:bookmarkStart w:id="234" w:name="_Toc184308062"/>
      <w:bookmarkEnd w:id="234"/>
      <w:bookmarkStart w:id="235" w:name="_Toc184313268"/>
      <w:bookmarkEnd w:id="235"/>
      <w:bookmarkStart w:id="236" w:name="_Toc184314422"/>
      <w:bookmarkEnd w:id="236"/>
      <w:bookmarkStart w:id="237" w:name="_Toc184310343"/>
      <w:bookmarkEnd w:id="237"/>
      <w:bookmarkStart w:id="238" w:name="_Toc184313285"/>
      <w:bookmarkEnd w:id="238"/>
      <w:bookmarkStart w:id="239" w:name="_Toc184310333"/>
      <w:bookmarkEnd w:id="239"/>
      <w:bookmarkStart w:id="240" w:name="_Toc184308083"/>
      <w:bookmarkEnd w:id="240"/>
      <w:bookmarkStart w:id="241" w:name="_Toc184310272"/>
      <w:bookmarkEnd w:id="241"/>
      <w:bookmarkStart w:id="242" w:name="_Toc184313253"/>
      <w:bookmarkEnd w:id="242"/>
      <w:bookmarkStart w:id="243" w:name="_Toc184310344"/>
      <w:bookmarkEnd w:id="243"/>
      <w:bookmarkStart w:id="244" w:name="_Toc184308094"/>
      <w:bookmarkEnd w:id="244"/>
      <w:bookmarkStart w:id="245" w:name="_Toc184314438"/>
      <w:bookmarkEnd w:id="245"/>
      <w:bookmarkStart w:id="246" w:name="_Toc184314418"/>
      <w:bookmarkEnd w:id="246"/>
      <w:bookmarkStart w:id="247" w:name="_Toc184313245"/>
      <w:bookmarkEnd w:id="247"/>
      <w:bookmarkStart w:id="248" w:name="_Toc184314464"/>
      <w:bookmarkEnd w:id="248"/>
      <w:bookmarkStart w:id="249" w:name="_Toc184312069"/>
      <w:bookmarkEnd w:id="249"/>
      <w:bookmarkStart w:id="250" w:name="_Toc184312136"/>
      <w:bookmarkEnd w:id="250"/>
      <w:bookmarkStart w:id="251" w:name="_Toc184312082"/>
      <w:bookmarkEnd w:id="251"/>
      <w:bookmarkStart w:id="252" w:name="_Toc184313298"/>
      <w:bookmarkEnd w:id="252"/>
      <w:bookmarkStart w:id="253" w:name="_Toc184313265"/>
      <w:bookmarkEnd w:id="253"/>
      <w:bookmarkStart w:id="254" w:name="_Toc184312121"/>
      <w:bookmarkEnd w:id="254"/>
      <w:bookmarkStart w:id="255" w:name="_Toc184314479"/>
      <w:bookmarkEnd w:id="255"/>
      <w:bookmarkStart w:id="256" w:name="_Toc184308040"/>
      <w:bookmarkEnd w:id="256"/>
      <w:bookmarkStart w:id="257" w:name="_Toc184313283"/>
      <w:bookmarkEnd w:id="257"/>
      <w:bookmarkStart w:id="258" w:name="_Toc184314456"/>
      <w:bookmarkEnd w:id="258"/>
      <w:bookmarkStart w:id="259" w:name="_Toc184312123"/>
      <w:bookmarkEnd w:id="259"/>
      <w:bookmarkStart w:id="260" w:name="_Toc184314482"/>
      <w:bookmarkEnd w:id="260"/>
      <w:bookmarkStart w:id="261" w:name="_Toc184313240"/>
      <w:bookmarkEnd w:id="261"/>
      <w:bookmarkStart w:id="262" w:name="_Toc184313272"/>
      <w:bookmarkEnd w:id="262"/>
      <w:bookmarkStart w:id="263" w:name="_Toc184314444"/>
      <w:bookmarkEnd w:id="263"/>
      <w:bookmarkStart w:id="264" w:name="_Toc184314420"/>
      <w:bookmarkEnd w:id="264"/>
      <w:bookmarkStart w:id="265" w:name="_Toc184312119"/>
      <w:bookmarkEnd w:id="265"/>
      <w:bookmarkStart w:id="266" w:name="_Toc184310273"/>
      <w:bookmarkEnd w:id="266"/>
      <w:bookmarkStart w:id="267" w:name="_Toc184314465"/>
      <w:bookmarkEnd w:id="267"/>
      <w:bookmarkStart w:id="268" w:name="_Toc184314424"/>
      <w:bookmarkEnd w:id="268"/>
      <w:bookmarkStart w:id="269" w:name="_Toc184308053"/>
      <w:bookmarkEnd w:id="269"/>
      <w:bookmarkStart w:id="270" w:name="_Toc184312067"/>
      <w:bookmarkEnd w:id="270"/>
      <w:bookmarkStart w:id="271" w:name="_Toc184313248"/>
      <w:bookmarkEnd w:id="271"/>
      <w:bookmarkStart w:id="272" w:name="_Toc184313310"/>
      <w:bookmarkEnd w:id="272"/>
      <w:bookmarkStart w:id="273" w:name="_Toc184308086"/>
      <w:bookmarkEnd w:id="273"/>
      <w:bookmarkStart w:id="274" w:name="_Toc184310309"/>
      <w:bookmarkEnd w:id="274"/>
      <w:bookmarkStart w:id="275" w:name="_Toc184310335"/>
      <w:bookmarkEnd w:id="275"/>
      <w:bookmarkStart w:id="276" w:name="_Toc184314462"/>
      <w:bookmarkEnd w:id="276"/>
      <w:bookmarkStart w:id="277" w:name="_Toc184314461"/>
      <w:bookmarkEnd w:id="277"/>
      <w:bookmarkStart w:id="278" w:name="_Toc184313247"/>
      <w:bookmarkEnd w:id="278"/>
      <w:bookmarkStart w:id="279" w:name="_Toc184308096"/>
      <w:bookmarkEnd w:id="279"/>
      <w:bookmarkStart w:id="280" w:name="_Toc184313296"/>
      <w:bookmarkEnd w:id="280"/>
      <w:bookmarkStart w:id="281" w:name="_Toc184310317"/>
      <w:bookmarkEnd w:id="281"/>
      <w:bookmarkStart w:id="282" w:name="_Toc184310307"/>
      <w:bookmarkEnd w:id="282"/>
      <w:bookmarkStart w:id="283" w:name="_Toc184310330"/>
      <w:bookmarkEnd w:id="283"/>
      <w:bookmarkStart w:id="284" w:name="_Toc184312096"/>
      <w:bookmarkEnd w:id="284"/>
      <w:bookmarkStart w:id="285" w:name="_Toc184314427"/>
      <w:bookmarkEnd w:id="285"/>
      <w:bookmarkStart w:id="286" w:name="_Toc184314450"/>
      <w:bookmarkEnd w:id="286"/>
      <w:bookmarkStart w:id="287" w:name="_Toc184314432"/>
      <w:bookmarkEnd w:id="287"/>
      <w:bookmarkStart w:id="288" w:name="_Toc184308107"/>
      <w:bookmarkEnd w:id="288"/>
      <w:bookmarkStart w:id="289" w:name="_Toc184314472"/>
      <w:bookmarkEnd w:id="289"/>
      <w:bookmarkStart w:id="290" w:name="_Toc184314425"/>
      <w:bookmarkEnd w:id="290"/>
      <w:bookmarkStart w:id="291" w:name="_Toc184310329"/>
      <w:bookmarkEnd w:id="291"/>
      <w:bookmarkStart w:id="292" w:name="_Toc184312097"/>
      <w:bookmarkEnd w:id="292"/>
      <w:bookmarkStart w:id="293" w:name="_Toc184310314"/>
      <w:bookmarkEnd w:id="293"/>
      <w:bookmarkStart w:id="294" w:name="_Toc184314412"/>
      <w:bookmarkEnd w:id="294"/>
      <w:bookmarkStart w:id="295" w:name="_Toc184313301"/>
      <w:bookmarkEnd w:id="295"/>
      <w:bookmarkStart w:id="296" w:name="_Toc184310304"/>
      <w:bookmarkEnd w:id="296"/>
      <w:bookmarkStart w:id="297" w:name="_Toc184312089"/>
      <w:bookmarkEnd w:id="297"/>
      <w:bookmarkStart w:id="298" w:name="_Toc184310274"/>
      <w:bookmarkEnd w:id="298"/>
      <w:bookmarkStart w:id="299" w:name="_Toc184308088"/>
      <w:bookmarkEnd w:id="299"/>
      <w:bookmarkStart w:id="300" w:name="_Toc184312093"/>
      <w:bookmarkEnd w:id="300"/>
      <w:bookmarkStart w:id="301" w:name="_Toc184308073"/>
      <w:bookmarkEnd w:id="301"/>
      <w:bookmarkStart w:id="302" w:name="_Toc184308104"/>
      <w:bookmarkEnd w:id="302"/>
      <w:bookmarkStart w:id="303" w:name="_Toc184308078"/>
      <w:bookmarkEnd w:id="303"/>
      <w:bookmarkStart w:id="304" w:name="_Toc184308103"/>
      <w:bookmarkEnd w:id="304"/>
      <w:bookmarkStart w:id="305" w:name="_Toc184314433"/>
      <w:bookmarkEnd w:id="305"/>
      <w:bookmarkStart w:id="306" w:name="_Toc184314413"/>
      <w:bookmarkEnd w:id="306"/>
      <w:bookmarkStart w:id="307" w:name="_Toc184310338"/>
      <w:bookmarkEnd w:id="307"/>
      <w:bookmarkStart w:id="308" w:name="_Toc184314434"/>
      <w:bookmarkEnd w:id="308"/>
      <w:bookmarkStart w:id="309" w:name="_Toc184310275"/>
      <w:bookmarkEnd w:id="309"/>
      <w:bookmarkStart w:id="310" w:name="_Toc184313252"/>
      <w:bookmarkEnd w:id="310"/>
      <w:bookmarkStart w:id="311" w:name="_Toc184313241"/>
      <w:bookmarkEnd w:id="311"/>
      <w:bookmarkStart w:id="312" w:name="_Toc184310313"/>
      <w:bookmarkEnd w:id="312"/>
      <w:bookmarkStart w:id="313" w:name="_Toc184310323"/>
      <w:bookmarkEnd w:id="313"/>
      <w:bookmarkStart w:id="314" w:name="_Toc184308049"/>
      <w:bookmarkEnd w:id="314"/>
      <w:bookmarkStart w:id="315" w:name="_Toc184314442"/>
      <w:bookmarkEnd w:id="315"/>
      <w:bookmarkStart w:id="316" w:name="_Toc184310298"/>
      <w:bookmarkEnd w:id="316"/>
      <w:bookmarkStart w:id="317" w:name="_Toc184312090"/>
      <w:bookmarkEnd w:id="317"/>
      <w:bookmarkStart w:id="318" w:name="_Toc184310279"/>
      <w:bookmarkEnd w:id="318"/>
      <w:bookmarkStart w:id="319" w:name="_Toc184313294"/>
      <w:bookmarkEnd w:id="319"/>
      <w:bookmarkStart w:id="320" w:name="_Toc184313304"/>
      <w:bookmarkEnd w:id="320"/>
      <w:bookmarkStart w:id="321" w:name="_Toc184310301"/>
      <w:bookmarkEnd w:id="321"/>
      <w:bookmarkStart w:id="322" w:name="_Toc184310318"/>
      <w:bookmarkEnd w:id="322"/>
      <w:bookmarkStart w:id="323" w:name="_Toc184313284"/>
      <w:bookmarkEnd w:id="323"/>
      <w:bookmarkStart w:id="324" w:name="_Toc184310306"/>
      <w:bookmarkEnd w:id="324"/>
      <w:bookmarkStart w:id="325" w:name="_Toc184310302"/>
      <w:bookmarkEnd w:id="325"/>
      <w:bookmarkStart w:id="326" w:name="_Toc184313260"/>
      <w:bookmarkEnd w:id="326"/>
      <w:bookmarkStart w:id="327" w:name="_Toc184313277"/>
      <w:bookmarkEnd w:id="327"/>
      <w:bookmarkStart w:id="328" w:name="_Toc184313295"/>
      <w:bookmarkEnd w:id="328"/>
      <w:bookmarkStart w:id="329" w:name="_Toc184313242"/>
      <w:bookmarkEnd w:id="329"/>
      <w:bookmarkStart w:id="330" w:name="_Toc184308092"/>
      <w:bookmarkEnd w:id="330"/>
      <w:bookmarkStart w:id="331" w:name="_Toc184313254"/>
      <w:bookmarkEnd w:id="331"/>
      <w:bookmarkStart w:id="332" w:name="_Toc184314474"/>
      <w:bookmarkEnd w:id="332"/>
      <w:bookmarkStart w:id="333" w:name="_Toc184310322"/>
      <w:bookmarkEnd w:id="333"/>
      <w:bookmarkStart w:id="334" w:name="_Toc184308051"/>
      <w:bookmarkEnd w:id="334"/>
      <w:bookmarkStart w:id="335" w:name="_Toc184313259"/>
      <w:bookmarkEnd w:id="335"/>
      <w:bookmarkStart w:id="336" w:name="_Toc184312107"/>
      <w:bookmarkEnd w:id="336"/>
      <w:bookmarkStart w:id="337" w:name="_Toc184308084"/>
      <w:bookmarkEnd w:id="337"/>
      <w:bookmarkStart w:id="338" w:name="_Toc184308061"/>
      <w:bookmarkEnd w:id="338"/>
      <w:bookmarkStart w:id="339" w:name="_Toc184312092"/>
      <w:bookmarkEnd w:id="339"/>
      <w:bookmarkStart w:id="340" w:name="_Toc184314457"/>
      <w:bookmarkEnd w:id="340"/>
      <w:bookmarkStart w:id="341" w:name="_Toc184312074"/>
      <w:bookmarkEnd w:id="341"/>
      <w:bookmarkStart w:id="342" w:name="_Toc184310319"/>
      <w:bookmarkEnd w:id="342"/>
      <w:bookmarkStart w:id="343" w:name="_Toc184312104"/>
      <w:bookmarkEnd w:id="343"/>
      <w:bookmarkStart w:id="344" w:name="_Toc184310292"/>
      <w:bookmarkEnd w:id="344"/>
      <w:bookmarkStart w:id="345" w:name="_Toc184312108"/>
      <w:bookmarkEnd w:id="345"/>
      <w:bookmarkStart w:id="346" w:name="_Toc184314415"/>
      <w:bookmarkEnd w:id="346"/>
      <w:bookmarkStart w:id="347" w:name="_Toc184310293"/>
      <w:bookmarkEnd w:id="347"/>
      <w:bookmarkStart w:id="348" w:name="_Toc184313261"/>
      <w:bookmarkEnd w:id="348"/>
      <w:bookmarkStart w:id="349" w:name="_Toc184314454"/>
      <w:bookmarkEnd w:id="349"/>
      <w:bookmarkStart w:id="350" w:name="_Toc184308077"/>
      <w:bookmarkEnd w:id="350"/>
      <w:bookmarkStart w:id="351" w:name="_Toc184310299"/>
      <w:bookmarkEnd w:id="351"/>
      <w:bookmarkStart w:id="352" w:name="_Toc184313267"/>
      <w:bookmarkEnd w:id="352"/>
      <w:bookmarkStart w:id="353" w:name="_Toc184312118"/>
      <w:bookmarkEnd w:id="353"/>
      <w:bookmarkStart w:id="354" w:name="_Toc184310342"/>
      <w:bookmarkEnd w:id="354"/>
      <w:bookmarkStart w:id="355" w:name="_Toc184310308"/>
      <w:bookmarkEnd w:id="355"/>
      <w:bookmarkStart w:id="356" w:name="_Toc184312112"/>
      <w:bookmarkEnd w:id="356"/>
      <w:bookmarkStart w:id="357" w:name="_Toc184308057"/>
      <w:bookmarkEnd w:id="357"/>
      <w:bookmarkStart w:id="358" w:name="_Toc184314411"/>
      <w:bookmarkEnd w:id="358"/>
      <w:bookmarkStart w:id="359" w:name="_Toc184313306"/>
      <w:bookmarkEnd w:id="359"/>
      <w:bookmarkStart w:id="360" w:name="_Toc184313292"/>
      <w:bookmarkEnd w:id="360"/>
      <w:bookmarkStart w:id="361" w:name="_Toc184314475"/>
      <w:bookmarkEnd w:id="361"/>
      <w:bookmarkStart w:id="362" w:name="_Toc184313300"/>
      <w:bookmarkEnd w:id="362"/>
      <w:bookmarkStart w:id="363" w:name="_Toc184314446"/>
      <w:bookmarkEnd w:id="363"/>
      <w:bookmarkStart w:id="364" w:name="_Toc184312103"/>
      <w:bookmarkEnd w:id="364"/>
      <w:bookmarkStart w:id="365" w:name="_Toc184308097"/>
      <w:bookmarkEnd w:id="365"/>
      <w:bookmarkStart w:id="366" w:name="_Toc184312135"/>
      <w:bookmarkEnd w:id="366"/>
      <w:bookmarkStart w:id="367" w:name="_Toc184308056"/>
      <w:bookmarkEnd w:id="367"/>
      <w:bookmarkStart w:id="368" w:name="_Toc184312106"/>
      <w:bookmarkEnd w:id="368"/>
      <w:bookmarkStart w:id="369" w:name="_Toc184310312"/>
      <w:bookmarkEnd w:id="369"/>
      <w:bookmarkStart w:id="370" w:name="_Toc184314423"/>
      <w:bookmarkEnd w:id="370"/>
      <w:bookmarkStart w:id="371" w:name="_Toc184308063"/>
      <w:bookmarkEnd w:id="371"/>
      <w:bookmarkStart w:id="372" w:name="_Toc184310327"/>
      <w:bookmarkEnd w:id="372"/>
      <w:bookmarkStart w:id="373" w:name="_Toc184314419"/>
      <w:bookmarkEnd w:id="373"/>
      <w:bookmarkStart w:id="374" w:name="_Toc184310280"/>
      <w:bookmarkEnd w:id="374"/>
      <w:bookmarkStart w:id="375" w:name="_Toc184312100"/>
      <w:bookmarkEnd w:id="375"/>
      <w:bookmarkStart w:id="376" w:name="_Toc184310296"/>
      <w:bookmarkEnd w:id="376"/>
      <w:bookmarkStart w:id="377" w:name="_Toc184308067"/>
      <w:bookmarkEnd w:id="377"/>
      <w:bookmarkStart w:id="378" w:name="_Toc184313246"/>
      <w:bookmarkEnd w:id="378"/>
      <w:bookmarkStart w:id="379" w:name="_Toc184310277"/>
      <w:bookmarkEnd w:id="379"/>
      <w:bookmarkStart w:id="380" w:name="_Toc184310328"/>
      <w:bookmarkEnd w:id="380"/>
      <w:bookmarkStart w:id="381" w:name="_Toc184313280"/>
      <w:bookmarkEnd w:id="381"/>
      <w:bookmarkStart w:id="382" w:name="_Toc184312075"/>
      <w:bookmarkEnd w:id="382"/>
      <w:bookmarkStart w:id="383" w:name="_Toc184314447"/>
      <w:bookmarkEnd w:id="383"/>
      <w:bookmarkStart w:id="384" w:name="_Toc184308055"/>
      <w:bookmarkEnd w:id="384"/>
      <w:bookmarkStart w:id="385" w:name="_Toc184312133"/>
      <w:bookmarkEnd w:id="385"/>
      <w:bookmarkStart w:id="386" w:name="_Toc184314440"/>
      <w:bookmarkEnd w:id="386"/>
      <w:bookmarkStart w:id="387" w:name="_Toc184312139"/>
      <w:bookmarkEnd w:id="387"/>
      <w:bookmarkStart w:id="388" w:name="_Toc184310284"/>
      <w:bookmarkEnd w:id="388"/>
      <w:bookmarkStart w:id="389" w:name="_Toc184313288"/>
      <w:bookmarkEnd w:id="389"/>
      <w:bookmarkStart w:id="390" w:name="_Toc184310294"/>
      <w:bookmarkEnd w:id="390"/>
      <w:bookmarkStart w:id="391" w:name="_Toc184312115"/>
      <w:bookmarkEnd w:id="391"/>
      <w:bookmarkStart w:id="392" w:name="_Toc184312094"/>
      <w:bookmarkEnd w:id="392"/>
      <w:bookmarkStart w:id="393" w:name="_Toc184314417"/>
      <w:bookmarkEnd w:id="393"/>
      <w:bookmarkStart w:id="394" w:name="_Toc184313255"/>
      <w:bookmarkEnd w:id="394"/>
      <w:bookmarkStart w:id="395" w:name="_Toc184313278"/>
      <w:bookmarkEnd w:id="395"/>
      <w:bookmarkStart w:id="396" w:name="_Toc184312109"/>
      <w:bookmarkEnd w:id="396"/>
      <w:bookmarkStart w:id="397" w:name="_Toc184312095"/>
      <w:bookmarkEnd w:id="397"/>
      <w:bookmarkStart w:id="398" w:name="_Toc184308101"/>
      <w:bookmarkEnd w:id="398"/>
      <w:bookmarkStart w:id="399" w:name="_Toc184314443"/>
      <w:bookmarkEnd w:id="399"/>
      <w:bookmarkStart w:id="400" w:name="_Toc184308099"/>
      <w:bookmarkEnd w:id="400"/>
      <w:bookmarkStart w:id="401" w:name="_Toc184313303"/>
      <w:bookmarkEnd w:id="401"/>
      <w:bookmarkStart w:id="402" w:name="_Toc184314421"/>
      <w:bookmarkEnd w:id="402"/>
      <w:bookmarkStart w:id="403" w:name="_Toc184312072"/>
      <w:bookmarkEnd w:id="403"/>
      <w:bookmarkStart w:id="404" w:name="_Toc184313244"/>
      <w:bookmarkEnd w:id="404"/>
      <w:bookmarkStart w:id="405" w:name="_Toc184314463"/>
      <w:bookmarkEnd w:id="405"/>
      <w:bookmarkStart w:id="406" w:name="_Toc184313262"/>
      <w:bookmarkEnd w:id="406"/>
      <w:bookmarkStart w:id="407" w:name="_Toc184308039"/>
      <w:bookmarkEnd w:id="407"/>
      <w:bookmarkStart w:id="408" w:name="_Toc184310283"/>
      <w:bookmarkEnd w:id="408"/>
      <w:bookmarkStart w:id="409" w:name="_Toc184312078"/>
      <w:bookmarkEnd w:id="409"/>
      <w:bookmarkStart w:id="410" w:name="_Toc184314473"/>
      <w:bookmarkEnd w:id="410"/>
      <w:bookmarkStart w:id="411" w:name="_Toc184308043"/>
      <w:bookmarkEnd w:id="411"/>
      <w:bookmarkStart w:id="412" w:name="_Toc184308042"/>
      <w:bookmarkEnd w:id="412"/>
      <w:bookmarkStart w:id="413" w:name="_Toc184308046"/>
      <w:bookmarkEnd w:id="413"/>
      <w:bookmarkStart w:id="414" w:name="_Toc184313274"/>
      <w:bookmarkEnd w:id="414"/>
      <w:bookmarkStart w:id="415" w:name="_Toc184313286"/>
      <w:bookmarkEnd w:id="415"/>
      <w:bookmarkStart w:id="416" w:name="_Toc184314481"/>
      <w:bookmarkEnd w:id="416"/>
      <w:bookmarkStart w:id="417" w:name="_Toc184312132"/>
      <w:bookmarkEnd w:id="417"/>
      <w:bookmarkStart w:id="418" w:name="_Toc184312116"/>
      <w:bookmarkEnd w:id="418"/>
      <w:bookmarkStart w:id="419" w:name="_Toc184308037"/>
      <w:bookmarkEnd w:id="419"/>
      <w:bookmarkStart w:id="420" w:name="_Toc184314455"/>
      <w:bookmarkEnd w:id="420"/>
      <w:bookmarkStart w:id="421" w:name="_Toc184312068"/>
      <w:bookmarkEnd w:id="421"/>
      <w:bookmarkStart w:id="422" w:name="_Toc184310278"/>
      <w:bookmarkEnd w:id="422"/>
      <w:bookmarkStart w:id="423" w:name="_Toc184308041"/>
      <w:bookmarkEnd w:id="423"/>
      <w:bookmarkStart w:id="424" w:name="_Toc184314436"/>
      <w:bookmarkEnd w:id="424"/>
      <w:bookmarkStart w:id="425" w:name="_Toc184310339"/>
      <w:bookmarkEnd w:id="425"/>
      <w:bookmarkStart w:id="426" w:name="_Toc184312088"/>
      <w:bookmarkEnd w:id="426"/>
      <w:bookmarkStart w:id="427" w:name="_Toc184314429"/>
      <w:bookmarkEnd w:id="427"/>
      <w:bookmarkStart w:id="428" w:name="_Toc184312105"/>
      <w:bookmarkEnd w:id="428"/>
      <w:bookmarkStart w:id="429" w:name="_Toc184308090"/>
      <w:bookmarkEnd w:id="429"/>
      <w:bookmarkStart w:id="430" w:name="_Toc184314458"/>
      <w:bookmarkEnd w:id="430"/>
      <w:bookmarkStart w:id="431" w:name="_Toc184308082"/>
      <w:bookmarkEnd w:id="431"/>
      <w:bookmarkStart w:id="432" w:name="_Toc184314453"/>
      <w:bookmarkEnd w:id="432"/>
      <w:bookmarkStart w:id="433" w:name="_Toc184310336"/>
      <w:bookmarkEnd w:id="433"/>
      <w:bookmarkStart w:id="434" w:name="_Toc184312125"/>
      <w:bookmarkEnd w:id="434"/>
      <w:bookmarkStart w:id="435" w:name="_Toc184308045"/>
      <w:bookmarkEnd w:id="435"/>
      <w:r>
        <w:rPr>
          <w:rFonts w:hint="eastAsia" w:ascii="仿宋" w:hAnsi="仿宋" w:eastAsia="仿宋" w:cs="仿宋_GB2312"/>
          <w:b/>
          <w:color w:val="auto"/>
          <w:sz w:val="36"/>
          <w:szCs w:val="36"/>
          <w:highlight w:val="none"/>
        </w:rPr>
        <w:t>评标方法及评分标准</w:t>
      </w:r>
    </w:p>
    <w:p w14:paraId="644A3DD7">
      <w:pPr>
        <w:snapToGrid w:val="0"/>
        <w:spacing w:line="360" w:lineRule="auto"/>
        <w:jc w:val="center"/>
        <w:rPr>
          <w:rFonts w:ascii="仿宋" w:hAnsi="仿宋" w:eastAsia="仿宋"/>
          <w:b/>
          <w:color w:val="auto"/>
          <w:sz w:val="28"/>
          <w:szCs w:val="28"/>
          <w:highlight w:val="none"/>
        </w:rPr>
      </w:pPr>
      <w:r>
        <w:rPr>
          <w:rFonts w:hint="eastAsia" w:ascii="仿宋" w:hAnsi="仿宋" w:eastAsia="仿宋" w:cs="仿宋_GB2312"/>
          <w:b/>
          <w:color w:val="auto"/>
          <w:sz w:val="32"/>
          <w:highlight w:val="none"/>
        </w:rPr>
        <w:t>一、评标方法</w:t>
      </w:r>
    </w:p>
    <w:p w14:paraId="3198A287">
      <w:pPr>
        <w:spacing w:line="360" w:lineRule="auto"/>
        <w:ind w:firstLine="480" w:firstLineChars="200"/>
        <w:rPr>
          <w:rFonts w:ascii="仿宋" w:hAnsi="仿宋" w:eastAsia="仿宋" w:cs="Arial"/>
          <w:color w:val="auto"/>
          <w:highlight w:val="none"/>
        </w:rPr>
      </w:pPr>
      <w:r>
        <w:rPr>
          <w:rFonts w:hint="eastAsia" w:ascii="仿宋" w:hAnsi="仿宋" w:eastAsia="仿宋" w:cs="Arial"/>
          <w:b/>
          <w:color w:val="auto"/>
          <w:highlight w:val="none"/>
        </w:rPr>
        <w:t>1.综合评分法。</w:t>
      </w:r>
      <w:r>
        <w:rPr>
          <w:rFonts w:hint="eastAsia" w:ascii="仿宋" w:hAnsi="仿宋" w:eastAsia="仿宋" w:cs="Arial"/>
          <w:color w:val="auto"/>
          <w:highlight w:val="none"/>
        </w:rPr>
        <w:t>综合评分法，是指投标文件满足招标文件全部实质性要求，且按照评审因素的量化指标评审得分最高的投标人为中标候选人的评标方法。</w:t>
      </w:r>
    </w:p>
    <w:p w14:paraId="77190682">
      <w:pPr>
        <w:spacing w:line="360" w:lineRule="auto"/>
        <w:rPr>
          <w:rFonts w:ascii="仿宋" w:hAnsi="仿宋" w:eastAsia="仿宋" w:cs="Arial"/>
          <w:color w:val="auto"/>
          <w:highlight w:val="none"/>
        </w:rPr>
      </w:pPr>
    </w:p>
    <w:p w14:paraId="1A7C1A92">
      <w:pPr>
        <w:snapToGrid w:val="0"/>
        <w:spacing w:line="360" w:lineRule="auto"/>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二、评标委员会的组成</w:t>
      </w:r>
    </w:p>
    <w:p w14:paraId="30E95192">
      <w:pPr>
        <w:snapToGrid w:val="0"/>
        <w:spacing w:line="360" w:lineRule="auto"/>
        <w:ind w:firstLine="480" w:firstLineChars="200"/>
        <w:rPr>
          <w:rFonts w:ascii="仿宋" w:hAnsi="仿宋" w:eastAsia="仿宋" w:cs="Arial"/>
          <w:color w:val="auto"/>
          <w:highlight w:val="none"/>
        </w:rPr>
      </w:pPr>
      <w:r>
        <w:rPr>
          <w:rFonts w:hint="eastAsia" w:ascii="仿宋" w:hAnsi="仿宋" w:eastAsia="仿宋" w:cs="Arial"/>
          <w:b/>
          <w:color w:val="auto"/>
          <w:highlight w:val="none"/>
        </w:rPr>
        <w:t>2.评标委员会的组成。</w:t>
      </w:r>
      <w:r>
        <w:rPr>
          <w:rFonts w:ascii="仿宋" w:hAnsi="仿宋" w:eastAsia="仿宋" w:cs="Arial"/>
          <w:color w:val="auto"/>
          <w:highlight w:val="none"/>
        </w:rPr>
        <w:t>评标委员会由采购人代表和评审专家组成，成员人数为5人以上单数，其中评审专家不少于成员总数的三分之二。</w:t>
      </w:r>
    </w:p>
    <w:p w14:paraId="79BB105A">
      <w:pPr>
        <w:pStyle w:val="203"/>
        <w:spacing w:before="0"/>
        <w:ind w:firstLine="482"/>
        <w:rPr>
          <w:rFonts w:ascii="仿宋" w:hAnsi="仿宋" w:eastAsia="仿宋" w:cs="Arial"/>
          <w:color w:val="auto"/>
          <w:highlight w:val="none"/>
        </w:rPr>
      </w:pPr>
      <w:r>
        <w:rPr>
          <w:rFonts w:hint="eastAsia" w:ascii="仿宋" w:hAnsi="仿宋" w:eastAsia="仿宋" w:cs="Arial"/>
          <w:b/>
          <w:color w:val="auto"/>
          <w:highlight w:val="none"/>
        </w:rPr>
        <w:t>3.评</w:t>
      </w:r>
      <w:r>
        <w:rPr>
          <w:rFonts w:hint="eastAsia" w:ascii="仿宋" w:hAnsi="仿宋" w:eastAsia="仿宋" w:cs="Arial"/>
          <w:b/>
          <w:color w:val="auto"/>
          <w:szCs w:val="24"/>
          <w:highlight w:val="none"/>
        </w:rPr>
        <w:t>标委员会的组成人员的回避。</w:t>
      </w:r>
      <w:r>
        <w:rPr>
          <w:rFonts w:hint="eastAsia" w:ascii="仿宋" w:hAnsi="仿宋" w:eastAsia="仿宋" w:cs="Arial"/>
          <w:color w:val="auto"/>
          <w:highlight w:val="none"/>
        </w:rPr>
        <w:t>在政府采购活动中，评标委员会的组成人员与供应商有下列利害关系之一的，应当回避：</w:t>
      </w:r>
    </w:p>
    <w:p w14:paraId="49716129">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3.1参加采购活动前3年内与供应商存在劳动关系；</w:t>
      </w:r>
    </w:p>
    <w:p w14:paraId="50E9BEF7">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3.2参加采购活动前3年内担任供应商的董事、监事；</w:t>
      </w:r>
    </w:p>
    <w:p w14:paraId="31628765">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3.3参加采购活动前3年内是供应商的控股股东或者实际控制人；</w:t>
      </w:r>
    </w:p>
    <w:p w14:paraId="374CD1B8">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3.4与供应商的法定代表人或者负责人有夫妻、直系血亲、三代以内旁系血亲或者近姻亲关系；</w:t>
      </w:r>
    </w:p>
    <w:p w14:paraId="328BF15E">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3.5与供应商有其他可能影响政府采购活动公平、公正进行的关系。</w:t>
      </w:r>
    </w:p>
    <w:p w14:paraId="01AEB267">
      <w:pPr>
        <w:snapToGrid w:val="0"/>
        <w:spacing w:line="360" w:lineRule="auto"/>
        <w:ind w:left="137" w:leftChars="57" w:firstLine="480" w:firstLineChars="150"/>
        <w:jc w:val="center"/>
        <w:rPr>
          <w:rFonts w:ascii="仿宋" w:hAnsi="仿宋" w:eastAsia="仿宋"/>
          <w:b/>
          <w:color w:val="auto"/>
          <w:sz w:val="32"/>
          <w:szCs w:val="32"/>
          <w:highlight w:val="none"/>
        </w:rPr>
      </w:pPr>
    </w:p>
    <w:p w14:paraId="2FE91500">
      <w:pPr>
        <w:snapToGrid w:val="0"/>
        <w:spacing w:line="360" w:lineRule="auto"/>
        <w:ind w:left="137" w:leftChars="57" w:firstLine="480" w:firstLineChars="150"/>
        <w:jc w:val="center"/>
        <w:rPr>
          <w:rFonts w:ascii="仿宋" w:hAnsi="仿宋" w:eastAsia="仿宋"/>
          <w:b/>
          <w:color w:val="auto"/>
          <w:sz w:val="32"/>
          <w:szCs w:val="32"/>
          <w:highlight w:val="none"/>
        </w:rPr>
      </w:pPr>
      <w:r>
        <w:rPr>
          <w:rFonts w:ascii="仿宋" w:hAnsi="仿宋" w:eastAsia="仿宋"/>
          <w:b/>
          <w:color w:val="auto"/>
          <w:sz w:val="32"/>
          <w:szCs w:val="32"/>
          <w:highlight w:val="none"/>
        </w:rPr>
        <w:t>　</w:t>
      </w:r>
      <w:r>
        <w:rPr>
          <w:rFonts w:ascii="仿宋" w:hAnsi="仿宋" w:eastAsia="仿宋" w:cs="仿宋_GB2312"/>
          <w:b/>
          <w:color w:val="auto"/>
          <w:sz w:val="32"/>
          <w:highlight w:val="none"/>
        </w:rPr>
        <w:t>　</w:t>
      </w:r>
      <w:r>
        <w:rPr>
          <w:rFonts w:hint="eastAsia" w:ascii="仿宋" w:hAnsi="仿宋" w:eastAsia="仿宋" w:cs="仿宋_GB2312"/>
          <w:b/>
          <w:color w:val="auto"/>
          <w:sz w:val="32"/>
          <w:highlight w:val="none"/>
        </w:rPr>
        <w:t>三、评标委员会的职责</w:t>
      </w:r>
    </w:p>
    <w:p w14:paraId="47E0557C">
      <w:pPr>
        <w:pStyle w:val="203"/>
        <w:spacing w:before="0"/>
        <w:ind w:firstLine="482"/>
        <w:rPr>
          <w:rFonts w:ascii="仿宋" w:hAnsi="仿宋" w:eastAsia="仿宋" w:cs="Arial"/>
          <w:b/>
          <w:color w:val="auto"/>
          <w:szCs w:val="24"/>
          <w:highlight w:val="none"/>
        </w:rPr>
      </w:pPr>
      <w:r>
        <w:rPr>
          <w:rFonts w:hint="eastAsia" w:ascii="仿宋" w:hAnsi="仿宋" w:eastAsia="仿宋" w:cs="Arial"/>
          <w:b/>
          <w:color w:val="auto"/>
          <w:szCs w:val="24"/>
          <w:highlight w:val="none"/>
        </w:rPr>
        <w:t>4.</w:t>
      </w:r>
      <w:r>
        <w:rPr>
          <w:rFonts w:ascii="仿宋" w:hAnsi="仿宋" w:eastAsia="仿宋" w:cs="Arial"/>
          <w:b/>
          <w:color w:val="auto"/>
          <w:szCs w:val="24"/>
          <w:highlight w:val="none"/>
        </w:rPr>
        <w:t>评标委员会负责具体评标事务，并独立履行下列职责：</w:t>
      </w:r>
    </w:p>
    <w:p w14:paraId="7DC83DB8">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4.1</w:t>
      </w:r>
      <w:r>
        <w:rPr>
          <w:rFonts w:ascii="仿宋" w:hAnsi="仿宋" w:eastAsia="仿宋" w:cs="Arial"/>
          <w:color w:val="auto"/>
          <w:highlight w:val="none"/>
        </w:rPr>
        <w:t>审查、评价投标文件是否符合招标文件的商务、技术等实质性要求；</w:t>
      </w:r>
    </w:p>
    <w:p w14:paraId="02CBCCFD">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4.2</w:t>
      </w:r>
      <w:r>
        <w:rPr>
          <w:rFonts w:ascii="仿宋" w:hAnsi="仿宋" w:eastAsia="仿宋" w:cs="Arial"/>
          <w:color w:val="auto"/>
          <w:highlight w:val="none"/>
        </w:rPr>
        <w:t>要求投标人对投标文件有关事项作出澄清或者说明；</w:t>
      </w:r>
    </w:p>
    <w:p w14:paraId="335D0A57">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4.3</w:t>
      </w:r>
      <w:r>
        <w:rPr>
          <w:rFonts w:ascii="仿宋" w:hAnsi="仿宋" w:eastAsia="仿宋" w:cs="Arial"/>
          <w:color w:val="auto"/>
          <w:highlight w:val="none"/>
        </w:rPr>
        <w:t>对投标文件进行比较和评价；</w:t>
      </w:r>
    </w:p>
    <w:p w14:paraId="7B25B430">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4.4</w:t>
      </w:r>
      <w:r>
        <w:rPr>
          <w:rFonts w:ascii="仿宋" w:hAnsi="仿宋" w:eastAsia="仿宋" w:cs="Arial"/>
          <w:color w:val="auto"/>
          <w:highlight w:val="none"/>
        </w:rPr>
        <w:t>确定中标候选人名单，以及根据采购人委托直接确定中标人；</w:t>
      </w:r>
    </w:p>
    <w:p w14:paraId="5E2E7FB6">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4.5</w:t>
      </w:r>
      <w:r>
        <w:rPr>
          <w:rFonts w:ascii="仿宋" w:hAnsi="仿宋" w:eastAsia="仿宋" w:cs="Arial"/>
          <w:color w:val="auto"/>
          <w:highlight w:val="none"/>
        </w:rPr>
        <w:t>向采购人、采购代理机构或者有关部门报告评标中发现的违法行为</w:t>
      </w:r>
      <w:r>
        <w:rPr>
          <w:rFonts w:hint="eastAsia" w:ascii="仿宋" w:hAnsi="仿宋" w:eastAsia="仿宋" w:cs="Arial"/>
          <w:color w:val="auto"/>
          <w:highlight w:val="none"/>
        </w:rPr>
        <w:t>；</w:t>
      </w:r>
    </w:p>
    <w:p w14:paraId="2FD74F2A">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4.6法律、法规、规章、招标文件等规定的其它事项。</w:t>
      </w:r>
    </w:p>
    <w:p w14:paraId="090C463A">
      <w:pPr>
        <w:pStyle w:val="203"/>
        <w:spacing w:before="0"/>
        <w:ind w:firstLine="482"/>
        <w:rPr>
          <w:rFonts w:ascii="仿宋" w:hAnsi="仿宋" w:eastAsia="仿宋" w:cs="Arial"/>
          <w:b/>
          <w:color w:val="auto"/>
          <w:szCs w:val="24"/>
          <w:highlight w:val="none"/>
        </w:rPr>
      </w:pPr>
      <w:r>
        <w:rPr>
          <w:rFonts w:hint="eastAsia" w:ascii="仿宋" w:hAnsi="仿宋" w:eastAsia="仿宋" w:cs="Arial"/>
          <w:b/>
          <w:color w:val="auto"/>
          <w:szCs w:val="24"/>
          <w:highlight w:val="none"/>
        </w:rPr>
        <w:t>5.</w:t>
      </w:r>
      <w:r>
        <w:rPr>
          <w:rFonts w:ascii="仿宋" w:hAnsi="仿宋" w:eastAsia="仿宋" w:cs="Arial"/>
          <w:b/>
          <w:color w:val="auto"/>
          <w:szCs w:val="24"/>
          <w:highlight w:val="none"/>
        </w:rPr>
        <w:t>评标委员会及其成员不得有下列行为：</w:t>
      </w:r>
    </w:p>
    <w:p w14:paraId="77952FA0">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5.1</w:t>
      </w:r>
      <w:r>
        <w:rPr>
          <w:rFonts w:ascii="仿宋" w:hAnsi="仿宋" w:eastAsia="仿宋" w:cs="Arial"/>
          <w:color w:val="auto"/>
          <w:highlight w:val="none"/>
        </w:rPr>
        <w:t>确定参与评标至评标结束前私自接触投标人；</w:t>
      </w:r>
    </w:p>
    <w:p w14:paraId="39F0834A">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5.2</w:t>
      </w:r>
      <w:r>
        <w:rPr>
          <w:rFonts w:ascii="仿宋" w:hAnsi="仿宋" w:eastAsia="仿宋" w:cs="Arial"/>
          <w:color w:val="auto"/>
          <w:highlight w:val="none"/>
        </w:rPr>
        <w:t>接受投标人提出的与投标文件不一致的澄清或者说明（</w:t>
      </w:r>
      <w:r>
        <w:rPr>
          <w:rFonts w:hint="eastAsia" w:ascii="仿宋" w:hAnsi="仿宋" w:eastAsia="仿宋" w:cs="Arial"/>
          <w:color w:val="auto"/>
          <w:highlight w:val="none"/>
        </w:rPr>
        <w:t>财政部87号《政府采购货物和服务招投标管理办法》</w:t>
      </w:r>
      <w:r>
        <w:rPr>
          <w:rFonts w:ascii="仿宋" w:hAnsi="仿宋" w:eastAsia="仿宋" w:cs="Arial"/>
          <w:color w:val="auto"/>
          <w:highlight w:val="none"/>
        </w:rPr>
        <w:t>第五十一条规定的情形除外）；</w:t>
      </w:r>
    </w:p>
    <w:p w14:paraId="7C0CF6CA">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5.3</w:t>
      </w:r>
      <w:r>
        <w:rPr>
          <w:rFonts w:ascii="仿宋" w:hAnsi="仿宋" w:eastAsia="仿宋" w:cs="Arial"/>
          <w:color w:val="auto"/>
          <w:highlight w:val="none"/>
        </w:rPr>
        <w:t>违反评标纪律发表倾向性意见或者征询采购人的倾向性意见；</w:t>
      </w:r>
    </w:p>
    <w:p w14:paraId="621A5D4D">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5.4</w:t>
      </w:r>
      <w:r>
        <w:rPr>
          <w:rFonts w:ascii="仿宋" w:hAnsi="仿宋" w:eastAsia="仿宋" w:cs="Arial"/>
          <w:color w:val="auto"/>
          <w:highlight w:val="none"/>
        </w:rPr>
        <w:t>对需要专业判断的主观评审因素协商评分；</w:t>
      </w:r>
    </w:p>
    <w:p w14:paraId="1728AA44">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5.5</w:t>
      </w:r>
      <w:r>
        <w:rPr>
          <w:rFonts w:ascii="仿宋" w:hAnsi="仿宋" w:eastAsia="仿宋" w:cs="Arial"/>
          <w:color w:val="auto"/>
          <w:highlight w:val="none"/>
        </w:rPr>
        <w:t>在评标过程中擅离职守，影响评标程序正常进行的；</w:t>
      </w:r>
    </w:p>
    <w:p w14:paraId="4ECF17C8">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5.6</w:t>
      </w:r>
      <w:r>
        <w:rPr>
          <w:rFonts w:ascii="仿宋" w:hAnsi="仿宋" w:eastAsia="仿宋" w:cs="Arial"/>
          <w:color w:val="auto"/>
          <w:highlight w:val="none"/>
        </w:rPr>
        <w:t>记录、复制或者带走任何评标资料；</w:t>
      </w:r>
    </w:p>
    <w:p w14:paraId="2CE110FA">
      <w:pPr>
        <w:pStyle w:val="203"/>
        <w:spacing w:before="0"/>
        <w:ind w:firstLine="480"/>
        <w:rPr>
          <w:rFonts w:ascii="仿宋" w:hAnsi="仿宋" w:eastAsia="仿宋" w:cs="Arial"/>
          <w:color w:val="auto"/>
          <w:highlight w:val="none"/>
        </w:rPr>
      </w:pPr>
      <w:r>
        <w:rPr>
          <w:rFonts w:hint="eastAsia" w:ascii="仿宋" w:hAnsi="仿宋" w:eastAsia="仿宋" w:cs="Arial"/>
          <w:color w:val="auto"/>
          <w:highlight w:val="none"/>
        </w:rPr>
        <w:t>5.7</w:t>
      </w:r>
      <w:r>
        <w:rPr>
          <w:rFonts w:ascii="仿宋" w:hAnsi="仿宋" w:eastAsia="仿宋" w:cs="Arial"/>
          <w:color w:val="auto"/>
          <w:highlight w:val="none"/>
        </w:rPr>
        <w:t>其他不遵守评标纪律的行为。</w:t>
      </w:r>
    </w:p>
    <w:p w14:paraId="366AD926">
      <w:pPr>
        <w:pStyle w:val="203"/>
        <w:spacing w:before="0"/>
        <w:ind w:firstLine="0" w:firstLineChars="0"/>
        <w:rPr>
          <w:rFonts w:ascii="仿宋" w:hAnsi="仿宋" w:eastAsia="仿宋" w:cs="Arial"/>
          <w:color w:val="auto"/>
          <w:highlight w:val="none"/>
        </w:rPr>
      </w:pPr>
      <w:r>
        <w:rPr>
          <w:rFonts w:ascii="仿宋" w:hAnsi="仿宋" w:eastAsia="仿宋" w:cs="Arial"/>
          <w:color w:val="auto"/>
          <w:highlight w:val="none"/>
        </w:rPr>
        <w:t>　　评标委员会成员有</w:t>
      </w:r>
      <w:r>
        <w:rPr>
          <w:rFonts w:hint="eastAsia" w:ascii="仿宋" w:hAnsi="仿宋" w:eastAsia="仿宋" w:cs="Arial"/>
          <w:color w:val="auto"/>
          <w:highlight w:val="none"/>
        </w:rPr>
        <w:t>5.1-5.7</w:t>
      </w:r>
      <w:r>
        <w:rPr>
          <w:rFonts w:ascii="仿宋" w:hAnsi="仿宋" w:eastAsia="仿宋" w:cs="Arial"/>
          <w:color w:val="auto"/>
          <w:highlight w:val="none"/>
        </w:rPr>
        <w:t>行为之一的，其评审意见无效，并不得获取评审劳务报酬和报销异地评审差旅费。</w:t>
      </w:r>
    </w:p>
    <w:p w14:paraId="4527B664">
      <w:pPr>
        <w:pStyle w:val="203"/>
        <w:spacing w:before="0"/>
        <w:ind w:firstLine="0" w:firstLineChars="0"/>
        <w:rPr>
          <w:rFonts w:ascii="仿宋" w:hAnsi="仿宋" w:eastAsia="仿宋" w:cs="Arial"/>
          <w:color w:val="auto"/>
          <w:highlight w:val="none"/>
        </w:rPr>
      </w:pPr>
    </w:p>
    <w:p w14:paraId="1A24FC5D">
      <w:pPr>
        <w:snapToGrid w:val="0"/>
        <w:spacing w:line="360" w:lineRule="auto"/>
        <w:ind w:left="137" w:leftChars="57" w:firstLine="480"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四、评审程序</w:t>
      </w:r>
    </w:p>
    <w:p w14:paraId="0B67C9A5">
      <w:pPr>
        <w:spacing w:line="360" w:lineRule="auto"/>
        <w:ind w:firstLine="471" w:firstLineChars="196"/>
        <w:rPr>
          <w:rFonts w:ascii="仿宋" w:hAnsi="仿宋" w:eastAsia="仿宋" w:cs="Arial"/>
          <w:color w:val="auto"/>
          <w:highlight w:val="none"/>
        </w:rPr>
      </w:pPr>
      <w:r>
        <w:rPr>
          <w:rFonts w:hint="eastAsia" w:ascii="仿宋" w:hAnsi="仿宋" w:eastAsia="仿宋" w:cs="Arial"/>
          <w:b/>
          <w:color w:val="auto"/>
          <w:highlight w:val="none"/>
        </w:rPr>
        <w:t>6.</w:t>
      </w:r>
      <w:r>
        <w:rPr>
          <w:rFonts w:ascii="仿宋" w:hAnsi="仿宋" w:eastAsia="仿宋" w:cs="Arial"/>
          <w:b/>
          <w:color w:val="auto"/>
          <w:highlight w:val="none"/>
        </w:rPr>
        <w:t>符合性</w:t>
      </w:r>
      <w:r>
        <w:rPr>
          <w:rFonts w:hint="eastAsia" w:ascii="仿宋" w:hAnsi="仿宋" w:eastAsia="仿宋" w:cs="Arial"/>
          <w:b/>
          <w:color w:val="auto"/>
          <w:highlight w:val="none"/>
        </w:rPr>
        <w:t>审查。</w:t>
      </w:r>
      <w:r>
        <w:rPr>
          <w:rFonts w:hint="eastAsia" w:ascii="仿宋" w:hAnsi="仿宋" w:eastAsia="仿宋" w:cs="Arial"/>
          <w:color w:val="auto"/>
          <w:highlight w:val="none"/>
        </w:rPr>
        <w:t>评标委员会应当对符合资格的投标人的投标文件进行符合性审查，以确定其是否满足招标文件的实质性要求。不满足招标文件的实质性要求的，投标无效。</w:t>
      </w:r>
    </w:p>
    <w:p w14:paraId="1CDB1003">
      <w:pPr>
        <w:pStyle w:val="203"/>
        <w:spacing w:before="0"/>
        <w:ind w:firstLine="482"/>
        <w:rPr>
          <w:rFonts w:ascii="仿宋" w:hAnsi="仿宋" w:eastAsia="仿宋" w:cs="Arial"/>
          <w:color w:val="auto"/>
          <w:szCs w:val="24"/>
          <w:highlight w:val="none"/>
        </w:rPr>
      </w:pPr>
      <w:r>
        <w:rPr>
          <w:rFonts w:hint="eastAsia" w:ascii="仿宋" w:hAnsi="仿宋" w:eastAsia="仿宋" w:cs="Arial"/>
          <w:b/>
          <w:color w:val="auto"/>
          <w:szCs w:val="24"/>
          <w:highlight w:val="none"/>
        </w:rPr>
        <w:t>7.</w:t>
      </w:r>
      <w:r>
        <w:rPr>
          <w:rFonts w:ascii="仿宋" w:hAnsi="仿宋" w:eastAsia="仿宋" w:cs="Arial"/>
          <w:b/>
          <w:color w:val="auto"/>
          <w:szCs w:val="24"/>
          <w:highlight w:val="none"/>
        </w:rPr>
        <w:t xml:space="preserve"> 比较与评价</w:t>
      </w:r>
      <w:r>
        <w:rPr>
          <w:rFonts w:hint="eastAsia" w:ascii="仿宋" w:hAnsi="仿宋" w:eastAsia="仿宋" w:cs="Arial"/>
          <w:b/>
          <w:color w:val="auto"/>
          <w:szCs w:val="24"/>
          <w:highlight w:val="none"/>
        </w:rPr>
        <w:t>。</w:t>
      </w:r>
      <w:r>
        <w:rPr>
          <w:rFonts w:ascii="仿宋" w:hAnsi="仿宋" w:eastAsia="仿宋" w:cs="Arial"/>
          <w:color w:val="auto"/>
          <w:szCs w:val="24"/>
          <w:highlight w:val="none"/>
        </w:rPr>
        <w:t>标委员会应当按照评标标准，对符合性审查合格的投标文件进行商务和技术评估，综合比较与评价。</w:t>
      </w:r>
    </w:p>
    <w:p w14:paraId="2C411C39">
      <w:pPr>
        <w:pStyle w:val="203"/>
        <w:spacing w:before="0"/>
        <w:ind w:firstLine="482"/>
        <w:rPr>
          <w:rFonts w:ascii="仿宋" w:hAnsi="仿宋" w:eastAsia="仿宋" w:cs="Arial"/>
          <w:color w:val="auto"/>
          <w:szCs w:val="24"/>
          <w:highlight w:val="none"/>
        </w:rPr>
      </w:pPr>
      <w:r>
        <w:rPr>
          <w:rFonts w:hint="eastAsia" w:ascii="仿宋" w:hAnsi="仿宋" w:eastAsia="仿宋" w:cs="Arial"/>
          <w:b/>
          <w:color w:val="auto"/>
          <w:szCs w:val="24"/>
          <w:highlight w:val="none"/>
        </w:rPr>
        <w:t>8.</w:t>
      </w:r>
      <w:r>
        <w:rPr>
          <w:rFonts w:ascii="仿宋" w:hAnsi="仿宋" w:eastAsia="仿宋" w:cs="Arial"/>
          <w:b/>
          <w:color w:val="auto"/>
          <w:szCs w:val="24"/>
          <w:highlight w:val="none"/>
        </w:rPr>
        <w:t xml:space="preserve"> 汇总</w:t>
      </w:r>
      <w:r>
        <w:rPr>
          <w:rFonts w:hint="eastAsia" w:ascii="仿宋" w:hAnsi="仿宋" w:eastAsia="仿宋" w:cs="Arial"/>
          <w:b/>
          <w:color w:val="auto"/>
          <w:szCs w:val="24"/>
          <w:highlight w:val="none"/>
        </w:rPr>
        <w:t>（商务技术得分情况）。</w:t>
      </w:r>
      <w:r>
        <w:rPr>
          <w:rFonts w:ascii="仿宋" w:hAnsi="仿宋" w:eastAsia="仿宋" w:cs="Arial"/>
          <w:color w:val="auto"/>
          <w:szCs w:val="24"/>
          <w:highlight w:val="none"/>
        </w:rPr>
        <w:t>评标委员会各成员应当独立对每个投标人的</w:t>
      </w:r>
      <w:r>
        <w:rPr>
          <w:rFonts w:hint="eastAsia" w:ascii="仿宋" w:hAnsi="仿宋" w:eastAsia="仿宋" w:cs="Arial"/>
          <w:color w:val="auto"/>
          <w:szCs w:val="24"/>
          <w:highlight w:val="none"/>
        </w:rPr>
        <w:t>商务和技术</w:t>
      </w:r>
      <w:r>
        <w:rPr>
          <w:rFonts w:ascii="仿宋" w:hAnsi="仿宋" w:eastAsia="仿宋" w:cs="Arial"/>
          <w:color w:val="auto"/>
          <w:szCs w:val="24"/>
          <w:highlight w:val="none"/>
        </w:rPr>
        <w:t>文件进行评价，并汇总</w:t>
      </w:r>
      <w:r>
        <w:rPr>
          <w:rFonts w:hint="eastAsia" w:ascii="仿宋" w:hAnsi="仿宋" w:eastAsia="仿宋" w:cs="Arial"/>
          <w:color w:val="auto"/>
          <w:szCs w:val="24"/>
          <w:highlight w:val="none"/>
        </w:rPr>
        <w:t>商务技术得分情况</w:t>
      </w:r>
      <w:r>
        <w:rPr>
          <w:rFonts w:ascii="仿宋" w:hAnsi="仿宋" w:eastAsia="仿宋" w:cs="Arial"/>
          <w:color w:val="auto"/>
          <w:szCs w:val="24"/>
          <w:highlight w:val="none"/>
        </w:rPr>
        <w:t>。</w:t>
      </w:r>
    </w:p>
    <w:p w14:paraId="7F1A17D7">
      <w:pPr>
        <w:pStyle w:val="203"/>
        <w:spacing w:before="0"/>
        <w:ind w:firstLine="482"/>
        <w:rPr>
          <w:rFonts w:ascii="仿宋" w:hAnsi="仿宋" w:eastAsia="仿宋" w:cs="Arial"/>
          <w:color w:val="auto"/>
          <w:szCs w:val="24"/>
          <w:highlight w:val="none"/>
        </w:rPr>
      </w:pPr>
      <w:r>
        <w:rPr>
          <w:rFonts w:hint="eastAsia" w:ascii="仿宋" w:hAnsi="仿宋" w:eastAsia="仿宋" w:cs="Arial"/>
          <w:b/>
          <w:color w:val="auto"/>
          <w:szCs w:val="24"/>
          <w:highlight w:val="none"/>
        </w:rPr>
        <w:t>9. 报价审核。</w:t>
      </w:r>
      <w:r>
        <w:rPr>
          <w:rFonts w:hint="eastAsia" w:ascii="仿宋" w:hAnsi="仿宋" w:eastAsia="仿宋" w:cs="Arial"/>
          <w:color w:val="auto"/>
          <w:szCs w:val="24"/>
          <w:highlight w:val="none"/>
        </w:rPr>
        <w:t>对经商务和技术评审符合采购需求的投标人的报价的合理性、准确性等进行审查核实。</w:t>
      </w:r>
    </w:p>
    <w:p w14:paraId="6CADFE5E">
      <w:pPr>
        <w:pStyle w:val="203"/>
        <w:spacing w:before="0"/>
        <w:ind w:firstLine="480"/>
        <w:rPr>
          <w:rFonts w:ascii="仿宋" w:hAnsi="仿宋" w:eastAsia="仿宋" w:cs="宋体"/>
          <w:color w:val="auto"/>
          <w:szCs w:val="24"/>
          <w:highlight w:val="none"/>
        </w:rPr>
      </w:pPr>
      <w:r>
        <w:rPr>
          <w:rFonts w:hint="eastAsia" w:ascii="仿宋" w:hAnsi="仿宋" w:eastAsia="仿宋" w:cs="Arial"/>
          <w:color w:val="auto"/>
          <w:szCs w:val="24"/>
          <w:highlight w:val="none"/>
        </w:rPr>
        <w:t>9.1评标委员会认为投标人的报价明显低于其他通过符合性审查投标人的报价，有可能影响产品质量或者不能诚信履约的，应当要求其在规定的时间内提供书面说明，必要时提交相关证明材料；</w:t>
      </w:r>
      <w:r>
        <w:rPr>
          <w:rFonts w:hint="eastAsia" w:ascii="仿宋" w:hAnsi="仿宋" w:eastAsia="仿宋" w:cs="宋体"/>
          <w:color w:val="auto"/>
          <w:szCs w:val="24"/>
          <w:highlight w:val="none"/>
        </w:rPr>
        <w:t>投标人不能证明其报价合理性的，评标委员会应当将其作为无效投标处理。</w:t>
      </w:r>
    </w:p>
    <w:p w14:paraId="2D1A507A">
      <w:pPr>
        <w:pStyle w:val="203"/>
        <w:spacing w:before="0"/>
        <w:ind w:firstLine="480"/>
        <w:rPr>
          <w:rFonts w:ascii="仿宋" w:hAnsi="仿宋" w:eastAsia="仿宋" w:cs="Arial"/>
          <w:color w:val="auto"/>
          <w:highlight w:val="none"/>
        </w:rPr>
      </w:pPr>
      <w:r>
        <w:rPr>
          <w:rFonts w:hint="eastAsia" w:ascii="仿宋" w:hAnsi="仿宋" w:eastAsia="仿宋" w:cs="Arial"/>
          <w:color w:val="auto"/>
          <w:szCs w:val="24"/>
          <w:highlight w:val="none"/>
        </w:rPr>
        <w:t>9.2</w:t>
      </w:r>
      <w:r>
        <w:rPr>
          <w:rFonts w:hint="eastAsia" w:ascii="仿宋" w:hAnsi="仿宋" w:eastAsia="仿宋" w:cs="宋体"/>
          <w:color w:val="auto"/>
          <w:szCs w:val="24"/>
          <w:highlight w:val="none"/>
        </w:rPr>
        <w:t>对于未预留份额专门面向中小企业的政府采购项目，以及预留份额政府采购项目中的非预留部分标项，对小型和微型企业的投标报价给予</w:t>
      </w:r>
      <w:r>
        <w:rPr>
          <w:rFonts w:hint="eastAsia" w:ascii="仿宋" w:hAnsi="仿宋" w:eastAsia="仿宋" w:cs="宋体"/>
          <w:b/>
          <w:bCs/>
          <w:color w:val="auto"/>
          <w:szCs w:val="24"/>
          <w:highlight w:val="none"/>
        </w:rPr>
        <w:t>10%</w:t>
      </w:r>
      <w:r>
        <w:rPr>
          <w:rFonts w:hint="eastAsia" w:ascii="仿宋" w:hAnsi="仿宋" w:eastAsia="仿宋" w:cs="宋体"/>
          <w:color w:val="auto"/>
          <w:szCs w:val="24"/>
          <w:highlight w:val="none"/>
        </w:rPr>
        <w:t>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4</w:t>
      </w:r>
      <w:r>
        <w:rPr>
          <w:rFonts w:hint="eastAsia" w:ascii="仿宋" w:hAnsi="仿宋" w:eastAsia="仿宋" w:cs="宋体"/>
          <w:b/>
          <w:bCs/>
          <w:color w:val="auto"/>
          <w:szCs w:val="24"/>
          <w:highlight w:val="none"/>
        </w:rPr>
        <w:t>%</w:t>
      </w:r>
      <w:r>
        <w:rPr>
          <w:rFonts w:hint="eastAsia" w:ascii="仿宋" w:hAnsi="仿宋" w:eastAsia="仿宋" w:cs="宋体"/>
          <w:color w:val="auto"/>
          <w:szCs w:val="24"/>
          <w:highlight w:val="none"/>
        </w:rPr>
        <w:t>的扣除，用扣除后的价格参加评审。组成联合体或者接受分包的小微企业与联合体内其他企业、分包企业之间存在直接控股、管理关系的，不享受价格扣除优惠政策。</w:t>
      </w:r>
    </w:p>
    <w:p w14:paraId="33617148">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9.3投标文件出现不是唯一的、有选择性投标报价的，投标无效。</w:t>
      </w:r>
    </w:p>
    <w:p w14:paraId="7C14A8DA">
      <w:pPr>
        <w:pStyle w:val="203"/>
        <w:spacing w:before="0"/>
        <w:ind w:firstLine="480"/>
        <w:rPr>
          <w:rFonts w:ascii="仿宋" w:hAnsi="仿宋" w:eastAsia="仿宋" w:cs="宋体"/>
          <w:color w:val="auto"/>
          <w:highlight w:val="none"/>
        </w:rPr>
      </w:pPr>
      <w:r>
        <w:rPr>
          <w:rFonts w:hint="eastAsia" w:ascii="仿宋" w:hAnsi="仿宋" w:eastAsia="仿宋" w:cs="宋体"/>
          <w:color w:val="auto"/>
          <w:highlight w:val="none"/>
        </w:rPr>
        <w:t>9.4投标报价超过招标文件中规定的预算金额或者最高限价的，投标无效。</w:t>
      </w:r>
    </w:p>
    <w:p w14:paraId="562FF14C">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9.5政采云投标客户端</w:t>
      </w:r>
      <w:r>
        <w:rPr>
          <w:rFonts w:hint="eastAsia" w:ascii="仿宋" w:hAnsi="仿宋" w:eastAsia="仿宋" w:cs="Arial"/>
          <w:color w:val="auto"/>
          <w:szCs w:val="24"/>
          <w:highlight w:val="none"/>
          <w:lang w:val="zh-CN"/>
        </w:rPr>
        <w:t>开标一览表（报价表）</w:t>
      </w:r>
      <w:r>
        <w:rPr>
          <w:rFonts w:hint="eastAsia" w:ascii="仿宋" w:hAnsi="仿宋" w:eastAsia="仿宋" w:cs="Arial"/>
          <w:color w:val="auto"/>
          <w:szCs w:val="24"/>
          <w:highlight w:val="none"/>
        </w:rPr>
        <w:t>内容与投标文件开标一览表(报价表)相应内容不一致的，以投标文件开标一览表(报价表)为准。</w:t>
      </w:r>
    </w:p>
    <w:p w14:paraId="00A80EDC">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9.6投标价格的修正原则。投标文件报价出现前后不一致的，按照下列规定修正：</w:t>
      </w:r>
    </w:p>
    <w:p w14:paraId="66C7E20C">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9.6.1投标文件中开标一览表(报价表)内容与投标文件中相应内容不一致的，以开标一览表(报价表)为准;</w:t>
      </w:r>
    </w:p>
    <w:p w14:paraId="776F4066">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9.6.2大写金额和小写金额不一致的，以大写金额为准;</w:t>
      </w:r>
    </w:p>
    <w:p w14:paraId="3EC5A30D">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9.6.3单价金额小数点或者百分比有明显错位的，以</w:t>
      </w:r>
      <w:r>
        <w:rPr>
          <w:rFonts w:hint="eastAsia" w:ascii="仿宋" w:hAnsi="仿宋" w:eastAsia="仿宋" w:cs="Arial"/>
          <w:color w:val="auto"/>
          <w:szCs w:val="24"/>
          <w:highlight w:val="none"/>
          <w:lang w:val="zh-CN"/>
        </w:rPr>
        <w:t>开标一览表（报价表）</w:t>
      </w:r>
      <w:r>
        <w:rPr>
          <w:rFonts w:hint="eastAsia" w:ascii="仿宋" w:hAnsi="仿宋" w:eastAsia="仿宋" w:cs="Arial"/>
          <w:color w:val="auto"/>
          <w:szCs w:val="24"/>
          <w:highlight w:val="none"/>
        </w:rPr>
        <w:t>的总价为准，并修改单价;</w:t>
      </w:r>
    </w:p>
    <w:p w14:paraId="6A4AC845">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9.6.4总价金额与按单价汇总金额不一致的，以单价金额计算结果为准；</w:t>
      </w:r>
    </w:p>
    <w:p w14:paraId="745E2147">
      <w:pPr>
        <w:pStyle w:val="203"/>
        <w:spacing w:before="0"/>
        <w:ind w:firstLine="480"/>
        <w:rPr>
          <w:rFonts w:ascii="仿宋" w:hAnsi="仿宋" w:eastAsia="仿宋" w:cs="Arial"/>
          <w:color w:val="auto"/>
          <w:szCs w:val="24"/>
          <w:highlight w:val="none"/>
        </w:rPr>
      </w:pPr>
      <w:r>
        <w:rPr>
          <w:rFonts w:hint="eastAsia" w:ascii="仿宋" w:hAnsi="仿宋" w:eastAsia="仿宋" w:cs="Arial"/>
          <w:color w:val="auto"/>
          <w:szCs w:val="24"/>
          <w:highlight w:val="none"/>
        </w:rPr>
        <w:t>9.6.5同时出现两种以上不一致的，按照前款规定的顺序修正。修正后的报价按照财政部第87号令 《政府采购货物和服务招标投标管理办法》第五十一条第二款的规定经投标人确认后产生约束力。</w:t>
      </w:r>
    </w:p>
    <w:p w14:paraId="7A9AE23F">
      <w:pPr>
        <w:spacing w:line="360" w:lineRule="auto"/>
        <w:ind w:firstLine="480" w:firstLineChars="200"/>
        <w:rPr>
          <w:rFonts w:ascii="仿宋" w:hAnsi="仿宋" w:eastAsia="仿宋" w:cs="仿宋_GB2312"/>
          <w:b/>
          <w:bCs/>
          <w:color w:val="auto"/>
          <w:highlight w:val="none"/>
        </w:rPr>
      </w:pPr>
      <w:r>
        <w:rPr>
          <w:rFonts w:hint="eastAsia" w:ascii="仿宋" w:hAnsi="仿宋" w:eastAsia="仿宋" w:cs="仿宋_GB2312"/>
          <w:bCs/>
          <w:color w:val="auto"/>
          <w:highlight w:val="none"/>
        </w:rPr>
        <w:t>▲</w:t>
      </w:r>
      <w:r>
        <w:rPr>
          <w:rFonts w:hint="eastAsia" w:ascii="仿宋" w:hAnsi="仿宋" w:eastAsia="仿宋" w:cs="仿宋_GB2312"/>
          <w:b/>
          <w:bCs/>
          <w:color w:val="auto"/>
          <w:highlight w:val="none"/>
        </w:rPr>
        <w:t>投标人对根据修正原则修正后的报价不确认的，投标无效。</w:t>
      </w:r>
    </w:p>
    <w:p w14:paraId="3C3CC0F5">
      <w:pPr>
        <w:spacing w:line="360" w:lineRule="auto"/>
        <w:ind w:firstLine="480" w:firstLineChars="200"/>
        <w:rPr>
          <w:rFonts w:ascii="仿宋" w:hAnsi="仿宋" w:eastAsia="仿宋" w:cs="Arial"/>
          <w:color w:val="auto"/>
          <w:highlight w:val="none"/>
        </w:rPr>
      </w:pPr>
      <w:r>
        <w:rPr>
          <w:rFonts w:hint="eastAsia" w:ascii="仿宋" w:hAnsi="仿宋" w:eastAsia="仿宋" w:cs="Arial"/>
          <w:b/>
          <w:color w:val="auto"/>
          <w:highlight w:val="none"/>
        </w:rPr>
        <w:t>10.</w:t>
      </w:r>
      <w:r>
        <w:rPr>
          <w:rFonts w:ascii="仿宋" w:hAnsi="仿宋" w:eastAsia="仿宋" w:cs="Arial"/>
          <w:b/>
          <w:color w:val="auto"/>
          <w:highlight w:val="none"/>
        </w:rPr>
        <w:t>汇总</w:t>
      </w:r>
      <w:r>
        <w:rPr>
          <w:rFonts w:hint="eastAsia" w:ascii="仿宋" w:hAnsi="仿宋" w:eastAsia="仿宋" w:cs="Arial"/>
          <w:b/>
          <w:color w:val="auto"/>
          <w:highlight w:val="none"/>
        </w:rPr>
        <w:t>得分。</w:t>
      </w:r>
      <w:r>
        <w:rPr>
          <w:rFonts w:ascii="仿宋" w:hAnsi="仿宋" w:eastAsia="仿宋" w:cs="Arial"/>
          <w:color w:val="auto"/>
          <w:highlight w:val="none"/>
        </w:rPr>
        <w:t>评标委员会各成员应当独立对每个投标人的投标文件进行评价，并汇总每个投标人的得分。</w:t>
      </w:r>
    </w:p>
    <w:p w14:paraId="74D938B3">
      <w:pPr>
        <w:spacing w:line="360" w:lineRule="auto"/>
        <w:ind w:firstLine="480" w:firstLineChars="200"/>
        <w:rPr>
          <w:rFonts w:ascii="仿宋" w:hAnsi="仿宋" w:eastAsia="仿宋" w:cs="Arial"/>
          <w:b/>
          <w:color w:val="auto"/>
          <w:highlight w:val="none"/>
        </w:rPr>
      </w:pPr>
      <w:r>
        <w:rPr>
          <w:rFonts w:hint="eastAsia" w:ascii="仿宋" w:hAnsi="仿宋" w:eastAsia="仿宋" w:cs="Arial"/>
          <w:b/>
          <w:color w:val="auto"/>
          <w:highlight w:val="none"/>
        </w:rPr>
        <w:t>11.中标候选人推荐。</w:t>
      </w:r>
    </w:p>
    <w:p w14:paraId="2BD77D25">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11.1评审后总得分最高者为第一中标候选人，总得分相同的，以报价低者为第一中标候选人，总得分与报价均相同的，由采购人当场随机抽取产生第一中标候选人。</w:t>
      </w:r>
    </w:p>
    <w:p w14:paraId="591546E3">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11.2多家投标人</w:t>
      </w:r>
      <w:r>
        <w:rPr>
          <w:rFonts w:ascii="仿宋" w:hAnsi="仿宋" w:eastAsia="仿宋" w:cs="仿宋_GB2312"/>
          <w:color w:val="auto"/>
          <w:highlight w:val="none"/>
        </w:rPr>
        <w:t>提供相同品牌产品</w:t>
      </w:r>
      <w:r>
        <w:rPr>
          <w:rFonts w:hint="eastAsia" w:ascii="仿宋" w:hAnsi="仿宋" w:eastAsia="仿宋" w:cs="仿宋_GB2312"/>
          <w:color w:val="auto"/>
          <w:highlight w:val="none"/>
        </w:rPr>
        <w:t>（</w:t>
      </w:r>
      <w:r>
        <w:rPr>
          <w:rFonts w:ascii="仿宋" w:hAnsi="仿宋" w:eastAsia="仿宋" w:cs="仿宋_GB2312"/>
          <w:color w:val="auto"/>
          <w:highlight w:val="none"/>
        </w:rPr>
        <w:t>单一产品采购项目</w:t>
      </w:r>
      <w:r>
        <w:rPr>
          <w:rFonts w:hint="eastAsia" w:ascii="仿宋" w:hAnsi="仿宋" w:eastAsia="仿宋" w:cs="仿宋_GB2312"/>
          <w:color w:val="auto"/>
          <w:highlight w:val="none"/>
        </w:rPr>
        <w:t>中的该产品或者非</w:t>
      </w:r>
      <w:r>
        <w:rPr>
          <w:rFonts w:ascii="仿宋" w:hAnsi="仿宋" w:eastAsia="仿宋" w:cs="仿宋_GB2312"/>
          <w:color w:val="auto"/>
          <w:highlight w:val="none"/>
        </w:rPr>
        <w:t>单一产品采购项目</w:t>
      </w:r>
      <w:r>
        <w:rPr>
          <w:rFonts w:hint="eastAsia" w:ascii="仿宋" w:hAnsi="仿宋" w:eastAsia="仿宋" w:cs="仿宋_GB2312"/>
          <w:color w:val="auto"/>
          <w:highlight w:val="none"/>
        </w:rPr>
        <w:t>的核心产品）</w:t>
      </w:r>
      <w:r>
        <w:rPr>
          <w:rFonts w:ascii="仿宋" w:hAnsi="仿宋" w:eastAsia="仿宋" w:cs="仿宋_GB2312"/>
          <w:color w:val="auto"/>
          <w:highlight w:val="none"/>
        </w:rPr>
        <w:t>且通过资格审查、符合性审查的不同投标人参加同一合同项下投标的，按一家投标人计算，评审后得分最高的同品牌投标人获得中标</w:t>
      </w:r>
      <w:r>
        <w:rPr>
          <w:rFonts w:hint="eastAsia" w:ascii="仿宋" w:hAnsi="仿宋" w:eastAsia="仿宋" w:cs="仿宋_GB2312"/>
          <w:color w:val="auto"/>
          <w:highlight w:val="none"/>
        </w:rPr>
        <w:t>候选</w:t>
      </w:r>
      <w:r>
        <w:rPr>
          <w:rFonts w:ascii="仿宋" w:hAnsi="仿宋" w:eastAsia="仿宋" w:cs="仿宋_GB2312"/>
          <w:color w:val="auto"/>
          <w:highlight w:val="none"/>
        </w:rPr>
        <w:t>人推荐资格；评审得分相同的</w:t>
      </w:r>
      <w:r>
        <w:rPr>
          <w:rFonts w:hint="eastAsia" w:ascii="仿宋" w:hAnsi="仿宋" w:eastAsia="仿宋" w:cs="仿宋_GB2312"/>
          <w:color w:val="auto"/>
          <w:highlight w:val="none"/>
        </w:rPr>
        <w:t>报价低者获得中标候选人推荐资格</w:t>
      </w:r>
      <w:r>
        <w:rPr>
          <w:rFonts w:ascii="仿宋" w:hAnsi="仿宋" w:eastAsia="仿宋" w:cs="仿宋_GB2312"/>
          <w:color w:val="auto"/>
          <w:highlight w:val="none"/>
        </w:rPr>
        <w:t>，</w:t>
      </w:r>
      <w:r>
        <w:rPr>
          <w:rFonts w:hint="eastAsia" w:ascii="仿宋" w:hAnsi="仿宋" w:eastAsia="仿宋" w:cs="仿宋_GB2312"/>
          <w:color w:val="auto"/>
          <w:highlight w:val="none"/>
        </w:rPr>
        <w:t>评审得分与报价均相同的</w:t>
      </w:r>
      <w:r>
        <w:rPr>
          <w:rFonts w:ascii="仿宋" w:hAnsi="仿宋" w:eastAsia="仿宋" w:cs="仿宋_GB2312"/>
          <w:color w:val="auto"/>
          <w:highlight w:val="none"/>
        </w:rPr>
        <w:t>采取随机抽取方式确定，其他同品牌投标人不作为中标候选人。</w:t>
      </w:r>
    </w:p>
    <w:p w14:paraId="57DA58AB">
      <w:pPr>
        <w:pStyle w:val="203"/>
        <w:spacing w:before="0"/>
        <w:ind w:firstLine="482"/>
        <w:rPr>
          <w:rFonts w:ascii="仿宋" w:hAnsi="仿宋" w:eastAsia="仿宋" w:cs="仿宋_GB2312"/>
          <w:color w:val="auto"/>
          <w:szCs w:val="24"/>
          <w:highlight w:val="none"/>
        </w:rPr>
      </w:pPr>
      <w:r>
        <w:rPr>
          <w:rFonts w:hint="eastAsia" w:ascii="仿宋" w:hAnsi="仿宋" w:eastAsia="仿宋" w:cs="仿宋_GB2312"/>
          <w:b/>
          <w:color w:val="auto"/>
          <w:szCs w:val="24"/>
          <w:highlight w:val="none"/>
        </w:rPr>
        <w:t>12.</w:t>
      </w:r>
      <w:r>
        <w:rPr>
          <w:rFonts w:ascii="仿宋" w:hAnsi="仿宋" w:eastAsia="仿宋" w:cs="仿宋_GB2312"/>
          <w:b/>
          <w:color w:val="auto"/>
          <w:szCs w:val="24"/>
          <w:highlight w:val="none"/>
        </w:rPr>
        <w:t>评标报告</w:t>
      </w:r>
      <w:r>
        <w:rPr>
          <w:rFonts w:hint="eastAsia" w:ascii="仿宋" w:hAnsi="仿宋" w:eastAsia="仿宋" w:cs="仿宋_GB2312"/>
          <w:b/>
          <w:color w:val="auto"/>
          <w:szCs w:val="24"/>
          <w:highlight w:val="none"/>
        </w:rPr>
        <w:t>与推荐</w:t>
      </w:r>
      <w:r>
        <w:rPr>
          <w:rFonts w:ascii="仿宋" w:hAnsi="仿宋" w:eastAsia="仿宋" w:cs="仿宋_GB2312"/>
          <w:b/>
          <w:color w:val="auto"/>
          <w:szCs w:val="24"/>
          <w:highlight w:val="none"/>
        </w:rPr>
        <w:t>中标候选人</w:t>
      </w:r>
      <w:r>
        <w:rPr>
          <w:rFonts w:hint="eastAsia" w:ascii="仿宋" w:hAnsi="仿宋" w:eastAsia="仿宋" w:cs="仿宋_GB2312"/>
          <w:b/>
          <w:color w:val="auto"/>
          <w:szCs w:val="24"/>
          <w:highlight w:val="none"/>
        </w:rPr>
        <w:t>。</w:t>
      </w:r>
      <w:r>
        <w:rPr>
          <w:rFonts w:ascii="仿宋" w:hAnsi="仿宋" w:eastAsia="仿宋" w:cs="仿宋_GB2312"/>
          <w:color w:val="auto"/>
          <w:szCs w:val="24"/>
          <w:highlight w:val="none"/>
        </w:rPr>
        <w:t>评标委员会根据全体评标成员签字的原始评标记录和评标结果编写评标报告</w:t>
      </w:r>
      <w:r>
        <w:rPr>
          <w:rFonts w:hint="eastAsia" w:ascii="仿宋" w:hAnsi="仿宋" w:eastAsia="仿宋" w:cs="仿宋_GB2312"/>
          <w:color w:val="auto"/>
          <w:szCs w:val="24"/>
          <w:highlight w:val="none"/>
        </w:rPr>
        <w:t>，</w:t>
      </w:r>
      <w:r>
        <w:rPr>
          <w:rFonts w:ascii="仿宋" w:hAnsi="仿宋" w:eastAsia="仿宋" w:cs="仿宋_GB2312"/>
          <w:color w:val="auto"/>
          <w:szCs w:val="24"/>
          <w:highlight w:val="none"/>
        </w:rPr>
        <w:t>并</w:t>
      </w:r>
      <w:r>
        <w:rPr>
          <w:rFonts w:hint="eastAsia" w:ascii="仿宋" w:hAnsi="仿宋" w:eastAsia="仿宋" w:cs="仿宋_GB2312"/>
          <w:color w:val="auto"/>
          <w:szCs w:val="24"/>
          <w:highlight w:val="none"/>
        </w:rPr>
        <w:t>推荐</w:t>
      </w:r>
      <w:r>
        <w:rPr>
          <w:rFonts w:ascii="仿宋" w:hAnsi="仿宋" w:eastAsia="仿宋" w:cs="仿宋_GB2312"/>
          <w:color w:val="auto"/>
          <w:szCs w:val="24"/>
          <w:highlight w:val="none"/>
        </w:rPr>
        <w:t>中标候选人</w:t>
      </w:r>
      <w:r>
        <w:rPr>
          <w:rFonts w:hint="eastAsia" w:ascii="仿宋" w:hAnsi="仿宋" w:eastAsia="仿宋" w:cs="仿宋_GB2312"/>
          <w:color w:val="auto"/>
          <w:szCs w:val="24"/>
          <w:highlight w:val="none"/>
        </w:rPr>
        <w:t>，评审</w:t>
      </w:r>
      <w:r>
        <w:rPr>
          <w:rFonts w:ascii="仿宋" w:hAnsi="仿宋" w:eastAsia="仿宋" w:cs="仿宋_GB2312"/>
          <w:color w:val="auto"/>
          <w:szCs w:val="24"/>
          <w:highlight w:val="none"/>
        </w:rPr>
        <w:t>报告由</w:t>
      </w:r>
      <w:r>
        <w:rPr>
          <w:rFonts w:hint="eastAsia" w:ascii="仿宋" w:hAnsi="仿宋" w:eastAsia="仿宋" w:cs="仿宋_GB2312"/>
          <w:color w:val="auto"/>
          <w:szCs w:val="24"/>
          <w:highlight w:val="none"/>
        </w:rPr>
        <w:t>评标委员会</w:t>
      </w:r>
      <w:r>
        <w:rPr>
          <w:rFonts w:ascii="仿宋" w:hAnsi="仿宋" w:eastAsia="仿宋" w:cs="仿宋_GB2312"/>
          <w:color w:val="auto"/>
          <w:szCs w:val="24"/>
          <w:highlight w:val="none"/>
        </w:rPr>
        <w:t>成员签字</w:t>
      </w:r>
      <w:r>
        <w:rPr>
          <w:rFonts w:hint="eastAsia" w:ascii="仿宋" w:hAnsi="仿宋" w:eastAsia="仿宋" w:cs="仿宋_GB2312"/>
          <w:color w:val="auto"/>
          <w:szCs w:val="24"/>
          <w:highlight w:val="none"/>
        </w:rPr>
        <w:t>确认提交</w:t>
      </w:r>
      <w:r>
        <w:rPr>
          <w:rFonts w:ascii="仿宋" w:hAnsi="仿宋" w:eastAsia="仿宋" w:cs="仿宋_GB2312"/>
          <w:color w:val="auto"/>
          <w:szCs w:val="24"/>
          <w:highlight w:val="none"/>
        </w:rPr>
        <w:t>。</w:t>
      </w:r>
    </w:p>
    <w:p w14:paraId="1A2F91BF">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b/>
          <w:color w:val="auto"/>
          <w:highlight w:val="none"/>
        </w:rPr>
        <w:t>13.评标争议</w:t>
      </w:r>
      <w:r>
        <w:rPr>
          <w:rFonts w:ascii="仿宋" w:hAnsi="仿宋" w:eastAsia="仿宋" w:cs="仿宋_GB2312"/>
          <w:b/>
          <w:color w:val="auto"/>
          <w:highlight w:val="none"/>
        </w:rPr>
        <w:t>事项</w:t>
      </w:r>
      <w:r>
        <w:rPr>
          <w:rFonts w:hint="eastAsia" w:ascii="仿宋" w:hAnsi="仿宋" w:eastAsia="仿宋" w:cs="仿宋_GB2312"/>
          <w:b/>
          <w:color w:val="auto"/>
          <w:highlight w:val="none"/>
        </w:rPr>
        <w:t>处理。</w:t>
      </w:r>
      <w:r>
        <w:rPr>
          <w:rFonts w:ascii="仿宋" w:hAnsi="仿宋" w:eastAsia="仿宋" w:cs="仿宋_GB2312"/>
          <w:color w:val="auto"/>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760D855F">
      <w:pPr>
        <w:snapToGrid w:val="0"/>
        <w:spacing w:line="360" w:lineRule="auto"/>
        <w:ind w:left="137" w:leftChars="57" w:firstLine="480" w:firstLineChars="150"/>
        <w:jc w:val="center"/>
        <w:rPr>
          <w:rFonts w:ascii="仿宋" w:hAnsi="仿宋" w:eastAsia="仿宋" w:cs="仿宋_GB2312"/>
          <w:b/>
          <w:color w:val="auto"/>
          <w:sz w:val="32"/>
          <w:highlight w:val="none"/>
        </w:rPr>
      </w:pPr>
    </w:p>
    <w:p w14:paraId="50DA362F">
      <w:pPr>
        <w:snapToGrid w:val="0"/>
        <w:spacing w:line="360" w:lineRule="auto"/>
        <w:ind w:left="137" w:leftChars="57" w:firstLine="480"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五、评标中的其他事项</w:t>
      </w:r>
    </w:p>
    <w:p w14:paraId="0897ED7D">
      <w:pPr>
        <w:spacing w:line="360" w:lineRule="auto"/>
        <w:ind w:firstLine="480" w:firstLineChars="200"/>
        <w:rPr>
          <w:rFonts w:ascii="仿宋" w:hAnsi="仿宋" w:eastAsia="仿宋" w:cs="仿宋_GB2312"/>
          <w:color w:val="auto"/>
          <w:highlight w:val="none"/>
        </w:rPr>
      </w:pPr>
      <w:r>
        <w:rPr>
          <w:rFonts w:hint="eastAsia" w:ascii="仿宋" w:hAnsi="仿宋" w:eastAsia="仿宋" w:cs="Arial"/>
          <w:b/>
          <w:color w:val="auto"/>
          <w:highlight w:val="none"/>
        </w:rPr>
        <w:t>14.投标人澄清、说明或者补正。</w:t>
      </w:r>
      <w:r>
        <w:rPr>
          <w:rFonts w:ascii="仿宋" w:hAnsi="仿宋" w:eastAsia="仿宋" w:cs="Arial"/>
          <w:color w:val="auto"/>
          <w:highlight w:val="none"/>
        </w:rPr>
        <w:t>对于投标文件中含义不明确、同类问题表述不一致或者有明显文字和计算错误的内容，评标委员会</w:t>
      </w:r>
      <w:r>
        <w:rPr>
          <w:rFonts w:hint="eastAsia" w:ascii="仿宋" w:hAnsi="仿宋" w:eastAsia="仿宋" w:cs="Arial"/>
          <w:color w:val="auto"/>
          <w:highlight w:val="none"/>
        </w:rPr>
        <w:t>可以书面形式要求投标人通过政采云平台以书面形式</w:t>
      </w:r>
      <w:r>
        <w:rPr>
          <w:rFonts w:ascii="仿宋" w:hAnsi="仿宋" w:eastAsia="仿宋" w:cs="Arial"/>
          <w:color w:val="auto"/>
          <w:highlight w:val="none"/>
        </w:rPr>
        <w:t>作出必要的澄清、说明或者补正</w:t>
      </w:r>
      <w:r>
        <w:rPr>
          <w:rFonts w:hint="eastAsia" w:ascii="仿宋" w:hAnsi="仿宋" w:eastAsia="仿宋" w:cs="Arial"/>
          <w:color w:val="auto"/>
          <w:highlight w:val="none"/>
        </w:rPr>
        <w:t>，投标人应在30分钟内提交澄清说明或补正，逾期不提交的视为放弃澄清、说明或补正的权利。</w:t>
      </w:r>
      <w:r>
        <w:rPr>
          <w:rFonts w:ascii="仿宋" w:hAnsi="仿宋" w:eastAsia="仿宋" w:cs="Arial"/>
          <w:color w:val="auto"/>
          <w:highlight w:val="none"/>
        </w:rPr>
        <w:t>投标人的澄清、说明或者补正不得超出投标文件的范围或者改变投标文件的实质性内容。</w:t>
      </w:r>
    </w:p>
    <w:p w14:paraId="3D701F81">
      <w:pPr>
        <w:pStyle w:val="20"/>
        <w:spacing w:line="360" w:lineRule="auto"/>
        <w:ind w:left="480" w:firstLine="562"/>
        <w:rPr>
          <w:rFonts w:ascii="仿宋" w:hAnsi="仿宋" w:eastAsia="仿宋" w:cs="仿宋_GB2312"/>
          <w:color w:val="auto"/>
          <w:highlight w:val="none"/>
        </w:rPr>
      </w:pPr>
      <w:r>
        <w:rPr>
          <w:rFonts w:hint="eastAsia" w:ascii="仿宋" w:hAnsi="仿宋" w:eastAsia="仿宋" w:cs="仿宋_GB2312"/>
          <w:b/>
          <w:color w:val="auto"/>
          <w:spacing w:val="20"/>
          <w:highlight w:val="none"/>
        </w:rPr>
        <w:t>15.投标无效。</w:t>
      </w:r>
      <w:r>
        <w:rPr>
          <w:rFonts w:hint="eastAsia" w:ascii="仿宋" w:hAnsi="仿宋" w:eastAsia="仿宋" w:cs="仿宋_GB2312"/>
          <w:color w:val="auto"/>
          <w:highlight w:val="none"/>
        </w:rPr>
        <w:t>有下列情况之一的，投标无效：</w:t>
      </w:r>
    </w:p>
    <w:p w14:paraId="607E40B4">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w:t>
      </w:r>
      <w:r>
        <w:rPr>
          <w:rFonts w:hint="eastAsia" w:ascii="仿宋" w:hAnsi="仿宋" w:eastAsia="仿宋" w:cs="仿宋_GB2312"/>
          <w:color w:val="auto"/>
          <w:highlight w:val="none"/>
        </w:rPr>
        <w:t>单位负责人为同一人或者存在直接控股、管理关系的不同供应商参加同一合同项下的政府采购活动的（均无效）；</w:t>
      </w:r>
    </w:p>
    <w:p w14:paraId="53FE0A3B">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15.2</w:t>
      </w:r>
      <w:r>
        <w:rPr>
          <w:rFonts w:hint="eastAsia" w:ascii="仿宋" w:hAnsi="仿宋" w:eastAsia="仿宋" w:cs="仿宋_GB2312"/>
          <w:color w:val="auto"/>
          <w:highlight w:val="none"/>
        </w:rPr>
        <w:t>为采购项目提供整体设计、规范编制或者项目管理、监理、检测等服务的供应商再参加该采购项目的其他采购活动的；</w:t>
      </w:r>
    </w:p>
    <w:p w14:paraId="041F0B10">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15.3</w:t>
      </w:r>
      <w:r>
        <w:rPr>
          <w:rFonts w:hint="eastAsia" w:ascii="仿宋" w:hAnsi="仿宋" w:eastAsia="仿宋" w:cs="仿宋_GB2312"/>
          <w:color w:val="auto"/>
          <w:highlight w:val="none"/>
        </w:rPr>
        <w:t>投标人不具备招标文件中规定的资格要求的（投标人未提供有效的资格证明文件的，视为投标人不具备招标文件中规定的资格要求）；</w:t>
      </w:r>
    </w:p>
    <w:p w14:paraId="09CDB4B4">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15.4投标文件“资格文件”和“商务技术文件”部分中出现用于价格分评审的投标报价的（招标文件另有规定的参与“商务技术文件”评审的报价除外）；</w:t>
      </w:r>
    </w:p>
    <w:p w14:paraId="34BB8D02">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15.5投标文件未按招标文件规定的格式填写，或对招标服务或对技术或产品等要求未详细应答或应答内容不全、有缺失的，经评标委员会认定为无法评审的；</w:t>
      </w:r>
    </w:p>
    <w:p w14:paraId="32DC488B">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15.6投标文件关键信息填写不完整或字迹不能辨认或有漏项的，经评标委员会认定属于重大偏差的；</w:t>
      </w:r>
    </w:p>
    <w:p w14:paraId="66390195">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15.7投标文件重要信息前后不一致，经评标委员会询标后仍然无法评审的；</w:t>
      </w:r>
    </w:p>
    <w:p w14:paraId="4C85C657">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15.8投标文件未按照招标文件要求签署、盖章的；</w:t>
      </w:r>
    </w:p>
    <w:p w14:paraId="27060C2F">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15.9</w:t>
      </w:r>
      <w:r>
        <w:rPr>
          <w:rFonts w:hint="eastAsia" w:ascii="仿宋" w:hAnsi="仿宋" w:eastAsia="仿宋" w:cs="仿宋_GB2312"/>
          <w:color w:val="auto"/>
          <w:highlight w:val="none"/>
        </w:rPr>
        <w:t>投标文件中未提供</w:t>
      </w:r>
      <w:r>
        <w:rPr>
          <w:rFonts w:ascii="仿宋" w:hAnsi="仿宋" w:eastAsia="仿宋" w:cs="仿宋_GB2312"/>
          <w:color w:val="auto"/>
          <w:highlight w:val="none"/>
        </w:rPr>
        <w:t>应当提供的政府强制采购节能</w:t>
      </w:r>
      <w:r>
        <w:rPr>
          <w:rFonts w:hint="eastAsia" w:ascii="仿宋" w:hAnsi="仿宋" w:eastAsia="仿宋" w:cs="仿宋_GB2312"/>
          <w:color w:val="auto"/>
          <w:highlight w:val="none"/>
        </w:rPr>
        <w:t>品目</w:t>
      </w:r>
      <w:r>
        <w:rPr>
          <w:rFonts w:ascii="仿宋" w:hAnsi="仿宋" w:eastAsia="仿宋" w:cs="仿宋_GB2312"/>
          <w:color w:val="auto"/>
          <w:highlight w:val="none"/>
        </w:rPr>
        <w:t>内的节能产品或未提供</w:t>
      </w:r>
      <w:r>
        <w:rPr>
          <w:rFonts w:hint="eastAsia" w:ascii="仿宋" w:hAnsi="仿宋" w:eastAsia="仿宋" w:cs="仿宋_GB2312"/>
          <w:color w:val="auto"/>
          <w:highlight w:val="none"/>
        </w:rPr>
        <w:t>有效</w:t>
      </w:r>
      <w:r>
        <w:rPr>
          <w:rFonts w:ascii="仿宋" w:hAnsi="仿宋" w:eastAsia="仿宋" w:cs="仿宋_GB2312"/>
          <w:color w:val="auto"/>
          <w:highlight w:val="none"/>
        </w:rPr>
        <w:t>的节能产品认证证书的</w:t>
      </w:r>
      <w:r>
        <w:rPr>
          <w:rFonts w:hint="eastAsia" w:ascii="仿宋" w:hAnsi="仿宋" w:eastAsia="仿宋" w:cs="仿宋_GB2312"/>
          <w:color w:val="auto"/>
          <w:highlight w:val="none"/>
        </w:rPr>
        <w:t>（如果本项目采购涉及节能品目清单中的政府强制采购的节能产品的）；</w:t>
      </w:r>
    </w:p>
    <w:p w14:paraId="7D69F3B9">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15.10</w:t>
      </w:r>
      <w:r>
        <w:rPr>
          <w:rFonts w:hint="eastAsia" w:ascii="仿宋" w:hAnsi="仿宋" w:eastAsia="仿宋" w:cs="仿宋_GB2312"/>
          <w:color w:val="auto"/>
          <w:highlight w:val="none"/>
        </w:rPr>
        <w:t>投标文件含有采购人不能接受的附加条件的；</w:t>
      </w:r>
    </w:p>
    <w:p w14:paraId="12BB68FC">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15.11</w:t>
      </w:r>
      <w:r>
        <w:rPr>
          <w:rFonts w:hint="eastAsia" w:ascii="仿宋" w:hAnsi="仿宋" w:eastAsia="仿宋" w:cs="仿宋_GB2312"/>
          <w:color w:val="auto"/>
          <w:highlight w:val="none"/>
        </w:rPr>
        <w:t>投标文件中承诺的投标有效期少于招标文件中载明的投标有效期的；</w:t>
      </w:r>
    </w:p>
    <w:p w14:paraId="1390D4ED">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15.12</w:t>
      </w:r>
      <w:r>
        <w:rPr>
          <w:rFonts w:hint="eastAsia" w:ascii="仿宋" w:hAnsi="仿宋" w:eastAsia="仿宋" w:cs="仿宋_GB2312"/>
          <w:color w:val="auto"/>
          <w:highlight w:val="none"/>
        </w:rPr>
        <w:t>投标人所投内容不符合采购需求中实质性要求的；</w:t>
      </w:r>
    </w:p>
    <w:p w14:paraId="67A965F2">
      <w:pPr>
        <w:spacing w:line="360" w:lineRule="auto"/>
        <w:ind w:firstLine="480" w:firstLineChars="200"/>
        <w:rPr>
          <w:rFonts w:ascii="仿宋" w:hAnsi="仿宋" w:eastAsia="仿宋"/>
          <w:color w:val="auto"/>
          <w:highlight w:val="none"/>
        </w:rPr>
      </w:pPr>
      <w:r>
        <w:rPr>
          <w:rFonts w:hint="eastAsia" w:ascii="仿宋" w:hAnsi="仿宋" w:eastAsia="仿宋"/>
          <w:color w:val="auto"/>
          <w:highlight w:val="none"/>
        </w:rPr>
        <w:t>15.13投标文件出现不是唯一的、有选择性投标报价的;</w:t>
      </w:r>
    </w:p>
    <w:p w14:paraId="6A74EA11">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15.14</w:t>
      </w:r>
      <w:r>
        <w:rPr>
          <w:rFonts w:hint="eastAsia" w:ascii="仿宋" w:hAnsi="仿宋" w:eastAsia="仿宋" w:cs="仿宋_GB2312"/>
          <w:color w:val="auto"/>
          <w:highlight w:val="none"/>
        </w:rPr>
        <w:t>投标报价高于本项目采购预算或者最高限价的;</w:t>
      </w:r>
    </w:p>
    <w:p w14:paraId="33208407">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15.15</w:t>
      </w:r>
      <w:r>
        <w:rPr>
          <w:rFonts w:hint="eastAsia" w:ascii="仿宋" w:hAnsi="仿宋" w:eastAsia="仿宋" w:cs="仿宋_GB2312"/>
          <w:color w:val="auto"/>
          <w:highlight w:val="none"/>
        </w:rPr>
        <w:t>报价明显低于其他通过符合性审查投标人的报价，有可能影响产品质量或者不能诚信履约的，未能按要求提供书面说明或者提交相关证明材料，不能证明其报价合理性的;</w:t>
      </w:r>
    </w:p>
    <w:p w14:paraId="1B0666CE">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15.16</w:t>
      </w:r>
      <w:r>
        <w:rPr>
          <w:rFonts w:hint="eastAsia" w:ascii="仿宋" w:hAnsi="仿宋" w:eastAsia="仿宋" w:cs="仿宋_GB2312"/>
          <w:color w:val="auto"/>
          <w:highlight w:val="none"/>
        </w:rPr>
        <w:t>《</w:t>
      </w:r>
      <w:r>
        <w:rPr>
          <w:rFonts w:hint="eastAsia" w:ascii="仿宋" w:hAnsi="仿宋" w:eastAsia="仿宋"/>
          <w:color w:val="auto"/>
          <w:szCs w:val="28"/>
          <w:highlight w:val="none"/>
        </w:rPr>
        <w:t>开标一览表(报价表)</w:t>
      </w:r>
      <w:r>
        <w:rPr>
          <w:rFonts w:hint="eastAsia" w:ascii="仿宋" w:hAnsi="仿宋" w:eastAsia="仿宋" w:cs="仿宋_GB2312"/>
          <w:color w:val="auto"/>
          <w:highlight w:val="none"/>
        </w:rPr>
        <w:t>》填写不完整或字迹不能辨认或有漏项的，经评标委员会认定属于重大偏差的；</w:t>
      </w:r>
    </w:p>
    <w:p w14:paraId="1489CDFA">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15.17</w:t>
      </w:r>
      <w:r>
        <w:rPr>
          <w:rFonts w:hint="eastAsia" w:ascii="仿宋" w:hAnsi="仿宋" w:eastAsia="仿宋" w:cs="仿宋_GB2312"/>
          <w:color w:val="auto"/>
          <w:highlight w:val="none"/>
        </w:rPr>
        <w:t>投标人对根据修正原则修正后的报价不确认的；</w:t>
      </w:r>
    </w:p>
    <w:p w14:paraId="6DE9F147">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15.18投标人仅提交备份投标文件，未在电子交易平台传输递交投标文件的，投标无效；</w:t>
      </w:r>
    </w:p>
    <w:p w14:paraId="67064C17">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15.19</w:t>
      </w:r>
      <w:r>
        <w:rPr>
          <w:rFonts w:hint="eastAsia" w:ascii="仿宋" w:hAnsi="仿宋" w:eastAsia="仿宋"/>
          <w:b/>
          <w:snapToGrid w:val="0"/>
          <w:color w:val="auto"/>
          <w:kern w:val="28"/>
          <w:highlight w:val="none"/>
        </w:rPr>
        <w:t>对未提供样品或提供样品不满足采购需求实质性条件；</w:t>
      </w:r>
    </w:p>
    <w:p w14:paraId="227AD1EA">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15.20投标人提供虚假材料投标的（包括但不限于以下情节）：</w:t>
      </w:r>
    </w:p>
    <w:p w14:paraId="00818058">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15.20.1使用伪造、变造的许可证件；</w:t>
      </w:r>
    </w:p>
    <w:p w14:paraId="6701822E">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15.20.2提供虚假的财务状况或者业绩；</w:t>
      </w:r>
    </w:p>
    <w:p w14:paraId="5265B2ED">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15.20.3提供虚假的项目负责人或者主要技术人员简历、劳动关系证明；</w:t>
      </w:r>
    </w:p>
    <w:p w14:paraId="3FAA9855">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15.20.4提供虚假的信用状况；</w:t>
      </w:r>
    </w:p>
    <w:p w14:paraId="67FD79F5">
      <w:pPr>
        <w:spacing w:line="360" w:lineRule="auto"/>
        <w:ind w:firstLine="480" w:firstLineChars="200"/>
        <w:rPr>
          <w:rFonts w:ascii="仿宋" w:hAnsi="仿宋" w:eastAsia="仿宋" w:cs="仿宋_GB2312"/>
          <w:color w:val="auto"/>
          <w:highlight w:val="none"/>
        </w:rPr>
      </w:pPr>
      <w:r>
        <w:rPr>
          <w:rFonts w:ascii="仿宋" w:hAnsi="仿宋" w:eastAsia="仿宋" w:cs="仿宋_GB2312"/>
          <w:color w:val="auto"/>
          <w:highlight w:val="none"/>
        </w:rPr>
        <w:t>1</w:t>
      </w:r>
      <w:r>
        <w:rPr>
          <w:rFonts w:hint="eastAsia" w:ascii="仿宋" w:hAnsi="仿宋" w:eastAsia="仿宋" w:cs="仿宋_GB2312"/>
          <w:color w:val="auto"/>
          <w:highlight w:val="none"/>
        </w:rPr>
        <w:t>5</w:t>
      </w:r>
      <w:r>
        <w:rPr>
          <w:rFonts w:ascii="仿宋" w:hAnsi="仿宋" w:eastAsia="仿宋" w:cs="仿宋_GB2312"/>
          <w:color w:val="auto"/>
          <w:highlight w:val="none"/>
        </w:rPr>
        <w:t>.</w:t>
      </w:r>
      <w:r>
        <w:rPr>
          <w:rFonts w:hint="eastAsia" w:ascii="仿宋" w:hAnsi="仿宋" w:eastAsia="仿宋" w:cs="仿宋_GB2312"/>
          <w:color w:val="auto"/>
          <w:highlight w:val="none"/>
        </w:rPr>
        <w:t>20</w:t>
      </w:r>
      <w:r>
        <w:rPr>
          <w:rFonts w:ascii="仿宋" w:hAnsi="仿宋" w:eastAsia="仿宋" w:cs="仿宋_GB2312"/>
          <w:color w:val="auto"/>
          <w:highlight w:val="none"/>
        </w:rPr>
        <w:t>.</w:t>
      </w:r>
      <w:r>
        <w:rPr>
          <w:rFonts w:hint="eastAsia" w:ascii="仿宋" w:hAnsi="仿宋" w:eastAsia="仿宋" w:cs="仿宋_GB2312"/>
          <w:color w:val="auto"/>
          <w:highlight w:val="none"/>
        </w:rPr>
        <w:t>5其他弄虚作假的行为。</w:t>
      </w:r>
    </w:p>
    <w:p w14:paraId="29A3941A">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15.21投标人有恶意串通、妨碍其他投标人的竞争行为、损害采购人或者其他投标人的合法权益情形的；有下列情形之一的，属于或视为恶意串通，其投标无效：</w:t>
      </w:r>
    </w:p>
    <w:p w14:paraId="7F294F09">
      <w:pPr>
        <w:spacing w:line="360" w:lineRule="auto"/>
        <w:ind w:firstLine="480" w:firstLineChars="200"/>
        <w:rPr>
          <w:rFonts w:ascii="仿宋" w:hAnsi="仿宋" w:eastAsia="仿宋" w:cs="仿宋_GB2312"/>
          <w:color w:val="auto"/>
          <w:highlight w:val="none"/>
        </w:rPr>
      </w:pPr>
      <w:r>
        <w:rPr>
          <w:rFonts w:hint="eastAsia" w:ascii="仿宋" w:hAnsi="仿宋" w:eastAsia="仿宋"/>
          <w:color w:val="auto"/>
          <w:highlight w:val="none"/>
        </w:rPr>
        <w:t>15.20.1</w:t>
      </w:r>
      <w:r>
        <w:rPr>
          <w:rFonts w:hint="eastAsia" w:ascii="仿宋" w:hAnsi="仿宋" w:eastAsia="仿宋" w:cs="仿宋_GB2312"/>
          <w:color w:val="auto"/>
          <w:highlight w:val="none"/>
        </w:rPr>
        <w:t>供应商直接或者间接从采购人或者采购代理机构处获得其他供应商的相关情况并修改其投标文件或者响应文件；</w:t>
      </w:r>
    </w:p>
    <w:p w14:paraId="56B5BE44">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15.21.2供应商按照采购人或者采购代理机构的授意撤换、修改投标文件或者响应文件；</w:t>
      </w:r>
    </w:p>
    <w:p w14:paraId="369CD0CB">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15.21.3供应商之间协商报价、技术方案等投标文件或者响应文件的实质性内容；</w:t>
      </w:r>
    </w:p>
    <w:p w14:paraId="55F38BCA">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15.21.4属于同一集团、协会、商会等组织成员的供应商按照该组织要求协同参加政府采购活动；</w:t>
      </w:r>
    </w:p>
    <w:p w14:paraId="63F3F4AC">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15.21.5供应商之间事先约定由某一特定供应商中标、成交；</w:t>
      </w:r>
    </w:p>
    <w:p w14:paraId="43B132FC">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15.21.6供应商之间商定部分供应商放弃参加政府采购活动或者放弃中标、成交；</w:t>
      </w:r>
    </w:p>
    <w:p w14:paraId="220C686B">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15.21.7供应商与采购人或者采购代理机构之间、供应商相互之间，为谋求特定供应商中标、成交或者排斥其他供应商的其他串通行为。</w:t>
      </w:r>
    </w:p>
    <w:p w14:paraId="3636CACF">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15.21.8不同投标人的投标文件由同一单位或者个人编制；</w:t>
      </w:r>
    </w:p>
    <w:p w14:paraId="5502B16D">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15.21.9不同投标人委托同一单位或者个人办理投标事宜；</w:t>
      </w:r>
    </w:p>
    <w:p w14:paraId="5C656428">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15.21.10不同投标人的投标文件载明的项目管理成员或者联系人员为同一人；</w:t>
      </w:r>
    </w:p>
    <w:p w14:paraId="37465B50">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15.21.11不同投标人的投标文件异常一致或者投标报价呈规律性差异；</w:t>
      </w:r>
    </w:p>
    <w:p w14:paraId="09DC687D">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15.21.12不同投标人的投标文件相互混装；</w:t>
      </w:r>
    </w:p>
    <w:p w14:paraId="06FDE3E6">
      <w:pPr>
        <w:pStyle w:val="202"/>
        <w:rPr>
          <w:rFonts w:ascii="仿宋" w:hAnsi="仿宋" w:eastAsia="仿宋" w:cs="仿宋_GB2312"/>
          <w:color w:val="auto"/>
          <w:highlight w:val="none"/>
        </w:rPr>
      </w:pPr>
      <w:r>
        <w:rPr>
          <w:rFonts w:hint="eastAsia" w:ascii="仿宋" w:hAnsi="仿宋" w:eastAsia="仿宋" w:cs="仿宋_GB2312"/>
          <w:color w:val="auto"/>
          <w:highlight w:val="none"/>
        </w:rPr>
        <w:t>15.21.13不同供应商的电子投标（响应）文件上传计算机的网卡MAC地址、CPU序列号和硬盘序列号等硬件信息相同的；</w:t>
      </w:r>
    </w:p>
    <w:p w14:paraId="23A4148F">
      <w:pPr>
        <w:pStyle w:val="202"/>
        <w:rPr>
          <w:rFonts w:ascii="仿宋" w:hAnsi="仿宋" w:eastAsia="仿宋" w:cs="仿宋_GB2312"/>
          <w:color w:val="auto"/>
          <w:highlight w:val="none"/>
        </w:rPr>
      </w:pPr>
      <w:r>
        <w:rPr>
          <w:rFonts w:hint="eastAsia" w:ascii="仿宋" w:hAnsi="仿宋" w:eastAsia="仿宋" w:cs="仿宋_GB2312"/>
          <w:color w:val="auto"/>
          <w:highlight w:val="none"/>
        </w:rPr>
        <w:t>15.21.14不同供应商联系人为同一人或不同联系人的联系电话一致，且无法合理解释的；</w:t>
      </w:r>
    </w:p>
    <w:p w14:paraId="36DF6E80">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 xml:space="preserve">15.22违反法律、法规及本招标文件规定的其它无效投标情形。 </w:t>
      </w:r>
    </w:p>
    <w:p w14:paraId="22C342F4">
      <w:pPr>
        <w:pStyle w:val="20"/>
        <w:snapToGrid w:val="0"/>
        <w:spacing w:line="360" w:lineRule="auto"/>
        <w:ind w:left="480" w:firstLine="471" w:firstLineChars="196"/>
        <w:rPr>
          <w:rFonts w:ascii="仿宋" w:hAnsi="仿宋" w:eastAsia="仿宋" w:cs="仿宋_GB2312"/>
          <w:color w:val="auto"/>
          <w:highlight w:val="none"/>
        </w:rPr>
      </w:pPr>
      <w:r>
        <w:rPr>
          <w:rFonts w:hint="eastAsia" w:ascii="仿宋" w:hAnsi="仿宋" w:eastAsia="仿宋" w:cs="仿宋_GB2312"/>
          <w:b/>
          <w:color w:val="auto"/>
          <w:highlight w:val="none"/>
        </w:rPr>
        <w:t xml:space="preserve"> 16.废标。</w:t>
      </w:r>
      <w:r>
        <w:rPr>
          <w:rFonts w:hint="eastAsia" w:ascii="仿宋" w:hAnsi="仿宋" w:eastAsia="仿宋" w:cs="仿宋_GB2312"/>
          <w:color w:val="auto"/>
          <w:highlight w:val="none"/>
        </w:rPr>
        <w:t>根据《中华人民共和国政府采购法》第三十六条之规定，在采购中，出现下列情形之一的，应予废标：</w:t>
      </w:r>
    </w:p>
    <w:p w14:paraId="751DE2CE">
      <w:pPr>
        <w:pStyle w:val="20"/>
        <w:snapToGrid w:val="0"/>
        <w:spacing w:line="360" w:lineRule="auto"/>
        <w:ind w:left="480"/>
        <w:rPr>
          <w:rFonts w:ascii="仿宋" w:hAnsi="仿宋" w:eastAsia="仿宋" w:cs="仿宋_GB2312"/>
          <w:color w:val="auto"/>
          <w:highlight w:val="none"/>
        </w:rPr>
      </w:pPr>
      <w:r>
        <w:rPr>
          <w:rFonts w:hint="eastAsia" w:ascii="仿宋" w:hAnsi="仿宋" w:eastAsia="仿宋" w:cs="仿宋_GB2312"/>
          <w:color w:val="auto"/>
          <w:highlight w:val="none"/>
        </w:rPr>
        <w:t>16.1符合专业条件的供应商或者对招标文件作实质响应的供应商不足3家的；</w:t>
      </w:r>
    </w:p>
    <w:p w14:paraId="08A441B4">
      <w:pPr>
        <w:pStyle w:val="20"/>
        <w:snapToGrid w:val="0"/>
        <w:spacing w:line="360" w:lineRule="auto"/>
        <w:ind w:left="480"/>
        <w:rPr>
          <w:rFonts w:ascii="仿宋" w:hAnsi="仿宋" w:eastAsia="仿宋" w:cs="仿宋_GB2312"/>
          <w:color w:val="auto"/>
          <w:highlight w:val="none"/>
        </w:rPr>
      </w:pPr>
      <w:r>
        <w:rPr>
          <w:rFonts w:hint="eastAsia" w:ascii="仿宋" w:hAnsi="仿宋" w:eastAsia="仿宋" w:cs="仿宋_GB2312"/>
          <w:color w:val="auto"/>
          <w:highlight w:val="none"/>
        </w:rPr>
        <w:t>16.2出现影响采购公正的违法、违规行为的；</w:t>
      </w:r>
    </w:p>
    <w:p w14:paraId="1E8D5415">
      <w:pPr>
        <w:pStyle w:val="20"/>
        <w:snapToGrid w:val="0"/>
        <w:spacing w:line="360" w:lineRule="auto"/>
        <w:ind w:left="480"/>
        <w:rPr>
          <w:rFonts w:ascii="仿宋" w:hAnsi="仿宋" w:eastAsia="仿宋" w:cs="仿宋_GB2312"/>
          <w:color w:val="auto"/>
          <w:highlight w:val="none"/>
        </w:rPr>
      </w:pPr>
      <w:r>
        <w:rPr>
          <w:rFonts w:hint="eastAsia" w:ascii="仿宋" w:hAnsi="仿宋" w:eastAsia="仿宋" w:cs="仿宋_GB2312"/>
          <w:color w:val="auto"/>
          <w:highlight w:val="none"/>
        </w:rPr>
        <w:t>16.3投标人的报价均超过了采购预算，采购人不能支付的；</w:t>
      </w:r>
    </w:p>
    <w:p w14:paraId="38F1EF43">
      <w:pPr>
        <w:pStyle w:val="20"/>
        <w:snapToGrid w:val="0"/>
        <w:spacing w:line="360" w:lineRule="auto"/>
        <w:ind w:left="480"/>
        <w:rPr>
          <w:rFonts w:ascii="仿宋" w:hAnsi="仿宋" w:eastAsia="仿宋" w:cs="仿宋_GB2312"/>
          <w:color w:val="auto"/>
          <w:highlight w:val="none"/>
        </w:rPr>
      </w:pPr>
      <w:r>
        <w:rPr>
          <w:rFonts w:hint="eastAsia" w:ascii="仿宋" w:hAnsi="仿宋" w:eastAsia="仿宋" w:cs="仿宋_GB2312"/>
          <w:color w:val="auto"/>
          <w:highlight w:val="none"/>
        </w:rPr>
        <w:t>16.4因重大变故，采购任务取消的。</w:t>
      </w:r>
    </w:p>
    <w:p w14:paraId="644E6891">
      <w:pPr>
        <w:pStyle w:val="20"/>
        <w:snapToGrid w:val="0"/>
        <w:spacing w:line="360" w:lineRule="auto"/>
        <w:ind w:left="480"/>
        <w:rPr>
          <w:rFonts w:ascii="仿宋" w:hAnsi="仿宋" w:eastAsia="仿宋" w:cs="仿宋_GB2312"/>
          <w:color w:val="auto"/>
          <w:highlight w:val="none"/>
        </w:rPr>
      </w:pPr>
      <w:r>
        <w:rPr>
          <w:rFonts w:hint="eastAsia" w:ascii="仿宋" w:hAnsi="仿宋" w:eastAsia="仿宋" w:cs="仿宋_GB2312"/>
          <w:color w:val="auto"/>
          <w:highlight w:val="none"/>
        </w:rPr>
        <w:t>废标后，采购代理机构应当将废标理由通知所有投标人。</w:t>
      </w:r>
    </w:p>
    <w:p w14:paraId="3F4C9AB5">
      <w:pPr>
        <w:pStyle w:val="20"/>
        <w:snapToGrid w:val="0"/>
        <w:spacing w:line="360" w:lineRule="auto"/>
        <w:ind w:left="480" w:firstLine="588" w:firstLineChars="245"/>
        <w:rPr>
          <w:rFonts w:ascii="仿宋" w:hAnsi="仿宋" w:eastAsia="仿宋" w:cs="宋体"/>
          <w:color w:val="auto"/>
          <w:highlight w:val="none"/>
        </w:rPr>
      </w:pPr>
      <w:r>
        <w:rPr>
          <w:rFonts w:hint="eastAsia" w:ascii="仿宋" w:hAnsi="仿宋" w:eastAsia="仿宋" w:cs="宋体"/>
          <w:b/>
          <w:color w:val="auto"/>
          <w:highlight w:val="none"/>
        </w:rPr>
        <w:t>17.修改招标文件，重新组织采购活动。</w:t>
      </w:r>
      <w:r>
        <w:rPr>
          <w:rFonts w:hint="eastAsia" w:ascii="仿宋" w:hAnsi="仿宋" w:eastAsia="仿宋"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88AD121">
      <w:pPr>
        <w:pStyle w:val="20"/>
        <w:snapToGrid w:val="0"/>
        <w:spacing w:line="360" w:lineRule="auto"/>
        <w:ind w:left="480" w:firstLine="482"/>
        <w:rPr>
          <w:rFonts w:ascii="仿宋" w:hAnsi="仿宋" w:eastAsia="仿宋" w:cs="宋体"/>
          <w:color w:val="auto"/>
          <w:highlight w:val="none"/>
        </w:rPr>
      </w:pPr>
      <w:r>
        <w:rPr>
          <w:rFonts w:hint="eastAsia" w:ascii="仿宋" w:hAnsi="仿宋" w:eastAsia="仿宋" w:cs="宋体"/>
          <w:b/>
          <w:color w:val="auto"/>
          <w:highlight w:val="none"/>
        </w:rPr>
        <w:t>18.重新开展采购。</w:t>
      </w:r>
      <w:r>
        <w:rPr>
          <w:rFonts w:hint="eastAsia" w:ascii="仿宋" w:hAnsi="仿宋" w:eastAsia="仿宋" w:cs="宋体"/>
          <w:color w:val="auto"/>
          <w:highlight w:val="none"/>
        </w:rPr>
        <w:t>有</w:t>
      </w:r>
      <w:r>
        <w:rPr>
          <w:rFonts w:hint="eastAsia" w:ascii="仿宋" w:hAnsi="仿宋" w:eastAsia="仿宋" w:cs="仿宋_GB2312"/>
          <w:color w:val="auto"/>
          <w:highlight w:val="none"/>
        </w:rPr>
        <w:t>中华人民共和国</w:t>
      </w:r>
      <w:r>
        <w:rPr>
          <w:rFonts w:hint="eastAsia" w:ascii="仿宋" w:hAnsi="仿宋" w:eastAsia="仿宋" w:cs="宋体"/>
          <w:color w:val="auto"/>
          <w:highlight w:val="none"/>
        </w:rPr>
        <w:t>政府采购法第七十一条、第七十二条规定的违法行为之一，影响或者可能影响中标结果的，依照下列规定处理：</w:t>
      </w:r>
    </w:p>
    <w:p w14:paraId="41F1CD5A">
      <w:pPr>
        <w:pStyle w:val="20"/>
        <w:snapToGrid w:val="0"/>
        <w:spacing w:line="360" w:lineRule="auto"/>
        <w:ind w:left="480"/>
        <w:rPr>
          <w:rFonts w:ascii="仿宋" w:hAnsi="仿宋" w:eastAsia="仿宋" w:cs="宋体"/>
          <w:color w:val="auto"/>
          <w:highlight w:val="none"/>
        </w:rPr>
      </w:pPr>
      <w:r>
        <w:rPr>
          <w:rFonts w:hint="eastAsia" w:ascii="仿宋" w:hAnsi="仿宋" w:eastAsia="仿宋" w:cs="宋体"/>
          <w:color w:val="auto"/>
          <w:highlight w:val="none"/>
        </w:rPr>
        <w:t>18.1未确定中标供应商的，终止本次政府采购活动，重新开展政府采购活动。</w:t>
      </w:r>
    </w:p>
    <w:p w14:paraId="44F55B70">
      <w:pPr>
        <w:pStyle w:val="20"/>
        <w:snapToGrid w:val="0"/>
        <w:spacing w:line="360" w:lineRule="auto"/>
        <w:ind w:left="480"/>
        <w:rPr>
          <w:rFonts w:ascii="仿宋" w:hAnsi="仿宋" w:eastAsia="仿宋" w:cs="宋体"/>
          <w:color w:val="auto"/>
          <w:highlight w:val="none"/>
        </w:rPr>
      </w:pPr>
      <w:r>
        <w:rPr>
          <w:rFonts w:hint="eastAsia" w:ascii="仿宋" w:hAnsi="仿宋" w:eastAsia="仿宋" w:cs="宋体"/>
          <w:color w:val="auto"/>
          <w:highlight w:val="none"/>
        </w:rPr>
        <w:t>18.2已确定中标供应商但尚未签订政府采购合同的，中标结果无效，从合格的中标候选人中另行确定中标供应商；没有合格的中标候选人的，重新开展政府采购活动。</w:t>
      </w:r>
    </w:p>
    <w:p w14:paraId="3D1F2284">
      <w:pPr>
        <w:pStyle w:val="20"/>
        <w:snapToGrid w:val="0"/>
        <w:spacing w:line="360" w:lineRule="auto"/>
        <w:ind w:left="480"/>
        <w:rPr>
          <w:rFonts w:ascii="仿宋" w:hAnsi="仿宋" w:eastAsia="仿宋" w:cs="宋体"/>
          <w:color w:val="auto"/>
          <w:highlight w:val="none"/>
        </w:rPr>
      </w:pPr>
      <w:r>
        <w:rPr>
          <w:rFonts w:hint="eastAsia" w:ascii="仿宋" w:hAnsi="仿宋" w:eastAsia="仿宋" w:cs="宋体"/>
          <w:color w:val="auto"/>
          <w:highlight w:val="none"/>
        </w:rPr>
        <w:t>18.3政府采购合同已签订但尚未履行的，撤销合同，从合格的中标候选人中另行确定中标供应商；没有合格的中标候选人的，重新开展政府采购活动。</w:t>
      </w:r>
    </w:p>
    <w:p w14:paraId="7AFD1A03">
      <w:pPr>
        <w:pStyle w:val="20"/>
        <w:snapToGrid w:val="0"/>
        <w:spacing w:line="360" w:lineRule="auto"/>
        <w:ind w:left="480"/>
        <w:rPr>
          <w:rFonts w:ascii="仿宋" w:hAnsi="仿宋" w:eastAsia="仿宋" w:cs="宋体"/>
          <w:color w:val="auto"/>
          <w:highlight w:val="none"/>
        </w:rPr>
      </w:pPr>
      <w:r>
        <w:rPr>
          <w:rFonts w:hint="eastAsia" w:ascii="仿宋" w:hAnsi="仿宋" w:eastAsia="仿宋" w:cs="宋体"/>
          <w:color w:val="auto"/>
          <w:highlight w:val="none"/>
        </w:rPr>
        <w:t>18.4政府采购合同已经履行，给采购人、供应商造成损失的，由责任人承担赔偿责任。</w:t>
      </w:r>
    </w:p>
    <w:p w14:paraId="6D807E35">
      <w:pPr>
        <w:pStyle w:val="20"/>
        <w:snapToGrid w:val="0"/>
        <w:spacing w:line="360" w:lineRule="auto"/>
        <w:ind w:left="480"/>
        <w:rPr>
          <w:rFonts w:ascii="仿宋" w:hAnsi="仿宋" w:eastAsia="仿宋" w:cs="仿宋_GB2312"/>
          <w:color w:val="auto"/>
          <w:highlight w:val="none"/>
        </w:rPr>
      </w:pPr>
      <w:r>
        <w:rPr>
          <w:rFonts w:hint="eastAsia" w:ascii="仿宋" w:hAnsi="仿宋" w:eastAsia="仿宋" w:cs="宋体"/>
          <w:color w:val="auto"/>
          <w:highlight w:val="none"/>
        </w:rPr>
        <w:t>18.5政府采购当事人有其他违反</w:t>
      </w:r>
      <w:r>
        <w:rPr>
          <w:rFonts w:hint="eastAsia" w:ascii="仿宋" w:hAnsi="仿宋" w:eastAsia="仿宋" w:cs="仿宋_GB2312"/>
          <w:color w:val="auto"/>
          <w:highlight w:val="none"/>
        </w:rPr>
        <w:t>中华人民共和国</w:t>
      </w:r>
      <w:r>
        <w:rPr>
          <w:rFonts w:hint="eastAsia" w:ascii="仿宋" w:hAnsi="仿宋" w:eastAsia="仿宋" w:cs="宋体"/>
          <w:color w:val="auto"/>
          <w:highlight w:val="none"/>
        </w:rPr>
        <w:t>政府采购法或者</w:t>
      </w:r>
      <w:r>
        <w:rPr>
          <w:rFonts w:hint="eastAsia" w:ascii="仿宋" w:hAnsi="仿宋" w:eastAsia="仿宋" w:cs="仿宋_GB2312"/>
          <w:color w:val="auto"/>
          <w:highlight w:val="none"/>
        </w:rPr>
        <w:t>中华人民共和国</w:t>
      </w:r>
      <w:r>
        <w:rPr>
          <w:rFonts w:hint="eastAsia" w:ascii="仿宋" w:hAnsi="仿宋" w:eastAsia="仿宋" w:cs="宋体"/>
          <w:color w:val="auto"/>
          <w:highlight w:val="none"/>
        </w:rPr>
        <w:t>政府采购法实施条例等法律法规规定的行为，经改正后仍然影响或者可能影响中标结果或者依法被认定为中标无效的，依照18.1-18.4规定处理。</w:t>
      </w:r>
    </w:p>
    <w:p w14:paraId="43FEC318">
      <w:pPr>
        <w:snapToGrid w:val="0"/>
        <w:spacing w:line="360" w:lineRule="auto"/>
        <w:ind w:left="137" w:leftChars="57" w:firstLine="480" w:firstLineChars="150"/>
        <w:jc w:val="center"/>
        <w:rPr>
          <w:rFonts w:ascii="仿宋" w:hAnsi="仿宋" w:eastAsia="仿宋" w:cs="仿宋_GB2312"/>
          <w:b/>
          <w:color w:val="auto"/>
          <w:sz w:val="32"/>
          <w:highlight w:val="none"/>
        </w:rPr>
      </w:pPr>
    </w:p>
    <w:p w14:paraId="06793F3D">
      <w:pPr>
        <w:snapToGrid w:val="0"/>
        <w:spacing w:line="360" w:lineRule="auto"/>
        <w:ind w:left="137" w:leftChars="57" w:firstLine="480"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六、评审过程的保密与录像</w:t>
      </w:r>
    </w:p>
    <w:p w14:paraId="5D9BCC8B">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b/>
          <w:color w:val="auto"/>
          <w:highlight w:val="none"/>
        </w:rPr>
        <w:t>19.保密。</w:t>
      </w:r>
      <w:r>
        <w:rPr>
          <w:rFonts w:ascii="仿宋" w:hAnsi="仿宋" w:eastAsia="仿宋" w:cs="仿宋_GB2312"/>
          <w:color w:val="auto"/>
          <w:highlight w:val="none"/>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604B6574">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b/>
          <w:color w:val="auto"/>
          <w:highlight w:val="none"/>
        </w:rPr>
        <w:t>20.录音录像。</w:t>
      </w:r>
      <w:r>
        <w:rPr>
          <w:rFonts w:hint="eastAsia" w:ascii="仿宋" w:hAnsi="仿宋" w:eastAsia="仿宋" w:cs="仿宋_GB2312"/>
          <w:color w:val="auto"/>
          <w:highlight w:val="none"/>
        </w:rPr>
        <w:t>采购代理机构对评审工作现场进行全过程录音录像，录音录像资料作为采购项目文件随其他文件一并存档。</w:t>
      </w:r>
    </w:p>
    <w:p w14:paraId="72CFCF4B">
      <w:pPr>
        <w:snapToGrid w:val="0"/>
        <w:spacing w:line="360" w:lineRule="auto"/>
        <w:jc w:val="center"/>
        <w:rPr>
          <w:rFonts w:ascii="仿宋" w:hAnsi="仿宋" w:eastAsia="仿宋" w:cs="仿宋_GB2312"/>
          <w:b/>
          <w:color w:val="auto"/>
          <w:sz w:val="32"/>
          <w:highlight w:val="none"/>
        </w:rPr>
      </w:pPr>
    </w:p>
    <w:p w14:paraId="3015C9DD">
      <w:pPr>
        <w:pStyle w:val="4"/>
        <w:numPr>
          <w:ilvl w:val="0"/>
          <w:numId w:val="0"/>
        </w:numPr>
        <w:tabs>
          <w:tab w:val="left" w:pos="900"/>
        </w:tabs>
        <w:ind w:left="180"/>
        <w:rPr>
          <w:color w:val="auto"/>
          <w:highlight w:val="none"/>
        </w:rPr>
      </w:pPr>
    </w:p>
    <w:p w14:paraId="254C7F92">
      <w:pPr>
        <w:pStyle w:val="4"/>
        <w:numPr>
          <w:ilvl w:val="0"/>
          <w:numId w:val="0"/>
        </w:numPr>
        <w:tabs>
          <w:tab w:val="left" w:pos="900"/>
        </w:tabs>
        <w:rPr>
          <w:color w:val="auto"/>
          <w:highlight w:val="none"/>
        </w:rPr>
      </w:pPr>
    </w:p>
    <w:p w14:paraId="1018B749">
      <w:pPr>
        <w:snapToGrid w:val="0"/>
        <w:spacing w:line="360" w:lineRule="auto"/>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七、具体评标标准</w:t>
      </w:r>
    </w:p>
    <w:p w14:paraId="05DBC059">
      <w:pPr>
        <w:spacing w:line="360" w:lineRule="auto"/>
        <w:ind w:firstLine="480" w:firstLineChars="200"/>
        <w:rPr>
          <w:rFonts w:ascii="仿宋" w:hAnsi="仿宋" w:eastAsia="仿宋" w:cs="仿宋_GB2312"/>
          <w:color w:val="auto"/>
          <w:highlight w:val="none"/>
        </w:rPr>
      </w:pPr>
      <w:bookmarkStart w:id="436" w:name="gxebd_pack_1_EvalFactorAccordEnd"/>
      <w:bookmarkEnd w:id="436"/>
      <w:r>
        <w:rPr>
          <w:rFonts w:hint="eastAsia" w:ascii="仿宋" w:hAnsi="仿宋" w:eastAsia="仿宋" w:cs="仿宋_GB2312"/>
          <w:color w:val="auto"/>
          <w:highlight w:val="none"/>
        </w:rPr>
        <w:t>21.商务技术分（</w:t>
      </w:r>
      <w:r>
        <w:rPr>
          <w:rFonts w:hint="eastAsia" w:ascii="仿宋" w:hAnsi="仿宋" w:eastAsia="仿宋" w:cs="Arial"/>
          <w:color w:val="auto"/>
          <w:highlight w:val="none"/>
        </w:rPr>
        <w:t>85</w:t>
      </w:r>
      <w:r>
        <w:rPr>
          <w:rFonts w:hint="eastAsia" w:ascii="仿宋" w:hAnsi="仿宋" w:eastAsia="仿宋" w:cs="仿宋_GB2312"/>
          <w:color w:val="auto"/>
          <w:highlight w:val="none"/>
        </w:rPr>
        <w:t>分）</w:t>
      </w:r>
    </w:p>
    <w:tbl>
      <w:tblPr>
        <w:tblStyle w:val="4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5"/>
        <w:gridCol w:w="7072"/>
        <w:gridCol w:w="909"/>
      </w:tblGrid>
      <w:tr w14:paraId="3B5DA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03" w:type="pct"/>
            <w:vAlign w:val="center"/>
          </w:tcPr>
          <w:p w14:paraId="129220D4">
            <w:pPr>
              <w:jc w:val="center"/>
              <w:rPr>
                <w:rFonts w:ascii="宋体" w:hAnsi="宋体" w:eastAsia="宋体"/>
                <w:b/>
                <w:color w:val="auto"/>
                <w:highlight w:val="none"/>
              </w:rPr>
            </w:pPr>
            <w:r>
              <w:rPr>
                <w:rFonts w:hint="eastAsia" w:ascii="宋体" w:hAnsi="宋体" w:eastAsia="宋体"/>
                <w:b/>
                <w:color w:val="auto"/>
                <w:highlight w:val="none"/>
              </w:rPr>
              <w:t>序号</w:t>
            </w:r>
          </w:p>
        </w:tc>
        <w:tc>
          <w:tcPr>
            <w:tcW w:w="3806" w:type="pct"/>
            <w:vAlign w:val="center"/>
          </w:tcPr>
          <w:p w14:paraId="3569053B">
            <w:pPr>
              <w:jc w:val="center"/>
              <w:rPr>
                <w:rFonts w:ascii="宋体" w:hAnsi="宋体" w:eastAsia="宋体"/>
                <w:b/>
                <w:color w:val="auto"/>
                <w:highlight w:val="none"/>
              </w:rPr>
            </w:pPr>
            <w:r>
              <w:rPr>
                <w:rFonts w:hint="eastAsia" w:ascii="宋体" w:hAnsi="宋体" w:eastAsia="宋体"/>
                <w:b/>
                <w:color w:val="auto"/>
                <w:highlight w:val="none"/>
              </w:rPr>
              <w:t>评分标准</w:t>
            </w:r>
          </w:p>
        </w:tc>
        <w:tc>
          <w:tcPr>
            <w:tcW w:w="489" w:type="pct"/>
            <w:vAlign w:val="center"/>
          </w:tcPr>
          <w:p w14:paraId="00141B39">
            <w:pPr>
              <w:jc w:val="center"/>
              <w:rPr>
                <w:rFonts w:ascii="宋体" w:hAnsi="宋体" w:eastAsia="宋体"/>
                <w:b/>
                <w:color w:val="auto"/>
                <w:highlight w:val="none"/>
              </w:rPr>
            </w:pPr>
            <w:r>
              <w:rPr>
                <w:rFonts w:hint="eastAsia" w:ascii="宋体" w:hAnsi="宋体" w:eastAsia="宋体"/>
                <w:b/>
                <w:color w:val="auto"/>
                <w:highlight w:val="none"/>
              </w:rPr>
              <w:t>分数</w:t>
            </w:r>
          </w:p>
        </w:tc>
      </w:tr>
      <w:tr w14:paraId="57C0D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703" w:type="pct"/>
            <w:vAlign w:val="center"/>
          </w:tcPr>
          <w:p w14:paraId="4ABBF9BC">
            <w:pPr>
              <w:jc w:val="center"/>
              <w:rPr>
                <w:rFonts w:ascii="宋体" w:hAnsi="宋体" w:eastAsia="宋体"/>
                <w:b/>
                <w:color w:val="auto"/>
                <w:highlight w:val="none"/>
              </w:rPr>
            </w:pPr>
            <w:r>
              <w:rPr>
                <w:rFonts w:hint="eastAsia" w:ascii="宋体" w:hAnsi="宋体" w:eastAsia="宋体"/>
                <w:bCs/>
                <w:color w:val="auto"/>
                <w:highlight w:val="none"/>
              </w:rPr>
              <w:t>1</w:t>
            </w:r>
          </w:p>
        </w:tc>
        <w:tc>
          <w:tcPr>
            <w:tcW w:w="3806" w:type="pct"/>
            <w:vAlign w:val="center"/>
          </w:tcPr>
          <w:p w14:paraId="7EBF3B8E">
            <w:pPr>
              <w:rPr>
                <w:rFonts w:ascii="宋体" w:hAnsi="宋体" w:eastAsia="宋体"/>
                <w:b/>
                <w:color w:val="auto"/>
                <w:highlight w:val="none"/>
              </w:rPr>
            </w:pPr>
            <w:r>
              <w:rPr>
                <w:rFonts w:hint="eastAsia" w:ascii="宋体" w:hAnsi="宋体" w:eastAsia="宋体"/>
                <w:color w:val="auto"/>
                <w:highlight w:val="none"/>
              </w:rPr>
              <w:t>投标人提供自2022年1月1日（以签订合同时间为准）承接过类似项目业绩，每提供一份有效业绩得0.5分，最多得1分。</w:t>
            </w:r>
          </w:p>
        </w:tc>
        <w:tc>
          <w:tcPr>
            <w:tcW w:w="489" w:type="pct"/>
            <w:vAlign w:val="center"/>
          </w:tcPr>
          <w:p w14:paraId="480C7933">
            <w:pPr>
              <w:jc w:val="center"/>
              <w:rPr>
                <w:rFonts w:ascii="宋体" w:hAnsi="宋体" w:eastAsia="宋体"/>
                <w:b/>
                <w:color w:val="auto"/>
                <w:highlight w:val="none"/>
              </w:rPr>
            </w:pPr>
            <w:r>
              <w:rPr>
                <w:rFonts w:hint="eastAsia" w:ascii="宋体" w:hAnsi="宋体" w:eastAsia="宋体"/>
                <w:color w:val="auto"/>
                <w:highlight w:val="none"/>
              </w:rPr>
              <w:t>1</w:t>
            </w:r>
          </w:p>
        </w:tc>
      </w:tr>
      <w:tr w14:paraId="7F495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03" w:type="pct"/>
            <w:vAlign w:val="center"/>
          </w:tcPr>
          <w:p w14:paraId="01BCA4E8">
            <w:pPr>
              <w:jc w:val="center"/>
              <w:rPr>
                <w:rFonts w:ascii="宋体" w:hAnsi="宋体" w:eastAsia="宋体"/>
                <w:bCs/>
                <w:color w:val="auto"/>
                <w:highlight w:val="none"/>
              </w:rPr>
            </w:pPr>
            <w:r>
              <w:rPr>
                <w:rFonts w:hint="eastAsia" w:ascii="宋体" w:hAnsi="宋体" w:eastAsia="宋体"/>
                <w:bCs/>
                <w:color w:val="auto"/>
                <w:highlight w:val="none"/>
              </w:rPr>
              <w:t>2</w:t>
            </w:r>
          </w:p>
        </w:tc>
        <w:tc>
          <w:tcPr>
            <w:tcW w:w="3806" w:type="pct"/>
            <w:vAlign w:val="center"/>
          </w:tcPr>
          <w:p w14:paraId="5F08C30B">
            <w:pPr>
              <w:rPr>
                <w:rFonts w:ascii="宋体" w:hAnsi="宋体" w:eastAsia="宋体"/>
                <w:color w:val="auto"/>
                <w:highlight w:val="none"/>
              </w:rPr>
            </w:pPr>
            <w:r>
              <w:rPr>
                <w:rFonts w:hint="eastAsia" w:ascii="宋体" w:hAnsi="宋体" w:eastAsia="宋体"/>
                <w:color w:val="auto"/>
                <w:highlight w:val="none"/>
              </w:rPr>
              <w:t>投标人具有信息技术服务管理体系认证、信息安全管理体系认证，有1项得2分，最高得4分，没有不得分（提供证书复印件并加盖投标人公章）。</w:t>
            </w:r>
          </w:p>
        </w:tc>
        <w:tc>
          <w:tcPr>
            <w:tcW w:w="489" w:type="pct"/>
            <w:vAlign w:val="center"/>
          </w:tcPr>
          <w:p w14:paraId="15DBED7C">
            <w:pPr>
              <w:jc w:val="center"/>
              <w:rPr>
                <w:rFonts w:ascii="宋体" w:hAnsi="宋体" w:eastAsia="宋体"/>
                <w:color w:val="auto"/>
                <w:highlight w:val="none"/>
              </w:rPr>
            </w:pPr>
            <w:r>
              <w:rPr>
                <w:rFonts w:hint="eastAsia" w:ascii="宋体" w:hAnsi="宋体" w:eastAsia="宋体"/>
                <w:color w:val="auto"/>
                <w:highlight w:val="none"/>
              </w:rPr>
              <w:t>4</w:t>
            </w:r>
          </w:p>
        </w:tc>
      </w:tr>
      <w:tr w14:paraId="466CA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703" w:type="pct"/>
            <w:vAlign w:val="center"/>
          </w:tcPr>
          <w:p w14:paraId="5E7125E3">
            <w:pPr>
              <w:jc w:val="center"/>
              <w:rPr>
                <w:rFonts w:ascii="宋体" w:hAnsi="宋体" w:eastAsia="宋体"/>
                <w:bCs/>
                <w:color w:val="auto"/>
                <w:highlight w:val="none"/>
              </w:rPr>
            </w:pPr>
            <w:r>
              <w:rPr>
                <w:rFonts w:hint="eastAsia" w:ascii="宋体" w:hAnsi="宋体" w:eastAsia="宋体"/>
                <w:bCs/>
                <w:color w:val="auto"/>
                <w:highlight w:val="none"/>
              </w:rPr>
              <w:t>3</w:t>
            </w:r>
          </w:p>
        </w:tc>
        <w:tc>
          <w:tcPr>
            <w:tcW w:w="3806" w:type="pct"/>
            <w:vAlign w:val="center"/>
          </w:tcPr>
          <w:p w14:paraId="65A076C2">
            <w:pPr>
              <w:rPr>
                <w:rFonts w:ascii="宋体" w:hAnsi="宋体" w:eastAsia="宋体"/>
                <w:color w:val="auto"/>
                <w:highlight w:val="none"/>
              </w:rPr>
            </w:pPr>
            <w:r>
              <w:rPr>
                <w:rFonts w:hint="eastAsia" w:ascii="宋体" w:hAnsi="宋体" w:eastAsia="宋体"/>
                <w:color w:val="auto"/>
                <w:highlight w:val="none"/>
              </w:rPr>
              <w:t>投标人具有与本次建设内容相关的软件著作权证书：门诊系统、住院系统、急诊系统、电子病历系统、集成平台系统、数据中心系统，每提供一种得1分，最高得6分，软件著作权证书必须是投标人自有，复印件加盖投标人公章。</w:t>
            </w:r>
          </w:p>
        </w:tc>
        <w:tc>
          <w:tcPr>
            <w:tcW w:w="489" w:type="pct"/>
            <w:vAlign w:val="center"/>
          </w:tcPr>
          <w:p w14:paraId="68571998">
            <w:pPr>
              <w:jc w:val="center"/>
              <w:rPr>
                <w:rFonts w:ascii="宋体" w:hAnsi="宋体" w:eastAsia="宋体"/>
                <w:color w:val="auto"/>
                <w:highlight w:val="none"/>
              </w:rPr>
            </w:pPr>
            <w:r>
              <w:rPr>
                <w:rFonts w:hint="eastAsia" w:ascii="宋体" w:hAnsi="宋体" w:eastAsia="宋体"/>
                <w:color w:val="auto"/>
                <w:highlight w:val="none"/>
              </w:rPr>
              <w:t>6</w:t>
            </w:r>
          </w:p>
        </w:tc>
      </w:tr>
      <w:tr w14:paraId="5FE12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trPr>
        <w:tc>
          <w:tcPr>
            <w:tcW w:w="703" w:type="pct"/>
            <w:vAlign w:val="center"/>
          </w:tcPr>
          <w:p w14:paraId="061CAFF3">
            <w:pPr>
              <w:jc w:val="center"/>
              <w:rPr>
                <w:rFonts w:ascii="宋体" w:hAnsi="宋体" w:eastAsia="宋体"/>
                <w:color w:val="auto"/>
                <w:highlight w:val="none"/>
              </w:rPr>
            </w:pPr>
            <w:r>
              <w:rPr>
                <w:rFonts w:hint="eastAsia" w:ascii="宋体" w:hAnsi="宋体" w:eastAsia="宋体"/>
                <w:color w:val="auto"/>
                <w:highlight w:val="none"/>
              </w:rPr>
              <w:t>4</w:t>
            </w:r>
          </w:p>
        </w:tc>
        <w:tc>
          <w:tcPr>
            <w:tcW w:w="3806" w:type="pct"/>
            <w:vAlign w:val="center"/>
          </w:tcPr>
          <w:p w14:paraId="683525B0">
            <w:pPr>
              <w:rPr>
                <w:rFonts w:ascii="宋体" w:hAnsi="宋体" w:eastAsia="宋体"/>
                <w:color w:val="auto"/>
                <w:highlight w:val="none"/>
              </w:rPr>
            </w:pPr>
            <w:r>
              <w:rPr>
                <w:rFonts w:hint="eastAsia" w:ascii="宋体" w:hAnsi="宋体" w:eastAsia="宋体"/>
                <w:color w:val="auto"/>
                <w:highlight w:val="none"/>
              </w:rPr>
              <w:t>完全满足招标文件技术要求得15分（不包含演示内容），每有一项负偏离扣0.5分，</w:t>
            </w:r>
            <w:r>
              <w:rPr>
                <w:rFonts w:hint="eastAsia" w:ascii="宋体" w:hAnsi="宋体" w:eastAsia="宋体" w:cs="Times New Roman"/>
                <w:color w:val="auto"/>
                <w:highlight w:val="none"/>
              </w:rPr>
              <w:t>负偏离20项及以上的，视为采购人不能接受的附件条件（涉及到需提供相关证明材料的内容，需提供相应的证明材料，不提供视为不响应）。非量化类的，若是功能一样，表述方式不一样则为符合。</w:t>
            </w:r>
          </w:p>
        </w:tc>
        <w:tc>
          <w:tcPr>
            <w:tcW w:w="489" w:type="pct"/>
            <w:vAlign w:val="center"/>
          </w:tcPr>
          <w:p w14:paraId="0DC78584">
            <w:pPr>
              <w:jc w:val="center"/>
              <w:rPr>
                <w:rFonts w:ascii="宋体" w:hAnsi="宋体" w:eastAsia="宋体"/>
                <w:color w:val="auto"/>
                <w:highlight w:val="none"/>
              </w:rPr>
            </w:pPr>
            <w:r>
              <w:rPr>
                <w:rFonts w:hint="eastAsia" w:ascii="宋体" w:hAnsi="宋体" w:eastAsia="宋体"/>
                <w:color w:val="auto"/>
                <w:highlight w:val="none"/>
              </w:rPr>
              <w:t>15</w:t>
            </w:r>
          </w:p>
        </w:tc>
      </w:tr>
      <w:tr w14:paraId="11F06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703" w:type="pct"/>
            <w:vAlign w:val="center"/>
          </w:tcPr>
          <w:p w14:paraId="520D899F">
            <w:pPr>
              <w:jc w:val="center"/>
              <w:rPr>
                <w:rFonts w:ascii="宋体" w:hAnsi="宋体" w:eastAsia="宋体"/>
                <w:color w:val="auto"/>
                <w:highlight w:val="none"/>
              </w:rPr>
            </w:pPr>
            <w:r>
              <w:rPr>
                <w:rFonts w:hint="eastAsia" w:ascii="宋体" w:hAnsi="宋体" w:eastAsia="宋体"/>
                <w:color w:val="auto"/>
                <w:highlight w:val="none"/>
              </w:rPr>
              <w:t>5</w:t>
            </w:r>
          </w:p>
        </w:tc>
        <w:tc>
          <w:tcPr>
            <w:tcW w:w="3806" w:type="pct"/>
            <w:vAlign w:val="center"/>
          </w:tcPr>
          <w:p w14:paraId="2B201F16">
            <w:pPr>
              <w:rPr>
                <w:rFonts w:ascii="宋体" w:hAnsi="宋体" w:eastAsia="宋体"/>
                <w:color w:val="auto"/>
                <w:highlight w:val="none"/>
              </w:rPr>
            </w:pPr>
            <w:r>
              <w:rPr>
                <w:rFonts w:hint="eastAsia" w:ascii="宋体" w:hAnsi="宋体" w:eastAsia="宋体"/>
                <w:color w:val="auto"/>
                <w:highlight w:val="none"/>
              </w:rPr>
              <w:t>评审专家根据投标人针对本项目给出的技术设计方案进行打分，内容至少包括政策背景、技术路线、架构设计、业务流程设计等，方案阐述细致可行，可行性强，符合项目需求得8分，方案阐述基本合理，有一定的可行性得6分，方案阐述简单得3分，本项不提供不得分。</w:t>
            </w:r>
          </w:p>
        </w:tc>
        <w:tc>
          <w:tcPr>
            <w:tcW w:w="489" w:type="pct"/>
            <w:vAlign w:val="center"/>
          </w:tcPr>
          <w:p w14:paraId="7BD44797">
            <w:pPr>
              <w:jc w:val="center"/>
              <w:rPr>
                <w:rFonts w:ascii="宋体" w:hAnsi="宋体" w:eastAsia="宋体"/>
                <w:color w:val="auto"/>
                <w:highlight w:val="none"/>
              </w:rPr>
            </w:pPr>
            <w:r>
              <w:rPr>
                <w:rFonts w:hint="eastAsia" w:ascii="宋体" w:hAnsi="宋体" w:eastAsia="宋体"/>
                <w:color w:val="auto"/>
                <w:highlight w:val="none"/>
              </w:rPr>
              <w:t>8</w:t>
            </w:r>
          </w:p>
        </w:tc>
      </w:tr>
      <w:tr w14:paraId="66CEF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trPr>
        <w:tc>
          <w:tcPr>
            <w:tcW w:w="703" w:type="pct"/>
            <w:vAlign w:val="center"/>
          </w:tcPr>
          <w:p w14:paraId="2A171824">
            <w:pPr>
              <w:jc w:val="center"/>
              <w:rPr>
                <w:rFonts w:ascii="宋体" w:hAnsi="宋体" w:eastAsia="宋体"/>
                <w:color w:val="auto"/>
                <w:highlight w:val="none"/>
              </w:rPr>
            </w:pPr>
            <w:r>
              <w:rPr>
                <w:rFonts w:hint="eastAsia" w:ascii="宋体" w:hAnsi="宋体" w:eastAsia="宋体"/>
                <w:color w:val="auto"/>
                <w:highlight w:val="none"/>
              </w:rPr>
              <w:t>6</w:t>
            </w:r>
          </w:p>
        </w:tc>
        <w:tc>
          <w:tcPr>
            <w:tcW w:w="3806" w:type="pct"/>
            <w:vAlign w:val="center"/>
          </w:tcPr>
          <w:p w14:paraId="6C0B9CA1">
            <w:pPr>
              <w:rPr>
                <w:rFonts w:ascii="宋体" w:hAnsi="宋体" w:eastAsia="宋体"/>
                <w:color w:val="auto"/>
                <w:highlight w:val="none"/>
              </w:rPr>
            </w:pPr>
            <w:r>
              <w:rPr>
                <w:rFonts w:hint="eastAsia" w:ascii="宋体" w:hAnsi="宋体" w:eastAsia="宋体"/>
                <w:color w:val="auto"/>
                <w:highlight w:val="none"/>
              </w:rPr>
              <w:t>评审专家根据投标人针对本项目制定的项目实施方案进行打分，内容至少包括项目实施计划、项目组织架构、项目管理及沟通协调方法、风险应对措施、等，方案阐述细致合理，可行性强得8分，方案阐述基本合理，有一定的可行性得6</w:t>
            </w:r>
            <w:r>
              <w:rPr>
                <w:rFonts w:ascii="宋体" w:hAnsi="宋体" w:eastAsia="宋体"/>
                <w:color w:val="auto"/>
                <w:highlight w:val="none"/>
              </w:rPr>
              <w:t>分，</w:t>
            </w:r>
            <w:r>
              <w:rPr>
                <w:rFonts w:hint="eastAsia" w:ascii="宋体" w:hAnsi="宋体" w:eastAsia="宋体"/>
                <w:color w:val="auto"/>
                <w:highlight w:val="none"/>
              </w:rPr>
              <w:t>方案阐述简单得3</w:t>
            </w:r>
            <w:r>
              <w:rPr>
                <w:rFonts w:ascii="宋体" w:hAnsi="宋体" w:eastAsia="宋体"/>
                <w:color w:val="auto"/>
                <w:highlight w:val="none"/>
              </w:rPr>
              <w:t>分，</w:t>
            </w:r>
            <w:r>
              <w:rPr>
                <w:rFonts w:hint="eastAsia" w:ascii="宋体" w:hAnsi="宋体" w:eastAsia="宋体"/>
                <w:color w:val="auto"/>
                <w:highlight w:val="none"/>
              </w:rPr>
              <w:t>本项</w:t>
            </w:r>
            <w:r>
              <w:rPr>
                <w:rFonts w:ascii="宋体" w:hAnsi="宋体" w:eastAsia="宋体"/>
                <w:color w:val="auto"/>
                <w:highlight w:val="none"/>
              </w:rPr>
              <w:t>不提供</w:t>
            </w:r>
            <w:r>
              <w:rPr>
                <w:rFonts w:hint="eastAsia" w:ascii="宋体" w:hAnsi="宋体" w:eastAsia="宋体"/>
                <w:color w:val="auto"/>
                <w:highlight w:val="none"/>
              </w:rPr>
              <w:t>不得分。</w:t>
            </w:r>
          </w:p>
        </w:tc>
        <w:tc>
          <w:tcPr>
            <w:tcW w:w="489" w:type="pct"/>
            <w:vAlign w:val="center"/>
          </w:tcPr>
          <w:p w14:paraId="425233D2">
            <w:pPr>
              <w:jc w:val="center"/>
              <w:rPr>
                <w:rFonts w:ascii="宋体" w:hAnsi="宋体" w:eastAsia="宋体"/>
                <w:color w:val="auto"/>
                <w:highlight w:val="none"/>
              </w:rPr>
            </w:pPr>
            <w:r>
              <w:rPr>
                <w:rFonts w:hint="eastAsia" w:ascii="宋体" w:hAnsi="宋体" w:eastAsia="宋体"/>
                <w:color w:val="auto"/>
                <w:highlight w:val="none"/>
              </w:rPr>
              <w:t>8</w:t>
            </w:r>
          </w:p>
        </w:tc>
      </w:tr>
      <w:tr w14:paraId="66EC0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703" w:type="pct"/>
            <w:vAlign w:val="center"/>
          </w:tcPr>
          <w:p w14:paraId="180449D9">
            <w:pPr>
              <w:jc w:val="center"/>
              <w:rPr>
                <w:rFonts w:ascii="宋体" w:hAnsi="宋体" w:eastAsia="宋体"/>
                <w:color w:val="auto"/>
                <w:highlight w:val="none"/>
              </w:rPr>
            </w:pPr>
            <w:r>
              <w:rPr>
                <w:rFonts w:hint="eastAsia" w:ascii="宋体" w:hAnsi="宋体" w:eastAsia="宋体"/>
                <w:color w:val="auto"/>
                <w:highlight w:val="none"/>
              </w:rPr>
              <w:t>7</w:t>
            </w:r>
          </w:p>
        </w:tc>
        <w:tc>
          <w:tcPr>
            <w:tcW w:w="3806" w:type="pct"/>
            <w:vAlign w:val="center"/>
          </w:tcPr>
          <w:p w14:paraId="310A09AF">
            <w:pPr>
              <w:rPr>
                <w:rFonts w:ascii="宋体" w:hAnsi="宋体" w:eastAsia="宋体"/>
                <w:color w:val="auto"/>
                <w:highlight w:val="none"/>
              </w:rPr>
            </w:pPr>
            <w:r>
              <w:rPr>
                <w:rFonts w:hint="eastAsia" w:ascii="宋体" w:hAnsi="宋体" w:eastAsia="宋体"/>
                <w:color w:val="auto"/>
                <w:highlight w:val="none"/>
              </w:rPr>
              <w:t>根据投标人针对本项目提供的培训方案进行打分。培训方案和内容针对性强、满足实际需求得6分；培训方案和内容较合理、基本满足需求得4分；培训方案和内容简单得2分；未提供不得分。</w:t>
            </w:r>
          </w:p>
        </w:tc>
        <w:tc>
          <w:tcPr>
            <w:tcW w:w="489" w:type="pct"/>
            <w:vAlign w:val="center"/>
          </w:tcPr>
          <w:p w14:paraId="31D8592D">
            <w:pPr>
              <w:jc w:val="center"/>
              <w:rPr>
                <w:rFonts w:ascii="宋体" w:hAnsi="宋体" w:eastAsia="宋体"/>
                <w:color w:val="auto"/>
                <w:highlight w:val="none"/>
              </w:rPr>
            </w:pPr>
            <w:r>
              <w:rPr>
                <w:rFonts w:hint="eastAsia" w:ascii="宋体" w:hAnsi="宋体" w:eastAsia="宋体"/>
                <w:color w:val="auto"/>
                <w:highlight w:val="none"/>
              </w:rPr>
              <w:t>6</w:t>
            </w:r>
          </w:p>
        </w:tc>
      </w:tr>
      <w:tr w14:paraId="1D974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03" w:type="pct"/>
            <w:vAlign w:val="center"/>
          </w:tcPr>
          <w:p w14:paraId="61DF59AA">
            <w:pPr>
              <w:jc w:val="center"/>
              <w:rPr>
                <w:rFonts w:ascii="宋体" w:hAnsi="宋体" w:eastAsia="宋体"/>
                <w:color w:val="auto"/>
                <w:highlight w:val="none"/>
              </w:rPr>
            </w:pPr>
            <w:r>
              <w:rPr>
                <w:rFonts w:hint="eastAsia" w:ascii="宋体" w:hAnsi="宋体" w:eastAsia="宋体"/>
                <w:color w:val="auto"/>
                <w:highlight w:val="none"/>
              </w:rPr>
              <w:t>8</w:t>
            </w:r>
          </w:p>
        </w:tc>
        <w:tc>
          <w:tcPr>
            <w:tcW w:w="3806" w:type="pct"/>
            <w:vAlign w:val="center"/>
          </w:tcPr>
          <w:p w14:paraId="287FB699">
            <w:pPr>
              <w:rPr>
                <w:rFonts w:ascii="宋体" w:hAnsi="宋体" w:eastAsia="宋体"/>
                <w:color w:val="auto"/>
                <w:highlight w:val="none"/>
              </w:rPr>
            </w:pPr>
            <w:r>
              <w:rPr>
                <w:rFonts w:hint="eastAsia" w:ascii="宋体" w:hAnsi="宋体" w:eastAsia="宋体"/>
                <w:color w:val="auto"/>
                <w:highlight w:val="none"/>
              </w:rPr>
              <w:t>评审专家根据投标人提供的售后服务方案内容至少包括人员分工安排、售后服务计划、故障响应修复时间、售后服务流程等方面进行打分。方案阐述细致合理，可行性强得6</w:t>
            </w:r>
            <w:r>
              <w:rPr>
                <w:rFonts w:ascii="宋体" w:hAnsi="宋体" w:eastAsia="宋体"/>
                <w:color w:val="auto"/>
                <w:highlight w:val="none"/>
              </w:rPr>
              <w:t>分</w:t>
            </w:r>
            <w:r>
              <w:rPr>
                <w:rFonts w:hint="eastAsia" w:ascii="宋体" w:hAnsi="宋体" w:eastAsia="宋体"/>
                <w:color w:val="auto"/>
                <w:highlight w:val="none"/>
              </w:rPr>
              <w:t>，方案阐述基本合理，有一定的可行性得4</w:t>
            </w:r>
            <w:r>
              <w:rPr>
                <w:rFonts w:ascii="宋体" w:hAnsi="宋体" w:eastAsia="宋体"/>
                <w:color w:val="auto"/>
                <w:highlight w:val="none"/>
              </w:rPr>
              <w:t>分，</w:t>
            </w:r>
            <w:r>
              <w:rPr>
                <w:rFonts w:hint="eastAsia" w:ascii="宋体" w:hAnsi="宋体" w:eastAsia="宋体"/>
                <w:color w:val="auto"/>
                <w:highlight w:val="none"/>
              </w:rPr>
              <w:t>方案阐述简单得2</w:t>
            </w:r>
            <w:r>
              <w:rPr>
                <w:rFonts w:ascii="宋体" w:hAnsi="宋体" w:eastAsia="宋体"/>
                <w:color w:val="auto"/>
                <w:highlight w:val="none"/>
              </w:rPr>
              <w:t>分，</w:t>
            </w:r>
            <w:r>
              <w:rPr>
                <w:rFonts w:hint="eastAsia" w:ascii="宋体" w:hAnsi="宋体" w:eastAsia="宋体"/>
                <w:color w:val="auto"/>
                <w:highlight w:val="none"/>
              </w:rPr>
              <w:t>本项</w:t>
            </w:r>
            <w:r>
              <w:rPr>
                <w:rFonts w:ascii="宋体" w:hAnsi="宋体" w:eastAsia="宋体"/>
                <w:color w:val="auto"/>
                <w:highlight w:val="none"/>
              </w:rPr>
              <w:t>不提供</w:t>
            </w:r>
            <w:r>
              <w:rPr>
                <w:rFonts w:hint="eastAsia" w:ascii="宋体" w:hAnsi="宋体" w:eastAsia="宋体"/>
                <w:color w:val="auto"/>
                <w:highlight w:val="none"/>
              </w:rPr>
              <w:t>不得分。</w:t>
            </w:r>
          </w:p>
        </w:tc>
        <w:tc>
          <w:tcPr>
            <w:tcW w:w="489" w:type="pct"/>
            <w:vAlign w:val="center"/>
          </w:tcPr>
          <w:p w14:paraId="748863C0">
            <w:pPr>
              <w:jc w:val="center"/>
              <w:rPr>
                <w:rFonts w:ascii="宋体" w:hAnsi="宋体" w:eastAsia="宋体"/>
                <w:color w:val="auto"/>
                <w:highlight w:val="none"/>
              </w:rPr>
            </w:pPr>
            <w:r>
              <w:rPr>
                <w:rFonts w:hint="eastAsia" w:ascii="宋体" w:hAnsi="宋体" w:eastAsia="宋体"/>
                <w:color w:val="auto"/>
                <w:highlight w:val="none"/>
              </w:rPr>
              <w:t>6</w:t>
            </w:r>
          </w:p>
        </w:tc>
      </w:tr>
      <w:tr w14:paraId="69097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03" w:type="pct"/>
            <w:vAlign w:val="center"/>
          </w:tcPr>
          <w:p w14:paraId="4B791EE8">
            <w:pPr>
              <w:jc w:val="center"/>
              <w:rPr>
                <w:rFonts w:ascii="宋体" w:hAnsi="宋体" w:eastAsia="宋体"/>
                <w:color w:val="auto"/>
                <w:highlight w:val="none"/>
              </w:rPr>
            </w:pPr>
            <w:r>
              <w:rPr>
                <w:rFonts w:hint="eastAsia" w:ascii="宋体" w:hAnsi="宋体" w:eastAsia="宋体"/>
                <w:color w:val="auto"/>
                <w:highlight w:val="none"/>
              </w:rPr>
              <w:t>9</w:t>
            </w:r>
          </w:p>
        </w:tc>
        <w:tc>
          <w:tcPr>
            <w:tcW w:w="3806" w:type="pct"/>
            <w:vAlign w:val="center"/>
          </w:tcPr>
          <w:p w14:paraId="69622E44">
            <w:pPr>
              <w:rPr>
                <w:rFonts w:ascii="宋体" w:hAnsi="宋体" w:eastAsia="宋体"/>
                <w:color w:val="auto"/>
                <w:highlight w:val="none"/>
              </w:rPr>
            </w:pPr>
            <w:r>
              <w:rPr>
                <w:rFonts w:hint="eastAsia" w:ascii="宋体" w:hAnsi="宋体" w:eastAsia="宋体"/>
                <w:color w:val="auto"/>
                <w:highlight w:val="none"/>
              </w:rPr>
              <w:t>根据投标人提供的数据迁移方案</w:t>
            </w:r>
            <w:r>
              <w:rPr>
                <w:rFonts w:hint="eastAsia" w:ascii="宋体" w:hAnsi="宋体" w:eastAsia="宋体"/>
                <w:bCs/>
                <w:color w:val="auto"/>
                <w:highlight w:val="none"/>
              </w:rPr>
              <w:t>进行打分，方案科学合理得5分，方案有一定的合理性得3分，方案描述较简单得1分，</w:t>
            </w:r>
            <w:r>
              <w:rPr>
                <w:rFonts w:hint="eastAsia" w:ascii="宋体" w:hAnsi="宋体" w:eastAsia="宋体"/>
                <w:color w:val="auto"/>
                <w:highlight w:val="none"/>
              </w:rPr>
              <w:t>不提供不得分</w:t>
            </w:r>
            <w:r>
              <w:rPr>
                <w:rFonts w:hint="eastAsia" w:ascii="宋体" w:hAnsi="宋体" w:eastAsia="宋体"/>
                <w:bCs/>
                <w:color w:val="auto"/>
                <w:highlight w:val="none"/>
              </w:rPr>
              <w:t>。</w:t>
            </w:r>
          </w:p>
        </w:tc>
        <w:tc>
          <w:tcPr>
            <w:tcW w:w="489" w:type="pct"/>
            <w:vAlign w:val="center"/>
          </w:tcPr>
          <w:p w14:paraId="05EDE7AA">
            <w:pPr>
              <w:jc w:val="center"/>
              <w:rPr>
                <w:rFonts w:ascii="宋体" w:hAnsi="宋体" w:eastAsia="宋体"/>
                <w:color w:val="auto"/>
                <w:highlight w:val="none"/>
              </w:rPr>
            </w:pPr>
            <w:r>
              <w:rPr>
                <w:rFonts w:hint="eastAsia" w:ascii="宋体" w:hAnsi="宋体" w:eastAsia="宋体"/>
                <w:color w:val="auto"/>
                <w:highlight w:val="none"/>
              </w:rPr>
              <w:t>5</w:t>
            </w:r>
          </w:p>
        </w:tc>
      </w:tr>
      <w:tr w14:paraId="01C9F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03" w:type="pct"/>
            <w:vAlign w:val="center"/>
          </w:tcPr>
          <w:p w14:paraId="4D6063D7">
            <w:pPr>
              <w:jc w:val="center"/>
              <w:rPr>
                <w:rFonts w:ascii="宋体" w:hAnsi="宋体" w:eastAsia="宋体"/>
                <w:color w:val="auto"/>
                <w:highlight w:val="none"/>
              </w:rPr>
            </w:pPr>
            <w:r>
              <w:rPr>
                <w:rFonts w:hint="eastAsia" w:ascii="宋体" w:hAnsi="宋体" w:eastAsia="宋体"/>
                <w:color w:val="auto"/>
                <w:highlight w:val="none"/>
              </w:rPr>
              <w:t>10</w:t>
            </w:r>
          </w:p>
        </w:tc>
        <w:tc>
          <w:tcPr>
            <w:tcW w:w="3806" w:type="pct"/>
            <w:vAlign w:val="center"/>
          </w:tcPr>
          <w:p w14:paraId="04D63559">
            <w:pPr>
              <w:rPr>
                <w:rFonts w:ascii="宋体" w:hAnsi="宋体" w:eastAsia="宋体"/>
                <w:color w:val="auto"/>
                <w:highlight w:val="none"/>
              </w:rPr>
            </w:pPr>
            <w:r>
              <w:rPr>
                <w:rFonts w:hint="eastAsia" w:ascii="宋体" w:hAnsi="宋体" w:eastAsia="宋体"/>
                <w:color w:val="auto"/>
                <w:highlight w:val="none"/>
              </w:rPr>
              <w:t>根据投标人提供的项目进度计划进行打分，项目进度各阶段安排合理计划周全得5分，项目进度安排有有一定的可行性得3分，项目进度安排较简单得1分，不提供不得分。</w:t>
            </w:r>
          </w:p>
        </w:tc>
        <w:tc>
          <w:tcPr>
            <w:tcW w:w="489" w:type="pct"/>
            <w:vAlign w:val="center"/>
          </w:tcPr>
          <w:p w14:paraId="11A1F8B0">
            <w:pPr>
              <w:jc w:val="center"/>
              <w:rPr>
                <w:rFonts w:ascii="宋体" w:hAnsi="宋体" w:eastAsia="宋体"/>
                <w:color w:val="auto"/>
                <w:highlight w:val="none"/>
              </w:rPr>
            </w:pPr>
            <w:r>
              <w:rPr>
                <w:rFonts w:hint="eastAsia" w:ascii="宋体" w:hAnsi="宋体" w:eastAsia="宋体"/>
                <w:color w:val="auto"/>
                <w:highlight w:val="none"/>
              </w:rPr>
              <w:t>5</w:t>
            </w:r>
          </w:p>
        </w:tc>
      </w:tr>
      <w:tr w14:paraId="2AADC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703" w:type="pct"/>
            <w:vAlign w:val="center"/>
          </w:tcPr>
          <w:p w14:paraId="3901FAE2">
            <w:pPr>
              <w:jc w:val="center"/>
              <w:rPr>
                <w:rFonts w:ascii="宋体" w:hAnsi="宋体" w:eastAsia="宋体"/>
                <w:color w:val="auto"/>
                <w:highlight w:val="none"/>
              </w:rPr>
            </w:pPr>
            <w:r>
              <w:rPr>
                <w:rFonts w:hint="eastAsia" w:ascii="宋体" w:hAnsi="宋体" w:eastAsia="宋体"/>
                <w:color w:val="auto"/>
                <w:highlight w:val="none"/>
              </w:rPr>
              <w:t>11</w:t>
            </w:r>
          </w:p>
        </w:tc>
        <w:tc>
          <w:tcPr>
            <w:tcW w:w="3806" w:type="pct"/>
            <w:vAlign w:val="center"/>
          </w:tcPr>
          <w:p w14:paraId="378BD580">
            <w:pPr>
              <w:rPr>
                <w:rFonts w:ascii="宋体" w:hAnsi="宋体" w:eastAsia="宋体"/>
                <w:color w:val="auto"/>
                <w:highlight w:val="none"/>
              </w:rPr>
            </w:pPr>
            <w:r>
              <w:rPr>
                <w:rFonts w:hint="eastAsia" w:ascii="宋体" w:hAnsi="宋体" w:eastAsia="宋体"/>
                <w:color w:val="auto"/>
                <w:highlight w:val="none"/>
              </w:rPr>
              <w:t>根据投标人提供的实施质量控制措施</w:t>
            </w:r>
            <w:r>
              <w:rPr>
                <w:rFonts w:hint="eastAsia" w:ascii="宋体" w:hAnsi="宋体" w:eastAsia="宋体"/>
                <w:bCs/>
                <w:color w:val="auto"/>
                <w:highlight w:val="none"/>
              </w:rPr>
              <w:t>进行打分，措施科学合理得5</w:t>
            </w:r>
            <w:r>
              <w:rPr>
                <w:rFonts w:ascii="宋体" w:hAnsi="宋体" w:eastAsia="宋体"/>
                <w:bCs/>
                <w:color w:val="auto"/>
                <w:highlight w:val="none"/>
              </w:rPr>
              <w:t>分，</w:t>
            </w:r>
            <w:r>
              <w:rPr>
                <w:rFonts w:hint="eastAsia" w:ascii="宋体" w:hAnsi="宋体" w:eastAsia="宋体"/>
                <w:bCs/>
                <w:color w:val="auto"/>
                <w:highlight w:val="none"/>
              </w:rPr>
              <w:t>措施</w:t>
            </w:r>
            <w:r>
              <w:rPr>
                <w:rFonts w:ascii="宋体" w:hAnsi="宋体" w:eastAsia="宋体"/>
                <w:bCs/>
                <w:color w:val="auto"/>
                <w:highlight w:val="none"/>
              </w:rPr>
              <w:t>有一定的</w:t>
            </w:r>
            <w:r>
              <w:rPr>
                <w:rFonts w:hint="eastAsia" w:ascii="宋体" w:hAnsi="宋体" w:eastAsia="宋体"/>
                <w:bCs/>
                <w:color w:val="auto"/>
                <w:highlight w:val="none"/>
              </w:rPr>
              <w:t>合理性</w:t>
            </w:r>
            <w:r>
              <w:rPr>
                <w:rFonts w:ascii="宋体" w:hAnsi="宋体" w:eastAsia="宋体"/>
                <w:bCs/>
                <w:color w:val="auto"/>
                <w:highlight w:val="none"/>
              </w:rPr>
              <w:t>得</w:t>
            </w:r>
            <w:r>
              <w:rPr>
                <w:rFonts w:hint="eastAsia" w:ascii="宋体" w:hAnsi="宋体" w:eastAsia="宋体"/>
                <w:bCs/>
                <w:color w:val="auto"/>
                <w:highlight w:val="none"/>
              </w:rPr>
              <w:t>3</w:t>
            </w:r>
            <w:r>
              <w:rPr>
                <w:rFonts w:ascii="宋体" w:hAnsi="宋体" w:eastAsia="宋体"/>
                <w:bCs/>
                <w:color w:val="auto"/>
                <w:highlight w:val="none"/>
              </w:rPr>
              <w:t>分，</w:t>
            </w:r>
            <w:r>
              <w:rPr>
                <w:rFonts w:hint="eastAsia" w:ascii="宋体" w:hAnsi="宋体" w:eastAsia="宋体"/>
                <w:bCs/>
                <w:color w:val="auto"/>
                <w:highlight w:val="none"/>
              </w:rPr>
              <w:t>措施较简单得1</w:t>
            </w:r>
            <w:r>
              <w:rPr>
                <w:rFonts w:ascii="宋体" w:hAnsi="宋体" w:eastAsia="宋体"/>
                <w:bCs/>
                <w:color w:val="auto"/>
                <w:highlight w:val="none"/>
              </w:rPr>
              <w:t>分</w:t>
            </w:r>
            <w:r>
              <w:rPr>
                <w:rFonts w:hint="eastAsia" w:ascii="宋体" w:hAnsi="宋体" w:eastAsia="宋体"/>
                <w:bCs/>
                <w:color w:val="auto"/>
                <w:highlight w:val="none"/>
              </w:rPr>
              <w:t>，</w:t>
            </w:r>
            <w:r>
              <w:rPr>
                <w:rFonts w:hint="eastAsia" w:ascii="宋体" w:hAnsi="宋体" w:eastAsia="宋体"/>
                <w:color w:val="auto"/>
                <w:highlight w:val="none"/>
              </w:rPr>
              <w:t>不提供不得分</w:t>
            </w:r>
            <w:r>
              <w:rPr>
                <w:rFonts w:hint="eastAsia" w:ascii="宋体" w:hAnsi="宋体" w:eastAsia="宋体"/>
                <w:bCs/>
                <w:color w:val="auto"/>
                <w:highlight w:val="none"/>
              </w:rPr>
              <w:t>。</w:t>
            </w:r>
          </w:p>
        </w:tc>
        <w:tc>
          <w:tcPr>
            <w:tcW w:w="489" w:type="pct"/>
            <w:vAlign w:val="center"/>
          </w:tcPr>
          <w:p w14:paraId="489A1BE7">
            <w:pPr>
              <w:jc w:val="center"/>
              <w:rPr>
                <w:rFonts w:ascii="宋体" w:hAnsi="宋体" w:eastAsia="宋体"/>
                <w:color w:val="auto"/>
                <w:highlight w:val="none"/>
              </w:rPr>
            </w:pPr>
            <w:r>
              <w:rPr>
                <w:rFonts w:hint="eastAsia" w:ascii="宋体" w:hAnsi="宋体" w:eastAsia="宋体"/>
                <w:color w:val="auto"/>
                <w:highlight w:val="none"/>
              </w:rPr>
              <w:t>5</w:t>
            </w:r>
          </w:p>
        </w:tc>
      </w:tr>
      <w:tr w14:paraId="39220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703" w:type="pct"/>
            <w:vAlign w:val="center"/>
          </w:tcPr>
          <w:p w14:paraId="698A747A">
            <w:pPr>
              <w:jc w:val="center"/>
              <w:rPr>
                <w:rFonts w:ascii="宋体" w:hAnsi="宋体" w:eastAsia="宋体"/>
                <w:color w:val="auto"/>
                <w:highlight w:val="none"/>
              </w:rPr>
            </w:pPr>
            <w:r>
              <w:rPr>
                <w:rFonts w:hint="eastAsia" w:ascii="宋体" w:hAnsi="宋体" w:eastAsia="宋体"/>
                <w:color w:val="auto"/>
                <w:highlight w:val="none"/>
              </w:rPr>
              <w:t>12</w:t>
            </w:r>
          </w:p>
        </w:tc>
        <w:tc>
          <w:tcPr>
            <w:tcW w:w="3806" w:type="pct"/>
            <w:vAlign w:val="center"/>
          </w:tcPr>
          <w:p w14:paraId="42984FEA">
            <w:pPr>
              <w:rPr>
                <w:rFonts w:ascii="宋体" w:hAnsi="宋体" w:eastAsia="宋体"/>
                <w:color w:val="auto"/>
                <w:highlight w:val="none"/>
              </w:rPr>
            </w:pPr>
            <w:bookmarkStart w:id="437" w:name="_Hlk190431638"/>
            <w:r>
              <w:rPr>
                <w:rFonts w:hint="eastAsia" w:ascii="宋体" w:hAnsi="宋体" w:eastAsia="宋体"/>
                <w:color w:val="auto"/>
                <w:highlight w:val="none"/>
              </w:rPr>
              <w:t>系统演示：本项目需采用真实系统在线演示</w:t>
            </w:r>
            <w:r>
              <w:rPr>
                <w:rFonts w:hint="eastAsia" w:ascii="宋体" w:hAnsi="宋体" w:eastAsia="宋体" w:cstheme="minorBidi"/>
                <w:color w:val="auto"/>
                <w:sz w:val="24"/>
                <w:szCs w:val="24"/>
                <w:highlight w:val="none"/>
              </w:rPr>
              <w:t>或DEMO演示</w:t>
            </w:r>
            <w:r>
              <w:rPr>
                <w:rFonts w:hint="eastAsia" w:ascii="宋体" w:hAnsi="宋体" w:eastAsia="宋体"/>
                <w:color w:val="auto"/>
                <w:highlight w:val="none"/>
              </w:rPr>
              <w:t>，采用PPT/图片/静态页面等演示的每项得分减半。演示时间不超过20分钟（不包括专家提问时间）</w:t>
            </w:r>
          </w:p>
          <w:p w14:paraId="1EE275BA">
            <w:pPr>
              <w:rPr>
                <w:rFonts w:ascii="宋体" w:hAnsi="宋体" w:eastAsia="宋体"/>
                <w:color w:val="auto"/>
                <w:highlight w:val="none"/>
              </w:rPr>
            </w:pPr>
            <w:r>
              <w:rPr>
                <w:rFonts w:hint="eastAsia" w:ascii="宋体" w:hAnsi="宋体" w:eastAsia="宋体"/>
                <w:color w:val="auto"/>
                <w:highlight w:val="none"/>
              </w:rPr>
              <w:t>1、支持母婴病案号独立，医嘱独立开立，医嘱费用分离；支持产科至新生儿科转科、取消转科，支持新生儿独立床卡；</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p>
          <w:p w14:paraId="4F68BECB">
            <w:pPr>
              <w:rPr>
                <w:rFonts w:ascii="宋体" w:hAnsi="宋体" w:eastAsia="宋体"/>
                <w:color w:val="auto"/>
                <w:highlight w:val="none"/>
              </w:rPr>
            </w:pPr>
            <w:r>
              <w:rPr>
                <w:rFonts w:hint="eastAsia" w:ascii="宋体" w:hAnsi="宋体" w:eastAsia="宋体"/>
                <w:color w:val="auto"/>
                <w:highlight w:val="none"/>
              </w:rPr>
              <w:t>2、支持平会诊、急会诊、全院学科会诊、指定医生会诊；支持会诊闭环数据展示；支持电子会诊（包含申请发送、接受、确认、书写等功能）；</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p>
          <w:p w14:paraId="315694B7">
            <w:pPr>
              <w:rPr>
                <w:rFonts w:ascii="宋体" w:hAnsi="宋体" w:eastAsia="宋体"/>
                <w:color w:val="auto"/>
                <w:highlight w:val="none"/>
              </w:rPr>
            </w:pPr>
            <w:r>
              <w:rPr>
                <w:rFonts w:hint="eastAsia" w:ascii="宋体" w:hAnsi="宋体" w:eastAsia="宋体"/>
                <w:color w:val="auto"/>
                <w:highlight w:val="none"/>
              </w:rPr>
              <w:t>3、病历编写功能，电子病历的录入和修改需要确认，应能完整记录各次修改的变动，电子病历的浏览和修改都需要有权限的控制，并留痕；</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p>
          <w:p w14:paraId="44207586">
            <w:pPr>
              <w:rPr>
                <w:rFonts w:ascii="宋体" w:hAnsi="宋体" w:eastAsia="宋体"/>
                <w:color w:val="auto"/>
                <w:highlight w:val="none"/>
              </w:rPr>
            </w:pPr>
            <w:r>
              <w:rPr>
                <w:rFonts w:hint="eastAsia" w:ascii="宋体" w:hAnsi="宋体" w:eastAsia="宋体"/>
                <w:color w:val="auto"/>
                <w:highlight w:val="none"/>
              </w:rPr>
              <w:t>4、支持抗菌、抗肿瘤药物等级字典维护；支持维护药品级别；支持维护医生门诊、住院药物使用权限；支持开立药物时根据药品级别以及医生使用权限进行校验，填写药物使用理由；</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p>
          <w:p w14:paraId="19B4BC73">
            <w:pPr>
              <w:rPr>
                <w:rFonts w:ascii="宋体" w:hAnsi="宋体" w:eastAsia="宋体"/>
                <w:color w:val="auto"/>
                <w:highlight w:val="none"/>
              </w:rPr>
            </w:pPr>
            <w:r>
              <w:rPr>
                <w:rFonts w:hint="eastAsia" w:ascii="宋体" w:hAnsi="宋体" w:eastAsia="宋体"/>
                <w:color w:val="auto"/>
                <w:highlight w:val="none"/>
              </w:rPr>
              <w:t>5、支持医保适应症提醒，个性化配置收费项目医保适应症提醒内容；支持按门诊住院类别、全部/医保/自费的费别、针对性的设置控制级别为强制/提醒的控费规则；</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p>
          <w:p w14:paraId="30B3A506">
            <w:pPr>
              <w:rPr>
                <w:rFonts w:hint="eastAsia" w:ascii="宋体" w:hAnsi="宋体" w:eastAsia="宋体"/>
                <w:color w:val="auto"/>
                <w:highlight w:val="none"/>
              </w:rPr>
            </w:pPr>
            <w:r>
              <w:rPr>
                <w:rFonts w:hint="eastAsia" w:ascii="宋体" w:hAnsi="宋体" w:eastAsia="宋体"/>
                <w:color w:val="auto"/>
                <w:highlight w:val="none"/>
              </w:rPr>
              <w:t>6、支持医嘱费用划价和非医嘱费用补收；支持门急诊、住院医嘱执行确认以及取消执行等操作；支持个人/科室收费项目授权，个人/科室收费模板维护；</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p>
          <w:p w14:paraId="3B15F5A8">
            <w:pPr>
              <w:rPr>
                <w:rFonts w:hint="eastAsia" w:ascii="宋体" w:hAnsi="宋体" w:eastAsia="宋体"/>
                <w:color w:val="auto"/>
                <w:highlight w:val="none"/>
              </w:rPr>
            </w:pPr>
            <w:r>
              <w:rPr>
                <w:rFonts w:hint="eastAsia" w:ascii="宋体" w:hAnsi="宋体" w:eastAsia="宋体"/>
                <w:color w:val="auto"/>
                <w:highlight w:val="none"/>
              </w:rPr>
              <w:t>7、支持维护手术对应等级；支持维护医生手术开立权限以及手术等级权限；支持根据科室、医生等纬度配置相对应能开立的手术；</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p>
          <w:p w14:paraId="1A3A4C7A">
            <w:pPr>
              <w:rPr>
                <w:rFonts w:ascii="宋体" w:hAnsi="宋体" w:eastAsia="宋体"/>
                <w:color w:val="auto"/>
                <w:highlight w:val="none"/>
              </w:rPr>
            </w:pPr>
            <w:r>
              <w:rPr>
                <w:rFonts w:hint="eastAsia" w:ascii="宋体" w:hAnsi="宋体" w:eastAsia="宋体"/>
                <w:color w:val="auto"/>
                <w:highlight w:val="none"/>
              </w:rPr>
              <w:t>8、支持维护同一药物国产或进口比例维护；支持根据医生配置集采药品额度；支持紧急情况下根据患者，医生，科室等纬度开通集采药品白名单功能；</w:t>
            </w:r>
            <w:r>
              <w:rPr>
                <w:rFonts w:hint="eastAsia" w:ascii="宋体" w:hAnsi="宋体" w:eastAsia="宋体" w:cstheme="minorBidi"/>
                <w:color w:val="auto"/>
                <w:sz w:val="24"/>
                <w:szCs w:val="24"/>
                <w:highlight w:val="none"/>
              </w:rPr>
              <w:t>以上演示项内容完整、操作简洁、系统顺畅的得2分；演示项内容较完整、操作较简洁、系统较顺畅的得1分；演示项内容不完整、操作繁琐、系统卡顿的得0.5分；不提供不得分。</w:t>
            </w:r>
            <w:bookmarkEnd w:id="437"/>
          </w:p>
        </w:tc>
        <w:tc>
          <w:tcPr>
            <w:tcW w:w="489" w:type="pct"/>
            <w:vAlign w:val="center"/>
          </w:tcPr>
          <w:p w14:paraId="06112330">
            <w:pPr>
              <w:jc w:val="center"/>
              <w:rPr>
                <w:rFonts w:ascii="宋体" w:hAnsi="宋体" w:eastAsia="宋体"/>
                <w:color w:val="auto"/>
                <w:highlight w:val="none"/>
              </w:rPr>
            </w:pPr>
            <w:r>
              <w:rPr>
                <w:rFonts w:hint="eastAsia" w:ascii="宋体" w:hAnsi="宋体" w:eastAsia="宋体"/>
                <w:color w:val="auto"/>
                <w:highlight w:val="none"/>
              </w:rPr>
              <w:t>16</w:t>
            </w:r>
          </w:p>
        </w:tc>
      </w:tr>
    </w:tbl>
    <w:p w14:paraId="60A8A017">
      <w:pPr>
        <w:pStyle w:val="203"/>
        <w:spacing w:before="0"/>
        <w:ind w:firstLine="0" w:firstLineChars="0"/>
        <w:rPr>
          <w:rFonts w:ascii="仿宋" w:hAnsi="仿宋" w:eastAsia="仿宋" w:cs="仿宋_GB2312"/>
          <w:color w:val="auto"/>
          <w:highlight w:val="none"/>
        </w:rPr>
      </w:pPr>
    </w:p>
    <w:p w14:paraId="1682E261">
      <w:pPr>
        <w:pStyle w:val="203"/>
        <w:spacing w:before="0"/>
        <w:ind w:firstLine="480"/>
        <w:rPr>
          <w:rFonts w:ascii="仿宋" w:hAnsi="仿宋" w:eastAsia="仿宋"/>
          <w:b/>
          <w:bCs/>
          <w:color w:val="auto"/>
          <w:highlight w:val="none"/>
        </w:rPr>
      </w:pPr>
      <w:r>
        <w:rPr>
          <w:rFonts w:hint="eastAsia" w:ascii="仿宋" w:hAnsi="仿宋" w:eastAsia="仿宋" w:cs="仿宋_GB2312"/>
          <w:color w:val="auto"/>
          <w:highlight w:val="none"/>
        </w:rPr>
        <w:t>（计算得分时，按其算术平均值保留小数点后2位；评审小组成员个人主观打分偏离所有评审小组成员主观打分平均值30%以上的，由评审委员会启动评分畸高、畸低行为认定程序。）</w:t>
      </w:r>
      <w:r>
        <w:rPr>
          <w:rFonts w:hint="eastAsia" w:ascii="仿宋" w:hAnsi="仿宋" w:eastAsia="仿宋" w:cs="仿宋_GB2312"/>
          <w:b/>
          <w:bCs/>
          <w:color w:val="auto"/>
          <w:highlight w:val="none"/>
        </w:rPr>
        <w:t>商务技术分低于51分的，</w:t>
      </w:r>
      <w:r>
        <w:rPr>
          <w:rFonts w:hint="eastAsia" w:ascii="仿宋" w:hAnsi="仿宋" w:eastAsia="仿宋"/>
          <w:b/>
          <w:bCs/>
          <w:color w:val="auto"/>
          <w:highlight w:val="none"/>
        </w:rPr>
        <w:t>视为采购人不能接受的附加条件。</w:t>
      </w:r>
    </w:p>
    <w:p w14:paraId="6E144CCC">
      <w:pPr>
        <w:pStyle w:val="203"/>
        <w:spacing w:before="0"/>
        <w:ind w:firstLine="0" w:firstLineChars="0"/>
        <w:rPr>
          <w:rFonts w:ascii="仿宋" w:hAnsi="仿宋" w:eastAsia="仿宋"/>
          <w:b/>
          <w:bCs/>
          <w:color w:val="auto"/>
          <w:highlight w:val="none"/>
        </w:rPr>
      </w:pPr>
    </w:p>
    <w:p w14:paraId="28809969">
      <w:pPr>
        <w:pStyle w:val="203"/>
        <w:spacing w:before="0"/>
        <w:ind w:firstLine="0" w:firstLineChars="0"/>
        <w:rPr>
          <w:rFonts w:ascii="仿宋" w:hAnsi="仿宋" w:eastAsia="仿宋"/>
          <w:b/>
          <w:bCs/>
          <w:color w:val="auto"/>
          <w:highlight w:val="none"/>
        </w:rPr>
      </w:pPr>
    </w:p>
    <w:p w14:paraId="4A91E3D7">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2</w:t>
      </w:r>
      <w:r>
        <w:rPr>
          <w:rFonts w:ascii="仿宋" w:hAnsi="仿宋" w:eastAsia="仿宋" w:cs="仿宋_GB2312"/>
          <w:color w:val="auto"/>
          <w:highlight w:val="none"/>
        </w:rPr>
        <w:t>2.</w:t>
      </w:r>
      <w:r>
        <w:rPr>
          <w:rFonts w:hint="eastAsia" w:ascii="仿宋" w:hAnsi="仿宋" w:eastAsia="仿宋" w:cs="仿宋_GB2312"/>
          <w:color w:val="auto"/>
          <w:highlight w:val="none"/>
        </w:rPr>
        <w:t>价格分（</w:t>
      </w:r>
      <w:r>
        <w:rPr>
          <w:rFonts w:hint="eastAsia" w:ascii="仿宋" w:hAnsi="仿宋" w:eastAsia="仿宋" w:cs="Arial"/>
          <w:color w:val="auto"/>
          <w:highlight w:val="none"/>
        </w:rPr>
        <w:t>15</w:t>
      </w:r>
      <w:r>
        <w:rPr>
          <w:rFonts w:hint="eastAsia" w:ascii="仿宋" w:hAnsi="仿宋" w:eastAsia="仿宋" w:cs="仿宋_GB2312"/>
          <w:color w:val="auto"/>
          <w:highlight w:val="none"/>
        </w:rPr>
        <w:t>分）</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14:paraId="02F22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noWrap/>
            <w:vAlign w:val="bottom"/>
          </w:tcPr>
          <w:p w14:paraId="7111C3DA">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14:paraId="2589A305">
            <w:pPr>
              <w:spacing w:line="360" w:lineRule="auto"/>
              <w:ind w:firstLine="480" w:firstLineChars="200"/>
              <w:jc w:val="center"/>
              <w:rPr>
                <w:rFonts w:ascii="仿宋" w:hAnsi="仿宋" w:eastAsia="仿宋" w:cs="仿宋_GB2312"/>
                <w:color w:val="auto"/>
                <w:highlight w:val="none"/>
              </w:rPr>
            </w:pPr>
            <w:r>
              <w:rPr>
                <w:rFonts w:hint="eastAsia" w:ascii="仿宋" w:hAnsi="仿宋" w:eastAsia="仿宋" w:cs="仿宋_GB2312"/>
                <w:color w:val="auto"/>
                <w:highlight w:val="none"/>
              </w:rPr>
              <w:t>计算方法</w:t>
            </w:r>
          </w:p>
        </w:tc>
      </w:tr>
      <w:tr w14:paraId="02378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3C8C306D">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价格权值</w:t>
            </w:r>
            <w:r>
              <w:rPr>
                <w:rFonts w:ascii="仿宋" w:hAnsi="仿宋" w:eastAsia="仿宋" w:cs="仿宋_GB2312"/>
                <w:color w:val="auto"/>
                <w:highlight w:val="none"/>
              </w:rPr>
              <w:t>=</w:t>
            </w:r>
            <w:r>
              <w:rPr>
                <w:rFonts w:hint="eastAsia" w:ascii="仿宋" w:hAnsi="仿宋" w:eastAsia="仿宋" w:cs="仿宋_GB2312"/>
                <w:color w:val="auto"/>
                <w:highlight w:val="none"/>
              </w:rPr>
              <w:t>0.</w:t>
            </w:r>
            <w:r>
              <w:rPr>
                <w:rFonts w:hint="eastAsia" w:ascii="仿宋" w:hAnsi="仿宋" w:eastAsia="仿宋" w:cs="Arial"/>
                <w:color w:val="auto"/>
                <w:highlight w:val="none"/>
              </w:rPr>
              <w:t>15</w:t>
            </w:r>
          </w:p>
        </w:tc>
        <w:tc>
          <w:tcPr>
            <w:tcW w:w="6599" w:type="dxa"/>
            <w:tcBorders>
              <w:top w:val="single" w:color="auto" w:sz="4" w:space="0"/>
              <w:left w:val="single" w:color="auto" w:sz="4" w:space="0"/>
              <w:bottom w:val="single" w:color="auto" w:sz="4" w:space="0"/>
              <w:right w:val="single" w:color="auto" w:sz="4" w:space="0"/>
            </w:tcBorders>
            <w:noWrap/>
            <w:vAlign w:val="center"/>
          </w:tcPr>
          <w:p w14:paraId="3FE74A1B">
            <w:pPr>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最低有效投标价格为评标基准价</w:t>
            </w:r>
          </w:p>
          <w:p w14:paraId="7AB1F9B3">
            <w:pPr>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投标报价得分</w:t>
            </w:r>
            <w:r>
              <w:rPr>
                <w:rFonts w:ascii="仿宋" w:hAnsi="仿宋" w:eastAsia="仿宋" w:cs="仿宋_GB2312"/>
                <w:color w:val="auto"/>
                <w:highlight w:val="none"/>
              </w:rPr>
              <w:t>=(</w:t>
            </w:r>
            <w:r>
              <w:rPr>
                <w:rFonts w:hint="eastAsia" w:ascii="仿宋" w:hAnsi="仿宋" w:eastAsia="仿宋" w:cs="仿宋_GB2312"/>
                <w:color w:val="auto"/>
                <w:highlight w:val="none"/>
              </w:rPr>
              <w:t>评标基准价／投标报价</w:t>
            </w:r>
            <w:r>
              <w:rPr>
                <w:rFonts w:ascii="仿宋" w:hAnsi="仿宋" w:eastAsia="仿宋" w:cs="仿宋_GB2312"/>
                <w:color w:val="auto"/>
                <w:highlight w:val="none"/>
              </w:rPr>
              <w:t>)</w:t>
            </w:r>
            <w:r>
              <w:rPr>
                <w:rFonts w:hint="eastAsia" w:ascii="仿宋" w:hAnsi="仿宋" w:eastAsia="仿宋" w:cs="仿宋_GB2312"/>
                <w:color w:val="auto"/>
                <w:highlight w:val="none"/>
              </w:rPr>
              <w:t>×价格权值×</w:t>
            </w:r>
            <w:r>
              <w:rPr>
                <w:rFonts w:ascii="仿宋" w:hAnsi="仿宋" w:eastAsia="仿宋" w:cs="仿宋_GB2312"/>
                <w:color w:val="auto"/>
                <w:highlight w:val="none"/>
              </w:rPr>
              <w:t xml:space="preserve">100 </w:t>
            </w:r>
          </w:p>
          <w:p w14:paraId="4C5BD746">
            <w:pPr>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（计算得分保留小数点后</w:t>
            </w:r>
            <w:r>
              <w:rPr>
                <w:rFonts w:ascii="仿宋" w:hAnsi="仿宋" w:eastAsia="仿宋" w:cs="仿宋_GB2312"/>
                <w:color w:val="auto"/>
                <w:highlight w:val="none"/>
              </w:rPr>
              <w:t>2</w:t>
            </w:r>
            <w:r>
              <w:rPr>
                <w:rFonts w:hint="eastAsia" w:ascii="仿宋" w:hAnsi="仿宋" w:eastAsia="仿宋" w:cs="仿宋_GB2312"/>
                <w:color w:val="auto"/>
                <w:highlight w:val="none"/>
              </w:rPr>
              <w:t>位）</w:t>
            </w:r>
          </w:p>
        </w:tc>
      </w:tr>
    </w:tbl>
    <w:p w14:paraId="7184A2D9">
      <w:pPr>
        <w:spacing w:line="360" w:lineRule="auto"/>
        <w:jc w:val="center"/>
        <w:rPr>
          <w:rFonts w:ascii="仿宋" w:hAnsi="仿宋" w:eastAsia="仿宋" w:cs="仿宋_GB2312"/>
          <w:b/>
          <w:color w:val="auto"/>
          <w:sz w:val="36"/>
          <w:szCs w:val="36"/>
          <w:highlight w:val="none"/>
        </w:rPr>
      </w:pPr>
      <w:r>
        <w:rPr>
          <w:rFonts w:hint="eastAsia" w:ascii="仿宋" w:hAnsi="仿宋" w:eastAsia="仿宋" w:cs="仿宋_GB2312"/>
          <w:color w:val="auto"/>
          <w:highlight w:val="none"/>
        </w:rPr>
        <w:br w:type="page"/>
      </w:r>
      <w:r>
        <w:rPr>
          <w:rFonts w:hint="eastAsia" w:ascii="仿宋" w:hAnsi="仿宋" w:eastAsia="仿宋" w:cs="仿宋_GB2312"/>
          <w:b/>
          <w:color w:val="auto"/>
          <w:sz w:val="36"/>
          <w:szCs w:val="36"/>
          <w:highlight w:val="none"/>
        </w:rPr>
        <w:t>第五部分 拟签订的合同文本</w:t>
      </w:r>
    </w:p>
    <w:p w14:paraId="3AAAF25F">
      <w:pPr>
        <w:snapToGrid w:val="0"/>
        <w:spacing w:line="480" w:lineRule="exact"/>
        <w:rPr>
          <w:rFonts w:ascii="仿宋" w:eastAsia="仿宋"/>
          <w:b/>
          <w:bCs/>
          <w:color w:val="auto"/>
          <w:highlight w:val="none"/>
          <w:u w:val="single"/>
        </w:rPr>
      </w:pPr>
      <w:bookmarkStart w:id="438" w:name="_Toc86217003"/>
      <w:bookmarkStart w:id="439" w:name="第五部分"/>
      <w:r>
        <w:rPr>
          <w:rFonts w:hint="eastAsia" w:ascii="仿宋" w:eastAsia="仿宋"/>
          <w:b/>
          <w:bCs/>
          <w:color w:val="auto"/>
          <w:highlight w:val="none"/>
          <w:u w:val="single"/>
        </w:rPr>
        <w:t>（合同按采购文件及中标供应商投标文件的内容制定，以下仅为部分主要条款）</w:t>
      </w:r>
    </w:p>
    <w:p w14:paraId="5192B2C7">
      <w:pPr>
        <w:snapToGrid w:val="0"/>
        <w:spacing w:line="480" w:lineRule="exact"/>
        <w:ind w:firstLine="480" w:firstLineChars="200"/>
        <w:rPr>
          <w:rFonts w:ascii="仿宋" w:eastAsia="仿宋"/>
          <w:color w:val="auto"/>
          <w:highlight w:val="none"/>
        </w:rPr>
      </w:pPr>
    </w:p>
    <w:p w14:paraId="1F41DF83">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   合同编号：</w:t>
      </w:r>
    </w:p>
    <w:p w14:paraId="47789E03">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                                     确认书号：</w:t>
      </w:r>
    </w:p>
    <w:p w14:paraId="50DDAB38">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甲方（采购人）： </w:t>
      </w:r>
    </w:p>
    <w:p w14:paraId="21118E09">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乙方（供应商）： </w:t>
      </w:r>
    </w:p>
    <w:p w14:paraId="587304CB">
      <w:pPr>
        <w:snapToGrid w:val="0"/>
        <w:spacing w:line="480" w:lineRule="exact"/>
        <w:ind w:firstLine="480" w:firstLineChars="200"/>
        <w:rPr>
          <w:rFonts w:ascii="仿宋" w:eastAsia="仿宋"/>
          <w:color w:val="auto"/>
          <w:highlight w:val="none"/>
        </w:rPr>
      </w:pPr>
    </w:p>
    <w:p w14:paraId="6904277D">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甲、乙双方根据</w:t>
      </w:r>
      <w:r>
        <w:rPr>
          <w:rFonts w:hint="eastAsia" w:ascii="仿宋" w:eastAsia="仿宋"/>
          <w:color w:val="auto"/>
          <w:highlight w:val="none"/>
          <w:u w:val="single"/>
        </w:rPr>
        <w:t xml:space="preserve">    （填写采购代理机构名称）   </w:t>
      </w:r>
      <w:r>
        <w:rPr>
          <w:rFonts w:hint="eastAsia" w:ascii="仿宋" w:eastAsia="仿宋"/>
          <w:color w:val="auto"/>
          <w:highlight w:val="none"/>
        </w:rPr>
        <w:t>项目编号为的</w:t>
      </w:r>
      <w:r>
        <w:rPr>
          <w:rFonts w:hint="eastAsia" w:ascii="仿宋" w:eastAsia="仿宋"/>
          <w:color w:val="auto"/>
          <w:highlight w:val="none"/>
          <w:u w:val="single"/>
        </w:rPr>
        <w:t>（标项及名称）</w:t>
      </w:r>
      <w:r>
        <w:rPr>
          <w:rFonts w:hint="eastAsia" w:ascii="仿宋" w:eastAsia="仿宋"/>
          <w:color w:val="auto"/>
          <w:highlight w:val="none"/>
        </w:rPr>
        <w:t>项目的政府采购交易结果，签署本合同。</w:t>
      </w:r>
    </w:p>
    <w:p w14:paraId="33842204">
      <w:pPr>
        <w:numPr>
          <w:ilvl w:val="0"/>
          <w:numId w:val="50"/>
        </w:numPr>
        <w:snapToGrid w:val="0"/>
        <w:spacing w:line="480" w:lineRule="exact"/>
        <w:rPr>
          <w:rFonts w:ascii="仿宋" w:eastAsia="仿宋"/>
          <w:b/>
          <w:bCs/>
          <w:color w:val="auto"/>
          <w:highlight w:val="none"/>
        </w:rPr>
      </w:pPr>
      <w:r>
        <w:rPr>
          <w:rFonts w:hint="eastAsia" w:ascii="仿宋" w:eastAsia="仿宋"/>
          <w:b/>
          <w:bCs/>
          <w:color w:val="auto"/>
          <w:highlight w:val="none"/>
        </w:rPr>
        <w:t>服务内容及标准</w:t>
      </w:r>
    </w:p>
    <w:p w14:paraId="4FE37418">
      <w:pPr>
        <w:snapToGrid w:val="0"/>
        <w:spacing w:line="480" w:lineRule="exact"/>
        <w:ind w:left="480"/>
        <w:rPr>
          <w:rFonts w:ascii="仿宋" w:eastAsia="仿宋"/>
          <w:color w:val="auto"/>
          <w:highlight w:val="none"/>
        </w:rPr>
      </w:pPr>
      <w:r>
        <w:rPr>
          <w:rFonts w:hint="eastAsia" w:ascii="仿宋" w:eastAsia="仿宋"/>
          <w:color w:val="auto"/>
          <w:highlight w:val="none"/>
        </w:rPr>
        <w:t>（按采购需求及投标文件的内容填写）</w:t>
      </w:r>
    </w:p>
    <w:p w14:paraId="1F348A15">
      <w:pPr>
        <w:numPr>
          <w:ilvl w:val="0"/>
          <w:numId w:val="50"/>
        </w:numPr>
        <w:snapToGrid w:val="0"/>
        <w:spacing w:line="480" w:lineRule="exact"/>
        <w:rPr>
          <w:rFonts w:ascii="仿宋" w:eastAsia="仿宋"/>
          <w:b/>
          <w:bCs/>
          <w:color w:val="auto"/>
          <w:highlight w:val="none"/>
        </w:rPr>
      </w:pPr>
      <w:r>
        <w:rPr>
          <w:rFonts w:hint="eastAsia" w:ascii="仿宋" w:eastAsia="仿宋"/>
          <w:b/>
          <w:bCs/>
          <w:color w:val="auto"/>
          <w:highlight w:val="none"/>
        </w:rPr>
        <w:t>服务价格</w:t>
      </w:r>
    </w:p>
    <w:p w14:paraId="14CABD3D">
      <w:pPr>
        <w:snapToGrid w:val="0"/>
        <w:spacing w:line="480" w:lineRule="exact"/>
        <w:ind w:left="480"/>
        <w:rPr>
          <w:rFonts w:ascii="仿宋" w:eastAsia="仿宋"/>
          <w:color w:val="auto"/>
          <w:highlight w:val="none"/>
        </w:rPr>
      </w:pPr>
      <w:r>
        <w:rPr>
          <w:rFonts w:hint="eastAsia" w:ascii="仿宋" w:eastAsia="仿宋"/>
          <w:color w:val="auto"/>
          <w:highlight w:val="none"/>
        </w:rPr>
        <w:t>（有服务分项的，需报分项价格和总价）</w:t>
      </w:r>
    </w:p>
    <w:p w14:paraId="7EE832C2">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三、技术资料</w:t>
      </w:r>
    </w:p>
    <w:p w14:paraId="484BE63A">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1.乙方应按采购文件规定的时间向甲方提供与本项目有关的技术资料。</w:t>
      </w:r>
    </w:p>
    <w:p w14:paraId="2E65C3C3">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EEAA998">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四、知识产权</w:t>
      </w:r>
    </w:p>
    <w:p w14:paraId="2EB73AF5">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1、乙方应保证所提供的货物与服务均不会侵犯任何第三方的知识产权。</w:t>
      </w:r>
    </w:p>
    <w:p w14:paraId="3F441E90">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2、乙方保证所交付的服务的所有权完全属于乙方且无任何抵押、查封等产权瑕疵。</w:t>
      </w:r>
    </w:p>
    <w:p w14:paraId="074AFAAB">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五、转包或分包</w:t>
      </w:r>
    </w:p>
    <w:p w14:paraId="578C5A35">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不允许转包。</w:t>
      </w:r>
    </w:p>
    <w:p w14:paraId="13A16224">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允许分包部分。</w:t>
      </w:r>
    </w:p>
    <w:p w14:paraId="172B9CC0">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如乙方将项目转包或将不允许分包部分进行了分包，甲方有权解除合同，没收履约保证金并追究乙方的违约责任。</w:t>
      </w:r>
    </w:p>
    <w:p w14:paraId="53450D8A">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六、履约保证金</w:t>
      </w:r>
    </w:p>
    <w:p w14:paraId="715EA4BD">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1.履约保证金元。[履约保证金交至采购人处，服务完成后满（   ）个月之日起5个工作日内无息退还]</w:t>
      </w:r>
    </w:p>
    <w:p w14:paraId="4BEB6EB8">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七、项目服务期限及实施地点</w:t>
      </w:r>
    </w:p>
    <w:p w14:paraId="56F3AE7E">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1.服务期限：</w:t>
      </w:r>
    </w:p>
    <w:p w14:paraId="30571EDE">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2.实施地点：</w:t>
      </w:r>
    </w:p>
    <w:p w14:paraId="18DA2874">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八、付款</w:t>
      </w:r>
    </w:p>
    <w:p w14:paraId="7DEB1133">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 付款方式：</w:t>
      </w:r>
    </w:p>
    <w:p w14:paraId="7DAD34EA">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九、税费</w:t>
      </w:r>
    </w:p>
    <w:p w14:paraId="37FF9CDC">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本合同执行中相关的一切税费均由乙方负担。</w:t>
      </w:r>
    </w:p>
    <w:p w14:paraId="49EE6586">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十、违约责任</w:t>
      </w:r>
    </w:p>
    <w:p w14:paraId="6D21CCC5">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1.甲方无正当理由拒绝验收项目的，甲方向乙方偿付拒收合同总价的百分之五违约金。</w:t>
      </w:r>
    </w:p>
    <w:p w14:paraId="3A192E7A">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2.甲方无故逾期验收和办理合同款项支付手续的,甲方应按逾期付款总额每日万分之五向乙方支付违约金。</w:t>
      </w:r>
    </w:p>
    <w:p w14:paraId="04338C9D">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2F257170">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4.乙方所履行的服务质量或服务数量不符合合同规定及采购文件规定的，甲方有权中止接受服务，单方面解除合同，且相关损失由乙方承担。</w:t>
      </w:r>
    </w:p>
    <w:p w14:paraId="560102CD">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5.解除合同应按《</w:t>
      </w:r>
      <w:r>
        <w:rPr>
          <w:rFonts w:hint="eastAsia" w:ascii="仿宋" w:hAnsi="Times New Roman" w:eastAsia="仿宋" w:cs="Times New Roman"/>
          <w:color w:val="auto"/>
          <w:highlight w:val="none"/>
        </w:rPr>
        <w:t>浙江省政府采购合同暂行办法》</w:t>
      </w:r>
      <w:r>
        <w:rPr>
          <w:rFonts w:hint="eastAsia" w:ascii="仿宋" w:eastAsia="仿宋"/>
          <w:color w:val="auto"/>
          <w:highlight w:val="none"/>
        </w:rPr>
        <w:t>向财政备案。</w:t>
      </w:r>
    </w:p>
    <w:p w14:paraId="74589FB9">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十一、不可抗力事件处理</w:t>
      </w:r>
    </w:p>
    <w:p w14:paraId="26C54562">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1.在合同有效期内，任何一方因不可抗力事件导致不能履行合同，则合同履行期可延长，其延长期与不可抗力影响期相同。</w:t>
      </w:r>
    </w:p>
    <w:p w14:paraId="7ED1F11B">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2.不可抗力事件发生后，应立即通知对方，并寄送有关权威机构出具的证明。</w:t>
      </w:r>
    </w:p>
    <w:p w14:paraId="45B7FCE8">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3.不可抗力事件延续120天以上，双方应通过友好协商，确定是否继续履行合同。</w:t>
      </w:r>
    </w:p>
    <w:p w14:paraId="1F362760">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十二、诉讼</w:t>
      </w:r>
    </w:p>
    <w:p w14:paraId="6690F1CE">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双方在执行合同中所发生的一切争议，应通过协商解决。如协商不成，可向甲方所在地法院起诉。</w:t>
      </w:r>
    </w:p>
    <w:p w14:paraId="466AC40C">
      <w:pPr>
        <w:snapToGrid w:val="0"/>
        <w:spacing w:line="480" w:lineRule="exact"/>
        <w:ind w:firstLine="480" w:firstLineChars="200"/>
        <w:rPr>
          <w:rFonts w:ascii="仿宋" w:eastAsia="仿宋"/>
          <w:b/>
          <w:bCs/>
          <w:color w:val="auto"/>
          <w:highlight w:val="none"/>
        </w:rPr>
      </w:pPr>
      <w:r>
        <w:rPr>
          <w:rFonts w:hint="eastAsia" w:ascii="仿宋" w:eastAsia="仿宋"/>
          <w:b/>
          <w:bCs/>
          <w:color w:val="auto"/>
          <w:highlight w:val="none"/>
        </w:rPr>
        <w:t>十三、合同生效及其他</w:t>
      </w:r>
    </w:p>
    <w:p w14:paraId="49D14D79">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1.合同经甲、乙双方签名并加盖单位公章后生效。</w:t>
      </w:r>
    </w:p>
    <w:p w14:paraId="7736AFD8">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2.采购文件、投标文件与本合同具有同等法律效力。</w:t>
      </w:r>
    </w:p>
    <w:p w14:paraId="3E255602">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3.本合同未尽事宜，遵照《中华人民共和国民法典》有关条文执行。</w:t>
      </w:r>
    </w:p>
    <w:p w14:paraId="7B4A1AE1">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4.本合同一式五份，具有同等法律效力，甲、乙双方各执二份，采购代理机构一份。</w:t>
      </w:r>
    </w:p>
    <w:p w14:paraId="110B6F5F">
      <w:pPr>
        <w:snapToGrid w:val="0"/>
        <w:spacing w:line="480" w:lineRule="exact"/>
        <w:ind w:firstLine="480" w:firstLineChars="200"/>
        <w:rPr>
          <w:rFonts w:ascii="仿宋" w:eastAsia="仿宋"/>
          <w:color w:val="auto"/>
          <w:highlight w:val="none"/>
        </w:rPr>
      </w:pPr>
    </w:p>
    <w:p w14:paraId="7213ED5F">
      <w:pPr>
        <w:snapToGrid w:val="0"/>
        <w:spacing w:line="480" w:lineRule="exact"/>
        <w:ind w:firstLine="480" w:firstLineChars="200"/>
        <w:rPr>
          <w:rFonts w:ascii="仿宋" w:eastAsia="仿宋"/>
          <w:color w:val="auto"/>
          <w:highlight w:val="none"/>
        </w:rPr>
      </w:pPr>
    </w:p>
    <w:p w14:paraId="6244A4A3">
      <w:pPr>
        <w:snapToGrid w:val="0"/>
        <w:spacing w:line="480" w:lineRule="exact"/>
        <w:ind w:firstLine="480" w:firstLineChars="200"/>
        <w:rPr>
          <w:rFonts w:ascii="仿宋" w:eastAsia="仿宋"/>
          <w:color w:val="auto"/>
          <w:highlight w:val="none"/>
        </w:rPr>
      </w:pPr>
    </w:p>
    <w:p w14:paraId="6DB3F0CA">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甲方（盖章）：                                   </w:t>
      </w:r>
    </w:p>
    <w:p w14:paraId="2D0F23AB">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地址：                                   </w:t>
      </w:r>
    </w:p>
    <w:p w14:paraId="47EEE475">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法定（授权）代表人：                   </w:t>
      </w:r>
    </w:p>
    <w:p w14:paraId="3A8DFC81">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签名日期：     年   月   日           </w:t>
      </w:r>
    </w:p>
    <w:p w14:paraId="1E9A5762">
      <w:pPr>
        <w:snapToGrid w:val="0"/>
        <w:spacing w:line="480" w:lineRule="exact"/>
        <w:ind w:firstLine="480" w:firstLineChars="200"/>
        <w:rPr>
          <w:rFonts w:ascii="仿宋" w:eastAsia="仿宋"/>
          <w:color w:val="auto"/>
          <w:highlight w:val="none"/>
        </w:rPr>
      </w:pPr>
    </w:p>
    <w:p w14:paraId="4FD5AB7F">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乙方（盖章）：</w:t>
      </w:r>
    </w:p>
    <w:p w14:paraId="78B1EB7E">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 xml:space="preserve">地址： </w:t>
      </w:r>
    </w:p>
    <w:p w14:paraId="2D307E8F">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开户行：</w:t>
      </w:r>
    </w:p>
    <w:p w14:paraId="20047DF0">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开户账号：</w:t>
      </w:r>
    </w:p>
    <w:p w14:paraId="3731F23B">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法定（授权）代表人：</w:t>
      </w:r>
    </w:p>
    <w:p w14:paraId="59FC6212">
      <w:pPr>
        <w:snapToGrid w:val="0"/>
        <w:spacing w:line="480" w:lineRule="exact"/>
        <w:ind w:firstLine="480" w:firstLineChars="200"/>
        <w:rPr>
          <w:rFonts w:ascii="仿宋" w:eastAsia="仿宋"/>
          <w:color w:val="auto"/>
          <w:highlight w:val="none"/>
        </w:rPr>
      </w:pPr>
      <w:r>
        <w:rPr>
          <w:rFonts w:hint="eastAsia" w:ascii="仿宋" w:eastAsia="仿宋"/>
          <w:color w:val="auto"/>
          <w:highlight w:val="none"/>
        </w:rPr>
        <w:t>签名日期：      年   月   日</w:t>
      </w:r>
    </w:p>
    <w:p w14:paraId="1F283C1F">
      <w:pPr>
        <w:snapToGrid w:val="0"/>
        <w:spacing w:line="480" w:lineRule="exact"/>
        <w:ind w:firstLine="480" w:firstLineChars="200"/>
        <w:rPr>
          <w:rFonts w:ascii="仿宋" w:eastAsia="仿宋"/>
          <w:color w:val="auto"/>
          <w:highlight w:val="none"/>
        </w:rPr>
      </w:pPr>
    </w:p>
    <w:p w14:paraId="356CE3F4">
      <w:pPr>
        <w:snapToGrid w:val="0"/>
        <w:spacing w:line="360" w:lineRule="auto"/>
        <w:jc w:val="center"/>
        <w:rPr>
          <w:rFonts w:ascii="仿宋" w:hAnsi="仿宋" w:eastAsia="仿宋" w:cs="仿宋_GB2312"/>
          <w:b/>
          <w:color w:val="auto"/>
          <w:sz w:val="36"/>
          <w:szCs w:val="20"/>
          <w:highlight w:val="none"/>
        </w:rPr>
      </w:pPr>
    </w:p>
    <w:p w14:paraId="75F1A3C4">
      <w:pPr>
        <w:snapToGrid w:val="0"/>
        <w:spacing w:line="360" w:lineRule="auto"/>
        <w:jc w:val="center"/>
        <w:rPr>
          <w:rFonts w:ascii="仿宋" w:hAnsi="仿宋" w:eastAsia="仿宋" w:cs="仿宋_GB2312"/>
          <w:b/>
          <w:color w:val="auto"/>
          <w:sz w:val="36"/>
          <w:szCs w:val="20"/>
          <w:highlight w:val="none"/>
        </w:rPr>
      </w:pPr>
    </w:p>
    <w:p w14:paraId="0CABE02E">
      <w:pPr>
        <w:snapToGrid w:val="0"/>
        <w:spacing w:line="360" w:lineRule="auto"/>
        <w:rPr>
          <w:rFonts w:ascii="仿宋" w:hAnsi="仿宋" w:eastAsia="仿宋" w:cs="仿宋_GB2312"/>
          <w:b/>
          <w:color w:val="auto"/>
          <w:sz w:val="36"/>
          <w:szCs w:val="20"/>
          <w:highlight w:val="none"/>
        </w:rPr>
      </w:pPr>
    </w:p>
    <w:p w14:paraId="7663E7A5">
      <w:pPr>
        <w:snapToGrid w:val="0"/>
        <w:spacing w:line="360" w:lineRule="auto"/>
        <w:jc w:val="center"/>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438"/>
      <w:bookmarkEnd w:id="439"/>
      <w:r>
        <w:rPr>
          <w:rFonts w:hint="eastAsia" w:ascii="仿宋" w:hAnsi="仿宋" w:eastAsia="仿宋" w:cs="仿宋_GB2312"/>
          <w:b/>
          <w:color w:val="auto"/>
          <w:sz w:val="36"/>
          <w:szCs w:val="20"/>
          <w:highlight w:val="none"/>
        </w:rPr>
        <w:t>应提交的有关格式范例</w:t>
      </w:r>
    </w:p>
    <w:p w14:paraId="5010A3BB">
      <w:pPr>
        <w:spacing w:line="360" w:lineRule="auto"/>
        <w:jc w:val="center"/>
        <w:outlineLvl w:val="0"/>
        <w:rPr>
          <w:rFonts w:ascii="仿宋" w:hAnsi="仿宋" w:eastAsia="仿宋" w:cs="仿宋_GB2312"/>
          <w:color w:val="auto"/>
          <w:sz w:val="36"/>
          <w:szCs w:val="36"/>
          <w:highlight w:val="none"/>
          <w:lang w:val="zh-CN"/>
        </w:rPr>
      </w:pPr>
    </w:p>
    <w:p w14:paraId="5957BC99">
      <w:pPr>
        <w:spacing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资格文件部分</w:t>
      </w:r>
    </w:p>
    <w:p w14:paraId="0DB0DD77">
      <w:pPr>
        <w:spacing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目录</w:t>
      </w:r>
    </w:p>
    <w:p w14:paraId="6C2FFD03">
      <w:pPr>
        <w:spacing w:line="360" w:lineRule="auto"/>
        <w:jc w:val="center"/>
        <w:outlineLvl w:val="0"/>
        <w:rPr>
          <w:rFonts w:ascii="仿宋" w:hAnsi="仿宋" w:eastAsia="仿宋" w:cs="仿宋_GB2312"/>
          <w:b/>
          <w:color w:val="auto"/>
          <w:sz w:val="36"/>
          <w:szCs w:val="36"/>
          <w:highlight w:val="none"/>
        </w:rPr>
      </w:pPr>
    </w:p>
    <w:p w14:paraId="3597E829">
      <w:pPr>
        <w:spacing w:line="360" w:lineRule="auto"/>
        <w:ind w:firstLine="600" w:firstLineChars="250"/>
        <w:rPr>
          <w:rFonts w:ascii="仿宋" w:hAnsi="仿宋" w:eastAsia="仿宋" w:cs="仿宋_GB2312"/>
          <w:color w:val="auto"/>
          <w:highlight w:val="none"/>
        </w:rPr>
      </w:pPr>
      <w:r>
        <w:rPr>
          <w:rFonts w:ascii="仿宋" w:hAnsi="仿宋" w:eastAsia="仿宋" w:cs="仿宋_GB2312"/>
          <w:color w:val="auto"/>
          <w:highlight w:val="none"/>
        </w:rPr>
        <w:t>(</w:t>
      </w:r>
      <w:r>
        <w:rPr>
          <w:rFonts w:hint="eastAsia" w:ascii="仿宋" w:hAnsi="仿宋" w:eastAsia="仿宋" w:cs="仿宋_GB2312"/>
          <w:color w:val="auto"/>
          <w:highlight w:val="none"/>
        </w:rPr>
        <w:t>1）营业执照(或事业法人登记证或其他工商等登记证明材料)复印件（投标人为自然人的，须提供自然人的身份证明）……………………………………………（页码）</w:t>
      </w:r>
    </w:p>
    <w:p w14:paraId="707689B1">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（2）投标声明函 ………………………………………………………………（页码）</w:t>
      </w:r>
    </w:p>
    <w:p w14:paraId="7F36B681">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（3）联合体协议书（如有） …………………………………………………（页码）</w:t>
      </w:r>
    </w:p>
    <w:p w14:paraId="7961006C">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（4）法定代表人授权委托书 …………………………………………………（页码）</w:t>
      </w:r>
    </w:p>
    <w:p w14:paraId="4E44153E">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（5）法定代表人及其授权代表的身份证（复印件） ………………………（页码）</w:t>
      </w:r>
    </w:p>
    <w:p w14:paraId="036C29C4">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（6）符合特定资格条件的有关证明材料………………………（页码）</w:t>
      </w:r>
    </w:p>
    <w:p w14:paraId="7E6B506B">
      <w:pPr>
        <w:spacing w:line="360" w:lineRule="auto"/>
        <w:ind w:firstLine="480" w:firstLineChars="200"/>
        <w:rPr>
          <w:rFonts w:ascii="仿宋" w:hAnsi="仿宋" w:eastAsia="仿宋" w:cs="仿宋_GB2312"/>
          <w:color w:val="auto"/>
          <w:highlight w:val="none"/>
        </w:rPr>
      </w:pPr>
    </w:p>
    <w:p w14:paraId="2BC36028">
      <w:pPr>
        <w:spacing w:line="360" w:lineRule="auto"/>
        <w:ind w:firstLine="480" w:firstLineChars="200"/>
        <w:rPr>
          <w:rFonts w:ascii="仿宋" w:hAnsi="仿宋" w:eastAsia="仿宋" w:cs="仿宋_GB2312"/>
          <w:color w:val="auto"/>
          <w:highlight w:val="none"/>
        </w:rPr>
      </w:pPr>
    </w:p>
    <w:p w14:paraId="55330726">
      <w:pPr>
        <w:spacing w:line="360" w:lineRule="auto"/>
        <w:ind w:firstLine="480" w:firstLineChars="200"/>
        <w:rPr>
          <w:rFonts w:ascii="仿宋" w:hAnsi="仿宋" w:eastAsia="仿宋" w:cs="仿宋_GB2312"/>
          <w:color w:val="auto"/>
          <w:highlight w:val="none"/>
        </w:rPr>
      </w:pPr>
    </w:p>
    <w:p w14:paraId="6E8A62A1">
      <w:pPr>
        <w:snapToGrid w:val="0"/>
        <w:spacing w:line="360" w:lineRule="auto"/>
        <w:jc w:val="center"/>
        <w:outlineLvl w:val="0"/>
        <w:rPr>
          <w:rFonts w:ascii="仿宋" w:hAnsi="仿宋" w:eastAsia="仿宋" w:cs="仿宋_GB2312"/>
          <w:b/>
          <w:color w:val="auto"/>
          <w:sz w:val="32"/>
          <w:szCs w:val="32"/>
          <w:highlight w:val="none"/>
        </w:rPr>
      </w:pPr>
    </w:p>
    <w:p w14:paraId="547A255A">
      <w:pPr>
        <w:snapToGrid w:val="0"/>
        <w:spacing w:line="360" w:lineRule="auto"/>
        <w:jc w:val="both"/>
        <w:outlineLvl w:val="0"/>
        <w:rPr>
          <w:rFonts w:ascii="仿宋" w:hAnsi="仿宋" w:eastAsia="仿宋" w:cs="仿宋_GB2312"/>
          <w:b/>
          <w:color w:val="auto"/>
          <w:sz w:val="32"/>
          <w:szCs w:val="32"/>
          <w:highlight w:val="none"/>
        </w:rPr>
      </w:pPr>
    </w:p>
    <w:p w14:paraId="4DD96E4C">
      <w:pPr>
        <w:snapToGrid w:val="0"/>
        <w:spacing w:line="360" w:lineRule="auto"/>
        <w:jc w:val="center"/>
        <w:outlineLvl w:val="0"/>
        <w:rPr>
          <w:rFonts w:hint="eastAsia" w:ascii="仿宋" w:hAnsi="仿宋" w:eastAsia="仿宋" w:cs="仿宋_GB2312"/>
          <w:b/>
          <w:color w:val="auto"/>
          <w:sz w:val="32"/>
          <w:szCs w:val="32"/>
          <w:highlight w:val="none"/>
        </w:rPr>
      </w:pPr>
    </w:p>
    <w:p w14:paraId="22A234D4">
      <w:pPr>
        <w:snapToGrid w:val="0"/>
        <w:spacing w:line="360" w:lineRule="auto"/>
        <w:jc w:val="center"/>
        <w:outlineLvl w:val="0"/>
        <w:rPr>
          <w:rFonts w:ascii="仿宋" w:hAnsi="仿宋" w:eastAsia="仿宋" w:cs="仿宋_GB2312"/>
          <w:b/>
          <w:color w:val="auto"/>
          <w:sz w:val="30"/>
          <w:szCs w:val="30"/>
          <w:highlight w:val="none"/>
        </w:rPr>
      </w:pPr>
      <w:r>
        <w:rPr>
          <w:rFonts w:hint="eastAsia" w:ascii="仿宋" w:hAnsi="仿宋" w:eastAsia="仿宋" w:cs="仿宋_GB2312"/>
          <w:b/>
          <w:color w:val="auto"/>
          <w:sz w:val="32"/>
          <w:szCs w:val="32"/>
          <w:highlight w:val="none"/>
        </w:rPr>
        <w:t>一、营业执照(或事业法人登记证或其他工商等登记证明材料)复印件（投标人为自然人的，须提供自然人的身份证明）</w:t>
      </w:r>
    </w:p>
    <w:p w14:paraId="00015873">
      <w:pPr>
        <w:spacing w:line="360" w:lineRule="auto"/>
        <w:rPr>
          <w:rFonts w:ascii="仿宋" w:hAnsi="仿宋" w:eastAsia="仿宋" w:cs="仿宋_GB2312"/>
          <w:b/>
          <w:color w:val="auto"/>
          <w:sz w:val="30"/>
          <w:szCs w:val="30"/>
          <w:highlight w:val="none"/>
        </w:rPr>
      </w:pPr>
    </w:p>
    <w:p w14:paraId="7B7B4AEC">
      <w:pPr>
        <w:spacing w:line="360" w:lineRule="auto"/>
        <w:rPr>
          <w:rFonts w:ascii="仿宋" w:hAnsi="仿宋" w:eastAsia="仿宋" w:cs="仿宋_GB2312"/>
          <w:b/>
          <w:color w:val="auto"/>
          <w:sz w:val="30"/>
          <w:szCs w:val="30"/>
          <w:highlight w:val="none"/>
        </w:rPr>
      </w:pPr>
    </w:p>
    <w:p w14:paraId="5B7B4B25">
      <w:pPr>
        <w:spacing w:line="360" w:lineRule="auto"/>
        <w:rPr>
          <w:rFonts w:ascii="仿宋" w:hAnsi="仿宋" w:eastAsia="仿宋" w:cs="仿宋_GB2312"/>
          <w:b/>
          <w:color w:val="auto"/>
          <w:sz w:val="30"/>
          <w:szCs w:val="30"/>
          <w:highlight w:val="none"/>
        </w:rPr>
      </w:pPr>
    </w:p>
    <w:p w14:paraId="0883189A">
      <w:pPr>
        <w:spacing w:line="360" w:lineRule="auto"/>
        <w:rPr>
          <w:rFonts w:ascii="仿宋" w:hAnsi="仿宋" w:eastAsia="仿宋" w:cs="仿宋_GB2312"/>
          <w:b/>
          <w:color w:val="auto"/>
          <w:sz w:val="30"/>
          <w:szCs w:val="30"/>
          <w:highlight w:val="none"/>
        </w:rPr>
      </w:pPr>
    </w:p>
    <w:p w14:paraId="1D0139F6">
      <w:pPr>
        <w:spacing w:line="360" w:lineRule="auto"/>
        <w:rPr>
          <w:rFonts w:ascii="仿宋" w:hAnsi="仿宋" w:eastAsia="仿宋" w:cs="仿宋_GB2312"/>
          <w:b/>
          <w:color w:val="auto"/>
          <w:sz w:val="30"/>
          <w:szCs w:val="30"/>
          <w:highlight w:val="none"/>
        </w:rPr>
      </w:pPr>
    </w:p>
    <w:p w14:paraId="0C97DFF3">
      <w:pPr>
        <w:spacing w:line="360" w:lineRule="auto"/>
        <w:rPr>
          <w:rFonts w:ascii="仿宋" w:hAnsi="仿宋" w:eastAsia="仿宋" w:cs="仿宋_GB2312"/>
          <w:b/>
          <w:color w:val="auto"/>
          <w:sz w:val="30"/>
          <w:szCs w:val="30"/>
          <w:highlight w:val="none"/>
        </w:rPr>
      </w:pPr>
    </w:p>
    <w:p w14:paraId="6196D439">
      <w:pPr>
        <w:spacing w:line="360" w:lineRule="auto"/>
        <w:rPr>
          <w:rFonts w:ascii="仿宋" w:hAnsi="仿宋" w:eastAsia="仿宋" w:cs="仿宋_GB2312"/>
          <w:b/>
          <w:color w:val="auto"/>
          <w:sz w:val="30"/>
          <w:szCs w:val="30"/>
          <w:highlight w:val="none"/>
        </w:rPr>
      </w:pPr>
    </w:p>
    <w:p w14:paraId="17154AC4">
      <w:pPr>
        <w:spacing w:line="360" w:lineRule="auto"/>
        <w:rPr>
          <w:rFonts w:ascii="仿宋" w:hAnsi="仿宋" w:eastAsia="仿宋" w:cs="仿宋_GB2312"/>
          <w:b/>
          <w:color w:val="auto"/>
          <w:sz w:val="30"/>
          <w:szCs w:val="30"/>
          <w:highlight w:val="none"/>
        </w:rPr>
      </w:pPr>
    </w:p>
    <w:p w14:paraId="033F3867">
      <w:pPr>
        <w:spacing w:line="360" w:lineRule="auto"/>
        <w:rPr>
          <w:rFonts w:ascii="仿宋" w:hAnsi="仿宋" w:eastAsia="仿宋" w:cs="仿宋_GB2312"/>
          <w:b/>
          <w:color w:val="auto"/>
          <w:sz w:val="30"/>
          <w:szCs w:val="30"/>
          <w:highlight w:val="none"/>
        </w:rPr>
      </w:pPr>
    </w:p>
    <w:p w14:paraId="6CCDBD88">
      <w:pPr>
        <w:spacing w:line="360" w:lineRule="auto"/>
        <w:rPr>
          <w:rFonts w:ascii="仿宋" w:hAnsi="仿宋" w:eastAsia="仿宋" w:cs="仿宋_GB2312"/>
          <w:b/>
          <w:color w:val="auto"/>
          <w:sz w:val="30"/>
          <w:szCs w:val="30"/>
          <w:highlight w:val="none"/>
        </w:rPr>
      </w:pPr>
    </w:p>
    <w:p w14:paraId="153C22DB">
      <w:pPr>
        <w:spacing w:line="360" w:lineRule="auto"/>
        <w:rPr>
          <w:rFonts w:ascii="仿宋" w:hAnsi="仿宋" w:eastAsia="仿宋" w:cs="仿宋_GB2312"/>
          <w:b/>
          <w:color w:val="auto"/>
          <w:sz w:val="30"/>
          <w:szCs w:val="30"/>
          <w:highlight w:val="none"/>
        </w:rPr>
      </w:pPr>
    </w:p>
    <w:p w14:paraId="7AD5E88D">
      <w:pPr>
        <w:spacing w:line="360" w:lineRule="auto"/>
        <w:rPr>
          <w:rFonts w:ascii="仿宋" w:hAnsi="仿宋" w:eastAsia="仿宋" w:cs="仿宋_GB2312"/>
          <w:b/>
          <w:color w:val="auto"/>
          <w:sz w:val="30"/>
          <w:szCs w:val="30"/>
          <w:highlight w:val="none"/>
        </w:rPr>
      </w:pPr>
    </w:p>
    <w:p w14:paraId="1BFDA9C8">
      <w:pPr>
        <w:spacing w:line="360" w:lineRule="auto"/>
        <w:rPr>
          <w:rFonts w:ascii="仿宋" w:hAnsi="仿宋" w:eastAsia="仿宋" w:cs="仿宋_GB2312"/>
          <w:b/>
          <w:color w:val="auto"/>
          <w:sz w:val="30"/>
          <w:szCs w:val="30"/>
          <w:highlight w:val="none"/>
        </w:rPr>
      </w:pPr>
    </w:p>
    <w:p w14:paraId="7E7F6B0C">
      <w:pPr>
        <w:spacing w:line="360" w:lineRule="auto"/>
        <w:rPr>
          <w:rFonts w:ascii="仿宋" w:hAnsi="仿宋" w:eastAsia="仿宋" w:cs="仿宋_GB2312"/>
          <w:b/>
          <w:color w:val="auto"/>
          <w:sz w:val="30"/>
          <w:szCs w:val="30"/>
          <w:highlight w:val="none"/>
        </w:rPr>
      </w:pPr>
    </w:p>
    <w:p w14:paraId="194DD71F">
      <w:pPr>
        <w:spacing w:line="360" w:lineRule="auto"/>
        <w:rPr>
          <w:rFonts w:ascii="仿宋" w:hAnsi="仿宋" w:eastAsia="仿宋" w:cs="仿宋_GB2312"/>
          <w:b/>
          <w:color w:val="auto"/>
          <w:sz w:val="30"/>
          <w:szCs w:val="30"/>
          <w:highlight w:val="none"/>
        </w:rPr>
      </w:pPr>
    </w:p>
    <w:p w14:paraId="4A95E894">
      <w:pPr>
        <w:snapToGrid w:val="0"/>
        <w:spacing w:line="360" w:lineRule="auto"/>
        <w:jc w:val="center"/>
        <w:outlineLvl w:val="0"/>
        <w:rPr>
          <w:rFonts w:hint="eastAsia" w:ascii="仿宋" w:hAnsi="仿宋" w:eastAsia="仿宋" w:cs="仿宋_GB2312"/>
          <w:b/>
          <w:color w:val="auto"/>
          <w:sz w:val="32"/>
          <w:szCs w:val="32"/>
          <w:highlight w:val="none"/>
        </w:rPr>
      </w:pPr>
    </w:p>
    <w:p w14:paraId="2F0C2589">
      <w:pPr>
        <w:snapToGrid w:val="0"/>
        <w:spacing w:line="360" w:lineRule="auto"/>
        <w:jc w:val="center"/>
        <w:outlineLvl w:val="0"/>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t>二、投标声明函</w:t>
      </w:r>
    </w:p>
    <w:p w14:paraId="66FD4854">
      <w:pPr>
        <w:snapToGrid w:val="0"/>
        <w:spacing w:line="360" w:lineRule="auto"/>
        <w:rPr>
          <w:rFonts w:ascii="仿宋" w:hAnsi="仿宋" w:eastAsia="仿宋" w:cs="仿宋_GB2312"/>
          <w:color w:val="auto"/>
          <w:highlight w:val="none"/>
        </w:rPr>
      </w:pPr>
      <w:r>
        <w:rPr>
          <w:rFonts w:hint="eastAsia" w:ascii="仿宋" w:hAnsi="仿宋" w:eastAsia="仿宋"/>
          <w:color w:val="auto"/>
          <w:highlight w:val="none"/>
        </w:rPr>
        <w:t>致：</w:t>
      </w:r>
      <w:r>
        <w:rPr>
          <w:rFonts w:hint="eastAsia" w:ascii="仿宋" w:hAnsi="仿宋" w:eastAsia="仿宋"/>
          <w:color w:val="auto"/>
          <w:highlight w:val="none"/>
          <w:u w:val="single"/>
        </w:rPr>
        <w:t>（采购单位或采购代理机构名称</w:t>
      </w:r>
      <w:r>
        <w:rPr>
          <w:rFonts w:ascii="仿宋" w:hAnsi="仿宋" w:eastAsia="仿宋"/>
          <w:color w:val="auto"/>
          <w:highlight w:val="none"/>
          <w:u w:val="single"/>
        </w:rPr>
        <w:t>）</w:t>
      </w:r>
      <w:r>
        <w:rPr>
          <w:rFonts w:hint="eastAsia" w:ascii="仿宋" w:hAnsi="仿宋" w:eastAsia="仿宋" w:cs="仿宋_GB2312"/>
          <w:color w:val="auto"/>
          <w:highlight w:val="none"/>
        </w:rPr>
        <w:t>：</w:t>
      </w:r>
    </w:p>
    <w:p w14:paraId="5075878D">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我方</w:t>
      </w:r>
      <w:r>
        <w:rPr>
          <w:rFonts w:hint="eastAsia" w:ascii="仿宋" w:hAnsi="仿宋" w:eastAsia="仿宋"/>
          <w:color w:val="auto"/>
          <w:highlight w:val="none"/>
          <w:u w:val="single"/>
        </w:rPr>
        <w:t>（投标人或联合体牵头人全称）</w:t>
      </w:r>
      <w:r>
        <w:rPr>
          <w:rFonts w:hint="eastAsia" w:ascii="仿宋" w:hAnsi="仿宋" w:eastAsia="仿宋" w:cs="仿宋_GB2312"/>
          <w:color w:val="auto"/>
          <w:highlight w:val="none"/>
        </w:rPr>
        <w:t>愿意参加贵方组织的</w:t>
      </w:r>
      <w:r>
        <w:rPr>
          <w:rFonts w:hint="eastAsia" w:ascii="仿宋" w:hAnsi="仿宋" w:eastAsia="仿宋"/>
          <w:color w:val="auto"/>
          <w:highlight w:val="none"/>
          <w:u w:val="single"/>
        </w:rPr>
        <w:t>（招标项目名称及编号</w:t>
      </w:r>
      <w:r>
        <w:rPr>
          <w:rFonts w:ascii="仿宋" w:hAnsi="仿宋" w:eastAsia="仿宋"/>
          <w:color w:val="auto"/>
          <w:highlight w:val="none"/>
          <w:u w:val="single"/>
        </w:rPr>
        <w:t>）</w:t>
      </w:r>
      <w:r>
        <w:rPr>
          <w:rFonts w:hint="eastAsia" w:ascii="仿宋" w:hAnsi="仿宋" w:eastAsia="仿宋" w:cs="仿宋_GB2312"/>
          <w:color w:val="auto"/>
          <w:highlight w:val="none"/>
        </w:rPr>
        <w:t>的投标，为此，我方就本次投标有关事项郑重声明如下：</w:t>
      </w:r>
    </w:p>
    <w:p w14:paraId="2E7D18B9">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1、我方承诺已经具备《中华人民共和国政府采购法》中规定的参加政府采购活动的供应商应当具备的条件。</w:t>
      </w:r>
    </w:p>
    <w:p w14:paraId="01AB4922">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2、我方参加本次政府采购活动前三年内，在经营活动中没有重大违法记录；未被信用中国（www.creditchina.gov.cn)、中国政府采购网（www.ccgp.gov.cn）列入失信被执行人、重大税收违法案件当事人名单、政府采购严重违法失信行为记录名单。</w:t>
      </w:r>
    </w:p>
    <w:p w14:paraId="28350D13">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3、不存在以下情况：</w:t>
      </w:r>
    </w:p>
    <w:p w14:paraId="2C2648C2">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（1）单位负责人为同一人或者存在直接控股、管理关系的不同供应商参加同一合同项下的政府采购活动的；</w:t>
      </w:r>
    </w:p>
    <w:p w14:paraId="31B992D9">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宋体"/>
          <w:color w:val="auto"/>
          <w:highlight w:val="none"/>
        </w:rPr>
        <w:t>（2）为采购项目提供整体设计、规范编制或者项目管理、监理、检测等服务后再参加该采购项目的其他采购活动的。</w:t>
      </w:r>
    </w:p>
    <w:p w14:paraId="25044055">
      <w:pPr>
        <w:snapToGrid w:val="0"/>
        <w:spacing w:line="360" w:lineRule="auto"/>
        <w:rPr>
          <w:rFonts w:ascii="仿宋" w:hAnsi="仿宋" w:eastAsia="仿宋" w:cs="仿宋_GB2312"/>
          <w:color w:val="auto"/>
          <w:highlight w:val="none"/>
        </w:rPr>
      </w:pPr>
    </w:p>
    <w:p w14:paraId="4265ABC2">
      <w:pPr>
        <w:snapToGrid w:val="0"/>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lang w:val="zh-CN"/>
        </w:rPr>
        <w:t>联系人：联系电话：传真号码：</w:t>
      </w:r>
    </w:p>
    <w:p w14:paraId="5CF6A33E">
      <w:pPr>
        <w:snapToGrid w:val="0"/>
        <w:spacing w:line="360" w:lineRule="auto"/>
        <w:ind w:left="480" w:leftChars="200"/>
        <w:rPr>
          <w:rFonts w:ascii="仿宋" w:hAnsi="仿宋" w:eastAsia="仿宋" w:cs="仿宋_GB2312"/>
          <w:color w:val="auto"/>
          <w:highlight w:val="none"/>
        </w:rPr>
      </w:pPr>
      <w:r>
        <w:rPr>
          <w:rFonts w:hint="eastAsia" w:ascii="仿宋" w:hAnsi="仿宋" w:eastAsia="仿宋" w:cs="仿宋_GB2312"/>
          <w:color w:val="auto"/>
          <w:highlight w:val="none"/>
          <w:lang w:val="zh-CN"/>
        </w:rPr>
        <w:t>联系地址：邮政编码：</w:t>
      </w:r>
    </w:p>
    <w:p w14:paraId="21BA1D5E">
      <w:pPr>
        <w:snapToGrid w:val="0"/>
        <w:spacing w:line="360" w:lineRule="auto"/>
        <w:ind w:firstLine="5040" w:firstLineChars="2100"/>
        <w:rPr>
          <w:rFonts w:ascii="仿宋" w:hAnsi="仿宋" w:eastAsia="仿宋" w:cs="仿宋_GB2312"/>
          <w:color w:val="auto"/>
          <w:highlight w:val="none"/>
          <w:lang w:val="zh-CN"/>
        </w:rPr>
      </w:pPr>
    </w:p>
    <w:p w14:paraId="5C642647">
      <w:pPr>
        <w:snapToGrid w:val="0"/>
        <w:spacing w:line="360" w:lineRule="auto"/>
        <w:rPr>
          <w:rFonts w:ascii="仿宋" w:hAnsi="仿宋" w:eastAsia="仿宋" w:cs="仿宋_GB2312"/>
          <w:color w:val="auto"/>
          <w:highlight w:val="none"/>
          <w:lang w:val="zh-CN"/>
        </w:rPr>
      </w:pPr>
    </w:p>
    <w:p w14:paraId="2DA07447">
      <w:pPr>
        <w:snapToGrid w:val="0"/>
        <w:spacing w:line="360" w:lineRule="auto"/>
        <w:ind w:firstLine="5040" w:firstLineChars="2100"/>
        <w:rPr>
          <w:rFonts w:ascii="仿宋" w:hAnsi="仿宋" w:eastAsia="仿宋" w:cs="仿宋_GB2312"/>
          <w:color w:val="auto"/>
          <w:highlight w:val="none"/>
        </w:rPr>
      </w:pPr>
      <w:r>
        <w:rPr>
          <w:rFonts w:hint="eastAsia" w:ascii="仿宋" w:hAnsi="仿宋" w:eastAsia="仿宋" w:cs="仿宋_GB2312"/>
          <w:color w:val="auto"/>
          <w:highlight w:val="none"/>
          <w:lang w:val="zh-CN"/>
        </w:rPr>
        <w:t>投标人名称(电子签名)：</w:t>
      </w:r>
    </w:p>
    <w:p w14:paraId="69BACCF1">
      <w:pPr>
        <w:snapToGrid w:val="0"/>
        <w:spacing w:line="360" w:lineRule="auto"/>
        <w:ind w:firstLine="5160" w:firstLineChars="2150"/>
        <w:rPr>
          <w:rFonts w:ascii="仿宋" w:hAnsi="仿宋" w:eastAsia="仿宋" w:cs="仿宋_GB2312"/>
          <w:b/>
          <w:color w:val="auto"/>
          <w:sz w:val="32"/>
          <w:szCs w:val="32"/>
          <w:highlight w:val="none"/>
        </w:rPr>
      </w:pPr>
      <w:r>
        <w:rPr>
          <w:rFonts w:hint="eastAsia" w:ascii="仿宋" w:hAnsi="仿宋" w:eastAsia="仿宋" w:cs="仿宋_GB2312"/>
          <w:color w:val="auto"/>
          <w:highlight w:val="none"/>
          <w:lang w:val="zh-CN"/>
        </w:rPr>
        <w:t>日期</w:t>
      </w:r>
      <w:r>
        <w:rPr>
          <w:rFonts w:hint="eastAsia" w:ascii="仿宋" w:hAnsi="仿宋" w:eastAsia="仿宋" w:cs="仿宋_GB2312"/>
          <w:color w:val="auto"/>
          <w:highlight w:val="none"/>
        </w:rPr>
        <w:t xml:space="preserve">：  年  </w:t>
      </w:r>
      <w:r>
        <w:rPr>
          <w:rFonts w:hint="eastAsia" w:ascii="仿宋" w:hAnsi="仿宋" w:eastAsia="仿宋" w:cs="仿宋_GB2312"/>
          <w:color w:val="auto"/>
          <w:highlight w:val="none"/>
          <w:lang w:val="zh-CN"/>
        </w:rPr>
        <w:t>月日</w:t>
      </w:r>
    </w:p>
    <w:p w14:paraId="4A77E83A">
      <w:pPr>
        <w:snapToGrid w:val="0"/>
        <w:spacing w:line="360" w:lineRule="auto"/>
        <w:jc w:val="center"/>
        <w:outlineLvl w:val="0"/>
        <w:rPr>
          <w:rFonts w:ascii="仿宋" w:hAnsi="仿宋" w:eastAsia="仿宋" w:cs="仿宋_GB2312"/>
          <w:b/>
          <w:color w:val="auto"/>
          <w:sz w:val="32"/>
          <w:szCs w:val="32"/>
          <w:highlight w:val="none"/>
        </w:rPr>
      </w:pPr>
      <w:r>
        <w:rPr>
          <w:rFonts w:ascii="仿宋" w:hAnsi="仿宋" w:eastAsia="仿宋" w:cs="仿宋_GB2312"/>
          <w:b/>
          <w:color w:val="auto"/>
          <w:sz w:val="32"/>
          <w:szCs w:val="32"/>
          <w:highlight w:val="none"/>
        </w:rPr>
        <w:br w:type="page"/>
      </w:r>
      <w:r>
        <w:rPr>
          <w:rFonts w:hint="eastAsia" w:ascii="仿宋" w:hAnsi="仿宋" w:eastAsia="仿宋" w:cs="仿宋_GB2312"/>
          <w:b/>
          <w:color w:val="auto"/>
          <w:sz w:val="32"/>
          <w:szCs w:val="32"/>
          <w:highlight w:val="none"/>
        </w:rPr>
        <w:t>三、联合体协议书（如有）</w:t>
      </w:r>
    </w:p>
    <w:p w14:paraId="042ABC4D">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甲方：</w:t>
      </w:r>
    </w:p>
    <w:p w14:paraId="60974844">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乙方：</w:t>
      </w:r>
    </w:p>
    <w:p w14:paraId="345B23D6">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（如果有的话，可按甲、乙、丙、丁…序列增加）</w:t>
      </w:r>
    </w:p>
    <w:p w14:paraId="2BFF97DD">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各方经协商，就响应</w:t>
      </w:r>
      <w:r>
        <w:rPr>
          <w:rFonts w:hint="eastAsia" w:ascii="仿宋" w:hAnsi="仿宋" w:eastAsia="仿宋" w:cs="仿宋_GB2312"/>
          <w:color w:val="auto"/>
          <w:highlight w:val="none"/>
          <w:u w:val="single"/>
          <w:lang w:val="zh-CN"/>
        </w:rPr>
        <w:t>（采购单位或采购代理机构名称）</w:t>
      </w:r>
      <w:r>
        <w:rPr>
          <w:rFonts w:hint="eastAsia" w:ascii="仿宋" w:hAnsi="仿宋" w:eastAsia="仿宋" w:cs="仿宋_GB2312"/>
          <w:color w:val="auto"/>
          <w:highlight w:val="none"/>
          <w:lang w:val="zh-CN"/>
        </w:rPr>
        <w:t>组织实施的</w:t>
      </w:r>
      <w:r>
        <w:rPr>
          <w:rFonts w:hint="eastAsia" w:ascii="仿宋" w:hAnsi="仿宋" w:eastAsia="仿宋" w:cs="仿宋_GB2312"/>
          <w:color w:val="auto"/>
          <w:highlight w:val="none"/>
          <w:u w:val="single"/>
          <w:lang w:val="zh-CN"/>
        </w:rPr>
        <w:t xml:space="preserve"> （招标项目名称及编号）</w:t>
      </w:r>
      <w:r>
        <w:rPr>
          <w:rFonts w:hint="eastAsia" w:ascii="仿宋" w:hAnsi="仿宋" w:eastAsia="仿宋" w:cs="仿宋_GB2312"/>
          <w:color w:val="auto"/>
          <w:highlight w:val="none"/>
          <w:lang w:val="zh-CN"/>
        </w:rPr>
        <w:t>的招标活动联合进行投标之事宜，达成如下协议：</w:t>
      </w:r>
    </w:p>
    <w:p w14:paraId="6D3C0D76">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一、各方一致决定组成一个联合体，以一个供应商的身份共同参加本项目政府采购。</w:t>
      </w:r>
    </w:p>
    <w:p w14:paraId="1D1DD8E6">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二、以</w:t>
      </w:r>
      <w:r>
        <w:rPr>
          <w:rFonts w:hint="eastAsia" w:ascii="仿宋" w:hAnsi="仿宋" w:eastAsia="仿宋" w:cs="仿宋_GB2312"/>
          <w:color w:val="auto"/>
          <w:highlight w:val="none"/>
          <w:u w:val="single"/>
          <w:lang w:val="zh-CN"/>
        </w:rPr>
        <w:t xml:space="preserve">   （联合体牵头人名称）   </w:t>
      </w:r>
      <w:r>
        <w:rPr>
          <w:rFonts w:hint="eastAsia" w:ascii="仿宋" w:hAnsi="仿宋" w:eastAsia="仿宋" w:cs="仿宋_GB2312"/>
          <w:color w:val="auto"/>
          <w:highlight w:val="none"/>
          <w:lang w:val="zh-CN"/>
        </w:rPr>
        <w:t>为联合体牵头人，负责包括但不仅限于投标、配合处理质疑投诉等一切和采购活动相关的事宜。</w:t>
      </w:r>
    </w:p>
    <w:p w14:paraId="0D1850C5">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三、联合体各方对投标响应文件及开标过程中的各种书面承诺、澄清等均予以认可，对联合投标各方均产生约束力。</w:t>
      </w:r>
    </w:p>
    <w:p w14:paraId="2F310CDD">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四、如果中标，联合投标各方共同与采购人签订采购合同，共同履行对采购人所负有的全部义务并就采购合同约定的事项对采购人承担连带责任。</w:t>
      </w:r>
    </w:p>
    <w:p w14:paraId="68B2E26D">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五、联合体各方不再单独参加或与其他供应商另外组成联合体参加同一标项（项目）的政府采购活动，否则均被视为无效投标。</w:t>
      </w:r>
    </w:p>
    <w:p w14:paraId="47D67168">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六、如果中标，联合体各方在项目实施过程中承担的工作和义务为：</w:t>
      </w:r>
    </w:p>
    <w:p w14:paraId="1C6DFC9D">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甲方：…            乙方：…</w:t>
      </w:r>
    </w:p>
    <w:p w14:paraId="7B7CFC69">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w:t>
      </w:r>
    </w:p>
    <w:p w14:paraId="6881B2A2">
      <w:pPr>
        <w:snapToGrid w:val="0"/>
        <w:spacing w:line="360" w:lineRule="auto"/>
        <w:ind w:firstLine="576"/>
        <w:rPr>
          <w:rFonts w:ascii="仿宋" w:hAnsi="仿宋" w:eastAsia="仿宋" w:cs="宋体"/>
          <w:color w:val="auto"/>
          <w:highlight w:val="none"/>
          <w:lang w:val="zh-CN"/>
        </w:rPr>
      </w:pPr>
      <w:r>
        <w:rPr>
          <w:rFonts w:hint="eastAsia" w:ascii="仿宋" w:hAnsi="仿宋" w:eastAsia="仿宋" w:cs="仿宋_GB2312"/>
          <w:color w:val="auto"/>
          <w:highlight w:val="none"/>
          <w:lang w:val="zh-CN"/>
        </w:rPr>
        <w:t>七、</w:t>
      </w:r>
      <w:r>
        <w:rPr>
          <w:rFonts w:hint="eastAsia" w:ascii="仿宋" w:hAnsi="仿宋" w:eastAsia="仿宋" w:cs="宋体"/>
          <w:color w:val="auto"/>
          <w:highlight w:val="none"/>
          <w:lang w:val="zh-CN"/>
        </w:rPr>
        <w:t>联合体成员中小企业合同份额。</w:t>
      </w:r>
    </w:p>
    <w:p w14:paraId="4BC35E0A">
      <w:pPr>
        <w:snapToGrid w:val="0"/>
        <w:spacing w:line="360" w:lineRule="auto"/>
        <w:ind w:firstLine="576"/>
        <w:rPr>
          <w:rFonts w:ascii="仿宋" w:hAnsi="仿宋" w:eastAsia="仿宋" w:cs="宋体"/>
          <w:b/>
          <w:color w:val="auto"/>
          <w:highlight w:val="none"/>
          <w:lang w:val="zh-CN"/>
        </w:rPr>
      </w:pPr>
      <w:r>
        <w:rPr>
          <w:rFonts w:hint="eastAsia" w:ascii="仿宋" w:hAnsi="仿宋" w:eastAsia="仿宋" w:cs="宋体"/>
          <w:color w:val="auto"/>
          <w:highlight w:val="none"/>
          <w:lang w:val="zh-CN"/>
        </w:rPr>
        <w:t>1、</w:t>
      </w:r>
      <w:r>
        <w:rPr>
          <w:rFonts w:hint="eastAsia" w:ascii="仿宋" w:hAnsi="仿宋" w:eastAsia="仿宋" w:cs="宋体"/>
          <w:color w:val="auto"/>
          <w:highlight w:val="none"/>
          <w:u w:val="single"/>
        </w:rPr>
        <w:t>（联合体成员</w:t>
      </w:r>
      <w:r>
        <w:rPr>
          <w:rFonts w:ascii="仿宋" w:hAnsi="仿宋" w:eastAsia="仿宋" w:cs="宋体"/>
          <w:color w:val="auto"/>
          <w:highlight w:val="none"/>
          <w:u w:val="single"/>
        </w:rPr>
        <w:t>X,</w:t>
      </w:r>
      <w:r>
        <w:rPr>
          <w:rFonts w:hint="eastAsia" w:ascii="仿宋" w:hAnsi="仿宋" w:eastAsia="仿宋" w:cs="宋体"/>
          <w:color w:val="auto"/>
          <w:highlight w:val="none"/>
          <w:u w:val="single"/>
        </w:rPr>
        <w:t>……）</w:t>
      </w:r>
      <w:r>
        <w:rPr>
          <w:rFonts w:hint="eastAsia" w:ascii="仿宋" w:hAnsi="仿宋" w:eastAsia="仿宋" w:cs="宋体"/>
          <w:color w:val="auto"/>
          <w:highlight w:val="none"/>
        </w:rPr>
        <w:t>提供的全部货物由小微企业制造，其合同份额占到合同总金额___%以上；</w:t>
      </w:r>
      <w:r>
        <w:rPr>
          <w:rFonts w:hint="eastAsia" w:ascii="仿宋" w:hAnsi="仿宋" w:eastAsia="仿宋" w:cs="宋体"/>
          <w:color w:val="auto"/>
          <w:highlight w:val="none"/>
          <w:lang w:val="zh-CN"/>
        </w:rPr>
        <w:t>……。</w:t>
      </w:r>
      <w:r>
        <w:rPr>
          <w:rFonts w:hint="eastAsia" w:ascii="仿宋" w:hAnsi="仿宋" w:eastAsia="仿宋" w:cs="宋体"/>
          <w:b/>
          <w:color w:val="auto"/>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宋体"/>
          <w:b/>
          <w:color w:val="auto"/>
          <w:highlight w:val="none"/>
        </w:rPr>
        <w:t>拟享受以上价格扣除政策的，填写有关内容。</w:t>
      </w:r>
      <w:r>
        <w:rPr>
          <w:rFonts w:hint="eastAsia" w:ascii="仿宋" w:hAnsi="仿宋" w:eastAsia="仿宋" w:cs="宋体"/>
          <w:b/>
          <w:color w:val="auto"/>
          <w:highlight w:val="none"/>
          <w:lang w:val="zh-CN"/>
        </w:rPr>
        <w:t>）</w:t>
      </w:r>
    </w:p>
    <w:p w14:paraId="4C3BADCB">
      <w:pPr>
        <w:snapToGrid w:val="0"/>
        <w:spacing w:line="360" w:lineRule="auto"/>
        <w:ind w:firstLine="576"/>
        <w:rPr>
          <w:rFonts w:ascii="仿宋" w:hAnsi="仿宋" w:eastAsia="仿宋" w:cs="宋体"/>
          <w:color w:val="auto"/>
          <w:highlight w:val="none"/>
          <w:lang w:val="zh-CN"/>
        </w:rPr>
      </w:pPr>
      <w:r>
        <w:rPr>
          <w:rFonts w:hint="eastAsia" w:ascii="仿宋" w:hAnsi="仿宋" w:eastAsia="仿宋" w:cs="宋体"/>
          <w:color w:val="auto"/>
          <w:highlight w:val="none"/>
        </w:rPr>
        <w:t>2、中小企业合同金额达到___%，其中小微企业合同金额达到___%</w:t>
      </w:r>
      <w:r>
        <w:rPr>
          <w:rFonts w:hint="eastAsia" w:ascii="仿宋" w:hAnsi="仿宋" w:eastAsia="仿宋" w:cs="宋体"/>
          <w:color w:val="auto"/>
          <w:highlight w:val="none"/>
          <w:lang w:val="zh-CN"/>
        </w:rPr>
        <w:t>。</w:t>
      </w:r>
      <w:r>
        <w:rPr>
          <w:rFonts w:hint="eastAsia" w:ascii="仿宋" w:hAnsi="仿宋" w:eastAsia="仿宋" w:cs="宋体"/>
          <w:b/>
          <w:bCs/>
          <w:color w:val="auto"/>
          <w:highlight w:val="none"/>
          <w:lang w:val="zh-CN"/>
        </w:rPr>
        <w:t>（</w:t>
      </w:r>
      <w:r>
        <w:rPr>
          <w:rFonts w:hint="eastAsia" w:ascii="仿宋" w:hAnsi="仿宋" w:eastAsia="仿宋" w:cs="宋体"/>
          <w:b/>
          <w:bCs/>
          <w:color w:val="auto"/>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宋体"/>
          <w:b/>
          <w:bCs/>
          <w:color w:val="auto"/>
          <w:highlight w:val="none"/>
          <w:lang w:val="zh-CN"/>
        </w:rPr>
        <w:t>）</w:t>
      </w:r>
    </w:p>
    <w:p w14:paraId="2527C751">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八、本协议签约各方各持一份，并作为投标文件的一部分。</w:t>
      </w:r>
    </w:p>
    <w:p w14:paraId="2D5320E4">
      <w:pPr>
        <w:snapToGrid w:val="0"/>
        <w:spacing w:line="360" w:lineRule="auto"/>
        <w:ind w:firstLine="576"/>
        <w:rPr>
          <w:rFonts w:ascii="仿宋" w:hAnsi="仿宋" w:eastAsia="仿宋" w:cs="仿宋_GB2312"/>
          <w:color w:val="auto"/>
          <w:highlight w:val="none"/>
          <w:lang w:val="zh-CN"/>
        </w:rPr>
      </w:pPr>
    </w:p>
    <w:p w14:paraId="5FE33661">
      <w:pPr>
        <w:snapToGrid w:val="0"/>
        <w:spacing w:line="360" w:lineRule="auto"/>
        <w:ind w:firstLine="576"/>
        <w:rPr>
          <w:rFonts w:ascii="仿宋" w:hAnsi="仿宋" w:eastAsia="仿宋" w:cs="仿宋_GB2312"/>
          <w:color w:val="auto"/>
          <w:highlight w:val="none"/>
          <w:lang w:val="zh-CN"/>
        </w:rPr>
      </w:pPr>
    </w:p>
    <w:tbl>
      <w:tblPr>
        <w:tblStyle w:val="43"/>
        <w:tblW w:w="0" w:type="auto"/>
        <w:jc w:val="center"/>
        <w:tblLayout w:type="fixed"/>
        <w:tblCellMar>
          <w:top w:w="0" w:type="dxa"/>
          <w:left w:w="108" w:type="dxa"/>
          <w:bottom w:w="0" w:type="dxa"/>
          <w:right w:w="108" w:type="dxa"/>
        </w:tblCellMar>
      </w:tblPr>
      <w:tblGrid>
        <w:gridCol w:w="4264"/>
        <w:gridCol w:w="4264"/>
      </w:tblGrid>
      <w:tr w14:paraId="68215612">
        <w:tblPrEx>
          <w:tblCellMar>
            <w:top w:w="0" w:type="dxa"/>
            <w:left w:w="108" w:type="dxa"/>
            <w:bottom w:w="0" w:type="dxa"/>
            <w:right w:w="108" w:type="dxa"/>
          </w:tblCellMar>
        </w:tblPrEx>
        <w:trPr>
          <w:jc w:val="center"/>
        </w:trPr>
        <w:tc>
          <w:tcPr>
            <w:tcW w:w="4264" w:type="dxa"/>
          </w:tcPr>
          <w:p w14:paraId="4036CA16">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甲方单位：       （公章）</w:t>
            </w:r>
          </w:p>
          <w:p w14:paraId="7132464D">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法定代表人：     （签章）</w:t>
            </w:r>
          </w:p>
          <w:p w14:paraId="00B3EF96">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日  期：  年  月   日</w:t>
            </w:r>
          </w:p>
        </w:tc>
        <w:tc>
          <w:tcPr>
            <w:tcW w:w="4264" w:type="dxa"/>
          </w:tcPr>
          <w:p w14:paraId="53EA8F90">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乙方单位：       （公章）</w:t>
            </w:r>
          </w:p>
          <w:p w14:paraId="0D67AF43">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法定代表人：     （签章）</w:t>
            </w:r>
          </w:p>
          <w:p w14:paraId="154D9E10">
            <w:pPr>
              <w:snapToGrid w:val="0"/>
              <w:spacing w:line="360" w:lineRule="auto"/>
              <w:ind w:firstLine="576"/>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日  期：  年  月   日</w:t>
            </w:r>
          </w:p>
        </w:tc>
      </w:tr>
    </w:tbl>
    <w:p w14:paraId="57DE16E6">
      <w:pPr>
        <w:spacing w:line="360" w:lineRule="auto"/>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br w:type="page"/>
      </w:r>
      <w:r>
        <w:rPr>
          <w:rFonts w:hint="eastAsia" w:ascii="仿宋" w:hAnsi="仿宋" w:eastAsia="仿宋" w:cs="仿宋_GB2312"/>
          <w:b/>
          <w:color w:val="auto"/>
          <w:sz w:val="32"/>
          <w:szCs w:val="32"/>
          <w:highlight w:val="none"/>
        </w:rPr>
        <w:t>四、法定代表人授权委托书</w:t>
      </w:r>
    </w:p>
    <w:p w14:paraId="05B373E0">
      <w:pPr>
        <w:snapToGrid w:val="0"/>
        <w:spacing w:line="360" w:lineRule="auto"/>
        <w:rPr>
          <w:rFonts w:ascii="仿宋" w:hAnsi="仿宋" w:eastAsia="仿宋" w:cs="仿宋_GB2312"/>
          <w:color w:val="auto"/>
          <w:highlight w:val="none"/>
        </w:rPr>
      </w:pPr>
      <w:r>
        <w:rPr>
          <w:rFonts w:hint="eastAsia" w:ascii="仿宋" w:hAnsi="仿宋" w:eastAsia="仿宋"/>
          <w:color w:val="auto"/>
          <w:highlight w:val="none"/>
          <w:u w:val="single"/>
        </w:rPr>
        <w:t>（采购单位或采购代理机构名称</w:t>
      </w:r>
      <w:r>
        <w:rPr>
          <w:rFonts w:ascii="仿宋" w:hAnsi="仿宋" w:eastAsia="仿宋"/>
          <w:color w:val="auto"/>
          <w:highlight w:val="none"/>
          <w:u w:val="single"/>
        </w:rPr>
        <w:t>）</w:t>
      </w:r>
      <w:r>
        <w:rPr>
          <w:rFonts w:hint="eastAsia" w:ascii="仿宋" w:hAnsi="仿宋" w:eastAsia="仿宋" w:cs="仿宋_GB2312"/>
          <w:color w:val="auto"/>
          <w:highlight w:val="none"/>
        </w:rPr>
        <w:t>：</w:t>
      </w:r>
    </w:p>
    <w:p w14:paraId="36198F7E">
      <w:pPr>
        <w:snapToGrid w:val="0"/>
        <w:spacing w:line="360" w:lineRule="auto"/>
        <w:ind w:firstLine="576"/>
        <w:rPr>
          <w:rFonts w:ascii="仿宋" w:hAnsi="仿宋" w:eastAsia="仿宋"/>
          <w:color w:val="auto"/>
          <w:highlight w:val="none"/>
          <w:u w:val="single"/>
        </w:rPr>
      </w:pPr>
      <w:r>
        <w:rPr>
          <w:rFonts w:hint="eastAsia" w:ascii="仿宋" w:eastAsia="仿宋"/>
          <w:color w:val="auto"/>
          <w:highlight w:val="none"/>
        </w:rPr>
        <w:t>我</w:t>
      </w:r>
      <w:r>
        <w:rPr>
          <w:rFonts w:hint="eastAsia" w:ascii="仿宋" w:eastAsia="仿宋"/>
          <w:color w:val="auto"/>
          <w:highlight w:val="none"/>
          <w:u w:val="single"/>
        </w:rPr>
        <w:t xml:space="preserve">（姓名及身份证号码） </w:t>
      </w:r>
      <w:r>
        <w:rPr>
          <w:rFonts w:hint="eastAsia" w:ascii="仿宋" w:eastAsia="仿宋"/>
          <w:color w:val="auto"/>
          <w:highlight w:val="none"/>
        </w:rPr>
        <w:t>系</w:t>
      </w:r>
      <w:r>
        <w:rPr>
          <w:rFonts w:hint="eastAsia" w:ascii="仿宋" w:eastAsia="仿宋"/>
          <w:color w:val="auto"/>
          <w:highlight w:val="none"/>
          <w:u w:val="single"/>
        </w:rPr>
        <w:t xml:space="preserve">  （投标人或联合体牵头人全称） </w:t>
      </w:r>
      <w:r>
        <w:rPr>
          <w:rFonts w:hint="eastAsia" w:ascii="仿宋" w:eastAsia="仿宋"/>
          <w:color w:val="auto"/>
          <w:highlight w:val="none"/>
        </w:rPr>
        <w:t>的法定代表人，，现授权委托本单位在职职工</w:t>
      </w:r>
      <w:r>
        <w:rPr>
          <w:rFonts w:hint="eastAsia" w:ascii="仿宋" w:eastAsia="仿宋"/>
          <w:color w:val="auto"/>
          <w:highlight w:val="none"/>
          <w:u w:val="single"/>
        </w:rPr>
        <w:t>（姓名）</w:t>
      </w:r>
      <w:r>
        <w:rPr>
          <w:rFonts w:hint="eastAsia" w:ascii="仿宋" w:hAnsi="仿宋" w:eastAsia="仿宋" w:cs="仿宋_GB2312"/>
          <w:color w:val="auto"/>
          <w:highlight w:val="none"/>
          <w:lang w:val="zh-CN"/>
        </w:rPr>
        <w:t>(其身份证号码：联系电话：手机：传真：)，以我方的名义参加</w:t>
      </w:r>
      <w:r>
        <w:rPr>
          <w:rFonts w:hint="eastAsia" w:ascii="仿宋" w:hAnsi="仿宋" w:eastAsia="仿宋"/>
          <w:color w:val="auto"/>
          <w:highlight w:val="none"/>
          <w:u w:val="single"/>
        </w:rPr>
        <w:t>（招标项目名称及编号</w:t>
      </w:r>
      <w:r>
        <w:rPr>
          <w:rFonts w:ascii="仿宋" w:hAnsi="仿宋" w:eastAsia="仿宋"/>
          <w:color w:val="auto"/>
          <w:highlight w:val="none"/>
          <w:u w:val="single"/>
        </w:rPr>
        <w:t>）</w:t>
      </w:r>
      <w:r>
        <w:rPr>
          <w:rFonts w:hint="eastAsia" w:ascii="仿宋" w:hAnsi="仿宋" w:eastAsia="仿宋" w:cs="仿宋_GB2312"/>
          <w:color w:val="auto"/>
          <w:highlight w:val="none"/>
          <w:lang w:val="zh-CN"/>
        </w:rPr>
        <w:t>的投标活动，并代表我方全权办理针对上述项目投标、开标、评标、签约等具体事务和签署相关文件。我方对授权代表的签名事项负全部责任。</w:t>
      </w:r>
    </w:p>
    <w:p w14:paraId="376F9F7F">
      <w:pPr>
        <w:snapToGrid w:val="0"/>
        <w:spacing w:line="360" w:lineRule="auto"/>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 xml:space="preserve">    在撤销授权的书面通知以前，本授权书一直有效。全权代表在授权书有效期内签署的所有文件不因授权的撤销而失效。</w:t>
      </w:r>
    </w:p>
    <w:p w14:paraId="39DC0B58">
      <w:pPr>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lang w:val="zh-CN"/>
        </w:rPr>
        <w:t xml:space="preserve">    授权代表无转委托权。特此委托</w:t>
      </w:r>
    </w:p>
    <w:p w14:paraId="1D83A8C8">
      <w:pPr>
        <w:snapToGrid w:val="0"/>
        <w:spacing w:line="360" w:lineRule="auto"/>
        <w:ind w:firstLine="5040" w:firstLineChars="2100"/>
        <w:rPr>
          <w:rFonts w:ascii="仿宋" w:hAnsi="仿宋" w:eastAsia="仿宋" w:cs="仿宋_GB2312"/>
          <w:color w:val="auto"/>
          <w:highlight w:val="none"/>
          <w:lang w:val="zh-CN"/>
        </w:rPr>
      </w:pPr>
    </w:p>
    <w:p w14:paraId="146E7A2A">
      <w:pPr>
        <w:snapToGrid w:val="0"/>
        <w:spacing w:line="360" w:lineRule="auto"/>
        <w:ind w:firstLine="5040" w:firstLineChars="2100"/>
        <w:rPr>
          <w:rFonts w:ascii="仿宋" w:hAnsi="仿宋" w:eastAsia="仿宋" w:cs="仿宋_GB2312"/>
          <w:color w:val="auto"/>
          <w:highlight w:val="none"/>
          <w:lang w:val="zh-CN"/>
        </w:rPr>
      </w:pPr>
    </w:p>
    <w:p w14:paraId="4BA2EB9F">
      <w:pPr>
        <w:snapToGrid w:val="0"/>
        <w:spacing w:line="360" w:lineRule="auto"/>
        <w:ind w:firstLine="5040" w:firstLineChars="2100"/>
        <w:rPr>
          <w:rFonts w:ascii="仿宋" w:hAnsi="仿宋" w:eastAsia="仿宋" w:cs="仿宋_GB2312"/>
          <w:color w:val="auto"/>
          <w:highlight w:val="none"/>
        </w:rPr>
      </w:pPr>
      <w:r>
        <w:rPr>
          <w:rFonts w:hint="eastAsia" w:ascii="仿宋" w:hAnsi="仿宋" w:eastAsia="仿宋" w:cs="仿宋_GB2312"/>
          <w:color w:val="auto"/>
          <w:highlight w:val="none"/>
          <w:lang w:val="zh-CN"/>
        </w:rPr>
        <w:t>投标人名称(电子签名)：</w:t>
      </w:r>
    </w:p>
    <w:p w14:paraId="423A5643">
      <w:pPr>
        <w:snapToGrid w:val="0"/>
        <w:spacing w:line="360" w:lineRule="auto"/>
        <w:ind w:firstLine="5160" w:firstLineChars="215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日期</w:t>
      </w:r>
      <w:r>
        <w:rPr>
          <w:rFonts w:hint="eastAsia" w:ascii="仿宋" w:hAnsi="仿宋" w:eastAsia="仿宋" w:cs="仿宋_GB2312"/>
          <w:color w:val="auto"/>
          <w:highlight w:val="none"/>
        </w:rPr>
        <w:t xml:space="preserve">：  年  </w:t>
      </w:r>
      <w:r>
        <w:rPr>
          <w:rFonts w:hint="eastAsia" w:ascii="仿宋" w:hAnsi="仿宋" w:eastAsia="仿宋" w:cs="仿宋_GB2312"/>
          <w:color w:val="auto"/>
          <w:highlight w:val="none"/>
          <w:lang w:val="zh-CN"/>
        </w:rPr>
        <w:t>月日</w:t>
      </w:r>
    </w:p>
    <w:p w14:paraId="23A45EFC">
      <w:pPr>
        <w:snapToGrid w:val="0"/>
        <w:spacing w:line="360" w:lineRule="auto"/>
        <w:ind w:firstLine="5160" w:firstLineChars="2150"/>
        <w:rPr>
          <w:rFonts w:ascii="仿宋" w:hAnsi="仿宋" w:eastAsia="仿宋" w:cs="仿宋_GB2312"/>
          <w:color w:val="auto"/>
          <w:highlight w:val="none"/>
          <w:lang w:val="zh-CN"/>
        </w:rPr>
      </w:pPr>
    </w:p>
    <w:p w14:paraId="31740415">
      <w:pPr>
        <w:spacing w:line="360" w:lineRule="auto"/>
        <w:jc w:val="center"/>
        <w:rPr>
          <w:rFonts w:ascii="仿宋" w:hAnsi="仿宋" w:eastAsia="仿宋" w:cs="仿宋_GB2312"/>
          <w:b/>
          <w:color w:val="auto"/>
          <w:sz w:val="32"/>
          <w:szCs w:val="32"/>
          <w:highlight w:val="none"/>
        </w:rPr>
      </w:pPr>
    </w:p>
    <w:p w14:paraId="53EFEE75">
      <w:pPr>
        <w:spacing w:line="360" w:lineRule="auto"/>
        <w:jc w:val="center"/>
        <w:rPr>
          <w:rFonts w:ascii="仿宋" w:hAnsi="仿宋" w:eastAsia="仿宋" w:cs="仿宋_GB2312"/>
          <w:b/>
          <w:color w:val="auto"/>
          <w:sz w:val="32"/>
          <w:szCs w:val="32"/>
          <w:highlight w:val="none"/>
        </w:rPr>
      </w:pPr>
    </w:p>
    <w:p w14:paraId="7ACEF8E0">
      <w:pPr>
        <w:spacing w:line="360" w:lineRule="auto"/>
        <w:jc w:val="center"/>
        <w:rPr>
          <w:rFonts w:ascii="仿宋" w:hAnsi="仿宋" w:eastAsia="仿宋" w:cs="仿宋_GB2312"/>
          <w:b/>
          <w:color w:val="auto"/>
          <w:sz w:val="32"/>
          <w:szCs w:val="32"/>
          <w:highlight w:val="none"/>
        </w:rPr>
      </w:pPr>
    </w:p>
    <w:p w14:paraId="2DE89E25">
      <w:pPr>
        <w:spacing w:line="360" w:lineRule="auto"/>
        <w:jc w:val="center"/>
        <w:rPr>
          <w:rFonts w:ascii="仿宋" w:hAnsi="仿宋" w:eastAsia="仿宋" w:cs="仿宋_GB2312"/>
          <w:b/>
          <w:color w:val="auto"/>
          <w:sz w:val="32"/>
          <w:szCs w:val="32"/>
          <w:highlight w:val="none"/>
        </w:rPr>
      </w:pPr>
    </w:p>
    <w:p w14:paraId="13F73C19">
      <w:pPr>
        <w:spacing w:line="360" w:lineRule="auto"/>
        <w:rPr>
          <w:rFonts w:ascii="仿宋" w:hAnsi="仿宋" w:eastAsia="仿宋" w:cs="仿宋_GB2312"/>
          <w:b/>
          <w:color w:val="auto"/>
          <w:sz w:val="32"/>
          <w:szCs w:val="32"/>
          <w:highlight w:val="none"/>
        </w:rPr>
      </w:pPr>
    </w:p>
    <w:p w14:paraId="7E892BC2">
      <w:pPr>
        <w:spacing w:line="360" w:lineRule="auto"/>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t>五、法定代表人及其授权代表的身份证（复印件）</w:t>
      </w:r>
    </w:p>
    <w:p w14:paraId="43D4B4CE">
      <w:pPr>
        <w:spacing w:line="360" w:lineRule="auto"/>
        <w:rPr>
          <w:rFonts w:ascii="仿宋" w:hAnsi="仿宋" w:eastAsia="仿宋" w:cs="仿宋_GB2312"/>
          <w:color w:val="auto"/>
          <w:highlight w:val="none"/>
        </w:rPr>
      </w:pPr>
    </w:p>
    <w:p w14:paraId="21B83344">
      <w:pPr>
        <w:spacing w:line="360" w:lineRule="auto"/>
        <w:jc w:val="center"/>
        <w:rPr>
          <w:rFonts w:ascii="仿宋" w:hAnsi="仿宋" w:eastAsia="仿宋" w:cs="仿宋_GB2312"/>
          <w:strike/>
          <w:color w:val="auto"/>
          <w:highlight w:val="none"/>
        </w:rPr>
      </w:pPr>
      <w:r>
        <w:rPr>
          <w:rFonts w:hint="eastAsia" w:ascii="仿宋" w:hAnsi="仿宋" w:eastAsia="仿宋" w:cs="仿宋_GB2312"/>
          <w:b/>
          <w:color w:val="auto"/>
          <w:sz w:val="32"/>
          <w:szCs w:val="32"/>
          <w:highlight w:val="none"/>
        </w:rPr>
        <w:br w:type="textWrapping"/>
      </w:r>
    </w:p>
    <w:p w14:paraId="1916B6F6">
      <w:pPr>
        <w:spacing w:line="360" w:lineRule="auto"/>
        <w:jc w:val="center"/>
        <w:rPr>
          <w:rFonts w:ascii="仿宋" w:hAnsi="仿宋" w:eastAsia="仿宋" w:cs="仿宋_GB2312"/>
          <w:b/>
          <w:color w:val="auto"/>
          <w:sz w:val="32"/>
          <w:szCs w:val="32"/>
          <w:highlight w:val="none"/>
        </w:rPr>
      </w:pPr>
    </w:p>
    <w:p w14:paraId="13F774D6">
      <w:pPr>
        <w:spacing w:line="360" w:lineRule="auto"/>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br w:type="textWrapping"/>
      </w:r>
      <w:r>
        <w:rPr>
          <w:rFonts w:hint="eastAsia" w:ascii="仿宋" w:hAnsi="仿宋" w:eastAsia="仿宋" w:cs="仿宋_GB2312"/>
          <w:b/>
          <w:color w:val="auto"/>
          <w:sz w:val="32"/>
          <w:szCs w:val="32"/>
          <w:highlight w:val="none"/>
        </w:rPr>
        <w:t xml:space="preserve">      六、符合特定资格条件的有关证明材料</w:t>
      </w:r>
    </w:p>
    <w:p w14:paraId="4629002B">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（由投标人根据招标公告合格的投标人应具备的特定资格要求编制；如果本项目没有设置特定资格条件，则不需要提供）</w:t>
      </w:r>
    </w:p>
    <w:p w14:paraId="2BF0C252">
      <w:pPr>
        <w:pStyle w:val="205"/>
        <w:keepNext w:val="0"/>
        <w:pageBreakBefore w:val="0"/>
        <w:tabs>
          <w:tab w:val="clear" w:pos="720"/>
        </w:tabs>
        <w:snapToGrid w:val="0"/>
        <w:spacing w:before="240"/>
        <w:outlineLvl w:val="9"/>
        <w:rPr>
          <w:rFonts w:ascii="仿宋" w:hAnsi="仿宋" w:eastAsia="仿宋" w:cs="仿宋_GB2312"/>
          <w:color w:val="auto"/>
          <w:kern w:val="2"/>
          <w:sz w:val="32"/>
          <w:szCs w:val="32"/>
          <w:highlight w:val="none"/>
        </w:rPr>
      </w:pPr>
    </w:p>
    <w:p w14:paraId="0F1E7897">
      <w:pPr>
        <w:spacing w:line="360" w:lineRule="auto"/>
        <w:outlineLvl w:val="0"/>
        <w:rPr>
          <w:rFonts w:ascii="仿宋" w:hAnsi="仿宋" w:eastAsia="仿宋" w:cs="仿宋_GB2312"/>
          <w:color w:val="auto"/>
          <w:highlight w:val="none"/>
        </w:rPr>
        <w:sectPr>
          <w:headerReference r:id="rId9" w:type="first"/>
          <w:footerReference r:id="rId11" w:type="first"/>
          <w:headerReference r:id="rId8" w:type="default"/>
          <w:footerReference r:id="rId10" w:type="default"/>
          <w:pgSz w:w="11906" w:h="16838"/>
          <w:pgMar w:top="1247" w:right="1418" w:bottom="1276" w:left="1418" w:header="851" w:footer="992" w:gutter="0"/>
          <w:cols w:space="720" w:num="1"/>
          <w:titlePg/>
          <w:docGrid w:linePitch="312" w:charSpace="0"/>
        </w:sectPr>
      </w:pPr>
    </w:p>
    <w:p w14:paraId="0E8BC2D5">
      <w:pPr>
        <w:spacing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商务技术文件部分</w:t>
      </w:r>
    </w:p>
    <w:p w14:paraId="5F8D829D">
      <w:pPr>
        <w:spacing w:line="360" w:lineRule="auto"/>
        <w:jc w:val="center"/>
        <w:outlineLvl w:val="0"/>
        <w:rPr>
          <w:rFonts w:ascii="仿宋" w:hAnsi="仿宋" w:eastAsia="仿宋" w:cs="仿宋_GB2312"/>
          <w:b/>
          <w:color w:val="auto"/>
          <w:highlight w:val="none"/>
        </w:rPr>
      </w:pPr>
    </w:p>
    <w:p w14:paraId="1D6E1EA1">
      <w:pPr>
        <w:spacing w:line="360" w:lineRule="auto"/>
        <w:jc w:val="center"/>
        <w:outlineLvl w:val="0"/>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目录</w:t>
      </w:r>
    </w:p>
    <w:p w14:paraId="2761B63F">
      <w:pPr>
        <w:spacing w:line="360" w:lineRule="auto"/>
        <w:ind w:firstLine="480" w:firstLineChars="200"/>
        <w:rPr>
          <w:rFonts w:ascii="仿宋" w:hAnsi="仿宋" w:eastAsia="仿宋" w:cs="仿宋_GB2312"/>
          <w:b/>
          <w:color w:val="auto"/>
          <w:highlight w:val="none"/>
        </w:rPr>
      </w:pPr>
      <w:r>
        <w:rPr>
          <w:rFonts w:hint="eastAsia" w:ascii="仿宋" w:hAnsi="仿宋" w:eastAsia="仿宋" w:cs="仿宋_GB2312"/>
          <w:color w:val="auto"/>
          <w:highlight w:val="none"/>
        </w:rPr>
        <w:t>（1）投标函</w:t>
      </w:r>
      <w:r>
        <w:rPr>
          <w:rFonts w:hint="eastAsia" w:ascii="仿宋" w:eastAsia="仿宋" w:cs="仿宋_GB2312"/>
          <w:color w:val="auto"/>
          <w:highlight w:val="none"/>
          <w:lang w:val="zh-CN"/>
        </w:rPr>
        <w:t>……………………………………………………………（页码）</w:t>
      </w:r>
    </w:p>
    <w:p w14:paraId="7AA0F59B">
      <w:pPr>
        <w:pStyle w:val="206"/>
        <w:spacing w:line="360" w:lineRule="auto"/>
        <w:ind w:left="0"/>
        <w:rPr>
          <w:rFonts w:ascii="仿宋" w:eastAsia="仿宋" w:cs="仿宋_GB2312"/>
          <w:color w:val="auto"/>
          <w:highlight w:val="none"/>
        </w:rPr>
      </w:pPr>
      <w:r>
        <w:rPr>
          <w:rFonts w:hint="eastAsia" w:ascii="仿宋" w:eastAsia="仿宋" w:cs="仿宋_GB2312"/>
          <w:color w:val="auto"/>
          <w:highlight w:val="none"/>
        </w:rPr>
        <w:t>（2）</w:t>
      </w:r>
      <w:r>
        <w:rPr>
          <w:rFonts w:hint="eastAsia" w:ascii="仿宋" w:eastAsia="仿宋" w:cs="仿宋_GB2312"/>
          <w:color w:val="auto"/>
          <w:highlight w:val="none"/>
          <w:lang w:val="zh-CN"/>
        </w:rPr>
        <w:t>评分对应表………………………………………………………</w:t>
      </w:r>
      <w:r>
        <w:rPr>
          <w:rFonts w:hint="eastAsia" w:ascii="仿宋" w:eastAsia="仿宋" w:cs="仿宋_GB2312"/>
          <w:color w:val="auto"/>
          <w:highlight w:val="none"/>
        </w:rPr>
        <w:t>（页码）</w:t>
      </w:r>
    </w:p>
    <w:p w14:paraId="2D2C5F08">
      <w:pPr>
        <w:pStyle w:val="206"/>
        <w:spacing w:line="360" w:lineRule="auto"/>
        <w:ind w:left="0"/>
        <w:rPr>
          <w:rFonts w:ascii="仿宋" w:eastAsia="仿宋" w:cs="仿宋_GB2312"/>
          <w:color w:val="auto"/>
          <w:highlight w:val="none"/>
        </w:rPr>
      </w:pPr>
      <w:r>
        <w:rPr>
          <w:rFonts w:hint="eastAsia" w:ascii="仿宋" w:eastAsia="仿宋" w:cs="仿宋_GB2312"/>
          <w:color w:val="auto"/>
          <w:highlight w:val="none"/>
        </w:rPr>
        <w:t>（3）</w:t>
      </w:r>
      <w:r>
        <w:rPr>
          <w:rFonts w:hint="eastAsia" w:ascii="仿宋" w:eastAsia="仿宋" w:cs="仿宋_GB2312"/>
          <w:color w:val="auto"/>
          <w:highlight w:val="none"/>
          <w:lang w:val="zh-CN"/>
        </w:rPr>
        <w:t>投标产品规格配置清单…………………………………………</w:t>
      </w:r>
      <w:r>
        <w:rPr>
          <w:rFonts w:hint="eastAsia" w:ascii="仿宋" w:eastAsia="仿宋" w:cs="仿宋_GB2312"/>
          <w:color w:val="auto"/>
          <w:highlight w:val="none"/>
        </w:rPr>
        <w:t>（页码）</w:t>
      </w:r>
    </w:p>
    <w:p w14:paraId="08B70317">
      <w:pPr>
        <w:pStyle w:val="206"/>
        <w:spacing w:line="360" w:lineRule="auto"/>
        <w:ind w:left="0"/>
        <w:rPr>
          <w:rFonts w:ascii="仿宋" w:eastAsia="仿宋" w:cs="仿宋_GB2312"/>
          <w:color w:val="auto"/>
          <w:highlight w:val="none"/>
        </w:rPr>
      </w:pPr>
      <w:bookmarkStart w:id="440" w:name="OLE_LINK7"/>
      <w:bookmarkStart w:id="441" w:name="OLE_LINK6"/>
      <w:bookmarkStart w:id="442" w:name="OLE_LINK5"/>
      <w:r>
        <w:rPr>
          <w:rFonts w:hint="eastAsia" w:ascii="仿宋" w:eastAsia="仿宋" w:cs="仿宋_GB2312"/>
          <w:color w:val="auto"/>
          <w:highlight w:val="none"/>
        </w:rPr>
        <w:t>（4）技术响应表</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440"/>
      <w:bookmarkEnd w:id="441"/>
    </w:p>
    <w:bookmarkEnd w:id="442"/>
    <w:p w14:paraId="2E69D76F">
      <w:pPr>
        <w:pStyle w:val="206"/>
        <w:spacing w:line="360" w:lineRule="auto"/>
        <w:ind w:left="0"/>
        <w:rPr>
          <w:rFonts w:ascii="仿宋" w:eastAsia="仿宋" w:cs="仿宋_GB2312"/>
          <w:color w:val="auto"/>
          <w:highlight w:val="none"/>
        </w:rPr>
      </w:pPr>
      <w:r>
        <w:rPr>
          <w:rFonts w:hint="eastAsia" w:ascii="仿宋" w:eastAsia="仿宋" w:cs="仿宋_GB2312"/>
          <w:color w:val="auto"/>
          <w:highlight w:val="none"/>
        </w:rPr>
        <w:t>（5）商务响应表</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54D8D500">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（6</w:t>
      </w:r>
      <w:r>
        <w:rPr>
          <w:rFonts w:ascii="仿宋" w:hAnsi="仿宋" w:eastAsia="仿宋" w:cs="仿宋_GB2312"/>
          <w:color w:val="auto"/>
          <w:highlight w:val="none"/>
        </w:rPr>
        <w:t>）</w:t>
      </w:r>
      <w:r>
        <w:rPr>
          <w:rFonts w:hint="eastAsia" w:ascii="仿宋" w:hAnsi="仿宋" w:eastAsia="仿宋" w:cs="仿宋_GB2312"/>
          <w:color w:val="auto"/>
          <w:highlight w:val="none"/>
        </w:rPr>
        <w:t>项目组织实施方案……………………………………………</w:t>
      </w:r>
      <w:r>
        <w:rPr>
          <w:rFonts w:hint="eastAsia" w:ascii="仿宋" w:eastAsia="仿宋" w:cs="仿宋_GB2312"/>
          <w:color w:val="auto"/>
          <w:highlight w:val="none"/>
          <w:lang w:val="zh-CN"/>
        </w:rPr>
        <w:t>…</w:t>
      </w:r>
      <w:r>
        <w:rPr>
          <w:rFonts w:hint="eastAsia" w:ascii="仿宋" w:hAnsi="仿宋" w:eastAsia="仿宋" w:cs="仿宋_GB2312"/>
          <w:color w:val="auto"/>
          <w:highlight w:val="none"/>
        </w:rPr>
        <w:t>（页码）</w:t>
      </w:r>
    </w:p>
    <w:p w14:paraId="571840C6">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（7）项目负责人情况表………………………………………………（页码）</w:t>
      </w:r>
    </w:p>
    <w:p w14:paraId="5EA324F9">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（8）项目组人员名单…………………………………………………（页码）</w:t>
      </w:r>
    </w:p>
    <w:p w14:paraId="0CF1EA17">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（9）售后服务方案（如有）…………………………………………（页码）</w:t>
      </w:r>
    </w:p>
    <w:p w14:paraId="251C349E">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（10）</w:t>
      </w:r>
      <w:r>
        <w:rPr>
          <w:rFonts w:hint="eastAsia" w:ascii="仿宋" w:hAnsi="仿宋" w:eastAsia="仿宋" w:cs="仿宋_GB2312"/>
          <w:color w:val="auto"/>
          <w:highlight w:val="none"/>
          <w:lang w:val="zh-CN"/>
        </w:rPr>
        <w:t>优惠条件及特殊承诺（如有）</w:t>
      </w:r>
      <w:r>
        <w:rPr>
          <w:rFonts w:hint="eastAsia" w:ascii="仿宋" w:hAnsi="仿宋" w:eastAsia="仿宋" w:cs="仿宋_GB2312"/>
          <w:color w:val="auto"/>
          <w:highlight w:val="none"/>
        </w:rPr>
        <w:t>…………………………………（页码）</w:t>
      </w:r>
    </w:p>
    <w:p w14:paraId="2AE90BCA">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（11）</w:t>
      </w:r>
      <w:r>
        <w:rPr>
          <w:rFonts w:hint="eastAsia" w:ascii="仿宋" w:hAnsi="仿宋" w:eastAsia="仿宋" w:cs="仿宋_GB2312"/>
          <w:color w:val="auto"/>
          <w:highlight w:val="none"/>
          <w:lang w:val="zh-CN"/>
        </w:rPr>
        <w:t>投标人认为需要的其它商务技术文件或说明…………………</w:t>
      </w:r>
      <w:r>
        <w:rPr>
          <w:rFonts w:hint="eastAsia" w:ascii="仿宋" w:hAnsi="仿宋" w:eastAsia="仿宋" w:cs="仿宋_GB2312"/>
          <w:color w:val="auto"/>
          <w:highlight w:val="none"/>
        </w:rPr>
        <w:t>（页码）</w:t>
      </w:r>
    </w:p>
    <w:p w14:paraId="4BE5C132">
      <w:pPr>
        <w:spacing w:line="360" w:lineRule="auto"/>
        <w:ind w:firstLine="600" w:firstLineChars="250"/>
        <w:rPr>
          <w:rFonts w:ascii="仿宋" w:hAnsi="仿宋" w:eastAsia="仿宋" w:cs="仿宋_GB2312"/>
          <w:b/>
          <w:bCs/>
          <w:color w:val="auto"/>
          <w:highlight w:val="none"/>
        </w:rPr>
      </w:pPr>
      <w:r>
        <w:rPr>
          <w:rFonts w:hint="eastAsia" w:ascii="仿宋" w:hAnsi="仿宋" w:eastAsia="仿宋" w:cs="仿宋_GB2312"/>
          <w:b/>
          <w:bCs/>
          <w:color w:val="auto"/>
          <w:highlight w:val="none"/>
        </w:rPr>
        <w:t>注：以上目录是基本格式要求，各投标人可根据自身情况进一步细化。</w:t>
      </w:r>
    </w:p>
    <w:p w14:paraId="6DCB7EF6">
      <w:pPr>
        <w:snapToGrid w:val="0"/>
        <w:spacing w:line="360" w:lineRule="auto"/>
        <w:jc w:val="center"/>
        <w:rPr>
          <w:rFonts w:ascii="仿宋" w:hAnsi="仿宋" w:eastAsia="仿宋" w:cs="仿宋_GB2312"/>
          <w:b/>
          <w:color w:val="auto"/>
          <w:sz w:val="32"/>
          <w:szCs w:val="32"/>
          <w:highlight w:val="none"/>
          <w:lang w:val="zh-CN"/>
        </w:rPr>
      </w:pPr>
    </w:p>
    <w:p w14:paraId="70287EAA">
      <w:pPr>
        <w:snapToGrid w:val="0"/>
        <w:spacing w:line="360" w:lineRule="auto"/>
        <w:jc w:val="center"/>
        <w:rPr>
          <w:rFonts w:ascii="仿宋" w:hAnsi="仿宋" w:eastAsia="仿宋" w:cs="仿宋_GB2312"/>
          <w:b/>
          <w:color w:val="auto"/>
          <w:sz w:val="32"/>
          <w:szCs w:val="32"/>
          <w:highlight w:val="none"/>
          <w:lang w:val="zh-CN"/>
        </w:rPr>
      </w:pPr>
    </w:p>
    <w:p w14:paraId="3750121E">
      <w:pPr>
        <w:snapToGrid w:val="0"/>
        <w:spacing w:line="360" w:lineRule="auto"/>
        <w:jc w:val="center"/>
        <w:rPr>
          <w:rFonts w:ascii="仿宋" w:hAnsi="仿宋" w:eastAsia="仿宋" w:cs="仿宋_GB2312"/>
          <w:b/>
          <w:color w:val="auto"/>
          <w:sz w:val="32"/>
          <w:szCs w:val="32"/>
          <w:highlight w:val="none"/>
          <w:lang w:val="zh-CN"/>
        </w:rPr>
      </w:pPr>
    </w:p>
    <w:p w14:paraId="5602AE3D">
      <w:pPr>
        <w:snapToGrid w:val="0"/>
        <w:spacing w:line="360" w:lineRule="auto"/>
        <w:jc w:val="center"/>
        <w:rPr>
          <w:rFonts w:ascii="仿宋" w:hAnsi="仿宋" w:eastAsia="仿宋" w:cs="仿宋_GB2312"/>
          <w:b/>
          <w:color w:val="auto"/>
          <w:sz w:val="32"/>
          <w:szCs w:val="32"/>
          <w:highlight w:val="none"/>
          <w:lang w:val="zh-CN"/>
        </w:rPr>
      </w:pPr>
    </w:p>
    <w:p w14:paraId="564A4585">
      <w:pPr>
        <w:spacing w:line="360" w:lineRule="auto"/>
        <w:rPr>
          <w:rFonts w:ascii="Arial" w:hAnsi="Arial" w:eastAsia="黑体" w:cs="Arial"/>
          <w:b/>
          <w:bCs/>
          <w:snapToGrid w:val="0"/>
          <w:color w:val="auto"/>
          <w:sz w:val="28"/>
          <w:szCs w:val="21"/>
          <w:highlight w:val="none"/>
          <w:lang w:val="zh-CN"/>
        </w:rPr>
      </w:pPr>
    </w:p>
    <w:p w14:paraId="63210FBD">
      <w:pPr>
        <w:pStyle w:val="202"/>
        <w:rPr>
          <w:color w:val="auto"/>
          <w:highlight w:val="none"/>
          <w:lang w:val="zh-CN"/>
        </w:rPr>
      </w:pPr>
    </w:p>
    <w:p w14:paraId="14BE825E">
      <w:pPr>
        <w:snapToGrid w:val="0"/>
        <w:spacing w:line="360" w:lineRule="auto"/>
        <w:ind w:firstLine="3842" w:firstLineChars="1200"/>
        <w:outlineLvl w:val="0"/>
        <w:rPr>
          <w:rFonts w:ascii="仿宋" w:hAnsi="仿宋" w:eastAsia="仿宋" w:cs="宋体"/>
          <w:b/>
          <w:color w:val="auto"/>
          <w:sz w:val="32"/>
          <w:szCs w:val="32"/>
          <w:highlight w:val="none"/>
        </w:rPr>
      </w:pPr>
      <w:r>
        <w:rPr>
          <w:rFonts w:ascii="仿宋" w:hAnsi="仿宋" w:eastAsia="仿宋" w:cs="宋体"/>
          <w:b/>
          <w:color w:val="auto"/>
          <w:sz w:val="32"/>
          <w:szCs w:val="32"/>
          <w:highlight w:val="none"/>
        </w:rPr>
        <w:br w:type="page"/>
      </w:r>
      <w:r>
        <w:rPr>
          <w:rFonts w:hint="eastAsia" w:ascii="仿宋" w:hAnsi="仿宋" w:eastAsia="仿宋" w:cs="宋体"/>
          <w:b/>
          <w:color w:val="auto"/>
          <w:sz w:val="32"/>
          <w:szCs w:val="32"/>
          <w:highlight w:val="none"/>
        </w:rPr>
        <w:t>一、投标函</w:t>
      </w:r>
    </w:p>
    <w:p w14:paraId="43B406A7">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（采购人）、（采购代理机构）：</w:t>
      </w:r>
    </w:p>
    <w:p w14:paraId="235DE363">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我方参加你方组织的（项目名称）（项目编号：）招标的有关活动，并对此项目进行投标。为此：</w:t>
      </w:r>
    </w:p>
    <w:p w14:paraId="1BB2E6D8">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1、我方承诺投标有效期从提交投标文件的截止之日起___天（不少于90天），本投标文件在投标有效期满之前均具有约束力。</w:t>
      </w:r>
    </w:p>
    <w:p w14:paraId="1768457D">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2、我方承诺除技术响应表、商务响应表列出的偏离外，我方响应招标文件的全部要求。</w:t>
      </w:r>
    </w:p>
    <w:p w14:paraId="7605E83E">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3、我方提交的所有投标文件、资料都是准确的和真实的。</w:t>
      </w:r>
    </w:p>
    <w:p w14:paraId="2128997F">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4、我方具有履行本项目合同所必需的设备和专业技术能力。如中标，我方将保证合同顺利履行。</w:t>
      </w:r>
    </w:p>
    <w:p w14:paraId="3FD40578">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5、我方拟在中标后将_______________________工作分包，分包承担主体是___________________，我方承诺分包承担主体具备相应资质条件__________________，且不再次分包。（不再将工作进行分包或本项目不允许分包的，下划线处填写“/”。）</w:t>
      </w:r>
    </w:p>
    <w:p w14:paraId="77E3FE6C">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6、如我方中标，我方承诺：</w:t>
      </w:r>
    </w:p>
    <w:p w14:paraId="052891E9">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 xml:space="preserve">6.1在收到中标通知书后，在中标通知书规定的期限内与你方签订合同； </w:t>
      </w:r>
    </w:p>
    <w:p w14:paraId="667B847F">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 xml:space="preserve">6.2在签订合同时不向你方提出附加条件； </w:t>
      </w:r>
    </w:p>
    <w:p w14:paraId="5855C2F8">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 xml:space="preserve">6.3按照招标文件要求提交履约保证金； </w:t>
      </w:r>
    </w:p>
    <w:p w14:paraId="6D3A1AA5">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 xml:space="preserve">6.4在合同约定的期限内完成合同规定的全部义务。 </w:t>
      </w:r>
    </w:p>
    <w:p w14:paraId="7349C827">
      <w:pPr>
        <w:snapToGrid w:val="0"/>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7、其他补充说明:___________。</w:t>
      </w:r>
    </w:p>
    <w:p w14:paraId="3FFD47DA">
      <w:pPr>
        <w:spacing w:line="360" w:lineRule="auto"/>
        <w:ind w:firstLine="3600" w:firstLineChars="1500"/>
        <w:rPr>
          <w:rFonts w:ascii="仿宋" w:hAnsi="仿宋" w:eastAsia="仿宋" w:cs="宋体"/>
          <w:color w:val="auto"/>
          <w:highlight w:val="none"/>
        </w:rPr>
      </w:pPr>
    </w:p>
    <w:p w14:paraId="1C658953">
      <w:pPr>
        <w:spacing w:line="360" w:lineRule="auto"/>
        <w:rPr>
          <w:rFonts w:ascii="仿宋" w:hAnsi="仿宋" w:eastAsia="仿宋" w:cs="宋体"/>
          <w:color w:val="auto"/>
          <w:highlight w:val="none"/>
        </w:rPr>
      </w:pPr>
    </w:p>
    <w:p w14:paraId="6779A9A3">
      <w:pPr>
        <w:spacing w:line="360" w:lineRule="auto"/>
        <w:ind w:firstLine="3600" w:firstLineChars="1500"/>
        <w:rPr>
          <w:rFonts w:ascii="仿宋" w:hAnsi="仿宋" w:eastAsia="仿宋" w:cs="宋体"/>
          <w:color w:val="auto"/>
          <w:highlight w:val="none"/>
        </w:rPr>
      </w:pPr>
      <w:r>
        <w:rPr>
          <w:rFonts w:hint="eastAsia" w:ascii="仿宋" w:hAnsi="仿宋" w:eastAsia="仿宋" w:cs="宋体"/>
          <w:color w:val="auto"/>
          <w:highlight w:val="none"/>
        </w:rPr>
        <w:t xml:space="preserve">投标人名称（电子签名）：    </w:t>
      </w:r>
    </w:p>
    <w:p w14:paraId="6D8BFCC6">
      <w:pPr>
        <w:spacing w:line="360" w:lineRule="auto"/>
        <w:jc w:val="center"/>
        <w:rPr>
          <w:rFonts w:ascii="仿宋" w:hAnsi="仿宋" w:eastAsia="仿宋" w:cs="宋体"/>
          <w:color w:val="auto"/>
          <w:highlight w:val="none"/>
        </w:rPr>
      </w:pPr>
      <w:r>
        <w:rPr>
          <w:rFonts w:hint="eastAsia" w:ascii="仿宋" w:hAnsi="仿宋" w:eastAsia="仿宋" w:cs="宋体"/>
          <w:color w:val="auto"/>
          <w:highlight w:val="none"/>
        </w:rPr>
        <w:t xml:space="preserve"> 日期：  年   月   日</w:t>
      </w:r>
    </w:p>
    <w:p w14:paraId="4963733A">
      <w:pPr>
        <w:snapToGrid w:val="0"/>
        <w:spacing w:line="360" w:lineRule="auto"/>
        <w:ind w:left="480" w:leftChars="200" w:firstLine="4200" w:firstLineChars="1750"/>
        <w:rPr>
          <w:rFonts w:ascii="仿宋" w:hAnsi="仿宋" w:eastAsia="仿宋" w:cs="宋体"/>
          <w:color w:val="auto"/>
          <w:highlight w:val="none"/>
          <w:u w:val="single"/>
        </w:rPr>
      </w:pPr>
    </w:p>
    <w:p w14:paraId="510DA2BB">
      <w:pPr>
        <w:spacing w:line="360" w:lineRule="auto"/>
        <w:ind w:right="420"/>
        <w:rPr>
          <w:rFonts w:ascii="仿宋" w:hAnsi="仿宋" w:eastAsia="仿宋" w:cs="宋体"/>
          <w:color w:val="auto"/>
          <w:highlight w:val="none"/>
        </w:rPr>
      </w:pPr>
      <w:r>
        <w:rPr>
          <w:rFonts w:hint="eastAsia" w:ascii="仿宋" w:hAnsi="仿宋" w:eastAsia="仿宋" w:cs="宋体"/>
          <w:color w:val="auto"/>
          <w:highlight w:val="none"/>
        </w:rPr>
        <w:t>注：按本格式和要求提供。</w:t>
      </w:r>
    </w:p>
    <w:p w14:paraId="4310A5D2">
      <w:pPr>
        <w:spacing w:line="360" w:lineRule="auto"/>
        <w:jc w:val="center"/>
        <w:rPr>
          <w:rFonts w:ascii="仿宋" w:hAnsi="仿宋" w:eastAsia="仿宋"/>
          <w:b/>
          <w:bCs/>
          <w:color w:val="auto"/>
          <w:spacing w:val="6"/>
          <w:sz w:val="32"/>
          <w:szCs w:val="32"/>
          <w:highlight w:val="none"/>
        </w:rPr>
      </w:pPr>
    </w:p>
    <w:p w14:paraId="745C643A">
      <w:pPr>
        <w:spacing w:line="360" w:lineRule="auto"/>
        <w:rPr>
          <w:rFonts w:ascii="仿宋" w:hAnsi="仿宋" w:eastAsia="仿宋"/>
          <w:b/>
          <w:bCs/>
          <w:color w:val="auto"/>
          <w:spacing w:val="6"/>
          <w:sz w:val="32"/>
          <w:szCs w:val="32"/>
          <w:highlight w:val="none"/>
        </w:rPr>
      </w:pPr>
    </w:p>
    <w:p w14:paraId="6408CA5E">
      <w:pPr>
        <w:spacing w:line="360" w:lineRule="auto"/>
        <w:jc w:val="center"/>
        <w:rPr>
          <w:rFonts w:ascii="仿宋" w:hAnsi="仿宋" w:eastAsia="仿宋"/>
          <w:b/>
          <w:bCs/>
          <w:color w:val="auto"/>
          <w:spacing w:val="6"/>
          <w:sz w:val="32"/>
          <w:szCs w:val="32"/>
          <w:highlight w:val="none"/>
        </w:rPr>
      </w:pPr>
    </w:p>
    <w:p w14:paraId="28337B46">
      <w:pPr>
        <w:spacing w:line="360" w:lineRule="auto"/>
        <w:jc w:val="center"/>
        <w:rPr>
          <w:rFonts w:ascii="仿宋" w:hAnsi="仿宋" w:eastAsia="仿宋"/>
          <w:b/>
          <w:bCs/>
          <w:color w:val="auto"/>
          <w:spacing w:val="6"/>
          <w:sz w:val="32"/>
          <w:szCs w:val="32"/>
          <w:highlight w:val="none"/>
        </w:rPr>
      </w:pPr>
    </w:p>
    <w:p w14:paraId="253D1F35">
      <w:pPr>
        <w:spacing w:line="360" w:lineRule="auto"/>
        <w:jc w:val="center"/>
        <w:rPr>
          <w:rFonts w:ascii="仿宋" w:hAnsi="仿宋" w:eastAsia="仿宋"/>
          <w:b/>
          <w:bCs/>
          <w:color w:val="auto"/>
          <w:spacing w:val="6"/>
          <w:sz w:val="32"/>
          <w:szCs w:val="32"/>
          <w:highlight w:val="none"/>
        </w:rPr>
      </w:pPr>
    </w:p>
    <w:p w14:paraId="0938CCA0">
      <w:pPr>
        <w:spacing w:line="360" w:lineRule="auto"/>
        <w:jc w:val="center"/>
        <w:rPr>
          <w:rFonts w:ascii="仿宋" w:hAnsi="仿宋" w:eastAsia="仿宋"/>
          <w:b/>
          <w:bCs/>
          <w:color w:val="auto"/>
          <w:spacing w:val="6"/>
          <w:sz w:val="32"/>
          <w:szCs w:val="32"/>
          <w:highlight w:val="none"/>
        </w:rPr>
      </w:pPr>
    </w:p>
    <w:p w14:paraId="5CBA057A">
      <w:pPr>
        <w:spacing w:line="360" w:lineRule="auto"/>
        <w:jc w:val="center"/>
        <w:rPr>
          <w:rFonts w:ascii="仿宋" w:hAnsi="仿宋" w:eastAsia="仿宋"/>
          <w:b/>
          <w:bCs/>
          <w:color w:val="auto"/>
          <w:spacing w:val="6"/>
          <w:sz w:val="32"/>
          <w:szCs w:val="32"/>
          <w:highlight w:val="none"/>
        </w:rPr>
      </w:pPr>
    </w:p>
    <w:p w14:paraId="4D6709FC">
      <w:pPr>
        <w:spacing w:line="360" w:lineRule="auto"/>
        <w:jc w:val="center"/>
        <w:rPr>
          <w:rFonts w:ascii="仿宋" w:hAnsi="仿宋" w:eastAsia="仿宋"/>
          <w:b/>
          <w:bCs/>
          <w:color w:val="auto"/>
          <w:spacing w:val="6"/>
          <w:sz w:val="32"/>
          <w:szCs w:val="32"/>
          <w:highlight w:val="none"/>
        </w:rPr>
      </w:pPr>
    </w:p>
    <w:p w14:paraId="32CE5D55">
      <w:pPr>
        <w:spacing w:line="360" w:lineRule="auto"/>
        <w:jc w:val="center"/>
        <w:rPr>
          <w:rFonts w:ascii="仿宋" w:hAnsi="仿宋" w:eastAsia="仿宋"/>
          <w:b/>
          <w:bCs/>
          <w:color w:val="auto"/>
          <w:spacing w:val="6"/>
          <w:sz w:val="32"/>
          <w:szCs w:val="32"/>
          <w:highlight w:val="none"/>
        </w:rPr>
      </w:pPr>
    </w:p>
    <w:p w14:paraId="65E7798A">
      <w:pPr>
        <w:spacing w:line="360" w:lineRule="auto"/>
        <w:jc w:val="center"/>
        <w:rPr>
          <w:rFonts w:ascii="仿宋" w:hAnsi="仿宋" w:eastAsia="仿宋"/>
          <w:b/>
          <w:bCs/>
          <w:color w:val="auto"/>
          <w:spacing w:val="6"/>
          <w:sz w:val="32"/>
          <w:szCs w:val="32"/>
          <w:highlight w:val="none"/>
        </w:rPr>
      </w:pPr>
    </w:p>
    <w:p w14:paraId="604A0C67">
      <w:pPr>
        <w:spacing w:line="360" w:lineRule="auto"/>
        <w:jc w:val="both"/>
        <w:rPr>
          <w:rFonts w:ascii="仿宋" w:hAnsi="仿宋" w:eastAsia="仿宋"/>
          <w:b/>
          <w:bCs/>
          <w:color w:val="auto"/>
          <w:spacing w:val="6"/>
          <w:sz w:val="32"/>
          <w:szCs w:val="32"/>
          <w:highlight w:val="none"/>
        </w:rPr>
      </w:pPr>
    </w:p>
    <w:p w14:paraId="52379343">
      <w:pPr>
        <w:spacing w:line="360" w:lineRule="auto"/>
        <w:jc w:val="both"/>
        <w:rPr>
          <w:rFonts w:ascii="仿宋" w:hAnsi="仿宋" w:eastAsia="仿宋"/>
          <w:b/>
          <w:bCs/>
          <w:color w:val="auto"/>
          <w:spacing w:val="6"/>
          <w:sz w:val="32"/>
          <w:szCs w:val="32"/>
          <w:highlight w:val="none"/>
        </w:rPr>
      </w:pPr>
    </w:p>
    <w:p w14:paraId="2B994221">
      <w:pPr>
        <w:spacing w:line="360" w:lineRule="auto"/>
        <w:jc w:val="center"/>
        <w:rPr>
          <w:rFonts w:hint="eastAsia" w:ascii="仿宋" w:hAnsi="仿宋" w:eastAsia="仿宋"/>
          <w:b/>
          <w:bCs/>
          <w:color w:val="auto"/>
          <w:spacing w:val="6"/>
          <w:sz w:val="32"/>
          <w:szCs w:val="32"/>
          <w:highlight w:val="none"/>
        </w:rPr>
      </w:pPr>
    </w:p>
    <w:p w14:paraId="27E7A2B7">
      <w:pPr>
        <w:spacing w:line="360" w:lineRule="auto"/>
        <w:jc w:val="center"/>
        <w:rPr>
          <w:rFonts w:ascii="仿宋" w:hAnsi="仿宋" w:eastAsia="仿宋"/>
          <w:color w:val="auto"/>
          <w:spacing w:val="6"/>
          <w:sz w:val="32"/>
          <w:szCs w:val="32"/>
          <w:highlight w:val="none"/>
        </w:rPr>
      </w:pPr>
      <w:r>
        <w:rPr>
          <w:rFonts w:hint="eastAsia" w:ascii="仿宋" w:hAnsi="仿宋" w:eastAsia="仿宋"/>
          <w:b/>
          <w:bCs/>
          <w:color w:val="auto"/>
          <w:spacing w:val="6"/>
          <w:sz w:val="32"/>
          <w:szCs w:val="32"/>
          <w:highlight w:val="none"/>
        </w:rPr>
        <w:t>二、评分对应表</w:t>
      </w:r>
    </w:p>
    <w:p w14:paraId="3E39FC2C">
      <w:pPr>
        <w:pStyle w:val="15"/>
        <w:snapToGrid w:val="0"/>
        <w:rPr>
          <w:rFonts w:ascii="仿宋" w:hAnsi="仿宋" w:eastAsia="仿宋"/>
          <w:color w:val="auto"/>
          <w:sz w:val="30"/>
          <w:szCs w:val="30"/>
          <w:highlight w:val="none"/>
          <w:u w:val="single"/>
        </w:rPr>
      </w:pPr>
    </w:p>
    <w:tbl>
      <w:tblPr>
        <w:tblStyle w:val="43"/>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69"/>
        <w:gridCol w:w="2977"/>
        <w:gridCol w:w="2126"/>
      </w:tblGrid>
      <w:tr w14:paraId="2CAC24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969" w:type="dxa"/>
            <w:tcBorders>
              <w:top w:val="single" w:color="auto" w:sz="4" w:space="0"/>
              <w:left w:val="single" w:color="auto" w:sz="4" w:space="0"/>
              <w:bottom w:val="single" w:color="auto" w:sz="4" w:space="0"/>
              <w:right w:val="single" w:color="auto" w:sz="4" w:space="0"/>
            </w:tcBorders>
            <w:vAlign w:val="center"/>
          </w:tcPr>
          <w:p w14:paraId="74788A82">
            <w:pPr>
              <w:snapToGrid w:val="0"/>
              <w:spacing w:beforeLines="50"/>
              <w:jc w:val="center"/>
              <w:rPr>
                <w:rFonts w:ascii="仿宋" w:hAnsi="仿宋" w:eastAsia="仿宋"/>
                <w:color w:val="auto"/>
                <w:highlight w:val="none"/>
              </w:rPr>
            </w:pPr>
            <w:r>
              <w:rPr>
                <w:rFonts w:hint="eastAsia" w:ascii="仿宋" w:hAnsi="仿宋" w:eastAsia="仿宋"/>
                <w:color w:val="auto"/>
                <w:highlight w:val="none"/>
              </w:rPr>
              <w:t>评分项目</w:t>
            </w:r>
          </w:p>
        </w:tc>
        <w:tc>
          <w:tcPr>
            <w:tcW w:w="2977" w:type="dxa"/>
            <w:tcBorders>
              <w:top w:val="single" w:color="auto" w:sz="4" w:space="0"/>
              <w:left w:val="single" w:color="auto" w:sz="4" w:space="0"/>
              <w:bottom w:val="single" w:color="auto" w:sz="4" w:space="0"/>
              <w:right w:val="single" w:color="auto" w:sz="4" w:space="0"/>
            </w:tcBorders>
            <w:vAlign w:val="center"/>
          </w:tcPr>
          <w:p w14:paraId="7ED6763D">
            <w:pPr>
              <w:snapToGrid w:val="0"/>
              <w:spacing w:beforeLines="50"/>
              <w:jc w:val="center"/>
              <w:rPr>
                <w:rFonts w:ascii="仿宋" w:hAnsi="仿宋" w:eastAsia="仿宋"/>
                <w:color w:val="auto"/>
                <w:highlight w:val="none"/>
              </w:rPr>
            </w:pPr>
            <w:r>
              <w:rPr>
                <w:rFonts w:hint="eastAsia" w:ascii="仿宋" w:hAnsi="仿宋" w:eastAsia="仿宋"/>
                <w:color w:val="auto"/>
                <w:highlight w:val="none"/>
              </w:rPr>
              <w:t>投标文件对应资料</w:t>
            </w:r>
          </w:p>
        </w:tc>
        <w:tc>
          <w:tcPr>
            <w:tcW w:w="2126" w:type="dxa"/>
            <w:tcBorders>
              <w:top w:val="single" w:color="auto" w:sz="4" w:space="0"/>
              <w:left w:val="single" w:color="auto" w:sz="4" w:space="0"/>
              <w:bottom w:val="single" w:color="auto" w:sz="4" w:space="0"/>
              <w:right w:val="single" w:color="auto" w:sz="4" w:space="0"/>
            </w:tcBorders>
            <w:vAlign w:val="center"/>
          </w:tcPr>
          <w:p w14:paraId="7AD462F1">
            <w:pPr>
              <w:snapToGrid w:val="0"/>
              <w:spacing w:beforeLines="50"/>
              <w:jc w:val="center"/>
              <w:rPr>
                <w:rFonts w:ascii="仿宋" w:hAnsi="仿宋" w:eastAsia="仿宋"/>
                <w:color w:val="auto"/>
                <w:highlight w:val="none"/>
              </w:rPr>
            </w:pPr>
            <w:r>
              <w:rPr>
                <w:rFonts w:hint="eastAsia" w:ascii="仿宋" w:hAnsi="仿宋" w:eastAsia="仿宋"/>
                <w:color w:val="auto"/>
                <w:highlight w:val="none"/>
              </w:rPr>
              <w:t>投标文件页码</w:t>
            </w:r>
          </w:p>
        </w:tc>
      </w:tr>
      <w:tr w14:paraId="11F12D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2BC5F5AC">
            <w:pPr>
              <w:snapToGrid w:val="0"/>
              <w:rPr>
                <w:rFonts w:ascii="仿宋" w:hAnsi="仿宋" w:eastAsia="仿宋"/>
                <w:color w:val="auto"/>
                <w:highlight w:val="none"/>
              </w:rPr>
            </w:pPr>
            <w:r>
              <w:rPr>
                <w:rFonts w:hint="eastAsia" w:ascii="仿宋" w:hAnsi="仿宋" w:eastAsia="仿宋"/>
                <w:color w:val="auto"/>
                <w:highlight w:val="none"/>
              </w:rPr>
              <w:t>对应第四部分评分办法及评分标准（报价除外）</w:t>
            </w:r>
          </w:p>
        </w:tc>
        <w:tc>
          <w:tcPr>
            <w:tcW w:w="2977" w:type="dxa"/>
            <w:tcBorders>
              <w:top w:val="single" w:color="auto" w:sz="4" w:space="0"/>
              <w:left w:val="single" w:color="auto" w:sz="4" w:space="0"/>
              <w:bottom w:val="single" w:color="auto" w:sz="4" w:space="0"/>
              <w:right w:val="single" w:color="auto" w:sz="4" w:space="0"/>
            </w:tcBorders>
          </w:tcPr>
          <w:p w14:paraId="0548EA70">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21958B29">
            <w:pPr>
              <w:snapToGrid w:val="0"/>
              <w:spacing w:beforeLines="50"/>
              <w:rPr>
                <w:rFonts w:ascii="仿宋" w:hAnsi="仿宋" w:eastAsia="仿宋"/>
                <w:color w:val="auto"/>
                <w:highlight w:val="none"/>
              </w:rPr>
            </w:pPr>
          </w:p>
        </w:tc>
      </w:tr>
      <w:tr w14:paraId="72A48E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vAlign w:val="center"/>
          </w:tcPr>
          <w:p w14:paraId="552007FC">
            <w:pPr>
              <w:snapToGrid w:val="0"/>
              <w:rPr>
                <w:rFonts w:ascii="仿宋" w:hAnsi="仿宋" w:eastAsia="仿宋"/>
                <w:color w:val="auto"/>
                <w:highlight w:val="none"/>
              </w:rPr>
            </w:pPr>
            <w:r>
              <w:rPr>
                <w:rFonts w:hint="eastAsia" w:ascii="仿宋" w:hAnsi="仿宋" w:eastAsia="仿宋"/>
                <w:color w:val="auto"/>
                <w:highlight w:val="none"/>
              </w:rPr>
              <w:t>……</w:t>
            </w:r>
          </w:p>
        </w:tc>
        <w:tc>
          <w:tcPr>
            <w:tcW w:w="2977" w:type="dxa"/>
            <w:tcBorders>
              <w:top w:val="single" w:color="auto" w:sz="4" w:space="0"/>
              <w:left w:val="single" w:color="auto" w:sz="4" w:space="0"/>
              <w:bottom w:val="single" w:color="auto" w:sz="4" w:space="0"/>
              <w:right w:val="single" w:color="auto" w:sz="4" w:space="0"/>
            </w:tcBorders>
          </w:tcPr>
          <w:p w14:paraId="693B3E48">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201FFC69">
            <w:pPr>
              <w:snapToGrid w:val="0"/>
              <w:spacing w:beforeLines="50"/>
              <w:ind w:left="43"/>
              <w:rPr>
                <w:rFonts w:ascii="仿宋" w:hAnsi="仿宋" w:eastAsia="仿宋"/>
                <w:color w:val="auto"/>
                <w:highlight w:val="none"/>
              </w:rPr>
            </w:pPr>
          </w:p>
        </w:tc>
      </w:tr>
      <w:tr w14:paraId="71425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5499D6D0">
            <w:pPr>
              <w:snapToGrid w:val="0"/>
              <w:rPr>
                <w:rFonts w:ascii="仿宋" w:hAnsi="仿宋" w:eastAsia="仿宋"/>
                <w:color w:val="auto"/>
                <w:highlight w:val="none"/>
              </w:rPr>
            </w:pPr>
          </w:p>
        </w:tc>
        <w:tc>
          <w:tcPr>
            <w:tcW w:w="2977" w:type="dxa"/>
            <w:tcBorders>
              <w:top w:val="single" w:color="auto" w:sz="4" w:space="0"/>
              <w:left w:val="single" w:color="auto" w:sz="4" w:space="0"/>
              <w:bottom w:val="single" w:color="auto" w:sz="4" w:space="0"/>
              <w:right w:val="single" w:color="auto" w:sz="4" w:space="0"/>
            </w:tcBorders>
          </w:tcPr>
          <w:p w14:paraId="3D9143CD">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1068A0C6">
            <w:pPr>
              <w:snapToGrid w:val="0"/>
              <w:spacing w:beforeLines="50"/>
              <w:ind w:left="43"/>
              <w:rPr>
                <w:rFonts w:ascii="仿宋" w:hAnsi="仿宋" w:eastAsia="仿宋"/>
                <w:color w:val="auto"/>
                <w:highlight w:val="none"/>
              </w:rPr>
            </w:pPr>
          </w:p>
        </w:tc>
      </w:tr>
      <w:tr w14:paraId="2FB50F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5A3A39C3">
            <w:pPr>
              <w:snapToGrid w:val="0"/>
              <w:rPr>
                <w:rFonts w:ascii="仿宋" w:hAnsi="仿宋" w:eastAsia="仿宋"/>
                <w:color w:val="auto"/>
                <w:highlight w:val="none"/>
              </w:rPr>
            </w:pPr>
          </w:p>
        </w:tc>
        <w:tc>
          <w:tcPr>
            <w:tcW w:w="2977" w:type="dxa"/>
            <w:tcBorders>
              <w:top w:val="single" w:color="auto" w:sz="4" w:space="0"/>
              <w:left w:val="single" w:color="auto" w:sz="4" w:space="0"/>
              <w:bottom w:val="single" w:color="auto" w:sz="4" w:space="0"/>
              <w:right w:val="single" w:color="auto" w:sz="4" w:space="0"/>
            </w:tcBorders>
          </w:tcPr>
          <w:p w14:paraId="1C90CB1C">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2908E4C1">
            <w:pPr>
              <w:snapToGrid w:val="0"/>
              <w:spacing w:beforeLines="50"/>
              <w:ind w:left="43"/>
              <w:rPr>
                <w:rFonts w:ascii="仿宋" w:hAnsi="仿宋" w:eastAsia="仿宋"/>
                <w:color w:val="auto"/>
                <w:highlight w:val="none"/>
              </w:rPr>
            </w:pPr>
          </w:p>
        </w:tc>
      </w:tr>
      <w:tr w14:paraId="5165DA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0C094E28">
            <w:pPr>
              <w:snapToGrid w:val="0"/>
              <w:rPr>
                <w:rFonts w:ascii="仿宋" w:hAnsi="仿宋" w:eastAsia="仿宋"/>
                <w:color w:val="auto"/>
                <w:highlight w:val="none"/>
              </w:rPr>
            </w:pPr>
          </w:p>
        </w:tc>
        <w:tc>
          <w:tcPr>
            <w:tcW w:w="2977" w:type="dxa"/>
            <w:tcBorders>
              <w:top w:val="single" w:color="auto" w:sz="4" w:space="0"/>
              <w:left w:val="single" w:color="auto" w:sz="4" w:space="0"/>
              <w:bottom w:val="single" w:color="auto" w:sz="4" w:space="0"/>
              <w:right w:val="single" w:color="auto" w:sz="4" w:space="0"/>
            </w:tcBorders>
          </w:tcPr>
          <w:p w14:paraId="004A9450">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29842BA9">
            <w:pPr>
              <w:snapToGrid w:val="0"/>
              <w:spacing w:beforeLines="50"/>
              <w:rPr>
                <w:rFonts w:ascii="仿宋" w:hAnsi="仿宋" w:eastAsia="仿宋"/>
                <w:color w:val="auto"/>
                <w:highlight w:val="none"/>
              </w:rPr>
            </w:pPr>
          </w:p>
        </w:tc>
      </w:tr>
      <w:tr w14:paraId="64AD1D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44161BCF">
            <w:pPr>
              <w:snapToGrid w:val="0"/>
              <w:rPr>
                <w:rFonts w:ascii="仿宋" w:hAnsi="仿宋" w:eastAsia="仿宋"/>
                <w:color w:val="auto"/>
                <w:highlight w:val="none"/>
              </w:rPr>
            </w:pPr>
          </w:p>
        </w:tc>
        <w:tc>
          <w:tcPr>
            <w:tcW w:w="2977" w:type="dxa"/>
            <w:tcBorders>
              <w:top w:val="single" w:color="auto" w:sz="4" w:space="0"/>
              <w:left w:val="single" w:color="auto" w:sz="4" w:space="0"/>
              <w:bottom w:val="single" w:color="auto" w:sz="4" w:space="0"/>
              <w:right w:val="single" w:color="auto" w:sz="4" w:space="0"/>
            </w:tcBorders>
          </w:tcPr>
          <w:p w14:paraId="6E4A4D29">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2AF1AF96">
            <w:pPr>
              <w:snapToGrid w:val="0"/>
              <w:spacing w:beforeLines="50"/>
              <w:rPr>
                <w:rFonts w:ascii="仿宋" w:hAnsi="仿宋" w:eastAsia="仿宋"/>
                <w:color w:val="auto"/>
                <w:highlight w:val="none"/>
              </w:rPr>
            </w:pPr>
          </w:p>
        </w:tc>
      </w:tr>
      <w:tr w14:paraId="10EF25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241E5EE9">
            <w:pPr>
              <w:snapToGrid w:val="0"/>
              <w:rPr>
                <w:rFonts w:ascii="仿宋" w:hAnsi="仿宋" w:eastAsia="仿宋"/>
                <w:color w:val="auto"/>
                <w:highlight w:val="none"/>
              </w:rPr>
            </w:pPr>
          </w:p>
        </w:tc>
        <w:tc>
          <w:tcPr>
            <w:tcW w:w="2977" w:type="dxa"/>
            <w:tcBorders>
              <w:top w:val="single" w:color="auto" w:sz="4" w:space="0"/>
              <w:left w:val="single" w:color="auto" w:sz="4" w:space="0"/>
              <w:bottom w:val="single" w:color="auto" w:sz="4" w:space="0"/>
              <w:right w:val="single" w:color="auto" w:sz="4" w:space="0"/>
            </w:tcBorders>
          </w:tcPr>
          <w:p w14:paraId="26BA6105">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66448579">
            <w:pPr>
              <w:snapToGrid w:val="0"/>
              <w:spacing w:beforeLines="50"/>
              <w:rPr>
                <w:rFonts w:ascii="仿宋" w:hAnsi="仿宋" w:eastAsia="仿宋"/>
                <w:color w:val="auto"/>
                <w:highlight w:val="none"/>
              </w:rPr>
            </w:pPr>
          </w:p>
        </w:tc>
      </w:tr>
      <w:tr w14:paraId="72422A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50C5FD2D">
            <w:pPr>
              <w:snapToGrid w:val="0"/>
              <w:rPr>
                <w:rFonts w:ascii="仿宋" w:hAnsi="仿宋" w:eastAsia="仿宋"/>
                <w:color w:val="auto"/>
                <w:highlight w:val="none"/>
              </w:rPr>
            </w:pPr>
          </w:p>
        </w:tc>
        <w:tc>
          <w:tcPr>
            <w:tcW w:w="2977" w:type="dxa"/>
            <w:tcBorders>
              <w:top w:val="single" w:color="auto" w:sz="4" w:space="0"/>
              <w:left w:val="single" w:color="auto" w:sz="4" w:space="0"/>
              <w:bottom w:val="single" w:color="auto" w:sz="4" w:space="0"/>
              <w:right w:val="single" w:color="auto" w:sz="4" w:space="0"/>
            </w:tcBorders>
          </w:tcPr>
          <w:p w14:paraId="095D1A2B">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5C869467">
            <w:pPr>
              <w:snapToGrid w:val="0"/>
              <w:spacing w:beforeLines="50"/>
              <w:rPr>
                <w:rFonts w:ascii="仿宋" w:hAnsi="仿宋" w:eastAsia="仿宋"/>
                <w:color w:val="auto"/>
                <w:highlight w:val="none"/>
              </w:rPr>
            </w:pPr>
          </w:p>
        </w:tc>
      </w:tr>
      <w:tr w14:paraId="7651E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tcPr>
          <w:p w14:paraId="38113318">
            <w:pPr>
              <w:snapToGrid w:val="0"/>
              <w:rPr>
                <w:rFonts w:ascii="仿宋" w:hAnsi="仿宋" w:eastAsia="仿宋"/>
                <w:color w:val="auto"/>
                <w:highlight w:val="none"/>
              </w:rPr>
            </w:pPr>
          </w:p>
        </w:tc>
        <w:tc>
          <w:tcPr>
            <w:tcW w:w="2977" w:type="dxa"/>
            <w:tcBorders>
              <w:top w:val="single" w:color="auto" w:sz="4" w:space="0"/>
              <w:left w:val="single" w:color="auto" w:sz="4" w:space="0"/>
              <w:bottom w:val="single" w:color="auto" w:sz="4" w:space="0"/>
              <w:right w:val="single" w:color="auto" w:sz="4" w:space="0"/>
            </w:tcBorders>
          </w:tcPr>
          <w:p w14:paraId="254B376C">
            <w:pPr>
              <w:snapToGrid w:val="0"/>
              <w:spacing w:beforeLines="50"/>
              <w:rPr>
                <w:rFonts w:ascii="仿宋" w:hAnsi="仿宋" w:eastAsia="仿宋"/>
                <w:color w:val="auto"/>
                <w:highlight w:val="none"/>
              </w:rPr>
            </w:pPr>
          </w:p>
        </w:tc>
        <w:tc>
          <w:tcPr>
            <w:tcW w:w="2126" w:type="dxa"/>
            <w:tcBorders>
              <w:top w:val="single" w:color="auto" w:sz="4" w:space="0"/>
              <w:left w:val="single" w:color="auto" w:sz="4" w:space="0"/>
              <w:bottom w:val="single" w:color="auto" w:sz="4" w:space="0"/>
              <w:right w:val="single" w:color="auto" w:sz="4" w:space="0"/>
            </w:tcBorders>
          </w:tcPr>
          <w:p w14:paraId="55351508">
            <w:pPr>
              <w:snapToGrid w:val="0"/>
              <w:spacing w:beforeLines="50"/>
              <w:rPr>
                <w:rFonts w:ascii="仿宋" w:hAnsi="仿宋" w:eastAsia="仿宋"/>
                <w:color w:val="auto"/>
                <w:highlight w:val="none"/>
              </w:rPr>
            </w:pPr>
          </w:p>
        </w:tc>
      </w:tr>
    </w:tbl>
    <w:p w14:paraId="7CA78E6A">
      <w:pPr>
        <w:snapToGrid w:val="0"/>
        <w:spacing w:beforeLines="50"/>
        <w:rPr>
          <w:rFonts w:ascii="仿宋" w:hAnsi="仿宋" w:eastAsia="仿宋" w:cs="仿宋_GB2312"/>
          <w:b/>
          <w:color w:val="auto"/>
          <w:highlight w:val="none"/>
        </w:rPr>
      </w:pPr>
      <w:r>
        <w:rPr>
          <w:rFonts w:hint="eastAsia" w:ascii="仿宋" w:hAnsi="仿宋" w:eastAsia="仿宋" w:cs="仿宋_GB2312"/>
          <w:b/>
          <w:color w:val="auto"/>
          <w:highlight w:val="none"/>
        </w:rPr>
        <w:t>注：如果本项目评标办法采用综合评审法，需在商务技术文件中提供此评分对应表。</w:t>
      </w:r>
    </w:p>
    <w:p w14:paraId="6992FC78">
      <w:pPr>
        <w:snapToGrid w:val="0"/>
        <w:spacing w:beforeLines="50"/>
        <w:rPr>
          <w:rFonts w:ascii="仿宋" w:hAnsi="仿宋" w:eastAsia="仿宋"/>
          <w:color w:val="auto"/>
          <w:sz w:val="30"/>
          <w:szCs w:val="30"/>
          <w:highlight w:val="none"/>
        </w:rPr>
      </w:pPr>
    </w:p>
    <w:p w14:paraId="58812AB8">
      <w:pPr>
        <w:autoSpaceDE w:val="0"/>
        <w:autoSpaceDN w:val="0"/>
        <w:spacing w:line="360" w:lineRule="auto"/>
        <w:ind w:firstLine="4560" w:firstLineChars="1900"/>
        <w:rPr>
          <w:rFonts w:ascii="仿宋" w:hAnsi="仿宋" w:eastAsia="仿宋" w:cs="仿宋_GB2312"/>
          <w:color w:val="auto"/>
          <w:highlight w:val="none"/>
        </w:rPr>
      </w:pPr>
      <w:r>
        <w:rPr>
          <w:rFonts w:hint="eastAsia" w:ascii="仿宋" w:hAnsi="仿宋" w:eastAsia="仿宋" w:cs="仿宋_GB2312"/>
          <w:color w:val="auto"/>
          <w:highlight w:val="none"/>
        </w:rPr>
        <w:t>投标人名称（</w:t>
      </w:r>
      <w:r>
        <w:rPr>
          <w:rFonts w:hint="eastAsia" w:ascii="仿宋" w:hAnsi="仿宋" w:eastAsia="仿宋" w:cs="仿宋_GB2312"/>
          <w:color w:val="auto"/>
          <w:highlight w:val="none"/>
          <w:lang w:val="zh-CN"/>
        </w:rPr>
        <w:t>电子签名</w:t>
      </w:r>
      <w:r>
        <w:rPr>
          <w:rFonts w:hint="eastAsia" w:ascii="仿宋" w:hAnsi="仿宋" w:eastAsia="仿宋" w:cs="仿宋_GB2312"/>
          <w:color w:val="auto"/>
          <w:highlight w:val="none"/>
        </w:rPr>
        <w:t>）：</w:t>
      </w:r>
    </w:p>
    <w:p w14:paraId="6ADB8B3F">
      <w:pPr>
        <w:snapToGrid w:val="0"/>
        <w:spacing w:before="50" w:after="50"/>
        <w:rPr>
          <w:rFonts w:ascii="仿宋" w:hAnsi="仿宋" w:eastAsia="仿宋" w:cs="仿宋_GB2312"/>
          <w:color w:val="auto"/>
          <w:highlight w:val="none"/>
        </w:rPr>
      </w:pPr>
      <w:r>
        <w:rPr>
          <w:rFonts w:hint="eastAsia" w:ascii="仿宋" w:hAnsi="仿宋" w:eastAsia="仿宋" w:cs="仿宋_GB2312"/>
          <w:color w:val="auto"/>
          <w:highlight w:val="none"/>
        </w:rPr>
        <w:t xml:space="preserve">                                       日期：  年  月   日</w:t>
      </w:r>
    </w:p>
    <w:p w14:paraId="09841D4D">
      <w:pPr>
        <w:spacing w:line="360" w:lineRule="auto"/>
        <w:rPr>
          <w:rFonts w:ascii="仿宋" w:hAnsi="仿宋" w:eastAsia="仿宋" w:cs="仿宋_GB2312"/>
          <w:b/>
          <w:bCs/>
          <w:color w:val="auto"/>
          <w:sz w:val="32"/>
          <w:szCs w:val="32"/>
          <w:highlight w:val="none"/>
        </w:rPr>
        <w:sectPr>
          <w:pgSz w:w="11906" w:h="16838"/>
          <w:pgMar w:top="1247" w:right="1418" w:bottom="1276" w:left="1418" w:header="851" w:footer="992" w:gutter="0"/>
          <w:cols w:space="720" w:num="1"/>
          <w:titlePg/>
          <w:docGrid w:linePitch="312" w:charSpace="0"/>
        </w:sectPr>
      </w:pPr>
    </w:p>
    <w:p w14:paraId="3004AF9A">
      <w:pPr>
        <w:spacing w:line="360" w:lineRule="auto"/>
        <w:jc w:val="center"/>
        <w:rPr>
          <w:rFonts w:hint="eastAsia" w:ascii="仿宋" w:hAnsi="仿宋" w:eastAsia="仿宋"/>
          <w:b/>
          <w:bCs/>
          <w:color w:val="auto"/>
          <w:spacing w:val="6"/>
          <w:sz w:val="32"/>
          <w:szCs w:val="32"/>
          <w:highlight w:val="none"/>
        </w:rPr>
      </w:pPr>
      <w:r>
        <w:rPr>
          <w:rFonts w:hint="eastAsia" w:ascii="仿宋" w:hAnsi="仿宋" w:eastAsia="仿宋"/>
          <w:b/>
          <w:bCs/>
          <w:color w:val="auto"/>
          <w:spacing w:val="6"/>
          <w:sz w:val="32"/>
          <w:szCs w:val="32"/>
          <w:highlight w:val="none"/>
        </w:rPr>
        <w:t>三、投标产品规格配置清单</w:t>
      </w:r>
    </w:p>
    <w:p w14:paraId="6D9126E6">
      <w:pPr>
        <w:snapToGrid w:val="0"/>
        <w:spacing w:beforeLines="50"/>
        <w:rPr>
          <w:rFonts w:ascii="仿宋" w:hAnsi="仿宋" w:eastAsia="仿宋"/>
          <w:color w:val="auto"/>
          <w:highlight w:val="none"/>
        </w:rPr>
      </w:pPr>
    </w:p>
    <w:tbl>
      <w:tblPr>
        <w:tblStyle w:val="43"/>
        <w:tblW w:w="907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9"/>
        <w:gridCol w:w="1230"/>
        <w:gridCol w:w="755"/>
        <w:gridCol w:w="992"/>
        <w:gridCol w:w="993"/>
        <w:gridCol w:w="1275"/>
        <w:gridCol w:w="1134"/>
        <w:gridCol w:w="2268"/>
      </w:tblGrid>
      <w:tr w14:paraId="3FB59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left w:val="single" w:color="auto" w:sz="4" w:space="0"/>
              <w:bottom w:val="single" w:color="auto" w:sz="4" w:space="0"/>
              <w:right w:val="single" w:color="auto" w:sz="4" w:space="0"/>
            </w:tcBorders>
            <w:vAlign w:val="center"/>
          </w:tcPr>
          <w:p w14:paraId="6AF8F5E5">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序号</w:t>
            </w:r>
          </w:p>
        </w:tc>
        <w:tc>
          <w:tcPr>
            <w:tcW w:w="1230" w:type="dxa"/>
            <w:tcBorders>
              <w:top w:val="single" w:color="auto" w:sz="4" w:space="0"/>
              <w:left w:val="single" w:color="auto" w:sz="4" w:space="0"/>
              <w:bottom w:val="single" w:color="auto" w:sz="4" w:space="0"/>
              <w:right w:val="single" w:color="auto" w:sz="4" w:space="0"/>
            </w:tcBorders>
            <w:vAlign w:val="center"/>
          </w:tcPr>
          <w:p w14:paraId="77F6AFB0">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货物名称</w:t>
            </w:r>
          </w:p>
        </w:tc>
        <w:tc>
          <w:tcPr>
            <w:tcW w:w="755" w:type="dxa"/>
            <w:tcBorders>
              <w:top w:val="single" w:color="auto" w:sz="4" w:space="0"/>
              <w:left w:val="single" w:color="auto" w:sz="4" w:space="0"/>
              <w:bottom w:val="single" w:color="auto" w:sz="4" w:space="0"/>
              <w:right w:val="single" w:color="auto" w:sz="4" w:space="0"/>
            </w:tcBorders>
            <w:vAlign w:val="center"/>
          </w:tcPr>
          <w:p w14:paraId="3054C6A3">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品牌</w:t>
            </w:r>
          </w:p>
        </w:tc>
        <w:tc>
          <w:tcPr>
            <w:tcW w:w="992" w:type="dxa"/>
            <w:tcBorders>
              <w:top w:val="single" w:color="auto" w:sz="4" w:space="0"/>
              <w:left w:val="single" w:color="auto" w:sz="4" w:space="0"/>
              <w:bottom w:val="single" w:color="auto" w:sz="4" w:space="0"/>
              <w:right w:val="single" w:color="auto" w:sz="4" w:space="0"/>
            </w:tcBorders>
            <w:vAlign w:val="center"/>
          </w:tcPr>
          <w:p w14:paraId="306156A2">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制造商</w:t>
            </w:r>
          </w:p>
        </w:tc>
        <w:tc>
          <w:tcPr>
            <w:tcW w:w="993" w:type="dxa"/>
            <w:tcBorders>
              <w:top w:val="single" w:color="auto" w:sz="4" w:space="0"/>
              <w:left w:val="single" w:color="auto" w:sz="4" w:space="0"/>
              <w:bottom w:val="single" w:color="auto" w:sz="4" w:space="0"/>
              <w:right w:val="single" w:color="auto" w:sz="4" w:space="0"/>
            </w:tcBorders>
            <w:vAlign w:val="center"/>
          </w:tcPr>
          <w:p w14:paraId="5D3325E7">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产地（国产/进口）</w:t>
            </w:r>
          </w:p>
        </w:tc>
        <w:tc>
          <w:tcPr>
            <w:tcW w:w="1275" w:type="dxa"/>
            <w:tcBorders>
              <w:top w:val="single" w:color="auto" w:sz="4" w:space="0"/>
              <w:left w:val="single" w:color="auto" w:sz="4" w:space="0"/>
              <w:bottom w:val="single" w:color="auto" w:sz="4" w:space="0"/>
              <w:right w:val="single" w:color="auto" w:sz="4" w:space="0"/>
            </w:tcBorders>
            <w:vAlign w:val="center"/>
          </w:tcPr>
          <w:p w14:paraId="0AC5132F">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规格型号</w:t>
            </w:r>
          </w:p>
        </w:tc>
        <w:tc>
          <w:tcPr>
            <w:tcW w:w="1134" w:type="dxa"/>
            <w:tcBorders>
              <w:top w:val="single" w:color="auto" w:sz="4" w:space="0"/>
              <w:left w:val="single" w:color="auto" w:sz="4" w:space="0"/>
              <w:bottom w:val="single" w:color="auto" w:sz="4" w:space="0"/>
              <w:right w:val="single" w:color="auto" w:sz="4" w:space="0"/>
            </w:tcBorders>
            <w:vAlign w:val="center"/>
          </w:tcPr>
          <w:p w14:paraId="5D57A63F">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数量及单位</w:t>
            </w:r>
          </w:p>
        </w:tc>
        <w:tc>
          <w:tcPr>
            <w:tcW w:w="2268" w:type="dxa"/>
            <w:tcBorders>
              <w:top w:val="single" w:color="auto" w:sz="4" w:space="0"/>
              <w:left w:val="single" w:color="auto" w:sz="4" w:space="0"/>
              <w:bottom w:val="single" w:color="auto" w:sz="4" w:space="0"/>
              <w:right w:val="single" w:color="auto" w:sz="4" w:space="0"/>
            </w:tcBorders>
            <w:vAlign w:val="center"/>
          </w:tcPr>
          <w:p w14:paraId="794CF6FB">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性能及指标</w:t>
            </w:r>
          </w:p>
        </w:tc>
      </w:tr>
      <w:tr w14:paraId="672217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left w:val="single" w:color="auto" w:sz="4" w:space="0"/>
              <w:bottom w:val="single" w:color="auto" w:sz="4" w:space="0"/>
              <w:right w:val="single" w:color="auto" w:sz="4" w:space="0"/>
            </w:tcBorders>
            <w:vAlign w:val="center"/>
          </w:tcPr>
          <w:p w14:paraId="21A2D607">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1</w:t>
            </w:r>
          </w:p>
        </w:tc>
        <w:tc>
          <w:tcPr>
            <w:tcW w:w="1230" w:type="dxa"/>
            <w:tcBorders>
              <w:top w:val="single" w:color="auto" w:sz="4" w:space="0"/>
              <w:left w:val="single" w:color="auto" w:sz="4" w:space="0"/>
              <w:bottom w:val="single" w:color="auto" w:sz="4" w:space="0"/>
              <w:right w:val="single" w:color="auto" w:sz="4" w:space="0"/>
            </w:tcBorders>
            <w:vAlign w:val="center"/>
          </w:tcPr>
          <w:p w14:paraId="5FE75B9B">
            <w:pPr>
              <w:snapToGrid w:val="0"/>
              <w:spacing w:before="50" w:after="50"/>
              <w:jc w:val="center"/>
              <w:rPr>
                <w:rFonts w:ascii="仿宋" w:hAnsi="仿宋" w:eastAsia="仿宋"/>
                <w:color w:val="auto"/>
                <w:highlight w:val="none"/>
              </w:rPr>
            </w:pPr>
          </w:p>
        </w:tc>
        <w:tc>
          <w:tcPr>
            <w:tcW w:w="755" w:type="dxa"/>
            <w:tcBorders>
              <w:top w:val="single" w:color="auto" w:sz="4" w:space="0"/>
              <w:left w:val="single" w:color="auto" w:sz="4" w:space="0"/>
              <w:bottom w:val="single" w:color="auto" w:sz="4" w:space="0"/>
              <w:right w:val="single" w:color="auto" w:sz="4" w:space="0"/>
            </w:tcBorders>
            <w:vAlign w:val="center"/>
          </w:tcPr>
          <w:p w14:paraId="372E0FF7">
            <w:pPr>
              <w:snapToGrid w:val="0"/>
              <w:spacing w:before="50" w:after="50"/>
              <w:jc w:val="center"/>
              <w:rPr>
                <w:rFonts w:ascii="仿宋" w:hAnsi="仿宋" w:eastAsia="仿宋"/>
                <w:color w:val="auto"/>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4686771A">
            <w:pPr>
              <w:snapToGrid w:val="0"/>
              <w:spacing w:before="50" w:after="50"/>
              <w:jc w:val="center"/>
              <w:rPr>
                <w:rFonts w:ascii="仿宋" w:hAnsi="仿宋" w:eastAsia="仿宋"/>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14:paraId="2C40A5E1">
            <w:pPr>
              <w:snapToGrid w:val="0"/>
              <w:spacing w:before="50" w:after="50"/>
              <w:jc w:val="center"/>
              <w:rPr>
                <w:rFonts w:ascii="仿宋" w:hAnsi="仿宋" w:eastAsia="仿宋"/>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2A6A80D6">
            <w:pPr>
              <w:snapToGrid w:val="0"/>
              <w:spacing w:before="50" w:after="50"/>
              <w:jc w:val="center"/>
              <w:rPr>
                <w:rFonts w:ascii="仿宋" w:hAnsi="仿宋" w:eastAsia="仿宋"/>
                <w:color w:val="auto"/>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7AD76343">
            <w:pPr>
              <w:snapToGrid w:val="0"/>
              <w:spacing w:before="50" w:after="50"/>
              <w:jc w:val="center"/>
              <w:rPr>
                <w:rFonts w:ascii="仿宋" w:hAnsi="仿宋" w:eastAsia="仿宋"/>
                <w:color w:val="auto"/>
                <w:highlight w:val="none"/>
              </w:rPr>
            </w:pPr>
          </w:p>
        </w:tc>
        <w:tc>
          <w:tcPr>
            <w:tcW w:w="2268" w:type="dxa"/>
            <w:tcBorders>
              <w:top w:val="single" w:color="auto" w:sz="4" w:space="0"/>
              <w:left w:val="single" w:color="auto" w:sz="4" w:space="0"/>
              <w:bottom w:val="single" w:color="auto" w:sz="4" w:space="0"/>
              <w:right w:val="single" w:color="auto" w:sz="4" w:space="0"/>
            </w:tcBorders>
            <w:vAlign w:val="center"/>
          </w:tcPr>
          <w:p w14:paraId="35C962B9">
            <w:pPr>
              <w:snapToGrid w:val="0"/>
              <w:spacing w:before="50" w:after="50"/>
              <w:jc w:val="center"/>
              <w:rPr>
                <w:rFonts w:ascii="仿宋" w:hAnsi="仿宋" w:eastAsia="仿宋"/>
                <w:color w:val="auto"/>
                <w:highlight w:val="none"/>
              </w:rPr>
            </w:pPr>
          </w:p>
        </w:tc>
      </w:tr>
      <w:tr w14:paraId="09FA25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left w:val="single" w:color="auto" w:sz="4" w:space="0"/>
              <w:bottom w:val="single" w:color="auto" w:sz="4" w:space="0"/>
              <w:right w:val="single" w:color="auto" w:sz="4" w:space="0"/>
            </w:tcBorders>
            <w:vAlign w:val="center"/>
          </w:tcPr>
          <w:p w14:paraId="6EBE370B">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2</w:t>
            </w:r>
          </w:p>
        </w:tc>
        <w:tc>
          <w:tcPr>
            <w:tcW w:w="1230" w:type="dxa"/>
            <w:tcBorders>
              <w:top w:val="single" w:color="auto" w:sz="4" w:space="0"/>
              <w:left w:val="single" w:color="auto" w:sz="4" w:space="0"/>
              <w:bottom w:val="single" w:color="auto" w:sz="4" w:space="0"/>
              <w:right w:val="single" w:color="auto" w:sz="4" w:space="0"/>
            </w:tcBorders>
            <w:vAlign w:val="center"/>
          </w:tcPr>
          <w:p w14:paraId="4A96799A">
            <w:pPr>
              <w:snapToGrid w:val="0"/>
              <w:spacing w:before="50" w:after="50"/>
              <w:jc w:val="center"/>
              <w:rPr>
                <w:rFonts w:ascii="仿宋" w:hAnsi="仿宋" w:eastAsia="仿宋"/>
                <w:color w:val="auto"/>
                <w:highlight w:val="none"/>
              </w:rPr>
            </w:pPr>
          </w:p>
        </w:tc>
        <w:tc>
          <w:tcPr>
            <w:tcW w:w="755" w:type="dxa"/>
            <w:tcBorders>
              <w:top w:val="single" w:color="auto" w:sz="4" w:space="0"/>
              <w:left w:val="single" w:color="auto" w:sz="4" w:space="0"/>
              <w:bottom w:val="single" w:color="auto" w:sz="4" w:space="0"/>
              <w:right w:val="single" w:color="auto" w:sz="4" w:space="0"/>
            </w:tcBorders>
            <w:vAlign w:val="center"/>
          </w:tcPr>
          <w:p w14:paraId="0FF7E04C">
            <w:pPr>
              <w:snapToGrid w:val="0"/>
              <w:spacing w:before="50" w:after="50"/>
              <w:jc w:val="center"/>
              <w:rPr>
                <w:rFonts w:ascii="仿宋" w:hAnsi="仿宋" w:eastAsia="仿宋"/>
                <w:color w:val="auto"/>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0E8F7439">
            <w:pPr>
              <w:snapToGrid w:val="0"/>
              <w:spacing w:before="50" w:after="50"/>
              <w:jc w:val="center"/>
              <w:rPr>
                <w:rFonts w:ascii="仿宋" w:hAnsi="仿宋" w:eastAsia="仿宋"/>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14:paraId="22862AFD">
            <w:pPr>
              <w:snapToGrid w:val="0"/>
              <w:spacing w:before="50" w:after="50"/>
              <w:jc w:val="center"/>
              <w:rPr>
                <w:rFonts w:ascii="仿宋" w:hAnsi="仿宋" w:eastAsia="仿宋"/>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41B8DD69">
            <w:pPr>
              <w:snapToGrid w:val="0"/>
              <w:spacing w:before="50" w:after="50"/>
              <w:jc w:val="center"/>
              <w:rPr>
                <w:rFonts w:ascii="仿宋" w:hAnsi="仿宋" w:eastAsia="仿宋"/>
                <w:color w:val="auto"/>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763589F5">
            <w:pPr>
              <w:snapToGrid w:val="0"/>
              <w:spacing w:before="50" w:after="50"/>
              <w:jc w:val="center"/>
              <w:rPr>
                <w:rFonts w:ascii="仿宋" w:hAnsi="仿宋" w:eastAsia="仿宋"/>
                <w:color w:val="auto"/>
                <w:highlight w:val="none"/>
              </w:rPr>
            </w:pPr>
          </w:p>
        </w:tc>
        <w:tc>
          <w:tcPr>
            <w:tcW w:w="2268" w:type="dxa"/>
            <w:tcBorders>
              <w:top w:val="single" w:color="auto" w:sz="4" w:space="0"/>
              <w:left w:val="single" w:color="auto" w:sz="4" w:space="0"/>
              <w:bottom w:val="single" w:color="auto" w:sz="4" w:space="0"/>
              <w:right w:val="single" w:color="auto" w:sz="4" w:space="0"/>
            </w:tcBorders>
            <w:vAlign w:val="center"/>
          </w:tcPr>
          <w:p w14:paraId="361E870B">
            <w:pPr>
              <w:snapToGrid w:val="0"/>
              <w:spacing w:before="50" w:after="50"/>
              <w:jc w:val="center"/>
              <w:rPr>
                <w:rFonts w:ascii="仿宋" w:hAnsi="仿宋" w:eastAsia="仿宋"/>
                <w:color w:val="auto"/>
                <w:highlight w:val="none"/>
              </w:rPr>
            </w:pPr>
          </w:p>
        </w:tc>
      </w:tr>
      <w:tr w14:paraId="025DD5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left w:val="single" w:color="auto" w:sz="4" w:space="0"/>
              <w:bottom w:val="single" w:color="auto" w:sz="4" w:space="0"/>
              <w:right w:val="single" w:color="auto" w:sz="4" w:space="0"/>
            </w:tcBorders>
            <w:vAlign w:val="center"/>
          </w:tcPr>
          <w:p w14:paraId="599F163D">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3</w:t>
            </w:r>
          </w:p>
        </w:tc>
        <w:tc>
          <w:tcPr>
            <w:tcW w:w="1230" w:type="dxa"/>
            <w:tcBorders>
              <w:top w:val="single" w:color="auto" w:sz="4" w:space="0"/>
              <w:left w:val="single" w:color="auto" w:sz="4" w:space="0"/>
              <w:bottom w:val="single" w:color="auto" w:sz="4" w:space="0"/>
              <w:right w:val="single" w:color="auto" w:sz="4" w:space="0"/>
            </w:tcBorders>
            <w:vAlign w:val="center"/>
          </w:tcPr>
          <w:p w14:paraId="48ACEF3E">
            <w:pPr>
              <w:snapToGrid w:val="0"/>
              <w:spacing w:before="50" w:after="50"/>
              <w:jc w:val="center"/>
              <w:rPr>
                <w:rFonts w:ascii="仿宋" w:hAnsi="仿宋" w:eastAsia="仿宋"/>
                <w:color w:val="auto"/>
                <w:highlight w:val="none"/>
              </w:rPr>
            </w:pPr>
          </w:p>
        </w:tc>
        <w:tc>
          <w:tcPr>
            <w:tcW w:w="755" w:type="dxa"/>
            <w:tcBorders>
              <w:top w:val="single" w:color="auto" w:sz="4" w:space="0"/>
              <w:left w:val="single" w:color="auto" w:sz="4" w:space="0"/>
              <w:bottom w:val="single" w:color="auto" w:sz="4" w:space="0"/>
              <w:right w:val="single" w:color="auto" w:sz="4" w:space="0"/>
            </w:tcBorders>
            <w:vAlign w:val="center"/>
          </w:tcPr>
          <w:p w14:paraId="20B7A6A2">
            <w:pPr>
              <w:snapToGrid w:val="0"/>
              <w:spacing w:before="50" w:after="50"/>
              <w:jc w:val="center"/>
              <w:rPr>
                <w:rFonts w:ascii="仿宋" w:hAnsi="仿宋" w:eastAsia="仿宋"/>
                <w:color w:val="auto"/>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7AE610D4">
            <w:pPr>
              <w:snapToGrid w:val="0"/>
              <w:spacing w:before="50" w:after="50"/>
              <w:jc w:val="center"/>
              <w:rPr>
                <w:rFonts w:ascii="仿宋" w:hAnsi="仿宋" w:eastAsia="仿宋"/>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14:paraId="3975651B">
            <w:pPr>
              <w:snapToGrid w:val="0"/>
              <w:spacing w:before="50" w:after="50"/>
              <w:jc w:val="center"/>
              <w:rPr>
                <w:rFonts w:ascii="仿宋" w:hAnsi="仿宋" w:eastAsia="仿宋"/>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4E722204">
            <w:pPr>
              <w:snapToGrid w:val="0"/>
              <w:spacing w:before="50" w:after="50"/>
              <w:jc w:val="center"/>
              <w:rPr>
                <w:rFonts w:ascii="仿宋" w:hAnsi="仿宋" w:eastAsia="仿宋"/>
                <w:color w:val="auto"/>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51F586BD">
            <w:pPr>
              <w:snapToGrid w:val="0"/>
              <w:spacing w:before="50" w:after="50"/>
              <w:jc w:val="center"/>
              <w:rPr>
                <w:rFonts w:ascii="仿宋" w:hAnsi="仿宋" w:eastAsia="仿宋"/>
                <w:color w:val="auto"/>
                <w:highlight w:val="none"/>
              </w:rPr>
            </w:pPr>
          </w:p>
        </w:tc>
        <w:tc>
          <w:tcPr>
            <w:tcW w:w="2268" w:type="dxa"/>
            <w:tcBorders>
              <w:top w:val="single" w:color="auto" w:sz="4" w:space="0"/>
              <w:left w:val="single" w:color="auto" w:sz="4" w:space="0"/>
              <w:bottom w:val="single" w:color="auto" w:sz="4" w:space="0"/>
              <w:right w:val="single" w:color="auto" w:sz="4" w:space="0"/>
            </w:tcBorders>
            <w:vAlign w:val="center"/>
          </w:tcPr>
          <w:p w14:paraId="28F90365">
            <w:pPr>
              <w:snapToGrid w:val="0"/>
              <w:spacing w:before="50" w:after="50"/>
              <w:jc w:val="center"/>
              <w:rPr>
                <w:rFonts w:ascii="仿宋" w:hAnsi="仿宋" w:eastAsia="仿宋"/>
                <w:color w:val="auto"/>
                <w:highlight w:val="none"/>
              </w:rPr>
            </w:pPr>
          </w:p>
        </w:tc>
      </w:tr>
      <w:tr w14:paraId="2AF7D6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left w:val="single" w:color="auto" w:sz="4" w:space="0"/>
              <w:bottom w:val="single" w:color="auto" w:sz="4" w:space="0"/>
              <w:right w:val="single" w:color="auto" w:sz="4" w:space="0"/>
            </w:tcBorders>
            <w:vAlign w:val="center"/>
          </w:tcPr>
          <w:p w14:paraId="2728773F">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w:t>
            </w:r>
          </w:p>
        </w:tc>
        <w:tc>
          <w:tcPr>
            <w:tcW w:w="1230" w:type="dxa"/>
            <w:tcBorders>
              <w:top w:val="single" w:color="auto" w:sz="4" w:space="0"/>
              <w:left w:val="single" w:color="auto" w:sz="4" w:space="0"/>
              <w:bottom w:val="single" w:color="auto" w:sz="4" w:space="0"/>
              <w:right w:val="single" w:color="auto" w:sz="4" w:space="0"/>
            </w:tcBorders>
            <w:vAlign w:val="center"/>
          </w:tcPr>
          <w:p w14:paraId="26DF8774">
            <w:pPr>
              <w:snapToGrid w:val="0"/>
              <w:spacing w:before="50" w:after="50"/>
              <w:jc w:val="center"/>
              <w:rPr>
                <w:rFonts w:ascii="仿宋" w:hAnsi="仿宋" w:eastAsia="仿宋"/>
                <w:color w:val="auto"/>
                <w:highlight w:val="none"/>
              </w:rPr>
            </w:pPr>
          </w:p>
        </w:tc>
        <w:tc>
          <w:tcPr>
            <w:tcW w:w="755" w:type="dxa"/>
            <w:tcBorders>
              <w:top w:val="single" w:color="auto" w:sz="4" w:space="0"/>
              <w:left w:val="single" w:color="auto" w:sz="4" w:space="0"/>
              <w:bottom w:val="single" w:color="auto" w:sz="4" w:space="0"/>
              <w:right w:val="single" w:color="auto" w:sz="4" w:space="0"/>
            </w:tcBorders>
            <w:vAlign w:val="center"/>
          </w:tcPr>
          <w:p w14:paraId="1B6DB1C0">
            <w:pPr>
              <w:snapToGrid w:val="0"/>
              <w:spacing w:before="50" w:after="50"/>
              <w:jc w:val="center"/>
              <w:rPr>
                <w:rFonts w:ascii="仿宋" w:hAnsi="仿宋" w:eastAsia="仿宋"/>
                <w:color w:val="auto"/>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3ACEC551">
            <w:pPr>
              <w:snapToGrid w:val="0"/>
              <w:spacing w:before="50" w:after="50"/>
              <w:jc w:val="center"/>
              <w:rPr>
                <w:rFonts w:ascii="仿宋" w:hAnsi="仿宋" w:eastAsia="仿宋"/>
                <w:color w:val="auto"/>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14:paraId="315E065C">
            <w:pPr>
              <w:snapToGrid w:val="0"/>
              <w:spacing w:before="50" w:after="50"/>
              <w:jc w:val="center"/>
              <w:rPr>
                <w:rFonts w:ascii="仿宋" w:hAnsi="仿宋" w:eastAsia="仿宋"/>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74E32216">
            <w:pPr>
              <w:snapToGrid w:val="0"/>
              <w:spacing w:before="50" w:after="50"/>
              <w:jc w:val="center"/>
              <w:rPr>
                <w:rFonts w:ascii="仿宋" w:hAnsi="仿宋" w:eastAsia="仿宋"/>
                <w:color w:val="auto"/>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E126C49">
            <w:pPr>
              <w:snapToGrid w:val="0"/>
              <w:spacing w:before="50" w:after="50"/>
              <w:jc w:val="center"/>
              <w:rPr>
                <w:rFonts w:ascii="仿宋" w:hAnsi="仿宋" w:eastAsia="仿宋"/>
                <w:color w:val="auto"/>
                <w:highlight w:val="none"/>
              </w:rPr>
            </w:pPr>
          </w:p>
        </w:tc>
        <w:tc>
          <w:tcPr>
            <w:tcW w:w="2268" w:type="dxa"/>
            <w:tcBorders>
              <w:top w:val="single" w:color="auto" w:sz="4" w:space="0"/>
              <w:left w:val="single" w:color="auto" w:sz="4" w:space="0"/>
              <w:bottom w:val="single" w:color="auto" w:sz="4" w:space="0"/>
              <w:right w:val="single" w:color="auto" w:sz="4" w:space="0"/>
            </w:tcBorders>
            <w:vAlign w:val="center"/>
          </w:tcPr>
          <w:p w14:paraId="79C16B48">
            <w:pPr>
              <w:snapToGrid w:val="0"/>
              <w:spacing w:before="50" w:after="50"/>
              <w:jc w:val="center"/>
              <w:rPr>
                <w:rFonts w:ascii="仿宋" w:hAnsi="仿宋" w:eastAsia="仿宋"/>
                <w:color w:val="auto"/>
                <w:highlight w:val="none"/>
              </w:rPr>
            </w:pPr>
          </w:p>
        </w:tc>
      </w:tr>
    </w:tbl>
    <w:p w14:paraId="58A0AAFD">
      <w:pPr>
        <w:snapToGrid w:val="0"/>
        <w:spacing w:beforeLines="50"/>
        <w:rPr>
          <w:rFonts w:ascii="仿宋" w:hAnsi="仿宋" w:eastAsia="仿宋" w:cs="仿宋_GB2312"/>
          <w:b/>
          <w:color w:val="auto"/>
          <w:highlight w:val="none"/>
        </w:rPr>
      </w:pPr>
      <w:r>
        <w:rPr>
          <w:rFonts w:hint="eastAsia" w:ascii="仿宋" w:hAnsi="仿宋" w:eastAsia="仿宋" w:cs="仿宋_GB2312"/>
          <w:b/>
          <w:color w:val="auto"/>
          <w:highlight w:val="none"/>
        </w:rPr>
        <w:t>注：如果本项目涉及硬件设备采购，须在商务技术文件中提供此配置清单。</w:t>
      </w:r>
    </w:p>
    <w:p w14:paraId="27B70BEE">
      <w:pPr>
        <w:snapToGrid w:val="0"/>
        <w:spacing w:beforeLines="50"/>
        <w:rPr>
          <w:rFonts w:ascii="仿宋" w:hAnsi="仿宋" w:eastAsia="仿宋"/>
          <w:color w:val="auto"/>
          <w:sz w:val="30"/>
          <w:szCs w:val="30"/>
          <w:highlight w:val="none"/>
        </w:rPr>
      </w:pPr>
    </w:p>
    <w:p w14:paraId="70AED79F">
      <w:pPr>
        <w:autoSpaceDE w:val="0"/>
        <w:autoSpaceDN w:val="0"/>
        <w:spacing w:line="360" w:lineRule="auto"/>
        <w:ind w:firstLine="4560" w:firstLineChars="1900"/>
        <w:rPr>
          <w:rFonts w:ascii="仿宋" w:hAnsi="仿宋" w:eastAsia="仿宋" w:cs="仿宋_GB2312"/>
          <w:color w:val="auto"/>
          <w:highlight w:val="none"/>
        </w:rPr>
      </w:pPr>
      <w:r>
        <w:rPr>
          <w:rFonts w:hint="eastAsia" w:ascii="仿宋" w:hAnsi="仿宋" w:eastAsia="仿宋" w:cs="仿宋_GB2312"/>
          <w:color w:val="auto"/>
          <w:highlight w:val="none"/>
        </w:rPr>
        <w:t>投标人名称（</w:t>
      </w:r>
      <w:r>
        <w:rPr>
          <w:rFonts w:hint="eastAsia" w:ascii="仿宋" w:hAnsi="仿宋" w:eastAsia="仿宋" w:cs="仿宋_GB2312"/>
          <w:color w:val="auto"/>
          <w:highlight w:val="none"/>
          <w:lang w:val="zh-CN"/>
        </w:rPr>
        <w:t>电子签名</w:t>
      </w:r>
      <w:r>
        <w:rPr>
          <w:rFonts w:hint="eastAsia" w:ascii="仿宋" w:hAnsi="仿宋" w:eastAsia="仿宋" w:cs="仿宋_GB2312"/>
          <w:color w:val="auto"/>
          <w:highlight w:val="none"/>
        </w:rPr>
        <w:t>）：</w:t>
      </w:r>
    </w:p>
    <w:p w14:paraId="2EEF866D">
      <w:pPr>
        <w:snapToGrid w:val="0"/>
        <w:spacing w:before="50" w:after="50"/>
        <w:rPr>
          <w:rFonts w:ascii="仿宋" w:hAnsi="仿宋" w:eastAsia="仿宋" w:cs="仿宋_GB2312"/>
          <w:color w:val="auto"/>
          <w:highlight w:val="none"/>
        </w:rPr>
      </w:pPr>
      <w:r>
        <w:rPr>
          <w:rFonts w:hint="eastAsia" w:ascii="仿宋" w:hAnsi="仿宋" w:eastAsia="仿宋" w:cs="仿宋_GB2312"/>
          <w:color w:val="auto"/>
          <w:highlight w:val="none"/>
        </w:rPr>
        <w:t xml:space="preserve">                                       日期：  年  月   日</w:t>
      </w:r>
    </w:p>
    <w:p w14:paraId="15A5432C">
      <w:pPr>
        <w:snapToGrid w:val="0"/>
        <w:spacing w:before="50" w:after="50"/>
        <w:rPr>
          <w:rFonts w:ascii="仿宋" w:hAnsi="仿宋" w:eastAsia="仿宋" w:cs="仿宋_GB2312"/>
          <w:color w:val="auto"/>
          <w:highlight w:val="none"/>
        </w:rPr>
      </w:pPr>
    </w:p>
    <w:p w14:paraId="097D2D28">
      <w:pPr>
        <w:snapToGrid w:val="0"/>
        <w:spacing w:before="50" w:after="50"/>
        <w:rPr>
          <w:rFonts w:ascii="仿宋" w:hAnsi="仿宋" w:eastAsia="仿宋" w:cs="仿宋_GB2312"/>
          <w:color w:val="auto"/>
          <w:highlight w:val="none"/>
        </w:rPr>
      </w:pPr>
    </w:p>
    <w:p w14:paraId="1DB44AB4">
      <w:pPr>
        <w:snapToGrid w:val="0"/>
        <w:spacing w:before="50" w:after="50"/>
        <w:rPr>
          <w:rFonts w:ascii="仿宋" w:hAnsi="仿宋" w:eastAsia="仿宋" w:cs="仿宋_GB2312"/>
          <w:color w:val="auto"/>
          <w:highlight w:val="none"/>
        </w:rPr>
      </w:pPr>
    </w:p>
    <w:p w14:paraId="59865F72">
      <w:pPr>
        <w:snapToGrid w:val="0"/>
        <w:spacing w:before="50" w:after="50"/>
        <w:rPr>
          <w:rFonts w:ascii="仿宋" w:hAnsi="仿宋" w:eastAsia="仿宋" w:cs="仿宋_GB2312"/>
          <w:color w:val="auto"/>
          <w:highlight w:val="none"/>
        </w:rPr>
      </w:pPr>
    </w:p>
    <w:p w14:paraId="5A2608A3">
      <w:pPr>
        <w:snapToGrid w:val="0"/>
        <w:spacing w:before="50" w:after="50"/>
        <w:rPr>
          <w:rFonts w:ascii="仿宋" w:hAnsi="仿宋" w:eastAsia="仿宋" w:cs="仿宋_GB2312"/>
          <w:color w:val="auto"/>
          <w:highlight w:val="none"/>
        </w:rPr>
      </w:pPr>
    </w:p>
    <w:p w14:paraId="4E3B2868">
      <w:pPr>
        <w:snapToGrid w:val="0"/>
        <w:spacing w:before="50" w:after="50"/>
        <w:rPr>
          <w:rFonts w:ascii="仿宋" w:hAnsi="仿宋" w:eastAsia="仿宋" w:cs="仿宋_GB2312"/>
          <w:color w:val="auto"/>
          <w:highlight w:val="none"/>
        </w:rPr>
      </w:pPr>
    </w:p>
    <w:p w14:paraId="5AF56CCC">
      <w:pPr>
        <w:snapToGrid w:val="0"/>
        <w:spacing w:before="50" w:after="50"/>
        <w:rPr>
          <w:rFonts w:ascii="仿宋" w:hAnsi="仿宋" w:eastAsia="仿宋" w:cs="仿宋_GB2312"/>
          <w:color w:val="auto"/>
          <w:highlight w:val="none"/>
        </w:rPr>
      </w:pPr>
    </w:p>
    <w:p w14:paraId="0844CD1B">
      <w:pPr>
        <w:snapToGrid w:val="0"/>
        <w:spacing w:before="50" w:after="50"/>
        <w:rPr>
          <w:rFonts w:ascii="仿宋" w:hAnsi="仿宋" w:eastAsia="仿宋" w:cs="仿宋_GB2312"/>
          <w:color w:val="auto"/>
          <w:highlight w:val="none"/>
        </w:rPr>
      </w:pPr>
    </w:p>
    <w:p w14:paraId="0CF82F39">
      <w:pPr>
        <w:snapToGrid w:val="0"/>
        <w:spacing w:before="50" w:after="50"/>
        <w:rPr>
          <w:rFonts w:ascii="仿宋" w:hAnsi="仿宋" w:eastAsia="仿宋" w:cs="仿宋_GB2312"/>
          <w:color w:val="auto"/>
          <w:highlight w:val="none"/>
        </w:rPr>
      </w:pPr>
    </w:p>
    <w:p w14:paraId="169E2B9B">
      <w:pPr>
        <w:snapToGrid w:val="0"/>
        <w:spacing w:before="50" w:after="50"/>
        <w:rPr>
          <w:rFonts w:ascii="仿宋" w:hAnsi="仿宋" w:eastAsia="仿宋" w:cs="仿宋_GB2312"/>
          <w:color w:val="auto"/>
          <w:highlight w:val="none"/>
        </w:rPr>
      </w:pPr>
    </w:p>
    <w:p w14:paraId="5F5FE036">
      <w:pPr>
        <w:snapToGrid w:val="0"/>
        <w:spacing w:before="50" w:after="50"/>
        <w:rPr>
          <w:rFonts w:ascii="Arial" w:hAnsi="Arial" w:eastAsia="黑体" w:cs="Arial"/>
          <w:b/>
          <w:bCs/>
          <w:snapToGrid w:val="0"/>
          <w:color w:val="auto"/>
          <w:sz w:val="28"/>
          <w:szCs w:val="21"/>
          <w:highlight w:val="none"/>
        </w:rPr>
      </w:pPr>
    </w:p>
    <w:p w14:paraId="523164E3">
      <w:pPr>
        <w:snapToGrid w:val="0"/>
        <w:spacing w:before="50" w:after="50"/>
        <w:jc w:val="center"/>
        <w:rPr>
          <w:rFonts w:ascii="仿宋" w:hAnsi="仿宋" w:eastAsia="仿宋"/>
          <w:b/>
          <w:bCs/>
          <w:color w:val="auto"/>
          <w:spacing w:val="6"/>
          <w:sz w:val="32"/>
          <w:szCs w:val="32"/>
          <w:highlight w:val="none"/>
        </w:rPr>
      </w:pPr>
      <w:r>
        <w:rPr>
          <w:rFonts w:ascii="仿宋" w:hAnsi="仿宋" w:eastAsia="仿宋"/>
          <w:b/>
          <w:bCs/>
          <w:color w:val="auto"/>
          <w:spacing w:val="6"/>
          <w:sz w:val="32"/>
          <w:szCs w:val="32"/>
          <w:highlight w:val="none"/>
        </w:rPr>
        <w:br w:type="page"/>
      </w:r>
      <w:r>
        <w:rPr>
          <w:rFonts w:hint="eastAsia" w:ascii="仿宋" w:hAnsi="仿宋" w:eastAsia="仿宋"/>
          <w:b/>
          <w:bCs/>
          <w:color w:val="auto"/>
          <w:spacing w:val="6"/>
          <w:sz w:val="32"/>
          <w:szCs w:val="32"/>
          <w:highlight w:val="none"/>
        </w:rPr>
        <w:t>四、技术响应表</w:t>
      </w:r>
    </w:p>
    <w:p w14:paraId="76EEDF38">
      <w:pPr>
        <w:jc w:val="center"/>
        <w:rPr>
          <w:rFonts w:ascii="Arial" w:hAnsi="Arial" w:eastAsia="黑体" w:cs="Arial"/>
          <w:snapToGrid w:val="0"/>
          <w:color w:val="auto"/>
          <w:szCs w:val="21"/>
          <w:highlight w:val="none"/>
        </w:rPr>
      </w:pPr>
    </w:p>
    <w:tbl>
      <w:tblPr>
        <w:tblStyle w:val="43"/>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7"/>
        <w:gridCol w:w="1711"/>
        <w:gridCol w:w="2697"/>
        <w:gridCol w:w="2552"/>
        <w:gridCol w:w="1275"/>
      </w:tblGrid>
      <w:tr w14:paraId="109B08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37" w:type="dxa"/>
            <w:tcBorders>
              <w:top w:val="single" w:color="auto" w:sz="4" w:space="0"/>
              <w:left w:val="single" w:color="auto" w:sz="4" w:space="0"/>
              <w:bottom w:val="single" w:color="auto" w:sz="4" w:space="0"/>
              <w:right w:val="single" w:color="auto" w:sz="4" w:space="0"/>
            </w:tcBorders>
            <w:vAlign w:val="center"/>
          </w:tcPr>
          <w:p w14:paraId="2C87A928">
            <w:pPr>
              <w:snapToGrid w:val="0"/>
              <w:spacing w:before="50" w:after="50"/>
              <w:jc w:val="center"/>
              <w:rPr>
                <w:rFonts w:ascii="仿宋" w:hAnsi="仿宋" w:eastAsia="仿宋"/>
                <w:color w:val="auto"/>
                <w:highlight w:val="none"/>
              </w:rPr>
            </w:pPr>
            <w:bookmarkStart w:id="443" w:name="_Toc64369808"/>
            <w:r>
              <w:rPr>
                <w:rFonts w:hint="eastAsia" w:ascii="仿宋" w:hAnsi="仿宋" w:eastAsia="仿宋"/>
                <w:color w:val="auto"/>
                <w:highlight w:val="none"/>
              </w:rPr>
              <w:t>序号</w:t>
            </w:r>
            <w:bookmarkEnd w:id="443"/>
          </w:p>
        </w:tc>
        <w:tc>
          <w:tcPr>
            <w:tcW w:w="1711" w:type="dxa"/>
            <w:tcBorders>
              <w:top w:val="single" w:color="auto" w:sz="4" w:space="0"/>
              <w:left w:val="single" w:color="auto" w:sz="4" w:space="0"/>
              <w:bottom w:val="single" w:color="auto" w:sz="4" w:space="0"/>
              <w:right w:val="single" w:color="auto" w:sz="4" w:space="0"/>
            </w:tcBorders>
            <w:vAlign w:val="center"/>
          </w:tcPr>
          <w:p w14:paraId="5EA03B3B">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服务名称</w:t>
            </w:r>
          </w:p>
        </w:tc>
        <w:tc>
          <w:tcPr>
            <w:tcW w:w="2697" w:type="dxa"/>
            <w:tcBorders>
              <w:top w:val="single" w:color="auto" w:sz="4" w:space="0"/>
              <w:left w:val="single" w:color="auto" w:sz="4" w:space="0"/>
              <w:bottom w:val="single" w:color="auto" w:sz="4" w:space="0"/>
              <w:right w:val="single" w:color="auto" w:sz="4" w:space="0"/>
            </w:tcBorders>
            <w:vAlign w:val="center"/>
          </w:tcPr>
          <w:p w14:paraId="488468EE">
            <w:pPr>
              <w:snapToGrid w:val="0"/>
              <w:spacing w:before="50" w:after="50"/>
              <w:jc w:val="center"/>
              <w:rPr>
                <w:rFonts w:ascii="仿宋" w:hAnsi="仿宋" w:eastAsia="仿宋"/>
                <w:color w:val="auto"/>
                <w:highlight w:val="none"/>
              </w:rPr>
            </w:pPr>
            <w:bookmarkStart w:id="444" w:name="_Toc64369809"/>
            <w:bookmarkStart w:id="445" w:name="_Toc64369810"/>
            <w:r>
              <w:rPr>
                <w:rFonts w:hint="eastAsia" w:ascii="仿宋" w:hAnsi="仿宋" w:eastAsia="仿宋"/>
                <w:color w:val="auto"/>
                <w:highlight w:val="none"/>
              </w:rPr>
              <w:t>采购文件</w:t>
            </w:r>
          </w:p>
          <w:p w14:paraId="3684DB8D">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要求</w:t>
            </w:r>
            <w:bookmarkEnd w:id="444"/>
          </w:p>
        </w:tc>
        <w:tc>
          <w:tcPr>
            <w:tcW w:w="2552" w:type="dxa"/>
            <w:tcBorders>
              <w:top w:val="single" w:color="auto" w:sz="4" w:space="0"/>
              <w:left w:val="single" w:color="auto" w:sz="4" w:space="0"/>
              <w:bottom w:val="single" w:color="auto" w:sz="4" w:space="0"/>
              <w:right w:val="single" w:color="auto" w:sz="4" w:space="0"/>
            </w:tcBorders>
            <w:vAlign w:val="center"/>
          </w:tcPr>
          <w:p w14:paraId="627296D2">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投标文件</w:t>
            </w:r>
          </w:p>
          <w:p w14:paraId="0BDDFB65">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响应</w:t>
            </w:r>
            <w:bookmarkEnd w:id="445"/>
          </w:p>
        </w:tc>
        <w:tc>
          <w:tcPr>
            <w:tcW w:w="1275" w:type="dxa"/>
            <w:tcBorders>
              <w:top w:val="single" w:color="auto" w:sz="4" w:space="0"/>
              <w:left w:val="single" w:color="auto" w:sz="4" w:space="0"/>
              <w:bottom w:val="single" w:color="auto" w:sz="4" w:space="0"/>
              <w:right w:val="single" w:color="auto" w:sz="4" w:space="0"/>
            </w:tcBorders>
            <w:vAlign w:val="center"/>
          </w:tcPr>
          <w:p w14:paraId="54DC08D8">
            <w:pPr>
              <w:snapToGrid w:val="0"/>
              <w:spacing w:before="50" w:after="50"/>
              <w:jc w:val="center"/>
              <w:rPr>
                <w:rFonts w:ascii="仿宋" w:hAnsi="仿宋" w:eastAsia="仿宋"/>
                <w:color w:val="auto"/>
                <w:highlight w:val="none"/>
              </w:rPr>
            </w:pPr>
            <w:bookmarkStart w:id="446" w:name="_Toc64369811"/>
            <w:r>
              <w:rPr>
                <w:rFonts w:hint="eastAsia" w:ascii="仿宋" w:hAnsi="仿宋" w:eastAsia="仿宋"/>
                <w:color w:val="auto"/>
                <w:highlight w:val="none"/>
              </w:rPr>
              <w:t>偏离</w:t>
            </w:r>
          </w:p>
          <w:p w14:paraId="511E7E11">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情况</w:t>
            </w:r>
            <w:bookmarkEnd w:id="446"/>
          </w:p>
        </w:tc>
      </w:tr>
      <w:tr w14:paraId="4CA3BF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37" w:type="dxa"/>
            <w:tcBorders>
              <w:top w:val="single" w:color="auto" w:sz="4" w:space="0"/>
              <w:left w:val="single" w:color="auto" w:sz="4" w:space="0"/>
              <w:bottom w:val="single" w:color="auto" w:sz="4" w:space="0"/>
              <w:right w:val="single" w:color="auto" w:sz="4" w:space="0"/>
            </w:tcBorders>
            <w:vAlign w:val="center"/>
          </w:tcPr>
          <w:p w14:paraId="6463C791">
            <w:pPr>
              <w:snapToGrid w:val="0"/>
              <w:spacing w:before="50" w:after="50"/>
              <w:jc w:val="center"/>
              <w:rPr>
                <w:rFonts w:ascii="仿宋" w:hAnsi="仿宋" w:eastAsia="仿宋"/>
                <w:color w:val="auto"/>
                <w:highlight w:val="none"/>
              </w:rPr>
            </w:pPr>
            <w:bookmarkStart w:id="447" w:name="_Toc64369812"/>
            <w:r>
              <w:rPr>
                <w:rFonts w:hint="eastAsia" w:ascii="仿宋" w:hAnsi="仿宋" w:eastAsia="仿宋"/>
                <w:color w:val="auto"/>
                <w:highlight w:val="none"/>
              </w:rPr>
              <w:t>1</w:t>
            </w:r>
            <w:bookmarkEnd w:id="447"/>
          </w:p>
        </w:tc>
        <w:tc>
          <w:tcPr>
            <w:tcW w:w="1711" w:type="dxa"/>
            <w:tcBorders>
              <w:top w:val="single" w:color="auto" w:sz="4" w:space="0"/>
              <w:left w:val="single" w:color="auto" w:sz="4" w:space="0"/>
              <w:bottom w:val="single" w:color="auto" w:sz="4" w:space="0"/>
              <w:right w:val="single" w:color="auto" w:sz="4" w:space="0"/>
            </w:tcBorders>
            <w:vAlign w:val="center"/>
          </w:tcPr>
          <w:p w14:paraId="37C31AE4">
            <w:pPr>
              <w:snapToGrid w:val="0"/>
              <w:spacing w:before="50" w:after="50"/>
              <w:jc w:val="center"/>
              <w:rPr>
                <w:rFonts w:ascii="仿宋" w:hAnsi="仿宋" w:eastAsia="仿宋"/>
                <w:color w:val="auto"/>
                <w:highlight w:val="none"/>
              </w:rPr>
            </w:pPr>
          </w:p>
        </w:tc>
        <w:tc>
          <w:tcPr>
            <w:tcW w:w="2697" w:type="dxa"/>
            <w:tcBorders>
              <w:top w:val="single" w:color="auto" w:sz="4" w:space="0"/>
              <w:left w:val="single" w:color="auto" w:sz="4" w:space="0"/>
              <w:bottom w:val="single" w:color="auto" w:sz="4" w:space="0"/>
              <w:right w:val="single" w:color="auto" w:sz="4" w:space="0"/>
            </w:tcBorders>
            <w:vAlign w:val="center"/>
          </w:tcPr>
          <w:p w14:paraId="7979C553">
            <w:pPr>
              <w:snapToGrid w:val="0"/>
              <w:spacing w:before="50" w:after="50"/>
              <w:jc w:val="center"/>
              <w:rPr>
                <w:rFonts w:ascii="仿宋" w:hAnsi="仿宋" w:eastAsia="仿宋"/>
                <w:color w:val="auto"/>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5E0DD97A">
            <w:pPr>
              <w:snapToGrid w:val="0"/>
              <w:spacing w:before="50" w:after="50"/>
              <w:jc w:val="center"/>
              <w:rPr>
                <w:rFonts w:ascii="仿宋" w:hAnsi="仿宋" w:eastAsia="仿宋"/>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0A8332E1">
            <w:pPr>
              <w:snapToGrid w:val="0"/>
              <w:spacing w:before="50" w:after="50"/>
              <w:jc w:val="center"/>
              <w:rPr>
                <w:rFonts w:ascii="仿宋" w:hAnsi="仿宋" w:eastAsia="仿宋"/>
                <w:color w:val="auto"/>
                <w:highlight w:val="none"/>
              </w:rPr>
            </w:pPr>
          </w:p>
        </w:tc>
      </w:tr>
      <w:tr w14:paraId="4B62A9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837" w:type="dxa"/>
            <w:tcBorders>
              <w:top w:val="single" w:color="auto" w:sz="4" w:space="0"/>
              <w:left w:val="single" w:color="auto" w:sz="4" w:space="0"/>
              <w:bottom w:val="single" w:color="auto" w:sz="4" w:space="0"/>
              <w:right w:val="single" w:color="auto" w:sz="4" w:space="0"/>
            </w:tcBorders>
            <w:vAlign w:val="center"/>
          </w:tcPr>
          <w:p w14:paraId="43EFCE79">
            <w:pPr>
              <w:snapToGrid w:val="0"/>
              <w:spacing w:before="50" w:after="50"/>
              <w:jc w:val="center"/>
              <w:rPr>
                <w:rFonts w:ascii="仿宋" w:hAnsi="仿宋" w:eastAsia="仿宋"/>
                <w:color w:val="auto"/>
                <w:highlight w:val="none"/>
              </w:rPr>
            </w:pPr>
            <w:bookmarkStart w:id="448" w:name="_Toc64369813"/>
            <w:r>
              <w:rPr>
                <w:rFonts w:hint="eastAsia" w:ascii="仿宋" w:hAnsi="仿宋" w:eastAsia="仿宋"/>
                <w:color w:val="auto"/>
                <w:highlight w:val="none"/>
              </w:rPr>
              <w:t>2</w:t>
            </w:r>
            <w:bookmarkEnd w:id="448"/>
          </w:p>
        </w:tc>
        <w:tc>
          <w:tcPr>
            <w:tcW w:w="1711" w:type="dxa"/>
            <w:tcBorders>
              <w:top w:val="single" w:color="auto" w:sz="4" w:space="0"/>
              <w:left w:val="single" w:color="auto" w:sz="4" w:space="0"/>
              <w:bottom w:val="single" w:color="auto" w:sz="4" w:space="0"/>
              <w:right w:val="single" w:color="auto" w:sz="4" w:space="0"/>
            </w:tcBorders>
            <w:vAlign w:val="center"/>
          </w:tcPr>
          <w:p w14:paraId="180C3133">
            <w:pPr>
              <w:snapToGrid w:val="0"/>
              <w:spacing w:before="50" w:after="50"/>
              <w:jc w:val="center"/>
              <w:rPr>
                <w:rFonts w:ascii="仿宋" w:hAnsi="仿宋" w:eastAsia="仿宋"/>
                <w:color w:val="auto"/>
                <w:highlight w:val="none"/>
              </w:rPr>
            </w:pPr>
          </w:p>
        </w:tc>
        <w:tc>
          <w:tcPr>
            <w:tcW w:w="2697" w:type="dxa"/>
            <w:tcBorders>
              <w:top w:val="single" w:color="auto" w:sz="4" w:space="0"/>
              <w:left w:val="single" w:color="auto" w:sz="4" w:space="0"/>
              <w:bottom w:val="single" w:color="auto" w:sz="4" w:space="0"/>
              <w:right w:val="single" w:color="auto" w:sz="4" w:space="0"/>
            </w:tcBorders>
            <w:vAlign w:val="center"/>
          </w:tcPr>
          <w:p w14:paraId="7C9D4950">
            <w:pPr>
              <w:snapToGrid w:val="0"/>
              <w:spacing w:before="50" w:after="50"/>
              <w:jc w:val="center"/>
              <w:rPr>
                <w:rFonts w:ascii="仿宋" w:hAnsi="仿宋" w:eastAsia="仿宋"/>
                <w:color w:val="auto"/>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5749EFF">
            <w:pPr>
              <w:snapToGrid w:val="0"/>
              <w:spacing w:before="50" w:after="50"/>
              <w:jc w:val="center"/>
              <w:rPr>
                <w:rFonts w:ascii="仿宋" w:hAnsi="仿宋" w:eastAsia="仿宋"/>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329FC052">
            <w:pPr>
              <w:snapToGrid w:val="0"/>
              <w:spacing w:before="50" w:after="50"/>
              <w:jc w:val="center"/>
              <w:rPr>
                <w:rFonts w:ascii="仿宋" w:hAnsi="仿宋" w:eastAsia="仿宋"/>
                <w:color w:val="auto"/>
                <w:highlight w:val="none"/>
              </w:rPr>
            </w:pPr>
          </w:p>
        </w:tc>
      </w:tr>
      <w:tr w14:paraId="66444E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37" w:type="dxa"/>
            <w:tcBorders>
              <w:top w:val="single" w:color="auto" w:sz="4" w:space="0"/>
              <w:left w:val="single" w:color="auto" w:sz="4" w:space="0"/>
              <w:bottom w:val="single" w:color="auto" w:sz="4" w:space="0"/>
              <w:right w:val="single" w:color="auto" w:sz="4" w:space="0"/>
            </w:tcBorders>
            <w:vAlign w:val="center"/>
          </w:tcPr>
          <w:p w14:paraId="6B2EE774">
            <w:pPr>
              <w:snapToGrid w:val="0"/>
              <w:spacing w:before="50" w:after="50"/>
              <w:jc w:val="center"/>
              <w:rPr>
                <w:rFonts w:ascii="仿宋" w:hAnsi="仿宋" w:eastAsia="仿宋"/>
                <w:color w:val="auto"/>
                <w:highlight w:val="none"/>
              </w:rPr>
            </w:pPr>
            <w:bookmarkStart w:id="449" w:name="_Toc64369814"/>
            <w:r>
              <w:rPr>
                <w:rFonts w:hint="eastAsia" w:ascii="仿宋" w:hAnsi="仿宋" w:eastAsia="仿宋"/>
                <w:color w:val="auto"/>
                <w:highlight w:val="none"/>
              </w:rPr>
              <w:t>…</w:t>
            </w:r>
            <w:bookmarkEnd w:id="449"/>
          </w:p>
        </w:tc>
        <w:tc>
          <w:tcPr>
            <w:tcW w:w="1711" w:type="dxa"/>
            <w:tcBorders>
              <w:top w:val="single" w:color="auto" w:sz="4" w:space="0"/>
              <w:left w:val="single" w:color="auto" w:sz="4" w:space="0"/>
              <w:bottom w:val="single" w:color="auto" w:sz="4" w:space="0"/>
              <w:right w:val="single" w:color="auto" w:sz="4" w:space="0"/>
            </w:tcBorders>
            <w:vAlign w:val="center"/>
          </w:tcPr>
          <w:p w14:paraId="07F0EC85">
            <w:pPr>
              <w:snapToGrid w:val="0"/>
              <w:spacing w:before="50" w:after="50"/>
              <w:jc w:val="center"/>
              <w:rPr>
                <w:rFonts w:ascii="仿宋" w:hAnsi="仿宋" w:eastAsia="仿宋"/>
                <w:color w:val="auto"/>
                <w:highlight w:val="none"/>
              </w:rPr>
            </w:pPr>
          </w:p>
        </w:tc>
        <w:tc>
          <w:tcPr>
            <w:tcW w:w="2697" w:type="dxa"/>
            <w:tcBorders>
              <w:top w:val="single" w:color="auto" w:sz="4" w:space="0"/>
              <w:left w:val="single" w:color="auto" w:sz="4" w:space="0"/>
              <w:bottom w:val="single" w:color="auto" w:sz="4" w:space="0"/>
              <w:right w:val="single" w:color="auto" w:sz="4" w:space="0"/>
            </w:tcBorders>
            <w:vAlign w:val="center"/>
          </w:tcPr>
          <w:p w14:paraId="7EA21542">
            <w:pPr>
              <w:snapToGrid w:val="0"/>
              <w:spacing w:before="50" w:after="50"/>
              <w:jc w:val="center"/>
              <w:rPr>
                <w:rFonts w:ascii="仿宋" w:hAnsi="仿宋" w:eastAsia="仿宋"/>
                <w:color w:val="auto"/>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1F66E8E">
            <w:pPr>
              <w:snapToGrid w:val="0"/>
              <w:spacing w:before="50" w:after="50"/>
              <w:jc w:val="center"/>
              <w:rPr>
                <w:rFonts w:ascii="仿宋" w:hAnsi="仿宋" w:eastAsia="仿宋"/>
                <w:color w:val="auto"/>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75FAC792">
            <w:pPr>
              <w:snapToGrid w:val="0"/>
              <w:spacing w:before="50" w:after="50"/>
              <w:jc w:val="center"/>
              <w:rPr>
                <w:rFonts w:ascii="仿宋" w:hAnsi="仿宋" w:eastAsia="仿宋"/>
                <w:color w:val="auto"/>
                <w:highlight w:val="none"/>
              </w:rPr>
            </w:pPr>
          </w:p>
        </w:tc>
      </w:tr>
    </w:tbl>
    <w:p w14:paraId="1B96B0BB">
      <w:pPr>
        <w:snapToGrid w:val="0"/>
        <w:spacing w:beforeLines="50"/>
        <w:rPr>
          <w:rFonts w:ascii="仿宋" w:hAnsi="仿宋" w:eastAsia="仿宋" w:cs="仿宋_GB2312"/>
          <w:color w:val="auto"/>
          <w:highlight w:val="none"/>
        </w:rPr>
      </w:pPr>
      <w:r>
        <w:rPr>
          <w:rFonts w:hint="eastAsia" w:ascii="仿宋" w:hAnsi="仿宋" w:eastAsia="仿宋" w:cs="仿宋_GB2312"/>
          <w:color w:val="auto"/>
          <w:highlight w:val="none"/>
        </w:rPr>
        <w:t>注：投标人应对照招标文件要求和投标文件响应情况在“偏离情况”栏注明“正偏离”、“负偏离”或“无偏离”。</w:t>
      </w:r>
    </w:p>
    <w:p w14:paraId="1A6CDB4D">
      <w:pPr>
        <w:snapToGrid w:val="0"/>
        <w:spacing w:beforeLines="50"/>
        <w:rPr>
          <w:rFonts w:ascii="仿宋" w:hAnsi="仿宋" w:eastAsia="仿宋" w:cs="仿宋_GB2312"/>
          <w:color w:val="auto"/>
          <w:highlight w:val="none"/>
        </w:rPr>
      </w:pPr>
    </w:p>
    <w:p w14:paraId="654D80C4">
      <w:pPr>
        <w:snapToGrid w:val="0"/>
        <w:spacing w:beforeLines="50"/>
        <w:rPr>
          <w:rFonts w:ascii="仿宋" w:hAnsi="仿宋" w:eastAsia="仿宋" w:cs="仿宋_GB2312"/>
          <w:color w:val="auto"/>
          <w:highlight w:val="none"/>
        </w:rPr>
      </w:pPr>
    </w:p>
    <w:p w14:paraId="7240CB61">
      <w:pPr>
        <w:snapToGrid w:val="0"/>
        <w:spacing w:beforeLines="50"/>
        <w:rPr>
          <w:rFonts w:ascii="仿宋" w:hAnsi="仿宋" w:eastAsia="仿宋" w:cs="仿宋_GB2312"/>
          <w:color w:val="auto"/>
          <w:highlight w:val="none"/>
        </w:rPr>
      </w:pPr>
    </w:p>
    <w:p w14:paraId="69578007">
      <w:pPr>
        <w:snapToGrid w:val="0"/>
        <w:spacing w:beforeLines="50"/>
        <w:rPr>
          <w:rFonts w:ascii="仿宋" w:hAnsi="仿宋" w:eastAsia="仿宋" w:cs="仿宋_GB2312"/>
          <w:color w:val="auto"/>
          <w:highlight w:val="none"/>
        </w:rPr>
      </w:pPr>
    </w:p>
    <w:p w14:paraId="77FC9BBD">
      <w:pPr>
        <w:snapToGrid w:val="0"/>
        <w:spacing w:beforeLines="50"/>
        <w:rPr>
          <w:rFonts w:ascii="仿宋" w:hAnsi="仿宋" w:eastAsia="仿宋" w:cs="仿宋_GB2312"/>
          <w:color w:val="auto"/>
          <w:highlight w:val="none"/>
        </w:rPr>
      </w:pPr>
    </w:p>
    <w:p w14:paraId="0CFC87A3">
      <w:pPr>
        <w:pStyle w:val="20"/>
        <w:ind w:left="480"/>
        <w:rPr>
          <w:rFonts w:ascii="仿宋" w:hAnsi="仿宋" w:eastAsia="仿宋" w:cs="仿宋_GB2312"/>
          <w:color w:val="auto"/>
          <w:highlight w:val="none"/>
        </w:rPr>
      </w:pPr>
    </w:p>
    <w:p w14:paraId="3963133F">
      <w:pPr>
        <w:snapToGrid w:val="0"/>
        <w:spacing w:beforeLines="50"/>
        <w:rPr>
          <w:rFonts w:ascii="仿宋" w:hAnsi="仿宋" w:eastAsia="仿宋" w:cs="仿宋_GB2312"/>
          <w:color w:val="auto"/>
          <w:highlight w:val="none"/>
        </w:rPr>
      </w:pPr>
    </w:p>
    <w:p w14:paraId="168DAF0B">
      <w:pPr>
        <w:autoSpaceDE w:val="0"/>
        <w:autoSpaceDN w:val="0"/>
        <w:spacing w:line="360" w:lineRule="auto"/>
        <w:ind w:firstLine="4560" w:firstLineChars="1900"/>
        <w:rPr>
          <w:rFonts w:ascii="仿宋" w:hAnsi="仿宋" w:eastAsia="仿宋" w:cs="仿宋_GB2312"/>
          <w:color w:val="auto"/>
          <w:highlight w:val="none"/>
        </w:rPr>
      </w:pPr>
      <w:r>
        <w:rPr>
          <w:rFonts w:hint="eastAsia" w:ascii="仿宋" w:hAnsi="仿宋" w:eastAsia="仿宋" w:cs="仿宋_GB2312"/>
          <w:color w:val="auto"/>
          <w:highlight w:val="none"/>
        </w:rPr>
        <w:t>投标人名称（</w:t>
      </w:r>
      <w:r>
        <w:rPr>
          <w:rFonts w:hint="eastAsia" w:ascii="仿宋" w:hAnsi="仿宋" w:eastAsia="仿宋" w:cs="仿宋_GB2312"/>
          <w:color w:val="auto"/>
          <w:highlight w:val="none"/>
          <w:lang w:val="zh-CN"/>
        </w:rPr>
        <w:t>电子签名</w:t>
      </w:r>
      <w:r>
        <w:rPr>
          <w:rFonts w:hint="eastAsia" w:ascii="仿宋" w:hAnsi="仿宋" w:eastAsia="仿宋" w:cs="仿宋_GB2312"/>
          <w:color w:val="auto"/>
          <w:highlight w:val="none"/>
        </w:rPr>
        <w:t>）：</w:t>
      </w:r>
    </w:p>
    <w:p w14:paraId="63B12451">
      <w:pPr>
        <w:snapToGrid w:val="0"/>
        <w:spacing w:before="50" w:after="50"/>
        <w:rPr>
          <w:rFonts w:ascii="仿宋" w:hAnsi="仿宋" w:eastAsia="仿宋" w:cs="仿宋_GB2312"/>
          <w:color w:val="auto"/>
          <w:highlight w:val="none"/>
        </w:rPr>
      </w:pPr>
      <w:r>
        <w:rPr>
          <w:rFonts w:hint="eastAsia" w:ascii="仿宋" w:hAnsi="仿宋" w:eastAsia="仿宋" w:cs="仿宋_GB2312"/>
          <w:color w:val="auto"/>
          <w:highlight w:val="none"/>
        </w:rPr>
        <w:t xml:space="preserve">                                       日期：  年  月   </w:t>
      </w:r>
    </w:p>
    <w:p w14:paraId="1E195EF0">
      <w:pPr>
        <w:pStyle w:val="20"/>
        <w:ind w:left="480"/>
        <w:rPr>
          <w:rFonts w:ascii="Arial" w:hAnsi="Arial" w:eastAsia="黑体" w:cs="Arial"/>
          <w:snapToGrid w:val="0"/>
          <w:color w:val="auto"/>
          <w:szCs w:val="21"/>
          <w:highlight w:val="none"/>
        </w:rPr>
      </w:pPr>
    </w:p>
    <w:p w14:paraId="296B1898">
      <w:pPr>
        <w:pStyle w:val="20"/>
        <w:ind w:left="480"/>
        <w:rPr>
          <w:rFonts w:ascii="Arial" w:hAnsi="Arial" w:eastAsia="黑体" w:cs="Arial"/>
          <w:snapToGrid w:val="0"/>
          <w:color w:val="auto"/>
          <w:szCs w:val="21"/>
          <w:highlight w:val="none"/>
        </w:rPr>
      </w:pPr>
    </w:p>
    <w:p w14:paraId="41EC3B84">
      <w:pPr>
        <w:pStyle w:val="20"/>
        <w:ind w:left="480"/>
        <w:rPr>
          <w:rFonts w:ascii="Arial" w:hAnsi="Arial" w:eastAsia="黑体" w:cs="Arial"/>
          <w:snapToGrid w:val="0"/>
          <w:color w:val="auto"/>
          <w:szCs w:val="21"/>
          <w:highlight w:val="none"/>
        </w:rPr>
      </w:pPr>
    </w:p>
    <w:p w14:paraId="7E240624">
      <w:pPr>
        <w:jc w:val="center"/>
        <w:rPr>
          <w:rFonts w:ascii="仿宋" w:hAnsi="仿宋" w:eastAsia="仿宋"/>
          <w:b/>
          <w:bCs/>
          <w:color w:val="auto"/>
          <w:spacing w:val="6"/>
          <w:sz w:val="32"/>
          <w:szCs w:val="32"/>
          <w:highlight w:val="none"/>
        </w:rPr>
      </w:pPr>
    </w:p>
    <w:p w14:paraId="2AAF9EB9">
      <w:pPr>
        <w:jc w:val="center"/>
        <w:rPr>
          <w:rFonts w:ascii="仿宋" w:hAnsi="仿宋" w:eastAsia="仿宋"/>
          <w:b/>
          <w:bCs/>
          <w:color w:val="auto"/>
          <w:spacing w:val="6"/>
          <w:sz w:val="32"/>
          <w:szCs w:val="32"/>
          <w:highlight w:val="none"/>
        </w:rPr>
      </w:pPr>
    </w:p>
    <w:p w14:paraId="1B01E722">
      <w:pPr>
        <w:jc w:val="center"/>
        <w:rPr>
          <w:rFonts w:ascii="仿宋" w:hAnsi="仿宋" w:eastAsia="仿宋"/>
          <w:b/>
          <w:bCs/>
          <w:color w:val="auto"/>
          <w:spacing w:val="6"/>
          <w:sz w:val="32"/>
          <w:szCs w:val="32"/>
          <w:highlight w:val="none"/>
        </w:rPr>
      </w:pPr>
    </w:p>
    <w:p w14:paraId="12D55DCF">
      <w:pPr>
        <w:jc w:val="center"/>
        <w:rPr>
          <w:rFonts w:ascii="仿宋" w:hAnsi="仿宋" w:eastAsia="仿宋"/>
          <w:b/>
          <w:bCs/>
          <w:color w:val="auto"/>
          <w:spacing w:val="6"/>
          <w:sz w:val="32"/>
          <w:szCs w:val="32"/>
          <w:highlight w:val="none"/>
        </w:rPr>
      </w:pPr>
    </w:p>
    <w:p w14:paraId="51A93D4A">
      <w:pPr>
        <w:jc w:val="center"/>
        <w:rPr>
          <w:rFonts w:ascii="仿宋" w:hAnsi="仿宋" w:eastAsia="仿宋"/>
          <w:b/>
          <w:bCs/>
          <w:color w:val="auto"/>
          <w:spacing w:val="6"/>
          <w:sz w:val="32"/>
          <w:szCs w:val="32"/>
          <w:highlight w:val="none"/>
        </w:rPr>
      </w:pPr>
    </w:p>
    <w:p w14:paraId="300FD399">
      <w:pPr>
        <w:jc w:val="center"/>
        <w:rPr>
          <w:rFonts w:hint="eastAsia" w:ascii="仿宋" w:hAnsi="仿宋" w:eastAsia="仿宋"/>
          <w:b/>
          <w:bCs/>
          <w:color w:val="auto"/>
          <w:spacing w:val="6"/>
          <w:sz w:val="32"/>
          <w:szCs w:val="32"/>
          <w:highlight w:val="none"/>
        </w:rPr>
      </w:pPr>
    </w:p>
    <w:p w14:paraId="601568C5">
      <w:pPr>
        <w:jc w:val="center"/>
        <w:rPr>
          <w:rFonts w:ascii="仿宋" w:hAnsi="仿宋" w:eastAsia="仿宋"/>
          <w:b/>
          <w:bCs/>
          <w:color w:val="auto"/>
          <w:spacing w:val="6"/>
          <w:sz w:val="32"/>
          <w:szCs w:val="32"/>
          <w:highlight w:val="none"/>
        </w:rPr>
      </w:pPr>
      <w:r>
        <w:rPr>
          <w:rFonts w:hint="eastAsia" w:ascii="仿宋" w:hAnsi="仿宋" w:eastAsia="仿宋"/>
          <w:b/>
          <w:bCs/>
          <w:color w:val="auto"/>
          <w:spacing w:val="6"/>
          <w:sz w:val="32"/>
          <w:szCs w:val="32"/>
          <w:highlight w:val="none"/>
        </w:rPr>
        <w:t>五、商务响应表</w:t>
      </w:r>
    </w:p>
    <w:p w14:paraId="52C7C86A">
      <w:pPr>
        <w:rPr>
          <w:rFonts w:ascii="Arial" w:hAnsi="Arial" w:eastAsia="黑体" w:cs="Arial"/>
          <w:snapToGrid w:val="0"/>
          <w:color w:val="auto"/>
          <w:szCs w:val="21"/>
          <w:highlight w:val="none"/>
        </w:rPr>
      </w:pPr>
    </w:p>
    <w:tbl>
      <w:tblPr>
        <w:tblStyle w:val="43"/>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37"/>
        <w:gridCol w:w="3299"/>
        <w:gridCol w:w="3261"/>
        <w:gridCol w:w="1275"/>
      </w:tblGrid>
      <w:tr w14:paraId="625D99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237" w:type="dxa"/>
            <w:tcBorders>
              <w:top w:val="single" w:color="auto" w:sz="4" w:space="0"/>
              <w:left w:val="single" w:color="auto" w:sz="4" w:space="0"/>
              <w:bottom w:val="single" w:color="auto" w:sz="4" w:space="0"/>
              <w:right w:val="single" w:color="auto" w:sz="4" w:space="0"/>
            </w:tcBorders>
            <w:vAlign w:val="center"/>
          </w:tcPr>
          <w:p w14:paraId="385E4D3A">
            <w:pPr>
              <w:snapToGrid w:val="0"/>
              <w:spacing w:before="50" w:after="50"/>
              <w:jc w:val="center"/>
              <w:rPr>
                <w:rFonts w:ascii="仿宋" w:hAnsi="仿宋" w:eastAsia="仿宋"/>
                <w:color w:val="auto"/>
                <w:highlight w:val="none"/>
              </w:rPr>
            </w:pPr>
            <w:bookmarkStart w:id="450" w:name="_Toc64369815"/>
            <w:r>
              <w:rPr>
                <w:rFonts w:hint="eastAsia" w:ascii="仿宋" w:hAnsi="仿宋" w:eastAsia="仿宋"/>
                <w:color w:val="auto"/>
                <w:highlight w:val="none"/>
              </w:rPr>
              <w:t>类别</w:t>
            </w:r>
            <w:bookmarkEnd w:id="450"/>
          </w:p>
        </w:tc>
        <w:tc>
          <w:tcPr>
            <w:tcW w:w="3299" w:type="dxa"/>
            <w:tcBorders>
              <w:top w:val="single" w:color="auto" w:sz="4" w:space="0"/>
              <w:left w:val="single" w:color="auto" w:sz="4" w:space="0"/>
              <w:bottom w:val="single" w:color="auto" w:sz="4" w:space="0"/>
              <w:right w:val="single" w:color="auto" w:sz="4" w:space="0"/>
            </w:tcBorders>
            <w:vAlign w:val="center"/>
          </w:tcPr>
          <w:p w14:paraId="5922CF35">
            <w:pPr>
              <w:snapToGrid w:val="0"/>
              <w:spacing w:beforeLines="50" w:after="50"/>
              <w:jc w:val="center"/>
              <w:rPr>
                <w:rFonts w:ascii="仿宋" w:hAnsi="仿宋" w:eastAsia="仿宋"/>
                <w:color w:val="auto"/>
                <w:highlight w:val="none"/>
              </w:rPr>
            </w:pPr>
            <w:bookmarkStart w:id="451" w:name="_Toc64369816"/>
            <w:r>
              <w:rPr>
                <w:rFonts w:hint="eastAsia" w:ascii="仿宋" w:hAnsi="仿宋" w:eastAsia="仿宋"/>
                <w:color w:val="auto"/>
                <w:highlight w:val="none"/>
              </w:rPr>
              <w:t>采购文件要求</w:t>
            </w:r>
            <w:bookmarkEnd w:id="451"/>
          </w:p>
        </w:tc>
        <w:tc>
          <w:tcPr>
            <w:tcW w:w="3261" w:type="dxa"/>
            <w:tcBorders>
              <w:top w:val="single" w:color="auto" w:sz="4" w:space="0"/>
              <w:left w:val="single" w:color="auto" w:sz="4" w:space="0"/>
              <w:bottom w:val="single" w:color="auto" w:sz="4" w:space="0"/>
              <w:right w:val="single" w:color="auto" w:sz="4" w:space="0"/>
            </w:tcBorders>
            <w:vAlign w:val="center"/>
          </w:tcPr>
          <w:p w14:paraId="26F3D737">
            <w:pPr>
              <w:snapToGrid w:val="0"/>
              <w:spacing w:beforeLines="50" w:after="50"/>
              <w:jc w:val="center"/>
              <w:rPr>
                <w:rFonts w:ascii="仿宋" w:hAnsi="仿宋" w:eastAsia="仿宋"/>
                <w:color w:val="auto"/>
                <w:highlight w:val="none"/>
              </w:rPr>
            </w:pPr>
            <w:bookmarkStart w:id="452" w:name="_Toc64369817"/>
            <w:r>
              <w:rPr>
                <w:rFonts w:hint="eastAsia" w:ascii="仿宋" w:hAnsi="仿宋" w:eastAsia="仿宋"/>
                <w:color w:val="auto"/>
                <w:highlight w:val="none"/>
              </w:rPr>
              <w:t>投标文件响应</w:t>
            </w:r>
            <w:bookmarkEnd w:id="452"/>
          </w:p>
        </w:tc>
        <w:tc>
          <w:tcPr>
            <w:tcW w:w="1275" w:type="dxa"/>
            <w:tcBorders>
              <w:top w:val="single" w:color="auto" w:sz="4" w:space="0"/>
              <w:left w:val="single" w:color="auto" w:sz="4" w:space="0"/>
              <w:bottom w:val="single" w:color="auto" w:sz="4" w:space="0"/>
              <w:right w:val="single" w:color="auto" w:sz="4" w:space="0"/>
            </w:tcBorders>
            <w:vAlign w:val="center"/>
          </w:tcPr>
          <w:p w14:paraId="7EE8EC48">
            <w:pPr>
              <w:snapToGrid w:val="0"/>
              <w:spacing w:beforeLines="50" w:after="50"/>
              <w:jc w:val="center"/>
              <w:rPr>
                <w:rFonts w:ascii="仿宋" w:hAnsi="仿宋" w:eastAsia="仿宋"/>
                <w:color w:val="auto"/>
                <w:highlight w:val="none"/>
              </w:rPr>
            </w:pPr>
            <w:bookmarkStart w:id="453" w:name="_Toc64369818"/>
            <w:r>
              <w:rPr>
                <w:rFonts w:hint="eastAsia" w:ascii="仿宋" w:hAnsi="仿宋" w:eastAsia="仿宋"/>
                <w:color w:val="auto"/>
                <w:highlight w:val="none"/>
              </w:rPr>
              <w:t>偏离情况</w:t>
            </w:r>
            <w:bookmarkEnd w:id="453"/>
          </w:p>
        </w:tc>
      </w:tr>
      <w:tr w14:paraId="77471C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0E843B52">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服务期限</w:t>
            </w:r>
          </w:p>
        </w:tc>
        <w:tc>
          <w:tcPr>
            <w:tcW w:w="3299" w:type="dxa"/>
            <w:tcBorders>
              <w:top w:val="single" w:color="auto" w:sz="4" w:space="0"/>
              <w:left w:val="single" w:color="auto" w:sz="4" w:space="0"/>
              <w:bottom w:val="single" w:color="auto" w:sz="4" w:space="0"/>
              <w:right w:val="single" w:color="auto" w:sz="4" w:space="0"/>
            </w:tcBorders>
            <w:vAlign w:val="center"/>
          </w:tcPr>
          <w:p w14:paraId="21048DF6">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087CA6AF">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31D0A796">
            <w:pPr>
              <w:pStyle w:val="24"/>
              <w:snapToGrid w:val="0"/>
              <w:spacing w:before="120" w:after="120"/>
              <w:jc w:val="center"/>
              <w:outlineLvl w:val="0"/>
              <w:rPr>
                <w:rFonts w:ascii="仿宋" w:hAnsi="仿宋" w:eastAsia="仿宋" w:cs="Times New Roman"/>
                <w:snapToGrid/>
                <w:color w:val="auto"/>
                <w:szCs w:val="24"/>
                <w:highlight w:val="none"/>
              </w:rPr>
            </w:pPr>
          </w:p>
        </w:tc>
      </w:tr>
      <w:tr w14:paraId="6699EB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012969EC">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技术培训</w:t>
            </w:r>
          </w:p>
        </w:tc>
        <w:tc>
          <w:tcPr>
            <w:tcW w:w="3299" w:type="dxa"/>
            <w:tcBorders>
              <w:top w:val="single" w:color="auto" w:sz="4" w:space="0"/>
              <w:left w:val="single" w:color="auto" w:sz="4" w:space="0"/>
              <w:bottom w:val="single" w:color="auto" w:sz="4" w:space="0"/>
              <w:right w:val="single" w:color="auto" w:sz="4" w:space="0"/>
            </w:tcBorders>
            <w:vAlign w:val="center"/>
          </w:tcPr>
          <w:p w14:paraId="4A557295">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25D4EA67">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2703FD2C">
            <w:pPr>
              <w:pStyle w:val="24"/>
              <w:snapToGrid w:val="0"/>
              <w:spacing w:before="120" w:after="120"/>
              <w:jc w:val="center"/>
              <w:outlineLvl w:val="0"/>
              <w:rPr>
                <w:rFonts w:ascii="仿宋" w:hAnsi="仿宋" w:eastAsia="仿宋" w:cs="Times New Roman"/>
                <w:snapToGrid/>
                <w:color w:val="auto"/>
                <w:szCs w:val="24"/>
                <w:highlight w:val="none"/>
              </w:rPr>
            </w:pPr>
          </w:p>
        </w:tc>
      </w:tr>
      <w:tr w14:paraId="7C1E3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5701F2D4">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数量调整</w:t>
            </w:r>
          </w:p>
        </w:tc>
        <w:tc>
          <w:tcPr>
            <w:tcW w:w="3299" w:type="dxa"/>
            <w:tcBorders>
              <w:top w:val="single" w:color="auto" w:sz="4" w:space="0"/>
              <w:left w:val="single" w:color="auto" w:sz="4" w:space="0"/>
              <w:bottom w:val="single" w:color="auto" w:sz="4" w:space="0"/>
              <w:right w:val="single" w:color="auto" w:sz="4" w:space="0"/>
            </w:tcBorders>
            <w:vAlign w:val="center"/>
          </w:tcPr>
          <w:p w14:paraId="2B1E7B14">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6B445065">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nil"/>
              <w:right w:val="single" w:color="auto" w:sz="4" w:space="0"/>
            </w:tcBorders>
          </w:tcPr>
          <w:p w14:paraId="506C1A62">
            <w:pPr>
              <w:pStyle w:val="24"/>
              <w:snapToGrid w:val="0"/>
              <w:spacing w:before="120" w:after="120"/>
              <w:jc w:val="center"/>
              <w:outlineLvl w:val="0"/>
              <w:rPr>
                <w:rFonts w:ascii="仿宋" w:hAnsi="仿宋" w:eastAsia="仿宋" w:cs="Times New Roman"/>
                <w:snapToGrid/>
                <w:color w:val="auto"/>
                <w:szCs w:val="24"/>
                <w:highlight w:val="none"/>
              </w:rPr>
            </w:pPr>
          </w:p>
        </w:tc>
      </w:tr>
      <w:tr w14:paraId="45258E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4F033067">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付款方式</w:t>
            </w:r>
          </w:p>
        </w:tc>
        <w:tc>
          <w:tcPr>
            <w:tcW w:w="3299" w:type="dxa"/>
            <w:tcBorders>
              <w:top w:val="single" w:color="auto" w:sz="4" w:space="0"/>
              <w:left w:val="single" w:color="auto" w:sz="4" w:space="0"/>
              <w:bottom w:val="single" w:color="auto" w:sz="4" w:space="0"/>
              <w:right w:val="single" w:color="auto" w:sz="4" w:space="0"/>
            </w:tcBorders>
            <w:vAlign w:val="center"/>
          </w:tcPr>
          <w:p w14:paraId="3C239289">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27E374DD">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nil"/>
              <w:right w:val="single" w:color="auto" w:sz="4" w:space="0"/>
            </w:tcBorders>
          </w:tcPr>
          <w:p w14:paraId="7EAFDCFC">
            <w:pPr>
              <w:pStyle w:val="24"/>
              <w:snapToGrid w:val="0"/>
              <w:spacing w:before="120" w:after="120"/>
              <w:jc w:val="center"/>
              <w:outlineLvl w:val="0"/>
              <w:rPr>
                <w:rFonts w:ascii="仿宋" w:hAnsi="仿宋" w:eastAsia="仿宋" w:cs="Times New Roman"/>
                <w:snapToGrid/>
                <w:color w:val="auto"/>
                <w:szCs w:val="24"/>
                <w:highlight w:val="none"/>
              </w:rPr>
            </w:pPr>
          </w:p>
        </w:tc>
      </w:tr>
      <w:tr w14:paraId="31B3D9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65557E15">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验收</w:t>
            </w:r>
          </w:p>
        </w:tc>
        <w:tc>
          <w:tcPr>
            <w:tcW w:w="3299" w:type="dxa"/>
            <w:tcBorders>
              <w:top w:val="single" w:color="auto" w:sz="4" w:space="0"/>
              <w:left w:val="single" w:color="auto" w:sz="4" w:space="0"/>
              <w:bottom w:val="single" w:color="auto" w:sz="4" w:space="0"/>
              <w:right w:val="single" w:color="auto" w:sz="4" w:space="0"/>
            </w:tcBorders>
            <w:vAlign w:val="center"/>
          </w:tcPr>
          <w:p w14:paraId="058CC6B0">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3FA15443">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2D897518">
            <w:pPr>
              <w:pStyle w:val="24"/>
              <w:snapToGrid w:val="0"/>
              <w:spacing w:before="120" w:after="120"/>
              <w:jc w:val="center"/>
              <w:outlineLvl w:val="0"/>
              <w:rPr>
                <w:rFonts w:ascii="仿宋" w:hAnsi="仿宋" w:eastAsia="仿宋" w:cs="Times New Roman"/>
                <w:snapToGrid/>
                <w:color w:val="auto"/>
                <w:szCs w:val="24"/>
                <w:highlight w:val="none"/>
              </w:rPr>
            </w:pPr>
          </w:p>
        </w:tc>
      </w:tr>
      <w:tr w14:paraId="030B05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56A0F7B1">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售后服务</w:t>
            </w:r>
          </w:p>
        </w:tc>
        <w:tc>
          <w:tcPr>
            <w:tcW w:w="3299" w:type="dxa"/>
            <w:tcBorders>
              <w:top w:val="single" w:color="auto" w:sz="4" w:space="0"/>
              <w:left w:val="single" w:color="auto" w:sz="4" w:space="0"/>
              <w:bottom w:val="single" w:color="auto" w:sz="4" w:space="0"/>
              <w:right w:val="single" w:color="auto" w:sz="4" w:space="0"/>
            </w:tcBorders>
            <w:vAlign w:val="center"/>
          </w:tcPr>
          <w:p w14:paraId="50CE1596">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30C86527">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401897D9">
            <w:pPr>
              <w:pStyle w:val="24"/>
              <w:snapToGrid w:val="0"/>
              <w:spacing w:before="120" w:after="120"/>
              <w:jc w:val="center"/>
              <w:outlineLvl w:val="0"/>
              <w:rPr>
                <w:rFonts w:ascii="仿宋" w:hAnsi="仿宋" w:eastAsia="仿宋" w:cs="Times New Roman"/>
                <w:snapToGrid/>
                <w:color w:val="auto"/>
                <w:szCs w:val="24"/>
                <w:highlight w:val="none"/>
              </w:rPr>
            </w:pPr>
          </w:p>
        </w:tc>
      </w:tr>
      <w:tr w14:paraId="48355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743F1AE3">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安全及隐私要求</w:t>
            </w:r>
          </w:p>
        </w:tc>
        <w:tc>
          <w:tcPr>
            <w:tcW w:w="3299" w:type="dxa"/>
            <w:tcBorders>
              <w:top w:val="single" w:color="auto" w:sz="4" w:space="0"/>
              <w:left w:val="single" w:color="auto" w:sz="4" w:space="0"/>
              <w:bottom w:val="single" w:color="auto" w:sz="4" w:space="0"/>
              <w:right w:val="single" w:color="auto" w:sz="4" w:space="0"/>
            </w:tcBorders>
            <w:vAlign w:val="center"/>
          </w:tcPr>
          <w:p w14:paraId="262FC11A">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79039E2F">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5EE27AA8">
            <w:pPr>
              <w:pStyle w:val="24"/>
              <w:snapToGrid w:val="0"/>
              <w:spacing w:before="120" w:after="120"/>
              <w:jc w:val="center"/>
              <w:outlineLvl w:val="0"/>
              <w:rPr>
                <w:rFonts w:ascii="仿宋" w:hAnsi="仿宋" w:eastAsia="仿宋" w:cs="Times New Roman"/>
                <w:snapToGrid/>
                <w:color w:val="auto"/>
                <w:szCs w:val="24"/>
                <w:highlight w:val="none"/>
              </w:rPr>
            </w:pPr>
          </w:p>
        </w:tc>
      </w:tr>
      <w:tr w14:paraId="648E29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74875146">
            <w:pPr>
              <w:snapToGrid w:val="0"/>
              <w:spacing w:before="50" w:after="50"/>
              <w:jc w:val="center"/>
              <w:rPr>
                <w:rFonts w:ascii="仿宋" w:hAnsi="仿宋" w:eastAsia="仿宋"/>
                <w:color w:val="auto"/>
                <w:highlight w:val="none"/>
              </w:rPr>
            </w:pPr>
            <w:r>
              <w:rPr>
                <w:rFonts w:hint="eastAsia" w:ascii="仿宋" w:hAnsi="仿宋" w:eastAsia="仿宋"/>
                <w:color w:val="auto"/>
                <w:highlight w:val="none"/>
              </w:rPr>
              <w:t>结算原则</w:t>
            </w:r>
          </w:p>
        </w:tc>
        <w:tc>
          <w:tcPr>
            <w:tcW w:w="3299" w:type="dxa"/>
            <w:tcBorders>
              <w:top w:val="single" w:color="auto" w:sz="4" w:space="0"/>
              <w:left w:val="single" w:color="auto" w:sz="4" w:space="0"/>
              <w:bottom w:val="single" w:color="auto" w:sz="4" w:space="0"/>
              <w:right w:val="single" w:color="auto" w:sz="4" w:space="0"/>
            </w:tcBorders>
            <w:vAlign w:val="center"/>
          </w:tcPr>
          <w:p w14:paraId="7EDEF2FD">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0CD095E5">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0C5DEC18">
            <w:pPr>
              <w:pStyle w:val="24"/>
              <w:snapToGrid w:val="0"/>
              <w:spacing w:before="120" w:after="120"/>
              <w:jc w:val="center"/>
              <w:outlineLvl w:val="0"/>
              <w:rPr>
                <w:rFonts w:ascii="仿宋" w:hAnsi="仿宋" w:eastAsia="仿宋" w:cs="Times New Roman"/>
                <w:snapToGrid/>
                <w:color w:val="auto"/>
                <w:szCs w:val="24"/>
                <w:highlight w:val="none"/>
              </w:rPr>
            </w:pPr>
          </w:p>
        </w:tc>
      </w:tr>
      <w:tr w14:paraId="4AABBA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720C4056">
            <w:pPr>
              <w:snapToGrid w:val="0"/>
              <w:spacing w:before="50" w:after="50"/>
              <w:jc w:val="center"/>
              <w:rPr>
                <w:rFonts w:hint="eastAsia" w:ascii="仿宋" w:hAnsi="仿宋" w:eastAsia="仿宋"/>
                <w:color w:val="auto"/>
                <w:highlight w:val="none"/>
                <w:lang w:eastAsia="zh-CN"/>
              </w:rPr>
            </w:pPr>
            <w:r>
              <w:rPr>
                <w:rFonts w:hint="eastAsia" w:ascii="仿宋" w:hAnsi="仿宋" w:eastAsia="仿宋"/>
                <w:color w:val="auto"/>
                <w:highlight w:val="none"/>
                <w:lang w:eastAsia="zh-CN"/>
              </w:rPr>
              <w:t>其他要求</w:t>
            </w:r>
          </w:p>
        </w:tc>
        <w:tc>
          <w:tcPr>
            <w:tcW w:w="3299" w:type="dxa"/>
            <w:tcBorders>
              <w:top w:val="single" w:color="auto" w:sz="4" w:space="0"/>
              <w:left w:val="single" w:color="auto" w:sz="4" w:space="0"/>
              <w:bottom w:val="single" w:color="auto" w:sz="4" w:space="0"/>
              <w:right w:val="single" w:color="auto" w:sz="4" w:space="0"/>
            </w:tcBorders>
            <w:vAlign w:val="center"/>
          </w:tcPr>
          <w:p w14:paraId="20826FBA">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2636DC91">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4A9F5746">
            <w:pPr>
              <w:pStyle w:val="24"/>
              <w:snapToGrid w:val="0"/>
              <w:spacing w:before="120" w:after="120"/>
              <w:jc w:val="center"/>
              <w:outlineLvl w:val="0"/>
              <w:rPr>
                <w:rFonts w:ascii="仿宋" w:hAnsi="仿宋" w:eastAsia="仿宋" w:cs="Times New Roman"/>
                <w:snapToGrid/>
                <w:color w:val="auto"/>
                <w:szCs w:val="24"/>
                <w:highlight w:val="none"/>
              </w:rPr>
            </w:pPr>
          </w:p>
        </w:tc>
      </w:tr>
      <w:tr w14:paraId="0B9799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1237" w:type="dxa"/>
            <w:tcBorders>
              <w:top w:val="single" w:color="auto" w:sz="4" w:space="0"/>
              <w:left w:val="single" w:color="auto" w:sz="4" w:space="0"/>
              <w:bottom w:val="single" w:color="auto" w:sz="4" w:space="0"/>
              <w:right w:val="single" w:color="auto" w:sz="4" w:space="0"/>
            </w:tcBorders>
            <w:vAlign w:val="center"/>
          </w:tcPr>
          <w:p w14:paraId="3B7655C3">
            <w:pPr>
              <w:snapToGrid w:val="0"/>
              <w:spacing w:before="50" w:after="50"/>
              <w:jc w:val="center"/>
              <w:rPr>
                <w:rFonts w:ascii="仿宋" w:hAnsi="仿宋" w:eastAsia="仿宋"/>
                <w:color w:val="auto"/>
                <w:highlight w:val="none"/>
              </w:rPr>
            </w:pPr>
          </w:p>
        </w:tc>
        <w:tc>
          <w:tcPr>
            <w:tcW w:w="3299" w:type="dxa"/>
            <w:tcBorders>
              <w:top w:val="single" w:color="auto" w:sz="4" w:space="0"/>
              <w:left w:val="single" w:color="auto" w:sz="4" w:space="0"/>
              <w:bottom w:val="single" w:color="auto" w:sz="4" w:space="0"/>
              <w:right w:val="single" w:color="auto" w:sz="4" w:space="0"/>
            </w:tcBorders>
            <w:vAlign w:val="center"/>
          </w:tcPr>
          <w:p w14:paraId="7D4EFB0A">
            <w:pPr>
              <w:pStyle w:val="24"/>
              <w:snapToGrid w:val="0"/>
              <w:spacing w:before="120" w:after="120"/>
              <w:jc w:val="center"/>
              <w:outlineLvl w:val="0"/>
              <w:rPr>
                <w:rFonts w:ascii="仿宋" w:hAnsi="仿宋" w:eastAsia="仿宋" w:cs="Times New Roman"/>
                <w:snapToGrid/>
                <w:color w:val="auto"/>
                <w:szCs w:val="24"/>
                <w:highlight w:val="none"/>
              </w:rPr>
            </w:pPr>
          </w:p>
        </w:tc>
        <w:tc>
          <w:tcPr>
            <w:tcW w:w="3261" w:type="dxa"/>
            <w:tcBorders>
              <w:top w:val="single" w:color="auto" w:sz="4" w:space="0"/>
              <w:left w:val="single" w:color="auto" w:sz="4" w:space="0"/>
              <w:bottom w:val="single" w:color="auto" w:sz="4" w:space="0"/>
              <w:right w:val="single" w:color="auto" w:sz="4" w:space="0"/>
            </w:tcBorders>
          </w:tcPr>
          <w:p w14:paraId="49AD7205">
            <w:pPr>
              <w:pStyle w:val="24"/>
              <w:snapToGrid w:val="0"/>
              <w:spacing w:before="120" w:after="120"/>
              <w:jc w:val="center"/>
              <w:outlineLvl w:val="0"/>
              <w:rPr>
                <w:rFonts w:ascii="仿宋" w:hAnsi="仿宋" w:eastAsia="仿宋" w:cs="Times New Roman"/>
                <w:snapToGrid/>
                <w:color w:val="auto"/>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14:paraId="59CE6EAB">
            <w:pPr>
              <w:pStyle w:val="24"/>
              <w:snapToGrid w:val="0"/>
              <w:spacing w:before="120" w:after="120"/>
              <w:jc w:val="center"/>
              <w:outlineLvl w:val="0"/>
              <w:rPr>
                <w:rFonts w:ascii="仿宋" w:hAnsi="仿宋" w:eastAsia="仿宋" w:cs="Times New Roman"/>
                <w:snapToGrid/>
                <w:color w:val="auto"/>
                <w:szCs w:val="24"/>
                <w:highlight w:val="none"/>
              </w:rPr>
            </w:pPr>
          </w:p>
        </w:tc>
      </w:tr>
    </w:tbl>
    <w:p w14:paraId="03D832E6">
      <w:pPr>
        <w:spacing w:line="360" w:lineRule="auto"/>
        <w:ind w:right="420"/>
        <w:rPr>
          <w:rFonts w:ascii="仿宋" w:hAnsi="仿宋" w:eastAsia="仿宋" w:cs="仿宋_GB2312"/>
          <w:color w:val="auto"/>
          <w:highlight w:val="none"/>
        </w:rPr>
      </w:pPr>
      <w:r>
        <w:rPr>
          <w:rFonts w:hint="eastAsia" w:ascii="仿宋" w:hAnsi="仿宋" w:eastAsia="仿宋" w:cs="仿宋_GB2312"/>
          <w:color w:val="auto"/>
          <w:highlight w:val="none"/>
        </w:rPr>
        <w:t>注：</w:t>
      </w:r>
    </w:p>
    <w:p w14:paraId="73730CB7">
      <w:pPr>
        <w:spacing w:line="360" w:lineRule="auto"/>
        <w:ind w:right="420"/>
        <w:rPr>
          <w:rFonts w:ascii="仿宋" w:hAnsi="仿宋" w:eastAsia="仿宋" w:cs="仿宋_GB2312"/>
          <w:color w:val="auto"/>
          <w:highlight w:val="none"/>
        </w:rPr>
      </w:pPr>
      <w:r>
        <w:rPr>
          <w:rFonts w:hint="eastAsia" w:ascii="仿宋" w:hAnsi="仿宋" w:eastAsia="仿宋" w:cs="仿宋_GB2312"/>
          <w:color w:val="auto"/>
          <w:highlight w:val="none"/>
        </w:rPr>
        <w:t>1、投标人应对照采购文件要求和投标文件响应情况在“偏离情况”栏注明“正偏离”、“负偏离”或“无偏离”。</w:t>
      </w:r>
    </w:p>
    <w:p w14:paraId="4DD3215A">
      <w:pPr>
        <w:spacing w:line="360" w:lineRule="auto"/>
        <w:ind w:right="420"/>
        <w:rPr>
          <w:rFonts w:ascii="仿宋" w:hAnsi="仿宋" w:eastAsia="仿宋" w:cs="仿宋_GB2312"/>
          <w:color w:val="auto"/>
          <w:highlight w:val="none"/>
        </w:rPr>
      </w:pPr>
      <w:r>
        <w:rPr>
          <w:rFonts w:hint="eastAsia" w:ascii="仿宋" w:hAnsi="仿宋" w:eastAsia="仿宋" w:cs="仿宋_GB2312"/>
          <w:b/>
          <w:color w:val="auto"/>
          <w:highlight w:val="none"/>
        </w:rPr>
        <w:t>2、“类别”一栏按采购文件第三章中商务要求的分类填写。</w:t>
      </w:r>
    </w:p>
    <w:p w14:paraId="49F3A273">
      <w:pPr>
        <w:autoSpaceDE w:val="0"/>
        <w:autoSpaceDN w:val="0"/>
        <w:spacing w:line="360" w:lineRule="auto"/>
        <w:ind w:firstLine="4560" w:firstLineChars="1900"/>
        <w:rPr>
          <w:rFonts w:ascii="仿宋" w:hAnsi="仿宋" w:eastAsia="仿宋" w:cs="仿宋_GB2312"/>
          <w:color w:val="auto"/>
          <w:highlight w:val="none"/>
        </w:rPr>
      </w:pPr>
      <w:r>
        <w:rPr>
          <w:rFonts w:hint="eastAsia" w:ascii="仿宋" w:hAnsi="仿宋" w:eastAsia="仿宋" w:cs="仿宋_GB2312"/>
          <w:color w:val="auto"/>
          <w:highlight w:val="none"/>
        </w:rPr>
        <w:t>投标人名称（</w:t>
      </w:r>
      <w:r>
        <w:rPr>
          <w:rFonts w:hint="eastAsia" w:ascii="仿宋" w:hAnsi="仿宋" w:eastAsia="仿宋" w:cs="仿宋_GB2312"/>
          <w:color w:val="auto"/>
          <w:highlight w:val="none"/>
          <w:lang w:val="zh-CN"/>
        </w:rPr>
        <w:t>电子签名</w:t>
      </w:r>
      <w:r>
        <w:rPr>
          <w:rFonts w:hint="eastAsia" w:ascii="仿宋" w:hAnsi="仿宋" w:eastAsia="仿宋" w:cs="仿宋_GB2312"/>
          <w:color w:val="auto"/>
          <w:highlight w:val="none"/>
        </w:rPr>
        <w:t>）：</w:t>
      </w:r>
    </w:p>
    <w:p w14:paraId="1D713272">
      <w:pPr>
        <w:snapToGrid w:val="0"/>
        <w:spacing w:before="50" w:after="50"/>
        <w:rPr>
          <w:rFonts w:ascii="仿宋" w:hAnsi="仿宋" w:eastAsia="仿宋" w:cs="仿宋_GB2312"/>
          <w:b/>
          <w:bCs/>
          <w:color w:val="auto"/>
          <w:sz w:val="32"/>
          <w:szCs w:val="32"/>
          <w:highlight w:val="none"/>
        </w:rPr>
      </w:pPr>
      <w:r>
        <w:rPr>
          <w:rFonts w:hint="eastAsia" w:ascii="仿宋" w:hAnsi="仿宋" w:eastAsia="仿宋" w:cs="仿宋_GB2312"/>
          <w:color w:val="auto"/>
          <w:highlight w:val="none"/>
        </w:rPr>
        <w:t xml:space="preserve">                                       日期：  年  月   日</w:t>
      </w:r>
    </w:p>
    <w:p w14:paraId="7B665A04">
      <w:pPr>
        <w:tabs>
          <w:tab w:val="left" w:pos="2790"/>
          <w:tab w:val="left" w:pos="4230"/>
        </w:tabs>
        <w:autoSpaceDE w:val="0"/>
        <w:autoSpaceDN w:val="0"/>
        <w:spacing w:line="360" w:lineRule="auto"/>
        <w:ind w:right="1400"/>
        <w:jc w:val="center"/>
        <w:outlineLvl w:val="1"/>
        <w:rPr>
          <w:rFonts w:ascii="仿宋" w:hAnsi="仿宋" w:eastAsia="仿宋" w:cs="仿宋_GB2312"/>
          <w:b/>
          <w:bCs/>
          <w:color w:val="auto"/>
          <w:sz w:val="32"/>
          <w:szCs w:val="32"/>
          <w:highlight w:val="none"/>
        </w:rPr>
      </w:pPr>
    </w:p>
    <w:p w14:paraId="456F5C74">
      <w:pPr>
        <w:tabs>
          <w:tab w:val="left" w:pos="2790"/>
          <w:tab w:val="left" w:pos="4230"/>
        </w:tabs>
        <w:autoSpaceDE w:val="0"/>
        <w:autoSpaceDN w:val="0"/>
        <w:spacing w:line="360" w:lineRule="auto"/>
        <w:ind w:right="1400"/>
        <w:jc w:val="center"/>
        <w:outlineLvl w:val="1"/>
        <w:rPr>
          <w:rFonts w:ascii="仿宋" w:hAnsi="仿宋" w:eastAsia="仿宋" w:cs="仿宋_GB2312"/>
          <w:b/>
          <w:bCs/>
          <w:color w:val="auto"/>
          <w:sz w:val="32"/>
          <w:szCs w:val="32"/>
          <w:highlight w:val="none"/>
        </w:rPr>
      </w:pPr>
      <w:r>
        <w:rPr>
          <w:rFonts w:hint="eastAsia" w:ascii="仿宋" w:hAnsi="仿宋" w:eastAsia="仿宋" w:cs="仿宋_GB2312"/>
          <w:b/>
          <w:bCs/>
          <w:color w:val="auto"/>
          <w:sz w:val="32"/>
          <w:szCs w:val="32"/>
          <w:highlight w:val="none"/>
        </w:rPr>
        <w:t>六、项目组织实施方案</w:t>
      </w:r>
    </w:p>
    <w:p w14:paraId="06E1F99A">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（由投标人根据采购需求及招标文件要求编制）</w:t>
      </w:r>
    </w:p>
    <w:p w14:paraId="1C557E15">
      <w:pPr>
        <w:autoSpaceDE w:val="0"/>
        <w:autoSpaceDN w:val="0"/>
        <w:spacing w:line="360" w:lineRule="auto"/>
        <w:jc w:val="center"/>
        <w:rPr>
          <w:rFonts w:ascii="仿宋" w:hAnsi="仿宋" w:eastAsia="仿宋" w:cs="仿宋_GB2312"/>
          <w:b/>
          <w:bCs/>
          <w:color w:val="auto"/>
          <w:sz w:val="32"/>
          <w:szCs w:val="32"/>
          <w:highlight w:val="none"/>
        </w:rPr>
      </w:pPr>
      <w:r>
        <w:rPr>
          <w:rFonts w:hint="eastAsia" w:ascii="仿宋" w:hAnsi="仿宋" w:eastAsia="仿宋" w:cs="仿宋_GB2312"/>
          <w:color w:val="auto"/>
          <w:highlight w:val="none"/>
        </w:rPr>
        <w:br w:type="page"/>
      </w:r>
      <w:r>
        <w:rPr>
          <w:rFonts w:hint="eastAsia" w:ascii="仿宋" w:hAnsi="仿宋" w:eastAsia="仿宋" w:cs="仿宋_GB2312"/>
          <w:b/>
          <w:bCs/>
          <w:color w:val="auto"/>
          <w:sz w:val="32"/>
          <w:szCs w:val="32"/>
          <w:highlight w:val="none"/>
        </w:rPr>
        <w:t>七、项目负责人情况表</w:t>
      </w:r>
    </w:p>
    <w:p w14:paraId="588680F5">
      <w:pPr>
        <w:spacing w:line="360" w:lineRule="auto"/>
        <w:jc w:val="center"/>
        <w:rPr>
          <w:rFonts w:ascii="仿宋" w:hAnsi="仿宋" w:eastAsia="仿宋" w:cs="仿宋_GB2312"/>
          <w:color w:val="auto"/>
          <w:highlight w:val="none"/>
        </w:rPr>
      </w:pPr>
    </w:p>
    <w:tbl>
      <w:tblPr>
        <w:tblStyle w:val="43"/>
        <w:tblW w:w="0" w:type="auto"/>
        <w:tblInd w:w="108" w:type="dxa"/>
        <w:tblLayout w:type="fixed"/>
        <w:tblCellMar>
          <w:top w:w="0" w:type="dxa"/>
          <w:left w:w="108" w:type="dxa"/>
          <w:bottom w:w="0" w:type="dxa"/>
          <w:right w:w="108" w:type="dxa"/>
        </w:tblCellMar>
      </w:tblPr>
      <w:tblGrid>
        <w:gridCol w:w="1953"/>
        <w:gridCol w:w="1308"/>
        <w:gridCol w:w="5811"/>
      </w:tblGrid>
      <w:tr w14:paraId="3B619299">
        <w:tblPrEx>
          <w:tblCellMar>
            <w:top w:w="0" w:type="dxa"/>
            <w:left w:w="108" w:type="dxa"/>
            <w:bottom w:w="0" w:type="dxa"/>
            <w:right w:w="108" w:type="dxa"/>
          </w:tblCellMar>
        </w:tblPrEx>
        <w:trPr>
          <w:trHeight w:val="604" w:hRule="atLeast"/>
        </w:trPr>
        <w:tc>
          <w:tcPr>
            <w:tcW w:w="1953" w:type="dxa"/>
            <w:tcBorders>
              <w:top w:val="single" w:color="auto" w:sz="6" w:space="0"/>
              <w:left w:val="single" w:color="auto" w:sz="6" w:space="0"/>
              <w:bottom w:val="single" w:color="auto" w:sz="6" w:space="0"/>
              <w:right w:val="single" w:color="auto" w:sz="6" w:space="0"/>
            </w:tcBorders>
            <w:vAlign w:val="center"/>
          </w:tcPr>
          <w:p w14:paraId="5DD41698">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姓名</w:t>
            </w:r>
          </w:p>
        </w:tc>
        <w:tc>
          <w:tcPr>
            <w:tcW w:w="1308" w:type="dxa"/>
            <w:tcBorders>
              <w:top w:val="single" w:color="auto" w:sz="6" w:space="0"/>
              <w:left w:val="single" w:color="auto" w:sz="6" w:space="0"/>
              <w:bottom w:val="single" w:color="auto" w:sz="6" w:space="0"/>
              <w:right w:val="single" w:color="auto" w:sz="6" w:space="0"/>
            </w:tcBorders>
            <w:vAlign w:val="center"/>
          </w:tcPr>
          <w:p w14:paraId="736E88E7">
            <w:pPr>
              <w:autoSpaceDE w:val="0"/>
              <w:autoSpaceDN w:val="0"/>
              <w:spacing w:line="360" w:lineRule="auto"/>
              <w:jc w:val="center"/>
              <w:rPr>
                <w:rFonts w:ascii="仿宋" w:hAnsi="仿宋" w:eastAsia="仿宋" w:cs="仿宋_GB2312"/>
                <w:color w:val="auto"/>
                <w:highlight w:val="none"/>
              </w:rPr>
            </w:pPr>
          </w:p>
        </w:tc>
        <w:tc>
          <w:tcPr>
            <w:tcW w:w="5811" w:type="dxa"/>
            <w:tcBorders>
              <w:top w:val="single" w:color="auto" w:sz="6" w:space="0"/>
              <w:left w:val="single" w:color="auto" w:sz="6" w:space="0"/>
              <w:bottom w:val="single" w:color="auto" w:sz="6" w:space="0"/>
              <w:right w:val="single" w:color="auto" w:sz="6" w:space="0"/>
            </w:tcBorders>
            <w:vAlign w:val="center"/>
          </w:tcPr>
          <w:p w14:paraId="79F88274">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投标截止时间前三年业绩及承担的主要工作情况，曾担任项目负责人的项目应列明细</w:t>
            </w:r>
          </w:p>
        </w:tc>
      </w:tr>
      <w:tr w14:paraId="09963D80">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65D0FDAB">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性别</w:t>
            </w:r>
          </w:p>
        </w:tc>
        <w:tc>
          <w:tcPr>
            <w:tcW w:w="1308" w:type="dxa"/>
            <w:tcBorders>
              <w:top w:val="single" w:color="auto" w:sz="6" w:space="0"/>
              <w:left w:val="single" w:color="auto" w:sz="6" w:space="0"/>
              <w:bottom w:val="single" w:color="auto" w:sz="6" w:space="0"/>
              <w:right w:val="single" w:color="auto" w:sz="6" w:space="0"/>
            </w:tcBorders>
          </w:tcPr>
          <w:p w14:paraId="638EADB0">
            <w:pPr>
              <w:autoSpaceDE w:val="0"/>
              <w:autoSpaceDN w:val="0"/>
              <w:spacing w:line="360" w:lineRule="auto"/>
              <w:jc w:val="center"/>
              <w:rPr>
                <w:rFonts w:ascii="仿宋" w:hAnsi="仿宋" w:eastAsia="仿宋" w:cs="仿宋_GB2312"/>
                <w:color w:val="auto"/>
                <w:highlight w:val="none"/>
              </w:rPr>
            </w:pPr>
          </w:p>
        </w:tc>
        <w:tc>
          <w:tcPr>
            <w:tcW w:w="5811" w:type="dxa"/>
            <w:vMerge w:val="restart"/>
            <w:tcBorders>
              <w:top w:val="single" w:color="auto" w:sz="6" w:space="0"/>
              <w:left w:val="single" w:color="auto" w:sz="6" w:space="0"/>
              <w:bottom w:val="single" w:color="auto" w:sz="6" w:space="0"/>
              <w:right w:val="single" w:color="auto" w:sz="6" w:space="0"/>
            </w:tcBorders>
            <w:vAlign w:val="center"/>
          </w:tcPr>
          <w:p w14:paraId="20021E6D">
            <w:pPr>
              <w:autoSpaceDE w:val="0"/>
              <w:autoSpaceDN w:val="0"/>
              <w:spacing w:line="360" w:lineRule="auto"/>
              <w:jc w:val="center"/>
              <w:rPr>
                <w:rFonts w:ascii="仿宋" w:hAnsi="仿宋" w:eastAsia="仿宋" w:cs="仿宋_GB2312"/>
                <w:color w:val="auto"/>
                <w:highlight w:val="none"/>
              </w:rPr>
            </w:pPr>
          </w:p>
        </w:tc>
      </w:tr>
      <w:tr w14:paraId="0DBC1302">
        <w:tblPrEx>
          <w:tblCellMar>
            <w:top w:w="0" w:type="dxa"/>
            <w:left w:w="108" w:type="dxa"/>
            <w:bottom w:w="0" w:type="dxa"/>
            <w:right w:w="108" w:type="dxa"/>
          </w:tblCellMar>
        </w:tblPrEx>
        <w:trPr>
          <w:cantSplit/>
          <w:trHeight w:val="337" w:hRule="atLeast"/>
        </w:trPr>
        <w:tc>
          <w:tcPr>
            <w:tcW w:w="1953" w:type="dxa"/>
            <w:tcBorders>
              <w:top w:val="single" w:color="auto" w:sz="6" w:space="0"/>
              <w:left w:val="single" w:color="auto" w:sz="6" w:space="0"/>
              <w:bottom w:val="single" w:color="auto" w:sz="6" w:space="0"/>
              <w:right w:val="single" w:color="auto" w:sz="6" w:space="0"/>
            </w:tcBorders>
            <w:vAlign w:val="center"/>
          </w:tcPr>
          <w:p w14:paraId="643973D6">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年龄</w:t>
            </w:r>
          </w:p>
        </w:tc>
        <w:tc>
          <w:tcPr>
            <w:tcW w:w="1308" w:type="dxa"/>
            <w:tcBorders>
              <w:top w:val="single" w:color="auto" w:sz="6" w:space="0"/>
              <w:left w:val="single" w:color="auto" w:sz="6" w:space="0"/>
              <w:bottom w:val="single" w:color="auto" w:sz="6" w:space="0"/>
              <w:right w:val="single" w:color="auto" w:sz="6" w:space="0"/>
            </w:tcBorders>
          </w:tcPr>
          <w:p w14:paraId="2B0F3031">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507ECB5C">
            <w:pPr>
              <w:autoSpaceDE w:val="0"/>
              <w:autoSpaceDN w:val="0"/>
              <w:spacing w:line="360" w:lineRule="auto"/>
              <w:jc w:val="center"/>
              <w:rPr>
                <w:rFonts w:ascii="仿宋" w:hAnsi="仿宋" w:eastAsia="仿宋" w:cs="仿宋_GB2312"/>
                <w:color w:val="auto"/>
                <w:highlight w:val="none"/>
              </w:rPr>
            </w:pPr>
          </w:p>
        </w:tc>
      </w:tr>
      <w:tr w14:paraId="7CDABAA3">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254D6EC9">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职称</w:t>
            </w:r>
          </w:p>
        </w:tc>
        <w:tc>
          <w:tcPr>
            <w:tcW w:w="1308" w:type="dxa"/>
            <w:tcBorders>
              <w:top w:val="single" w:color="auto" w:sz="6" w:space="0"/>
              <w:left w:val="single" w:color="auto" w:sz="6" w:space="0"/>
              <w:bottom w:val="single" w:color="auto" w:sz="6" w:space="0"/>
              <w:right w:val="single" w:color="auto" w:sz="6" w:space="0"/>
            </w:tcBorders>
          </w:tcPr>
          <w:p w14:paraId="409CE47E">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04750F1F">
            <w:pPr>
              <w:autoSpaceDE w:val="0"/>
              <w:autoSpaceDN w:val="0"/>
              <w:spacing w:line="360" w:lineRule="auto"/>
              <w:jc w:val="center"/>
              <w:rPr>
                <w:rFonts w:ascii="仿宋" w:hAnsi="仿宋" w:eastAsia="仿宋" w:cs="仿宋_GB2312"/>
                <w:color w:val="auto"/>
                <w:highlight w:val="none"/>
              </w:rPr>
            </w:pPr>
          </w:p>
        </w:tc>
      </w:tr>
      <w:tr w14:paraId="0DA4A074">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32882787">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毕业时间</w:t>
            </w:r>
          </w:p>
        </w:tc>
        <w:tc>
          <w:tcPr>
            <w:tcW w:w="1308" w:type="dxa"/>
            <w:tcBorders>
              <w:top w:val="single" w:color="auto" w:sz="6" w:space="0"/>
              <w:left w:val="single" w:color="auto" w:sz="6" w:space="0"/>
              <w:bottom w:val="single" w:color="auto" w:sz="6" w:space="0"/>
              <w:right w:val="single" w:color="auto" w:sz="6" w:space="0"/>
            </w:tcBorders>
          </w:tcPr>
          <w:p w14:paraId="0ACAB7D7">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22D2DD6A">
            <w:pPr>
              <w:autoSpaceDE w:val="0"/>
              <w:autoSpaceDN w:val="0"/>
              <w:spacing w:line="360" w:lineRule="auto"/>
              <w:jc w:val="center"/>
              <w:rPr>
                <w:rFonts w:ascii="仿宋" w:hAnsi="仿宋" w:eastAsia="仿宋" w:cs="仿宋_GB2312"/>
                <w:color w:val="auto"/>
                <w:highlight w:val="none"/>
              </w:rPr>
            </w:pPr>
          </w:p>
        </w:tc>
      </w:tr>
      <w:tr w14:paraId="21DF80DD">
        <w:tblPrEx>
          <w:tblCellMar>
            <w:top w:w="0" w:type="dxa"/>
            <w:left w:w="108" w:type="dxa"/>
            <w:bottom w:w="0" w:type="dxa"/>
            <w:right w:w="108" w:type="dxa"/>
          </w:tblCellMar>
        </w:tblPrEx>
        <w:trPr>
          <w:cantSplit/>
          <w:trHeight w:val="422" w:hRule="atLeast"/>
        </w:trPr>
        <w:tc>
          <w:tcPr>
            <w:tcW w:w="1953" w:type="dxa"/>
            <w:tcBorders>
              <w:top w:val="single" w:color="auto" w:sz="6" w:space="0"/>
              <w:left w:val="single" w:color="auto" w:sz="6" w:space="0"/>
              <w:bottom w:val="single" w:color="auto" w:sz="6" w:space="0"/>
              <w:right w:val="single" w:color="auto" w:sz="6" w:space="0"/>
            </w:tcBorders>
            <w:vAlign w:val="center"/>
          </w:tcPr>
          <w:p w14:paraId="42D11D63">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所学专业</w:t>
            </w:r>
          </w:p>
        </w:tc>
        <w:tc>
          <w:tcPr>
            <w:tcW w:w="1308" w:type="dxa"/>
            <w:tcBorders>
              <w:top w:val="single" w:color="auto" w:sz="6" w:space="0"/>
              <w:left w:val="single" w:color="auto" w:sz="6" w:space="0"/>
              <w:bottom w:val="single" w:color="auto" w:sz="6" w:space="0"/>
              <w:right w:val="single" w:color="auto" w:sz="6" w:space="0"/>
            </w:tcBorders>
          </w:tcPr>
          <w:p w14:paraId="079209E9">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7C4877C1">
            <w:pPr>
              <w:autoSpaceDE w:val="0"/>
              <w:autoSpaceDN w:val="0"/>
              <w:spacing w:line="360" w:lineRule="auto"/>
              <w:jc w:val="center"/>
              <w:rPr>
                <w:rFonts w:ascii="仿宋" w:hAnsi="仿宋" w:eastAsia="仿宋" w:cs="仿宋_GB2312"/>
                <w:color w:val="auto"/>
                <w:highlight w:val="none"/>
              </w:rPr>
            </w:pPr>
          </w:p>
        </w:tc>
      </w:tr>
      <w:tr w14:paraId="354C66FD">
        <w:tblPrEx>
          <w:tblCellMar>
            <w:top w:w="0" w:type="dxa"/>
            <w:left w:w="108" w:type="dxa"/>
            <w:bottom w:w="0" w:type="dxa"/>
            <w:right w:w="108" w:type="dxa"/>
          </w:tblCellMar>
        </w:tblPrEx>
        <w:trPr>
          <w:cantSplit/>
          <w:trHeight w:val="416" w:hRule="atLeast"/>
        </w:trPr>
        <w:tc>
          <w:tcPr>
            <w:tcW w:w="1953" w:type="dxa"/>
            <w:tcBorders>
              <w:top w:val="single" w:color="auto" w:sz="6" w:space="0"/>
              <w:left w:val="single" w:color="auto" w:sz="6" w:space="0"/>
              <w:bottom w:val="single" w:color="auto" w:sz="6" w:space="0"/>
              <w:right w:val="single" w:color="auto" w:sz="6" w:space="0"/>
            </w:tcBorders>
            <w:vAlign w:val="center"/>
          </w:tcPr>
          <w:p w14:paraId="41D310AD">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学历</w:t>
            </w:r>
          </w:p>
        </w:tc>
        <w:tc>
          <w:tcPr>
            <w:tcW w:w="1308" w:type="dxa"/>
            <w:tcBorders>
              <w:top w:val="single" w:color="auto" w:sz="6" w:space="0"/>
              <w:left w:val="single" w:color="auto" w:sz="6" w:space="0"/>
              <w:bottom w:val="single" w:color="auto" w:sz="6" w:space="0"/>
              <w:right w:val="single" w:color="auto" w:sz="6" w:space="0"/>
            </w:tcBorders>
          </w:tcPr>
          <w:p w14:paraId="37C14D9C">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37355FAA">
            <w:pPr>
              <w:autoSpaceDE w:val="0"/>
              <w:autoSpaceDN w:val="0"/>
              <w:spacing w:line="360" w:lineRule="auto"/>
              <w:jc w:val="center"/>
              <w:rPr>
                <w:rFonts w:ascii="仿宋" w:hAnsi="仿宋" w:eastAsia="仿宋" w:cs="仿宋_GB2312"/>
                <w:color w:val="auto"/>
                <w:highlight w:val="none"/>
              </w:rPr>
            </w:pPr>
          </w:p>
        </w:tc>
      </w:tr>
      <w:tr w14:paraId="5353CEF3">
        <w:tblPrEx>
          <w:tblCellMar>
            <w:top w:w="0" w:type="dxa"/>
            <w:left w:w="108" w:type="dxa"/>
            <w:bottom w:w="0" w:type="dxa"/>
            <w:right w:w="108" w:type="dxa"/>
          </w:tblCellMar>
        </w:tblPrEx>
        <w:trPr>
          <w:cantSplit/>
          <w:trHeight w:val="356" w:hRule="atLeast"/>
        </w:trPr>
        <w:tc>
          <w:tcPr>
            <w:tcW w:w="1953" w:type="dxa"/>
            <w:tcBorders>
              <w:top w:val="single" w:color="auto" w:sz="6" w:space="0"/>
              <w:left w:val="single" w:color="auto" w:sz="6" w:space="0"/>
              <w:bottom w:val="single" w:color="auto" w:sz="6" w:space="0"/>
              <w:right w:val="single" w:color="auto" w:sz="6" w:space="0"/>
            </w:tcBorders>
            <w:vAlign w:val="center"/>
          </w:tcPr>
          <w:p w14:paraId="27F20482">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相关资质证书</w:t>
            </w:r>
          </w:p>
        </w:tc>
        <w:tc>
          <w:tcPr>
            <w:tcW w:w="1308" w:type="dxa"/>
            <w:tcBorders>
              <w:top w:val="single" w:color="auto" w:sz="6" w:space="0"/>
              <w:left w:val="single" w:color="auto" w:sz="6" w:space="0"/>
              <w:bottom w:val="single" w:color="auto" w:sz="6" w:space="0"/>
              <w:right w:val="single" w:color="auto" w:sz="6" w:space="0"/>
            </w:tcBorders>
          </w:tcPr>
          <w:p w14:paraId="34288363">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1BE8EEA2">
            <w:pPr>
              <w:autoSpaceDE w:val="0"/>
              <w:autoSpaceDN w:val="0"/>
              <w:spacing w:line="360" w:lineRule="auto"/>
              <w:jc w:val="center"/>
              <w:rPr>
                <w:rFonts w:ascii="仿宋" w:hAnsi="仿宋" w:eastAsia="仿宋" w:cs="仿宋_GB2312"/>
                <w:color w:val="auto"/>
                <w:highlight w:val="none"/>
              </w:rPr>
            </w:pPr>
          </w:p>
        </w:tc>
      </w:tr>
      <w:tr w14:paraId="4EA79A1F">
        <w:tblPrEx>
          <w:tblCellMar>
            <w:top w:w="0" w:type="dxa"/>
            <w:left w:w="108" w:type="dxa"/>
            <w:bottom w:w="0" w:type="dxa"/>
            <w:right w:w="108" w:type="dxa"/>
          </w:tblCellMar>
        </w:tblPrEx>
        <w:trPr>
          <w:cantSplit/>
          <w:trHeight w:val="177" w:hRule="atLeast"/>
        </w:trPr>
        <w:tc>
          <w:tcPr>
            <w:tcW w:w="1953" w:type="dxa"/>
            <w:tcBorders>
              <w:top w:val="single" w:color="auto" w:sz="6" w:space="0"/>
              <w:left w:val="single" w:color="auto" w:sz="6" w:space="0"/>
              <w:bottom w:val="single" w:color="auto" w:sz="6" w:space="0"/>
              <w:right w:val="single" w:color="auto" w:sz="6" w:space="0"/>
            </w:tcBorders>
            <w:vAlign w:val="center"/>
          </w:tcPr>
          <w:p w14:paraId="1A9B0768">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其他资质情况</w:t>
            </w:r>
          </w:p>
        </w:tc>
        <w:tc>
          <w:tcPr>
            <w:tcW w:w="1308" w:type="dxa"/>
            <w:tcBorders>
              <w:top w:val="single" w:color="auto" w:sz="6" w:space="0"/>
              <w:left w:val="single" w:color="auto" w:sz="6" w:space="0"/>
              <w:bottom w:val="single" w:color="auto" w:sz="6" w:space="0"/>
              <w:right w:val="single" w:color="auto" w:sz="6" w:space="0"/>
            </w:tcBorders>
          </w:tcPr>
          <w:p w14:paraId="4DA8A71B">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3C8CE270">
            <w:pPr>
              <w:autoSpaceDE w:val="0"/>
              <w:autoSpaceDN w:val="0"/>
              <w:spacing w:line="360" w:lineRule="auto"/>
              <w:jc w:val="center"/>
              <w:rPr>
                <w:rFonts w:ascii="仿宋" w:hAnsi="仿宋" w:eastAsia="仿宋" w:cs="仿宋_GB2312"/>
                <w:color w:val="auto"/>
                <w:highlight w:val="none"/>
              </w:rPr>
            </w:pPr>
          </w:p>
        </w:tc>
      </w:tr>
      <w:tr w14:paraId="5AE7C6DB">
        <w:tblPrEx>
          <w:tblCellMar>
            <w:top w:w="0" w:type="dxa"/>
            <w:left w:w="108" w:type="dxa"/>
            <w:bottom w:w="0" w:type="dxa"/>
            <w:right w:w="108" w:type="dxa"/>
          </w:tblCellMar>
        </w:tblPrEx>
        <w:trPr>
          <w:cantSplit/>
          <w:trHeight w:val="169" w:hRule="atLeast"/>
        </w:trPr>
        <w:tc>
          <w:tcPr>
            <w:tcW w:w="1953" w:type="dxa"/>
            <w:tcBorders>
              <w:top w:val="single" w:color="auto" w:sz="6" w:space="0"/>
              <w:left w:val="single" w:color="auto" w:sz="6" w:space="0"/>
              <w:bottom w:val="single" w:color="auto" w:sz="6" w:space="0"/>
              <w:right w:val="single" w:color="auto" w:sz="6" w:space="0"/>
            </w:tcBorders>
            <w:vAlign w:val="center"/>
          </w:tcPr>
          <w:p w14:paraId="7AE53DC3">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联系电话</w:t>
            </w:r>
          </w:p>
        </w:tc>
        <w:tc>
          <w:tcPr>
            <w:tcW w:w="1308" w:type="dxa"/>
            <w:tcBorders>
              <w:top w:val="single" w:color="auto" w:sz="6" w:space="0"/>
              <w:left w:val="single" w:color="auto" w:sz="6" w:space="0"/>
              <w:bottom w:val="single" w:color="auto" w:sz="6" w:space="0"/>
              <w:right w:val="single" w:color="auto" w:sz="6" w:space="0"/>
            </w:tcBorders>
          </w:tcPr>
          <w:p w14:paraId="2F152699">
            <w:pPr>
              <w:autoSpaceDE w:val="0"/>
              <w:autoSpaceDN w:val="0"/>
              <w:spacing w:line="360" w:lineRule="auto"/>
              <w:jc w:val="center"/>
              <w:rPr>
                <w:rFonts w:ascii="仿宋" w:hAnsi="仿宋" w:eastAsia="仿宋" w:cs="仿宋_GB2312"/>
                <w:color w:val="auto"/>
                <w:highlight w:val="none"/>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7306FEC8">
            <w:pPr>
              <w:autoSpaceDE w:val="0"/>
              <w:autoSpaceDN w:val="0"/>
              <w:spacing w:line="360" w:lineRule="auto"/>
              <w:jc w:val="center"/>
              <w:rPr>
                <w:rFonts w:ascii="仿宋" w:hAnsi="仿宋" w:eastAsia="仿宋" w:cs="仿宋_GB2312"/>
                <w:color w:val="auto"/>
                <w:highlight w:val="none"/>
              </w:rPr>
            </w:pPr>
          </w:p>
        </w:tc>
      </w:tr>
    </w:tbl>
    <w:p w14:paraId="00544A9F">
      <w:pPr>
        <w:spacing w:line="360" w:lineRule="auto"/>
        <w:ind w:right="420"/>
        <w:rPr>
          <w:rFonts w:ascii="仿宋" w:hAnsi="仿宋" w:eastAsia="仿宋" w:cs="仿宋_GB2312"/>
          <w:color w:val="auto"/>
          <w:highlight w:val="none"/>
        </w:rPr>
      </w:pPr>
    </w:p>
    <w:p w14:paraId="5D30DED5">
      <w:pPr>
        <w:autoSpaceDE w:val="0"/>
        <w:autoSpaceDN w:val="0"/>
        <w:spacing w:line="360" w:lineRule="auto"/>
        <w:ind w:firstLine="4560" w:firstLineChars="1900"/>
        <w:rPr>
          <w:rFonts w:ascii="仿宋" w:hAnsi="仿宋" w:eastAsia="仿宋" w:cs="仿宋_GB2312"/>
          <w:color w:val="auto"/>
          <w:highlight w:val="none"/>
        </w:rPr>
      </w:pPr>
      <w:r>
        <w:rPr>
          <w:rFonts w:hint="eastAsia" w:ascii="仿宋" w:hAnsi="仿宋" w:eastAsia="仿宋" w:cs="仿宋_GB2312"/>
          <w:color w:val="auto"/>
          <w:highlight w:val="none"/>
        </w:rPr>
        <w:t>投标人名称（</w:t>
      </w:r>
      <w:r>
        <w:rPr>
          <w:rFonts w:hint="eastAsia" w:ascii="仿宋" w:hAnsi="仿宋" w:eastAsia="仿宋" w:cs="仿宋_GB2312"/>
          <w:color w:val="auto"/>
          <w:highlight w:val="none"/>
          <w:lang w:val="zh-CN"/>
        </w:rPr>
        <w:t>电子签名</w:t>
      </w:r>
      <w:r>
        <w:rPr>
          <w:rFonts w:hint="eastAsia" w:ascii="仿宋" w:hAnsi="仿宋" w:eastAsia="仿宋" w:cs="仿宋_GB2312"/>
          <w:color w:val="auto"/>
          <w:highlight w:val="none"/>
        </w:rPr>
        <w:t>）：</w:t>
      </w:r>
    </w:p>
    <w:p w14:paraId="6049930E">
      <w:pPr>
        <w:snapToGrid w:val="0"/>
        <w:spacing w:before="50" w:after="50"/>
        <w:rPr>
          <w:rFonts w:ascii="仿宋" w:hAnsi="仿宋" w:eastAsia="仿宋" w:cs="仿宋_GB2312"/>
          <w:color w:val="auto"/>
          <w:highlight w:val="none"/>
        </w:rPr>
      </w:pPr>
      <w:r>
        <w:rPr>
          <w:rFonts w:hint="eastAsia" w:ascii="仿宋" w:hAnsi="仿宋" w:eastAsia="仿宋" w:cs="仿宋_GB2312"/>
          <w:color w:val="auto"/>
          <w:highlight w:val="none"/>
        </w:rPr>
        <w:t xml:space="preserve">                                       日期：  年  月   日</w:t>
      </w:r>
    </w:p>
    <w:p w14:paraId="40EE8E04">
      <w:pPr>
        <w:spacing w:line="360" w:lineRule="auto"/>
        <w:jc w:val="center"/>
        <w:rPr>
          <w:rFonts w:ascii="仿宋" w:hAnsi="仿宋" w:eastAsia="仿宋" w:cs="仿宋_GB2312"/>
          <w:b/>
          <w:bCs/>
          <w:color w:val="auto"/>
          <w:sz w:val="32"/>
          <w:szCs w:val="32"/>
          <w:highlight w:val="none"/>
        </w:rPr>
      </w:pPr>
      <w:r>
        <w:rPr>
          <w:rFonts w:hint="eastAsia" w:ascii="仿宋" w:hAnsi="仿宋" w:eastAsia="仿宋" w:cs="仿宋_GB2312"/>
          <w:color w:val="auto"/>
          <w:highlight w:val="none"/>
        </w:rPr>
        <w:br w:type="page"/>
      </w:r>
      <w:r>
        <w:rPr>
          <w:rFonts w:hint="eastAsia" w:ascii="仿宋" w:hAnsi="仿宋" w:eastAsia="仿宋" w:cs="仿宋_GB2312"/>
          <w:b/>
          <w:bCs/>
          <w:color w:val="auto"/>
          <w:sz w:val="32"/>
          <w:szCs w:val="32"/>
          <w:highlight w:val="none"/>
        </w:rPr>
        <w:t>八、项目组人员名单</w:t>
      </w:r>
    </w:p>
    <w:p w14:paraId="14837A4E">
      <w:pPr>
        <w:spacing w:line="360" w:lineRule="auto"/>
        <w:rPr>
          <w:rFonts w:ascii="仿宋" w:hAnsi="仿宋" w:eastAsia="仿宋" w:cs="仿宋_GB2312"/>
          <w:color w:val="auto"/>
          <w:highlight w:val="none"/>
        </w:rPr>
      </w:pPr>
    </w:p>
    <w:tbl>
      <w:tblPr>
        <w:tblStyle w:val="43"/>
        <w:tblW w:w="9072" w:type="dxa"/>
        <w:jc w:val="center"/>
        <w:tblLayout w:type="fixed"/>
        <w:tblCellMar>
          <w:top w:w="0" w:type="dxa"/>
          <w:left w:w="108" w:type="dxa"/>
          <w:bottom w:w="0" w:type="dxa"/>
          <w:right w:w="108" w:type="dxa"/>
        </w:tblCellMar>
      </w:tblPr>
      <w:tblGrid>
        <w:gridCol w:w="709"/>
        <w:gridCol w:w="851"/>
        <w:gridCol w:w="708"/>
        <w:gridCol w:w="709"/>
        <w:gridCol w:w="709"/>
        <w:gridCol w:w="1134"/>
        <w:gridCol w:w="709"/>
        <w:gridCol w:w="3543"/>
      </w:tblGrid>
      <w:tr w14:paraId="59E1F698">
        <w:tblPrEx>
          <w:tblCellMar>
            <w:top w:w="0" w:type="dxa"/>
            <w:left w:w="108" w:type="dxa"/>
            <w:bottom w:w="0" w:type="dxa"/>
            <w:right w:w="108" w:type="dxa"/>
          </w:tblCellMar>
        </w:tblPrEx>
        <w:trPr>
          <w:jc w:val="center"/>
        </w:trPr>
        <w:tc>
          <w:tcPr>
            <w:tcW w:w="709" w:type="dxa"/>
            <w:tcBorders>
              <w:top w:val="single" w:color="auto" w:sz="6" w:space="0"/>
              <w:left w:val="single" w:color="auto" w:sz="6" w:space="0"/>
              <w:bottom w:val="single" w:color="auto" w:sz="6" w:space="0"/>
              <w:right w:val="single" w:color="auto" w:sz="6" w:space="0"/>
            </w:tcBorders>
            <w:vAlign w:val="center"/>
          </w:tcPr>
          <w:p w14:paraId="1904D69D">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序号</w:t>
            </w:r>
          </w:p>
        </w:tc>
        <w:tc>
          <w:tcPr>
            <w:tcW w:w="851" w:type="dxa"/>
            <w:tcBorders>
              <w:top w:val="single" w:color="auto" w:sz="6" w:space="0"/>
              <w:left w:val="single" w:color="auto" w:sz="6" w:space="0"/>
              <w:bottom w:val="single" w:color="auto" w:sz="6" w:space="0"/>
              <w:right w:val="single" w:color="auto" w:sz="6" w:space="0"/>
            </w:tcBorders>
            <w:vAlign w:val="center"/>
          </w:tcPr>
          <w:p w14:paraId="7B77E200">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姓名</w:t>
            </w:r>
          </w:p>
        </w:tc>
        <w:tc>
          <w:tcPr>
            <w:tcW w:w="708" w:type="dxa"/>
            <w:tcBorders>
              <w:top w:val="single" w:color="auto" w:sz="6" w:space="0"/>
              <w:left w:val="single" w:color="auto" w:sz="6" w:space="0"/>
              <w:bottom w:val="single" w:color="auto" w:sz="6" w:space="0"/>
              <w:right w:val="single" w:color="auto" w:sz="6" w:space="0"/>
            </w:tcBorders>
            <w:vAlign w:val="center"/>
          </w:tcPr>
          <w:p w14:paraId="5DC2707D">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性别</w:t>
            </w:r>
          </w:p>
        </w:tc>
        <w:tc>
          <w:tcPr>
            <w:tcW w:w="709" w:type="dxa"/>
            <w:tcBorders>
              <w:top w:val="single" w:color="auto" w:sz="6" w:space="0"/>
              <w:left w:val="single" w:color="auto" w:sz="6" w:space="0"/>
              <w:bottom w:val="single" w:color="auto" w:sz="6" w:space="0"/>
              <w:right w:val="single" w:color="auto" w:sz="6" w:space="0"/>
            </w:tcBorders>
            <w:vAlign w:val="center"/>
          </w:tcPr>
          <w:p w14:paraId="6428F795">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年龄</w:t>
            </w:r>
          </w:p>
        </w:tc>
        <w:tc>
          <w:tcPr>
            <w:tcW w:w="709" w:type="dxa"/>
            <w:tcBorders>
              <w:top w:val="single" w:color="auto" w:sz="6" w:space="0"/>
              <w:left w:val="single" w:color="auto" w:sz="6" w:space="0"/>
              <w:bottom w:val="single" w:color="auto" w:sz="6" w:space="0"/>
              <w:right w:val="single" w:color="auto" w:sz="6" w:space="0"/>
            </w:tcBorders>
            <w:vAlign w:val="center"/>
          </w:tcPr>
          <w:p w14:paraId="28BEFB15">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学历</w:t>
            </w:r>
          </w:p>
        </w:tc>
        <w:tc>
          <w:tcPr>
            <w:tcW w:w="1134" w:type="dxa"/>
            <w:tcBorders>
              <w:top w:val="single" w:color="auto" w:sz="6" w:space="0"/>
              <w:left w:val="single" w:color="auto" w:sz="6" w:space="0"/>
              <w:bottom w:val="single" w:color="auto" w:sz="6" w:space="0"/>
              <w:right w:val="single" w:color="auto" w:sz="6" w:space="0"/>
            </w:tcBorders>
            <w:vAlign w:val="center"/>
          </w:tcPr>
          <w:p w14:paraId="17AD0E3A">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专业</w:t>
            </w:r>
          </w:p>
        </w:tc>
        <w:tc>
          <w:tcPr>
            <w:tcW w:w="709" w:type="dxa"/>
            <w:tcBorders>
              <w:top w:val="single" w:color="auto" w:sz="6" w:space="0"/>
              <w:left w:val="single" w:color="auto" w:sz="6" w:space="0"/>
              <w:bottom w:val="single" w:color="auto" w:sz="6" w:space="0"/>
              <w:right w:val="single" w:color="auto" w:sz="6" w:space="0"/>
            </w:tcBorders>
            <w:vAlign w:val="center"/>
          </w:tcPr>
          <w:p w14:paraId="5E7F69EE">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职称</w:t>
            </w:r>
          </w:p>
        </w:tc>
        <w:tc>
          <w:tcPr>
            <w:tcW w:w="3543" w:type="dxa"/>
            <w:tcBorders>
              <w:top w:val="single" w:color="auto" w:sz="6" w:space="0"/>
              <w:left w:val="single" w:color="auto" w:sz="6" w:space="0"/>
              <w:bottom w:val="single" w:color="auto" w:sz="6" w:space="0"/>
              <w:right w:val="single" w:color="auto" w:sz="6" w:space="0"/>
            </w:tcBorders>
            <w:vAlign w:val="center"/>
          </w:tcPr>
          <w:p w14:paraId="578BE355">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本项目中的工作内容</w:t>
            </w:r>
          </w:p>
        </w:tc>
      </w:tr>
      <w:tr w14:paraId="43FC3E57">
        <w:tblPrEx>
          <w:tblCellMar>
            <w:top w:w="0" w:type="dxa"/>
            <w:left w:w="108" w:type="dxa"/>
            <w:bottom w:w="0" w:type="dxa"/>
            <w:right w:w="108" w:type="dxa"/>
          </w:tblCellMar>
        </w:tblPrEx>
        <w:trPr>
          <w:trHeight w:val="479" w:hRule="atLeast"/>
          <w:jc w:val="center"/>
        </w:trPr>
        <w:tc>
          <w:tcPr>
            <w:tcW w:w="709" w:type="dxa"/>
            <w:tcBorders>
              <w:top w:val="single" w:color="auto" w:sz="6" w:space="0"/>
              <w:left w:val="single" w:color="auto" w:sz="6" w:space="0"/>
              <w:bottom w:val="single" w:color="auto" w:sz="6" w:space="0"/>
              <w:right w:val="single" w:color="auto" w:sz="6" w:space="0"/>
            </w:tcBorders>
          </w:tcPr>
          <w:p w14:paraId="03307ADF">
            <w:pPr>
              <w:autoSpaceDE w:val="0"/>
              <w:autoSpaceDN w:val="0"/>
              <w:spacing w:line="360" w:lineRule="auto"/>
              <w:jc w:val="center"/>
              <w:rPr>
                <w:rFonts w:ascii="仿宋" w:hAnsi="仿宋" w:eastAsia="仿宋" w:cs="仿宋_GB2312"/>
                <w:color w:val="auto"/>
                <w:highlight w:val="none"/>
              </w:rPr>
            </w:pPr>
          </w:p>
        </w:tc>
        <w:tc>
          <w:tcPr>
            <w:tcW w:w="851" w:type="dxa"/>
            <w:tcBorders>
              <w:top w:val="single" w:color="auto" w:sz="6" w:space="0"/>
              <w:left w:val="single" w:color="auto" w:sz="6" w:space="0"/>
              <w:bottom w:val="single" w:color="auto" w:sz="6" w:space="0"/>
              <w:right w:val="single" w:color="auto" w:sz="6" w:space="0"/>
            </w:tcBorders>
          </w:tcPr>
          <w:p w14:paraId="174DCE72">
            <w:pPr>
              <w:autoSpaceDE w:val="0"/>
              <w:autoSpaceDN w:val="0"/>
              <w:spacing w:line="360" w:lineRule="auto"/>
              <w:jc w:val="center"/>
              <w:rPr>
                <w:rFonts w:ascii="仿宋" w:hAnsi="仿宋" w:eastAsia="仿宋" w:cs="仿宋_GB2312"/>
                <w:color w:val="auto"/>
                <w:highlight w:val="none"/>
              </w:rPr>
            </w:pPr>
          </w:p>
        </w:tc>
        <w:tc>
          <w:tcPr>
            <w:tcW w:w="708" w:type="dxa"/>
            <w:tcBorders>
              <w:top w:val="single" w:color="auto" w:sz="6" w:space="0"/>
              <w:left w:val="single" w:color="auto" w:sz="6" w:space="0"/>
              <w:bottom w:val="single" w:color="auto" w:sz="6" w:space="0"/>
              <w:right w:val="single" w:color="auto" w:sz="6" w:space="0"/>
            </w:tcBorders>
          </w:tcPr>
          <w:p w14:paraId="7436BC53">
            <w:pPr>
              <w:autoSpaceDE w:val="0"/>
              <w:autoSpaceDN w:val="0"/>
              <w:spacing w:line="360" w:lineRule="auto"/>
              <w:rPr>
                <w:rFonts w:ascii="仿宋" w:hAnsi="仿宋" w:eastAsia="仿宋" w:cs="仿宋_GB2312"/>
                <w:color w:val="auto"/>
                <w:highlight w:val="none"/>
              </w:rPr>
            </w:pPr>
          </w:p>
        </w:tc>
        <w:tc>
          <w:tcPr>
            <w:tcW w:w="709" w:type="dxa"/>
            <w:tcBorders>
              <w:top w:val="single" w:color="auto" w:sz="6" w:space="0"/>
              <w:left w:val="single" w:color="auto" w:sz="6" w:space="0"/>
              <w:bottom w:val="single" w:color="auto" w:sz="6" w:space="0"/>
              <w:right w:val="single" w:color="auto" w:sz="6" w:space="0"/>
            </w:tcBorders>
          </w:tcPr>
          <w:p w14:paraId="4C805B85">
            <w:pPr>
              <w:autoSpaceDE w:val="0"/>
              <w:autoSpaceDN w:val="0"/>
              <w:spacing w:line="360" w:lineRule="auto"/>
              <w:rPr>
                <w:rFonts w:ascii="仿宋" w:hAnsi="仿宋" w:eastAsia="仿宋" w:cs="仿宋_GB2312"/>
                <w:color w:val="auto"/>
                <w:highlight w:val="none"/>
              </w:rPr>
            </w:pPr>
          </w:p>
        </w:tc>
        <w:tc>
          <w:tcPr>
            <w:tcW w:w="709" w:type="dxa"/>
            <w:tcBorders>
              <w:top w:val="single" w:color="auto" w:sz="6" w:space="0"/>
              <w:left w:val="single" w:color="auto" w:sz="6" w:space="0"/>
              <w:bottom w:val="single" w:color="auto" w:sz="6" w:space="0"/>
              <w:right w:val="single" w:color="auto" w:sz="6" w:space="0"/>
            </w:tcBorders>
          </w:tcPr>
          <w:p w14:paraId="5D34FA6E">
            <w:pPr>
              <w:autoSpaceDE w:val="0"/>
              <w:autoSpaceDN w:val="0"/>
              <w:spacing w:line="360" w:lineRule="auto"/>
              <w:rPr>
                <w:rFonts w:ascii="仿宋" w:hAnsi="仿宋" w:eastAsia="仿宋" w:cs="仿宋_GB2312"/>
                <w:color w:val="auto"/>
                <w:highlight w:val="none"/>
              </w:rPr>
            </w:pPr>
          </w:p>
        </w:tc>
        <w:tc>
          <w:tcPr>
            <w:tcW w:w="1134" w:type="dxa"/>
            <w:tcBorders>
              <w:top w:val="single" w:color="auto" w:sz="6" w:space="0"/>
              <w:left w:val="single" w:color="auto" w:sz="6" w:space="0"/>
              <w:bottom w:val="single" w:color="auto" w:sz="6" w:space="0"/>
              <w:right w:val="single" w:color="auto" w:sz="6" w:space="0"/>
            </w:tcBorders>
          </w:tcPr>
          <w:p w14:paraId="79A94769">
            <w:pPr>
              <w:autoSpaceDE w:val="0"/>
              <w:autoSpaceDN w:val="0"/>
              <w:spacing w:line="360" w:lineRule="auto"/>
              <w:rPr>
                <w:rFonts w:ascii="仿宋" w:hAnsi="仿宋" w:eastAsia="仿宋" w:cs="仿宋_GB2312"/>
                <w:color w:val="auto"/>
                <w:highlight w:val="none"/>
              </w:rPr>
            </w:pPr>
          </w:p>
        </w:tc>
        <w:tc>
          <w:tcPr>
            <w:tcW w:w="709" w:type="dxa"/>
            <w:tcBorders>
              <w:top w:val="single" w:color="auto" w:sz="6" w:space="0"/>
              <w:left w:val="single" w:color="auto" w:sz="6" w:space="0"/>
              <w:bottom w:val="single" w:color="auto" w:sz="6" w:space="0"/>
              <w:right w:val="single" w:color="auto" w:sz="6" w:space="0"/>
            </w:tcBorders>
          </w:tcPr>
          <w:p w14:paraId="27A91868">
            <w:pPr>
              <w:autoSpaceDE w:val="0"/>
              <w:autoSpaceDN w:val="0"/>
              <w:spacing w:line="360" w:lineRule="auto"/>
              <w:rPr>
                <w:rFonts w:ascii="仿宋" w:hAnsi="仿宋" w:eastAsia="仿宋" w:cs="仿宋_GB2312"/>
                <w:color w:val="auto"/>
                <w:highlight w:val="none"/>
              </w:rPr>
            </w:pPr>
          </w:p>
        </w:tc>
        <w:tc>
          <w:tcPr>
            <w:tcW w:w="3543" w:type="dxa"/>
            <w:tcBorders>
              <w:top w:val="single" w:color="auto" w:sz="6" w:space="0"/>
              <w:left w:val="single" w:color="auto" w:sz="6" w:space="0"/>
              <w:bottom w:val="single" w:color="auto" w:sz="6" w:space="0"/>
              <w:right w:val="single" w:color="auto" w:sz="6" w:space="0"/>
            </w:tcBorders>
          </w:tcPr>
          <w:p w14:paraId="73B8E229">
            <w:pPr>
              <w:autoSpaceDE w:val="0"/>
              <w:autoSpaceDN w:val="0"/>
              <w:spacing w:line="360" w:lineRule="auto"/>
              <w:rPr>
                <w:rFonts w:ascii="仿宋" w:hAnsi="仿宋" w:eastAsia="仿宋" w:cs="仿宋_GB2312"/>
                <w:color w:val="auto"/>
                <w:highlight w:val="none"/>
              </w:rPr>
            </w:pPr>
          </w:p>
        </w:tc>
      </w:tr>
      <w:tr w14:paraId="711BE416">
        <w:tblPrEx>
          <w:tblCellMar>
            <w:top w:w="0" w:type="dxa"/>
            <w:left w:w="108" w:type="dxa"/>
            <w:bottom w:w="0" w:type="dxa"/>
            <w:right w:w="108" w:type="dxa"/>
          </w:tblCellMar>
        </w:tblPrEx>
        <w:trPr>
          <w:trHeight w:val="473" w:hRule="atLeast"/>
          <w:jc w:val="center"/>
        </w:trPr>
        <w:tc>
          <w:tcPr>
            <w:tcW w:w="709" w:type="dxa"/>
            <w:tcBorders>
              <w:top w:val="single" w:color="auto" w:sz="6" w:space="0"/>
              <w:left w:val="single" w:color="auto" w:sz="6" w:space="0"/>
              <w:bottom w:val="single" w:color="auto" w:sz="6" w:space="0"/>
              <w:right w:val="single" w:color="auto" w:sz="6" w:space="0"/>
            </w:tcBorders>
          </w:tcPr>
          <w:p w14:paraId="695EA483">
            <w:pPr>
              <w:autoSpaceDE w:val="0"/>
              <w:autoSpaceDN w:val="0"/>
              <w:spacing w:line="360" w:lineRule="auto"/>
              <w:jc w:val="center"/>
              <w:rPr>
                <w:rFonts w:ascii="仿宋" w:hAnsi="仿宋" w:eastAsia="仿宋" w:cs="仿宋_GB2312"/>
                <w:color w:val="auto"/>
                <w:highlight w:val="none"/>
              </w:rPr>
            </w:pPr>
          </w:p>
        </w:tc>
        <w:tc>
          <w:tcPr>
            <w:tcW w:w="851" w:type="dxa"/>
            <w:tcBorders>
              <w:top w:val="single" w:color="auto" w:sz="6" w:space="0"/>
              <w:left w:val="single" w:color="auto" w:sz="6" w:space="0"/>
              <w:bottom w:val="single" w:color="auto" w:sz="6" w:space="0"/>
              <w:right w:val="single" w:color="auto" w:sz="6" w:space="0"/>
            </w:tcBorders>
          </w:tcPr>
          <w:p w14:paraId="1285283B">
            <w:pPr>
              <w:autoSpaceDE w:val="0"/>
              <w:autoSpaceDN w:val="0"/>
              <w:spacing w:line="360" w:lineRule="auto"/>
              <w:jc w:val="center"/>
              <w:rPr>
                <w:rFonts w:ascii="仿宋" w:hAnsi="仿宋" w:eastAsia="仿宋" w:cs="仿宋_GB2312"/>
                <w:color w:val="auto"/>
                <w:highlight w:val="none"/>
              </w:rPr>
            </w:pPr>
          </w:p>
        </w:tc>
        <w:tc>
          <w:tcPr>
            <w:tcW w:w="708" w:type="dxa"/>
            <w:tcBorders>
              <w:top w:val="single" w:color="auto" w:sz="6" w:space="0"/>
              <w:left w:val="single" w:color="auto" w:sz="6" w:space="0"/>
              <w:bottom w:val="single" w:color="auto" w:sz="6" w:space="0"/>
              <w:right w:val="single" w:color="auto" w:sz="6" w:space="0"/>
            </w:tcBorders>
          </w:tcPr>
          <w:p w14:paraId="47219347">
            <w:pPr>
              <w:autoSpaceDE w:val="0"/>
              <w:autoSpaceDN w:val="0"/>
              <w:spacing w:line="360" w:lineRule="auto"/>
              <w:rPr>
                <w:rFonts w:ascii="仿宋" w:hAnsi="仿宋" w:eastAsia="仿宋" w:cs="仿宋_GB2312"/>
                <w:color w:val="auto"/>
                <w:highlight w:val="none"/>
              </w:rPr>
            </w:pPr>
          </w:p>
        </w:tc>
        <w:tc>
          <w:tcPr>
            <w:tcW w:w="709" w:type="dxa"/>
            <w:tcBorders>
              <w:top w:val="single" w:color="auto" w:sz="6" w:space="0"/>
              <w:left w:val="single" w:color="auto" w:sz="6" w:space="0"/>
              <w:bottom w:val="single" w:color="auto" w:sz="6" w:space="0"/>
              <w:right w:val="single" w:color="auto" w:sz="6" w:space="0"/>
            </w:tcBorders>
          </w:tcPr>
          <w:p w14:paraId="04F57B90">
            <w:pPr>
              <w:autoSpaceDE w:val="0"/>
              <w:autoSpaceDN w:val="0"/>
              <w:spacing w:line="360" w:lineRule="auto"/>
              <w:rPr>
                <w:rFonts w:ascii="仿宋" w:hAnsi="仿宋" w:eastAsia="仿宋" w:cs="仿宋_GB2312"/>
                <w:color w:val="auto"/>
                <w:highlight w:val="none"/>
              </w:rPr>
            </w:pPr>
          </w:p>
        </w:tc>
        <w:tc>
          <w:tcPr>
            <w:tcW w:w="709" w:type="dxa"/>
            <w:tcBorders>
              <w:top w:val="single" w:color="auto" w:sz="6" w:space="0"/>
              <w:left w:val="single" w:color="auto" w:sz="6" w:space="0"/>
              <w:bottom w:val="single" w:color="auto" w:sz="6" w:space="0"/>
              <w:right w:val="single" w:color="auto" w:sz="6" w:space="0"/>
            </w:tcBorders>
          </w:tcPr>
          <w:p w14:paraId="6E61C7E3">
            <w:pPr>
              <w:autoSpaceDE w:val="0"/>
              <w:autoSpaceDN w:val="0"/>
              <w:spacing w:line="360" w:lineRule="auto"/>
              <w:rPr>
                <w:rFonts w:ascii="仿宋" w:hAnsi="仿宋" w:eastAsia="仿宋" w:cs="仿宋_GB2312"/>
                <w:color w:val="auto"/>
                <w:highlight w:val="none"/>
              </w:rPr>
            </w:pPr>
          </w:p>
        </w:tc>
        <w:tc>
          <w:tcPr>
            <w:tcW w:w="1134" w:type="dxa"/>
            <w:tcBorders>
              <w:top w:val="single" w:color="auto" w:sz="6" w:space="0"/>
              <w:left w:val="single" w:color="auto" w:sz="6" w:space="0"/>
              <w:bottom w:val="single" w:color="auto" w:sz="6" w:space="0"/>
              <w:right w:val="single" w:color="auto" w:sz="6" w:space="0"/>
            </w:tcBorders>
          </w:tcPr>
          <w:p w14:paraId="2846E04E">
            <w:pPr>
              <w:autoSpaceDE w:val="0"/>
              <w:autoSpaceDN w:val="0"/>
              <w:spacing w:line="360" w:lineRule="auto"/>
              <w:rPr>
                <w:rFonts w:ascii="仿宋" w:hAnsi="仿宋" w:eastAsia="仿宋" w:cs="仿宋_GB2312"/>
                <w:color w:val="auto"/>
                <w:highlight w:val="none"/>
              </w:rPr>
            </w:pPr>
          </w:p>
        </w:tc>
        <w:tc>
          <w:tcPr>
            <w:tcW w:w="709" w:type="dxa"/>
            <w:tcBorders>
              <w:top w:val="single" w:color="auto" w:sz="6" w:space="0"/>
              <w:left w:val="single" w:color="auto" w:sz="6" w:space="0"/>
              <w:bottom w:val="single" w:color="auto" w:sz="6" w:space="0"/>
              <w:right w:val="single" w:color="auto" w:sz="6" w:space="0"/>
            </w:tcBorders>
          </w:tcPr>
          <w:p w14:paraId="413D7F38">
            <w:pPr>
              <w:autoSpaceDE w:val="0"/>
              <w:autoSpaceDN w:val="0"/>
              <w:spacing w:line="360" w:lineRule="auto"/>
              <w:rPr>
                <w:rFonts w:ascii="仿宋" w:hAnsi="仿宋" w:eastAsia="仿宋" w:cs="仿宋_GB2312"/>
                <w:color w:val="auto"/>
                <w:highlight w:val="none"/>
              </w:rPr>
            </w:pPr>
          </w:p>
        </w:tc>
        <w:tc>
          <w:tcPr>
            <w:tcW w:w="3543" w:type="dxa"/>
            <w:tcBorders>
              <w:top w:val="single" w:color="auto" w:sz="6" w:space="0"/>
              <w:left w:val="single" w:color="auto" w:sz="6" w:space="0"/>
              <w:bottom w:val="single" w:color="auto" w:sz="6" w:space="0"/>
              <w:right w:val="single" w:color="auto" w:sz="6" w:space="0"/>
            </w:tcBorders>
          </w:tcPr>
          <w:p w14:paraId="3B835CE4">
            <w:pPr>
              <w:autoSpaceDE w:val="0"/>
              <w:autoSpaceDN w:val="0"/>
              <w:spacing w:line="360" w:lineRule="auto"/>
              <w:rPr>
                <w:rFonts w:ascii="仿宋" w:hAnsi="仿宋" w:eastAsia="仿宋" w:cs="仿宋_GB2312"/>
                <w:color w:val="auto"/>
                <w:highlight w:val="none"/>
              </w:rPr>
            </w:pPr>
          </w:p>
        </w:tc>
      </w:tr>
    </w:tbl>
    <w:p w14:paraId="477C9E6E">
      <w:pPr>
        <w:autoSpaceDE w:val="0"/>
        <w:autoSpaceDN w:val="0"/>
        <w:spacing w:line="360" w:lineRule="auto"/>
        <w:ind w:firstLine="4562" w:firstLineChars="1900"/>
        <w:rPr>
          <w:rFonts w:ascii="仿宋" w:hAnsi="仿宋" w:eastAsia="仿宋" w:cs="仿宋_GB2312"/>
          <w:b/>
          <w:color w:val="auto"/>
          <w:highlight w:val="none"/>
        </w:rPr>
      </w:pPr>
    </w:p>
    <w:p w14:paraId="23206608">
      <w:pPr>
        <w:autoSpaceDE w:val="0"/>
        <w:autoSpaceDN w:val="0"/>
        <w:spacing w:line="360" w:lineRule="auto"/>
        <w:ind w:firstLine="4560" w:firstLineChars="1900"/>
        <w:rPr>
          <w:rFonts w:ascii="仿宋" w:hAnsi="仿宋" w:eastAsia="仿宋" w:cs="仿宋_GB2312"/>
          <w:color w:val="auto"/>
          <w:highlight w:val="none"/>
        </w:rPr>
      </w:pPr>
      <w:r>
        <w:rPr>
          <w:rFonts w:hint="eastAsia" w:ascii="仿宋" w:hAnsi="仿宋" w:eastAsia="仿宋" w:cs="仿宋_GB2312"/>
          <w:color w:val="auto"/>
          <w:highlight w:val="none"/>
        </w:rPr>
        <w:t>投标人名称（</w:t>
      </w:r>
      <w:r>
        <w:rPr>
          <w:rFonts w:hint="eastAsia" w:ascii="仿宋" w:hAnsi="仿宋" w:eastAsia="仿宋" w:cs="仿宋_GB2312"/>
          <w:color w:val="auto"/>
          <w:highlight w:val="none"/>
          <w:lang w:val="zh-CN"/>
        </w:rPr>
        <w:t>电子签名</w:t>
      </w:r>
      <w:r>
        <w:rPr>
          <w:rFonts w:hint="eastAsia" w:ascii="仿宋" w:hAnsi="仿宋" w:eastAsia="仿宋" w:cs="仿宋_GB2312"/>
          <w:color w:val="auto"/>
          <w:highlight w:val="none"/>
        </w:rPr>
        <w:t>）：</w:t>
      </w:r>
    </w:p>
    <w:p w14:paraId="36EA3788">
      <w:pPr>
        <w:snapToGrid w:val="0"/>
        <w:spacing w:before="50" w:after="50"/>
        <w:rPr>
          <w:rFonts w:ascii="仿宋" w:hAnsi="仿宋" w:eastAsia="仿宋" w:cs="仿宋_GB2312"/>
          <w:color w:val="auto"/>
          <w:highlight w:val="none"/>
        </w:rPr>
      </w:pPr>
      <w:r>
        <w:rPr>
          <w:rFonts w:hint="eastAsia" w:ascii="仿宋" w:hAnsi="仿宋" w:eastAsia="仿宋" w:cs="仿宋_GB2312"/>
          <w:color w:val="auto"/>
          <w:highlight w:val="none"/>
        </w:rPr>
        <w:t xml:space="preserve">                                       日期：  年  月   日</w:t>
      </w:r>
    </w:p>
    <w:p w14:paraId="2EBE11A6">
      <w:pPr>
        <w:spacing w:line="360" w:lineRule="auto"/>
        <w:jc w:val="center"/>
        <w:rPr>
          <w:rFonts w:ascii="仿宋" w:hAnsi="仿宋" w:eastAsia="仿宋" w:cs="仿宋_GB2312"/>
          <w:b/>
          <w:bCs/>
          <w:color w:val="auto"/>
          <w:sz w:val="32"/>
          <w:szCs w:val="32"/>
          <w:highlight w:val="none"/>
        </w:rPr>
      </w:pPr>
      <w:r>
        <w:rPr>
          <w:rFonts w:ascii="仿宋" w:hAnsi="仿宋" w:eastAsia="仿宋" w:cs="仿宋_GB2312"/>
          <w:b/>
          <w:bCs/>
          <w:color w:val="auto"/>
          <w:sz w:val="32"/>
          <w:szCs w:val="32"/>
          <w:highlight w:val="none"/>
        </w:rPr>
        <w:br w:type="page"/>
      </w:r>
      <w:r>
        <w:rPr>
          <w:rFonts w:hint="eastAsia" w:ascii="仿宋" w:hAnsi="仿宋" w:eastAsia="仿宋" w:cs="仿宋_GB2312"/>
          <w:b/>
          <w:bCs/>
          <w:color w:val="auto"/>
          <w:sz w:val="32"/>
          <w:szCs w:val="32"/>
          <w:highlight w:val="none"/>
        </w:rPr>
        <w:t>九、售后服务方案（如有）</w:t>
      </w:r>
    </w:p>
    <w:p w14:paraId="00D9B3AE">
      <w:pPr>
        <w:autoSpaceDE w:val="0"/>
        <w:autoSpaceDN w:val="0"/>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（由投标人根据采购需求及招标文件要求编制）</w:t>
      </w:r>
    </w:p>
    <w:p w14:paraId="5AFFA835">
      <w:pPr>
        <w:spacing w:line="360" w:lineRule="auto"/>
        <w:rPr>
          <w:rFonts w:ascii="仿宋" w:hAnsi="仿宋" w:eastAsia="仿宋" w:cs="仿宋_GB2312"/>
          <w:color w:val="auto"/>
          <w:highlight w:val="none"/>
        </w:rPr>
      </w:pPr>
    </w:p>
    <w:p w14:paraId="5AA7A3A3">
      <w:pPr>
        <w:spacing w:line="360" w:lineRule="auto"/>
        <w:rPr>
          <w:rFonts w:ascii="仿宋" w:hAnsi="仿宋" w:eastAsia="仿宋" w:cs="仿宋_GB2312"/>
          <w:b/>
          <w:bCs/>
          <w:color w:val="auto"/>
          <w:sz w:val="32"/>
          <w:szCs w:val="32"/>
          <w:highlight w:val="none"/>
        </w:rPr>
      </w:pPr>
    </w:p>
    <w:p w14:paraId="7E0A6E77">
      <w:pPr>
        <w:spacing w:line="360" w:lineRule="auto"/>
        <w:jc w:val="center"/>
        <w:rPr>
          <w:rFonts w:ascii="仿宋" w:hAnsi="仿宋" w:eastAsia="仿宋" w:cs="仿宋_GB2312"/>
          <w:b/>
          <w:color w:val="auto"/>
          <w:sz w:val="32"/>
          <w:szCs w:val="32"/>
          <w:highlight w:val="none"/>
          <w:lang w:val="zh-CN"/>
        </w:rPr>
      </w:pPr>
      <w:r>
        <w:rPr>
          <w:rFonts w:hint="eastAsia" w:ascii="仿宋" w:hAnsi="仿宋" w:eastAsia="仿宋" w:cs="仿宋_GB2312"/>
          <w:b/>
          <w:bCs/>
          <w:color w:val="auto"/>
          <w:sz w:val="32"/>
          <w:szCs w:val="32"/>
          <w:highlight w:val="none"/>
        </w:rPr>
        <w:br w:type="textWrapping"/>
      </w:r>
      <w:r>
        <w:rPr>
          <w:rFonts w:hint="eastAsia" w:ascii="仿宋" w:hAnsi="仿宋" w:eastAsia="仿宋" w:cs="仿宋_GB2312"/>
          <w:b/>
          <w:bCs/>
          <w:color w:val="auto"/>
          <w:sz w:val="32"/>
          <w:szCs w:val="32"/>
          <w:highlight w:val="none"/>
        </w:rPr>
        <w:t>十、</w:t>
      </w:r>
      <w:r>
        <w:rPr>
          <w:rFonts w:hint="eastAsia" w:ascii="仿宋" w:hAnsi="仿宋" w:eastAsia="仿宋" w:cs="仿宋_GB2312"/>
          <w:b/>
          <w:color w:val="auto"/>
          <w:sz w:val="32"/>
          <w:szCs w:val="32"/>
          <w:highlight w:val="none"/>
          <w:lang w:val="zh-CN"/>
        </w:rPr>
        <w:t>优惠条件及特殊承诺（如有）</w:t>
      </w:r>
    </w:p>
    <w:p w14:paraId="1EDC71A5">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（由投标人根据采购需求及招标文件要求编制）</w:t>
      </w:r>
    </w:p>
    <w:p w14:paraId="69171BF2">
      <w:pPr>
        <w:autoSpaceDE w:val="0"/>
        <w:autoSpaceDN w:val="0"/>
        <w:spacing w:line="360" w:lineRule="auto"/>
        <w:ind w:firstLine="120"/>
        <w:rPr>
          <w:rFonts w:ascii="仿宋" w:hAnsi="仿宋" w:eastAsia="仿宋" w:cs="仿宋_GB2312"/>
          <w:color w:val="auto"/>
          <w:highlight w:val="none"/>
        </w:rPr>
      </w:pPr>
    </w:p>
    <w:p w14:paraId="19A7233C">
      <w:pPr>
        <w:autoSpaceDE w:val="0"/>
        <w:autoSpaceDN w:val="0"/>
        <w:spacing w:line="360" w:lineRule="auto"/>
        <w:ind w:firstLine="120"/>
        <w:rPr>
          <w:rFonts w:ascii="仿宋" w:hAnsi="仿宋" w:eastAsia="仿宋" w:cs="仿宋_GB2312"/>
          <w:color w:val="auto"/>
          <w:highlight w:val="none"/>
        </w:rPr>
      </w:pPr>
    </w:p>
    <w:p w14:paraId="0615054F">
      <w:pPr>
        <w:spacing w:line="360" w:lineRule="auto"/>
        <w:jc w:val="center"/>
        <w:rPr>
          <w:rFonts w:ascii="仿宋" w:hAnsi="仿宋" w:eastAsia="仿宋" w:cs="仿宋_GB2312"/>
          <w:b/>
          <w:bCs/>
          <w:color w:val="auto"/>
          <w:sz w:val="32"/>
          <w:szCs w:val="32"/>
          <w:highlight w:val="none"/>
        </w:rPr>
      </w:pPr>
      <w:r>
        <w:rPr>
          <w:rFonts w:hint="eastAsia" w:ascii="仿宋" w:hAnsi="仿宋" w:eastAsia="仿宋" w:cs="仿宋_GB2312"/>
          <w:b/>
          <w:bCs/>
          <w:color w:val="auto"/>
          <w:sz w:val="32"/>
          <w:szCs w:val="32"/>
          <w:highlight w:val="none"/>
        </w:rPr>
        <w:br w:type="textWrapping"/>
      </w:r>
      <w:r>
        <w:rPr>
          <w:rFonts w:hint="eastAsia" w:ascii="仿宋" w:hAnsi="仿宋" w:eastAsia="仿宋" w:cs="仿宋_GB2312"/>
          <w:b/>
          <w:bCs/>
          <w:color w:val="auto"/>
          <w:sz w:val="32"/>
          <w:szCs w:val="32"/>
          <w:highlight w:val="none"/>
        </w:rPr>
        <w:t>十一、投标人认为需要的其他商务技术文件或说明</w:t>
      </w:r>
    </w:p>
    <w:p w14:paraId="12EB8463">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（由投标人根据采购需求及招标文件要求编制）</w:t>
      </w:r>
    </w:p>
    <w:p w14:paraId="35589A6F">
      <w:pPr>
        <w:spacing w:line="360" w:lineRule="auto"/>
        <w:jc w:val="center"/>
        <w:rPr>
          <w:rFonts w:ascii="仿宋" w:hAnsi="仿宋" w:eastAsia="仿宋" w:cs="仿宋_GB2312"/>
          <w:color w:val="auto"/>
          <w:highlight w:val="none"/>
        </w:rPr>
      </w:pPr>
    </w:p>
    <w:p w14:paraId="70096F23">
      <w:pPr>
        <w:spacing w:line="360" w:lineRule="auto"/>
        <w:rPr>
          <w:rFonts w:ascii="仿宋" w:hAnsi="仿宋" w:eastAsia="仿宋" w:cs="仿宋_GB2312"/>
          <w:b/>
          <w:bCs/>
          <w:color w:val="auto"/>
          <w:sz w:val="30"/>
          <w:szCs w:val="30"/>
          <w:highlight w:val="none"/>
        </w:rPr>
      </w:pPr>
    </w:p>
    <w:p w14:paraId="5489EE8B">
      <w:pPr>
        <w:pStyle w:val="205"/>
        <w:keepNext w:val="0"/>
        <w:pageBreakBefore w:val="0"/>
        <w:tabs>
          <w:tab w:val="clear" w:pos="720"/>
        </w:tabs>
        <w:snapToGrid w:val="0"/>
        <w:jc w:val="both"/>
        <w:outlineLvl w:val="9"/>
        <w:rPr>
          <w:rFonts w:ascii="仿宋" w:hAnsi="仿宋" w:eastAsia="仿宋" w:cs="仿宋_GB2312"/>
          <w:b w:val="0"/>
          <w:color w:val="auto"/>
          <w:sz w:val="24"/>
          <w:highlight w:val="none"/>
        </w:rPr>
      </w:pPr>
    </w:p>
    <w:p w14:paraId="0024C83C">
      <w:pPr>
        <w:pStyle w:val="205"/>
        <w:keepNext w:val="0"/>
        <w:pageBreakBefore w:val="0"/>
        <w:tabs>
          <w:tab w:val="clear" w:pos="720"/>
        </w:tabs>
        <w:snapToGrid w:val="0"/>
        <w:jc w:val="both"/>
        <w:outlineLvl w:val="9"/>
        <w:rPr>
          <w:rFonts w:ascii="仿宋" w:hAnsi="仿宋" w:eastAsia="仿宋" w:cs="仿宋_GB2312"/>
          <w:b w:val="0"/>
          <w:color w:val="auto"/>
          <w:sz w:val="24"/>
          <w:highlight w:val="none"/>
        </w:rPr>
      </w:pPr>
    </w:p>
    <w:p w14:paraId="3A844209">
      <w:pPr>
        <w:pStyle w:val="205"/>
        <w:keepNext w:val="0"/>
        <w:pageBreakBefore w:val="0"/>
        <w:tabs>
          <w:tab w:val="clear" w:pos="720"/>
        </w:tabs>
        <w:snapToGrid w:val="0"/>
        <w:jc w:val="both"/>
        <w:outlineLvl w:val="9"/>
        <w:rPr>
          <w:rFonts w:ascii="仿宋" w:hAnsi="仿宋" w:eastAsia="仿宋" w:cs="仿宋_GB2312"/>
          <w:b w:val="0"/>
          <w:color w:val="auto"/>
          <w:sz w:val="24"/>
          <w:highlight w:val="none"/>
        </w:rPr>
      </w:pPr>
    </w:p>
    <w:p w14:paraId="04248F78">
      <w:pPr>
        <w:pStyle w:val="205"/>
        <w:keepNext w:val="0"/>
        <w:pageBreakBefore w:val="0"/>
        <w:tabs>
          <w:tab w:val="clear" w:pos="720"/>
        </w:tabs>
        <w:snapToGrid w:val="0"/>
        <w:jc w:val="both"/>
        <w:outlineLvl w:val="9"/>
        <w:rPr>
          <w:rFonts w:ascii="仿宋" w:hAnsi="仿宋" w:eastAsia="仿宋" w:cs="仿宋_GB2312"/>
          <w:b w:val="0"/>
          <w:color w:val="auto"/>
          <w:sz w:val="24"/>
          <w:highlight w:val="none"/>
        </w:rPr>
      </w:pPr>
    </w:p>
    <w:p w14:paraId="78D47D60">
      <w:pPr>
        <w:spacing w:line="360" w:lineRule="auto"/>
        <w:outlineLvl w:val="0"/>
        <w:rPr>
          <w:rFonts w:ascii="仿宋" w:hAnsi="仿宋" w:eastAsia="仿宋" w:cs="仿宋_GB2312"/>
          <w:b/>
          <w:color w:val="auto"/>
          <w:sz w:val="36"/>
          <w:szCs w:val="36"/>
          <w:highlight w:val="none"/>
        </w:rPr>
      </w:pPr>
    </w:p>
    <w:p w14:paraId="5E19CD0A">
      <w:pPr>
        <w:spacing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报价文件部分</w:t>
      </w:r>
    </w:p>
    <w:p w14:paraId="6E1A9D33">
      <w:pPr>
        <w:spacing w:line="360" w:lineRule="auto"/>
        <w:jc w:val="center"/>
        <w:outlineLvl w:val="0"/>
        <w:rPr>
          <w:rFonts w:ascii="仿宋" w:hAnsi="仿宋" w:eastAsia="仿宋" w:cs="仿宋_GB2312"/>
          <w:b/>
          <w:color w:val="auto"/>
          <w:highlight w:val="none"/>
        </w:rPr>
      </w:pPr>
    </w:p>
    <w:p w14:paraId="3BEA5627">
      <w:pPr>
        <w:spacing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目录</w:t>
      </w:r>
    </w:p>
    <w:p w14:paraId="554B05E0">
      <w:pPr>
        <w:numPr>
          <w:ilvl w:val="0"/>
          <w:numId w:val="51"/>
        </w:numPr>
        <w:spacing w:line="360" w:lineRule="auto"/>
        <w:outlineLvl w:val="0"/>
        <w:rPr>
          <w:rFonts w:ascii="仿宋" w:hAnsi="仿宋" w:eastAsia="仿宋" w:cs="仿宋_GB2312"/>
          <w:color w:val="auto"/>
          <w:highlight w:val="none"/>
        </w:rPr>
      </w:pPr>
      <w:r>
        <w:rPr>
          <w:rFonts w:hint="eastAsia" w:ascii="仿宋" w:hAnsi="仿宋" w:eastAsia="仿宋" w:cs="仿宋_GB2312"/>
          <w:color w:val="auto"/>
          <w:highlight w:val="none"/>
        </w:rPr>
        <w:t>开标一览表(报价表)……………………………………………………（页码）</w:t>
      </w:r>
    </w:p>
    <w:p w14:paraId="0591ED55">
      <w:pPr>
        <w:numPr>
          <w:ilvl w:val="0"/>
          <w:numId w:val="51"/>
        </w:numPr>
        <w:spacing w:line="360" w:lineRule="auto"/>
        <w:outlineLvl w:val="0"/>
        <w:rPr>
          <w:rFonts w:ascii="仿宋" w:hAnsi="仿宋" w:eastAsia="仿宋" w:cs="仿宋_GB2312"/>
          <w:color w:val="auto"/>
          <w:highlight w:val="none"/>
        </w:rPr>
      </w:pPr>
      <w:r>
        <w:rPr>
          <w:rFonts w:hint="eastAsia" w:ascii="仿宋" w:hAnsi="仿宋" w:eastAsia="仿宋" w:cs="仿宋_GB2312"/>
          <w:color w:val="auto"/>
          <w:highlight w:val="none"/>
        </w:rPr>
        <w:t>中小企业声明函………………………………………………（页码）</w:t>
      </w:r>
    </w:p>
    <w:p w14:paraId="4DC9799E">
      <w:pPr>
        <w:numPr>
          <w:ilvl w:val="0"/>
          <w:numId w:val="51"/>
        </w:numPr>
        <w:spacing w:line="360" w:lineRule="auto"/>
        <w:outlineLvl w:val="0"/>
        <w:rPr>
          <w:rFonts w:ascii="仿宋" w:hAnsi="仿宋" w:eastAsia="仿宋" w:cs="仿宋_GB2312"/>
          <w:color w:val="auto"/>
          <w:highlight w:val="none"/>
        </w:rPr>
      </w:pPr>
      <w:r>
        <w:rPr>
          <w:rFonts w:hint="eastAsia" w:ascii="仿宋" w:hAnsi="仿宋" w:eastAsia="仿宋" w:cs="仿宋_GB2312"/>
          <w:color w:val="auto"/>
          <w:highlight w:val="none"/>
        </w:rPr>
        <w:t>残疾人福利性单位声明函（如有）……………………………………（页码）</w:t>
      </w:r>
    </w:p>
    <w:p w14:paraId="4EA1DF25">
      <w:pPr>
        <w:spacing w:line="360" w:lineRule="auto"/>
        <w:ind w:left="720"/>
        <w:outlineLvl w:val="0"/>
        <w:rPr>
          <w:rFonts w:ascii="仿宋" w:hAnsi="仿宋" w:eastAsia="仿宋" w:cs="仿宋_GB2312"/>
          <w:color w:val="auto"/>
          <w:highlight w:val="none"/>
        </w:rPr>
      </w:pPr>
    </w:p>
    <w:p w14:paraId="6A9FB507">
      <w:pPr>
        <w:spacing w:line="360" w:lineRule="auto"/>
        <w:ind w:left="2" w:firstLine="480" w:firstLineChars="200"/>
        <w:rPr>
          <w:rFonts w:ascii="仿宋" w:hAnsi="仿宋" w:eastAsia="仿宋" w:cs="仿宋_GB2312"/>
          <w:color w:val="auto"/>
          <w:highlight w:val="none"/>
        </w:rPr>
      </w:pPr>
    </w:p>
    <w:p w14:paraId="32D88288">
      <w:pPr>
        <w:spacing w:line="360" w:lineRule="auto"/>
        <w:ind w:left="2" w:firstLine="480" w:firstLineChars="200"/>
        <w:rPr>
          <w:rFonts w:ascii="仿宋" w:hAnsi="仿宋" w:eastAsia="仿宋" w:cs="仿宋_GB2312"/>
          <w:color w:val="auto"/>
          <w:highlight w:val="none"/>
        </w:rPr>
      </w:pPr>
    </w:p>
    <w:p w14:paraId="6DE98F64">
      <w:pPr>
        <w:spacing w:line="360" w:lineRule="auto"/>
        <w:ind w:left="2" w:firstLine="480" w:firstLineChars="200"/>
        <w:rPr>
          <w:rFonts w:ascii="仿宋" w:hAnsi="仿宋" w:eastAsia="仿宋" w:cs="仿宋_GB2312"/>
          <w:color w:val="auto"/>
          <w:highlight w:val="none"/>
        </w:rPr>
      </w:pPr>
    </w:p>
    <w:p w14:paraId="040A9DBE">
      <w:pPr>
        <w:spacing w:line="360" w:lineRule="auto"/>
        <w:ind w:left="2" w:firstLine="480" w:firstLineChars="200"/>
        <w:rPr>
          <w:rFonts w:ascii="仿宋" w:hAnsi="仿宋" w:eastAsia="仿宋" w:cs="仿宋_GB2312"/>
          <w:color w:val="auto"/>
          <w:highlight w:val="none"/>
        </w:rPr>
      </w:pPr>
    </w:p>
    <w:p w14:paraId="068E4F68">
      <w:pPr>
        <w:spacing w:line="360" w:lineRule="auto"/>
        <w:ind w:left="2" w:firstLine="480" w:firstLineChars="200"/>
        <w:rPr>
          <w:rFonts w:ascii="仿宋" w:hAnsi="仿宋" w:eastAsia="仿宋" w:cs="仿宋_GB2312"/>
          <w:color w:val="auto"/>
          <w:highlight w:val="none"/>
        </w:rPr>
      </w:pPr>
    </w:p>
    <w:p w14:paraId="773E3F9D">
      <w:pPr>
        <w:snapToGrid w:val="0"/>
        <w:spacing w:line="360" w:lineRule="auto"/>
        <w:jc w:val="center"/>
        <w:outlineLvl w:val="0"/>
        <w:rPr>
          <w:rFonts w:ascii="仿宋" w:hAnsi="仿宋" w:eastAsia="仿宋" w:cs="仿宋_GB2312"/>
          <w:b/>
          <w:color w:val="auto"/>
          <w:sz w:val="32"/>
          <w:szCs w:val="32"/>
          <w:highlight w:val="none"/>
        </w:rPr>
      </w:pPr>
    </w:p>
    <w:p w14:paraId="7311095E">
      <w:pPr>
        <w:snapToGrid w:val="0"/>
        <w:spacing w:line="360" w:lineRule="auto"/>
        <w:jc w:val="center"/>
        <w:outlineLvl w:val="0"/>
        <w:rPr>
          <w:rFonts w:ascii="仿宋" w:hAnsi="仿宋" w:eastAsia="仿宋" w:cs="仿宋_GB2312"/>
          <w:b/>
          <w:color w:val="auto"/>
          <w:sz w:val="32"/>
          <w:szCs w:val="32"/>
          <w:highlight w:val="none"/>
        </w:rPr>
      </w:pPr>
    </w:p>
    <w:p w14:paraId="1EEB1E4C">
      <w:pPr>
        <w:snapToGrid w:val="0"/>
        <w:spacing w:line="360" w:lineRule="auto"/>
        <w:jc w:val="center"/>
        <w:outlineLvl w:val="0"/>
        <w:rPr>
          <w:rFonts w:ascii="仿宋" w:hAnsi="仿宋" w:eastAsia="仿宋" w:cs="仿宋_GB2312"/>
          <w:b/>
          <w:color w:val="auto"/>
          <w:sz w:val="32"/>
          <w:szCs w:val="32"/>
          <w:highlight w:val="none"/>
        </w:rPr>
      </w:pPr>
    </w:p>
    <w:p w14:paraId="08EDDB25">
      <w:pPr>
        <w:snapToGrid w:val="0"/>
        <w:spacing w:line="360" w:lineRule="auto"/>
        <w:jc w:val="center"/>
        <w:outlineLvl w:val="0"/>
        <w:rPr>
          <w:rFonts w:ascii="仿宋" w:hAnsi="仿宋" w:eastAsia="仿宋" w:cs="仿宋_GB2312"/>
          <w:b/>
          <w:color w:val="auto"/>
          <w:sz w:val="32"/>
          <w:szCs w:val="32"/>
          <w:highlight w:val="none"/>
        </w:rPr>
      </w:pPr>
    </w:p>
    <w:p w14:paraId="52F07CE7">
      <w:pPr>
        <w:snapToGrid w:val="0"/>
        <w:spacing w:line="360" w:lineRule="auto"/>
        <w:jc w:val="center"/>
        <w:outlineLvl w:val="0"/>
        <w:rPr>
          <w:rFonts w:ascii="仿宋" w:hAnsi="仿宋" w:eastAsia="仿宋" w:cs="仿宋_GB2312"/>
          <w:b/>
          <w:color w:val="auto"/>
          <w:sz w:val="32"/>
          <w:szCs w:val="32"/>
          <w:highlight w:val="none"/>
        </w:rPr>
      </w:pPr>
    </w:p>
    <w:p w14:paraId="4C6C150B">
      <w:pPr>
        <w:pStyle w:val="205"/>
        <w:keepNext w:val="0"/>
        <w:pageBreakBefore w:val="0"/>
        <w:tabs>
          <w:tab w:val="clear" w:pos="720"/>
        </w:tabs>
        <w:snapToGrid w:val="0"/>
        <w:jc w:val="both"/>
        <w:outlineLvl w:val="9"/>
        <w:rPr>
          <w:rFonts w:ascii="仿宋" w:hAnsi="仿宋" w:eastAsia="仿宋" w:cs="仿宋_GB2312"/>
          <w:color w:val="auto"/>
          <w:kern w:val="2"/>
          <w:sz w:val="32"/>
          <w:szCs w:val="32"/>
          <w:highlight w:val="none"/>
        </w:rPr>
        <w:sectPr>
          <w:footerReference r:id="rId15" w:type="first"/>
          <w:footerReference r:id="rId13" w:type="default"/>
          <w:headerReference r:id="rId12" w:type="even"/>
          <w:footerReference r:id="rId14" w:type="even"/>
          <w:pgSz w:w="11906" w:h="16838"/>
          <w:pgMar w:top="1247" w:right="1418" w:bottom="1276" w:left="1418" w:header="851" w:footer="992" w:gutter="0"/>
          <w:cols w:space="720" w:num="1"/>
          <w:titlePg/>
          <w:docGrid w:linePitch="312" w:charSpace="0"/>
        </w:sectPr>
      </w:pPr>
    </w:p>
    <w:p w14:paraId="4F0C6625">
      <w:pPr>
        <w:pStyle w:val="205"/>
        <w:keepNext w:val="0"/>
        <w:pageBreakBefore w:val="0"/>
        <w:tabs>
          <w:tab w:val="clear" w:pos="720"/>
        </w:tabs>
        <w:snapToGrid w:val="0"/>
        <w:outlineLvl w:val="9"/>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一、开标一览表(报价表)</w:t>
      </w:r>
    </w:p>
    <w:p w14:paraId="76D19ECC">
      <w:pPr>
        <w:snapToGrid w:val="0"/>
        <w:spacing w:line="360" w:lineRule="auto"/>
        <w:rPr>
          <w:rFonts w:ascii="仿宋" w:hAnsi="仿宋" w:eastAsia="仿宋" w:cs="仿宋_GB2312"/>
          <w:color w:val="auto"/>
          <w:highlight w:val="none"/>
          <w:lang w:val="zh-CN"/>
        </w:rPr>
      </w:pPr>
      <w:bookmarkStart w:id="454" w:name="_Toc86217005"/>
      <w:r>
        <w:rPr>
          <w:rFonts w:hint="eastAsia" w:ascii="仿宋" w:hAnsi="仿宋" w:eastAsia="仿宋" w:cs="仿宋_GB2312"/>
          <w:color w:val="auto"/>
          <w:highlight w:val="none"/>
        </w:rPr>
        <w:t>项目名称</w:t>
      </w:r>
      <w:r>
        <w:rPr>
          <w:rFonts w:hint="eastAsia" w:ascii="仿宋" w:hAnsi="仿宋" w:eastAsia="仿宋" w:cs="仿宋_GB2312"/>
          <w:color w:val="auto"/>
          <w:highlight w:val="none"/>
          <w:lang w:val="zh-CN"/>
        </w:rPr>
        <w:t>：</w:t>
      </w:r>
    </w:p>
    <w:p w14:paraId="6412C984">
      <w:pPr>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lang w:val="zh-CN"/>
        </w:rPr>
        <w:t>项目编号：                  标项：</w:t>
      </w:r>
    </w:p>
    <w:tbl>
      <w:tblPr>
        <w:tblStyle w:val="43"/>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2"/>
        <w:gridCol w:w="4666"/>
        <w:gridCol w:w="1275"/>
        <w:gridCol w:w="1170"/>
        <w:gridCol w:w="1373"/>
      </w:tblGrid>
      <w:tr w14:paraId="7391C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5CC0CE5F">
            <w:pPr>
              <w:spacing w:line="360" w:lineRule="auto"/>
              <w:jc w:val="center"/>
              <w:rPr>
                <w:rFonts w:ascii="仿宋" w:hAnsi="仿宋" w:eastAsia="仿宋" w:cs="仿宋_GB2312"/>
                <w:b/>
                <w:color w:val="auto"/>
                <w:highlight w:val="none"/>
              </w:rPr>
            </w:pPr>
            <w:r>
              <w:rPr>
                <w:rFonts w:hint="eastAsia" w:ascii="仿宋" w:hAnsi="仿宋" w:eastAsia="仿宋"/>
                <w:b/>
                <w:color w:val="auto"/>
                <w:highlight w:val="none"/>
              </w:rPr>
              <w:t>序号</w:t>
            </w:r>
          </w:p>
        </w:tc>
        <w:tc>
          <w:tcPr>
            <w:tcW w:w="4666" w:type="dxa"/>
            <w:vAlign w:val="center"/>
          </w:tcPr>
          <w:p w14:paraId="353E3E9B">
            <w:pPr>
              <w:spacing w:line="360" w:lineRule="auto"/>
              <w:jc w:val="center"/>
              <w:rPr>
                <w:rFonts w:ascii="仿宋" w:hAnsi="仿宋" w:eastAsia="仿宋"/>
                <w:b/>
                <w:color w:val="auto"/>
                <w:highlight w:val="none"/>
              </w:rPr>
            </w:pPr>
            <w:r>
              <w:rPr>
                <w:rFonts w:hint="eastAsia" w:ascii="仿宋" w:hAnsi="仿宋" w:eastAsia="仿宋"/>
                <w:b/>
                <w:color w:val="auto"/>
                <w:highlight w:val="none"/>
              </w:rPr>
              <w:t>服务内容</w:t>
            </w:r>
          </w:p>
        </w:tc>
        <w:tc>
          <w:tcPr>
            <w:tcW w:w="1275" w:type="dxa"/>
            <w:vAlign w:val="center"/>
          </w:tcPr>
          <w:p w14:paraId="23CBEECB">
            <w:pPr>
              <w:spacing w:line="360" w:lineRule="auto"/>
              <w:jc w:val="center"/>
              <w:rPr>
                <w:rFonts w:ascii="仿宋" w:hAnsi="仿宋" w:eastAsia="仿宋" w:cs="仿宋_GB2312"/>
                <w:b/>
                <w:color w:val="auto"/>
                <w:highlight w:val="none"/>
              </w:rPr>
            </w:pPr>
            <w:r>
              <w:rPr>
                <w:rFonts w:hint="eastAsia" w:ascii="仿宋" w:hAnsi="仿宋" w:eastAsia="仿宋"/>
                <w:b/>
                <w:color w:val="auto"/>
                <w:highlight w:val="none"/>
              </w:rPr>
              <w:t>数量</w:t>
            </w:r>
          </w:p>
        </w:tc>
        <w:tc>
          <w:tcPr>
            <w:tcW w:w="1170" w:type="dxa"/>
            <w:vAlign w:val="center"/>
          </w:tcPr>
          <w:p w14:paraId="631EA709">
            <w:pPr>
              <w:spacing w:line="360" w:lineRule="auto"/>
              <w:jc w:val="center"/>
              <w:rPr>
                <w:rFonts w:ascii="仿宋" w:hAnsi="仿宋" w:eastAsia="仿宋" w:cs="仿宋_GB2312"/>
                <w:b/>
                <w:color w:val="auto"/>
                <w:highlight w:val="none"/>
              </w:rPr>
            </w:pPr>
            <w:r>
              <w:rPr>
                <w:rFonts w:hint="eastAsia" w:ascii="仿宋" w:hAnsi="仿宋" w:eastAsia="仿宋"/>
                <w:b/>
                <w:color w:val="auto"/>
                <w:highlight w:val="none"/>
              </w:rPr>
              <w:t>单价</w:t>
            </w:r>
          </w:p>
        </w:tc>
        <w:tc>
          <w:tcPr>
            <w:tcW w:w="1373" w:type="dxa"/>
            <w:vAlign w:val="center"/>
          </w:tcPr>
          <w:p w14:paraId="21B78520">
            <w:pPr>
              <w:spacing w:line="360" w:lineRule="auto"/>
              <w:jc w:val="center"/>
              <w:rPr>
                <w:rFonts w:ascii="仿宋" w:hAnsi="仿宋" w:eastAsia="仿宋"/>
                <w:b/>
                <w:color w:val="auto"/>
                <w:highlight w:val="none"/>
              </w:rPr>
            </w:pPr>
            <w:r>
              <w:rPr>
                <w:rFonts w:hint="eastAsia" w:ascii="仿宋" w:hAnsi="仿宋" w:eastAsia="仿宋"/>
                <w:b/>
                <w:color w:val="auto"/>
                <w:highlight w:val="none"/>
              </w:rPr>
              <w:t>总价</w:t>
            </w:r>
          </w:p>
          <w:p w14:paraId="1CFE40F4">
            <w:pPr>
              <w:spacing w:line="360" w:lineRule="auto"/>
              <w:jc w:val="center"/>
              <w:rPr>
                <w:rFonts w:ascii="仿宋" w:hAnsi="仿宋" w:eastAsia="仿宋" w:cs="仿宋_GB2312"/>
                <w:b/>
                <w:color w:val="auto"/>
                <w:highlight w:val="none"/>
              </w:rPr>
            </w:pPr>
            <w:r>
              <w:rPr>
                <w:rFonts w:hint="eastAsia" w:ascii="仿宋" w:hAnsi="仿宋" w:eastAsia="仿宋"/>
                <w:b/>
                <w:color w:val="auto"/>
                <w:highlight w:val="none"/>
              </w:rPr>
              <w:t>（元）</w:t>
            </w:r>
          </w:p>
        </w:tc>
      </w:tr>
      <w:tr w14:paraId="7E316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4C7D4CC6">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4666" w:type="dxa"/>
            <w:vAlign w:val="center"/>
          </w:tcPr>
          <w:p w14:paraId="094B43D0">
            <w:pPr>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医院信息系统</w:t>
            </w:r>
          </w:p>
        </w:tc>
        <w:tc>
          <w:tcPr>
            <w:tcW w:w="1275" w:type="dxa"/>
            <w:vAlign w:val="center"/>
          </w:tcPr>
          <w:p w14:paraId="21D1BAD8">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1170" w:type="dxa"/>
            <w:vAlign w:val="center"/>
          </w:tcPr>
          <w:p w14:paraId="0F6671E3">
            <w:pPr>
              <w:spacing w:line="360" w:lineRule="auto"/>
              <w:jc w:val="center"/>
              <w:rPr>
                <w:rFonts w:ascii="仿宋" w:hAnsi="仿宋" w:eastAsia="仿宋" w:cs="仿宋_GB2312"/>
                <w:color w:val="auto"/>
                <w:highlight w:val="none"/>
              </w:rPr>
            </w:pPr>
          </w:p>
        </w:tc>
        <w:tc>
          <w:tcPr>
            <w:tcW w:w="1373" w:type="dxa"/>
            <w:vAlign w:val="center"/>
          </w:tcPr>
          <w:p w14:paraId="196354DF">
            <w:pPr>
              <w:spacing w:line="360" w:lineRule="auto"/>
              <w:jc w:val="center"/>
              <w:rPr>
                <w:rFonts w:ascii="仿宋" w:hAnsi="仿宋" w:eastAsia="仿宋" w:cs="仿宋_GB2312"/>
                <w:color w:val="auto"/>
                <w:highlight w:val="none"/>
              </w:rPr>
            </w:pPr>
          </w:p>
        </w:tc>
      </w:tr>
      <w:tr w14:paraId="1F12B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4EE85E1F">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2</w:t>
            </w:r>
          </w:p>
        </w:tc>
        <w:tc>
          <w:tcPr>
            <w:tcW w:w="4666" w:type="dxa"/>
            <w:vAlign w:val="center"/>
          </w:tcPr>
          <w:p w14:paraId="4331CAB2">
            <w:pPr>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信息集成平台</w:t>
            </w:r>
          </w:p>
        </w:tc>
        <w:tc>
          <w:tcPr>
            <w:tcW w:w="1275" w:type="dxa"/>
            <w:vAlign w:val="center"/>
          </w:tcPr>
          <w:p w14:paraId="6E3BE475">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1170" w:type="dxa"/>
            <w:vAlign w:val="center"/>
          </w:tcPr>
          <w:p w14:paraId="68E77DCF">
            <w:pPr>
              <w:spacing w:line="360" w:lineRule="auto"/>
              <w:jc w:val="center"/>
              <w:rPr>
                <w:rFonts w:ascii="仿宋" w:hAnsi="仿宋" w:eastAsia="仿宋" w:cs="仿宋_GB2312"/>
                <w:color w:val="auto"/>
                <w:highlight w:val="none"/>
              </w:rPr>
            </w:pPr>
          </w:p>
        </w:tc>
        <w:tc>
          <w:tcPr>
            <w:tcW w:w="1373" w:type="dxa"/>
            <w:vAlign w:val="center"/>
          </w:tcPr>
          <w:p w14:paraId="4F2CD8CC">
            <w:pPr>
              <w:spacing w:line="360" w:lineRule="auto"/>
              <w:jc w:val="center"/>
              <w:rPr>
                <w:rFonts w:ascii="仿宋" w:hAnsi="仿宋" w:eastAsia="仿宋" w:cs="仿宋_GB2312"/>
                <w:color w:val="auto"/>
                <w:highlight w:val="none"/>
              </w:rPr>
            </w:pPr>
          </w:p>
        </w:tc>
      </w:tr>
      <w:tr w14:paraId="4C427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09C13B27">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3</w:t>
            </w:r>
          </w:p>
        </w:tc>
        <w:tc>
          <w:tcPr>
            <w:tcW w:w="4666" w:type="dxa"/>
            <w:vAlign w:val="center"/>
          </w:tcPr>
          <w:p w14:paraId="508AAD3B">
            <w:pPr>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医院系统应用统一管理</w:t>
            </w:r>
          </w:p>
        </w:tc>
        <w:tc>
          <w:tcPr>
            <w:tcW w:w="1275" w:type="dxa"/>
            <w:vAlign w:val="center"/>
          </w:tcPr>
          <w:p w14:paraId="5175A78C">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1170" w:type="dxa"/>
            <w:vAlign w:val="center"/>
          </w:tcPr>
          <w:p w14:paraId="634ECF4D">
            <w:pPr>
              <w:spacing w:line="360" w:lineRule="auto"/>
              <w:jc w:val="center"/>
              <w:rPr>
                <w:rFonts w:ascii="仿宋" w:hAnsi="仿宋" w:eastAsia="仿宋" w:cs="仿宋_GB2312"/>
                <w:color w:val="auto"/>
                <w:highlight w:val="none"/>
              </w:rPr>
            </w:pPr>
          </w:p>
        </w:tc>
        <w:tc>
          <w:tcPr>
            <w:tcW w:w="1373" w:type="dxa"/>
            <w:vAlign w:val="center"/>
          </w:tcPr>
          <w:p w14:paraId="0A1E4E1B">
            <w:pPr>
              <w:spacing w:line="360" w:lineRule="auto"/>
              <w:jc w:val="center"/>
              <w:rPr>
                <w:rFonts w:ascii="仿宋" w:hAnsi="仿宋" w:eastAsia="仿宋" w:cs="仿宋_GB2312"/>
                <w:color w:val="auto"/>
                <w:highlight w:val="none"/>
              </w:rPr>
            </w:pPr>
          </w:p>
        </w:tc>
      </w:tr>
      <w:tr w14:paraId="16E35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22AB202A">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4</w:t>
            </w:r>
          </w:p>
        </w:tc>
        <w:tc>
          <w:tcPr>
            <w:tcW w:w="4666" w:type="dxa"/>
            <w:vAlign w:val="center"/>
          </w:tcPr>
          <w:p w14:paraId="0A96D3DE">
            <w:pPr>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互联互通四甲测评贴身服务</w:t>
            </w:r>
          </w:p>
        </w:tc>
        <w:tc>
          <w:tcPr>
            <w:tcW w:w="1275" w:type="dxa"/>
            <w:vAlign w:val="center"/>
          </w:tcPr>
          <w:p w14:paraId="34B68FDC">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1170" w:type="dxa"/>
            <w:vAlign w:val="center"/>
          </w:tcPr>
          <w:p w14:paraId="31087041">
            <w:pPr>
              <w:spacing w:line="360" w:lineRule="auto"/>
              <w:jc w:val="center"/>
              <w:rPr>
                <w:rFonts w:ascii="仿宋" w:hAnsi="仿宋" w:eastAsia="仿宋" w:cs="仿宋_GB2312"/>
                <w:color w:val="auto"/>
                <w:highlight w:val="none"/>
              </w:rPr>
            </w:pPr>
          </w:p>
        </w:tc>
        <w:tc>
          <w:tcPr>
            <w:tcW w:w="1373" w:type="dxa"/>
            <w:vAlign w:val="center"/>
          </w:tcPr>
          <w:p w14:paraId="3732868F">
            <w:pPr>
              <w:spacing w:line="360" w:lineRule="auto"/>
              <w:jc w:val="center"/>
              <w:rPr>
                <w:rFonts w:ascii="仿宋" w:hAnsi="仿宋" w:eastAsia="仿宋" w:cs="仿宋_GB2312"/>
                <w:color w:val="auto"/>
                <w:highlight w:val="none"/>
              </w:rPr>
            </w:pPr>
          </w:p>
        </w:tc>
      </w:tr>
      <w:tr w14:paraId="4E896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33D947B0">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5</w:t>
            </w:r>
          </w:p>
        </w:tc>
        <w:tc>
          <w:tcPr>
            <w:tcW w:w="4666" w:type="dxa"/>
            <w:vAlign w:val="center"/>
          </w:tcPr>
          <w:p w14:paraId="2F9EEF24">
            <w:pPr>
              <w:spacing w:line="360" w:lineRule="auto"/>
              <w:rPr>
                <w:rFonts w:ascii="仿宋" w:hAnsi="仿宋" w:eastAsia="仿宋" w:cs="仿宋_GB2312"/>
                <w:color w:val="auto"/>
                <w:highlight w:val="none"/>
              </w:rPr>
            </w:pPr>
            <w:r>
              <w:rPr>
                <w:rFonts w:hint="eastAsia" w:ascii="仿宋" w:hAnsi="仿宋" w:eastAsia="仿宋" w:cs="仿宋_GB2312"/>
                <w:iCs w:val="0"/>
                <w:color w:val="auto"/>
                <w:highlight w:val="none"/>
              </w:rPr>
              <w:t>系统集成与升级</w:t>
            </w:r>
          </w:p>
        </w:tc>
        <w:tc>
          <w:tcPr>
            <w:tcW w:w="1275" w:type="dxa"/>
            <w:vAlign w:val="center"/>
          </w:tcPr>
          <w:p w14:paraId="319649A6">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1170" w:type="dxa"/>
            <w:vAlign w:val="center"/>
          </w:tcPr>
          <w:p w14:paraId="5B8431B1">
            <w:pPr>
              <w:spacing w:line="360" w:lineRule="auto"/>
              <w:jc w:val="center"/>
              <w:rPr>
                <w:rFonts w:ascii="仿宋" w:hAnsi="仿宋" w:eastAsia="仿宋" w:cs="仿宋_GB2312"/>
                <w:color w:val="auto"/>
                <w:highlight w:val="none"/>
              </w:rPr>
            </w:pPr>
          </w:p>
        </w:tc>
        <w:tc>
          <w:tcPr>
            <w:tcW w:w="1373" w:type="dxa"/>
            <w:vAlign w:val="center"/>
          </w:tcPr>
          <w:p w14:paraId="312DEC29">
            <w:pPr>
              <w:spacing w:line="360" w:lineRule="auto"/>
              <w:jc w:val="center"/>
              <w:rPr>
                <w:rFonts w:ascii="仿宋" w:hAnsi="仿宋" w:eastAsia="仿宋" w:cs="仿宋_GB2312"/>
                <w:color w:val="auto"/>
                <w:highlight w:val="none"/>
              </w:rPr>
            </w:pPr>
          </w:p>
        </w:tc>
      </w:tr>
      <w:tr w14:paraId="62A76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4AF8CB40">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6</w:t>
            </w:r>
          </w:p>
        </w:tc>
        <w:tc>
          <w:tcPr>
            <w:tcW w:w="4666" w:type="dxa"/>
            <w:vAlign w:val="center"/>
          </w:tcPr>
          <w:p w14:paraId="48A08AF1">
            <w:pPr>
              <w:spacing w:line="360" w:lineRule="auto"/>
              <w:rPr>
                <w:rFonts w:hint="eastAsia" w:ascii="仿宋" w:hAnsi="仿宋" w:eastAsia="仿宋" w:cs="仿宋_GB2312"/>
                <w:color w:val="auto"/>
                <w:highlight w:val="none"/>
                <w:lang w:eastAsia="zh-CN"/>
              </w:rPr>
            </w:pPr>
            <w:r>
              <w:rPr>
                <w:rFonts w:hint="eastAsia" w:ascii="仿宋" w:hAnsi="仿宋" w:eastAsia="仿宋" w:cs="仿宋_GB2312"/>
                <w:color w:val="auto"/>
                <w:highlight w:val="none"/>
                <w:lang w:eastAsia="zh-CN"/>
              </w:rPr>
              <w:t>其他系统</w:t>
            </w:r>
          </w:p>
        </w:tc>
        <w:tc>
          <w:tcPr>
            <w:tcW w:w="1275" w:type="dxa"/>
            <w:vAlign w:val="center"/>
          </w:tcPr>
          <w:p w14:paraId="557A68DD">
            <w:pPr>
              <w:spacing w:line="360" w:lineRule="auto"/>
              <w:jc w:val="center"/>
              <w:rPr>
                <w:rFonts w:ascii="仿宋" w:hAnsi="仿宋" w:eastAsia="仿宋" w:cs="仿宋_GB2312"/>
                <w:color w:val="auto"/>
                <w:highlight w:val="none"/>
              </w:rPr>
            </w:pPr>
            <w:r>
              <w:rPr>
                <w:rFonts w:hint="eastAsia" w:ascii="仿宋" w:hAnsi="仿宋" w:eastAsia="仿宋" w:cs="仿宋_GB2312"/>
                <w:color w:val="auto"/>
                <w:highlight w:val="none"/>
              </w:rPr>
              <w:t>1</w:t>
            </w:r>
          </w:p>
        </w:tc>
        <w:tc>
          <w:tcPr>
            <w:tcW w:w="1170" w:type="dxa"/>
            <w:vAlign w:val="center"/>
          </w:tcPr>
          <w:p w14:paraId="28113FF6">
            <w:pPr>
              <w:spacing w:line="360" w:lineRule="auto"/>
              <w:jc w:val="center"/>
              <w:rPr>
                <w:rFonts w:ascii="仿宋" w:hAnsi="仿宋" w:eastAsia="仿宋" w:cs="仿宋_GB2312"/>
                <w:color w:val="auto"/>
                <w:highlight w:val="none"/>
              </w:rPr>
            </w:pPr>
          </w:p>
        </w:tc>
        <w:tc>
          <w:tcPr>
            <w:tcW w:w="1373" w:type="dxa"/>
            <w:vAlign w:val="center"/>
          </w:tcPr>
          <w:p w14:paraId="78202584">
            <w:pPr>
              <w:spacing w:line="360" w:lineRule="auto"/>
              <w:jc w:val="center"/>
              <w:rPr>
                <w:rFonts w:ascii="仿宋" w:hAnsi="仿宋" w:eastAsia="仿宋" w:cs="仿宋_GB2312"/>
                <w:color w:val="auto"/>
                <w:highlight w:val="none"/>
              </w:rPr>
            </w:pPr>
          </w:p>
        </w:tc>
      </w:tr>
      <w:tr w14:paraId="68FE1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92" w:type="dxa"/>
            <w:vAlign w:val="center"/>
          </w:tcPr>
          <w:p w14:paraId="0BA9188B">
            <w:pPr>
              <w:spacing w:line="360" w:lineRule="auto"/>
              <w:jc w:val="center"/>
              <w:rPr>
                <w:rFonts w:ascii="仿宋" w:hAnsi="仿宋" w:eastAsia="仿宋" w:cs="仿宋_GB2312"/>
                <w:color w:val="auto"/>
                <w:highlight w:val="none"/>
              </w:rPr>
            </w:pPr>
          </w:p>
        </w:tc>
        <w:tc>
          <w:tcPr>
            <w:tcW w:w="4666" w:type="dxa"/>
            <w:vAlign w:val="center"/>
          </w:tcPr>
          <w:p w14:paraId="4A7A483A">
            <w:pPr>
              <w:spacing w:line="360" w:lineRule="auto"/>
              <w:rPr>
                <w:rFonts w:ascii="仿宋" w:hAnsi="仿宋" w:eastAsia="仿宋" w:cs="仿宋_GB2312"/>
                <w:color w:val="auto"/>
                <w:highlight w:val="none"/>
              </w:rPr>
            </w:pPr>
          </w:p>
        </w:tc>
        <w:tc>
          <w:tcPr>
            <w:tcW w:w="1275" w:type="dxa"/>
            <w:vAlign w:val="center"/>
          </w:tcPr>
          <w:p w14:paraId="193E671D">
            <w:pPr>
              <w:spacing w:line="360" w:lineRule="auto"/>
              <w:jc w:val="center"/>
              <w:rPr>
                <w:rFonts w:ascii="仿宋" w:hAnsi="仿宋" w:eastAsia="仿宋" w:cs="仿宋_GB2312"/>
                <w:color w:val="auto"/>
                <w:highlight w:val="none"/>
              </w:rPr>
            </w:pPr>
          </w:p>
        </w:tc>
        <w:tc>
          <w:tcPr>
            <w:tcW w:w="1170" w:type="dxa"/>
            <w:vAlign w:val="center"/>
          </w:tcPr>
          <w:p w14:paraId="001D832E">
            <w:pPr>
              <w:spacing w:line="360" w:lineRule="auto"/>
              <w:jc w:val="center"/>
              <w:rPr>
                <w:rFonts w:ascii="仿宋" w:hAnsi="仿宋" w:eastAsia="仿宋" w:cs="仿宋_GB2312"/>
                <w:color w:val="auto"/>
                <w:highlight w:val="none"/>
              </w:rPr>
            </w:pPr>
          </w:p>
        </w:tc>
        <w:tc>
          <w:tcPr>
            <w:tcW w:w="1373" w:type="dxa"/>
            <w:vAlign w:val="center"/>
          </w:tcPr>
          <w:p w14:paraId="50C1204A">
            <w:pPr>
              <w:spacing w:line="360" w:lineRule="auto"/>
              <w:jc w:val="center"/>
              <w:rPr>
                <w:rFonts w:ascii="仿宋" w:hAnsi="仿宋" w:eastAsia="仿宋" w:cs="仿宋_GB2312"/>
                <w:color w:val="auto"/>
                <w:highlight w:val="none"/>
              </w:rPr>
            </w:pPr>
          </w:p>
        </w:tc>
      </w:tr>
      <w:tr w14:paraId="4746F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976" w:type="dxa"/>
            <w:gridSpan w:val="5"/>
            <w:vAlign w:val="center"/>
          </w:tcPr>
          <w:p w14:paraId="650F814F">
            <w:pPr>
              <w:spacing w:line="360" w:lineRule="auto"/>
              <w:rPr>
                <w:rFonts w:ascii="仿宋" w:hAnsi="仿宋" w:eastAsia="仿宋" w:cs="仿宋_GB2312"/>
                <w:color w:val="auto"/>
                <w:highlight w:val="none"/>
              </w:rPr>
            </w:pPr>
            <w:r>
              <w:rPr>
                <w:rFonts w:hint="eastAsia" w:ascii="仿宋" w:hAnsi="仿宋" w:eastAsia="仿宋"/>
                <w:b/>
                <w:color w:val="auto"/>
                <w:highlight w:val="none"/>
              </w:rPr>
              <w:t>投标总价合计金额大写：                              小写： ￥</w:t>
            </w:r>
          </w:p>
        </w:tc>
      </w:tr>
    </w:tbl>
    <w:p w14:paraId="53E385B6">
      <w:pPr>
        <w:snapToGrid w:val="0"/>
        <w:spacing w:line="360" w:lineRule="auto"/>
        <w:ind w:left="480"/>
        <w:rPr>
          <w:rFonts w:ascii="仿宋" w:hAnsi="仿宋" w:eastAsia="仿宋" w:cs="仿宋_GB2312"/>
          <w:b/>
          <w:color w:val="auto"/>
          <w:highlight w:val="none"/>
          <w:lang w:val="zh-CN"/>
        </w:rPr>
      </w:pPr>
      <w:r>
        <w:rPr>
          <w:rFonts w:hint="eastAsia" w:ascii="仿宋" w:hAnsi="仿宋" w:eastAsia="仿宋" w:cs="仿宋_GB2312"/>
          <w:b/>
          <w:color w:val="auto"/>
          <w:highlight w:val="none"/>
          <w:lang w:val="zh-CN"/>
        </w:rPr>
        <w:t>注：</w:t>
      </w:r>
    </w:p>
    <w:p w14:paraId="66B00D5D">
      <w:pPr>
        <w:spacing w:line="360" w:lineRule="auto"/>
        <w:ind w:left="-2" w:leftChars="-1"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1、投标人需按本表格式填写，不得自行更</w:t>
      </w:r>
      <w:r>
        <w:rPr>
          <w:rFonts w:hint="eastAsia" w:ascii="仿宋" w:hAnsi="仿宋" w:eastAsia="仿宋"/>
          <w:color w:val="auto"/>
          <w:highlight w:val="none"/>
        </w:rPr>
        <w:t>改，如无对应内容，则填写：“无或/”。</w:t>
      </w:r>
    </w:p>
    <w:p w14:paraId="3049A074">
      <w:pPr>
        <w:spacing w:line="360" w:lineRule="auto"/>
        <w:ind w:firstLine="480" w:firstLineChars="200"/>
        <w:rPr>
          <w:rFonts w:ascii="仿宋" w:hAnsi="仿宋" w:eastAsia="仿宋" w:cs="宋体"/>
          <w:color w:val="auto"/>
          <w:highlight w:val="none"/>
        </w:rPr>
      </w:pPr>
      <w:r>
        <w:rPr>
          <w:rFonts w:hint="eastAsia" w:ascii="仿宋" w:hAnsi="仿宋" w:eastAsia="仿宋" w:cs="仿宋_GB2312"/>
          <w:color w:val="auto"/>
          <w:highlight w:val="none"/>
          <w:lang w:val="zh-CN"/>
        </w:rPr>
        <w:t>2、有关本项目实施所涉及的一切费用（详见前附表）均计入报价。</w:t>
      </w:r>
      <w:r>
        <w:rPr>
          <w:rFonts w:hint="eastAsia" w:ascii="仿宋" w:hAnsi="仿宋" w:eastAsia="仿宋" w:cs="宋体"/>
          <w:b/>
          <w:color w:val="auto"/>
          <w:highlight w:val="none"/>
          <w:lang w:val="zh-CN"/>
        </w:rPr>
        <w:t>采购人将以合同形式有偿取得货物或服务，不接受投标人给予的赠品、回扣或者与采购无关的其他商品、服务</w:t>
      </w:r>
      <w:r>
        <w:rPr>
          <w:rFonts w:hint="eastAsia" w:ascii="仿宋" w:hAnsi="仿宋" w:eastAsia="仿宋" w:cs="宋体"/>
          <w:color w:val="auto"/>
          <w:highlight w:val="none"/>
          <w:lang w:val="zh-CN"/>
        </w:rPr>
        <w:t>，</w:t>
      </w:r>
      <w:r>
        <w:rPr>
          <w:rFonts w:hint="eastAsia" w:ascii="仿宋" w:hAnsi="仿宋" w:eastAsia="仿宋" w:cs="宋体"/>
          <w:b/>
          <w:color w:val="auto"/>
          <w:highlight w:val="none"/>
          <w:lang w:val="zh-CN"/>
        </w:rPr>
        <w:t>不得出现“0元”“免费赠送”等形式的无偿报价，</w:t>
      </w:r>
      <w:r>
        <w:rPr>
          <w:rFonts w:hint="eastAsia" w:ascii="仿宋" w:hAnsi="仿宋" w:eastAsia="仿宋" w:cs="宋体"/>
          <w:b/>
          <w:color w:val="auto"/>
          <w:highlight w:val="none"/>
        </w:rPr>
        <w:t>否则视为投标文件含有采购人不能接受的附加条件，投标无效</w:t>
      </w:r>
      <w:r>
        <w:rPr>
          <w:rFonts w:hint="eastAsia" w:ascii="仿宋" w:hAnsi="仿宋" w:eastAsia="仿宋" w:cs="宋体"/>
          <w:b/>
          <w:color w:val="auto"/>
          <w:highlight w:val="none"/>
          <w:lang w:val="zh-CN"/>
        </w:rPr>
        <w:t>；采购内容未包含在《开标一览表（报价表）》名称栏中，投标人不能作出合理解释的，</w:t>
      </w:r>
      <w:r>
        <w:rPr>
          <w:rFonts w:hint="eastAsia" w:ascii="仿宋" w:hAnsi="仿宋" w:eastAsia="仿宋" w:cs="宋体"/>
          <w:b/>
          <w:color w:val="auto"/>
          <w:highlight w:val="none"/>
        </w:rPr>
        <w:t>视为投标文件含有采购人不能接受的附加条件的，投标无效。</w:t>
      </w:r>
    </w:p>
    <w:p w14:paraId="752E3D0C">
      <w:pPr>
        <w:snapToGrid w:val="0"/>
        <w:spacing w:line="360" w:lineRule="auto"/>
        <w:ind w:firstLine="480" w:firstLineChars="200"/>
        <w:rPr>
          <w:rFonts w:ascii="仿宋" w:hAnsi="仿宋" w:eastAsia="仿宋" w:cs="仿宋_GB2312"/>
          <w:color w:val="auto"/>
          <w:highlight w:val="none"/>
          <w:lang w:val="zh-CN"/>
        </w:rPr>
      </w:pPr>
      <w:r>
        <w:rPr>
          <w:rFonts w:hint="eastAsia" w:ascii="仿宋" w:hAnsi="仿宋" w:eastAsia="仿宋" w:cs="仿宋_GB2312"/>
          <w:color w:val="auto"/>
          <w:highlight w:val="none"/>
          <w:lang w:val="zh-CN"/>
        </w:rPr>
        <w:t>3、特别提示：采购代理机构将对项目名称和项目编号，中标供应商名称、地址和中标金额，主要中标标的的名称、规格型号、数量、单价、服务要求等予以公示。</w:t>
      </w:r>
    </w:p>
    <w:p w14:paraId="08D31D97">
      <w:pPr>
        <w:spacing w:line="360" w:lineRule="auto"/>
        <w:ind w:firstLine="480" w:firstLineChars="200"/>
        <w:rPr>
          <w:rFonts w:ascii="仿宋" w:hAnsi="仿宋" w:eastAsia="仿宋" w:cs="宋体"/>
          <w:color w:val="auto"/>
          <w:highlight w:val="none"/>
          <w:lang w:val="zh-CN"/>
        </w:rPr>
      </w:pPr>
      <w:r>
        <w:rPr>
          <w:rFonts w:ascii="仿宋" w:hAnsi="仿宋" w:eastAsia="仿宋" w:cs="宋体"/>
          <w:color w:val="auto"/>
          <w:szCs w:val="22"/>
          <w:highlight w:val="none"/>
          <w:lang w:val="zh-CN"/>
        </w:rPr>
        <w:t>4</w:t>
      </w:r>
      <w:r>
        <w:rPr>
          <w:rFonts w:hint="eastAsia" w:ascii="仿宋" w:hAnsi="仿宋" w:eastAsia="仿宋" w:cs="宋体"/>
          <w:color w:val="auto"/>
          <w:szCs w:val="22"/>
          <w:highlight w:val="none"/>
          <w:lang w:val="zh-CN"/>
        </w:rPr>
        <w:t>、</w:t>
      </w:r>
      <w:r>
        <w:rPr>
          <w:rFonts w:hint="eastAsia" w:ascii="仿宋" w:hAnsi="仿宋" w:eastAsia="仿宋" w:cs="宋体"/>
          <w:color w:val="auto"/>
          <w:highlight w:val="none"/>
          <w:lang w:val="zh-CN"/>
        </w:rPr>
        <w:t>符合招标文件中列明的可享受中小企业扶持政策的投标人，请填写中小企业声明函。投标人提供的中小企业声明函内容不实的，属于提供虚假材料谋取中标、成交，依照《中华人民共和国政府采购法》等国家有关规定追究相应责任。</w:t>
      </w:r>
    </w:p>
    <w:p w14:paraId="26DB0EC4">
      <w:pPr>
        <w:spacing w:line="360" w:lineRule="auto"/>
        <w:ind w:firstLine="480" w:firstLineChars="200"/>
        <w:rPr>
          <w:rFonts w:ascii="仿宋" w:hAnsi="仿宋" w:eastAsia="仿宋" w:cs="宋体"/>
          <w:color w:val="auto"/>
          <w:highlight w:val="none"/>
          <w:lang w:val="zh-CN"/>
        </w:rPr>
      </w:pPr>
      <w:r>
        <w:rPr>
          <w:rFonts w:hint="eastAsia" w:ascii="仿宋" w:hAnsi="仿宋" w:eastAsia="仿宋" w:cs="宋体"/>
          <w:color w:val="auto"/>
          <w:highlight w:val="none"/>
          <w:lang w:val="zh-CN"/>
        </w:rPr>
        <w:t>5、小数点后最多保留2位，例如10.00。</w:t>
      </w:r>
    </w:p>
    <w:p w14:paraId="6F736513">
      <w:pPr>
        <w:spacing w:line="360" w:lineRule="auto"/>
        <w:rPr>
          <w:rFonts w:ascii="仿宋" w:hAnsi="仿宋" w:eastAsia="仿宋" w:cs="仿宋_GB2312"/>
          <w:color w:val="auto"/>
          <w:highlight w:val="none"/>
        </w:rPr>
      </w:pPr>
    </w:p>
    <w:p w14:paraId="3293B9CD">
      <w:pPr>
        <w:spacing w:line="360" w:lineRule="auto"/>
        <w:ind w:right="960" w:firstLine="10440" w:firstLineChars="4350"/>
        <w:jc w:val="right"/>
        <w:rPr>
          <w:rFonts w:ascii="仿宋" w:hAnsi="仿宋" w:eastAsia="仿宋" w:cs="仿宋_GB2312"/>
          <w:color w:val="auto"/>
          <w:kern w:val="2"/>
          <w:sz w:val="32"/>
          <w:szCs w:val="32"/>
          <w:highlight w:val="none"/>
        </w:rPr>
      </w:pPr>
      <w:r>
        <w:rPr>
          <w:rFonts w:hint="eastAsia" w:ascii="仿宋" w:hAnsi="仿宋" w:eastAsia="仿宋" w:cs="仿宋_GB2312"/>
          <w:color w:val="auto"/>
          <w:highlight w:val="none"/>
        </w:rPr>
        <w:t xml:space="preserve">投投标人名称（电子签名）：                                                                                   日期：  年   月   </w:t>
      </w:r>
      <w:bookmarkEnd w:id="454"/>
    </w:p>
    <w:p w14:paraId="52B90120">
      <w:pPr>
        <w:pStyle w:val="205"/>
        <w:keepNext w:val="0"/>
        <w:pageBreakBefore w:val="0"/>
        <w:tabs>
          <w:tab w:val="clear" w:pos="720"/>
        </w:tabs>
        <w:snapToGrid w:val="0"/>
        <w:spacing w:before="240"/>
        <w:outlineLvl w:val="9"/>
        <w:rPr>
          <w:rFonts w:ascii="仿宋" w:hAnsi="仿宋" w:eastAsia="仿宋" w:cs="仿宋_GB2312"/>
          <w:color w:val="auto"/>
          <w:kern w:val="2"/>
          <w:sz w:val="32"/>
          <w:szCs w:val="32"/>
          <w:highlight w:val="none"/>
        </w:rPr>
      </w:pPr>
    </w:p>
    <w:p w14:paraId="29F60EE1">
      <w:pPr>
        <w:pStyle w:val="205"/>
        <w:keepNext w:val="0"/>
        <w:pageBreakBefore w:val="0"/>
        <w:tabs>
          <w:tab w:val="clear" w:pos="720"/>
        </w:tabs>
        <w:snapToGrid w:val="0"/>
        <w:spacing w:before="240"/>
        <w:outlineLvl w:val="9"/>
        <w:rPr>
          <w:rFonts w:ascii="仿宋" w:hAnsi="仿宋" w:eastAsia="仿宋" w:cs="仿宋_GB2312"/>
          <w:color w:val="auto"/>
          <w:kern w:val="2"/>
          <w:sz w:val="32"/>
          <w:szCs w:val="32"/>
          <w:highlight w:val="none"/>
        </w:rPr>
      </w:pPr>
    </w:p>
    <w:p w14:paraId="5C055B55">
      <w:pPr>
        <w:pStyle w:val="205"/>
        <w:keepNext w:val="0"/>
        <w:pageBreakBefore w:val="0"/>
        <w:tabs>
          <w:tab w:val="clear" w:pos="720"/>
        </w:tabs>
        <w:snapToGrid w:val="0"/>
        <w:spacing w:before="240"/>
        <w:outlineLvl w:val="9"/>
        <w:rPr>
          <w:rFonts w:ascii="仿宋" w:hAnsi="仿宋" w:eastAsia="仿宋" w:cs="仿宋_GB2312"/>
          <w:color w:val="auto"/>
          <w:kern w:val="2"/>
          <w:sz w:val="32"/>
          <w:szCs w:val="32"/>
          <w:highlight w:val="none"/>
        </w:rPr>
      </w:pPr>
    </w:p>
    <w:p w14:paraId="76ADD0DD">
      <w:pPr>
        <w:pStyle w:val="205"/>
        <w:keepNext w:val="0"/>
        <w:pageBreakBefore w:val="0"/>
        <w:tabs>
          <w:tab w:val="clear" w:pos="720"/>
        </w:tabs>
        <w:snapToGrid w:val="0"/>
        <w:spacing w:before="240"/>
        <w:outlineLvl w:val="9"/>
        <w:rPr>
          <w:rFonts w:ascii="仿宋" w:hAnsi="仿宋" w:eastAsia="仿宋" w:cs="仿宋_GB2312"/>
          <w:color w:val="auto"/>
          <w:kern w:val="2"/>
          <w:sz w:val="32"/>
          <w:szCs w:val="32"/>
          <w:highlight w:val="none"/>
        </w:rPr>
      </w:pPr>
    </w:p>
    <w:p w14:paraId="39EA3157">
      <w:pPr>
        <w:pStyle w:val="205"/>
        <w:keepNext w:val="0"/>
        <w:pageBreakBefore w:val="0"/>
        <w:tabs>
          <w:tab w:val="clear" w:pos="720"/>
        </w:tabs>
        <w:snapToGrid w:val="0"/>
        <w:spacing w:before="240"/>
        <w:jc w:val="both"/>
        <w:outlineLvl w:val="9"/>
        <w:rPr>
          <w:rFonts w:ascii="仿宋" w:hAnsi="仿宋" w:eastAsia="仿宋" w:cs="仿宋_GB2312"/>
          <w:color w:val="auto"/>
          <w:kern w:val="2"/>
          <w:sz w:val="32"/>
          <w:szCs w:val="32"/>
          <w:highlight w:val="none"/>
        </w:rPr>
      </w:pPr>
    </w:p>
    <w:p w14:paraId="476139B3">
      <w:pPr>
        <w:pStyle w:val="205"/>
        <w:keepNext w:val="0"/>
        <w:pageBreakBefore w:val="0"/>
        <w:tabs>
          <w:tab w:val="clear" w:pos="720"/>
        </w:tabs>
        <w:snapToGrid w:val="0"/>
        <w:spacing w:before="240"/>
        <w:outlineLvl w:val="9"/>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二、中小企业声明函（如有）</w:t>
      </w:r>
    </w:p>
    <w:p w14:paraId="2E1A376C">
      <w:pPr>
        <w:spacing w:line="440" w:lineRule="exact"/>
        <w:ind w:firstLine="360" w:firstLineChars="150"/>
        <w:rPr>
          <w:rFonts w:ascii="仿宋" w:hAnsi="仿宋" w:eastAsia="仿宋"/>
          <w:color w:val="auto"/>
          <w:highlight w:val="none"/>
        </w:rPr>
      </w:pPr>
      <w:r>
        <w:rPr>
          <w:rFonts w:hint="eastAsia" w:ascii="仿宋" w:hAnsi="仿宋" w:eastAsia="仿宋"/>
          <w:color w:val="auto"/>
          <w:highlight w:val="none"/>
        </w:rPr>
        <w:t xml:space="preserve">本公司（联合体）郑重声明，根据《政府采购促进中小企业发展管理办法》（财库﹝2020﹞46 号）的规定，本公司（联合体）参加 </w:t>
      </w:r>
      <w:r>
        <w:rPr>
          <w:rFonts w:hint="eastAsia" w:ascii="仿宋" w:hAnsi="仿宋" w:eastAsia="仿宋"/>
          <w:color w:val="auto"/>
          <w:highlight w:val="none"/>
          <w:u w:val="single"/>
        </w:rPr>
        <w:t>（单位名称）</w:t>
      </w:r>
      <w:r>
        <w:rPr>
          <w:rFonts w:hint="eastAsia" w:ascii="仿宋" w:hAnsi="仿宋" w:eastAsia="仿宋"/>
          <w:color w:val="auto"/>
          <w:highlight w:val="none"/>
        </w:rPr>
        <w:t xml:space="preserve"> 的 </w:t>
      </w:r>
      <w:r>
        <w:rPr>
          <w:rFonts w:hint="eastAsia" w:ascii="仿宋" w:hAnsi="仿宋" w:eastAsia="仿宋"/>
          <w:color w:val="auto"/>
          <w:highlight w:val="none"/>
          <w:u w:val="single"/>
        </w:rPr>
        <w:t>（项目名称）</w:t>
      </w:r>
      <w:r>
        <w:rPr>
          <w:rFonts w:hint="eastAsia" w:ascii="仿宋" w:hAnsi="仿宋" w:eastAsia="仿宋"/>
          <w:color w:val="auto"/>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AD0E782">
      <w:pPr>
        <w:spacing w:line="440" w:lineRule="exact"/>
        <w:ind w:firstLine="480" w:firstLineChars="200"/>
        <w:rPr>
          <w:rFonts w:ascii="仿宋" w:hAnsi="仿宋" w:eastAsia="仿宋"/>
          <w:color w:val="auto"/>
          <w:highlight w:val="none"/>
        </w:rPr>
      </w:pPr>
      <w:r>
        <w:rPr>
          <w:rFonts w:hint="eastAsia" w:ascii="仿宋" w:hAnsi="仿宋" w:eastAsia="仿宋"/>
          <w:color w:val="auto"/>
          <w:highlight w:val="none"/>
        </w:rPr>
        <w:t>1.</w:t>
      </w:r>
      <w:r>
        <w:rPr>
          <w:rFonts w:hint="eastAsia" w:ascii="仿宋" w:hAnsi="仿宋" w:eastAsia="仿宋"/>
          <w:color w:val="auto"/>
          <w:highlight w:val="none"/>
          <w:u w:val="single"/>
        </w:rPr>
        <w:t>（标的名称）</w:t>
      </w:r>
      <w:r>
        <w:rPr>
          <w:rFonts w:hint="eastAsia" w:ascii="仿宋" w:hAnsi="仿宋" w:eastAsia="仿宋"/>
          <w:color w:val="auto"/>
          <w:highlight w:val="none"/>
        </w:rPr>
        <w:t xml:space="preserve"> ，属于 </w:t>
      </w:r>
      <w:r>
        <w:rPr>
          <w:rFonts w:hint="eastAsia" w:ascii="仿宋" w:hAnsi="仿宋" w:eastAsia="仿宋"/>
          <w:color w:val="auto"/>
          <w:highlight w:val="none"/>
          <w:u w:val="single"/>
        </w:rPr>
        <w:t>（采购文件中明确的所属行业）</w:t>
      </w:r>
      <w:r>
        <w:rPr>
          <w:rFonts w:hint="eastAsia" w:ascii="仿宋" w:hAnsi="仿宋" w:eastAsia="仿宋"/>
          <w:color w:val="auto"/>
          <w:highlight w:val="none"/>
        </w:rPr>
        <w:t xml:space="preserve"> ；承建（承接）企业为 </w:t>
      </w:r>
      <w:r>
        <w:rPr>
          <w:rFonts w:hint="eastAsia" w:ascii="仿宋" w:hAnsi="仿宋" w:eastAsia="仿宋"/>
          <w:color w:val="auto"/>
          <w:highlight w:val="none"/>
          <w:u w:val="single"/>
        </w:rPr>
        <w:t>（企业名称）</w:t>
      </w:r>
      <w:r>
        <w:rPr>
          <w:rFonts w:hint="eastAsia" w:ascii="仿宋" w:hAnsi="仿宋" w:eastAsia="仿宋"/>
          <w:color w:val="auto"/>
          <w:highlight w:val="none"/>
        </w:rPr>
        <w:t xml:space="preserve"> ，从业人员人，营业收入为万元，资产总额为万元，属于</w:t>
      </w:r>
      <w:r>
        <w:rPr>
          <w:rFonts w:hint="eastAsia" w:ascii="仿宋" w:hAnsi="仿宋" w:eastAsia="仿宋"/>
          <w:color w:val="auto"/>
          <w:highlight w:val="none"/>
          <w:u w:val="single"/>
        </w:rPr>
        <w:t xml:space="preserve"> （中型企业、小型企业、微型企业） </w:t>
      </w:r>
      <w:r>
        <w:rPr>
          <w:rFonts w:hint="eastAsia" w:ascii="仿宋" w:hAnsi="仿宋" w:eastAsia="仿宋"/>
          <w:color w:val="auto"/>
          <w:highlight w:val="none"/>
        </w:rPr>
        <w:t>；</w:t>
      </w:r>
    </w:p>
    <w:p w14:paraId="66B20EA0">
      <w:pPr>
        <w:spacing w:line="440" w:lineRule="exact"/>
        <w:ind w:firstLine="480" w:firstLineChars="200"/>
        <w:rPr>
          <w:rFonts w:ascii="仿宋" w:hAnsi="仿宋" w:eastAsia="仿宋"/>
          <w:color w:val="auto"/>
          <w:highlight w:val="none"/>
        </w:rPr>
      </w:pPr>
      <w:r>
        <w:rPr>
          <w:rFonts w:hint="eastAsia" w:ascii="仿宋" w:hAnsi="仿宋" w:eastAsia="仿宋"/>
          <w:color w:val="auto"/>
          <w:highlight w:val="none"/>
        </w:rPr>
        <w:t>2.</w:t>
      </w:r>
      <w:r>
        <w:rPr>
          <w:rFonts w:hint="eastAsia" w:ascii="仿宋" w:hAnsi="仿宋" w:eastAsia="仿宋"/>
          <w:color w:val="auto"/>
          <w:highlight w:val="none"/>
          <w:u w:val="single"/>
        </w:rPr>
        <w:t xml:space="preserve">（标的名称） </w:t>
      </w:r>
      <w:r>
        <w:rPr>
          <w:rFonts w:hint="eastAsia" w:ascii="仿宋" w:hAnsi="仿宋" w:eastAsia="仿宋"/>
          <w:color w:val="auto"/>
          <w:highlight w:val="none"/>
        </w:rPr>
        <w:t xml:space="preserve">，属于 </w:t>
      </w:r>
      <w:r>
        <w:rPr>
          <w:rFonts w:hint="eastAsia" w:ascii="仿宋" w:hAnsi="仿宋" w:eastAsia="仿宋"/>
          <w:color w:val="auto"/>
          <w:highlight w:val="none"/>
          <w:u w:val="single"/>
        </w:rPr>
        <w:t>（采购文件中明确的所属行业）</w:t>
      </w:r>
      <w:r>
        <w:rPr>
          <w:rFonts w:hint="eastAsia" w:ascii="仿宋" w:hAnsi="仿宋" w:eastAsia="仿宋"/>
          <w:color w:val="auto"/>
          <w:highlight w:val="none"/>
        </w:rPr>
        <w:t xml:space="preserve"> ；承建（承接）企业为 </w:t>
      </w:r>
      <w:r>
        <w:rPr>
          <w:rFonts w:hint="eastAsia" w:ascii="仿宋" w:hAnsi="仿宋" w:eastAsia="仿宋"/>
          <w:color w:val="auto"/>
          <w:highlight w:val="none"/>
          <w:u w:val="single"/>
        </w:rPr>
        <w:t>（企业名称）</w:t>
      </w:r>
      <w:r>
        <w:rPr>
          <w:rFonts w:hint="eastAsia" w:ascii="仿宋" w:hAnsi="仿宋" w:eastAsia="仿宋"/>
          <w:color w:val="auto"/>
          <w:highlight w:val="none"/>
        </w:rPr>
        <w:t xml:space="preserve"> ，从业人员人，营业收入为万元，资产总额为万元，属于 </w:t>
      </w:r>
      <w:r>
        <w:rPr>
          <w:rFonts w:hint="eastAsia" w:ascii="仿宋" w:hAnsi="仿宋" w:eastAsia="仿宋"/>
          <w:color w:val="auto"/>
          <w:highlight w:val="none"/>
          <w:u w:val="single"/>
        </w:rPr>
        <w:t>（中型企业、小型企业、微型企业）</w:t>
      </w:r>
      <w:r>
        <w:rPr>
          <w:rFonts w:hint="eastAsia" w:ascii="仿宋" w:hAnsi="仿宋" w:eastAsia="仿宋"/>
          <w:color w:val="auto"/>
          <w:highlight w:val="none"/>
        </w:rPr>
        <w:t xml:space="preserve"> ；</w:t>
      </w:r>
    </w:p>
    <w:p w14:paraId="2FA67891">
      <w:pPr>
        <w:spacing w:line="440" w:lineRule="exact"/>
        <w:ind w:firstLine="480" w:firstLineChars="200"/>
        <w:rPr>
          <w:rFonts w:ascii="仿宋" w:hAnsi="仿宋" w:eastAsia="仿宋"/>
          <w:color w:val="auto"/>
          <w:highlight w:val="none"/>
        </w:rPr>
      </w:pPr>
      <w:r>
        <w:rPr>
          <w:rFonts w:hint="eastAsia" w:ascii="仿宋" w:hAnsi="仿宋" w:eastAsia="仿宋"/>
          <w:color w:val="auto"/>
          <w:highlight w:val="none"/>
        </w:rPr>
        <w:t>……</w:t>
      </w:r>
    </w:p>
    <w:p w14:paraId="2ED84607">
      <w:pPr>
        <w:spacing w:line="440" w:lineRule="exact"/>
        <w:ind w:firstLine="480" w:firstLineChars="200"/>
        <w:rPr>
          <w:rFonts w:ascii="仿宋" w:hAnsi="仿宋" w:eastAsia="仿宋"/>
          <w:color w:val="auto"/>
          <w:highlight w:val="none"/>
        </w:rPr>
      </w:pPr>
      <w:r>
        <w:rPr>
          <w:rFonts w:hint="eastAsia" w:ascii="仿宋" w:hAnsi="仿宋" w:eastAsia="仿宋"/>
          <w:color w:val="auto"/>
          <w:highlight w:val="none"/>
        </w:rPr>
        <w:t>以上企业，不属于大企业的分支机构，不存在控股股东为大企业的情形，也不存在与大企业的负责人为同一人的情形。</w:t>
      </w:r>
    </w:p>
    <w:p w14:paraId="366A88A9">
      <w:pPr>
        <w:spacing w:line="440" w:lineRule="exact"/>
        <w:ind w:firstLine="480" w:firstLineChars="200"/>
        <w:rPr>
          <w:rFonts w:ascii="仿宋" w:hAnsi="仿宋" w:eastAsia="仿宋"/>
          <w:color w:val="auto"/>
          <w:highlight w:val="none"/>
        </w:rPr>
      </w:pPr>
      <w:r>
        <w:rPr>
          <w:rFonts w:hint="eastAsia" w:ascii="仿宋" w:hAnsi="仿宋" w:eastAsia="仿宋"/>
          <w:color w:val="auto"/>
          <w:highlight w:val="none"/>
        </w:rPr>
        <w:t>本企业对上述声明内容的真实性负责。如有虚假，将依法承担相应责任。</w:t>
      </w:r>
    </w:p>
    <w:p w14:paraId="558782DA">
      <w:pPr>
        <w:spacing w:line="440" w:lineRule="exact"/>
        <w:ind w:right="1040"/>
        <w:jc w:val="right"/>
        <w:rPr>
          <w:rFonts w:ascii="仿宋" w:hAnsi="仿宋" w:eastAsia="仿宋"/>
          <w:color w:val="auto"/>
          <w:highlight w:val="none"/>
        </w:rPr>
      </w:pPr>
      <w:r>
        <w:rPr>
          <w:rFonts w:hint="eastAsia" w:ascii="仿宋" w:hAnsi="仿宋" w:eastAsia="仿宋" w:cs="仿宋_GB2312"/>
          <w:color w:val="auto"/>
          <w:highlight w:val="none"/>
        </w:rPr>
        <w:t>投标人</w:t>
      </w:r>
      <w:r>
        <w:rPr>
          <w:rFonts w:hint="eastAsia" w:ascii="仿宋" w:hAnsi="仿宋" w:eastAsia="仿宋"/>
          <w:color w:val="auto"/>
          <w:highlight w:val="none"/>
        </w:rPr>
        <w:t xml:space="preserve">名称（ </w:t>
      </w:r>
      <w:r>
        <w:rPr>
          <w:rFonts w:hint="eastAsia" w:ascii="仿宋" w:hAnsi="仿宋" w:eastAsia="仿宋" w:cs="仿宋_GB2312"/>
          <w:color w:val="auto"/>
          <w:highlight w:val="none"/>
        </w:rPr>
        <w:t>电子签名</w:t>
      </w:r>
      <w:r>
        <w:rPr>
          <w:rFonts w:hint="eastAsia" w:ascii="仿宋" w:hAnsi="仿宋" w:eastAsia="仿宋"/>
          <w:color w:val="auto"/>
          <w:highlight w:val="none"/>
        </w:rPr>
        <w:t>）：</w:t>
      </w:r>
    </w:p>
    <w:p w14:paraId="43625C2D">
      <w:pPr>
        <w:spacing w:line="440" w:lineRule="exact"/>
        <w:ind w:right="1120" w:firstLine="5040" w:firstLineChars="2100"/>
        <w:rPr>
          <w:rFonts w:ascii="仿宋" w:hAnsi="仿宋" w:eastAsia="仿宋"/>
          <w:color w:val="auto"/>
          <w:highlight w:val="none"/>
        </w:rPr>
      </w:pPr>
      <w:r>
        <w:rPr>
          <w:rFonts w:hint="eastAsia" w:ascii="仿宋" w:hAnsi="仿宋" w:eastAsia="仿宋"/>
          <w:color w:val="auto"/>
          <w:highlight w:val="none"/>
        </w:rPr>
        <w:t>日 期：</w:t>
      </w:r>
    </w:p>
    <w:p w14:paraId="78F803C9">
      <w:pPr>
        <w:spacing w:line="360" w:lineRule="auto"/>
        <w:ind w:firstLine="353" w:firstLineChars="147"/>
        <w:rPr>
          <w:rFonts w:ascii="仿宋" w:hAnsi="仿宋" w:eastAsia="仿宋" w:cs="仿宋_GB2312"/>
          <w:b/>
          <w:color w:val="auto"/>
          <w:highlight w:val="none"/>
          <w:lang w:val="zh-CN"/>
        </w:rPr>
      </w:pPr>
      <w:r>
        <w:rPr>
          <w:rFonts w:hint="eastAsia" w:ascii="仿宋" w:hAnsi="仿宋" w:eastAsia="仿宋" w:cs="仿宋_GB2312"/>
          <w:b/>
          <w:color w:val="auto"/>
          <w:highlight w:val="none"/>
          <w:lang w:val="zh-CN"/>
        </w:rPr>
        <w:t>从业人员、营业收入、资产总额填报上一年度数据，无上一年度数据的新成立企业可不填报。</w:t>
      </w:r>
    </w:p>
    <w:p w14:paraId="7AAB504C">
      <w:pPr>
        <w:spacing w:line="360" w:lineRule="auto"/>
        <w:ind w:right="420" w:firstLine="480" w:firstLineChars="200"/>
        <w:rPr>
          <w:rFonts w:ascii="仿宋" w:hAnsi="仿宋" w:eastAsia="仿宋" w:cs="宋体"/>
          <w:b/>
          <w:bCs/>
          <w:color w:val="auto"/>
          <w:highlight w:val="none"/>
        </w:rPr>
      </w:pPr>
      <w:r>
        <w:rPr>
          <w:rFonts w:hint="eastAsia" w:ascii="仿宋" w:hAnsi="仿宋" w:eastAsia="仿宋" w:cs="仿宋_GB2312"/>
          <w:b/>
          <w:color w:val="auto"/>
          <w:highlight w:val="none"/>
        </w:rPr>
        <w:t>注：1、投标人应根据企业实际情况及采购文件中明确的所属行业，对照《关于印发中小企业划型标准规定的通知》（工信部联企业[2011]300号）所对应的划型标准作出声明，</w:t>
      </w:r>
      <w:r>
        <w:rPr>
          <w:rFonts w:hint="eastAsia" w:ascii="仿宋" w:hAnsi="仿宋" w:eastAsia="仿宋" w:cs="宋体"/>
          <w:b/>
          <w:bCs/>
          <w:color w:val="auto"/>
          <w:highlight w:val="none"/>
        </w:rPr>
        <w:t>投标人提供的《中小企业声明函》与实际情况不符的或者未按以上要求填写的，中小企业声明函无效，不享受中小企业扶持政策。声明内容不实的，属于提供虚假材料谋取中标、成交的，依法承担法律责任。</w:t>
      </w:r>
    </w:p>
    <w:p w14:paraId="7C50CCB0">
      <w:pPr>
        <w:spacing w:line="360" w:lineRule="auto"/>
        <w:ind w:right="420" w:firstLine="480" w:firstLineChars="200"/>
        <w:rPr>
          <w:rFonts w:ascii="仿宋" w:hAnsi="仿宋" w:eastAsia="仿宋" w:cs="仿宋_GB2312"/>
          <w:b/>
          <w:color w:val="auto"/>
          <w:highlight w:val="none"/>
        </w:rPr>
      </w:pPr>
      <w:r>
        <w:rPr>
          <w:rFonts w:hint="eastAsia" w:ascii="仿宋" w:hAnsi="仿宋" w:eastAsia="仿宋" w:cs="仿宋_GB2312"/>
          <w:b/>
          <w:color w:val="auto"/>
          <w:highlight w:val="none"/>
        </w:rPr>
        <w:t>2、根据《政府采购促进中小企业发展管理办法》的通知（财库〔2020〕46号）规定，中标、成交供应商享受中小企业扶持政策的，采购代理机构将随中标、成交结果公开中标、成交供应商的《中小企业声明函》。</w:t>
      </w:r>
    </w:p>
    <w:p w14:paraId="2506E54E">
      <w:pPr>
        <w:spacing w:line="360" w:lineRule="auto"/>
        <w:ind w:right="420"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3、符合《关于促进残疾人就业政府采购政策的通知》（财库〔2017〕141号）规定的条件并提供《残疾人福利性单位声明函》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14:paraId="26B852E8">
      <w:pPr>
        <w:spacing w:line="360" w:lineRule="auto"/>
        <w:ind w:right="420" w:firstLine="480" w:firstLineChars="200"/>
        <w:rPr>
          <w:rFonts w:ascii="仿宋" w:hAnsi="仿宋" w:eastAsia="仿宋" w:cs="仿宋_GB2312"/>
          <w:color w:val="auto"/>
          <w:highlight w:val="none"/>
        </w:rPr>
      </w:pPr>
    </w:p>
    <w:p w14:paraId="6EA4AC85">
      <w:pPr>
        <w:spacing w:line="360" w:lineRule="auto"/>
        <w:jc w:val="center"/>
        <w:outlineLvl w:val="0"/>
        <w:rPr>
          <w:rFonts w:ascii="仿宋" w:hAnsi="仿宋" w:eastAsia="仿宋"/>
          <w:b/>
          <w:color w:val="auto"/>
          <w:spacing w:val="6"/>
          <w:sz w:val="32"/>
          <w:szCs w:val="32"/>
          <w:highlight w:val="none"/>
        </w:rPr>
      </w:pPr>
    </w:p>
    <w:p w14:paraId="1D6C8CCB">
      <w:pPr>
        <w:spacing w:line="360" w:lineRule="auto"/>
        <w:jc w:val="center"/>
        <w:outlineLvl w:val="0"/>
        <w:rPr>
          <w:rFonts w:ascii="仿宋" w:hAnsi="仿宋" w:eastAsia="仿宋"/>
          <w:b/>
          <w:color w:val="auto"/>
          <w:spacing w:val="6"/>
          <w:sz w:val="32"/>
          <w:szCs w:val="32"/>
          <w:highlight w:val="none"/>
        </w:rPr>
      </w:pPr>
    </w:p>
    <w:p w14:paraId="776E64AE">
      <w:pPr>
        <w:spacing w:line="360" w:lineRule="auto"/>
        <w:jc w:val="center"/>
        <w:outlineLvl w:val="0"/>
        <w:rPr>
          <w:rFonts w:ascii="仿宋" w:hAnsi="仿宋" w:eastAsia="仿宋"/>
          <w:b/>
          <w:color w:val="auto"/>
          <w:spacing w:val="6"/>
          <w:sz w:val="32"/>
          <w:szCs w:val="32"/>
          <w:highlight w:val="none"/>
        </w:rPr>
      </w:pPr>
    </w:p>
    <w:p w14:paraId="54C4B78A">
      <w:pPr>
        <w:spacing w:line="360" w:lineRule="auto"/>
        <w:jc w:val="center"/>
        <w:outlineLvl w:val="0"/>
        <w:rPr>
          <w:rFonts w:ascii="仿宋" w:hAnsi="仿宋" w:eastAsia="仿宋"/>
          <w:b/>
          <w:color w:val="auto"/>
          <w:spacing w:val="6"/>
          <w:sz w:val="32"/>
          <w:szCs w:val="32"/>
          <w:highlight w:val="none"/>
        </w:rPr>
      </w:pPr>
    </w:p>
    <w:p w14:paraId="6F8AD19D">
      <w:pPr>
        <w:spacing w:line="360" w:lineRule="auto"/>
        <w:jc w:val="center"/>
        <w:outlineLvl w:val="0"/>
        <w:rPr>
          <w:rFonts w:ascii="仿宋" w:hAnsi="仿宋" w:eastAsia="仿宋"/>
          <w:b/>
          <w:color w:val="auto"/>
          <w:spacing w:val="6"/>
          <w:sz w:val="32"/>
          <w:szCs w:val="32"/>
          <w:highlight w:val="none"/>
        </w:rPr>
      </w:pPr>
    </w:p>
    <w:p w14:paraId="7A01BB1D">
      <w:pPr>
        <w:spacing w:line="360" w:lineRule="auto"/>
        <w:jc w:val="center"/>
        <w:outlineLvl w:val="0"/>
        <w:rPr>
          <w:rFonts w:ascii="仿宋" w:hAnsi="仿宋" w:eastAsia="仿宋"/>
          <w:b/>
          <w:color w:val="auto"/>
          <w:spacing w:val="6"/>
          <w:sz w:val="32"/>
          <w:szCs w:val="32"/>
          <w:highlight w:val="none"/>
        </w:rPr>
      </w:pPr>
    </w:p>
    <w:p w14:paraId="31688E5B">
      <w:pPr>
        <w:spacing w:line="360" w:lineRule="auto"/>
        <w:jc w:val="center"/>
        <w:outlineLvl w:val="0"/>
        <w:rPr>
          <w:rFonts w:ascii="仿宋" w:hAnsi="仿宋" w:eastAsia="仿宋"/>
          <w:b/>
          <w:color w:val="auto"/>
          <w:spacing w:val="6"/>
          <w:sz w:val="32"/>
          <w:szCs w:val="32"/>
          <w:highlight w:val="none"/>
        </w:rPr>
      </w:pPr>
    </w:p>
    <w:p w14:paraId="34052EB4">
      <w:pPr>
        <w:spacing w:line="360" w:lineRule="auto"/>
        <w:jc w:val="center"/>
        <w:outlineLvl w:val="0"/>
        <w:rPr>
          <w:rFonts w:ascii="仿宋" w:hAnsi="仿宋" w:eastAsia="仿宋"/>
          <w:b/>
          <w:color w:val="auto"/>
          <w:spacing w:val="6"/>
          <w:sz w:val="32"/>
          <w:szCs w:val="32"/>
          <w:highlight w:val="none"/>
        </w:rPr>
      </w:pPr>
    </w:p>
    <w:p w14:paraId="64CB5A48">
      <w:pPr>
        <w:spacing w:line="360" w:lineRule="auto"/>
        <w:jc w:val="center"/>
        <w:outlineLvl w:val="0"/>
        <w:rPr>
          <w:rFonts w:ascii="仿宋" w:hAnsi="仿宋" w:eastAsia="仿宋"/>
          <w:b/>
          <w:color w:val="auto"/>
          <w:spacing w:val="6"/>
          <w:sz w:val="32"/>
          <w:szCs w:val="32"/>
          <w:highlight w:val="none"/>
        </w:rPr>
      </w:pPr>
    </w:p>
    <w:p w14:paraId="4BC2DE43">
      <w:pPr>
        <w:spacing w:line="360" w:lineRule="auto"/>
        <w:jc w:val="both"/>
        <w:outlineLvl w:val="0"/>
        <w:rPr>
          <w:rFonts w:ascii="仿宋" w:hAnsi="仿宋" w:eastAsia="仿宋"/>
          <w:b/>
          <w:color w:val="auto"/>
          <w:spacing w:val="6"/>
          <w:sz w:val="32"/>
          <w:szCs w:val="32"/>
          <w:highlight w:val="none"/>
        </w:rPr>
      </w:pPr>
    </w:p>
    <w:p w14:paraId="5EDF6F19">
      <w:pPr>
        <w:spacing w:line="360" w:lineRule="auto"/>
        <w:jc w:val="center"/>
        <w:outlineLvl w:val="0"/>
        <w:rPr>
          <w:rFonts w:hint="eastAsia" w:ascii="仿宋" w:hAnsi="仿宋" w:eastAsia="仿宋"/>
          <w:b/>
          <w:color w:val="auto"/>
          <w:spacing w:val="6"/>
          <w:sz w:val="32"/>
          <w:szCs w:val="32"/>
          <w:highlight w:val="none"/>
        </w:rPr>
      </w:pPr>
    </w:p>
    <w:p w14:paraId="38A7B1BF">
      <w:pPr>
        <w:spacing w:line="360" w:lineRule="auto"/>
        <w:jc w:val="center"/>
        <w:outlineLvl w:val="0"/>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三、残疾人福利性单位声明函（如有）</w:t>
      </w:r>
    </w:p>
    <w:p w14:paraId="11D386A6">
      <w:pPr>
        <w:spacing w:line="360" w:lineRule="auto"/>
        <w:rPr>
          <w:rFonts w:ascii="仿宋" w:hAnsi="仿宋" w:eastAsia="仿宋"/>
          <w:b/>
          <w:color w:val="auto"/>
          <w:spacing w:val="6"/>
          <w:sz w:val="30"/>
          <w:szCs w:val="30"/>
          <w:highlight w:val="none"/>
        </w:rPr>
      </w:pPr>
    </w:p>
    <w:p w14:paraId="72D3922D">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72BF2C5">
      <w:pPr>
        <w:spacing w:line="360" w:lineRule="auto"/>
        <w:ind w:firstLine="480" w:firstLineChars="200"/>
        <w:rPr>
          <w:rFonts w:ascii="仿宋" w:hAnsi="仿宋" w:eastAsia="仿宋" w:cs="仿宋_GB2312"/>
          <w:color w:val="auto"/>
          <w:highlight w:val="none"/>
        </w:rPr>
      </w:pPr>
      <w:r>
        <w:rPr>
          <w:rFonts w:hint="eastAsia" w:ascii="仿宋" w:hAnsi="仿宋" w:eastAsia="仿宋" w:cs="仿宋_GB2312"/>
          <w:color w:val="auto"/>
          <w:highlight w:val="none"/>
        </w:rPr>
        <w:t>本单位对上述声明的真实性负责。如有虚假，将依法承担相应责任。</w:t>
      </w:r>
    </w:p>
    <w:p w14:paraId="24A47BF5">
      <w:pPr>
        <w:spacing w:line="360" w:lineRule="auto"/>
        <w:ind w:firstLine="480" w:firstLineChars="200"/>
        <w:rPr>
          <w:rFonts w:ascii="仿宋" w:hAnsi="仿宋" w:eastAsia="仿宋" w:cs="仿宋_GB2312"/>
          <w:color w:val="auto"/>
          <w:highlight w:val="none"/>
        </w:rPr>
      </w:pPr>
    </w:p>
    <w:p w14:paraId="57A8F55B">
      <w:pPr>
        <w:spacing w:line="360" w:lineRule="auto"/>
        <w:ind w:firstLine="480" w:firstLineChars="200"/>
        <w:rPr>
          <w:rFonts w:ascii="仿宋" w:hAnsi="仿宋" w:eastAsia="仿宋" w:cs="仿宋_GB2312"/>
          <w:color w:val="auto"/>
          <w:highlight w:val="none"/>
        </w:rPr>
      </w:pPr>
    </w:p>
    <w:p w14:paraId="52CCA233">
      <w:pPr>
        <w:tabs>
          <w:tab w:val="left" w:pos="4860"/>
        </w:tabs>
        <w:spacing w:line="360" w:lineRule="auto"/>
        <w:ind w:right="1560" w:firstLine="480" w:firstLineChars="200"/>
        <w:jc w:val="center"/>
        <w:rPr>
          <w:rFonts w:ascii="仿宋" w:hAnsi="仿宋" w:eastAsia="仿宋" w:cs="仿宋_GB2312"/>
          <w:color w:val="auto"/>
          <w:highlight w:val="none"/>
        </w:rPr>
      </w:pPr>
      <w:r>
        <w:rPr>
          <w:rFonts w:hint="eastAsia" w:ascii="仿宋" w:hAnsi="仿宋" w:eastAsia="仿宋" w:cs="仿宋_GB2312"/>
          <w:color w:val="auto"/>
          <w:highlight w:val="none"/>
        </w:rPr>
        <w:t xml:space="preserve">                    单位名称（</w:t>
      </w:r>
      <w:r>
        <w:rPr>
          <w:rFonts w:hint="eastAsia" w:ascii="仿宋" w:hAnsi="仿宋" w:eastAsia="仿宋" w:cs="仿宋_GB2312"/>
          <w:color w:val="auto"/>
          <w:highlight w:val="none"/>
          <w:lang w:val="zh-CN"/>
        </w:rPr>
        <w:t>电子签名</w:t>
      </w:r>
      <w:r>
        <w:rPr>
          <w:rFonts w:hint="eastAsia" w:ascii="仿宋" w:hAnsi="仿宋" w:eastAsia="仿宋" w:cs="仿宋_GB2312"/>
          <w:color w:val="auto"/>
          <w:highlight w:val="none"/>
        </w:rPr>
        <w:t>）：</w:t>
      </w:r>
    </w:p>
    <w:p w14:paraId="47B0C720">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3B58C99E">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0FEC918C">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5CFF7C10">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01662EEB">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713787DA">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4489627B">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0B81F8D0">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06E5157B">
      <w:pPr>
        <w:pStyle w:val="205"/>
        <w:keepNext w:val="0"/>
        <w:pageBreakBefore w:val="0"/>
        <w:tabs>
          <w:tab w:val="clear" w:pos="720"/>
        </w:tabs>
        <w:snapToGrid w:val="0"/>
        <w:jc w:val="both"/>
        <w:outlineLvl w:val="9"/>
        <w:rPr>
          <w:rFonts w:ascii="仿宋" w:hAnsi="仿宋" w:eastAsia="仿宋" w:cs="仿宋_GB2312"/>
          <w:color w:val="auto"/>
          <w:sz w:val="24"/>
          <w:highlight w:val="none"/>
        </w:rPr>
      </w:pPr>
    </w:p>
    <w:p w14:paraId="7F276956">
      <w:pPr>
        <w:rPr>
          <w:rFonts w:ascii="仿宋" w:hAnsi="仿宋" w:eastAsia="仿宋"/>
          <w:b/>
          <w:color w:val="auto"/>
          <w:spacing w:val="6"/>
          <w:sz w:val="32"/>
          <w:szCs w:val="32"/>
          <w:highlight w:val="none"/>
        </w:rPr>
      </w:pPr>
    </w:p>
    <w:p w14:paraId="6BA207AA">
      <w:pPr>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附件1</w:t>
      </w:r>
    </w:p>
    <w:p w14:paraId="500C77C7">
      <w:pPr>
        <w:jc w:val="center"/>
        <w:rPr>
          <w:color w:val="auto"/>
          <w:sz w:val="40"/>
          <w:highlight w:val="none"/>
        </w:rPr>
      </w:pPr>
      <w:r>
        <w:rPr>
          <w:rFonts w:hint="eastAsia"/>
          <w:color w:val="auto"/>
          <w:sz w:val="40"/>
          <w:highlight w:val="none"/>
        </w:rPr>
        <w:t>样品（演示）授权委托书</w:t>
      </w:r>
    </w:p>
    <w:p w14:paraId="2E223EF1">
      <w:pPr>
        <w:jc w:val="center"/>
        <w:rPr>
          <w:color w:val="auto"/>
          <w:sz w:val="40"/>
          <w:highlight w:val="none"/>
        </w:rPr>
      </w:pPr>
    </w:p>
    <w:p w14:paraId="0A27657B">
      <w:pPr>
        <w:snapToGrid w:val="0"/>
        <w:spacing w:line="360" w:lineRule="auto"/>
        <w:rPr>
          <w:rFonts w:ascii="仿宋" w:hAnsi="仿宋" w:eastAsia="仿宋" w:cs="仿宋"/>
          <w:color w:val="auto"/>
          <w:highlight w:val="none"/>
        </w:rPr>
      </w:pPr>
      <w:r>
        <w:rPr>
          <w:rFonts w:hint="eastAsia" w:ascii="仿宋" w:hAnsi="仿宋" w:eastAsia="仿宋" w:cs="仿宋_GB2312"/>
          <w:color w:val="auto"/>
          <w:highlight w:val="none"/>
        </w:rPr>
        <w:t>XXX（单位名称或采购代理机构名称）</w:t>
      </w:r>
      <w:r>
        <w:rPr>
          <w:rFonts w:hint="eastAsia" w:ascii="仿宋" w:hAnsi="仿宋" w:eastAsia="仿宋" w:cs="仿宋"/>
          <w:color w:val="auto"/>
          <w:highlight w:val="none"/>
          <w:lang w:val="zh-CN"/>
        </w:rPr>
        <w:t>：</w:t>
      </w:r>
    </w:p>
    <w:p w14:paraId="6DA6EDE2">
      <w:pPr>
        <w:snapToGrid w:val="0"/>
        <w:spacing w:line="360" w:lineRule="auto"/>
        <w:ind w:left="290" w:leftChars="121" w:firstLine="480" w:firstLineChars="200"/>
        <w:rPr>
          <w:rFonts w:ascii="仿宋" w:hAnsi="仿宋" w:eastAsia="仿宋" w:cs="仿宋"/>
          <w:color w:val="auto"/>
          <w:highlight w:val="none"/>
          <w:u w:val="single"/>
          <w:lang w:val="zh-CN"/>
        </w:rPr>
      </w:pPr>
      <w:r>
        <w:rPr>
          <w:rFonts w:hint="eastAsia" w:ascii="仿宋" w:hAnsi="仿宋" w:eastAsia="仿宋" w:cs="仿宋"/>
          <w:color w:val="auto"/>
          <w:highlight w:val="none"/>
          <w:lang w:val="zh-CN"/>
        </w:rPr>
        <w:t>兹委派先生/女士，身份证号：</w:t>
      </w:r>
    </w:p>
    <w:p w14:paraId="1DCBDF77">
      <w:pPr>
        <w:snapToGrid w:val="0"/>
        <w:spacing w:line="360" w:lineRule="auto"/>
        <w:ind w:left="290" w:leftChars="121" w:firstLine="480" w:firstLineChars="200"/>
        <w:rPr>
          <w:rFonts w:ascii="仿宋" w:hAnsi="仿宋" w:eastAsia="仿宋" w:cs="仿宋"/>
          <w:color w:val="auto"/>
          <w:highlight w:val="none"/>
        </w:rPr>
      </w:pPr>
      <w:r>
        <w:rPr>
          <w:rFonts w:hint="eastAsia" w:ascii="仿宋" w:hAnsi="仿宋" w:eastAsia="仿宋" w:cs="仿宋"/>
          <w:color w:val="auto"/>
          <w:highlight w:val="none"/>
          <w:lang w:val="zh-CN"/>
        </w:rPr>
        <w:t>手机：，代表我公司前来递交</w:t>
      </w:r>
      <w:r>
        <w:rPr>
          <w:rFonts w:hint="eastAsia" w:ascii="仿宋" w:hAnsi="仿宋" w:eastAsia="仿宋" w:cs="仿宋"/>
          <w:color w:val="auto"/>
          <w:highlight w:val="none"/>
          <w:u w:val="single"/>
          <w:lang w:val="zh-CN"/>
        </w:rPr>
        <w:t>采购项目</w:t>
      </w:r>
      <w:r>
        <w:rPr>
          <w:rFonts w:hint="eastAsia" w:ascii="仿宋" w:hAnsi="仿宋" w:eastAsia="仿宋" w:cs="仿宋"/>
          <w:color w:val="auto"/>
          <w:highlight w:val="none"/>
          <w:lang w:val="zh-CN"/>
        </w:rPr>
        <w:t>【项目编号：】投标样品或参加演示，并全权负责标后取回样品等其他处理事宜。</w:t>
      </w:r>
    </w:p>
    <w:p w14:paraId="02223202">
      <w:pPr>
        <w:snapToGrid w:val="0"/>
        <w:spacing w:line="360" w:lineRule="auto"/>
        <w:rPr>
          <w:rFonts w:ascii="仿宋" w:hAnsi="仿宋" w:eastAsia="仿宋" w:cs="仿宋"/>
          <w:color w:val="auto"/>
          <w:highlight w:val="none"/>
          <w:lang w:val="zh-CN"/>
        </w:rPr>
      </w:pPr>
    </w:p>
    <w:p w14:paraId="490E32B3">
      <w:pPr>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lang w:val="zh-CN"/>
        </w:rPr>
        <w:t xml:space="preserve">    特此告知。</w:t>
      </w:r>
    </w:p>
    <w:p w14:paraId="699519C5">
      <w:pPr>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lang w:val="zh-CN"/>
        </w:rPr>
        <w:t xml:space="preserve">                                                  投标人名称(公章)：</w:t>
      </w:r>
    </w:p>
    <w:p w14:paraId="7D564F37">
      <w:pPr>
        <w:snapToGrid w:val="0"/>
        <w:spacing w:line="360" w:lineRule="auto"/>
        <w:rPr>
          <w:rFonts w:ascii="仿宋" w:hAnsi="仿宋" w:eastAsia="仿宋" w:cs="仿宋"/>
          <w:color w:val="auto"/>
          <w:highlight w:val="none"/>
        </w:rPr>
      </w:pPr>
    </w:p>
    <w:p w14:paraId="304A849B">
      <w:pPr>
        <w:snapToGrid w:val="0"/>
        <w:spacing w:line="360" w:lineRule="auto"/>
        <w:ind w:right="240"/>
        <w:jc w:val="right"/>
        <w:rPr>
          <w:rFonts w:ascii="仿宋" w:hAnsi="仿宋" w:eastAsia="仿宋" w:cs="仿宋"/>
          <w:color w:val="auto"/>
          <w:highlight w:val="none"/>
          <w:lang w:val="zh-CN"/>
        </w:rPr>
      </w:pPr>
      <w:r>
        <w:rPr>
          <w:rFonts w:hint="eastAsia" w:ascii="仿宋" w:hAnsi="仿宋" w:eastAsia="仿宋" w:cs="仿宋"/>
          <w:color w:val="auto"/>
          <w:highlight w:val="none"/>
          <w:lang w:val="zh-CN"/>
        </w:rPr>
        <w:t>签发日期：  年  月   日</w:t>
      </w:r>
    </w:p>
    <w:p w14:paraId="1578F8E7">
      <w:pPr>
        <w:snapToGrid w:val="0"/>
        <w:spacing w:line="360" w:lineRule="auto"/>
        <w:ind w:right="240"/>
        <w:jc w:val="right"/>
        <w:rPr>
          <w:rFonts w:ascii="仿宋" w:hAnsi="仿宋" w:eastAsia="仿宋" w:cs="仿宋"/>
          <w:color w:val="auto"/>
          <w:highlight w:val="none"/>
          <w:lang w:val="zh-CN"/>
        </w:rPr>
      </w:pPr>
    </w:p>
    <w:p w14:paraId="057C455B">
      <w:pPr>
        <w:snapToGrid w:val="0"/>
        <w:spacing w:line="360" w:lineRule="auto"/>
        <w:ind w:right="240"/>
        <w:rPr>
          <w:rFonts w:ascii="仿宋" w:hAnsi="仿宋" w:eastAsia="仿宋" w:cs="仿宋"/>
          <w:color w:val="auto"/>
          <w:highlight w:val="none"/>
          <w:lang w:val="zh-CN"/>
        </w:rPr>
      </w:pPr>
    </w:p>
    <w:p w14:paraId="4CAD007A">
      <w:pPr>
        <w:snapToGrid w:val="0"/>
        <w:spacing w:line="360" w:lineRule="auto"/>
        <w:ind w:right="240"/>
        <w:rPr>
          <w:rFonts w:ascii="仿宋" w:hAnsi="仿宋" w:eastAsia="仿宋" w:cs="仿宋"/>
          <w:color w:val="auto"/>
          <w:highlight w:val="none"/>
          <w:lang w:val="zh-CN"/>
        </w:rPr>
      </w:pPr>
      <w:r>
        <w:rPr>
          <w:rFonts w:hint="eastAsia" w:ascii="仿宋" w:hAnsi="仿宋" w:eastAsia="仿宋" w:cs="仿宋"/>
          <w:color w:val="auto"/>
          <w:highlight w:val="none"/>
          <w:lang w:val="zh-CN"/>
        </w:rPr>
        <w:t>身份证复印件：</w:t>
      </w:r>
    </w:p>
    <w:p w14:paraId="5EBAA77A">
      <w:pPr>
        <w:snapToGrid w:val="0"/>
        <w:spacing w:line="360" w:lineRule="auto"/>
        <w:ind w:right="240"/>
        <w:rPr>
          <w:rFonts w:ascii="仿宋" w:hAnsi="仿宋" w:eastAsia="仿宋" w:cs="仿宋"/>
          <w:color w:val="auto"/>
          <w:highlight w:val="none"/>
          <w:lang w:val="zh-CN"/>
        </w:rPr>
      </w:pPr>
    </w:p>
    <w:p w14:paraId="742A0A4A">
      <w:pPr>
        <w:snapToGrid w:val="0"/>
        <w:spacing w:line="360" w:lineRule="auto"/>
        <w:ind w:right="240"/>
        <w:rPr>
          <w:rFonts w:ascii="仿宋" w:hAnsi="仿宋" w:eastAsia="仿宋" w:cs="仿宋"/>
          <w:color w:val="auto"/>
          <w:highlight w:val="none"/>
          <w:lang w:val="zh-CN"/>
        </w:rPr>
      </w:pPr>
    </w:p>
    <w:p w14:paraId="4FA490F0">
      <w:pPr>
        <w:snapToGrid w:val="0"/>
        <w:spacing w:line="360" w:lineRule="auto"/>
        <w:ind w:right="240"/>
        <w:rPr>
          <w:rFonts w:ascii="仿宋" w:hAnsi="仿宋" w:eastAsia="仿宋" w:cs="仿宋"/>
          <w:color w:val="auto"/>
          <w:highlight w:val="none"/>
          <w:lang w:val="zh-CN"/>
        </w:rPr>
      </w:pPr>
    </w:p>
    <w:p w14:paraId="50413D46">
      <w:pPr>
        <w:snapToGrid w:val="0"/>
        <w:spacing w:line="360" w:lineRule="auto"/>
        <w:ind w:right="240"/>
        <w:rPr>
          <w:rFonts w:ascii="仿宋" w:hAnsi="仿宋" w:eastAsia="仿宋" w:cs="仿宋"/>
          <w:color w:val="auto"/>
          <w:highlight w:val="none"/>
          <w:lang w:val="zh-CN"/>
        </w:rPr>
      </w:pPr>
    </w:p>
    <w:p w14:paraId="401CC103">
      <w:pPr>
        <w:snapToGrid w:val="0"/>
        <w:spacing w:line="360" w:lineRule="auto"/>
        <w:ind w:right="240"/>
        <w:rPr>
          <w:rFonts w:ascii="仿宋" w:hAnsi="仿宋" w:eastAsia="仿宋" w:cs="仿宋"/>
          <w:color w:val="auto"/>
          <w:highlight w:val="none"/>
          <w:lang w:val="zh-CN"/>
        </w:rPr>
      </w:pPr>
    </w:p>
    <w:p w14:paraId="4ED770F6">
      <w:pPr>
        <w:snapToGrid w:val="0"/>
        <w:spacing w:line="360" w:lineRule="auto"/>
        <w:ind w:right="240"/>
        <w:rPr>
          <w:rFonts w:ascii="宋体" w:hAnsi="宋体" w:cs="宋体"/>
          <w:b/>
          <w:color w:val="auto"/>
          <w:spacing w:val="6"/>
          <w:sz w:val="32"/>
          <w:szCs w:val="32"/>
          <w:highlight w:val="none"/>
        </w:rPr>
      </w:pPr>
      <w:r>
        <w:rPr>
          <w:rFonts w:hint="eastAsia" w:ascii="仿宋" w:hAnsi="仿宋" w:eastAsia="仿宋" w:cs="仿宋"/>
          <w:color w:val="auto"/>
          <w:highlight w:val="none"/>
          <w:lang w:val="zh-CN"/>
        </w:rPr>
        <w:t>说明：本委托书在有样品或演示时由受委托人携带至指定地点。</w:t>
      </w:r>
    </w:p>
    <w:p w14:paraId="76D35E56">
      <w:pPr>
        <w:spacing w:line="360" w:lineRule="auto"/>
        <w:rPr>
          <w:rFonts w:hint="eastAsia" w:ascii="宋体" w:hAnsi="宋体" w:cs="宋体"/>
          <w:b/>
          <w:color w:val="auto"/>
          <w:spacing w:val="6"/>
          <w:sz w:val="32"/>
          <w:szCs w:val="32"/>
          <w:highlight w:val="none"/>
        </w:rPr>
      </w:pPr>
    </w:p>
    <w:p w14:paraId="60ACC7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214986D8">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1C63AE42">
      <w:pPr>
        <w:snapToGrid w:val="0"/>
        <w:spacing w:beforeLines="100" w:line="360" w:lineRule="auto"/>
        <w:rPr>
          <w:rFonts w:ascii="仿宋" w:hAnsi="仿宋" w:eastAsia="仿宋" w:cs="宋体"/>
          <w:bCs/>
          <w:color w:val="auto"/>
          <w:highlight w:val="none"/>
        </w:rPr>
      </w:pPr>
      <w:r>
        <w:rPr>
          <w:rFonts w:hint="eastAsia" w:ascii="仿宋" w:hAnsi="仿宋" w:eastAsia="仿宋" w:cs="宋体"/>
          <w:bCs/>
          <w:color w:val="auto"/>
          <w:highlight w:val="none"/>
        </w:rPr>
        <w:t>一、质疑供应商基本信息</w:t>
      </w:r>
    </w:p>
    <w:p w14:paraId="0118C4EE">
      <w:pPr>
        <w:snapToGrid w:val="0"/>
        <w:spacing w:line="360" w:lineRule="auto"/>
        <w:rPr>
          <w:rFonts w:ascii="仿宋" w:hAnsi="仿宋" w:eastAsia="仿宋" w:cs="宋体"/>
          <w:color w:val="auto"/>
          <w:highlight w:val="none"/>
          <w:u w:val="dotted"/>
        </w:rPr>
      </w:pPr>
      <w:r>
        <w:rPr>
          <w:rFonts w:hint="eastAsia" w:ascii="仿宋" w:hAnsi="仿宋" w:eastAsia="仿宋" w:cs="宋体"/>
          <w:color w:val="auto"/>
          <w:highlight w:val="none"/>
        </w:rPr>
        <w:t>质疑供应商：</w:t>
      </w:r>
      <w:r>
        <w:rPr>
          <w:rFonts w:hint="eastAsia" w:ascii="仿宋" w:hAnsi="仿宋" w:eastAsia="仿宋" w:cs="宋体"/>
          <w:color w:val="auto"/>
          <w:highlight w:val="none"/>
          <w:u w:val="single"/>
        </w:rPr>
        <w:t>_________________________</w:t>
      </w:r>
    </w:p>
    <w:p w14:paraId="28C9DBB9">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地址：</w:t>
      </w:r>
      <w:r>
        <w:rPr>
          <w:rFonts w:hint="eastAsia" w:ascii="仿宋" w:hAnsi="仿宋" w:eastAsia="仿宋" w:cs="宋体"/>
          <w:color w:val="auto"/>
          <w:highlight w:val="none"/>
          <w:u w:val="single"/>
        </w:rPr>
        <w:t>____________________________</w:t>
      </w:r>
      <w:r>
        <w:rPr>
          <w:rFonts w:hint="eastAsia" w:ascii="仿宋" w:hAnsi="仿宋" w:eastAsia="仿宋" w:cs="宋体"/>
          <w:color w:val="auto"/>
          <w:highlight w:val="none"/>
        </w:rPr>
        <w:t>邮编：</w:t>
      </w:r>
      <w:r>
        <w:rPr>
          <w:rFonts w:hint="eastAsia" w:ascii="仿宋" w:hAnsi="仿宋" w:eastAsia="仿宋" w:cs="宋体"/>
          <w:color w:val="auto"/>
          <w:highlight w:val="none"/>
          <w:u w:val="single"/>
        </w:rPr>
        <w:t>___________</w:t>
      </w:r>
    </w:p>
    <w:p w14:paraId="74B38330">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联系人：</w:t>
      </w:r>
      <w:r>
        <w:rPr>
          <w:rFonts w:hint="eastAsia" w:ascii="仿宋" w:hAnsi="仿宋" w:eastAsia="仿宋" w:cs="宋体"/>
          <w:color w:val="auto"/>
          <w:highlight w:val="none"/>
          <w:u w:val="single"/>
        </w:rPr>
        <w:t xml:space="preserve">_____________________ </w:t>
      </w:r>
      <w:r>
        <w:rPr>
          <w:rFonts w:hint="eastAsia" w:ascii="仿宋" w:hAnsi="仿宋" w:eastAsia="仿宋" w:cs="宋体"/>
          <w:color w:val="auto"/>
          <w:highlight w:val="none"/>
        </w:rPr>
        <w:t>联系电话：</w:t>
      </w:r>
      <w:r>
        <w:rPr>
          <w:rFonts w:hint="eastAsia" w:ascii="仿宋" w:hAnsi="仿宋" w:eastAsia="仿宋" w:cs="宋体"/>
          <w:color w:val="auto"/>
          <w:highlight w:val="none"/>
          <w:u w:val="single"/>
        </w:rPr>
        <w:t>__________</w:t>
      </w:r>
    </w:p>
    <w:p w14:paraId="528F57E2">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授权代表：</w:t>
      </w:r>
      <w:r>
        <w:rPr>
          <w:rFonts w:hint="eastAsia" w:ascii="仿宋" w:hAnsi="仿宋" w:eastAsia="仿宋" w:cs="宋体"/>
          <w:color w:val="auto"/>
          <w:highlight w:val="none"/>
          <w:u w:val="single"/>
        </w:rPr>
        <w:t>____________________</w:t>
      </w:r>
      <w:r>
        <w:rPr>
          <w:rFonts w:hint="eastAsia" w:ascii="仿宋" w:hAnsi="仿宋" w:eastAsia="仿宋" w:cs="宋体"/>
          <w:color w:val="auto"/>
          <w:highlight w:val="none"/>
        </w:rPr>
        <w:t>联系电话：</w:t>
      </w:r>
      <w:r>
        <w:rPr>
          <w:rFonts w:hint="eastAsia" w:ascii="仿宋" w:hAnsi="仿宋" w:eastAsia="仿宋" w:cs="宋体"/>
          <w:color w:val="auto"/>
          <w:highlight w:val="none"/>
          <w:u w:val="single"/>
        </w:rPr>
        <w:t>__________</w:t>
      </w:r>
    </w:p>
    <w:p w14:paraId="5F4FC9D0">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地址：</w:t>
      </w:r>
      <w:r>
        <w:rPr>
          <w:rFonts w:hint="eastAsia" w:ascii="仿宋" w:hAnsi="仿宋" w:eastAsia="仿宋" w:cs="宋体"/>
          <w:color w:val="auto"/>
          <w:highlight w:val="none"/>
          <w:u w:val="single"/>
        </w:rPr>
        <w:t>____________________________</w:t>
      </w:r>
      <w:r>
        <w:rPr>
          <w:rFonts w:hint="eastAsia" w:ascii="仿宋" w:hAnsi="仿宋" w:eastAsia="仿宋" w:cs="宋体"/>
          <w:color w:val="auto"/>
          <w:highlight w:val="none"/>
        </w:rPr>
        <w:t>邮编：</w:t>
      </w:r>
      <w:r>
        <w:rPr>
          <w:rFonts w:hint="eastAsia" w:ascii="仿宋" w:hAnsi="仿宋" w:eastAsia="仿宋" w:cs="宋体"/>
          <w:color w:val="auto"/>
          <w:highlight w:val="none"/>
          <w:u w:val="single"/>
        </w:rPr>
        <w:t>___________</w:t>
      </w:r>
    </w:p>
    <w:p w14:paraId="4C9B00B1">
      <w:pPr>
        <w:snapToGrid w:val="0"/>
        <w:spacing w:line="360" w:lineRule="auto"/>
        <w:rPr>
          <w:rFonts w:ascii="仿宋" w:hAnsi="仿宋" w:eastAsia="仿宋" w:cs="宋体"/>
          <w:bCs/>
          <w:color w:val="auto"/>
          <w:highlight w:val="none"/>
        </w:rPr>
      </w:pPr>
      <w:r>
        <w:rPr>
          <w:rFonts w:hint="eastAsia" w:ascii="仿宋" w:hAnsi="仿宋" w:eastAsia="仿宋" w:cs="宋体"/>
          <w:bCs/>
          <w:color w:val="auto"/>
          <w:highlight w:val="none"/>
        </w:rPr>
        <w:t>二、质疑项目基本情况</w:t>
      </w:r>
    </w:p>
    <w:p w14:paraId="2F7718FA">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质疑项目的名称：</w:t>
      </w:r>
      <w:r>
        <w:rPr>
          <w:rFonts w:hint="eastAsia" w:ascii="仿宋" w:hAnsi="仿宋" w:eastAsia="仿宋" w:cs="宋体"/>
          <w:color w:val="auto"/>
          <w:highlight w:val="none"/>
          <w:u w:val="single"/>
        </w:rPr>
        <w:t>_________________________________________</w:t>
      </w:r>
    </w:p>
    <w:p w14:paraId="2D73D48B">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质疑项目的编号：</w:t>
      </w:r>
      <w:r>
        <w:rPr>
          <w:rFonts w:hint="eastAsia" w:ascii="仿宋" w:hAnsi="仿宋" w:eastAsia="仿宋" w:cs="宋体"/>
          <w:color w:val="auto"/>
          <w:highlight w:val="none"/>
          <w:u w:val="single"/>
        </w:rPr>
        <w:t>__________________</w:t>
      </w:r>
      <w:r>
        <w:rPr>
          <w:rFonts w:hint="eastAsia" w:ascii="仿宋" w:hAnsi="仿宋" w:eastAsia="仿宋" w:cs="宋体"/>
          <w:color w:val="auto"/>
          <w:highlight w:val="none"/>
        </w:rPr>
        <w:t>包号：</w:t>
      </w:r>
      <w:r>
        <w:rPr>
          <w:rFonts w:hint="eastAsia" w:ascii="仿宋" w:hAnsi="仿宋" w:eastAsia="仿宋" w:cs="宋体"/>
          <w:color w:val="auto"/>
          <w:highlight w:val="none"/>
          <w:u w:val="single"/>
        </w:rPr>
        <w:t>_____________</w:t>
      </w:r>
    </w:p>
    <w:p w14:paraId="0D3F0CB0">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采购人名称：</w:t>
      </w:r>
      <w:r>
        <w:rPr>
          <w:rFonts w:hint="eastAsia" w:ascii="仿宋" w:hAnsi="仿宋" w:eastAsia="仿宋" w:cs="宋体"/>
          <w:color w:val="auto"/>
          <w:highlight w:val="none"/>
          <w:u w:val="single"/>
        </w:rPr>
        <w:t>____________________________________________</w:t>
      </w:r>
    </w:p>
    <w:p w14:paraId="0DC613BA">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采购文件获取日期：</w:t>
      </w:r>
      <w:r>
        <w:rPr>
          <w:rFonts w:hint="eastAsia" w:ascii="仿宋" w:hAnsi="仿宋" w:eastAsia="仿宋" w:cs="宋体"/>
          <w:color w:val="auto"/>
          <w:highlight w:val="none"/>
          <w:u w:val="single"/>
        </w:rPr>
        <w:t>_______________</w:t>
      </w:r>
    </w:p>
    <w:p w14:paraId="7D7D5FAD">
      <w:pPr>
        <w:snapToGrid w:val="0"/>
        <w:spacing w:line="360" w:lineRule="auto"/>
        <w:rPr>
          <w:rFonts w:ascii="仿宋" w:hAnsi="仿宋" w:eastAsia="仿宋" w:cs="宋体"/>
          <w:bCs/>
          <w:color w:val="auto"/>
          <w:highlight w:val="none"/>
        </w:rPr>
      </w:pPr>
      <w:r>
        <w:rPr>
          <w:rFonts w:hint="eastAsia" w:ascii="仿宋" w:hAnsi="仿宋" w:eastAsia="仿宋" w:cs="宋体"/>
          <w:bCs/>
          <w:color w:val="auto"/>
          <w:highlight w:val="none"/>
        </w:rPr>
        <w:t>三、质疑事项具体内容</w:t>
      </w:r>
    </w:p>
    <w:p w14:paraId="4CFB6507">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质疑事项1：</w:t>
      </w:r>
      <w:r>
        <w:rPr>
          <w:rFonts w:hint="eastAsia" w:ascii="仿宋" w:hAnsi="仿宋" w:eastAsia="仿宋" w:cs="宋体"/>
          <w:color w:val="auto"/>
          <w:highlight w:val="none"/>
          <w:u w:val="single"/>
        </w:rPr>
        <w:t>_________________________________________________________________</w:t>
      </w:r>
    </w:p>
    <w:p w14:paraId="64000A03">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事实依据：</w:t>
      </w:r>
      <w:r>
        <w:rPr>
          <w:rFonts w:hint="eastAsia" w:ascii="仿宋" w:hAnsi="仿宋" w:eastAsia="仿宋" w:cs="宋体"/>
          <w:color w:val="auto"/>
          <w:highlight w:val="none"/>
          <w:u w:val="single"/>
        </w:rPr>
        <w:t>__________________________________________________________________</w:t>
      </w:r>
    </w:p>
    <w:p w14:paraId="1E8D5AA0">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u w:val="single"/>
        </w:rPr>
        <w:t>___________________________________________________________________________</w:t>
      </w:r>
    </w:p>
    <w:p w14:paraId="27035BD5">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法律依据：</w:t>
      </w:r>
      <w:r>
        <w:rPr>
          <w:rFonts w:hint="eastAsia" w:ascii="仿宋" w:hAnsi="仿宋" w:eastAsia="仿宋" w:cs="宋体"/>
          <w:color w:val="auto"/>
          <w:highlight w:val="none"/>
          <w:u w:val="single"/>
        </w:rPr>
        <w:t>__________________________________________________________________</w:t>
      </w:r>
    </w:p>
    <w:p w14:paraId="60A755A3">
      <w:pPr>
        <w:snapToGrid w:val="0"/>
        <w:spacing w:line="360" w:lineRule="auto"/>
        <w:rPr>
          <w:rFonts w:ascii="仿宋" w:hAnsi="仿宋" w:eastAsia="仿宋" w:cs="宋体"/>
          <w:color w:val="auto"/>
          <w:highlight w:val="none"/>
          <w:u w:val="single"/>
        </w:rPr>
      </w:pPr>
      <w:r>
        <w:rPr>
          <w:rFonts w:hint="eastAsia" w:ascii="仿宋" w:hAnsi="仿宋" w:eastAsia="仿宋" w:cs="宋体"/>
          <w:color w:val="auto"/>
          <w:highlight w:val="none"/>
          <w:u w:val="single"/>
        </w:rPr>
        <w:t>___________________________________________________________________________</w:t>
      </w:r>
    </w:p>
    <w:p w14:paraId="63F96180">
      <w:pPr>
        <w:snapToGrid w:val="0"/>
        <w:spacing w:line="360" w:lineRule="auto"/>
        <w:rPr>
          <w:rFonts w:ascii="仿宋" w:hAnsi="仿宋" w:eastAsia="仿宋" w:cs="宋体"/>
          <w:color w:val="auto"/>
          <w:highlight w:val="none"/>
          <w:u w:val="dotted"/>
        </w:rPr>
      </w:pPr>
      <w:r>
        <w:rPr>
          <w:rFonts w:hint="eastAsia" w:ascii="仿宋" w:hAnsi="仿宋" w:eastAsia="仿宋" w:cs="宋体"/>
          <w:color w:val="auto"/>
          <w:highlight w:val="none"/>
        </w:rPr>
        <w:t>质疑事项2</w:t>
      </w:r>
    </w:p>
    <w:p w14:paraId="69C67879">
      <w:pPr>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w:t>
      </w:r>
    </w:p>
    <w:p w14:paraId="5686B2C8">
      <w:pPr>
        <w:snapToGrid w:val="0"/>
        <w:spacing w:line="360" w:lineRule="auto"/>
        <w:rPr>
          <w:rFonts w:ascii="仿宋" w:hAnsi="仿宋" w:eastAsia="仿宋" w:cs="宋体"/>
          <w:bCs/>
          <w:color w:val="auto"/>
          <w:highlight w:val="none"/>
        </w:rPr>
      </w:pPr>
      <w:r>
        <w:rPr>
          <w:rFonts w:hint="eastAsia" w:ascii="仿宋" w:hAnsi="仿宋" w:eastAsia="仿宋" w:cs="宋体"/>
          <w:bCs/>
          <w:color w:val="auto"/>
          <w:highlight w:val="none"/>
        </w:rPr>
        <w:t>四、与质疑事项相关的质疑请求</w:t>
      </w:r>
    </w:p>
    <w:p w14:paraId="43AED947">
      <w:pPr>
        <w:snapToGrid w:val="0"/>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请求：</w:t>
      </w:r>
      <w:r>
        <w:rPr>
          <w:rFonts w:hint="eastAsia" w:ascii="仿宋" w:hAnsi="仿宋" w:eastAsia="仿宋" w:cs="宋体"/>
          <w:bCs/>
          <w:color w:val="auto"/>
          <w:highlight w:val="none"/>
          <w:u w:val="words"/>
        </w:rPr>
        <w:t>______________________________________________________________________</w:t>
      </w:r>
    </w:p>
    <w:p w14:paraId="545F3549">
      <w:pPr>
        <w:spacing w:line="360" w:lineRule="auto"/>
        <w:rPr>
          <w:rFonts w:ascii="仿宋" w:hAnsi="仿宋" w:eastAsia="仿宋" w:cs="宋体"/>
          <w:color w:val="auto"/>
          <w:highlight w:val="none"/>
        </w:rPr>
      </w:pPr>
    </w:p>
    <w:p w14:paraId="334C9785">
      <w:pPr>
        <w:spacing w:line="360" w:lineRule="auto"/>
        <w:rPr>
          <w:rFonts w:ascii="仿宋" w:hAnsi="仿宋" w:eastAsia="仿宋" w:cs="宋体"/>
          <w:color w:val="auto"/>
          <w:highlight w:val="none"/>
        </w:rPr>
      </w:pPr>
    </w:p>
    <w:p w14:paraId="1FF1B6BA">
      <w:pPr>
        <w:spacing w:line="360" w:lineRule="auto"/>
        <w:rPr>
          <w:rFonts w:ascii="仿宋" w:hAnsi="仿宋" w:eastAsia="仿宋" w:cs="宋体"/>
          <w:color w:val="auto"/>
          <w:highlight w:val="none"/>
        </w:rPr>
      </w:pPr>
    </w:p>
    <w:p w14:paraId="0AB54807">
      <w:pPr>
        <w:spacing w:line="360" w:lineRule="auto"/>
        <w:rPr>
          <w:rFonts w:ascii="仿宋" w:hAnsi="仿宋" w:eastAsia="仿宋" w:cs="宋体"/>
          <w:color w:val="auto"/>
          <w:highlight w:val="none"/>
        </w:rPr>
      </w:pPr>
      <w:r>
        <w:rPr>
          <w:rFonts w:hint="eastAsia" w:ascii="仿宋" w:hAnsi="仿宋" w:eastAsia="仿宋" w:cs="宋体"/>
          <w:color w:val="auto"/>
          <w:highlight w:val="none"/>
        </w:rPr>
        <w:t xml:space="preserve">签字(签章)：                   公章：                      </w:t>
      </w:r>
    </w:p>
    <w:p w14:paraId="6DC75D09">
      <w:pPr>
        <w:spacing w:line="360" w:lineRule="auto"/>
        <w:rPr>
          <w:rFonts w:ascii="仿宋" w:hAnsi="仿宋" w:eastAsia="仿宋" w:cs="宋体"/>
          <w:color w:val="auto"/>
          <w:highlight w:val="none"/>
        </w:rPr>
      </w:pPr>
      <w:r>
        <w:rPr>
          <w:rFonts w:hint="eastAsia" w:ascii="仿宋" w:hAnsi="仿宋" w:eastAsia="仿宋" w:cs="宋体"/>
          <w:color w:val="auto"/>
          <w:highlight w:val="none"/>
        </w:rPr>
        <w:t xml:space="preserve">日期：    </w:t>
      </w:r>
    </w:p>
    <w:p w14:paraId="3B392FCB">
      <w:pPr>
        <w:spacing w:line="360" w:lineRule="auto"/>
        <w:rPr>
          <w:rFonts w:ascii="仿宋" w:hAnsi="仿宋" w:eastAsia="仿宋" w:cs="宋体"/>
          <w:b/>
          <w:color w:val="auto"/>
          <w:highlight w:val="none"/>
        </w:rPr>
      </w:pPr>
    </w:p>
    <w:p w14:paraId="6A0D0187">
      <w:pPr>
        <w:spacing w:line="360" w:lineRule="auto"/>
        <w:rPr>
          <w:rFonts w:ascii="仿宋" w:hAnsi="仿宋" w:eastAsia="仿宋" w:cs="宋体"/>
          <w:b/>
          <w:color w:val="auto"/>
          <w:highlight w:val="none"/>
        </w:rPr>
      </w:pPr>
      <w:r>
        <w:rPr>
          <w:rFonts w:hint="eastAsia" w:ascii="仿宋" w:hAnsi="仿宋" w:eastAsia="仿宋" w:cs="宋体"/>
          <w:b/>
          <w:color w:val="auto"/>
          <w:highlight w:val="none"/>
        </w:rPr>
        <w:t>质疑函制作说明：</w:t>
      </w:r>
    </w:p>
    <w:p w14:paraId="174A4BAB">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1.供应商提出质疑时，应提交质疑函和必要的证明材料。</w:t>
      </w:r>
    </w:p>
    <w:p w14:paraId="78DDE4F0">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85C6346">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3.质疑供应商若对项目的某一分包进行质疑，质疑函中应列明具体分包号。</w:t>
      </w:r>
    </w:p>
    <w:p w14:paraId="7992D18C">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4.质疑函的质疑事项应具体、明确，并有必要的事实依据和法律依据。</w:t>
      </w:r>
    </w:p>
    <w:p w14:paraId="694255B7">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5.质疑函的质疑请求应与质疑事项相关。</w:t>
      </w:r>
    </w:p>
    <w:p w14:paraId="081E4279">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6.质疑供应商为自然人的，质疑函应由本人签字；质疑供应商为法人或者其他组织的，质疑函应由法定代表人、主要负责人，或者其授权代表签字或者盖章，并加盖公章。</w:t>
      </w:r>
    </w:p>
    <w:p w14:paraId="25E54A48">
      <w:pPr>
        <w:spacing w:line="360" w:lineRule="auto"/>
        <w:ind w:firstLine="600" w:firstLineChars="200"/>
        <w:rPr>
          <w:rFonts w:ascii="宋体" w:hAnsi="宋体" w:cs="宋体"/>
          <w:color w:val="auto"/>
          <w:sz w:val="30"/>
          <w:szCs w:val="30"/>
          <w:highlight w:val="none"/>
        </w:rPr>
      </w:pPr>
    </w:p>
    <w:p w14:paraId="659F5C44">
      <w:pPr>
        <w:spacing w:line="360" w:lineRule="auto"/>
        <w:rPr>
          <w:rFonts w:ascii="宋体" w:hAnsi="宋体" w:cs="宋体"/>
          <w:b/>
          <w:color w:val="auto"/>
          <w:spacing w:val="6"/>
          <w:sz w:val="32"/>
          <w:szCs w:val="32"/>
          <w:highlight w:val="none"/>
        </w:rPr>
      </w:pPr>
    </w:p>
    <w:p w14:paraId="25A676F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E847EBC">
      <w:pPr>
        <w:spacing w:line="360" w:lineRule="auto"/>
        <w:jc w:val="center"/>
        <w:rPr>
          <w:rFonts w:ascii="宋体" w:hAnsi="宋体" w:cs="宋体"/>
          <w:b/>
          <w:color w:val="auto"/>
          <w:highlight w:val="none"/>
        </w:rPr>
      </w:pPr>
    </w:p>
    <w:p w14:paraId="330FCF49">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2D163587">
      <w:pPr>
        <w:spacing w:line="360" w:lineRule="auto"/>
        <w:rPr>
          <w:rFonts w:ascii="仿宋" w:hAnsi="仿宋" w:eastAsia="仿宋" w:cs="宋体"/>
          <w:color w:val="auto"/>
          <w:highlight w:val="none"/>
        </w:rPr>
      </w:pPr>
      <w:r>
        <w:rPr>
          <w:rFonts w:hint="eastAsia" w:ascii="仿宋" w:hAnsi="仿宋" w:eastAsia="仿宋" w:cs="宋体"/>
          <w:color w:val="auto"/>
          <w:highlight w:val="none"/>
        </w:rPr>
        <w:t>一、投诉相关主体基本情况</w:t>
      </w:r>
    </w:p>
    <w:p w14:paraId="12FCF807">
      <w:pPr>
        <w:spacing w:line="360" w:lineRule="auto"/>
        <w:rPr>
          <w:rFonts w:ascii="仿宋" w:hAnsi="仿宋" w:eastAsia="仿宋" w:cs="宋体"/>
          <w:color w:val="auto"/>
          <w:highlight w:val="none"/>
          <w:u w:val="dotted"/>
        </w:rPr>
      </w:pPr>
      <w:r>
        <w:rPr>
          <w:rFonts w:hint="eastAsia" w:ascii="仿宋" w:hAnsi="仿宋" w:eastAsia="仿宋" w:cs="宋体"/>
          <w:color w:val="auto"/>
          <w:highlight w:val="none"/>
        </w:rPr>
        <w:t>投诉人：</w:t>
      </w:r>
      <w:r>
        <w:rPr>
          <w:rFonts w:hint="eastAsia" w:ascii="仿宋" w:hAnsi="仿宋" w:eastAsia="仿宋" w:cs="宋体"/>
          <w:color w:val="auto"/>
          <w:highlight w:val="none"/>
          <w:u w:val="words"/>
        </w:rPr>
        <w:t>__________________________________</w:t>
      </w:r>
    </w:p>
    <w:p w14:paraId="5B51B7D6">
      <w:pPr>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地址：</w:t>
      </w:r>
      <w:r>
        <w:rPr>
          <w:rFonts w:hint="eastAsia" w:ascii="仿宋" w:hAnsi="仿宋" w:eastAsia="仿宋" w:cs="宋体"/>
          <w:color w:val="auto"/>
          <w:highlight w:val="none"/>
          <w:u w:val="words"/>
        </w:rPr>
        <w:t>___________________________</w:t>
      </w:r>
      <w:r>
        <w:rPr>
          <w:rFonts w:hint="eastAsia" w:ascii="仿宋" w:hAnsi="仿宋" w:eastAsia="仿宋" w:cs="宋体"/>
          <w:color w:val="auto"/>
          <w:highlight w:val="none"/>
        </w:rPr>
        <w:t>邮编：</w:t>
      </w:r>
      <w:r>
        <w:rPr>
          <w:rFonts w:hint="eastAsia" w:ascii="仿宋" w:hAnsi="仿宋" w:eastAsia="仿宋" w:cs="宋体"/>
          <w:color w:val="auto"/>
          <w:highlight w:val="none"/>
          <w:u w:val="words"/>
        </w:rPr>
        <w:t>_________</w:t>
      </w:r>
    </w:p>
    <w:p w14:paraId="6FCBA90F">
      <w:pPr>
        <w:tabs>
          <w:tab w:val="left" w:pos="6510"/>
        </w:tabs>
        <w:spacing w:line="360" w:lineRule="auto"/>
        <w:rPr>
          <w:rFonts w:ascii="仿宋" w:hAnsi="仿宋" w:eastAsia="仿宋" w:cs="宋体"/>
          <w:color w:val="auto"/>
          <w:highlight w:val="none"/>
        </w:rPr>
      </w:pPr>
      <w:r>
        <w:rPr>
          <w:rFonts w:hint="eastAsia" w:ascii="仿宋" w:hAnsi="仿宋" w:eastAsia="仿宋" w:cs="宋体"/>
          <w:color w:val="auto"/>
          <w:highlight w:val="none"/>
        </w:rPr>
        <w:t>法定代表人/主要负责人：</w:t>
      </w:r>
      <w:r>
        <w:rPr>
          <w:rFonts w:hint="eastAsia" w:ascii="仿宋" w:hAnsi="仿宋" w:eastAsia="仿宋" w:cs="宋体"/>
          <w:color w:val="auto"/>
          <w:highlight w:val="none"/>
          <w:u w:val="words"/>
        </w:rPr>
        <w:t>_______________</w:t>
      </w:r>
      <w:r>
        <w:rPr>
          <w:rFonts w:hint="eastAsia" w:ascii="仿宋" w:hAnsi="仿宋" w:eastAsia="仿宋" w:cs="宋体"/>
          <w:color w:val="auto"/>
          <w:highlight w:val="none"/>
        </w:rPr>
        <w:t>联系电话：</w:t>
      </w:r>
      <w:r>
        <w:rPr>
          <w:rFonts w:hint="eastAsia" w:ascii="仿宋" w:hAnsi="仿宋" w:eastAsia="仿宋" w:cs="宋体"/>
          <w:color w:val="auto"/>
          <w:highlight w:val="none"/>
          <w:u w:val="words"/>
        </w:rPr>
        <w:t>___________</w:t>
      </w:r>
    </w:p>
    <w:p w14:paraId="54A2330D">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授权代表：</w:t>
      </w:r>
      <w:r>
        <w:rPr>
          <w:rFonts w:hint="eastAsia" w:ascii="仿宋" w:hAnsi="仿宋" w:eastAsia="仿宋" w:cs="宋体"/>
          <w:color w:val="auto"/>
          <w:highlight w:val="none"/>
          <w:u w:val="words"/>
        </w:rPr>
        <w:t>_______________</w:t>
      </w:r>
      <w:r>
        <w:rPr>
          <w:rFonts w:hint="eastAsia" w:ascii="仿宋" w:hAnsi="仿宋" w:eastAsia="仿宋" w:cs="宋体"/>
          <w:color w:val="auto"/>
          <w:highlight w:val="none"/>
        </w:rPr>
        <w:t>联系电话:</w:t>
      </w:r>
      <w:r>
        <w:rPr>
          <w:rFonts w:hint="eastAsia" w:ascii="仿宋" w:hAnsi="仿宋" w:eastAsia="仿宋" w:cs="宋体"/>
          <w:color w:val="auto"/>
          <w:highlight w:val="none"/>
          <w:u w:val="words"/>
        </w:rPr>
        <w:t>____________</w:t>
      </w:r>
    </w:p>
    <w:p w14:paraId="4FDA9DAA">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地址：</w:t>
      </w:r>
      <w:r>
        <w:rPr>
          <w:rFonts w:hint="eastAsia" w:ascii="仿宋" w:hAnsi="仿宋" w:eastAsia="仿宋" w:cs="宋体"/>
          <w:color w:val="auto"/>
          <w:highlight w:val="none"/>
          <w:u w:val="words"/>
        </w:rPr>
        <w:t>___________________________</w:t>
      </w:r>
      <w:r>
        <w:rPr>
          <w:rFonts w:hint="eastAsia" w:ascii="仿宋" w:hAnsi="仿宋" w:eastAsia="仿宋" w:cs="宋体"/>
          <w:color w:val="auto"/>
          <w:highlight w:val="none"/>
        </w:rPr>
        <w:t>邮编：</w:t>
      </w:r>
      <w:r>
        <w:rPr>
          <w:rFonts w:hint="eastAsia" w:ascii="仿宋" w:hAnsi="仿宋" w:eastAsia="仿宋" w:cs="宋体"/>
          <w:color w:val="auto"/>
          <w:highlight w:val="none"/>
          <w:u w:val="words"/>
        </w:rPr>
        <w:t>_________</w:t>
      </w:r>
    </w:p>
    <w:p w14:paraId="2A477D96">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被投诉人1：</w:t>
      </w:r>
      <w:r>
        <w:rPr>
          <w:rFonts w:hint="eastAsia" w:ascii="仿宋" w:hAnsi="仿宋" w:eastAsia="仿宋" w:cs="宋体"/>
          <w:color w:val="auto"/>
          <w:highlight w:val="none"/>
          <w:u w:val="words"/>
        </w:rPr>
        <w:t>_______________________________</w:t>
      </w:r>
    </w:p>
    <w:p w14:paraId="1A135C81">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地址：</w:t>
      </w:r>
      <w:r>
        <w:rPr>
          <w:rFonts w:hint="eastAsia" w:ascii="仿宋" w:hAnsi="仿宋" w:eastAsia="仿宋" w:cs="宋体"/>
          <w:color w:val="auto"/>
          <w:highlight w:val="none"/>
          <w:u w:val="words"/>
        </w:rPr>
        <w:t>___________________________</w:t>
      </w:r>
      <w:r>
        <w:rPr>
          <w:rFonts w:hint="eastAsia" w:ascii="仿宋" w:hAnsi="仿宋" w:eastAsia="仿宋" w:cs="宋体"/>
          <w:color w:val="auto"/>
          <w:highlight w:val="none"/>
        </w:rPr>
        <w:t>邮编：</w:t>
      </w:r>
      <w:r>
        <w:rPr>
          <w:rFonts w:hint="eastAsia" w:ascii="仿宋" w:hAnsi="仿宋" w:eastAsia="仿宋" w:cs="宋体"/>
          <w:color w:val="auto"/>
          <w:highlight w:val="none"/>
          <w:u w:val="words"/>
        </w:rPr>
        <w:t>_________</w:t>
      </w:r>
    </w:p>
    <w:p w14:paraId="4C155CA3">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联系人：</w:t>
      </w:r>
      <w:r>
        <w:rPr>
          <w:rFonts w:hint="eastAsia" w:ascii="仿宋" w:hAnsi="仿宋" w:eastAsia="仿宋" w:cs="宋体"/>
          <w:color w:val="auto"/>
          <w:highlight w:val="none"/>
          <w:u w:val="words"/>
        </w:rPr>
        <w:t>_______________</w:t>
      </w:r>
      <w:r>
        <w:rPr>
          <w:rFonts w:hint="eastAsia" w:ascii="仿宋" w:hAnsi="仿宋" w:eastAsia="仿宋" w:cs="宋体"/>
          <w:color w:val="auto"/>
          <w:highlight w:val="none"/>
        </w:rPr>
        <w:t>联系电话：</w:t>
      </w:r>
      <w:r>
        <w:rPr>
          <w:rFonts w:hint="eastAsia" w:ascii="仿宋" w:hAnsi="仿宋" w:eastAsia="仿宋" w:cs="宋体"/>
          <w:color w:val="auto"/>
          <w:highlight w:val="none"/>
          <w:u w:val="words"/>
        </w:rPr>
        <w:t>____________</w:t>
      </w:r>
    </w:p>
    <w:p w14:paraId="4DB618D2">
      <w:pPr>
        <w:spacing w:line="360" w:lineRule="auto"/>
        <w:rPr>
          <w:rFonts w:ascii="仿宋" w:hAnsi="仿宋" w:eastAsia="仿宋" w:cs="宋体"/>
          <w:color w:val="auto"/>
          <w:highlight w:val="none"/>
        </w:rPr>
      </w:pPr>
      <w:r>
        <w:rPr>
          <w:rFonts w:hint="eastAsia" w:ascii="仿宋" w:hAnsi="仿宋" w:eastAsia="仿宋" w:cs="宋体"/>
          <w:color w:val="auto"/>
          <w:highlight w:val="none"/>
        </w:rPr>
        <w:t>被投诉人2</w:t>
      </w:r>
    </w:p>
    <w:p w14:paraId="652BC9ED">
      <w:pPr>
        <w:spacing w:line="360" w:lineRule="auto"/>
        <w:rPr>
          <w:rFonts w:ascii="仿宋" w:hAnsi="仿宋" w:eastAsia="仿宋" w:cs="宋体"/>
          <w:color w:val="auto"/>
          <w:highlight w:val="none"/>
          <w:u w:val="dotted"/>
        </w:rPr>
      </w:pPr>
      <w:r>
        <w:rPr>
          <w:rFonts w:hint="eastAsia" w:ascii="仿宋" w:hAnsi="仿宋" w:eastAsia="仿宋" w:cs="宋体"/>
          <w:color w:val="auto"/>
          <w:highlight w:val="none"/>
        </w:rPr>
        <w:t>……</w:t>
      </w:r>
    </w:p>
    <w:p w14:paraId="3FB89381">
      <w:pPr>
        <w:spacing w:line="360" w:lineRule="auto"/>
        <w:rPr>
          <w:rFonts w:ascii="仿宋" w:hAnsi="仿宋" w:eastAsia="仿宋" w:cs="宋体"/>
          <w:color w:val="auto"/>
          <w:highlight w:val="none"/>
        </w:rPr>
      </w:pPr>
      <w:r>
        <w:rPr>
          <w:rFonts w:hint="eastAsia" w:ascii="仿宋" w:hAnsi="仿宋" w:eastAsia="仿宋" w:cs="宋体"/>
          <w:color w:val="auto"/>
          <w:highlight w:val="none"/>
        </w:rPr>
        <w:t>相关供应商：</w:t>
      </w:r>
      <w:r>
        <w:rPr>
          <w:rFonts w:hint="eastAsia" w:ascii="仿宋" w:hAnsi="仿宋" w:eastAsia="仿宋" w:cs="宋体"/>
          <w:color w:val="auto"/>
          <w:highlight w:val="none"/>
          <w:u w:val="words"/>
        </w:rPr>
        <w:t>__________________________________</w:t>
      </w:r>
    </w:p>
    <w:p w14:paraId="78624096">
      <w:pPr>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地址：</w:t>
      </w:r>
      <w:r>
        <w:rPr>
          <w:rFonts w:hint="eastAsia" w:ascii="仿宋" w:hAnsi="仿宋" w:eastAsia="仿宋" w:cs="宋体"/>
          <w:color w:val="auto"/>
          <w:highlight w:val="none"/>
          <w:u w:val="words"/>
        </w:rPr>
        <w:t>___________________________</w:t>
      </w:r>
      <w:r>
        <w:rPr>
          <w:rFonts w:hint="eastAsia" w:ascii="仿宋" w:hAnsi="仿宋" w:eastAsia="仿宋" w:cs="宋体"/>
          <w:color w:val="auto"/>
          <w:highlight w:val="none"/>
        </w:rPr>
        <w:t>邮编：</w:t>
      </w:r>
      <w:r>
        <w:rPr>
          <w:rFonts w:hint="eastAsia" w:ascii="仿宋" w:hAnsi="仿宋" w:eastAsia="仿宋" w:cs="宋体"/>
          <w:color w:val="auto"/>
          <w:highlight w:val="none"/>
          <w:u w:val="words"/>
        </w:rPr>
        <w:t>_________</w:t>
      </w:r>
    </w:p>
    <w:p w14:paraId="3424310F">
      <w:pPr>
        <w:spacing w:line="360" w:lineRule="auto"/>
        <w:rPr>
          <w:rFonts w:ascii="仿宋" w:hAnsi="仿宋" w:eastAsia="仿宋" w:cs="宋体"/>
          <w:color w:val="auto"/>
          <w:highlight w:val="none"/>
          <w:u w:val="dotted"/>
        </w:rPr>
      </w:pPr>
      <w:r>
        <w:rPr>
          <w:rFonts w:hint="eastAsia" w:ascii="仿宋" w:hAnsi="仿宋" w:eastAsia="仿宋" w:cs="宋体"/>
          <w:color w:val="auto"/>
          <w:highlight w:val="none"/>
        </w:rPr>
        <w:t>联系人：</w:t>
      </w:r>
      <w:r>
        <w:rPr>
          <w:rFonts w:hint="eastAsia" w:ascii="仿宋" w:hAnsi="仿宋" w:eastAsia="仿宋" w:cs="宋体"/>
          <w:color w:val="auto"/>
          <w:highlight w:val="none"/>
          <w:u w:val="words"/>
        </w:rPr>
        <w:t>_______________</w:t>
      </w:r>
      <w:r>
        <w:rPr>
          <w:rFonts w:hint="eastAsia" w:ascii="仿宋" w:hAnsi="仿宋" w:eastAsia="仿宋" w:cs="宋体"/>
          <w:color w:val="auto"/>
          <w:highlight w:val="none"/>
        </w:rPr>
        <w:t>联系电话：</w:t>
      </w:r>
      <w:r>
        <w:rPr>
          <w:rFonts w:hint="eastAsia" w:ascii="仿宋" w:hAnsi="仿宋" w:eastAsia="仿宋" w:cs="宋体"/>
          <w:color w:val="auto"/>
          <w:highlight w:val="none"/>
          <w:u w:val="single"/>
        </w:rPr>
        <w:t>____________</w:t>
      </w:r>
    </w:p>
    <w:p w14:paraId="0D80DF14">
      <w:pPr>
        <w:spacing w:line="360" w:lineRule="auto"/>
        <w:rPr>
          <w:rFonts w:ascii="仿宋" w:hAnsi="仿宋" w:eastAsia="仿宋" w:cs="宋体"/>
          <w:color w:val="auto"/>
          <w:highlight w:val="none"/>
        </w:rPr>
      </w:pPr>
      <w:r>
        <w:rPr>
          <w:rFonts w:hint="eastAsia" w:ascii="仿宋" w:hAnsi="仿宋" w:eastAsia="仿宋" w:cs="宋体"/>
          <w:color w:val="auto"/>
          <w:highlight w:val="none"/>
        </w:rPr>
        <w:t>二、投诉项目基本情况</w:t>
      </w:r>
    </w:p>
    <w:p w14:paraId="48F3B3D0">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采购项目名称：</w:t>
      </w:r>
      <w:r>
        <w:rPr>
          <w:rFonts w:hint="eastAsia" w:ascii="仿宋" w:hAnsi="仿宋" w:eastAsia="仿宋" w:cs="宋体"/>
          <w:color w:val="auto"/>
          <w:highlight w:val="none"/>
          <w:u w:val="words"/>
        </w:rPr>
        <w:t>__________________________________</w:t>
      </w:r>
    </w:p>
    <w:p w14:paraId="167D30AC">
      <w:pPr>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采购项目编号：</w:t>
      </w:r>
      <w:r>
        <w:rPr>
          <w:rFonts w:hint="eastAsia" w:ascii="仿宋" w:hAnsi="仿宋" w:eastAsia="仿宋" w:cs="宋体"/>
          <w:color w:val="auto"/>
          <w:highlight w:val="none"/>
          <w:u w:val="words"/>
        </w:rPr>
        <w:t>_____________________</w:t>
      </w:r>
      <w:r>
        <w:rPr>
          <w:rFonts w:hint="eastAsia" w:ascii="仿宋" w:hAnsi="仿宋" w:eastAsia="仿宋" w:cs="宋体"/>
          <w:color w:val="auto"/>
          <w:highlight w:val="none"/>
        </w:rPr>
        <w:t>包号：</w:t>
      </w:r>
      <w:r>
        <w:rPr>
          <w:rFonts w:hint="eastAsia" w:ascii="仿宋" w:hAnsi="仿宋" w:eastAsia="仿宋" w:cs="宋体"/>
          <w:color w:val="auto"/>
          <w:highlight w:val="none"/>
          <w:u w:val="words"/>
        </w:rPr>
        <w:t>______________</w:t>
      </w:r>
    </w:p>
    <w:p w14:paraId="620694C0">
      <w:pPr>
        <w:spacing w:line="360" w:lineRule="auto"/>
        <w:rPr>
          <w:rFonts w:ascii="仿宋" w:hAnsi="仿宋" w:eastAsia="仿宋" w:cs="宋体"/>
          <w:color w:val="auto"/>
          <w:highlight w:val="none"/>
        </w:rPr>
      </w:pPr>
      <w:r>
        <w:rPr>
          <w:rFonts w:hint="eastAsia" w:ascii="仿宋" w:hAnsi="仿宋" w:eastAsia="仿宋" w:cs="宋体"/>
          <w:color w:val="auto"/>
          <w:highlight w:val="none"/>
        </w:rPr>
        <w:t>采购人名称：</w:t>
      </w:r>
      <w:r>
        <w:rPr>
          <w:rFonts w:hint="eastAsia" w:ascii="仿宋" w:hAnsi="仿宋" w:eastAsia="仿宋" w:cs="宋体"/>
          <w:color w:val="auto"/>
          <w:highlight w:val="none"/>
          <w:u w:val="words"/>
        </w:rPr>
        <w:t>__________________________________</w:t>
      </w:r>
    </w:p>
    <w:p w14:paraId="113C4DAD">
      <w:pPr>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代理机构名称：</w:t>
      </w:r>
      <w:r>
        <w:rPr>
          <w:rFonts w:hint="eastAsia" w:ascii="仿宋" w:hAnsi="仿宋" w:eastAsia="仿宋" w:cs="宋体"/>
          <w:color w:val="auto"/>
          <w:highlight w:val="none"/>
          <w:u w:val="words"/>
        </w:rPr>
        <w:t>__________________________________</w:t>
      </w:r>
    </w:p>
    <w:p w14:paraId="3C386DD7">
      <w:pPr>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采购文件公告:是/否    公告期限：</w:t>
      </w:r>
      <w:r>
        <w:rPr>
          <w:rFonts w:hint="eastAsia" w:ascii="仿宋" w:hAnsi="仿宋" w:eastAsia="仿宋" w:cs="宋体"/>
          <w:color w:val="auto"/>
          <w:highlight w:val="none"/>
          <w:u w:val="words"/>
        </w:rPr>
        <w:t>_________________</w:t>
      </w:r>
    </w:p>
    <w:p w14:paraId="2104ADA0">
      <w:pPr>
        <w:spacing w:line="360" w:lineRule="auto"/>
        <w:rPr>
          <w:rFonts w:ascii="仿宋" w:hAnsi="仿宋" w:eastAsia="仿宋" w:cs="宋体"/>
          <w:color w:val="auto"/>
          <w:highlight w:val="none"/>
          <w:u w:val="single"/>
        </w:rPr>
      </w:pPr>
      <w:r>
        <w:rPr>
          <w:rFonts w:hint="eastAsia" w:ascii="仿宋" w:hAnsi="仿宋" w:eastAsia="仿宋" w:cs="宋体"/>
          <w:color w:val="auto"/>
          <w:highlight w:val="none"/>
        </w:rPr>
        <w:t>采购结果公告:是/否    公告期限：</w:t>
      </w:r>
      <w:r>
        <w:rPr>
          <w:rFonts w:hint="eastAsia" w:ascii="仿宋" w:hAnsi="仿宋" w:eastAsia="仿宋" w:cs="宋体"/>
          <w:color w:val="auto"/>
          <w:highlight w:val="none"/>
          <w:u w:val="words"/>
        </w:rPr>
        <w:t>_________________</w:t>
      </w:r>
    </w:p>
    <w:p w14:paraId="7DE21C69">
      <w:pPr>
        <w:spacing w:line="360" w:lineRule="auto"/>
        <w:rPr>
          <w:rFonts w:ascii="仿宋" w:hAnsi="仿宋" w:eastAsia="仿宋" w:cs="宋体"/>
          <w:color w:val="auto"/>
          <w:highlight w:val="none"/>
        </w:rPr>
      </w:pPr>
      <w:r>
        <w:rPr>
          <w:rFonts w:hint="eastAsia" w:ascii="仿宋" w:hAnsi="仿宋" w:eastAsia="仿宋" w:cs="宋体"/>
          <w:color w:val="auto"/>
          <w:highlight w:val="none"/>
        </w:rPr>
        <w:t>三、质疑基本情况</w:t>
      </w:r>
    </w:p>
    <w:p w14:paraId="24C6AB2E">
      <w:pPr>
        <w:spacing w:line="360" w:lineRule="auto"/>
        <w:ind w:firstLine="480" w:firstLineChars="200"/>
        <w:rPr>
          <w:rFonts w:ascii="仿宋" w:hAnsi="仿宋" w:eastAsia="仿宋" w:cs="宋体"/>
          <w:color w:val="auto"/>
          <w:highlight w:val="none"/>
          <w:u w:val="words"/>
        </w:rPr>
      </w:pPr>
      <w:r>
        <w:rPr>
          <w:rFonts w:hint="eastAsia" w:ascii="仿宋" w:hAnsi="仿宋" w:eastAsia="仿宋" w:cs="宋体"/>
          <w:color w:val="auto"/>
          <w:highlight w:val="none"/>
        </w:rPr>
        <w:t>投诉人于</w:t>
      </w:r>
      <w:r>
        <w:rPr>
          <w:rFonts w:hint="eastAsia" w:ascii="仿宋" w:hAnsi="仿宋" w:eastAsia="仿宋" w:cs="宋体"/>
          <w:color w:val="auto"/>
          <w:highlight w:val="none"/>
          <w:u w:val="words"/>
        </w:rPr>
        <w:t>_____</w:t>
      </w:r>
      <w:r>
        <w:rPr>
          <w:rFonts w:hint="eastAsia" w:ascii="仿宋" w:hAnsi="仿宋" w:eastAsia="仿宋" w:cs="宋体"/>
          <w:color w:val="auto"/>
          <w:highlight w:val="none"/>
        </w:rPr>
        <w:t>年</w:t>
      </w:r>
      <w:r>
        <w:rPr>
          <w:rFonts w:hint="eastAsia" w:ascii="仿宋" w:hAnsi="仿宋" w:eastAsia="仿宋" w:cs="宋体"/>
          <w:color w:val="auto"/>
          <w:highlight w:val="none"/>
          <w:u w:val="words"/>
        </w:rPr>
        <w:t>__</w:t>
      </w:r>
      <w:r>
        <w:rPr>
          <w:rFonts w:hint="eastAsia" w:ascii="仿宋" w:hAnsi="仿宋" w:eastAsia="仿宋" w:cs="宋体"/>
          <w:color w:val="auto"/>
          <w:highlight w:val="none"/>
        </w:rPr>
        <w:t>月</w:t>
      </w:r>
      <w:r>
        <w:rPr>
          <w:rFonts w:hint="eastAsia" w:ascii="仿宋" w:hAnsi="仿宋" w:eastAsia="仿宋" w:cs="宋体"/>
          <w:color w:val="auto"/>
          <w:highlight w:val="none"/>
          <w:u w:val="words"/>
        </w:rPr>
        <w:t>__</w:t>
      </w:r>
      <w:r>
        <w:rPr>
          <w:rFonts w:hint="eastAsia" w:ascii="仿宋" w:hAnsi="仿宋" w:eastAsia="仿宋" w:cs="宋体"/>
          <w:color w:val="auto"/>
          <w:highlight w:val="none"/>
        </w:rPr>
        <w:t>日,向</w:t>
      </w:r>
      <w:r>
        <w:rPr>
          <w:rFonts w:hint="eastAsia" w:ascii="仿宋" w:hAnsi="仿宋" w:eastAsia="仿宋" w:cs="宋体"/>
          <w:color w:val="auto"/>
          <w:highlight w:val="none"/>
          <w:u w:val="words"/>
        </w:rPr>
        <w:t>__________________</w:t>
      </w:r>
      <w:r>
        <w:rPr>
          <w:rFonts w:hint="eastAsia" w:ascii="仿宋" w:hAnsi="仿宋" w:eastAsia="仿宋" w:cs="宋体"/>
          <w:color w:val="auto"/>
          <w:highlight w:val="none"/>
        </w:rPr>
        <w:t>提出质疑，质疑事项为：</w:t>
      </w:r>
      <w:r>
        <w:rPr>
          <w:rFonts w:hint="eastAsia" w:ascii="仿宋" w:hAnsi="仿宋" w:eastAsia="仿宋" w:cs="宋体"/>
          <w:color w:val="auto"/>
          <w:highlight w:val="none"/>
          <w:u w:val="words"/>
        </w:rPr>
        <w:t>__________________________________________________________________________</w:t>
      </w:r>
    </w:p>
    <w:p w14:paraId="105679B6">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采购人/代理机构于</w:t>
      </w:r>
      <w:r>
        <w:rPr>
          <w:rFonts w:hint="eastAsia" w:ascii="仿宋" w:hAnsi="仿宋" w:eastAsia="仿宋" w:cs="宋体"/>
          <w:color w:val="auto"/>
          <w:highlight w:val="none"/>
          <w:u w:val="words"/>
        </w:rPr>
        <w:t>____</w:t>
      </w:r>
      <w:r>
        <w:rPr>
          <w:rFonts w:hint="eastAsia" w:ascii="仿宋" w:hAnsi="仿宋" w:eastAsia="仿宋" w:cs="宋体"/>
          <w:color w:val="auto"/>
          <w:highlight w:val="none"/>
        </w:rPr>
        <w:t>年</w:t>
      </w:r>
      <w:r>
        <w:rPr>
          <w:rFonts w:hint="eastAsia" w:ascii="仿宋" w:hAnsi="仿宋" w:eastAsia="仿宋" w:cs="宋体"/>
          <w:color w:val="auto"/>
          <w:highlight w:val="none"/>
          <w:u w:val="words"/>
        </w:rPr>
        <w:t>__</w:t>
      </w:r>
      <w:r>
        <w:rPr>
          <w:rFonts w:hint="eastAsia" w:ascii="仿宋" w:hAnsi="仿宋" w:eastAsia="仿宋" w:cs="宋体"/>
          <w:color w:val="auto"/>
          <w:highlight w:val="none"/>
        </w:rPr>
        <w:t>月</w:t>
      </w:r>
      <w:r>
        <w:rPr>
          <w:rFonts w:hint="eastAsia" w:ascii="仿宋" w:hAnsi="仿宋" w:eastAsia="仿宋" w:cs="宋体"/>
          <w:color w:val="auto"/>
          <w:highlight w:val="none"/>
          <w:u w:val="words"/>
        </w:rPr>
        <w:t>__</w:t>
      </w:r>
      <w:r>
        <w:rPr>
          <w:rFonts w:hint="eastAsia" w:ascii="仿宋" w:hAnsi="仿宋" w:eastAsia="仿宋" w:cs="宋体"/>
          <w:color w:val="auto"/>
          <w:highlight w:val="none"/>
        </w:rPr>
        <w:t>日,就质疑事项作出了答复/没有在法定期限内作出答复。</w:t>
      </w:r>
    </w:p>
    <w:p w14:paraId="0D095ED6">
      <w:pPr>
        <w:spacing w:line="360" w:lineRule="auto"/>
        <w:rPr>
          <w:rFonts w:ascii="仿宋" w:hAnsi="仿宋" w:eastAsia="仿宋" w:cs="宋体"/>
          <w:color w:val="auto"/>
          <w:highlight w:val="none"/>
        </w:rPr>
      </w:pPr>
      <w:r>
        <w:rPr>
          <w:rFonts w:hint="eastAsia" w:ascii="仿宋" w:hAnsi="仿宋" w:eastAsia="仿宋" w:cs="宋体"/>
          <w:color w:val="auto"/>
          <w:highlight w:val="none"/>
        </w:rPr>
        <w:t>四、投诉事项具体内容</w:t>
      </w:r>
    </w:p>
    <w:p w14:paraId="54D4561B">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投诉事项 1：</w:t>
      </w:r>
      <w:r>
        <w:rPr>
          <w:rFonts w:hint="eastAsia" w:ascii="仿宋" w:hAnsi="仿宋" w:eastAsia="仿宋" w:cs="宋体"/>
          <w:color w:val="auto"/>
          <w:highlight w:val="none"/>
          <w:u w:val="words"/>
        </w:rPr>
        <w:t>________________________________________________________________</w:t>
      </w:r>
    </w:p>
    <w:p w14:paraId="76DEF538">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事实依据：</w:t>
      </w:r>
      <w:r>
        <w:rPr>
          <w:rFonts w:hint="eastAsia" w:ascii="仿宋" w:hAnsi="仿宋" w:eastAsia="仿宋" w:cs="宋体"/>
          <w:color w:val="auto"/>
          <w:highlight w:val="none"/>
          <w:u w:val="words"/>
        </w:rPr>
        <w:t>__________________________________________________________________</w:t>
      </w:r>
    </w:p>
    <w:p w14:paraId="4125A90C">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u w:val="words"/>
        </w:rPr>
        <w:t>___________________________________________________________________________</w:t>
      </w:r>
    </w:p>
    <w:p w14:paraId="0961B4D8">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rPr>
        <w:t>法律依据：</w:t>
      </w:r>
      <w:r>
        <w:rPr>
          <w:rFonts w:hint="eastAsia" w:ascii="仿宋" w:hAnsi="仿宋" w:eastAsia="仿宋" w:cs="宋体"/>
          <w:color w:val="auto"/>
          <w:highlight w:val="none"/>
          <w:u w:val="words"/>
        </w:rPr>
        <w:t>__________________________________________________________________</w:t>
      </w:r>
    </w:p>
    <w:p w14:paraId="5CA454F7">
      <w:pPr>
        <w:spacing w:line="360" w:lineRule="auto"/>
        <w:rPr>
          <w:rFonts w:ascii="仿宋" w:hAnsi="仿宋" w:eastAsia="仿宋" w:cs="宋体"/>
          <w:color w:val="auto"/>
          <w:highlight w:val="none"/>
          <w:u w:val="words"/>
        </w:rPr>
      </w:pPr>
      <w:r>
        <w:rPr>
          <w:rFonts w:hint="eastAsia" w:ascii="仿宋" w:hAnsi="仿宋" w:eastAsia="仿宋" w:cs="宋体"/>
          <w:color w:val="auto"/>
          <w:highlight w:val="none"/>
          <w:u w:val="words"/>
        </w:rPr>
        <w:t>___________________________________________________________________________</w:t>
      </w:r>
    </w:p>
    <w:p w14:paraId="74DE4740">
      <w:pPr>
        <w:spacing w:line="360" w:lineRule="auto"/>
        <w:rPr>
          <w:rFonts w:ascii="仿宋" w:hAnsi="仿宋" w:eastAsia="仿宋" w:cs="宋体"/>
          <w:color w:val="auto"/>
          <w:highlight w:val="none"/>
        </w:rPr>
      </w:pPr>
      <w:r>
        <w:rPr>
          <w:rFonts w:hint="eastAsia" w:ascii="仿宋" w:hAnsi="仿宋" w:eastAsia="仿宋" w:cs="宋体"/>
          <w:color w:val="auto"/>
          <w:highlight w:val="none"/>
        </w:rPr>
        <w:t>投诉事项2</w:t>
      </w:r>
    </w:p>
    <w:p w14:paraId="35D2DEBD">
      <w:pPr>
        <w:spacing w:line="360" w:lineRule="auto"/>
        <w:rPr>
          <w:rFonts w:ascii="仿宋" w:hAnsi="仿宋" w:eastAsia="仿宋" w:cs="宋体"/>
          <w:color w:val="auto"/>
          <w:highlight w:val="none"/>
          <w:u w:val="dotted"/>
        </w:rPr>
      </w:pPr>
      <w:r>
        <w:rPr>
          <w:rFonts w:hint="eastAsia" w:ascii="仿宋" w:hAnsi="仿宋" w:eastAsia="仿宋" w:cs="宋体"/>
          <w:color w:val="auto"/>
          <w:highlight w:val="none"/>
        </w:rPr>
        <w:t>……</w:t>
      </w:r>
    </w:p>
    <w:p w14:paraId="35751DE7">
      <w:pPr>
        <w:spacing w:line="360" w:lineRule="auto"/>
        <w:rPr>
          <w:rFonts w:ascii="仿宋" w:hAnsi="仿宋" w:eastAsia="仿宋" w:cs="宋体"/>
          <w:color w:val="auto"/>
          <w:highlight w:val="none"/>
        </w:rPr>
      </w:pPr>
      <w:r>
        <w:rPr>
          <w:rFonts w:hint="eastAsia" w:ascii="仿宋" w:hAnsi="仿宋" w:eastAsia="仿宋" w:cs="宋体"/>
          <w:color w:val="auto"/>
          <w:highlight w:val="none"/>
        </w:rPr>
        <w:t>五、与投诉事项相关的投诉请求</w:t>
      </w:r>
    </w:p>
    <w:p w14:paraId="5975CD32">
      <w:pPr>
        <w:spacing w:line="360" w:lineRule="auto"/>
        <w:rPr>
          <w:rFonts w:ascii="仿宋" w:hAnsi="仿宋" w:eastAsia="仿宋" w:cs="宋体"/>
          <w:color w:val="auto"/>
          <w:highlight w:val="none"/>
        </w:rPr>
      </w:pPr>
      <w:r>
        <w:rPr>
          <w:rFonts w:hint="eastAsia" w:ascii="仿宋" w:hAnsi="仿宋" w:eastAsia="仿宋" w:cs="宋体"/>
          <w:color w:val="auto"/>
          <w:highlight w:val="none"/>
        </w:rPr>
        <w:t>请求：</w:t>
      </w:r>
      <w:r>
        <w:rPr>
          <w:rFonts w:hint="eastAsia" w:ascii="仿宋" w:hAnsi="仿宋" w:eastAsia="仿宋" w:cs="宋体"/>
          <w:color w:val="auto"/>
          <w:highlight w:val="none"/>
          <w:u w:val="words"/>
        </w:rPr>
        <w:t>______________________________________________________________________</w:t>
      </w:r>
    </w:p>
    <w:p w14:paraId="519569CB">
      <w:pPr>
        <w:spacing w:line="360" w:lineRule="auto"/>
        <w:rPr>
          <w:rFonts w:ascii="仿宋" w:hAnsi="仿宋" w:eastAsia="仿宋" w:cs="宋体"/>
          <w:color w:val="auto"/>
          <w:highlight w:val="none"/>
          <w:u w:val="single"/>
        </w:rPr>
      </w:pPr>
    </w:p>
    <w:p w14:paraId="4B7B65E4">
      <w:pPr>
        <w:spacing w:line="360" w:lineRule="auto"/>
        <w:rPr>
          <w:rFonts w:ascii="仿宋" w:hAnsi="仿宋" w:eastAsia="仿宋" w:cs="宋体"/>
          <w:color w:val="auto"/>
          <w:highlight w:val="none"/>
        </w:rPr>
      </w:pPr>
    </w:p>
    <w:p w14:paraId="65A213F7">
      <w:pPr>
        <w:spacing w:line="360" w:lineRule="auto"/>
        <w:rPr>
          <w:rFonts w:ascii="仿宋" w:hAnsi="仿宋" w:eastAsia="仿宋" w:cs="宋体"/>
          <w:color w:val="auto"/>
          <w:highlight w:val="none"/>
        </w:rPr>
      </w:pPr>
      <w:r>
        <w:rPr>
          <w:rFonts w:hint="eastAsia" w:ascii="仿宋" w:hAnsi="仿宋" w:eastAsia="仿宋" w:cs="宋体"/>
          <w:color w:val="auto"/>
          <w:highlight w:val="none"/>
        </w:rPr>
        <w:t xml:space="preserve">签字(签章)：                   公章：                      </w:t>
      </w:r>
    </w:p>
    <w:p w14:paraId="3DF50028">
      <w:pPr>
        <w:spacing w:line="360" w:lineRule="auto"/>
        <w:rPr>
          <w:rFonts w:ascii="仿宋" w:hAnsi="仿宋" w:eastAsia="仿宋" w:cs="宋体"/>
          <w:color w:val="auto"/>
          <w:highlight w:val="none"/>
        </w:rPr>
      </w:pPr>
      <w:r>
        <w:rPr>
          <w:rFonts w:hint="eastAsia" w:ascii="仿宋" w:hAnsi="仿宋" w:eastAsia="仿宋" w:cs="宋体"/>
          <w:color w:val="auto"/>
          <w:highlight w:val="none"/>
        </w:rPr>
        <w:t xml:space="preserve">日期：    </w:t>
      </w:r>
    </w:p>
    <w:p w14:paraId="491A24D0">
      <w:pPr>
        <w:spacing w:line="360" w:lineRule="auto"/>
        <w:rPr>
          <w:rFonts w:ascii="仿宋" w:hAnsi="仿宋" w:eastAsia="仿宋" w:cs="宋体"/>
          <w:b/>
          <w:color w:val="auto"/>
          <w:highlight w:val="none"/>
        </w:rPr>
      </w:pPr>
    </w:p>
    <w:p w14:paraId="3CEAE0DE">
      <w:pPr>
        <w:spacing w:line="360" w:lineRule="auto"/>
        <w:rPr>
          <w:rFonts w:ascii="仿宋" w:hAnsi="仿宋" w:eastAsia="仿宋" w:cs="宋体"/>
          <w:b/>
          <w:color w:val="auto"/>
          <w:highlight w:val="none"/>
        </w:rPr>
      </w:pPr>
    </w:p>
    <w:p w14:paraId="7412B42D">
      <w:pPr>
        <w:spacing w:line="360" w:lineRule="auto"/>
        <w:rPr>
          <w:rFonts w:ascii="仿宋" w:hAnsi="仿宋" w:eastAsia="仿宋" w:cs="宋体"/>
          <w:b/>
          <w:color w:val="auto"/>
          <w:highlight w:val="none"/>
        </w:rPr>
      </w:pPr>
      <w:r>
        <w:rPr>
          <w:rFonts w:hint="eastAsia" w:ascii="仿宋" w:hAnsi="仿宋" w:eastAsia="仿宋" w:cs="宋体"/>
          <w:b/>
          <w:color w:val="auto"/>
          <w:highlight w:val="none"/>
        </w:rPr>
        <w:t>投诉书制作说明：</w:t>
      </w:r>
    </w:p>
    <w:p w14:paraId="07DBF769">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1.投诉人提起投诉时，应当提交投诉书和必要的证明材料，并按照被投诉人和与投诉事项有关的供应商数量提供投诉书副本。</w:t>
      </w:r>
    </w:p>
    <w:p w14:paraId="6C44A990">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7990A471">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3.投诉人若对项目的某一分包进行投诉，投诉书应列明具体分包号。</w:t>
      </w:r>
    </w:p>
    <w:p w14:paraId="10BA4F3D">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4.投诉书应简要列明质疑事项，质疑函、质疑答复等作为附件材料提供。</w:t>
      </w:r>
    </w:p>
    <w:p w14:paraId="7706932B">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5.投诉书的投诉事项应具体、明确，并有必要的事实依据和法律依据。</w:t>
      </w:r>
    </w:p>
    <w:p w14:paraId="7CA60D74">
      <w:pPr>
        <w:spacing w:line="360" w:lineRule="auto"/>
        <w:ind w:firstLine="480" w:firstLineChars="200"/>
        <w:rPr>
          <w:rFonts w:ascii="仿宋" w:hAnsi="仿宋" w:eastAsia="仿宋" w:cs="宋体"/>
          <w:color w:val="auto"/>
          <w:highlight w:val="none"/>
        </w:rPr>
      </w:pPr>
      <w:r>
        <w:rPr>
          <w:rFonts w:hint="eastAsia" w:ascii="仿宋" w:hAnsi="仿宋" w:eastAsia="仿宋" w:cs="宋体"/>
          <w:color w:val="auto"/>
          <w:highlight w:val="none"/>
        </w:rPr>
        <w:t>6.投诉书的投诉请求应与投诉事项相关。</w:t>
      </w:r>
    </w:p>
    <w:p w14:paraId="2CAEED1C">
      <w:pPr>
        <w:spacing w:line="360" w:lineRule="auto"/>
        <w:ind w:firstLine="480" w:firstLineChars="200"/>
        <w:rPr>
          <w:rFonts w:ascii="仿宋" w:hAnsi="仿宋" w:eastAsia="仿宋" w:cs="仿宋_GB2312"/>
          <w:color w:val="auto"/>
          <w:highlight w:val="none"/>
        </w:rPr>
      </w:pPr>
      <w:r>
        <w:rPr>
          <w:rFonts w:hint="eastAsia" w:ascii="仿宋" w:hAnsi="仿宋" w:eastAsia="仿宋" w:cs="宋体"/>
          <w:color w:val="auto"/>
          <w:highlight w:val="none"/>
        </w:rPr>
        <w:t>7.投诉人为自然人的，投诉书应当由本人签字；投诉人为法人或者其他组织的，投诉书应当由法定代表人、主要负责人，或者其授权代表签字或者盖章，并加盖公章</w:t>
      </w:r>
    </w:p>
    <w:p w14:paraId="68120575">
      <w:pPr>
        <w:adjustRightInd w:val="0"/>
        <w:snapToGrid w:val="0"/>
        <w:spacing w:line="360" w:lineRule="auto"/>
        <w:ind w:firstLine="480" w:firstLineChars="200"/>
        <w:rPr>
          <w:rFonts w:ascii="宋体" w:hAnsi="宋体" w:eastAsia="宋体" w:cs="Times New Roman"/>
          <w:bCs/>
          <w:color w:val="auto"/>
          <w:highlight w:val="none"/>
        </w:rPr>
      </w:pPr>
    </w:p>
    <w:sectPr>
      <w:footerReference r:id="rId16" w:type="default"/>
      <w:pgSz w:w="11906" w:h="16838"/>
      <w:pgMar w:top="1440" w:right="1800" w:bottom="1440" w:left="1800" w:header="851" w:footer="992" w:gutter="0"/>
      <w:pgNumType w:start="1"/>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微软雅黑"/>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华文楷体">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仿宋_GB2312">
    <w:altName w:val="微软雅黑"/>
    <w:panose1 w:val="00000000000000000000"/>
    <w:charset w:val="86"/>
    <w:family w:val="modern"/>
    <w:pitch w:val="default"/>
    <w:sig w:usb0="00000000" w:usb1="00000000" w:usb2="00000000" w:usb3="00000000" w:csb0="00040000" w:csb1="00000000"/>
  </w:font>
  <w:font w:name="仿宋">
    <w:altName w:val="微软雅黑"/>
    <w:panose1 w:val="02010609060101010101"/>
    <w:charset w:val="86"/>
    <w:family w:val="modern"/>
    <w:pitch w:val="default"/>
    <w:sig w:usb0="00000000" w:usb1="00000000" w:usb2="00000016" w:usb3="00000000" w:csb0="00040001" w:csb1="00000000"/>
  </w:font>
  <w:font w:name="等线">
    <w:altName w:val="微软雅黑"/>
    <w:panose1 w:val="02010600030101010101"/>
    <w:charset w:val="86"/>
    <w:family w:val="auto"/>
    <w:pitch w:val="default"/>
    <w:sig w:usb0="00000000" w:usb1="00000000" w:usb2="00000016" w:usb3="00000000" w:csb0="0004000F" w:csb1="00000000"/>
  </w:font>
  <w:font w:name="DFKai-SB">
    <w:panose1 w:val="03000509000000000000"/>
    <w:charset w:val="88"/>
    <w:family w:val="script"/>
    <w:pitch w:val="default"/>
    <w:sig w:usb0="00000003" w:usb1="082E0000" w:usb2="00000016" w:usb3="00000000" w:csb0="00100001" w:csb1="00000000"/>
  </w:font>
  <w:font w:name="Arial Narrow">
    <w:altName w:val="Arial"/>
    <w:panose1 w:val="020B0606020202030204"/>
    <w:charset w:val="00"/>
    <w:family w:val="swiss"/>
    <w:pitch w:val="default"/>
    <w:sig w:usb0="00000000" w:usb1="00000000" w:usb2="00000000" w:usb3="00000000" w:csb0="2000009F" w:csb1="DFD70000"/>
  </w:font>
  <w:font w:name="楷体">
    <w:altName w:val="宋体"/>
    <w:panose1 w:val="02010609060101010101"/>
    <w:charset w:val="86"/>
    <w:family w:val="modern"/>
    <w:pitch w:val="default"/>
    <w:sig w:usb0="00000000" w:usb1="00000000"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Helvetica">
    <w:altName w:val="Arial"/>
    <w:panose1 w:val="020B0604020202020204"/>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09E4C8">
    <w:pPr>
      <w:pStyle w:val="2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26</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139</w:t>
    </w:r>
    <w:r>
      <w:rPr>
        <w:rFonts w:hint="eastAsia" w:ascii="仿宋_GB2312" w:eastAsia="仿宋_GB2312"/>
      </w:rPr>
      <w:fldChar w:fldCharType="end"/>
    </w:r>
    <w:r>
      <w:rPr>
        <w:rFonts w:hint="eastAsia" w:ascii="仿宋_GB2312" w:eastAsia="仿宋_GB2312"/>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A5C08">
    <w:pPr>
      <w:pStyle w:val="29"/>
      <w:framePr w:wrap="around" w:vAnchor="text" w:hAnchor="margin" w:xAlign="right" w:y="1"/>
      <w:rPr>
        <w:rStyle w:val="48"/>
      </w:rPr>
    </w:pPr>
    <w:r>
      <w:fldChar w:fldCharType="begin"/>
    </w:r>
    <w:r>
      <w:rPr>
        <w:rStyle w:val="48"/>
      </w:rPr>
      <w:instrText xml:space="preserve">PAGE  </w:instrText>
    </w:r>
    <w:r>
      <w:fldChar w:fldCharType="end"/>
    </w:r>
  </w:p>
  <w:p w14:paraId="125EF031">
    <w:pPr>
      <w:pStyle w:val="2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382DAD">
    <w:pPr>
      <w:pStyle w:val="2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1</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139</w:t>
    </w:r>
    <w:r>
      <w:rPr>
        <w:rFonts w:hint="eastAsia" w:ascii="仿宋_GB2312" w:eastAsia="仿宋_GB2312"/>
      </w:rPr>
      <w:fldChar w:fldCharType="end"/>
    </w:r>
    <w:r>
      <w:rPr>
        <w:rFonts w:hint="eastAsia" w:ascii="仿宋_GB2312" w:eastAsia="仿宋_GB2312"/>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9CBBF">
    <w:pPr>
      <w:pStyle w:val="2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58</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140</w:t>
    </w:r>
    <w:r>
      <w:rPr>
        <w:rFonts w:hint="eastAsia" w:ascii="仿宋_GB2312" w:eastAsia="仿宋_GB2312"/>
      </w:rPr>
      <w:fldChar w:fldCharType="end"/>
    </w:r>
    <w:r>
      <w:rPr>
        <w:rFonts w:hint="eastAsia" w:ascii="仿宋_GB2312" w:eastAsia="仿宋_GB2312"/>
      </w:rPr>
      <w:t xml:space="preserve"> 页</w:t>
    </w:r>
  </w:p>
  <w:p w14:paraId="0B3C829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8D41F">
    <w:pPr>
      <w:pStyle w:val="2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27</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140</w:t>
    </w:r>
    <w:r>
      <w:rPr>
        <w:rFonts w:hint="eastAsia" w:ascii="仿宋_GB2312" w:eastAsia="仿宋_GB2312"/>
      </w:rPr>
      <w:fldChar w:fldCharType="end"/>
    </w:r>
    <w:r>
      <w:rPr>
        <w:rFonts w:hint="eastAsia" w:ascii="仿宋_GB2312" w:eastAsia="仿宋_GB2312"/>
      </w:rPr>
      <w:t xml:space="preserve"> 页</w:t>
    </w:r>
  </w:p>
  <w:p w14:paraId="1074947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EB1DA">
    <w:pPr>
      <w:pStyle w:val="2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130</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140</w:t>
    </w:r>
    <w:r>
      <w:rPr>
        <w:rFonts w:hint="eastAsia" w:ascii="仿宋_GB2312" w:eastAsia="仿宋_GB2312"/>
      </w:rPr>
      <w:fldChar w:fldCharType="end"/>
    </w:r>
    <w:r>
      <w:rPr>
        <w:rFonts w:hint="eastAsia" w:ascii="仿宋_GB2312" w:eastAsia="仿宋_GB2312"/>
      </w:rPr>
      <w:t xml:space="preserve"> 页</w:t>
    </w:r>
  </w:p>
  <w:p w14:paraId="04A40C3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623CC">
    <w:pPr>
      <w:pStyle w:val="29"/>
      <w:framePr w:wrap="around" w:vAnchor="text" w:hAnchor="margin" w:xAlign="right" w:y="1"/>
      <w:rPr>
        <w:rStyle w:val="48"/>
      </w:rPr>
    </w:pPr>
    <w:r>
      <w:fldChar w:fldCharType="begin"/>
    </w:r>
    <w:r>
      <w:rPr>
        <w:rStyle w:val="48"/>
      </w:rPr>
      <w:instrText xml:space="preserve">PAGE  </w:instrText>
    </w:r>
    <w:r>
      <w:fldChar w:fldCharType="end"/>
    </w:r>
  </w:p>
  <w:p w14:paraId="4E4A2146">
    <w:pPr>
      <w:pStyle w:val="29"/>
      <w:ind w:right="360"/>
    </w:pPr>
  </w:p>
  <w:p w14:paraId="18F93C5D"/>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7783A1">
    <w:pPr>
      <w:pStyle w:val="2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124</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140</w:t>
    </w:r>
    <w:r>
      <w:rPr>
        <w:rFonts w:hint="eastAsia" w:ascii="仿宋_GB2312" w:eastAsia="仿宋_GB2312"/>
      </w:rPr>
      <w:fldChar w:fldCharType="end"/>
    </w:r>
    <w:r>
      <w:rPr>
        <w:rFonts w:hint="eastAsia" w:ascii="仿宋_GB2312" w:eastAsia="仿宋_GB2312"/>
      </w:rPr>
      <w:t xml:space="preserve"> 页</w:t>
    </w:r>
  </w:p>
  <w:p w14:paraId="44D7F4F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53405055"/>
    </w:sdtPr>
    <w:sdtEndPr>
      <w:rPr>
        <w:rFonts w:ascii="宋体" w:hAnsi="宋体" w:eastAsia="宋体"/>
      </w:rPr>
    </w:sdtEndPr>
    <w:sdtContent>
      <w:p w14:paraId="03371734">
        <w:pPr>
          <w:pStyle w:val="29"/>
          <w:jc w:val="center"/>
          <w:rPr>
            <w:rFonts w:ascii="宋体" w:hAnsi="宋体" w:eastAsia="宋体"/>
          </w:rPr>
        </w:pPr>
        <w:r>
          <w:rPr>
            <w:rFonts w:ascii="宋体" w:hAnsi="宋体" w:eastAsia="宋体"/>
            <w:sz w:val="21"/>
            <w:szCs w:val="21"/>
          </w:rPr>
          <w:fldChar w:fldCharType="begin"/>
        </w:r>
        <w:r>
          <w:rPr>
            <w:rFonts w:ascii="宋体" w:hAnsi="宋体" w:eastAsia="宋体"/>
            <w:sz w:val="21"/>
            <w:szCs w:val="21"/>
          </w:rPr>
          <w:instrText xml:space="preserve">PAGE   \* MERGEFORMAT</w:instrText>
        </w:r>
        <w:r>
          <w:rPr>
            <w:rFonts w:ascii="宋体" w:hAnsi="宋体" w:eastAsia="宋体"/>
            <w:sz w:val="21"/>
            <w:szCs w:val="21"/>
          </w:rPr>
          <w:fldChar w:fldCharType="separate"/>
        </w:r>
        <w:r>
          <w:rPr>
            <w:rFonts w:ascii="宋体" w:hAnsi="宋体" w:eastAsia="宋体"/>
            <w:sz w:val="21"/>
            <w:szCs w:val="21"/>
            <w:lang w:val="zh-CN"/>
          </w:rPr>
          <w:t>10</w:t>
        </w:r>
        <w:r>
          <w:rPr>
            <w:rFonts w:ascii="宋体" w:hAnsi="宋体" w:eastAsia="宋体"/>
            <w:sz w:val="21"/>
            <w:szCs w:val="21"/>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2F3046">
    <w:pPr>
      <w:pStyle w:val="30"/>
      <w:jc w:val="right"/>
    </w:pPr>
    <w:r>
      <w:rPr>
        <w:rFonts w:hint="eastAsia"/>
      </w:rPr>
      <w:t>绍兴市柯桥区政府采购公开招标文件</w:t>
    </w:r>
  </w:p>
  <w:p w14:paraId="653E52FD">
    <w:pPr>
      <w:pStyle w:val="40"/>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EBE1F">
    <w:pPr>
      <w:pStyle w:val="30"/>
      <w:pBdr>
        <w:bottom w:val="single" w:color="auto" w:sz="6" w:space="0"/>
      </w:pBdr>
      <w:tabs>
        <w:tab w:val="center" w:pos="4535"/>
        <w:tab w:val="right" w:pos="9070"/>
        <w:tab w:val="clear" w:pos="4153"/>
        <w:tab w:val="clear" w:pos="8306"/>
      </w:tabs>
      <w:jc w:val="right"/>
    </w:pPr>
    <w:r>
      <w:rPr>
        <w:rFonts w:hint="eastAsia"/>
        <w:lang w:val="zh-CN"/>
      </w:rPr>
      <w:t>绍兴市柯桥区政府采购公开招标文件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3CC21D">
    <w:pPr>
      <w:pStyle w:val="30"/>
      <w:jc w:val="right"/>
    </w:pPr>
    <w:r>
      <w:rPr>
        <w:rFonts w:hint="eastAsia"/>
      </w:rPr>
      <w:t>绍兴市柯桥区政府采购公开招标文件</w:t>
    </w:r>
  </w:p>
  <w:p w14:paraId="753C6EFB">
    <w:pPr>
      <w:pStyle w:val="40"/>
      <w:tabs>
        <w:tab w:val="center" w:pos="4535"/>
        <w:tab w:val="right" w:pos="9070"/>
      </w:tabs>
      <w:ind w:firstLine="180" w:firstLineChars="100"/>
      <w:jc w:val="both"/>
      <w:rPr>
        <w:rFonts w:ascii="仿宋_GB2312" w:eastAsia="仿宋_GB2312"/>
        <w:b w:val="0"/>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072C68">
    <w:pPr>
      <w:pStyle w:val="30"/>
      <w:jc w:val="right"/>
    </w:pPr>
    <w:r>
      <w:rPr>
        <w:rFonts w:hint="eastAsia"/>
      </w:rPr>
      <w:t>绍兴市柯桥区政府采购公开招标文件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DC00AB">
    <w:pPr>
      <w:pStyle w:val="30"/>
    </w:pPr>
  </w:p>
  <w:p w14:paraId="167DD4C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7086CE"/>
    <w:multiLevelType w:val="singleLevel"/>
    <w:tmpl w:val="867086CE"/>
    <w:lvl w:ilvl="0" w:tentative="0">
      <w:start w:val="1"/>
      <w:numFmt w:val="chineseCounting"/>
      <w:suff w:val="nothing"/>
      <w:lvlText w:val="（%1）"/>
      <w:lvlJc w:val="left"/>
      <w:pPr>
        <w:ind w:left="0" w:firstLine="0"/>
      </w:pPr>
      <w:rPr>
        <w:rFonts w:hint="eastAsia"/>
      </w:rPr>
    </w:lvl>
  </w:abstractNum>
  <w:abstractNum w:abstractNumId="1">
    <w:nsid w:val="889F4B54"/>
    <w:multiLevelType w:val="singleLevel"/>
    <w:tmpl w:val="889F4B54"/>
    <w:lvl w:ilvl="0" w:tentative="0">
      <w:start w:val="1"/>
      <w:numFmt w:val="decimal"/>
      <w:suff w:val="nothing"/>
      <w:lvlText w:val="%1、"/>
      <w:lvlJc w:val="left"/>
      <w:pPr>
        <w:ind w:left="210" w:hanging="210"/>
      </w:pPr>
    </w:lvl>
  </w:abstractNum>
  <w:abstractNum w:abstractNumId="2">
    <w:nsid w:val="9450EDF9"/>
    <w:multiLevelType w:val="singleLevel"/>
    <w:tmpl w:val="9450EDF9"/>
    <w:lvl w:ilvl="0" w:tentative="0">
      <w:start w:val="1"/>
      <w:numFmt w:val="decimal"/>
      <w:suff w:val="nothing"/>
      <w:lvlText w:val="%1、"/>
      <w:lvlJc w:val="left"/>
    </w:lvl>
  </w:abstractNum>
  <w:abstractNum w:abstractNumId="3">
    <w:nsid w:val="99025EF9"/>
    <w:multiLevelType w:val="singleLevel"/>
    <w:tmpl w:val="99025EF9"/>
    <w:lvl w:ilvl="0" w:tentative="0">
      <w:start w:val="1"/>
      <w:numFmt w:val="decimal"/>
      <w:suff w:val="nothing"/>
      <w:lvlText w:val="%1、"/>
      <w:lvlJc w:val="left"/>
    </w:lvl>
  </w:abstractNum>
  <w:abstractNum w:abstractNumId="4">
    <w:nsid w:val="9A55D3AD"/>
    <w:multiLevelType w:val="singleLevel"/>
    <w:tmpl w:val="9A55D3AD"/>
    <w:lvl w:ilvl="0" w:tentative="0">
      <w:start w:val="1"/>
      <w:numFmt w:val="decimal"/>
      <w:suff w:val="nothing"/>
      <w:lvlText w:val="%1、"/>
      <w:lvlJc w:val="left"/>
    </w:lvl>
  </w:abstractNum>
  <w:abstractNum w:abstractNumId="5">
    <w:nsid w:val="9E7F936C"/>
    <w:multiLevelType w:val="singleLevel"/>
    <w:tmpl w:val="9E7F936C"/>
    <w:lvl w:ilvl="0" w:tentative="0">
      <w:start w:val="1"/>
      <w:numFmt w:val="decimal"/>
      <w:suff w:val="nothing"/>
      <w:lvlText w:val="%1、"/>
      <w:lvlJc w:val="left"/>
    </w:lvl>
  </w:abstractNum>
  <w:abstractNum w:abstractNumId="6">
    <w:nsid w:val="A547CA77"/>
    <w:multiLevelType w:val="multilevel"/>
    <w:tmpl w:val="A547CA77"/>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7">
    <w:nsid w:val="A847039B"/>
    <w:multiLevelType w:val="singleLevel"/>
    <w:tmpl w:val="A847039B"/>
    <w:lvl w:ilvl="0" w:tentative="0">
      <w:start w:val="1"/>
      <w:numFmt w:val="chineseCounting"/>
      <w:suff w:val="nothing"/>
      <w:lvlText w:val="（%1）"/>
      <w:lvlJc w:val="left"/>
      <w:pPr>
        <w:ind w:left="0" w:firstLine="0"/>
      </w:pPr>
      <w:rPr>
        <w:rFonts w:hint="eastAsia"/>
      </w:rPr>
    </w:lvl>
  </w:abstractNum>
  <w:abstractNum w:abstractNumId="8">
    <w:nsid w:val="A943B361"/>
    <w:multiLevelType w:val="singleLevel"/>
    <w:tmpl w:val="A943B361"/>
    <w:lvl w:ilvl="0" w:tentative="0">
      <w:start w:val="3"/>
      <w:numFmt w:val="decimal"/>
      <w:suff w:val="nothing"/>
      <w:lvlText w:val="（%1）"/>
      <w:lvlJc w:val="left"/>
    </w:lvl>
  </w:abstractNum>
  <w:abstractNum w:abstractNumId="9">
    <w:nsid w:val="CFDF7645"/>
    <w:multiLevelType w:val="singleLevel"/>
    <w:tmpl w:val="CFDF7645"/>
    <w:lvl w:ilvl="0" w:tentative="0">
      <w:start w:val="1"/>
      <w:numFmt w:val="decimal"/>
      <w:suff w:val="nothing"/>
      <w:lvlText w:val="%1、"/>
      <w:lvlJc w:val="left"/>
    </w:lvl>
  </w:abstractNum>
  <w:abstractNum w:abstractNumId="10">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1">
    <w:nsid w:val="D5B36D35"/>
    <w:multiLevelType w:val="singleLevel"/>
    <w:tmpl w:val="D5B36D35"/>
    <w:lvl w:ilvl="0" w:tentative="0">
      <w:start w:val="1"/>
      <w:numFmt w:val="decimal"/>
      <w:suff w:val="nothing"/>
      <w:lvlText w:val="%1、"/>
      <w:lvlJc w:val="left"/>
    </w:lvl>
  </w:abstractNum>
  <w:abstractNum w:abstractNumId="12">
    <w:nsid w:val="D8203824"/>
    <w:multiLevelType w:val="singleLevel"/>
    <w:tmpl w:val="D8203824"/>
    <w:lvl w:ilvl="0" w:tentative="0">
      <w:start w:val="1"/>
      <w:numFmt w:val="chineseCounting"/>
      <w:suff w:val="nothing"/>
      <w:lvlText w:val="（%1）"/>
      <w:lvlJc w:val="left"/>
      <w:pPr>
        <w:ind w:left="0" w:firstLine="0"/>
      </w:pPr>
      <w:rPr>
        <w:rFonts w:hint="eastAsia"/>
      </w:rPr>
    </w:lvl>
  </w:abstractNum>
  <w:abstractNum w:abstractNumId="13">
    <w:nsid w:val="DBCB42FB"/>
    <w:multiLevelType w:val="singleLevel"/>
    <w:tmpl w:val="DBCB42FB"/>
    <w:lvl w:ilvl="0" w:tentative="0">
      <w:start w:val="1"/>
      <w:numFmt w:val="decimal"/>
      <w:suff w:val="nothing"/>
      <w:lvlText w:val="%1、"/>
      <w:lvlJc w:val="left"/>
      <w:pPr>
        <w:ind w:left="210" w:hanging="210"/>
      </w:pPr>
    </w:lvl>
  </w:abstractNum>
  <w:abstractNum w:abstractNumId="14">
    <w:nsid w:val="EFF6C1EA"/>
    <w:multiLevelType w:val="singleLevel"/>
    <w:tmpl w:val="EFF6C1EA"/>
    <w:lvl w:ilvl="0" w:tentative="0">
      <w:start w:val="1"/>
      <w:numFmt w:val="decimal"/>
      <w:suff w:val="nothing"/>
      <w:lvlText w:val="%1、"/>
      <w:lvlJc w:val="left"/>
    </w:lvl>
  </w:abstractNum>
  <w:abstractNum w:abstractNumId="15">
    <w:nsid w:val="F42A5568"/>
    <w:multiLevelType w:val="singleLevel"/>
    <w:tmpl w:val="F42A5568"/>
    <w:lvl w:ilvl="0" w:tentative="0">
      <w:start w:val="1"/>
      <w:numFmt w:val="decimal"/>
      <w:suff w:val="nothing"/>
      <w:lvlText w:val="%1、"/>
      <w:lvlJc w:val="left"/>
    </w:lvl>
  </w:abstractNum>
  <w:abstractNum w:abstractNumId="16">
    <w:nsid w:val="FCFEC94D"/>
    <w:multiLevelType w:val="singleLevel"/>
    <w:tmpl w:val="FCFEC94D"/>
    <w:lvl w:ilvl="0" w:tentative="0">
      <w:start w:val="1"/>
      <w:numFmt w:val="decimal"/>
      <w:suff w:val="nothing"/>
      <w:lvlText w:val="%1、"/>
      <w:lvlJc w:val="left"/>
    </w:lvl>
  </w:abstractNum>
  <w:abstractNum w:abstractNumId="17">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8">
    <w:nsid w:val="01A670B7"/>
    <w:multiLevelType w:val="multilevel"/>
    <w:tmpl w:val="01A670B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02ED68FD"/>
    <w:multiLevelType w:val="singleLevel"/>
    <w:tmpl w:val="02ED68FD"/>
    <w:lvl w:ilvl="0" w:tentative="0">
      <w:start w:val="1"/>
      <w:numFmt w:val="decimal"/>
      <w:suff w:val="nothing"/>
      <w:lvlText w:val="%1、"/>
      <w:lvlJc w:val="left"/>
      <w:pPr>
        <w:ind w:left="360" w:hanging="360"/>
      </w:pPr>
    </w:lvl>
  </w:abstractNum>
  <w:abstractNum w:abstractNumId="20">
    <w:nsid w:val="044F08B6"/>
    <w:multiLevelType w:val="multilevel"/>
    <w:tmpl w:val="044F08B6"/>
    <w:lvl w:ilvl="0" w:tentative="0">
      <w:start w:val="1"/>
      <w:numFmt w:val="decimal"/>
      <w:lvlText w:val="%1、"/>
      <w:lvlJc w:val="left"/>
      <w:pPr>
        <w:ind w:left="1271"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14FC4A55"/>
    <w:multiLevelType w:val="singleLevel"/>
    <w:tmpl w:val="14FC4A55"/>
    <w:lvl w:ilvl="0" w:tentative="0">
      <w:start w:val="1"/>
      <w:numFmt w:val="decimal"/>
      <w:suff w:val="nothing"/>
      <w:lvlText w:val="%1、"/>
      <w:lvlJc w:val="left"/>
    </w:lvl>
  </w:abstractNum>
  <w:abstractNum w:abstractNumId="22">
    <w:nsid w:val="26F3085A"/>
    <w:multiLevelType w:val="singleLevel"/>
    <w:tmpl w:val="26F3085A"/>
    <w:lvl w:ilvl="0" w:tentative="0">
      <w:start w:val="1"/>
      <w:numFmt w:val="decimal"/>
      <w:suff w:val="nothing"/>
      <w:lvlText w:val="%1、"/>
      <w:lvlJc w:val="left"/>
    </w:lvl>
  </w:abstractNum>
  <w:abstractNum w:abstractNumId="23">
    <w:nsid w:val="281ED696"/>
    <w:multiLevelType w:val="singleLevel"/>
    <w:tmpl w:val="281ED696"/>
    <w:lvl w:ilvl="0" w:tentative="0">
      <w:start w:val="1"/>
      <w:numFmt w:val="decimal"/>
      <w:suff w:val="nothing"/>
      <w:lvlText w:val="%1、"/>
      <w:lvlJc w:val="left"/>
    </w:lvl>
  </w:abstractNum>
  <w:abstractNum w:abstractNumId="24">
    <w:nsid w:val="2D3752EA"/>
    <w:multiLevelType w:val="multilevel"/>
    <w:tmpl w:val="2D3752E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2D7B0664"/>
    <w:multiLevelType w:val="multilevel"/>
    <w:tmpl w:val="2D7B0664"/>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35C87F85"/>
    <w:multiLevelType w:val="multilevel"/>
    <w:tmpl w:val="35C87F85"/>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378D66ED"/>
    <w:multiLevelType w:val="singleLevel"/>
    <w:tmpl w:val="378D66ED"/>
    <w:lvl w:ilvl="0" w:tentative="0">
      <w:start w:val="1"/>
      <w:numFmt w:val="decimal"/>
      <w:lvlText w:val="%1、"/>
      <w:lvlJc w:val="left"/>
    </w:lvl>
  </w:abstractNum>
  <w:abstractNum w:abstractNumId="28">
    <w:nsid w:val="42222FD4"/>
    <w:multiLevelType w:val="singleLevel"/>
    <w:tmpl w:val="42222FD4"/>
    <w:lvl w:ilvl="0" w:tentative="0">
      <w:start w:val="1"/>
      <w:numFmt w:val="decimal"/>
      <w:suff w:val="nothing"/>
      <w:lvlText w:val="%1、"/>
      <w:lvlJc w:val="left"/>
      <w:pPr>
        <w:ind w:left="360" w:hanging="360"/>
      </w:pPr>
    </w:lvl>
  </w:abstractNum>
  <w:abstractNum w:abstractNumId="29">
    <w:nsid w:val="44121AA6"/>
    <w:multiLevelType w:val="multilevel"/>
    <w:tmpl w:val="44121AA6"/>
    <w:lvl w:ilvl="0" w:tentative="0">
      <w:start w:val="1"/>
      <w:numFmt w:val="decimal"/>
      <w:pStyle w:val="75"/>
      <w:lvlText w:val="(%1)"/>
      <w:lvlJc w:val="left"/>
      <w:pPr>
        <w:tabs>
          <w:tab w:val="left" w:pos="397"/>
        </w:tabs>
        <w:ind w:left="397" w:hanging="397"/>
      </w:pPr>
      <w:rPr>
        <w:rFonts w:hint="default" w:ascii="Arial" w:hAnsi="Arial" w:eastAsia="宋体"/>
        <w:b w:val="0"/>
        <w:i w:val="0"/>
        <w:color w:val="auto"/>
        <w:sz w:val="18"/>
        <w:szCs w:val="18"/>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0">
    <w:nsid w:val="4FA070D0"/>
    <w:multiLevelType w:val="multilevel"/>
    <w:tmpl w:val="4FA070D0"/>
    <w:lvl w:ilvl="0" w:tentative="0">
      <w:start w:val="1"/>
      <w:numFmt w:val="decimal"/>
      <w:pStyle w:val="98"/>
      <w:lvlText w:val="%1."/>
      <w:lvlJc w:val="left"/>
      <w:pPr>
        <w:tabs>
          <w:tab w:val="left" w:pos="720"/>
        </w:tabs>
        <w:ind w:left="72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1">
    <w:nsid w:val="51060BAB"/>
    <w:multiLevelType w:val="multilevel"/>
    <w:tmpl w:val="51060BAB"/>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56D64A03"/>
    <w:multiLevelType w:val="singleLevel"/>
    <w:tmpl w:val="56D64A03"/>
    <w:lvl w:ilvl="0" w:tentative="0">
      <w:start w:val="1"/>
      <w:numFmt w:val="decimal"/>
      <w:suff w:val="nothing"/>
      <w:lvlText w:val="%1、"/>
      <w:lvlJc w:val="left"/>
    </w:lvl>
  </w:abstractNum>
  <w:abstractNum w:abstractNumId="33">
    <w:nsid w:val="5F0932BB"/>
    <w:multiLevelType w:val="singleLevel"/>
    <w:tmpl w:val="5F0932BB"/>
    <w:lvl w:ilvl="0" w:tentative="0">
      <w:start w:val="1"/>
      <w:numFmt w:val="decimal"/>
      <w:suff w:val="nothing"/>
      <w:lvlText w:val="%1、"/>
      <w:lvlJc w:val="left"/>
      <w:pPr>
        <w:ind w:left="-425"/>
      </w:pPr>
    </w:lvl>
  </w:abstractNum>
  <w:abstractNum w:abstractNumId="34">
    <w:nsid w:val="5F0932DC"/>
    <w:multiLevelType w:val="singleLevel"/>
    <w:tmpl w:val="5F0932DC"/>
    <w:lvl w:ilvl="0" w:tentative="0">
      <w:start w:val="1"/>
      <w:numFmt w:val="decimal"/>
      <w:suff w:val="nothing"/>
      <w:lvlText w:val="%1、"/>
      <w:lvlJc w:val="left"/>
    </w:lvl>
  </w:abstractNum>
  <w:abstractNum w:abstractNumId="35">
    <w:nsid w:val="5F0933AD"/>
    <w:multiLevelType w:val="singleLevel"/>
    <w:tmpl w:val="5F0933AD"/>
    <w:lvl w:ilvl="0" w:tentative="0">
      <w:start w:val="1"/>
      <w:numFmt w:val="decimal"/>
      <w:suff w:val="nothing"/>
      <w:lvlText w:val="%1、"/>
      <w:lvlJc w:val="left"/>
    </w:lvl>
  </w:abstractNum>
  <w:abstractNum w:abstractNumId="36">
    <w:nsid w:val="5F0936FB"/>
    <w:multiLevelType w:val="singleLevel"/>
    <w:tmpl w:val="5F0936FB"/>
    <w:lvl w:ilvl="0" w:tentative="0">
      <w:start w:val="1"/>
      <w:numFmt w:val="decimal"/>
      <w:suff w:val="nothing"/>
      <w:lvlText w:val="%1、"/>
      <w:lvlJc w:val="left"/>
    </w:lvl>
  </w:abstractNum>
  <w:abstractNum w:abstractNumId="37">
    <w:nsid w:val="5F093E12"/>
    <w:multiLevelType w:val="singleLevel"/>
    <w:tmpl w:val="5F093E12"/>
    <w:lvl w:ilvl="0" w:tentative="0">
      <w:start w:val="1"/>
      <w:numFmt w:val="decimal"/>
      <w:suff w:val="nothing"/>
      <w:lvlText w:val="%1、"/>
      <w:lvlJc w:val="left"/>
    </w:lvl>
  </w:abstractNum>
  <w:abstractNum w:abstractNumId="38">
    <w:nsid w:val="5F0958E0"/>
    <w:multiLevelType w:val="singleLevel"/>
    <w:tmpl w:val="5F0958E0"/>
    <w:lvl w:ilvl="0" w:tentative="0">
      <w:start w:val="1"/>
      <w:numFmt w:val="decimal"/>
      <w:suff w:val="nothing"/>
      <w:lvlText w:val="%1、"/>
      <w:lvlJc w:val="left"/>
    </w:lvl>
  </w:abstractNum>
  <w:abstractNum w:abstractNumId="39">
    <w:nsid w:val="5F095986"/>
    <w:multiLevelType w:val="singleLevel"/>
    <w:tmpl w:val="5F095986"/>
    <w:lvl w:ilvl="0" w:tentative="0">
      <w:start w:val="1"/>
      <w:numFmt w:val="decimal"/>
      <w:suff w:val="nothing"/>
      <w:lvlText w:val="%1、"/>
      <w:lvlJc w:val="left"/>
    </w:lvl>
  </w:abstractNum>
  <w:abstractNum w:abstractNumId="40">
    <w:nsid w:val="5F095A85"/>
    <w:multiLevelType w:val="singleLevel"/>
    <w:tmpl w:val="5F095A85"/>
    <w:lvl w:ilvl="0" w:tentative="0">
      <w:start w:val="1"/>
      <w:numFmt w:val="decimal"/>
      <w:suff w:val="nothing"/>
      <w:lvlText w:val="%1、"/>
      <w:lvlJc w:val="left"/>
    </w:lvl>
  </w:abstractNum>
  <w:abstractNum w:abstractNumId="41">
    <w:nsid w:val="5F095B0B"/>
    <w:multiLevelType w:val="singleLevel"/>
    <w:tmpl w:val="5F095B0B"/>
    <w:lvl w:ilvl="0" w:tentative="0">
      <w:start w:val="1"/>
      <w:numFmt w:val="decimal"/>
      <w:suff w:val="nothing"/>
      <w:lvlText w:val="%1、"/>
      <w:lvlJc w:val="left"/>
    </w:lvl>
  </w:abstractNum>
  <w:abstractNum w:abstractNumId="42">
    <w:nsid w:val="5F097869"/>
    <w:multiLevelType w:val="singleLevel"/>
    <w:tmpl w:val="5F097869"/>
    <w:lvl w:ilvl="0" w:tentative="0">
      <w:start w:val="1"/>
      <w:numFmt w:val="decimal"/>
      <w:suff w:val="nothing"/>
      <w:lvlText w:val="%1、"/>
      <w:lvlJc w:val="left"/>
    </w:lvl>
  </w:abstractNum>
  <w:abstractNum w:abstractNumId="43">
    <w:nsid w:val="5F0978A2"/>
    <w:multiLevelType w:val="singleLevel"/>
    <w:tmpl w:val="5F0978A2"/>
    <w:lvl w:ilvl="0" w:tentative="0">
      <w:start w:val="1"/>
      <w:numFmt w:val="decimal"/>
      <w:suff w:val="nothing"/>
      <w:lvlText w:val="%1、"/>
      <w:lvlJc w:val="left"/>
    </w:lvl>
  </w:abstractNum>
  <w:abstractNum w:abstractNumId="44">
    <w:nsid w:val="61D27727"/>
    <w:multiLevelType w:val="multilevel"/>
    <w:tmpl w:val="61D2772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5">
    <w:nsid w:val="65F2322C"/>
    <w:multiLevelType w:val="multilevel"/>
    <w:tmpl w:val="65F2322C"/>
    <w:lvl w:ilvl="0" w:tentative="0">
      <w:start w:val="1"/>
      <w:numFmt w:val="decimal"/>
      <w:lvlText w:val="%1、"/>
      <w:lvlJc w:val="left"/>
      <w:pPr>
        <w:ind w:left="522" w:hanging="420"/>
      </w:pPr>
      <w:rPr>
        <w:rFonts w:hint="eastAsia"/>
      </w:rPr>
    </w:lvl>
    <w:lvl w:ilvl="1" w:tentative="0">
      <w:start w:val="1"/>
      <w:numFmt w:val="lowerLetter"/>
      <w:lvlText w:val="%2)"/>
      <w:lvlJc w:val="left"/>
      <w:pPr>
        <w:ind w:left="942" w:hanging="420"/>
      </w:pPr>
    </w:lvl>
    <w:lvl w:ilvl="2" w:tentative="0">
      <w:start w:val="1"/>
      <w:numFmt w:val="lowerRoman"/>
      <w:lvlText w:val="%3."/>
      <w:lvlJc w:val="right"/>
      <w:pPr>
        <w:ind w:left="1362" w:hanging="420"/>
      </w:pPr>
    </w:lvl>
    <w:lvl w:ilvl="3" w:tentative="0">
      <w:start w:val="1"/>
      <w:numFmt w:val="decimal"/>
      <w:lvlText w:val="%4."/>
      <w:lvlJc w:val="left"/>
      <w:pPr>
        <w:ind w:left="1782" w:hanging="420"/>
      </w:pPr>
    </w:lvl>
    <w:lvl w:ilvl="4" w:tentative="0">
      <w:start w:val="1"/>
      <w:numFmt w:val="lowerLetter"/>
      <w:lvlText w:val="%5)"/>
      <w:lvlJc w:val="left"/>
      <w:pPr>
        <w:ind w:left="2202" w:hanging="420"/>
      </w:pPr>
    </w:lvl>
    <w:lvl w:ilvl="5" w:tentative="0">
      <w:start w:val="1"/>
      <w:numFmt w:val="lowerRoman"/>
      <w:lvlText w:val="%6."/>
      <w:lvlJc w:val="right"/>
      <w:pPr>
        <w:ind w:left="2622" w:hanging="420"/>
      </w:pPr>
    </w:lvl>
    <w:lvl w:ilvl="6" w:tentative="0">
      <w:start w:val="1"/>
      <w:numFmt w:val="decimal"/>
      <w:lvlText w:val="%7."/>
      <w:lvlJc w:val="left"/>
      <w:pPr>
        <w:ind w:left="3042" w:hanging="420"/>
      </w:pPr>
    </w:lvl>
    <w:lvl w:ilvl="7" w:tentative="0">
      <w:start w:val="1"/>
      <w:numFmt w:val="lowerLetter"/>
      <w:lvlText w:val="%8)"/>
      <w:lvlJc w:val="left"/>
      <w:pPr>
        <w:ind w:left="3462" w:hanging="420"/>
      </w:pPr>
    </w:lvl>
    <w:lvl w:ilvl="8" w:tentative="0">
      <w:start w:val="1"/>
      <w:numFmt w:val="lowerRoman"/>
      <w:lvlText w:val="%9."/>
      <w:lvlJc w:val="right"/>
      <w:pPr>
        <w:ind w:left="3882" w:hanging="420"/>
      </w:pPr>
    </w:lvl>
  </w:abstractNum>
  <w:abstractNum w:abstractNumId="46">
    <w:nsid w:val="67101306"/>
    <w:multiLevelType w:val="multilevel"/>
    <w:tmpl w:val="67101306"/>
    <w:lvl w:ilvl="0" w:tentative="0">
      <w:start w:val="1"/>
      <w:numFmt w:val="decimal"/>
      <w:pStyle w:val="2"/>
      <w:lvlText w:val="%1"/>
      <w:lvlJc w:val="left"/>
      <w:pPr>
        <w:ind w:left="432" w:hanging="432"/>
      </w:pPr>
    </w:lvl>
    <w:lvl w:ilvl="1" w:tentative="0">
      <w:start w:val="1"/>
      <w:numFmt w:val="decimal"/>
      <w:pStyle w:val="3"/>
      <w:lvlText w:val="%1.%2"/>
      <w:lvlJc w:val="left"/>
      <w:pPr>
        <w:ind w:left="576" w:hanging="576"/>
      </w:pPr>
      <w:rPr>
        <w:rFonts w:ascii="宋体" w:hAnsi="宋体" w:eastAsia="宋体"/>
        <w:i w:val="0"/>
        <w:iCs w:val="0"/>
      </w:rPr>
    </w:lvl>
    <w:lvl w:ilvl="2" w:tentative="0">
      <w:start w:val="1"/>
      <w:numFmt w:val="decimal"/>
      <w:pStyle w:val="4"/>
      <w:lvlText w:val="%1.%2.%3"/>
      <w:lvlJc w:val="left"/>
      <w:pPr>
        <w:ind w:left="720" w:hanging="720"/>
      </w:pPr>
    </w:lvl>
    <w:lvl w:ilvl="3" w:tentative="0">
      <w:start w:val="1"/>
      <w:numFmt w:val="decimal"/>
      <w:pStyle w:val="5"/>
      <w:lvlText w:val="%1.%2.%3.%4"/>
      <w:lvlJc w:val="left"/>
      <w:pPr>
        <w:ind w:left="864" w:hanging="864"/>
      </w:pPr>
    </w:lvl>
    <w:lvl w:ilvl="4" w:tentative="0">
      <w:start w:val="1"/>
      <w:numFmt w:val="decimal"/>
      <w:pStyle w:val="6"/>
      <w:lvlText w:val="%1.%2.%3.%4.%5"/>
      <w:lvlJc w:val="left"/>
      <w:pPr>
        <w:ind w:left="1008" w:hanging="1008"/>
      </w:pPr>
    </w:lvl>
    <w:lvl w:ilvl="5" w:tentative="0">
      <w:start w:val="1"/>
      <w:numFmt w:val="decimal"/>
      <w:pStyle w:val="7"/>
      <w:lvlText w:val="%1.%2.%3.%4.%5.%6"/>
      <w:lvlJc w:val="left"/>
      <w:pPr>
        <w:ind w:left="1152" w:hanging="1152"/>
      </w:pPr>
    </w:lvl>
    <w:lvl w:ilvl="6" w:tentative="0">
      <w:start w:val="1"/>
      <w:numFmt w:val="decimal"/>
      <w:pStyle w:val="8"/>
      <w:lvlText w:val="%1.%2.%3.%4.%5.%6.%7"/>
      <w:lvlJc w:val="left"/>
      <w:pPr>
        <w:ind w:left="1296" w:hanging="1296"/>
      </w:pPr>
    </w:lvl>
    <w:lvl w:ilvl="7" w:tentative="0">
      <w:start w:val="1"/>
      <w:numFmt w:val="decimal"/>
      <w:pStyle w:val="9"/>
      <w:lvlText w:val="%1.%2.%3.%4.%5.%6.%7.%8"/>
      <w:lvlJc w:val="left"/>
      <w:pPr>
        <w:ind w:left="1440" w:hanging="1440"/>
      </w:pPr>
    </w:lvl>
    <w:lvl w:ilvl="8" w:tentative="0">
      <w:start w:val="1"/>
      <w:numFmt w:val="decimal"/>
      <w:pStyle w:val="10"/>
      <w:lvlText w:val="%1.%2.%3.%4.%5.%6.%7.%8.%9"/>
      <w:lvlJc w:val="left"/>
      <w:pPr>
        <w:ind w:left="1584" w:hanging="1584"/>
      </w:pPr>
    </w:lvl>
  </w:abstractNum>
  <w:abstractNum w:abstractNumId="47">
    <w:nsid w:val="6C074085"/>
    <w:multiLevelType w:val="singleLevel"/>
    <w:tmpl w:val="6C074085"/>
    <w:lvl w:ilvl="0" w:tentative="0">
      <w:start w:val="2"/>
      <w:numFmt w:val="decimal"/>
      <w:suff w:val="nothing"/>
      <w:lvlText w:val="（%1）"/>
      <w:lvlJc w:val="left"/>
    </w:lvl>
  </w:abstractNum>
  <w:abstractNum w:abstractNumId="48">
    <w:nsid w:val="7181269E"/>
    <w:multiLevelType w:val="singleLevel"/>
    <w:tmpl w:val="7181269E"/>
    <w:lvl w:ilvl="0" w:tentative="0">
      <w:start w:val="1"/>
      <w:numFmt w:val="decimal"/>
      <w:suff w:val="nothing"/>
      <w:lvlText w:val="%1、"/>
      <w:lvlJc w:val="left"/>
    </w:lvl>
  </w:abstractNum>
  <w:abstractNum w:abstractNumId="49">
    <w:nsid w:val="79614DE1"/>
    <w:multiLevelType w:val="multilevel"/>
    <w:tmpl w:val="79614DE1"/>
    <w:lvl w:ilvl="0" w:tentative="0">
      <w:start w:val="1"/>
      <w:numFmt w:val="decimal"/>
      <w:lvlText w:val="%1."/>
      <w:lvlJc w:val="left"/>
      <w:pPr>
        <w:ind w:left="845" w:hanging="420"/>
      </w:pPr>
      <w:rPr>
        <w:rFonts w:ascii="宋体" w:hAnsi="宋体" w:eastAsia="宋体"/>
      </w:r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50">
    <w:nsid w:val="7D394E4F"/>
    <w:multiLevelType w:val="multilevel"/>
    <w:tmpl w:val="7D394E4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6"/>
  </w:num>
  <w:num w:numId="2">
    <w:abstractNumId w:val="29"/>
  </w:num>
  <w:num w:numId="3">
    <w:abstractNumId w:val="30"/>
  </w:num>
  <w:num w:numId="4">
    <w:abstractNumId w:val="17"/>
  </w:num>
  <w:num w:numId="5">
    <w:abstractNumId w:val="27"/>
  </w:num>
  <w:num w:numId="6">
    <w:abstractNumId w:val="7"/>
  </w:num>
  <w:num w:numId="7">
    <w:abstractNumId w:val="0"/>
  </w:num>
  <w:num w:numId="8">
    <w:abstractNumId w:val="48"/>
  </w:num>
  <w:num w:numId="9">
    <w:abstractNumId w:val="5"/>
  </w:num>
  <w:num w:numId="10">
    <w:abstractNumId w:val="22"/>
  </w:num>
  <w:num w:numId="11">
    <w:abstractNumId w:val="4"/>
  </w:num>
  <w:num w:numId="12">
    <w:abstractNumId w:val="15"/>
  </w:num>
  <w:num w:numId="13">
    <w:abstractNumId w:val="23"/>
  </w:num>
  <w:num w:numId="14">
    <w:abstractNumId w:val="12"/>
  </w:num>
  <w:num w:numId="15">
    <w:abstractNumId w:val="32"/>
  </w:num>
  <w:num w:numId="16">
    <w:abstractNumId w:val="11"/>
  </w:num>
  <w:num w:numId="17">
    <w:abstractNumId w:val="8"/>
  </w:num>
  <w:num w:numId="18">
    <w:abstractNumId w:val="47"/>
  </w:num>
  <w:num w:numId="19">
    <w:abstractNumId w:val="3"/>
  </w:num>
  <w:num w:numId="20">
    <w:abstractNumId w:val="21"/>
  </w:num>
  <w:num w:numId="21">
    <w:abstractNumId w:val="34"/>
  </w:num>
  <w:num w:numId="22">
    <w:abstractNumId w:val="33"/>
  </w:num>
  <w:num w:numId="23">
    <w:abstractNumId w:val="35"/>
  </w:num>
  <w:num w:numId="24">
    <w:abstractNumId w:val="36"/>
  </w:num>
  <w:num w:numId="25">
    <w:abstractNumId w:val="2"/>
  </w:num>
  <w:num w:numId="26">
    <w:abstractNumId w:val="40"/>
  </w:num>
  <w:num w:numId="27">
    <w:abstractNumId w:val="37"/>
  </w:num>
  <w:num w:numId="28">
    <w:abstractNumId w:val="42"/>
  </w:num>
  <w:num w:numId="29">
    <w:abstractNumId w:val="43"/>
  </w:num>
  <w:num w:numId="30">
    <w:abstractNumId w:val="9"/>
  </w:num>
  <w:num w:numId="31">
    <w:abstractNumId w:val="14"/>
  </w:num>
  <w:num w:numId="32">
    <w:abstractNumId w:val="16"/>
  </w:num>
  <w:num w:numId="33">
    <w:abstractNumId w:val="38"/>
  </w:num>
  <w:num w:numId="34">
    <w:abstractNumId w:val="39"/>
  </w:num>
  <w:num w:numId="35">
    <w:abstractNumId w:val="41"/>
  </w:num>
  <w:num w:numId="36">
    <w:abstractNumId w:val="13"/>
  </w:num>
  <w:num w:numId="37">
    <w:abstractNumId w:val="1"/>
  </w:num>
  <w:num w:numId="38">
    <w:abstractNumId w:val="28"/>
  </w:num>
  <w:num w:numId="39">
    <w:abstractNumId w:val="19"/>
  </w:num>
  <w:num w:numId="40">
    <w:abstractNumId w:val="49"/>
  </w:num>
  <w:num w:numId="41">
    <w:abstractNumId w:val="25"/>
  </w:num>
  <w:num w:numId="42">
    <w:abstractNumId w:val="18"/>
  </w:num>
  <w:num w:numId="43">
    <w:abstractNumId w:val="45"/>
  </w:num>
  <w:num w:numId="44">
    <w:abstractNumId w:val="20"/>
  </w:num>
  <w:num w:numId="45">
    <w:abstractNumId w:val="44"/>
  </w:num>
  <w:num w:numId="46">
    <w:abstractNumId w:val="26"/>
  </w:num>
  <w:num w:numId="47">
    <w:abstractNumId w:val="50"/>
  </w:num>
  <w:num w:numId="48">
    <w:abstractNumId w:val="31"/>
  </w:num>
  <w:num w:numId="49">
    <w:abstractNumId w:val="6"/>
  </w:num>
  <w:num w:numId="50">
    <w:abstractNumId w:val="10"/>
  </w:num>
  <w:num w:numId="5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trackRevisions w:val="1"/>
  <w:documentProtection w:enforcement="0"/>
  <w:defaultTabStop w:val="0"/>
  <w:drawingGridHorizontalSpacing w:val="120"/>
  <w:drawingGridVerticalSpacing w:val="16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Y5ZjUzY2VhMDhkODI5ZjQzOTJiMTQ3ZjQyNjZlMTYifQ=="/>
  </w:docVars>
  <w:rsids>
    <w:rsidRoot w:val="005B33A0"/>
    <w:rsid w:val="00005A9D"/>
    <w:rsid w:val="00005B12"/>
    <w:rsid w:val="00006A53"/>
    <w:rsid w:val="000075CE"/>
    <w:rsid w:val="00010C62"/>
    <w:rsid w:val="000115D9"/>
    <w:rsid w:val="00012D1C"/>
    <w:rsid w:val="000157E1"/>
    <w:rsid w:val="000219E6"/>
    <w:rsid w:val="00021FD4"/>
    <w:rsid w:val="0002245A"/>
    <w:rsid w:val="00023F42"/>
    <w:rsid w:val="00027B02"/>
    <w:rsid w:val="00032054"/>
    <w:rsid w:val="00032A82"/>
    <w:rsid w:val="00040F63"/>
    <w:rsid w:val="00054571"/>
    <w:rsid w:val="00062ACA"/>
    <w:rsid w:val="000635CF"/>
    <w:rsid w:val="00067E89"/>
    <w:rsid w:val="00070556"/>
    <w:rsid w:val="00077600"/>
    <w:rsid w:val="00080F9F"/>
    <w:rsid w:val="00094393"/>
    <w:rsid w:val="00095CC3"/>
    <w:rsid w:val="000A2076"/>
    <w:rsid w:val="000A3289"/>
    <w:rsid w:val="000A4AF2"/>
    <w:rsid w:val="000A68EF"/>
    <w:rsid w:val="000A6F1D"/>
    <w:rsid w:val="000A7622"/>
    <w:rsid w:val="000B2FF3"/>
    <w:rsid w:val="000B6402"/>
    <w:rsid w:val="000B7B82"/>
    <w:rsid w:val="000C173C"/>
    <w:rsid w:val="000C35FF"/>
    <w:rsid w:val="000D1032"/>
    <w:rsid w:val="000D16DC"/>
    <w:rsid w:val="000D436B"/>
    <w:rsid w:val="000E0CC6"/>
    <w:rsid w:val="000E3B3C"/>
    <w:rsid w:val="000E5B22"/>
    <w:rsid w:val="00101358"/>
    <w:rsid w:val="001028A2"/>
    <w:rsid w:val="00103722"/>
    <w:rsid w:val="00103C9A"/>
    <w:rsid w:val="00104701"/>
    <w:rsid w:val="00105184"/>
    <w:rsid w:val="00107C09"/>
    <w:rsid w:val="0011220B"/>
    <w:rsid w:val="001127E8"/>
    <w:rsid w:val="00114D0B"/>
    <w:rsid w:val="00117CC7"/>
    <w:rsid w:val="00121FE8"/>
    <w:rsid w:val="00124DD3"/>
    <w:rsid w:val="001260E5"/>
    <w:rsid w:val="00126280"/>
    <w:rsid w:val="00127544"/>
    <w:rsid w:val="00127805"/>
    <w:rsid w:val="001347B2"/>
    <w:rsid w:val="00137556"/>
    <w:rsid w:val="00140644"/>
    <w:rsid w:val="00142321"/>
    <w:rsid w:val="00152E1E"/>
    <w:rsid w:val="001553EA"/>
    <w:rsid w:val="00156E4A"/>
    <w:rsid w:val="001611E8"/>
    <w:rsid w:val="00163BCA"/>
    <w:rsid w:val="001727F1"/>
    <w:rsid w:val="0017603E"/>
    <w:rsid w:val="0017787E"/>
    <w:rsid w:val="001848D6"/>
    <w:rsid w:val="00186DDF"/>
    <w:rsid w:val="00194A5A"/>
    <w:rsid w:val="0019673D"/>
    <w:rsid w:val="001A0469"/>
    <w:rsid w:val="001A141D"/>
    <w:rsid w:val="001A47D2"/>
    <w:rsid w:val="001A60E9"/>
    <w:rsid w:val="001B10EC"/>
    <w:rsid w:val="001B3184"/>
    <w:rsid w:val="001B37D5"/>
    <w:rsid w:val="001B421A"/>
    <w:rsid w:val="001C017C"/>
    <w:rsid w:val="001C07C9"/>
    <w:rsid w:val="001C38B1"/>
    <w:rsid w:val="001D2C4B"/>
    <w:rsid w:val="001D4206"/>
    <w:rsid w:val="001D421B"/>
    <w:rsid w:val="001D4A3C"/>
    <w:rsid w:val="001E70F1"/>
    <w:rsid w:val="001E764C"/>
    <w:rsid w:val="001F138D"/>
    <w:rsid w:val="001F21C6"/>
    <w:rsid w:val="001F3230"/>
    <w:rsid w:val="0020461E"/>
    <w:rsid w:val="00205533"/>
    <w:rsid w:val="00212A9A"/>
    <w:rsid w:val="00220221"/>
    <w:rsid w:val="00227ACC"/>
    <w:rsid w:val="002301F4"/>
    <w:rsid w:val="002314D7"/>
    <w:rsid w:val="00232A3A"/>
    <w:rsid w:val="00232F0F"/>
    <w:rsid w:val="00234839"/>
    <w:rsid w:val="0023663D"/>
    <w:rsid w:val="00237616"/>
    <w:rsid w:val="002435F8"/>
    <w:rsid w:val="00247FB3"/>
    <w:rsid w:val="0025062C"/>
    <w:rsid w:val="00257C7D"/>
    <w:rsid w:val="00260822"/>
    <w:rsid w:val="00261F58"/>
    <w:rsid w:val="002650E3"/>
    <w:rsid w:val="00265BFB"/>
    <w:rsid w:val="002663FF"/>
    <w:rsid w:val="00273134"/>
    <w:rsid w:val="002744AD"/>
    <w:rsid w:val="0028753E"/>
    <w:rsid w:val="00296B70"/>
    <w:rsid w:val="002A0605"/>
    <w:rsid w:val="002A26F3"/>
    <w:rsid w:val="002A484A"/>
    <w:rsid w:val="002A6B18"/>
    <w:rsid w:val="002A70E7"/>
    <w:rsid w:val="002B1530"/>
    <w:rsid w:val="002B43D8"/>
    <w:rsid w:val="002B7DA8"/>
    <w:rsid w:val="002B7ECC"/>
    <w:rsid w:val="002C0E44"/>
    <w:rsid w:val="002C6355"/>
    <w:rsid w:val="002C7700"/>
    <w:rsid w:val="002D05C7"/>
    <w:rsid w:val="002D13E1"/>
    <w:rsid w:val="002D2E0A"/>
    <w:rsid w:val="002D7015"/>
    <w:rsid w:val="002D7143"/>
    <w:rsid w:val="002F2946"/>
    <w:rsid w:val="002F362C"/>
    <w:rsid w:val="002F3BEF"/>
    <w:rsid w:val="0030692E"/>
    <w:rsid w:val="00307A80"/>
    <w:rsid w:val="0031229A"/>
    <w:rsid w:val="003124A1"/>
    <w:rsid w:val="00313210"/>
    <w:rsid w:val="0031440E"/>
    <w:rsid w:val="00322293"/>
    <w:rsid w:val="00325EC5"/>
    <w:rsid w:val="00325FEC"/>
    <w:rsid w:val="00330F46"/>
    <w:rsid w:val="00333041"/>
    <w:rsid w:val="00336904"/>
    <w:rsid w:val="003376A7"/>
    <w:rsid w:val="00342B5C"/>
    <w:rsid w:val="003456DB"/>
    <w:rsid w:val="00351F41"/>
    <w:rsid w:val="00354710"/>
    <w:rsid w:val="003574A7"/>
    <w:rsid w:val="0036765B"/>
    <w:rsid w:val="003713F9"/>
    <w:rsid w:val="00374AE9"/>
    <w:rsid w:val="00375AFB"/>
    <w:rsid w:val="00376AA3"/>
    <w:rsid w:val="00384C0A"/>
    <w:rsid w:val="00384F5A"/>
    <w:rsid w:val="00386EE4"/>
    <w:rsid w:val="00387BB7"/>
    <w:rsid w:val="00390CC1"/>
    <w:rsid w:val="00391B5D"/>
    <w:rsid w:val="00393845"/>
    <w:rsid w:val="00393915"/>
    <w:rsid w:val="00395B93"/>
    <w:rsid w:val="0039777F"/>
    <w:rsid w:val="003A6B11"/>
    <w:rsid w:val="003B11B3"/>
    <w:rsid w:val="003B1272"/>
    <w:rsid w:val="003B325A"/>
    <w:rsid w:val="003B7E0B"/>
    <w:rsid w:val="003C2FA4"/>
    <w:rsid w:val="003D0A05"/>
    <w:rsid w:val="003D2E08"/>
    <w:rsid w:val="003D3B9C"/>
    <w:rsid w:val="003D6E28"/>
    <w:rsid w:val="003E152D"/>
    <w:rsid w:val="003E2E35"/>
    <w:rsid w:val="003E6013"/>
    <w:rsid w:val="003F0271"/>
    <w:rsid w:val="003F27E6"/>
    <w:rsid w:val="003F4D28"/>
    <w:rsid w:val="003F7041"/>
    <w:rsid w:val="00401564"/>
    <w:rsid w:val="004023D5"/>
    <w:rsid w:val="00402778"/>
    <w:rsid w:val="004046DE"/>
    <w:rsid w:val="00404D19"/>
    <w:rsid w:val="00411ED5"/>
    <w:rsid w:val="00413A94"/>
    <w:rsid w:val="00417B26"/>
    <w:rsid w:val="00417CC3"/>
    <w:rsid w:val="00421DC0"/>
    <w:rsid w:val="00421F59"/>
    <w:rsid w:val="00424E4D"/>
    <w:rsid w:val="00425C7F"/>
    <w:rsid w:val="00425DDC"/>
    <w:rsid w:val="00427929"/>
    <w:rsid w:val="004306F4"/>
    <w:rsid w:val="00433013"/>
    <w:rsid w:val="00440D82"/>
    <w:rsid w:val="004424DD"/>
    <w:rsid w:val="00451B0B"/>
    <w:rsid w:val="0045696E"/>
    <w:rsid w:val="004620F4"/>
    <w:rsid w:val="004621CD"/>
    <w:rsid w:val="00466BE1"/>
    <w:rsid w:val="0046777A"/>
    <w:rsid w:val="00472477"/>
    <w:rsid w:val="00472E4E"/>
    <w:rsid w:val="00475D7E"/>
    <w:rsid w:val="004816F9"/>
    <w:rsid w:val="00483E7C"/>
    <w:rsid w:val="00495AC9"/>
    <w:rsid w:val="004A0B8A"/>
    <w:rsid w:val="004A4653"/>
    <w:rsid w:val="004A5875"/>
    <w:rsid w:val="004B01FF"/>
    <w:rsid w:val="004B1F06"/>
    <w:rsid w:val="004B22C2"/>
    <w:rsid w:val="004C38C3"/>
    <w:rsid w:val="004C40CA"/>
    <w:rsid w:val="004C4E32"/>
    <w:rsid w:val="004C75AB"/>
    <w:rsid w:val="004D0CB4"/>
    <w:rsid w:val="004D318A"/>
    <w:rsid w:val="004D4D3A"/>
    <w:rsid w:val="004D5F82"/>
    <w:rsid w:val="004D63EC"/>
    <w:rsid w:val="004D7BD2"/>
    <w:rsid w:val="004E250C"/>
    <w:rsid w:val="004F0DD9"/>
    <w:rsid w:val="004F132B"/>
    <w:rsid w:val="004F2F40"/>
    <w:rsid w:val="004F7646"/>
    <w:rsid w:val="004F7F7E"/>
    <w:rsid w:val="0050026E"/>
    <w:rsid w:val="0050240D"/>
    <w:rsid w:val="0050638A"/>
    <w:rsid w:val="00506AB1"/>
    <w:rsid w:val="00512BBE"/>
    <w:rsid w:val="005156D6"/>
    <w:rsid w:val="00515A4E"/>
    <w:rsid w:val="00517082"/>
    <w:rsid w:val="00517481"/>
    <w:rsid w:val="005250BC"/>
    <w:rsid w:val="00526731"/>
    <w:rsid w:val="0052781F"/>
    <w:rsid w:val="00531485"/>
    <w:rsid w:val="0053488C"/>
    <w:rsid w:val="00546C88"/>
    <w:rsid w:val="00554C38"/>
    <w:rsid w:val="00560146"/>
    <w:rsid w:val="00561F2D"/>
    <w:rsid w:val="005656C7"/>
    <w:rsid w:val="005729B3"/>
    <w:rsid w:val="00580745"/>
    <w:rsid w:val="00584B43"/>
    <w:rsid w:val="00587B17"/>
    <w:rsid w:val="00590579"/>
    <w:rsid w:val="005926BF"/>
    <w:rsid w:val="005977C8"/>
    <w:rsid w:val="005A13F5"/>
    <w:rsid w:val="005A432F"/>
    <w:rsid w:val="005B1181"/>
    <w:rsid w:val="005B33A0"/>
    <w:rsid w:val="005B433E"/>
    <w:rsid w:val="005B4714"/>
    <w:rsid w:val="005C0218"/>
    <w:rsid w:val="005C10AA"/>
    <w:rsid w:val="005C138F"/>
    <w:rsid w:val="005C50D3"/>
    <w:rsid w:val="005C5C8E"/>
    <w:rsid w:val="005C6E58"/>
    <w:rsid w:val="005D1718"/>
    <w:rsid w:val="005D3F32"/>
    <w:rsid w:val="005D4D4C"/>
    <w:rsid w:val="005D5F8B"/>
    <w:rsid w:val="005E2E72"/>
    <w:rsid w:val="005E7550"/>
    <w:rsid w:val="005F0086"/>
    <w:rsid w:val="005F23A1"/>
    <w:rsid w:val="005F303E"/>
    <w:rsid w:val="005F7E12"/>
    <w:rsid w:val="0060037D"/>
    <w:rsid w:val="00602C31"/>
    <w:rsid w:val="00603313"/>
    <w:rsid w:val="006111BC"/>
    <w:rsid w:val="00611DB9"/>
    <w:rsid w:val="00614CDB"/>
    <w:rsid w:val="00621ACA"/>
    <w:rsid w:val="00621F46"/>
    <w:rsid w:val="00623718"/>
    <w:rsid w:val="0062509B"/>
    <w:rsid w:val="00626B9B"/>
    <w:rsid w:val="006338A8"/>
    <w:rsid w:val="00634913"/>
    <w:rsid w:val="00636BBC"/>
    <w:rsid w:val="0064036A"/>
    <w:rsid w:val="00642D8E"/>
    <w:rsid w:val="00642E92"/>
    <w:rsid w:val="006502D8"/>
    <w:rsid w:val="00654026"/>
    <w:rsid w:val="0065405A"/>
    <w:rsid w:val="0065503D"/>
    <w:rsid w:val="00656B2D"/>
    <w:rsid w:val="00666C0D"/>
    <w:rsid w:val="00670B3E"/>
    <w:rsid w:val="00675749"/>
    <w:rsid w:val="006770FC"/>
    <w:rsid w:val="00684FA3"/>
    <w:rsid w:val="00686667"/>
    <w:rsid w:val="00686B7C"/>
    <w:rsid w:val="00690609"/>
    <w:rsid w:val="006A749C"/>
    <w:rsid w:val="006B2059"/>
    <w:rsid w:val="006B2FD5"/>
    <w:rsid w:val="006B7D09"/>
    <w:rsid w:val="006C3315"/>
    <w:rsid w:val="006D0082"/>
    <w:rsid w:val="006D437F"/>
    <w:rsid w:val="006E0AC2"/>
    <w:rsid w:val="006E0F12"/>
    <w:rsid w:val="006E485C"/>
    <w:rsid w:val="006F16A1"/>
    <w:rsid w:val="006F25C2"/>
    <w:rsid w:val="006F3B7E"/>
    <w:rsid w:val="006F7F5F"/>
    <w:rsid w:val="007055FE"/>
    <w:rsid w:val="0070758E"/>
    <w:rsid w:val="00707D3F"/>
    <w:rsid w:val="007174FB"/>
    <w:rsid w:val="00735B1D"/>
    <w:rsid w:val="00736FB5"/>
    <w:rsid w:val="007453A5"/>
    <w:rsid w:val="0075169C"/>
    <w:rsid w:val="00752181"/>
    <w:rsid w:val="00754603"/>
    <w:rsid w:val="0075707C"/>
    <w:rsid w:val="00763137"/>
    <w:rsid w:val="00766CA3"/>
    <w:rsid w:val="00767FDA"/>
    <w:rsid w:val="00775CB5"/>
    <w:rsid w:val="00782F7D"/>
    <w:rsid w:val="007906F2"/>
    <w:rsid w:val="00791032"/>
    <w:rsid w:val="00797789"/>
    <w:rsid w:val="007A175A"/>
    <w:rsid w:val="007A1D94"/>
    <w:rsid w:val="007A2B84"/>
    <w:rsid w:val="007A317A"/>
    <w:rsid w:val="007A3813"/>
    <w:rsid w:val="007A6CA4"/>
    <w:rsid w:val="007A728B"/>
    <w:rsid w:val="007A77C8"/>
    <w:rsid w:val="007C1F59"/>
    <w:rsid w:val="007C5478"/>
    <w:rsid w:val="007C6806"/>
    <w:rsid w:val="007D0B8F"/>
    <w:rsid w:val="007D359F"/>
    <w:rsid w:val="007E0FBF"/>
    <w:rsid w:val="007E1559"/>
    <w:rsid w:val="007E51D8"/>
    <w:rsid w:val="007E7E92"/>
    <w:rsid w:val="007F56B1"/>
    <w:rsid w:val="008048B0"/>
    <w:rsid w:val="00806B9C"/>
    <w:rsid w:val="008073DF"/>
    <w:rsid w:val="00807554"/>
    <w:rsid w:val="00811271"/>
    <w:rsid w:val="008147DE"/>
    <w:rsid w:val="00823A1E"/>
    <w:rsid w:val="00824A1D"/>
    <w:rsid w:val="00824E18"/>
    <w:rsid w:val="00826A3F"/>
    <w:rsid w:val="0084424B"/>
    <w:rsid w:val="00847E98"/>
    <w:rsid w:val="00850B06"/>
    <w:rsid w:val="00856B79"/>
    <w:rsid w:val="00857FDE"/>
    <w:rsid w:val="00863657"/>
    <w:rsid w:val="00866217"/>
    <w:rsid w:val="00866220"/>
    <w:rsid w:val="00870AAE"/>
    <w:rsid w:val="00871C84"/>
    <w:rsid w:val="00873512"/>
    <w:rsid w:val="00874479"/>
    <w:rsid w:val="00876E32"/>
    <w:rsid w:val="00884191"/>
    <w:rsid w:val="00896F42"/>
    <w:rsid w:val="00897372"/>
    <w:rsid w:val="008A2AD1"/>
    <w:rsid w:val="008A5C3E"/>
    <w:rsid w:val="008B0801"/>
    <w:rsid w:val="008B3891"/>
    <w:rsid w:val="008C2ABA"/>
    <w:rsid w:val="008C2EC4"/>
    <w:rsid w:val="008C6370"/>
    <w:rsid w:val="008C7895"/>
    <w:rsid w:val="008D3565"/>
    <w:rsid w:val="008D41B7"/>
    <w:rsid w:val="008D6766"/>
    <w:rsid w:val="008E2A91"/>
    <w:rsid w:val="008F019E"/>
    <w:rsid w:val="008F3C99"/>
    <w:rsid w:val="008F5B5D"/>
    <w:rsid w:val="008F68A8"/>
    <w:rsid w:val="00901C74"/>
    <w:rsid w:val="00904656"/>
    <w:rsid w:val="00904AD7"/>
    <w:rsid w:val="00904E60"/>
    <w:rsid w:val="00913F92"/>
    <w:rsid w:val="0091652D"/>
    <w:rsid w:val="00917369"/>
    <w:rsid w:val="00920A25"/>
    <w:rsid w:val="00926346"/>
    <w:rsid w:val="00927D2E"/>
    <w:rsid w:val="00943D1A"/>
    <w:rsid w:val="00944119"/>
    <w:rsid w:val="00944FB7"/>
    <w:rsid w:val="00945FFD"/>
    <w:rsid w:val="009531D0"/>
    <w:rsid w:val="00953FAE"/>
    <w:rsid w:val="009560B2"/>
    <w:rsid w:val="00956B4D"/>
    <w:rsid w:val="009649F2"/>
    <w:rsid w:val="009665E5"/>
    <w:rsid w:val="00967CE1"/>
    <w:rsid w:val="009740DD"/>
    <w:rsid w:val="00974A8E"/>
    <w:rsid w:val="00976B49"/>
    <w:rsid w:val="009858C0"/>
    <w:rsid w:val="00986412"/>
    <w:rsid w:val="009967A3"/>
    <w:rsid w:val="00996A15"/>
    <w:rsid w:val="009A1C52"/>
    <w:rsid w:val="009B0275"/>
    <w:rsid w:val="009B2DA1"/>
    <w:rsid w:val="009B6ECF"/>
    <w:rsid w:val="009C71EB"/>
    <w:rsid w:val="009D2965"/>
    <w:rsid w:val="009D2C84"/>
    <w:rsid w:val="009D3A2F"/>
    <w:rsid w:val="009D6D9E"/>
    <w:rsid w:val="009E230B"/>
    <w:rsid w:val="009E5107"/>
    <w:rsid w:val="009E7A1F"/>
    <w:rsid w:val="00A0046B"/>
    <w:rsid w:val="00A01825"/>
    <w:rsid w:val="00A01CA1"/>
    <w:rsid w:val="00A04F35"/>
    <w:rsid w:val="00A104AF"/>
    <w:rsid w:val="00A11BBA"/>
    <w:rsid w:val="00A16C80"/>
    <w:rsid w:val="00A30E4D"/>
    <w:rsid w:val="00A4200E"/>
    <w:rsid w:val="00A42914"/>
    <w:rsid w:val="00A42ED0"/>
    <w:rsid w:val="00A44E40"/>
    <w:rsid w:val="00A45230"/>
    <w:rsid w:val="00A50A2D"/>
    <w:rsid w:val="00A51654"/>
    <w:rsid w:val="00A62A6A"/>
    <w:rsid w:val="00A64A54"/>
    <w:rsid w:val="00A64CC8"/>
    <w:rsid w:val="00A72541"/>
    <w:rsid w:val="00A7263F"/>
    <w:rsid w:val="00A73214"/>
    <w:rsid w:val="00A813DA"/>
    <w:rsid w:val="00A81AB2"/>
    <w:rsid w:val="00A81F4F"/>
    <w:rsid w:val="00A870CF"/>
    <w:rsid w:val="00A9173A"/>
    <w:rsid w:val="00A93333"/>
    <w:rsid w:val="00A94E28"/>
    <w:rsid w:val="00A96475"/>
    <w:rsid w:val="00A97620"/>
    <w:rsid w:val="00AB2B9A"/>
    <w:rsid w:val="00AB6FCC"/>
    <w:rsid w:val="00AC088B"/>
    <w:rsid w:val="00AC7BB0"/>
    <w:rsid w:val="00AD0A2C"/>
    <w:rsid w:val="00AD37A1"/>
    <w:rsid w:val="00AD5E63"/>
    <w:rsid w:val="00AE1655"/>
    <w:rsid w:val="00AE196D"/>
    <w:rsid w:val="00AE1E0A"/>
    <w:rsid w:val="00AE1F22"/>
    <w:rsid w:val="00AE713E"/>
    <w:rsid w:val="00AF071E"/>
    <w:rsid w:val="00AF0D1B"/>
    <w:rsid w:val="00AF0DF2"/>
    <w:rsid w:val="00AF25CA"/>
    <w:rsid w:val="00AF35A9"/>
    <w:rsid w:val="00AF7B87"/>
    <w:rsid w:val="00B02D8B"/>
    <w:rsid w:val="00B02F13"/>
    <w:rsid w:val="00B03F26"/>
    <w:rsid w:val="00B072F4"/>
    <w:rsid w:val="00B075CD"/>
    <w:rsid w:val="00B233B1"/>
    <w:rsid w:val="00B24CD2"/>
    <w:rsid w:val="00B322FE"/>
    <w:rsid w:val="00B3785B"/>
    <w:rsid w:val="00B412E2"/>
    <w:rsid w:val="00B41CBF"/>
    <w:rsid w:val="00B45107"/>
    <w:rsid w:val="00B514AF"/>
    <w:rsid w:val="00B535B5"/>
    <w:rsid w:val="00B53BD0"/>
    <w:rsid w:val="00B55AB8"/>
    <w:rsid w:val="00B561B0"/>
    <w:rsid w:val="00B5627F"/>
    <w:rsid w:val="00B57B7E"/>
    <w:rsid w:val="00B61415"/>
    <w:rsid w:val="00B6223F"/>
    <w:rsid w:val="00B6486B"/>
    <w:rsid w:val="00B663C4"/>
    <w:rsid w:val="00B66C46"/>
    <w:rsid w:val="00B67624"/>
    <w:rsid w:val="00B81205"/>
    <w:rsid w:val="00B91B95"/>
    <w:rsid w:val="00B94D6B"/>
    <w:rsid w:val="00B973CF"/>
    <w:rsid w:val="00BA1F08"/>
    <w:rsid w:val="00BB1E60"/>
    <w:rsid w:val="00BB209C"/>
    <w:rsid w:val="00BB2ECE"/>
    <w:rsid w:val="00BB7777"/>
    <w:rsid w:val="00BC125D"/>
    <w:rsid w:val="00BC69B9"/>
    <w:rsid w:val="00BC7FF1"/>
    <w:rsid w:val="00BD2BD3"/>
    <w:rsid w:val="00BD3978"/>
    <w:rsid w:val="00BD40EA"/>
    <w:rsid w:val="00BD6402"/>
    <w:rsid w:val="00BE7732"/>
    <w:rsid w:val="00BF235F"/>
    <w:rsid w:val="00BF3EA3"/>
    <w:rsid w:val="00BF61FE"/>
    <w:rsid w:val="00BF7CFA"/>
    <w:rsid w:val="00C02F3B"/>
    <w:rsid w:val="00C07273"/>
    <w:rsid w:val="00C07549"/>
    <w:rsid w:val="00C115FB"/>
    <w:rsid w:val="00C11C25"/>
    <w:rsid w:val="00C237AE"/>
    <w:rsid w:val="00C242A1"/>
    <w:rsid w:val="00C26A86"/>
    <w:rsid w:val="00C26E16"/>
    <w:rsid w:val="00C306CE"/>
    <w:rsid w:val="00C3070A"/>
    <w:rsid w:val="00C316E3"/>
    <w:rsid w:val="00C32669"/>
    <w:rsid w:val="00C3430B"/>
    <w:rsid w:val="00C3758C"/>
    <w:rsid w:val="00C4152E"/>
    <w:rsid w:val="00C4393D"/>
    <w:rsid w:val="00C51BE2"/>
    <w:rsid w:val="00C52590"/>
    <w:rsid w:val="00C5589B"/>
    <w:rsid w:val="00C561E7"/>
    <w:rsid w:val="00C60FD9"/>
    <w:rsid w:val="00C613B3"/>
    <w:rsid w:val="00C62FE5"/>
    <w:rsid w:val="00C635F9"/>
    <w:rsid w:val="00C65C64"/>
    <w:rsid w:val="00C67F01"/>
    <w:rsid w:val="00C73B62"/>
    <w:rsid w:val="00C755E9"/>
    <w:rsid w:val="00C77AF1"/>
    <w:rsid w:val="00C80AFA"/>
    <w:rsid w:val="00C87102"/>
    <w:rsid w:val="00C9404A"/>
    <w:rsid w:val="00CA2E88"/>
    <w:rsid w:val="00CA778C"/>
    <w:rsid w:val="00CB11B5"/>
    <w:rsid w:val="00CB35D3"/>
    <w:rsid w:val="00CB3906"/>
    <w:rsid w:val="00CB69EC"/>
    <w:rsid w:val="00CC091F"/>
    <w:rsid w:val="00CC1DA1"/>
    <w:rsid w:val="00CC68E6"/>
    <w:rsid w:val="00CD0588"/>
    <w:rsid w:val="00CD1A62"/>
    <w:rsid w:val="00CD5CFB"/>
    <w:rsid w:val="00CD615B"/>
    <w:rsid w:val="00CE7706"/>
    <w:rsid w:val="00CF0290"/>
    <w:rsid w:val="00CF1DF7"/>
    <w:rsid w:val="00CF282B"/>
    <w:rsid w:val="00CF29CF"/>
    <w:rsid w:val="00CF3B37"/>
    <w:rsid w:val="00CF45E9"/>
    <w:rsid w:val="00D118C5"/>
    <w:rsid w:val="00D14E24"/>
    <w:rsid w:val="00D15692"/>
    <w:rsid w:val="00D31BD5"/>
    <w:rsid w:val="00D329EC"/>
    <w:rsid w:val="00D34F86"/>
    <w:rsid w:val="00D35E56"/>
    <w:rsid w:val="00D4421D"/>
    <w:rsid w:val="00D4435E"/>
    <w:rsid w:val="00D453D1"/>
    <w:rsid w:val="00D52F50"/>
    <w:rsid w:val="00D55C5B"/>
    <w:rsid w:val="00D60343"/>
    <w:rsid w:val="00D6609E"/>
    <w:rsid w:val="00D67547"/>
    <w:rsid w:val="00D70951"/>
    <w:rsid w:val="00D71885"/>
    <w:rsid w:val="00D815B8"/>
    <w:rsid w:val="00D82FA0"/>
    <w:rsid w:val="00D870ED"/>
    <w:rsid w:val="00D97CCF"/>
    <w:rsid w:val="00DA0735"/>
    <w:rsid w:val="00DA1C06"/>
    <w:rsid w:val="00DA6336"/>
    <w:rsid w:val="00DB70D6"/>
    <w:rsid w:val="00DC002C"/>
    <w:rsid w:val="00DD4DE5"/>
    <w:rsid w:val="00DD72FD"/>
    <w:rsid w:val="00DE58E5"/>
    <w:rsid w:val="00DF1048"/>
    <w:rsid w:val="00DF18CE"/>
    <w:rsid w:val="00DF262B"/>
    <w:rsid w:val="00DF3526"/>
    <w:rsid w:val="00DF43A0"/>
    <w:rsid w:val="00E025BB"/>
    <w:rsid w:val="00E058CE"/>
    <w:rsid w:val="00E05B5E"/>
    <w:rsid w:val="00E1088F"/>
    <w:rsid w:val="00E1558E"/>
    <w:rsid w:val="00E22F0D"/>
    <w:rsid w:val="00E25BDB"/>
    <w:rsid w:val="00E3034C"/>
    <w:rsid w:val="00E30D5E"/>
    <w:rsid w:val="00E32703"/>
    <w:rsid w:val="00E33646"/>
    <w:rsid w:val="00E34E9B"/>
    <w:rsid w:val="00E43551"/>
    <w:rsid w:val="00E44E4F"/>
    <w:rsid w:val="00E45F59"/>
    <w:rsid w:val="00E46242"/>
    <w:rsid w:val="00E47974"/>
    <w:rsid w:val="00E507EB"/>
    <w:rsid w:val="00E50B56"/>
    <w:rsid w:val="00E50D2B"/>
    <w:rsid w:val="00E602A2"/>
    <w:rsid w:val="00E6364F"/>
    <w:rsid w:val="00E70675"/>
    <w:rsid w:val="00E7456D"/>
    <w:rsid w:val="00E75CB4"/>
    <w:rsid w:val="00E84C1E"/>
    <w:rsid w:val="00E87A2A"/>
    <w:rsid w:val="00E92FDE"/>
    <w:rsid w:val="00E94757"/>
    <w:rsid w:val="00E97172"/>
    <w:rsid w:val="00EA0218"/>
    <w:rsid w:val="00EB22CF"/>
    <w:rsid w:val="00EB38C8"/>
    <w:rsid w:val="00EC3D1C"/>
    <w:rsid w:val="00ED6875"/>
    <w:rsid w:val="00EE62E3"/>
    <w:rsid w:val="00EF62F0"/>
    <w:rsid w:val="00F00CE5"/>
    <w:rsid w:val="00F05FDE"/>
    <w:rsid w:val="00F11529"/>
    <w:rsid w:val="00F12613"/>
    <w:rsid w:val="00F12FD5"/>
    <w:rsid w:val="00F202CF"/>
    <w:rsid w:val="00F24873"/>
    <w:rsid w:val="00F24AB0"/>
    <w:rsid w:val="00F24FAF"/>
    <w:rsid w:val="00F357F9"/>
    <w:rsid w:val="00F35CD8"/>
    <w:rsid w:val="00F41338"/>
    <w:rsid w:val="00F47E06"/>
    <w:rsid w:val="00F511C3"/>
    <w:rsid w:val="00F6056D"/>
    <w:rsid w:val="00F622B4"/>
    <w:rsid w:val="00F72A26"/>
    <w:rsid w:val="00F72BE2"/>
    <w:rsid w:val="00F735AA"/>
    <w:rsid w:val="00F74E49"/>
    <w:rsid w:val="00F7772B"/>
    <w:rsid w:val="00F85123"/>
    <w:rsid w:val="00F8720D"/>
    <w:rsid w:val="00F87926"/>
    <w:rsid w:val="00FA012C"/>
    <w:rsid w:val="00FA4A4D"/>
    <w:rsid w:val="00FA7450"/>
    <w:rsid w:val="00FB118D"/>
    <w:rsid w:val="00FB1B78"/>
    <w:rsid w:val="00FB2942"/>
    <w:rsid w:val="00FB29AD"/>
    <w:rsid w:val="00FB3C24"/>
    <w:rsid w:val="00FB58B6"/>
    <w:rsid w:val="00FB663E"/>
    <w:rsid w:val="00FC16FC"/>
    <w:rsid w:val="00FC21E7"/>
    <w:rsid w:val="00FC43D0"/>
    <w:rsid w:val="00FC5DC6"/>
    <w:rsid w:val="00FD2C82"/>
    <w:rsid w:val="00FD3819"/>
    <w:rsid w:val="00FE1655"/>
    <w:rsid w:val="00FE4080"/>
    <w:rsid w:val="00FE6A33"/>
    <w:rsid w:val="00FF5797"/>
    <w:rsid w:val="01331CF2"/>
    <w:rsid w:val="013627B1"/>
    <w:rsid w:val="013B2B96"/>
    <w:rsid w:val="013B4D07"/>
    <w:rsid w:val="01927246"/>
    <w:rsid w:val="01A324E9"/>
    <w:rsid w:val="01D408F4"/>
    <w:rsid w:val="01F01DC8"/>
    <w:rsid w:val="01F020EE"/>
    <w:rsid w:val="023F2212"/>
    <w:rsid w:val="02840270"/>
    <w:rsid w:val="03125B78"/>
    <w:rsid w:val="037333D2"/>
    <w:rsid w:val="043D09D3"/>
    <w:rsid w:val="0461789C"/>
    <w:rsid w:val="0495080F"/>
    <w:rsid w:val="04B225A5"/>
    <w:rsid w:val="051D33A9"/>
    <w:rsid w:val="05437EA9"/>
    <w:rsid w:val="05516CCE"/>
    <w:rsid w:val="058F1702"/>
    <w:rsid w:val="05A96FBC"/>
    <w:rsid w:val="062220DC"/>
    <w:rsid w:val="06366E11"/>
    <w:rsid w:val="064C4F19"/>
    <w:rsid w:val="06892C7D"/>
    <w:rsid w:val="06DD6E0E"/>
    <w:rsid w:val="071E49B8"/>
    <w:rsid w:val="072B7208"/>
    <w:rsid w:val="0732071C"/>
    <w:rsid w:val="073E1554"/>
    <w:rsid w:val="076D696C"/>
    <w:rsid w:val="077F3DE2"/>
    <w:rsid w:val="08970701"/>
    <w:rsid w:val="08FA0E0F"/>
    <w:rsid w:val="091B558A"/>
    <w:rsid w:val="095A3F88"/>
    <w:rsid w:val="09BC63D8"/>
    <w:rsid w:val="09E571AC"/>
    <w:rsid w:val="0A3474B2"/>
    <w:rsid w:val="0A56459C"/>
    <w:rsid w:val="0A690774"/>
    <w:rsid w:val="0A7B04A7"/>
    <w:rsid w:val="0A7D7D7B"/>
    <w:rsid w:val="0AA74DF8"/>
    <w:rsid w:val="0C305D19"/>
    <w:rsid w:val="0C580AA0"/>
    <w:rsid w:val="0CEB781F"/>
    <w:rsid w:val="0D176F04"/>
    <w:rsid w:val="0D673482"/>
    <w:rsid w:val="0E4E6B75"/>
    <w:rsid w:val="0E745939"/>
    <w:rsid w:val="0E7476E7"/>
    <w:rsid w:val="0EB21FBD"/>
    <w:rsid w:val="0ED463D8"/>
    <w:rsid w:val="0F266B32"/>
    <w:rsid w:val="0F743E3B"/>
    <w:rsid w:val="0F8B4CE8"/>
    <w:rsid w:val="0FEC49C9"/>
    <w:rsid w:val="105C6685"/>
    <w:rsid w:val="105E4BB0"/>
    <w:rsid w:val="106477BA"/>
    <w:rsid w:val="10EB25D1"/>
    <w:rsid w:val="10FB7C4C"/>
    <w:rsid w:val="11731ED8"/>
    <w:rsid w:val="11AC53EA"/>
    <w:rsid w:val="11AE5258"/>
    <w:rsid w:val="12266F4A"/>
    <w:rsid w:val="12316D96"/>
    <w:rsid w:val="125C0BBE"/>
    <w:rsid w:val="12933E81"/>
    <w:rsid w:val="13710085"/>
    <w:rsid w:val="1371577D"/>
    <w:rsid w:val="13FF3EF7"/>
    <w:rsid w:val="14E12169"/>
    <w:rsid w:val="1523526E"/>
    <w:rsid w:val="15D66ED9"/>
    <w:rsid w:val="16995FBA"/>
    <w:rsid w:val="1711243B"/>
    <w:rsid w:val="17223A0F"/>
    <w:rsid w:val="17615F65"/>
    <w:rsid w:val="178D5376"/>
    <w:rsid w:val="17A857FA"/>
    <w:rsid w:val="18025D64"/>
    <w:rsid w:val="18B90B18"/>
    <w:rsid w:val="190D2C12"/>
    <w:rsid w:val="19620A51"/>
    <w:rsid w:val="19856C4C"/>
    <w:rsid w:val="19BA322A"/>
    <w:rsid w:val="19E27BFB"/>
    <w:rsid w:val="1A552D92"/>
    <w:rsid w:val="1A7840BB"/>
    <w:rsid w:val="1AF35E37"/>
    <w:rsid w:val="1AFF7702"/>
    <w:rsid w:val="1B010DF0"/>
    <w:rsid w:val="1B073464"/>
    <w:rsid w:val="1B1D4250"/>
    <w:rsid w:val="1B440441"/>
    <w:rsid w:val="1B566F79"/>
    <w:rsid w:val="1B9413C8"/>
    <w:rsid w:val="1BE614F8"/>
    <w:rsid w:val="1C07499A"/>
    <w:rsid w:val="1C172D81"/>
    <w:rsid w:val="1C252ACD"/>
    <w:rsid w:val="1C625FE4"/>
    <w:rsid w:val="1CFC5477"/>
    <w:rsid w:val="1CFF2872"/>
    <w:rsid w:val="1D322646"/>
    <w:rsid w:val="1D6E17A5"/>
    <w:rsid w:val="1DC835AB"/>
    <w:rsid w:val="1E191166"/>
    <w:rsid w:val="1E2B647E"/>
    <w:rsid w:val="1E675D84"/>
    <w:rsid w:val="1E6A6411"/>
    <w:rsid w:val="1ECD7650"/>
    <w:rsid w:val="1EE521F5"/>
    <w:rsid w:val="1F122D30"/>
    <w:rsid w:val="1F6634A4"/>
    <w:rsid w:val="1F803E1C"/>
    <w:rsid w:val="1FD870CB"/>
    <w:rsid w:val="1FE44638"/>
    <w:rsid w:val="20280331"/>
    <w:rsid w:val="20364C60"/>
    <w:rsid w:val="204D01CF"/>
    <w:rsid w:val="205D622D"/>
    <w:rsid w:val="2072523F"/>
    <w:rsid w:val="20850611"/>
    <w:rsid w:val="209F6845"/>
    <w:rsid w:val="21050555"/>
    <w:rsid w:val="210E7F88"/>
    <w:rsid w:val="2110329F"/>
    <w:rsid w:val="21244F9D"/>
    <w:rsid w:val="215B36B2"/>
    <w:rsid w:val="216D6944"/>
    <w:rsid w:val="21A659B2"/>
    <w:rsid w:val="21B456F7"/>
    <w:rsid w:val="21DF0EC4"/>
    <w:rsid w:val="221C6E73"/>
    <w:rsid w:val="22460F43"/>
    <w:rsid w:val="2295740C"/>
    <w:rsid w:val="22AD22FB"/>
    <w:rsid w:val="235B5827"/>
    <w:rsid w:val="239401DD"/>
    <w:rsid w:val="24351FC6"/>
    <w:rsid w:val="24620BB8"/>
    <w:rsid w:val="24647F9C"/>
    <w:rsid w:val="24B35333"/>
    <w:rsid w:val="255D177D"/>
    <w:rsid w:val="25724E31"/>
    <w:rsid w:val="25DB44C1"/>
    <w:rsid w:val="26177A79"/>
    <w:rsid w:val="26E105D2"/>
    <w:rsid w:val="276B69D7"/>
    <w:rsid w:val="27A97FAA"/>
    <w:rsid w:val="283C0E1E"/>
    <w:rsid w:val="2864245A"/>
    <w:rsid w:val="28CF44EA"/>
    <w:rsid w:val="28D252DE"/>
    <w:rsid w:val="28E86B18"/>
    <w:rsid w:val="29916F47"/>
    <w:rsid w:val="29D30F50"/>
    <w:rsid w:val="2A040F0B"/>
    <w:rsid w:val="2A296C05"/>
    <w:rsid w:val="2A41096D"/>
    <w:rsid w:val="2A510D0B"/>
    <w:rsid w:val="2A716517"/>
    <w:rsid w:val="2A720B27"/>
    <w:rsid w:val="2AAA4765"/>
    <w:rsid w:val="2B8079AA"/>
    <w:rsid w:val="2BEA293F"/>
    <w:rsid w:val="2C201E9F"/>
    <w:rsid w:val="2C245E51"/>
    <w:rsid w:val="2C6426F1"/>
    <w:rsid w:val="2CB62130"/>
    <w:rsid w:val="2CBD4D9E"/>
    <w:rsid w:val="2D2B24A7"/>
    <w:rsid w:val="2E3D144C"/>
    <w:rsid w:val="2F381AC1"/>
    <w:rsid w:val="2F98296E"/>
    <w:rsid w:val="2FAD2601"/>
    <w:rsid w:val="2FB55C81"/>
    <w:rsid w:val="30291B42"/>
    <w:rsid w:val="30A3585C"/>
    <w:rsid w:val="31612DB9"/>
    <w:rsid w:val="316B2774"/>
    <w:rsid w:val="3199108F"/>
    <w:rsid w:val="31AA6DF8"/>
    <w:rsid w:val="31D500EA"/>
    <w:rsid w:val="32891103"/>
    <w:rsid w:val="32E97DF4"/>
    <w:rsid w:val="32F6606D"/>
    <w:rsid w:val="33200A88"/>
    <w:rsid w:val="33837581"/>
    <w:rsid w:val="3384671A"/>
    <w:rsid w:val="342D3D10"/>
    <w:rsid w:val="343614B1"/>
    <w:rsid w:val="34541BA9"/>
    <w:rsid w:val="34B55F89"/>
    <w:rsid w:val="34DF18A1"/>
    <w:rsid w:val="34ED7FBF"/>
    <w:rsid w:val="34FA3BF3"/>
    <w:rsid w:val="34FA64A9"/>
    <w:rsid w:val="3613758C"/>
    <w:rsid w:val="36325B4D"/>
    <w:rsid w:val="36BF4607"/>
    <w:rsid w:val="36C95F72"/>
    <w:rsid w:val="373F6235"/>
    <w:rsid w:val="373F7FE3"/>
    <w:rsid w:val="376E20F1"/>
    <w:rsid w:val="37AC1A0F"/>
    <w:rsid w:val="37CA21FC"/>
    <w:rsid w:val="37EB7CF5"/>
    <w:rsid w:val="38305B7D"/>
    <w:rsid w:val="386B5E36"/>
    <w:rsid w:val="38CA0CFA"/>
    <w:rsid w:val="38D40BFF"/>
    <w:rsid w:val="38D77F11"/>
    <w:rsid w:val="39050A84"/>
    <w:rsid w:val="39BD34C1"/>
    <w:rsid w:val="3A164A66"/>
    <w:rsid w:val="3A4A561C"/>
    <w:rsid w:val="3A976388"/>
    <w:rsid w:val="3B5E4783"/>
    <w:rsid w:val="3B721F59"/>
    <w:rsid w:val="3BB224BC"/>
    <w:rsid w:val="3BBA2E14"/>
    <w:rsid w:val="3BE715F3"/>
    <w:rsid w:val="3C1020AE"/>
    <w:rsid w:val="3CCA034E"/>
    <w:rsid w:val="3D22228B"/>
    <w:rsid w:val="3D8A3F82"/>
    <w:rsid w:val="3D9828BA"/>
    <w:rsid w:val="3DBA03C3"/>
    <w:rsid w:val="3DE23DBE"/>
    <w:rsid w:val="3E444102"/>
    <w:rsid w:val="3E52684D"/>
    <w:rsid w:val="3E677B5C"/>
    <w:rsid w:val="3EB55FC8"/>
    <w:rsid w:val="3EC768F4"/>
    <w:rsid w:val="3EEA07FE"/>
    <w:rsid w:val="3EEA1E99"/>
    <w:rsid w:val="3F327EC0"/>
    <w:rsid w:val="3F6E5586"/>
    <w:rsid w:val="3F874C1D"/>
    <w:rsid w:val="3F8769CB"/>
    <w:rsid w:val="3F9164CE"/>
    <w:rsid w:val="3FB56C38"/>
    <w:rsid w:val="3FB85199"/>
    <w:rsid w:val="3FE47979"/>
    <w:rsid w:val="405D05EC"/>
    <w:rsid w:val="40621819"/>
    <w:rsid w:val="40AE7F87"/>
    <w:rsid w:val="41393CF5"/>
    <w:rsid w:val="41955799"/>
    <w:rsid w:val="41AC2719"/>
    <w:rsid w:val="41E879D2"/>
    <w:rsid w:val="42155F65"/>
    <w:rsid w:val="423F438F"/>
    <w:rsid w:val="42466FD3"/>
    <w:rsid w:val="428E0070"/>
    <w:rsid w:val="42AE0712"/>
    <w:rsid w:val="42C27D1A"/>
    <w:rsid w:val="4318028C"/>
    <w:rsid w:val="435117C9"/>
    <w:rsid w:val="43C24475"/>
    <w:rsid w:val="449776B0"/>
    <w:rsid w:val="44A57709"/>
    <w:rsid w:val="45BA249B"/>
    <w:rsid w:val="467001B9"/>
    <w:rsid w:val="46A2058E"/>
    <w:rsid w:val="46FB567B"/>
    <w:rsid w:val="474433F3"/>
    <w:rsid w:val="479779C7"/>
    <w:rsid w:val="47AD7F28"/>
    <w:rsid w:val="47B24801"/>
    <w:rsid w:val="47FE35A2"/>
    <w:rsid w:val="48152FCE"/>
    <w:rsid w:val="48360F8E"/>
    <w:rsid w:val="48656A61"/>
    <w:rsid w:val="489E35F8"/>
    <w:rsid w:val="48ED3DB9"/>
    <w:rsid w:val="493D02A2"/>
    <w:rsid w:val="49D62A28"/>
    <w:rsid w:val="4A1C7192"/>
    <w:rsid w:val="4A54394D"/>
    <w:rsid w:val="4A54747B"/>
    <w:rsid w:val="4A5527FB"/>
    <w:rsid w:val="4A89603A"/>
    <w:rsid w:val="4A9E55C9"/>
    <w:rsid w:val="4AC8093D"/>
    <w:rsid w:val="4AD935DF"/>
    <w:rsid w:val="4B865D88"/>
    <w:rsid w:val="4BB52B12"/>
    <w:rsid w:val="4C6644FE"/>
    <w:rsid w:val="4C8A18A8"/>
    <w:rsid w:val="4C915193"/>
    <w:rsid w:val="4CE92A73"/>
    <w:rsid w:val="4CFB6302"/>
    <w:rsid w:val="4D227280"/>
    <w:rsid w:val="4D440BF3"/>
    <w:rsid w:val="4DA34F8D"/>
    <w:rsid w:val="4DB672E1"/>
    <w:rsid w:val="4DFC0584"/>
    <w:rsid w:val="4E414622"/>
    <w:rsid w:val="4E5054FE"/>
    <w:rsid w:val="4E5F1DAE"/>
    <w:rsid w:val="4E9B1A9B"/>
    <w:rsid w:val="4EA85AF8"/>
    <w:rsid w:val="4F0264A7"/>
    <w:rsid w:val="4F6E10A9"/>
    <w:rsid w:val="4F756840"/>
    <w:rsid w:val="4F895929"/>
    <w:rsid w:val="507941C5"/>
    <w:rsid w:val="509D7F43"/>
    <w:rsid w:val="50A373DC"/>
    <w:rsid w:val="51E95D79"/>
    <w:rsid w:val="523429E2"/>
    <w:rsid w:val="52BF6524"/>
    <w:rsid w:val="53033AEF"/>
    <w:rsid w:val="5358625C"/>
    <w:rsid w:val="5369228D"/>
    <w:rsid w:val="5371731E"/>
    <w:rsid w:val="53B8319F"/>
    <w:rsid w:val="53E75832"/>
    <w:rsid w:val="54081F7F"/>
    <w:rsid w:val="54E0475B"/>
    <w:rsid w:val="54F3231A"/>
    <w:rsid w:val="55000C8A"/>
    <w:rsid w:val="55366B43"/>
    <w:rsid w:val="55432336"/>
    <w:rsid w:val="56114DE8"/>
    <w:rsid w:val="562403AC"/>
    <w:rsid w:val="56384123"/>
    <w:rsid w:val="568B1FB7"/>
    <w:rsid w:val="57256D9D"/>
    <w:rsid w:val="573615AE"/>
    <w:rsid w:val="57D936E4"/>
    <w:rsid w:val="58066460"/>
    <w:rsid w:val="58DE7204"/>
    <w:rsid w:val="58E16CF4"/>
    <w:rsid w:val="59084474"/>
    <w:rsid w:val="592B7F6F"/>
    <w:rsid w:val="594545AB"/>
    <w:rsid w:val="59D703B5"/>
    <w:rsid w:val="5A5A0E47"/>
    <w:rsid w:val="5AC962FF"/>
    <w:rsid w:val="5B713CA4"/>
    <w:rsid w:val="5C4A3558"/>
    <w:rsid w:val="5C6B3787"/>
    <w:rsid w:val="5CF7587D"/>
    <w:rsid w:val="5D327B1E"/>
    <w:rsid w:val="5D7A500B"/>
    <w:rsid w:val="5DC015CE"/>
    <w:rsid w:val="5E517A4F"/>
    <w:rsid w:val="5E56783C"/>
    <w:rsid w:val="5F2913F5"/>
    <w:rsid w:val="60002155"/>
    <w:rsid w:val="6025484D"/>
    <w:rsid w:val="602D6CC3"/>
    <w:rsid w:val="60477D84"/>
    <w:rsid w:val="60A22F98"/>
    <w:rsid w:val="61273712"/>
    <w:rsid w:val="613A6544"/>
    <w:rsid w:val="6141148D"/>
    <w:rsid w:val="616C473C"/>
    <w:rsid w:val="61A11716"/>
    <w:rsid w:val="61B83929"/>
    <w:rsid w:val="623D6CC3"/>
    <w:rsid w:val="62485DF4"/>
    <w:rsid w:val="62CD2097"/>
    <w:rsid w:val="6303460D"/>
    <w:rsid w:val="631B2E02"/>
    <w:rsid w:val="63392BA9"/>
    <w:rsid w:val="63BD3923"/>
    <w:rsid w:val="63C60FC0"/>
    <w:rsid w:val="63C93985"/>
    <w:rsid w:val="63D1608A"/>
    <w:rsid w:val="63E47698"/>
    <w:rsid w:val="644A511E"/>
    <w:rsid w:val="64CC6F37"/>
    <w:rsid w:val="65766A16"/>
    <w:rsid w:val="658B79A7"/>
    <w:rsid w:val="65A43583"/>
    <w:rsid w:val="65AB2B63"/>
    <w:rsid w:val="65F30067"/>
    <w:rsid w:val="6646463A"/>
    <w:rsid w:val="67065B78"/>
    <w:rsid w:val="675632A4"/>
    <w:rsid w:val="676C6322"/>
    <w:rsid w:val="68A11FFC"/>
    <w:rsid w:val="68C654A3"/>
    <w:rsid w:val="697A6F98"/>
    <w:rsid w:val="69901F95"/>
    <w:rsid w:val="69A73642"/>
    <w:rsid w:val="69CE6E20"/>
    <w:rsid w:val="6A286E2F"/>
    <w:rsid w:val="6AF26E82"/>
    <w:rsid w:val="6B32518D"/>
    <w:rsid w:val="6B826114"/>
    <w:rsid w:val="6B980FF3"/>
    <w:rsid w:val="6BA9444F"/>
    <w:rsid w:val="6BD72BFA"/>
    <w:rsid w:val="6C496C32"/>
    <w:rsid w:val="6C9062E3"/>
    <w:rsid w:val="6CBA50AD"/>
    <w:rsid w:val="6CBF2BC7"/>
    <w:rsid w:val="6CDE3DB2"/>
    <w:rsid w:val="6CF7043C"/>
    <w:rsid w:val="6D056FFD"/>
    <w:rsid w:val="6D2A25C0"/>
    <w:rsid w:val="6D5D2C67"/>
    <w:rsid w:val="6DB14CF3"/>
    <w:rsid w:val="6E1868BC"/>
    <w:rsid w:val="6E5F7787"/>
    <w:rsid w:val="6E7837FF"/>
    <w:rsid w:val="6F0E4B35"/>
    <w:rsid w:val="6F9A4E76"/>
    <w:rsid w:val="6FE86762"/>
    <w:rsid w:val="70671D7D"/>
    <w:rsid w:val="710B6BAC"/>
    <w:rsid w:val="71222F39"/>
    <w:rsid w:val="712B4B58"/>
    <w:rsid w:val="71DF74B5"/>
    <w:rsid w:val="71ED3E43"/>
    <w:rsid w:val="71FE4EDF"/>
    <w:rsid w:val="722A12B4"/>
    <w:rsid w:val="72457E9C"/>
    <w:rsid w:val="725974A3"/>
    <w:rsid w:val="72D57472"/>
    <w:rsid w:val="72F85FEB"/>
    <w:rsid w:val="73247AB1"/>
    <w:rsid w:val="73917324"/>
    <w:rsid w:val="742F4960"/>
    <w:rsid w:val="76194CAE"/>
    <w:rsid w:val="76254DF7"/>
    <w:rsid w:val="76622145"/>
    <w:rsid w:val="76693251"/>
    <w:rsid w:val="76B44B63"/>
    <w:rsid w:val="77012EBA"/>
    <w:rsid w:val="77356731"/>
    <w:rsid w:val="77674410"/>
    <w:rsid w:val="778A3829"/>
    <w:rsid w:val="77D20B5C"/>
    <w:rsid w:val="78364649"/>
    <w:rsid w:val="784604CA"/>
    <w:rsid w:val="784D2F1F"/>
    <w:rsid w:val="78BD69DE"/>
    <w:rsid w:val="78E75809"/>
    <w:rsid w:val="797B2ADD"/>
    <w:rsid w:val="797C4388"/>
    <w:rsid w:val="79D10397"/>
    <w:rsid w:val="7A015161"/>
    <w:rsid w:val="7A7A72AE"/>
    <w:rsid w:val="7AB21E46"/>
    <w:rsid w:val="7B1448AF"/>
    <w:rsid w:val="7B1F2074"/>
    <w:rsid w:val="7B2C74BB"/>
    <w:rsid w:val="7BBA0FB3"/>
    <w:rsid w:val="7BCE2CB0"/>
    <w:rsid w:val="7C350F81"/>
    <w:rsid w:val="7C885555"/>
    <w:rsid w:val="7C975891"/>
    <w:rsid w:val="7CC65D0E"/>
    <w:rsid w:val="7D337AEC"/>
    <w:rsid w:val="7D351D0A"/>
    <w:rsid w:val="7D962882"/>
    <w:rsid w:val="7DB61057"/>
    <w:rsid w:val="7E7318ED"/>
    <w:rsid w:val="7E7B3027"/>
    <w:rsid w:val="7E9D3FBA"/>
    <w:rsid w:val="7EBD2830"/>
    <w:rsid w:val="7F0D7F93"/>
    <w:rsid w:val="7F160BF6"/>
    <w:rsid w:val="7F402117"/>
    <w:rsid w:val="7F423A31"/>
    <w:rsid w:val="7FAF7F12"/>
    <w:rsid w:val="7FBF4DD2"/>
    <w:rsid w:val="7FD90FD9"/>
    <w:rsid w:val="7FFF4E1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nhideWhenUsed="0" w:uiPriority="0" w:semiHidden="0" w:name="caption"/>
    <w:lsdException w:uiPriority="0" w:name="table of figures"/>
    <w:lsdException w:uiPriority="99" w:name="envelope address"/>
    <w:lsdException w:uiPriority="99" w:name="envelope return"/>
    <w:lsdException w:qFormat="1" w:unhideWhenUsed="0" w:uiPriority="0" w:semiHidden="0" w:name="footnote reference"/>
    <w:lsdException w:qFormat="1" w:uiPriority="99" w:semiHidden="0" w:name="annotation reference"/>
    <w:lsdException w:uiPriority="99" w:name="line number"/>
    <w:lsdException w:qFormat="1" w:unhideWhenUsed="0" w:uiPriority="0" w:semiHidden="0" w:name="page number"/>
    <w:lsdException w:uiPriority="0" w:name="endnote reference"/>
    <w:lsdException w:uiPriority="0" w:name="endnote text"/>
    <w:lsdException w:qFormat="1" w:unhideWhenUsed="0" w:uiPriority="0" w:semiHidden="0" w:name="table of authorities"/>
    <w:lsdException w:uiPriority="99" w:name="macro"/>
    <w:lsdException w:uiPriority="99" w:name="toa heading"/>
    <w:lsdException w:uiPriority="0" w:name="List"/>
    <w:lsdException w:uiPriority="0" w:name="List Bullet"/>
    <w:lsdException w:uiPriority="0" w:name="List Number"/>
    <w:lsdException w:uiPriority="99" w:name="List 2"/>
    <w:lsdException w:uiPriority="0" w:name="List 3"/>
    <w:lsdException w:uiPriority="99" w:name="List 4"/>
    <w:lsdException w:uiPriority="99" w:name="List 5"/>
    <w:lsdException w:uiPriority="0" w:name="List Bullet 2"/>
    <w:lsdException w:uiPriority="0" w:name="List Bullet 3"/>
    <w:lsdException w:uiPriority="99" w:name="List Bullet 4"/>
    <w:lsdException w:uiPriority="99" w:name="List Bullet 5"/>
    <w:lsdException w:uiPriority="0" w:name="List Number 2"/>
    <w:lsdException w:uiPriority="0" w:name="List Number 3"/>
    <w:lsdException w:uiPriority="99" w:name="List Number 4"/>
    <w:lsdException w:uiPriority="0"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0" w:name="Salutation"/>
    <w:lsdException w:qFormat="1" w:unhideWhenUsed="0" w:uiPriority="99"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uiPriority="0"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99" w:name="Document Map"/>
    <w:lsdException w:qFormat="1" w:unhideWhenUsed="0"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sz w:val="24"/>
      <w:szCs w:val="24"/>
      <w:lang w:val="en-US" w:eastAsia="zh-CN" w:bidi="ar-SA"/>
    </w:rPr>
  </w:style>
  <w:style w:type="paragraph" w:styleId="2">
    <w:name w:val="heading 1"/>
    <w:basedOn w:val="1"/>
    <w:next w:val="1"/>
    <w:link w:val="55"/>
    <w:qFormat/>
    <w:uiPriority w:val="9"/>
    <w:pPr>
      <w:keepNext/>
      <w:numPr>
        <w:ilvl w:val="0"/>
        <w:numId w:val="1"/>
      </w:numPr>
      <w:spacing w:before="240" w:after="60"/>
      <w:outlineLvl w:val="0"/>
    </w:pPr>
    <w:rPr>
      <w:rFonts w:cs="Times New Roman" w:asciiTheme="majorHAnsi" w:hAnsiTheme="majorHAnsi" w:eastAsiaTheme="majorEastAsia"/>
      <w:b/>
      <w:bCs/>
      <w:kern w:val="32"/>
      <w:sz w:val="32"/>
      <w:szCs w:val="32"/>
    </w:rPr>
  </w:style>
  <w:style w:type="paragraph" w:styleId="3">
    <w:name w:val="heading 2"/>
    <w:basedOn w:val="1"/>
    <w:next w:val="1"/>
    <w:link w:val="56"/>
    <w:autoRedefine/>
    <w:unhideWhenUsed/>
    <w:qFormat/>
    <w:uiPriority w:val="9"/>
    <w:pPr>
      <w:keepNext/>
      <w:numPr>
        <w:ilvl w:val="1"/>
        <w:numId w:val="1"/>
      </w:numPr>
      <w:spacing w:before="240" w:after="60"/>
      <w:outlineLvl w:val="1"/>
    </w:pPr>
    <w:rPr>
      <w:rFonts w:cs="Times New Roman" w:asciiTheme="majorHAnsi" w:hAnsiTheme="majorHAnsi" w:eastAsiaTheme="majorEastAsia"/>
      <w:b/>
      <w:bCs/>
      <w:iCs/>
      <w:sz w:val="28"/>
      <w:szCs w:val="28"/>
    </w:rPr>
  </w:style>
  <w:style w:type="paragraph" w:styleId="4">
    <w:name w:val="heading 3"/>
    <w:basedOn w:val="1"/>
    <w:next w:val="1"/>
    <w:link w:val="57"/>
    <w:autoRedefine/>
    <w:unhideWhenUsed/>
    <w:qFormat/>
    <w:uiPriority w:val="9"/>
    <w:pPr>
      <w:keepNext/>
      <w:numPr>
        <w:ilvl w:val="2"/>
        <w:numId w:val="1"/>
      </w:numPr>
      <w:spacing w:before="240" w:after="60"/>
      <w:outlineLvl w:val="2"/>
    </w:pPr>
    <w:rPr>
      <w:rFonts w:cs="Times New Roman" w:asciiTheme="majorHAnsi" w:hAnsiTheme="majorHAnsi" w:eastAsiaTheme="majorEastAsia"/>
      <w:b/>
      <w:bCs/>
      <w:sz w:val="26"/>
      <w:szCs w:val="26"/>
    </w:rPr>
  </w:style>
  <w:style w:type="paragraph" w:styleId="5">
    <w:name w:val="heading 4"/>
    <w:basedOn w:val="1"/>
    <w:next w:val="1"/>
    <w:link w:val="58"/>
    <w:autoRedefine/>
    <w:unhideWhenUsed/>
    <w:qFormat/>
    <w:uiPriority w:val="9"/>
    <w:pPr>
      <w:keepNext/>
      <w:numPr>
        <w:ilvl w:val="3"/>
        <w:numId w:val="1"/>
      </w:numPr>
      <w:spacing w:before="240" w:after="60"/>
      <w:outlineLvl w:val="3"/>
    </w:pPr>
    <w:rPr>
      <w:rFonts w:cs="Times New Roman"/>
      <w:b/>
      <w:bCs/>
      <w:sz w:val="28"/>
      <w:szCs w:val="28"/>
    </w:rPr>
  </w:style>
  <w:style w:type="paragraph" w:styleId="6">
    <w:name w:val="heading 5"/>
    <w:basedOn w:val="1"/>
    <w:next w:val="1"/>
    <w:link w:val="59"/>
    <w:autoRedefine/>
    <w:unhideWhenUsed/>
    <w:qFormat/>
    <w:uiPriority w:val="0"/>
    <w:pPr>
      <w:numPr>
        <w:ilvl w:val="4"/>
        <w:numId w:val="1"/>
      </w:numPr>
      <w:spacing w:before="240" w:after="60"/>
      <w:outlineLvl w:val="4"/>
    </w:pPr>
    <w:rPr>
      <w:rFonts w:cs="Times New Roman"/>
      <w:b/>
      <w:bCs/>
      <w:i/>
      <w:iCs/>
      <w:sz w:val="26"/>
      <w:szCs w:val="26"/>
    </w:rPr>
  </w:style>
  <w:style w:type="paragraph" w:styleId="7">
    <w:name w:val="heading 6"/>
    <w:basedOn w:val="1"/>
    <w:next w:val="1"/>
    <w:link w:val="60"/>
    <w:autoRedefine/>
    <w:unhideWhenUsed/>
    <w:qFormat/>
    <w:uiPriority w:val="0"/>
    <w:pPr>
      <w:numPr>
        <w:ilvl w:val="5"/>
        <w:numId w:val="1"/>
      </w:numPr>
      <w:spacing w:before="240" w:after="60"/>
      <w:outlineLvl w:val="5"/>
    </w:pPr>
    <w:rPr>
      <w:rFonts w:cs="Times New Roman"/>
      <w:b/>
      <w:bCs/>
      <w:sz w:val="22"/>
      <w:szCs w:val="22"/>
    </w:rPr>
  </w:style>
  <w:style w:type="paragraph" w:styleId="8">
    <w:name w:val="heading 7"/>
    <w:basedOn w:val="1"/>
    <w:next w:val="1"/>
    <w:link w:val="61"/>
    <w:autoRedefine/>
    <w:unhideWhenUsed/>
    <w:qFormat/>
    <w:uiPriority w:val="0"/>
    <w:pPr>
      <w:numPr>
        <w:ilvl w:val="6"/>
        <w:numId w:val="1"/>
      </w:numPr>
      <w:spacing w:before="240" w:after="60"/>
      <w:outlineLvl w:val="6"/>
    </w:pPr>
    <w:rPr>
      <w:rFonts w:cs="Times New Roman"/>
    </w:rPr>
  </w:style>
  <w:style w:type="paragraph" w:styleId="9">
    <w:name w:val="heading 8"/>
    <w:basedOn w:val="1"/>
    <w:next w:val="1"/>
    <w:link w:val="62"/>
    <w:autoRedefine/>
    <w:unhideWhenUsed/>
    <w:qFormat/>
    <w:uiPriority w:val="0"/>
    <w:pPr>
      <w:numPr>
        <w:ilvl w:val="7"/>
        <w:numId w:val="1"/>
      </w:numPr>
      <w:spacing w:before="240" w:after="60"/>
      <w:outlineLvl w:val="7"/>
    </w:pPr>
    <w:rPr>
      <w:rFonts w:cstheme="majorBidi"/>
      <w:i/>
      <w:iCs/>
    </w:rPr>
  </w:style>
  <w:style w:type="paragraph" w:styleId="10">
    <w:name w:val="heading 9"/>
    <w:basedOn w:val="1"/>
    <w:next w:val="1"/>
    <w:link w:val="63"/>
    <w:autoRedefine/>
    <w:unhideWhenUsed/>
    <w:qFormat/>
    <w:uiPriority w:val="0"/>
    <w:pPr>
      <w:numPr>
        <w:ilvl w:val="8"/>
        <w:numId w:val="1"/>
      </w:numPr>
      <w:spacing w:before="240" w:after="60"/>
      <w:outlineLvl w:val="8"/>
    </w:pPr>
    <w:rPr>
      <w:rFonts w:asciiTheme="majorHAnsi" w:hAnsiTheme="majorHAnsi" w:eastAsiaTheme="majorEastAsia" w:cstheme="majorBidi"/>
      <w:sz w:val="22"/>
      <w:szCs w:val="22"/>
    </w:rPr>
  </w:style>
  <w:style w:type="character" w:default="1" w:styleId="46">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unhideWhenUsed/>
    <w:qFormat/>
    <w:uiPriority w:val="39"/>
    <w:pPr>
      <w:ind w:left="2520" w:leftChars="1200"/>
    </w:pPr>
    <w:rPr>
      <w:sz w:val="21"/>
    </w:rPr>
  </w:style>
  <w:style w:type="paragraph" w:styleId="12">
    <w:name w:val="table of authorities"/>
    <w:basedOn w:val="1"/>
    <w:next w:val="1"/>
    <w:autoRedefine/>
    <w:qFormat/>
    <w:uiPriority w:val="0"/>
    <w:pPr>
      <w:ind w:left="420" w:leftChars="200"/>
    </w:pPr>
    <w:rPr>
      <w:rFonts w:ascii="Calibri" w:hAnsi="Calibri" w:cs="宋体"/>
    </w:rPr>
  </w:style>
  <w:style w:type="paragraph" w:styleId="13">
    <w:name w:val="Note Heading"/>
    <w:basedOn w:val="1"/>
    <w:next w:val="1"/>
    <w:autoRedefine/>
    <w:qFormat/>
    <w:uiPriority w:val="0"/>
    <w:pPr>
      <w:jc w:val="center"/>
    </w:pPr>
    <w:rPr>
      <w:rFonts w:hint="eastAsia" w:ascii="Calibri" w:hAnsi="Calibri" w:eastAsia="宋体" w:cs="Times New Roman"/>
      <w:szCs w:val="20"/>
    </w:rPr>
  </w:style>
  <w:style w:type="paragraph" w:styleId="14">
    <w:name w:val="Normal Indent"/>
    <w:basedOn w:val="1"/>
    <w:autoRedefine/>
    <w:qFormat/>
    <w:uiPriority w:val="0"/>
    <w:pPr>
      <w:ind w:firstLine="420"/>
    </w:pPr>
  </w:style>
  <w:style w:type="paragraph" w:styleId="15">
    <w:name w:val="caption"/>
    <w:basedOn w:val="1"/>
    <w:next w:val="1"/>
    <w:autoRedefine/>
    <w:qFormat/>
    <w:uiPriority w:val="0"/>
    <w:rPr>
      <w:rFonts w:ascii="Cambria" w:hAnsi="Cambria" w:eastAsia="黑体"/>
      <w:sz w:val="20"/>
      <w:szCs w:val="20"/>
    </w:rPr>
  </w:style>
  <w:style w:type="paragraph" w:styleId="16">
    <w:name w:val="Document Map"/>
    <w:basedOn w:val="1"/>
    <w:link w:val="153"/>
    <w:autoRedefine/>
    <w:semiHidden/>
    <w:qFormat/>
    <w:uiPriority w:val="99"/>
    <w:pPr>
      <w:shd w:val="clear" w:color="auto" w:fill="000080"/>
    </w:pPr>
    <w:rPr>
      <w:rFonts w:ascii="宋体" w:hAnsi="宋体" w:eastAsia="宋体" w:cs="宋体"/>
    </w:rPr>
  </w:style>
  <w:style w:type="paragraph" w:styleId="17">
    <w:name w:val="annotation text"/>
    <w:basedOn w:val="1"/>
    <w:link w:val="70"/>
    <w:autoRedefine/>
    <w:unhideWhenUsed/>
    <w:qFormat/>
    <w:uiPriority w:val="99"/>
  </w:style>
  <w:style w:type="paragraph" w:styleId="18">
    <w:name w:val="Body Text"/>
    <w:basedOn w:val="1"/>
    <w:next w:val="19"/>
    <w:link w:val="161"/>
    <w:autoRedefine/>
    <w:qFormat/>
    <w:uiPriority w:val="0"/>
    <w:pPr>
      <w:spacing w:after="120"/>
    </w:pPr>
  </w:style>
  <w:style w:type="paragraph" w:styleId="19">
    <w:name w:val="Body Text First Indent"/>
    <w:basedOn w:val="18"/>
    <w:next w:val="1"/>
    <w:autoRedefine/>
    <w:qFormat/>
    <w:uiPriority w:val="0"/>
    <w:pPr>
      <w:ind w:firstLine="420"/>
    </w:pPr>
    <w:rPr>
      <w:rFonts w:hAnsi="Times New Roman" w:cs="Times New Roman"/>
      <w:szCs w:val="20"/>
    </w:rPr>
  </w:style>
  <w:style w:type="paragraph" w:styleId="20">
    <w:name w:val="Body Text Indent"/>
    <w:basedOn w:val="1"/>
    <w:link w:val="79"/>
    <w:autoRedefine/>
    <w:unhideWhenUsed/>
    <w:qFormat/>
    <w:uiPriority w:val="0"/>
    <w:pPr>
      <w:spacing w:after="120"/>
      <w:ind w:left="420" w:leftChars="200"/>
    </w:pPr>
  </w:style>
  <w:style w:type="paragraph" w:styleId="21">
    <w:name w:val="Block Text"/>
    <w:basedOn w:val="1"/>
    <w:autoRedefine/>
    <w:qFormat/>
    <w:uiPriority w:val="0"/>
    <w:pPr>
      <w:ind w:left="113" w:right="113"/>
      <w:jc w:val="center"/>
    </w:pPr>
    <w:rPr>
      <w:rFonts w:ascii="宋体" w:hAnsi="宋体" w:eastAsia="宋体" w:cs="宋体"/>
    </w:rPr>
  </w:style>
  <w:style w:type="paragraph" w:styleId="22">
    <w:name w:val="toc 5"/>
    <w:basedOn w:val="1"/>
    <w:next w:val="1"/>
    <w:autoRedefine/>
    <w:unhideWhenUsed/>
    <w:qFormat/>
    <w:uiPriority w:val="39"/>
    <w:pPr>
      <w:ind w:left="1680" w:leftChars="800"/>
    </w:pPr>
    <w:rPr>
      <w:sz w:val="21"/>
    </w:rPr>
  </w:style>
  <w:style w:type="paragraph" w:styleId="23">
    <w:name w:val="toc 3"/>
    <w:basedOn w:val="1"/>
    <w:next w:val="1"/>
    <w:autoRedefine/>
    <w:unhideWhenUsed/>
    <w:qFormat/>
    <w:uiPriority w:val="39"/>
    <w:pPr>
      <w:ind w:left="840" w:leftChars="400"/>
    </w:pPr>
  </w:style>
  <w:style w:type="paragraph" w:styleId="24">
    <w:name w:val="Plain Text"/>
    <w:basedOn w:val="1"/>
    <w:autoRedefine/>
    <w:qFormat/>
    <w:uiPriority w:val="0"/>
    <w:rPr>
      <w:rFonts w:ascii="宋体" w:hAnsi="Courier New" w:cs="Arial"/>
      <w:snapToGrid w:val="0"/>
      <w:szCs w:val="21"/>
    </w:rPr>
  </w:style>
  <w:style w:type="paragraph" w:styleId="25">
    <w:name w:val="toc 8"/>
    <w:basedOn w:val="1"/>
    <w:next w:val="1"/>
    <w:autoRedefine/>
    <w:unhideWhenUsed/>
    <w:qFormat/>
    <w:uiPriority w:val="39"/>
    <w:pPr>
      <w:ind w:left="2940" w:leftChars="1400"/>
    </w:pPr>
    <w:rPr>
      <w:sz w:val="21"/>
    </w:rPr>
  </w:style>
  <w:style w:type="paragraph" w:styleId="26">
    <w:name w:val="Date"/>
    <w:basedOn w:val="1"/>
    <w:next w:val="1"/>
    <w:link w:val="154"/>
    <w:autoRedefine/>
    <w:qFormat/>
    <w:uiPriority w:val="99"/>
    <w:rPr>
      <w:rFonts w:ascii="楷体_GB2312" w:hAnsi="宋体" w:eastAsia="楷体_GB2312" w:cs="宋体"/>
    </w:rPr>
  </w:style>
  <w:style w:type="paragraph" w:styleId="27">
    <w:name w:val="Body Text Indent 2"/>
    <w:basedOn w:val="1"/>
    <w:link w:val="155"/>
    <w:autoRedefine/>
    <w:qFormat/>
    <w:uiPriority w:val="0"/>
    <w:pPr>
      <w:ind w:firstLine="630"/>
    </w:pPr>
    <w:rPr>
      <w:rFonts w:ascii="宋体" w:hAnsi="宋体" w:eastAsia="华文楷体" w:cs="宋体"/>
      <w:sz w:val="28"/>
    </w:rPr>
  </w:style>
  <w:style w:type="paragraph" w:styleId="28">
    <w:name w:val="Balloon Text"/>
    <w:basedOn w:val="1"/>
    <w:link w:val="72"/>
    <w:autoRedefine/>
    <w:unhideWhenUsed/>
    <w:qFormat/>
    <w:uiPriority w:val="99"/>
    <w:rPr>
      <w:sz w:val="18"/>
      <w:szCs w:val="18"/>
    </w:rPr>
  </w:style>
  <w:style w:type="paragraph" w:styleId="29">
    <w:name w:val="footer"/>
    <w:basedOn w:val="1"/>
    <w:link w:val="69"/>
    <w:autoRedefine/>
    <w:unhideWhenUsed/>
    <w:qFormat/>
    <w:uiPriority w:val="99"/>
    <w:pPr>
      <w:tabs>
        <w:tab w:val="center" w:pos="4153"/>
        <w:tab w:val="right" w:pos="8306"/>
      </w:tabs>
    </w:pPr>
    <w:rPr>
      <w:sz w:val="18"/>
      <w:szCs w:val="18"/>
    </w:rPr>
  </w:style>
  <w:style w:type="paragraph" w:styleId="30">
    <w:name w:val="header"/>
    <w:basedOn w:val="1"/>
    <w:link w:val="68"/>
    <w:autoRedefine/>
    <w:unhideWhenUsed/>
    <w:qFormat/>
    <w:uiPriority w:val="99"/>
    <w:pPr>
      <w:pBdr>
        <w:bottom w:val="single" w:color="auto" w:sz="6" w:space="1"/>
      </w:pBdr>
      <w:tabs>
        <w:tab w:val="center" w:pos="4153"/>
        <w:tab w:val="right" w:pos="8306"/>
      </w:tabs>
      <w:jc w:val="center"/>
    </w:pPr>
    <w:rPr>
      <w:sz w:val="18"/>
      <w:szCs w:val="18"/>
    </w:rPr>
  </w:style>
  <w:style w:type="paragraph" w:styleId="31">
    <w:name w:val="toc 1"/>
    <w:basedOn w:val="1"/>
    <w:next w:val="1"/>
    <w:autoRedefine/>
    <w:unhideWhenUsed/>
    <w:qFormat/>
    <w:uiPriority w:val="39"/>
  </w:style>
  <w:style w:type="paragraph" w:styleId="32">
    <w:name w:val="toc 4"/>
    <w:basedOn w:val="1"/>
    <w:next w:val="1"/>
    <w:unhideWhenUsed/>
    <w:qFormat/>
    <w:uiPriority w:val="39"/>
    <w:pPr>
      <w:ind w:left="1260" w:leftChars="600"/>
    </w:pPr>
    <w:rPr>
      <w:sz w:val="21"/>
    </w:rPr>
  </w:style>
  <w:style w:type="paragraph" w:styleId="33">
    <w:name w:val="Subtitle"/>
    <w:basedOn w:val="1"/>
    <w:next w:val="1"/>
    <w:link w:val="102"/>
    <w:autoRedefine/>
    <w:qFormat/>
    <w:uiPriority w:val="0"/>
    <w:pPr>
      <w:spacing w:after="60"/>
      <w:jc w:val="center"/>
      <w:outlineLvl w:val="1"/>
    </w:pPr>
    <w:rPr>
      <w:rFonts w:cs="Times New Roman" w:asciiTheme="majorHAnsi" w:hAnsiTheme="majorHAnsi" w:eastAsiaTheme="majorEastAsia"/>
    </w:rPr>
  </w:style>
  <w:style w:type="paragraph" w:styleId="34">
    <w:name w:val="footnote text"/>
    <w:basedOn w:val="1"/>
    <w:link w:val="156"/>
    <w:autoRedefine/>
    <w:qFormat/>
    <w:uiPriority w:val="0"/>
    <w:pPr>
      <w:snapToGrid w:val="0"/>
    </w:pPr>
    <w:rPr>
      <w:rFonts w:ascii="宋体" w:hAnsi="宋体" w:eastAsia="宋体" w:cs="宋体"/>
      <w:sz w:val="18"/>
      <w:szCs w:val="18"/>
    </w:rPr>
  </w:style>
  <w:style w:type="paragraph" w:styleId="35">
    <w:name w:val="toc 6"/>
    <w:basedOn w:val="1"/>
    <w:next w:val="1"/>
    <w:unhideWhenUsed/>
    <w:qFormat/>
    <w:uiPriority w:val="39"/>
    <w:pPr>
      <w:ind w:left="2100" w:leftChars="1000"/>
    </w:pPr>
    <w:rPr>
      <w:sz w:val="21"/>
    </w:rPr>
  </w:style>
  <w:style w:type="paragraph" w:styleId="36">
    <w:name w:val="Body Text Indent 3"/>
    <w:basedOn w:val="1"/>
    <w:link w:val="157"/>
    <w:autoRedefine/>
    <w:qFormat/>
    <w:uiPriority w:val="0"/>
    <w:pPr>
      <w:spacing w:line="360" w:lineRule="auto"/>
      <w:ind w:firstLine="482"/>
    </w:pPr>
    <w:rPr>
      <w:rFonts w:ascii="宋体" w:hAnsi="宋体" w:eastAsia="宋体" w:cs="宋体"/>
    </w:rPr>
  </w:style>
  <w:style w:type="paragraph" w:styleId="37">
    <w:name w:val="toc 2"/>
    <w:basedOn w:val="1"/>
    <w:next w:val="1"/>
    <w:autoRedefine/>
    <w:unhideWhenUsed/>
    <w:qFormat/>
    <w:uiPriority w:val="39"/>
    <w:pPr>
      <w:ind w:left="420" w:leftChars="200"/>
    </w:pPr>
  </w:style>
  <w:style w:type="paragraph" w:styleId="38">
    <w:name w:val="toc 9"/>
    <w:basedOn w:val="1"/>
    <w:next w:val="1"/>
    <w:autoRedefine/>
    <w:unhideWhenUsed/>
    <w:qFormat/>
    <w:uiPriority w:val="39"/>
    <w:pPr>
      <w:ind w:left="3360" w:leftChars="1600"/>
    </w:pPr>
    <w:rPr>
      <w:sz w:val="21"/>
    </w:rPr>
  </w:style>
  <w:style w:type="paragraph" w:styleId="39">
    <w:name w:val="Normal (Web)"/>
    <w:basedOn w:val="1"/>
    <w:link w:val="187"/>
    <w:autoRedefine/>
    <w:unhideWhenUsed/>
    <w:qFormat/>
    <w:uiPriority w:val="0"/>
    <w:pPr>
      <w:spacing w:before="100" w:beforeAutospacing="1" w:after="100" w:afterAutospacing="1"/>
    </w:pPr>
    <w:rPr>
      <w:rFonts w:cs="宋体"/>
    </w:rPr>
  </w:style>
  <w:style w:type="paragraph" w:styleId="40">
    <w:name w:val="Title"/>
    <w:basedOn w:val="1"/>
    <w:link w:val="101"/>
    <w:autoRedefine/>
    <w:qFormat/>
    <w:uiPriority w:val="0"/>
    <w:pPr>
      <w:spacing w:before="240" w:after="60"/>
      <w:jc w:val="center"/>
      <w:outlineLvl w:val="0"/>
    </w:pPr>
    <w:rPr>
      <w:rFonts w:cs="Arial" w:asciiTheme="majorHAnsi" w:hAnsiTheme="majorHAnsi" w:eastAsiaTheme="majorEastAsia"/>
      <w:b/>
      <w:bCs/>
      <w:kern w:val="28"/>
      <w:sz w:val="32"/>
      <w:szCs w:val="32"/>
    </w:rPr>
  </w:style>
  <w:style w:type="paragraph" w:styleId="41">
    <w:name w:val="annotation subject"/>
    <w:basedOn w:val="17"/>
    <w:next w:val="17"/>
    <w:link w:val="71"/>
    <w:autoRedefine/>
    <w:unhideWhenUsed/>
    <w:qFormat/>
    <w:uiPriority w:val="0"/>
    <w:rPr>
      <w:b/>
      <w:bCs/>
    </w:rPr>
  </w:style>
  <w:style w:type="paragraph" w:styleId="42">
    <w:name w:val="Body Text First Indent 2"/>
    <w:basedOn w:val="20"/>
    <w:link w:val="80"/>
    <w:autoRedefine/>
    <w:unhideWhenUsed/>
    <w:qFormat/>
    <w:uiPriority w:val="0"/>
    <w:pPr>
      <w:ind w:firstLine="420" w:firstLineChars="200"/>
    </w:pPr>
  </w:style>
  <w:style w:type="table" w:styleId="44">
    <w:name w:val="Table Grid"/>
    <w:basedOn w:val="4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5">
    <w:name w:val="Table Theme"/>
    <w:basedOn w:val="4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7">
    <w:name w:val="Strong"/>
    <w:basedOn w:val="46"/>
    <w:autoRedefine/>
    <w:qFormat/>
    <w:uiPriority w:val="22"/>
    <w:rPr>
      <w:b/>
      <w:bCs/>
    </w:rPr>
  </w:style>
  <w:style w:type="character" w:styleId="48">
    <w:name w:val="page number"/>
    <w:basedOn w:val="46"/>
    <w:autoRedefine/>
    <w:qFormat/>
    <w:uiPriority w:val="0"/>
    <w:rPr>
      <w:rFonts w:ascii="Times New Roman" w:hAnsi="Times New Roman" w:eastAsia="宋体" w:cs="Times New Roman"/>
    </w:rPr>
  </w:style>
  <w:style w:type="character" w:styleId="49">
    <w:name w:val="FollowedHyperlink"/>
    <w:basedOn w:val="46"/>
    <w:autoRedefine/>
    <w:unhideWhenUsed/>
    <w:qFormat/>
    <w:uiPriority w:val="99"/>
    <w:rPr>
      <w:color w:val="954F72"/>
      <w:u w:val="single"/>
    </w:rPr>
  </w:style>
  <w:style w:type="character" w:styleId="50">
    <w:name w:val="Emphasis"/>
    <w:basedOn w:val="46"/>
    <w:autoRedefine/>
    <w:qFormat/>
    <w:uiPriority w:val="20"/>
    <w:rPr>
      <w:rFonts w:asciiTheme="minorHAnsi" w:hAnsiTheme="minorHAnsi"/>
      <w:b/>
      <w:i/>
      <w:iCs/>
    </w:rPr>
  </w:style>
  <w:style w:type="character" w:styleId="51">
    <w:name w:val="Hyperlink"/>
    <w:basedOn w:val="46"/>
    <w:autoRedefine/>
    <w:unhideWhenUsed/>
    <w:qFormat/>
    <w:uiPriority w:val="99"/>
    <w:rPr>
      <w:color w:val="0563C1" w:themeColor="hyperlink"/>
      <w:u w:val="single"/>
      <w14:textFill>
        <w14:solidFill>
          <w14:schemeClr w14:val="hlink"/>
        </w14:solidFill>
      </w14:textFill>
    </w:rPr>
  </w:style>
  <w:style w:type="character" w:styleId="52">
    <w:name w:val="annotation reference"/>
    <w:basedOn w:val="46"/>
    <w:autoRedefine/>
    <w:unhideWhenUsed/>
    <w:qFormat/>
    <w:uiPriority w:val="99"/>
    <w:rPr>
      <w:sz w:val="21"/>
      <w:szCs w:val="21"/>
    </w:rPr>
  </w:style>
  <w:style w:type="character" w:styleId="53">
    <w:name w:val="footnote reference"/>
    <w:autoRedefine/>
    <w:qFormat/>
    <w:uiPriority w:val="0"/>
    <w:rPr>
      <w:vertAlign w:val="superscript"/>
    </w:rPr>
  </w:style>
  <w:style w:type="paragraph" w:customStyle="1" w:styleId="54">
    <w:name w:val="无间隔1"/>
    <w:autoRedefine/>
    <w:qFormat/>
    <w:uiPriority w:val="99"/>
    <w:pPr>
      <w:adjustRightInd w:val="0"/>
      <w:snapToGrid w:val="0"/>
    </w:pPr>
    <w:rPr>
      <w:rFonts w:ascii="Tahoma" w:hAnsi="Tahoma" w:eastAsia="微软雅黑" w:cstheme="minorBidi"/>
      <w:sz w:val="22"/>
      <w:szCs w:val="22"/>
      <w:lang w:val="en-US" w:eastAsia="zh-CN" w:bidi="ar-SA"/>
    </w:rPr>
  </w:style>
  <w:style w:type="character" w:customStyle="1" w:styleId="55">
    <w:name w:val="标题 1 Char"/>
    <w:basedOn w:val="46"/>
    <w:link w:val="2"/>
    <w:autoRedefine/>
    <w:qFormat/>
    <w:uiPriority w:val="9"/>
    <w:rPr>
      <w:rFonts w:asciiTheme="majorHAnsi" w:hAnsiTheme="majorHAnsi" w:eastAsiaTheme="majorEastAsia"/>
      <w:b/>
      <w:bCs/>
      <w:kern w:val="32"/>
      <w:sz w:val="32"/>
      <w:szCs w:val="32"/>
    </w:rPr>
  </w:style>
  <w:style w:type="character" w:customStyle="1" w:styleId="56">
    <w:name w:val="标题 2 Char1"/>
    <w:basedOn w:val="46"/>
    <w:link w:val="3"/>
    <w:autoRedefine/>
    <w:qFormat/>
    <w:uiPriority w:val="9"/>
    <w:rPr>
      <w:rFonts w:asciiTheme="majorHAnsi" w:hAnsiTheme="majorHAnsi" w:eastAsiaTheme="majorEastAsia"/>
      <w:b/>
      <w:bCs/>
      <w:iCs/>
      <w:sz w:val="28"/>
      <w:szCs w:val="28"/>
    </w:rPr>
  </w:style>
  <w:style w:type="character" w:customStyle="1" w:styleId="57">
    <w:name w:val="标题 3 Char"/>
    <w:basedOn w:val="46"/>
    <w:link w:val="4"/>
    <w:autoRedefine/>
    <w:qFormat/>
    <w:uiPriority w:val="9"/>
    <w:rPr>
      <w:rFonts w:asciiTheme="majorHAnsi" w:hAnsiTheme="majorHAnsi" w:eastAsiaTheme="majorEastAsia"/>
      <w:b/>
      <w:bCs/>
      <w:sz w:val="26"/>
      <w:szCs w:val="26"/>
    </w:rPr>
  </w:style>
  <w:style w:type="character" w:customStyle="1" w:styleId="58">
    <w:name w:val="标题 4 Char"/>
    <w:basedOn w:val="46"/>
    <w:link w:val="5"/>
    <w:autoRedefine/>
    <w:qFormat/>
    <w:uiPriority w:val="9"/>
    <w:rPr>
      <w:rFonts w:asciiTheme="minorHAnsi" w:hAnsiTheme="minorHAnsi" w:eastAsiaTheme="minorEastAsia"/>
      <w:b/>
      <w:bCs/>
      <w:sz w:val="28"/>
      <w:szCs w:val="28"/>
    </w:rPr>
  </w:style>
  <w:style w:type="character" w:customStyle="1" w:styleId="59">
    <w:name w:val="标题 5 Char"/>
    <w:basedOn w:val="46"/>
    <w:link w:val="6"/>
    <w:autoRedefine/>
    <w:qFormat/>
    <w:uiPriority w:val="0"/>
    <w:rPr>
      <w:rFonts w:asciiTheme="minorHAnsi" w:hAnsiTheme="minorHAnsi" w:eastAsiaTheme="minorEastAsia"/>
      <w:b/>
      <w:bCs/>
      <w:i/>
      <w:iCs/>
      <w:sz w:val="26"/>
      <w:szCs w:val="26"/>
    </w:rPr>
  </w:style>
  <w:style w:type="character" w:customStyle="1" w:styleId="60">
    <w:name w:val="标题 6 Char"/>
    <w:basedOn w:val="46"/>
    <w:link w:val="7"/>
    <w:autoRedefine/>
    <w:qFormat/>
    <w:uiPriority w:val="0"/>
    <w:rPr>
      <w:rFonts w:asciiTheme="minorHAnsi" w:hAnsiTheme="minorHAnsi" w:eastAsiaTheme="minorEastAsia"/>
      <w:b/>
      <w:bCs/>
      <w:sz w:val="22"/>
      <w:szCs w:val="22"/>
    </w:rPr>
  </w:style>
  <w:style w:type="character" w:customStyle="1" w:styleId="61">
    <w:name w:val="标题 7 Char"/>
    <w:basedOn w:val="46"/>
    <w:link w:val="8"/>
    <w:autoRedefine/>
    <w:qFormat/>
    <w:uiPriority w:val="0"/>
    <w:rPr>
      <w:rFonts w:asciiTheme="minorHAnsi" w:hAnsiTheme="minorHAnsi" w:eastAsiaTheme="minorEastAsia"/>
      <w:sz w:val="24"/>
      <w:szCs w:val="24"/>
    </w:rPr>
  </w:style>
  <w:style w:type="character" w:customStyle="1" w:styleId="62">
    <w:name w:val="标题 8 Char"/>
    <w:basedOn w:val="46"/>
    <w:link w:val="9"/>
    <w:autoRedefine/>
    <w:qFormat/>
    <w:uiPriority w:val="0"/>
    <w:rPr>
      <w:rFonts w:asciiTheme="minorHAnsi" w:hAnsiTheme="minorHAnsi" w:eastAsiaTheme="minorEastAsia" w:cstheme="majorBidi"/>
      <w:i/>
      <w:iCs/>
      <w:sz w:val="24"/>
      <w:szCs w:val="24"/>
    </w:rPr>
  </w:style>
  <w:style w:type="character" w:customStyle="1" w:styleId="63">
    <w:name w:val="标题 9 Char"/>
    <w:basedOn w:val="46"/>
    <w:link w:val="10"/>
    <w:autoRedefine/>
    <w:qFormat/>
    <w:uiPriority w:val="0"/>
    <w:rPr>
      <w:rFonts w:asciiTheme="majorHAnsi" w:hAnsiTheme="majorHAnsi" w:eastAsiaTheme="majorEastAsia" w:cstheme="majorBidi"/>
      <w:sz w:val="22"/>
      <w:szCs w:val="22"/>
    </w:rPr>
  </w:style>
  <w:style w:type="paragraph" w:customStyle="1" w:styleId="64">
    <w:name w:val="修订1"/>
    <w:autoRedefine/>
    <w:hidden/>
    <w:unhideWhenUsed/>
    <w:qFormat/>
    <w:uiPriority w:val="99"/>
    <w:rPr>
      <w:rFonts w:cs="Times New Roman" w:asciiTheme="minorHAnsi" w:hAnsiTheme="minorHAnsi" w:eastAsiaTheme="minorEastAsia"/>
      <w:sz w:val="24"/>
      <w:szCs w:val="24"/>
      <w:lang w:val="en-GB" w:eastAsia="zh-CN" w:bidi="ar-SA"/>
    </w:rPr>
  </w:style>
  <w:style w:type="paragraph" w:customStyle="1" w:styleId="65">
    <w:name w:val="修订11"/>
    <w:autoRedefine/>
    <w:hidden/>
    <w:unhideWhenUsed/>
    <w:qFormat/>
    <w:uiPriority w:val="99"/>
    <w:rPr>
      <w:rFonts w:cs="Times New Roman" w:asciiTheme="minorHAnsi" w:hAnsiTheme="minorHAnsi" w:eastAsiaTheme="minorEastAsia"/>
      <w:sz w:val="24"/>
      <w:szCs w:val="24"/>
      <w:lang w:val="en-GB" w:eastAsia="zh-CN" w:bidi="ar-SA"/>
    </w:rPr>
  </w:style>
  <w:style w:type="paragraph" w:styleId="66">
    <w:name w:val="List Paragraph"/>
    <w:basedOn w:val="1"/>
    <w:link w:val="67"/>
    <w:autoRedefine/>
    <w:qFormat/>
    <w:uiPriority w:val="34"/>
    <w:pPr>
      <w:ind w:left="720"/>
      <w:contextualSpacing/>
    </w:pPr>
  </w:style>
  <w:style w:type="character" w:customStyle="1" w:styleId="67">
    <w:name w:val="列出段落 Char"/>
    <w:link w:val="66"/>
    <w:autoRedefine/>
    <w:qFormat/>
    <w:uiPriority w:val="34"/>
    <w:rPr>
      <w:rFonts w:cstheme="minorBidi"/>
      <w:sz w:val="24"/>
      <w:szCs w:val="24"/>
    </w:rPr>
  </w:style>
  <w:style w:type="character" w:customStyle="1" w:styleId="68">
    <w:name w:val="页眉 Char"/>
    <w:basedOn w:val="46"/>
    <w:link w:val="30"/>
    <w:autoRedefine/>
    <w:qFormat/>
    <w:uiPriority w:val="99"/>
    <w:rPr>
      <w:sz w:val="18"/>
      <w:szCs w:val="18"/>
    </w:rPr>
  </w:style>
  <w:style w:type="character" w:customStyle="1" w:styleId="69">
    <w:name w:val="页脚 Char"/>
    <w:basedOn w:val="46"/>
    <w:link w:val="29"/>
    <w:autoRedefine/>
    <w:qFormat/>
    <w:uiPriority w:val="99"/>
    <w:rPr>
      <w:sz w:val="18"/>
      <w:szCs w:val="18"/>
    </w:rPr>
  </w:style>
  <w:style w:type="character" w:customStyle="1" w:styleId="70">
    <w:name w:val="批注文字 Char"/>
    <w:basedOn w:val="46"/>
    <w:link w:val="17"/>
    <w:autoRedefine/>
    <w:qFormat/>
    <w:uiPriority w:val="99"/>
    <w:rPr>
      <w:sz w:val="24"/>
    </w:rPr>
  </w:style>
  <w:style w:type="character" w:customStyle="1" w:styleId="71">
    <w:name w:val="批注主题 Char"/>
    <w:basedOn w:val="70"/>
    <w:link w:val="41"/>
    <w:autoRedefine/>
    <w:qFormat/>
    <w:uiPriority w:val="0"/>
    <w:rPr>
      <w:b/>
      <w:bCs/>
      <w:sz w:val="24"/>
    </w:rPr>
  </w:style>
  <w:style w:type="character" w:customStyle="1" w:styleId="72">
    <w:name w:val="批注框文本 Char"/>
    <w:basedOn w:val="46"/>
    <w:link w:val="28"/>
    <w:autoRedefine/>
    <w:qFormat/>
    <w:uiPriority w:val="99"/>
    <w:rPr>
      <w:sz w:val="18"/>
      <w:szCs w:val="18"/>
    </w:rPr>
  </w:style>
  <w:style w:type="character" w:customStyle="1" w:styleId="73">
    <w:name w:val="标书正文格式 Char"/>
    <w:link w:val="74"/>
    <w:autoRedefine/>
    <w:qFormat/>
    <w:uiPriority w:val="0"/>
    <w:rPr>
      <w:rFonts w:eastAsia="楷体_GB2312"/>
      <w:sz w:val="24"/>
      <w:szCs w:val="24"/>
    </w:rPr>
  </w:style>
  <w:style w:type="paragraph" w:customStyle="1" w:styleId="74">
    <w:name w:val="标书正文格式"/>
    <w:link w:val="73"/>
    <w:autoRedefine/>
    <w:qFormat/>
    <w:uiPriority w:val="0"/>
    <w:pPr>
      <w:spacing w:line="360" w:lineRule="auto"/>
      <w:ind w:firstLine="420"/>
      <w:jc w:val="both"/>
    </w:pPr>
    <w:rPr>
      <w:rFonts w:eastAsia="楷体_GB2312" w:asciiTheme="minorHAnsi" w:hAnsiTheme="minorHAnsi" w:cstheme="minorBidi"/>
      <w:kern w:val="2"/>
      <w:sz w:val="24"/>
      <w:szCs w:val="24"/>
      <w:lang w:val="en-US" w:eastAsia="zh-CN" w:bidi="ar-SA"/>
    </w:rPr>
  </w:style>
  <w:style w:type="paragraph" w:customStyle="1" w:styleId="75">
    <w:name w:val="Item Step in Table"/>
    <w:autoRedefine/>
    <w:qFormat/>
    <w:uiPriority w:val="0"/>
    <w:pPr>
      <w:numPr>
        <w:ilvl w:val="0"/>
        <w:numId w:val="2"/>
      </w:numPr>
      <w:spacing w:before="40" w:after="40"/>
      <w:jc w:val="both"/>
    </w:pPr>
    <w:rPr>
      <w:rFonts w:ascii="Arial" w:hAnsi="Arial" w:cs="Arial" w:eastAsiaTheme="minorEastAsia"/>
      <w:sz w:val="18"/>
      <w:szCs w:val="18"/>
      <w:lang w:val="en-US" w:eastAsia="zh-CN" w:bidi="ar-SA"/>
    </w:rPr>
  </w:style>
  <w:style w:type="paragraph" w:customStyle="1" w:styleId="76">
    <w:name w:val="图片"/>
    <w:basedOn w:val="1"/>
    <w:autoRedefine/>
    <w:qFormat/>
    <w:uiPriority w:val="0"/>
    <w:pPr>
      <w:jc w:val="center"/>
    </w:pPr>
    <w:rPr>
      <w:rFonts w:ascii="宋体" w:hAnsi="宋体" w:eastAsia="宋体"/>
    </w:rPr>
  </w:style>
  <w:style w:type="paragraph" w:customStyle="1" w:styleId="77">
    <w:name w:val="样式1"/>
    <w:basedOn w:val="3"/>
    <w:next w:val="42"/>
    <w:autoRedefine/>
    <w:qFormat/>
    <w:uiPriority w:val="0"/>
    <w:pPr>
      <w:ind w:right="100" w:rightChars="100"/>
    </w:pPr>
    <w:rPr>
      <w:sz w:val="36"/>
    </w:rPr>
  </w:style>
  <w:style w:type="paragraph" w:customStyle="1" w:styleId="78">
    <w:name w:val="样式2"/>
    <w:basedOn w:val="2"/>
    <w:autoRedefine/>
    <w:qFormat/>
    <w:uiPriority w:val="0"/>
    <w:rPr>
      <w:rFonts w:ascii="宋体" w:hAnsi="宋体"/>
    </w:rPr>
  </w:style>
  <w:style w:type="character" w:customStyle="1" w:styleId="79">
    <w:name w:val="正文文本缩进 Char"/>
    <w:basedOn w:val="46"/>
    <w:link w:val="20"/>
    <w:autoRedefine/>
    <w:qFormat/>
    <w:uiPriority w:val="0"/>
    <w:rPr>
      <w:sz w:val="24"/>
    </w:rPr>
  </w:style>
  <w:style w:type="character" w:customStyle="1" w:styleId="80">
    <w:name w:val="正文首行缩进 2 Char"/>
    <w:basedOn w:val="79"/>
    <w:link w:val="42"/>
    <w:autoRedefine/>
    <w:qFormat/>
    <w:uiPriority w:val="0"/>
    <w:rPr>
      <w:sz w:val="24"/>
    </w:rPr>
  </w:style>
  <w:style w:type="character" w:customStyle="1" w:styleId="81">
    <w:name w:val="font141"/>
    <w:basedOn w:val="46"/>
    <w:autoRedefine/>
    <w:qFormat/>
    <w:uiPriority w:val="0"/>
    <w:rPr>
      <w:rFonts w:hint="default" w:ascii="Times New Roman" w:hAnsi="Times New Roman" w:cs="Times New Roman"/>
      <w:b/>
      <w:bCs/>
      <w:color w:val="000000"/>
      <w:sz w:val="24"/>
      <w:szCs w:val="24"/>
      <w:u w:val="none"/>
    </w:rPr>
  </w:style>
  <w:style w:type="character" w:customStyle="1" w:styleId="82">
    <w:name w:val="font12"/>
    <w:basedOn w:val="46"/>
    <w:autoRedefine/>
    <w:qFormat/>
    <w:uiPriority w:val="0"/>
    <w:rPr>
      <w:rFonts w:hint="eastAsia" w:ascii="宋体" w:hAnsi="宋体" w:eastAsia="宋体" w:cs="宋体"/>
      <w:b/>
      <w:bCs/>
      <w:color w:val="000000"/>
      <w:sz w:val="24"/>
      <w:szCs w:val="24"/>
      <w:u w:val="none"/>
    </w:rPr>
  </w:style>
  <w:style w:type="character" w:customStyle="1" w:styleId="83">
    <w:name w:val="font71"/>
    <w:basedOn w:val="46"/>
    <w:autoRedefine/>
    <w:qFormat/>
    <w:uiPriority w:val="0"/>
    <w:rPr>
      <w:rFonts w:hint="default" w:ascii="Times New Roman" w:hAnsi="Times New Roman" w:cs="Times New Roman"/>
      <w:color w:val="000000"/>
      <w:sz w:val="24"/>
      <w:szCs w:val="24"/>
      <w:u w:val="none"/>
    </w:rPr>
  </w:style>
  <w:style w:type="character" w:customStyle="1" w:styleId="84">
    <w:name w:val="font81"/>
    <w:basedOn w:val="46"/>
    <w:autoRedefine/>
    <w:qFormat/>
    <w:uiPriority w:val="0"/>
    <w:rPr>
      <w:rFonts w:hint="eastAsia" w:ascii="宋体" w:hAnsi="宋体" w:eastAsia="宋体" w:cs="宋体"/>
      <w:color w:val="000000"/>
      <w:sz w:val="24"/>
      <w:szCs w:val="24"/>
      <w:u w:val="none"/>
    </w:rPr>
  </w:style>
  <w:style w:type="character" w:customStyle="1" w:styleId="85">
    <w:name w:val="font01"/>
    <w:basedOn w:val="46"/>
    <w:autoRedefine/>
    <w:qFormat/>
    <w:uiPriority w:val="0"/>
    <w:rPr>
      <w:rFonts w:hint="eastAsia" w:ascii="宋体" w:hAnsi="宋体" w:eastAsia="宋体" w:cs="宋体"/>
      <w:color w:val="000000"/>
      <w:sz w:val="22"/>
      <w:szCs w:val="22"/>
      <w:u w:val="none"/>
    </w:rPr>
  </w:style>
  <w:style w:type="character" w:customStyle="1" w:styleId="86">
    <w:name w:val="font11"/>
    <w:basedOn w:val="46"/>
    <w:autoRedefine/>
    <w:qFormat/>
    <w:uiPriority w:val="0"/>
    <w:rPr>
      <w:rFonts w:hint="default" w:ascii="Times New Roman" w:hAnsi="Times New Roman" w:cs="Times New Roman"/>
      <w:color w:val="000000"/>
      <w:sz w:val="22"/>
      <w:szCs w:val="22"/>
      <w:u w:val="none"/>
    </w:rPr>
  </w:style>
  <w:style w:type="paragraph" w:customStyle="1" w:styleId="87">
    <w:name w:val="正文 New New New New New New New New New New New New New New New1"/>
    <w:autoRedefine/>
    <w:qFormat/>
    <w:uiPriority w:val="0"/>
    <w:pPr>
      <w:widowControl w:val="0"/>
      <w:jc w:val="both"/>
    </w:pPr>
    <w:rPr>
      <w:rFonts w:ascii="Calibri" w:hAnsi="Calibri" w:cs="Times New Roman" w:eastAsiaTheme="minorEastAsia"/>
      <w:kern w:val="2"/>
      <w:sz w:val="24"/>
      <w:szCs w:val="24"/>
      <w:lang w:val="en-US" w:eastAsia="zh-CN" w:bidi="ar-SA"/>
    </w:rPr>
  </w:style>
  <w:style w:type="paragraph" w:customStyle="1" w:styleId="88">
    <w:name w:val="标书表格字体格式"/>
    <w:next w:val="74"/>
    <w:autoRedefine/>
    <w:qFormat/>
    <w:uiPriority w:val="0"/>
    <w:rPr>
      <w:rFonts w:cs="Times New Roman" w:asciiTheme="minorHAnsi" w:hAnsiTheme="minorHAnsi" w:eastAsiaTheme="minorEastAsia"/>
      <w:kern w:val="2"/>
      <w:sz w:val="21"/>
      <w:szCs w:val="24"/>
      <w:lang w:val="en-US" w:eastAsia="zh-CN" w:bidi="ar-SA"/>
    </w:rPr>
  </w:style>
  <w:style w:type="paragraph" w:customStyle="1" w:styleId="89">
    <w:name w:val="图五"/>
    <w:basedOn w:val="1"/>
    <w:autoRedefine/>
    <w:qFormat/>
    <w:uiPriority w:val="0"/>
    <w:pPr>
      <w:spacing w:line="300" w:lineRule="exact"/>
      <w:jc w:val="center"/>
    </w:pPr>
    <w:rPr>
      <w:rFonts w:ascii="Times New Roman" w:hAnsi="Times New Roman" w:eastAsia="宋体" w:cs="Times New Roman"/>
    </w:rPr>
  </w:style>
  <w:style w:type="character" w:customStyle="1" w:styleId="90">
    <w:name w:val="font51"/>
    <w:basedOn w:val="46"/>
    <w:autoRedefine/>
    <w:qFormat/>
    <w:uiPriority w:val="0"/>
    <w:rPr>
      <w:rFonts w:hint="default" w:ascii="Times New Roman" w:hAnsi="Times New Roman" w:cs="Times New Roman"/>
      <w:color w:val="000000"/>
      <w:sz w:val="24"/>
      <w:szCs w:val="24"/>
      <w:u w:val="none"/>
    </w:rPr>
  </w:style>
  <w:style w:type="character" w:customStyle="1" w:styleId="91">
    <w:name w:val="font91"/>
    <w:basedOn w:val="46"/>
    <w:autoRedefine/>
    <w:qFormat/>
    <w:uiPriority w:val="0"/>
    <w:rPr>
      <w:rFonts w:hint="default" w:ascii="Times New Roman" w:hAnsi="Times New Roman" w:cs="Times New Roman"/>
      <w:color w:val="000000"/>
      <w:sz w:val="24"/>
      <w:szCs w:val="24"/>
      <w:u w:val="none"/>
    </w:rPr>
  </w:style>
  <w:style w:type="character" w:customStyle="1" w:styleId="92">
    <w:name w:val="font41"/>
    <w:basedOn w:val="46"/>
    <w:autoRedefine/>
    <w:qFormat/>
    <w:uiPriority w:val="0"/>
    <w:rPr>
      <w:rFonts w:hint="eastAsia" w:ascii="宋体" w:hAnsi="宋体" w:eastAsia="宋体" w:cs="宋体"/>
      <w:color w:val="000000"/>
      <w:sz w:val="24"/>
      <w:szCs w:val="24"/>
      <w:u w:val="none"/>
    </w:rPr>
  </w:style>
  <w:style w:type="character" w:customStyle="1" w:styleId="93">
    <w:name w:val="font31"/>
    <w:basedOn w:val="46"/>
    <w:autoRedefine/>
    <w:qFormat/>
    <w:uiPriority w:val="0"/>
    <w:rPr>
      <w:rFonts w:hint="default" w:ascii="Times New Roman" w:hAnsi="Times New Roman" w:cs="Times New Roman"/>
      <w:color w:val="000000"/>
      <w:sz w:val="24"/>
      <w:szCs w:val="24"/>
      <w:u w:val="none"/>
    </w:rPr>
  </w:style>
  <w:style w:type="character" w:customStyle="1" w:styleId="94">
    <w:name w:val="font61"/>
    <w:basedOn w:val="46"/>
    <w:autoRedefine/>
    <w:qFormat/>
    <w:uiPriority w:val="0"/>
    <w:rPr>
      <w:rFonts w:hint="eastAsia" w:ascii="宋体" w:hAnsi="宋体" w:eastAsia="宋体" w:cs="宋体"/>
      <w:color w:val="000000"/>
      <w:sz w:val="24"/>
      <w:szCs w:val="24"/>
      <w:u w:val="none"/>
    </w:rPr>
  </w:style>
  <w:style w:type="character" w:customStyle="1" w:styleId="95">
    <w:name w:val="font101"/>
    <w:basedOn w:val="46"/>
    <w:autoRedefine/>
    <w:qFormat/>
    <w:uiPriority w:val="0"/>
    <w:rPr>
      <w:rFonts w:hint="eastAsia" w:ascii="宋体" w:hAnsi="宋体" w:eastAsia="宋体" w:cs="宋体"/>
      <w:color w:val="FF0000"/>
      <w:sz w:val="24"/>
      <w:szCs w:val="24"/>
      <w:u w:val="none"/>
    </w:rPr>
  </w:style>
  <w:style w:type="paragraph" w:customStyle="1" w:styleId="96">
    <w:name w:val="表格"/>
    <w:basedOn w:val="1"/>
    <w:autoRedefine/>
    <w:qFormat/>
    <w:uiPriority w:val="0"/>
    <w:pPr>
      <w:jc w:val="both"/>
    </w:pPr>
  </w:style>
  <w:style w:type="paragraph" w:customStyle="1" w:styleId="97">
    <w:name w:val="列表段落1"/>
    <w:basedOn w:val="1"/>
    <w:autoRedefine/>
    <w:qFormat/>
    <w:uiPriority w:val="99"/>
    <w:pPr>
      <w:ind w:firstLine="420"/>
    </w:pPr>
  </w:style>
  <w:style w:type="paragraph" w:customStyle="1" w:styleId="98">
    <w:name w:val="paragraph"/>
    <w:basedOn w:val="1"/>
    <w:autoRedefine/>
    <w:qFormat/>
    <w:uiPriority w:val="0"/>
    <w:pPr>
      <w:numPr>
        <w:ilvl w:val="0"/>
        <w:numId w:val="3"/>
      </w:numPr>
      <w:ind w:left="714" w:hanging="357"/>
      <w:jc w:val="both"/>
      <w:textAlignment w:val="baseline"/>
    </w:pPr>
    <w:rPr>
      <w:rFonts w:cs="宋体"/>
    </w:rPr>
  </w:style>
  <w:style w:type="paragraph" w:customStyle="1" w:styleId="99">
    <w:name w:val="msolistparagraph"/>
    <w:basedOn w:val="1"/>
    <w:autoRedefine/>
    <w:qFormat/>
    <w:uiPriority w:val="0"/>
    <w:pPr>
      <w:ind w:firstLine="420" w:firstLineChars="200"/>
    </w:pPr>
    <w:rPr>
      <w:rFonts w:ascii="Times New Roman" w:hAnsi="Times New Roman" w:cs="Times New Roman"/>
    </w:rPr>
  </w:style>
  <w:style w:type="paragraph" w:customStyle="1" w:styleId="100">
    <w:name w:val="*正文"/>
    <w:basedOn w:val="1"/>
    <w:autoRedefine/>
    <w:qFormat/>
    <w:uiPriority w:val="0"/>
    <w:pPr>
      <w:spacing w:line="360" w:lineRule="auto"/>
      <w:ind w:firstLine="480" w:firstLineChars="200"/>
    </w:pPr>
    <w:rPr>
      <w:rFonts w:ascii="仿宋_GB2312" w:hAnsi="Times New Roman" w:eastAsia="仿宋"/>
      <w:szCs w:val="28"/>
    </w:rPr>
  </w:style>
  <w:style w:type="character" w:customStyle="1" w:styleId="101">
    <w:name w:val="标题 Char"/>
    <w:basedOn w:val="46"/>
    <w:link w:val="40"/>
    <w:autoRedefine/>
    <w:qFormat/>
    <w:uiPriority w:val="0"/>
    <w:rPr>
      <w:rFonts w:cs="Arial" w:asciiTheme="majorHAnsi" w:hAnsiTheme="majorHAnsi" w:eastAsiaTheme="majorEastAsia"/>
      <w:b/>
      <w:bCs/>
      <w:kern w:val="28"/>
      <w:sz w:val="32"/>
      <w:szCs w:val="32"/>
    </w:rPr>
  </w:style>
  <w:style w:type="character" w:customStyle="1" w:styleId="102">
    <w:name w:val="副标题 Char"/>
    <w:basedOn w:val="46"/>
    <w:link w:val="33"/>
    <w:autoRedefine/>
    <w:qFormat/>
    <w:uiPriority w:val="0"/>
    <w:rPr>
      <w:rFonts w:asciiTheme="majorHAnsi" w:hAnsiTheme="majorHAnsi" w:eastAsiaTheme="majorEastAsia"/>
      <w:sz w:val="24"/>
      <w:szCs w:val="24"/>
    </w:rPr>
  </w:style>
  <w:style w:type="paragraph" w:styleId="103">
    <w:name w:val="No Spacing"/>
    <w:basedOn w:val="1"/>
    <w:autoRedefine/>
    <w:qFormat/>
    <w:uiPriority w:val="1"/>
    <w:rPr>
      <w:rFonts w:cs="Times New Roman"/>
      <w:szCs w:val="32"/>
    </w:rPr>
  </w:style>
  <w:style w:type="paragraph" w:styleId="104">
    <w:name w:val="Quote"/>
    <w:basedOn w:val="1"/>
    <w:next w:val="1"/>
    <w:link w:val="105"/>
    <w:autoRedefine/>
    <w:qFormat/>
    <w:uiPriority w:val="29"/>
    <w:rPr>
      <w:rFonts w:cs="Times New Roman"/>
      <w:i/>
    </w:rPr>
  </w:style>
  <w:style w:type="character" w:customStyle="1" w:styleId="105">
    <w:name w:val="引用 Char"/>
    <w:basedOn w:val="46"/>
    <w:link w:val="104"/>
    <w:autoRedefine/>
    <w:qFormat/>
    <w:uiPriority w:val="29"/>
    <w:rPr>
      <w:i/>
      <w:sz w:val="24"/>
      <w:szCs w:val="24"/>
    </w:rPr>
  </w:style>
  <w:style w:type="paragraph" w:styleId="106">
    <w:name w:val="Intense Quote"/>
    <w:basedOn w:val="1"/>
    <w:next w:val="1"/>
    <w:link w:val="107"/>
    <w:autoRedefine/>
    <w:qFormat/>
    <w:uiPriority w:val="30"/>
    <w:pPr>
      <w:ind w:left="720" w:right="720"/>
    </w:pPr>
    <w:rPr>
      <w:rFonts w:cs="Times New Roman"/>
      <w:b/>
      <w:i/>
      <w:szCs w:val="22"/>
    </w:rPr>
  </w:style>
  <w:style w:type="character" w:customStyle="1" w:styleId="107">
    <w:name w:val="明显引用 Char"/>
    <w:basedOn w:val="46"/>
    <w:link w:val="106"/>
    <w:autoRedefine/>
    <w:qFormat/>
    <w:uiPriority w:val="30"/>
    <w:rPr>
      <w:b/>
      <w:i/>
      <w:sz w:val="24"/>
    </w:rPr>
  </w:style>
  <w:style w:type="character" w:customStyle="1" w:styleId="108">
    <w:name w:val="不明显强调1"/>
    <w:autoRedefine/>
    <w:qFormat/>
    <w:uiPriority w:val="19"/>
    <w:rPr>
      <w:i/>
      <w:color w:val="595959" w:themeColor="text1" w:themeTint="A6"/>
      <w14:textFill>
        <w14:solidFill>
          <w14:schemeClr w14:val="tx1">
            <w14:lumMod w14:val="65000"/>
            <w14:lumOff w14:val="35000"/>
          </w14:schemeClr>
        </w14:solidFill>
      </w14:textFill>
    </w:rPr>
  </w:style>
  <w:style w:type="character" w:customStyle="1" w:styleId="109">
    <w:name w:val="明显强调1"/>
    <w:basedOn w:val="46"/>
    <w:autoRedefine/>
    <w:qFormat/>
    <w:uiPriority w:val="21"/>
    <w:rPr>
      <w:b/>
      <w:i/>
      <w:sz w:val="24"/>
      <w:szCs w:val="24"/>
      <w:u w:val="single"/>
    </w:rPr>
  </w:style>
  <w:style w:type="character" w:customStyle="1" w:styleId="110">
    <w:name w:val="不明显参考1"/>
    <w:basedOn w:val="46"/>
    <w:autoRedefine/>
    <w:qFormat/>
    <w:uiPriority w:val="31"/>
    <w:rPr>
      <w:sz w:val="24"/>
      <w:szCs w:val="24"/>
      <w:u w:val="single"/>
    </w:rPr>
  </w:style>
  <w:style w:type="character" w:customStyle="1" w:styleId="111">
    <w:name w:val="明显参考1"/>
    <w:basedOn w:val="46"/>
    <w:autoRedefine/>
    <w:qFormat/>
    <w:uiPriority w:val="32"/>
    <w:rPr>
      <w:b/>
      <w:sz w:val="24"/>
      <w:u w:val="single"/>
    </w:rPr>
  </w:style>
  <w:style w:type="character" w:customStyle="1" w:styleId="112">
    <w:name w:val="书籍标题1"/>
    <w:basedOn w:val="46"/>
    <w:autoRedefine/>
    <w:qFormat/>
    <w:uiPriority w:val="33"/>
    <w:rPr>
      <w:rFonts w:asciiTheme="majorHAnsi" w:hAnsiTheme="majorHAnsi" w:eastAsiaTheme="majorEastAsia"/>
      <w:b/>
      <w:i/>
      <w:sz w:val="24"/>
      <w:szCs w:val="24"/>
    </w:rPr>
  </w:style>
  <w:style w:type="paragraph" w:customStyle="1" w:styleId="113">
    <w:name w:val="TOC 标题1"/>
    <w:basedOn w:val="2"/>
    <w:next w:val="1"/>
    <w:autoRedefine/>
    <w:semiHidden/>
    <w:unhideWhenUsed/>
    <w:qFormat/>
    <w:uiPriority w:val="39"/>
    <w:pPr>
      <w:outlineLvl w:val="9"/>
    </w:pPr>
  </w:style>
  <w:style w:type="character" w:customStyle="1" w:styleId="114">
    <w:name w:val="未处理的提及1"/>
    <w:basedOn w:val="46"/>
    <w:autoRedefine/>
    <w:semiHidden/>
    <w:unhideWhenUsed/>
    <w:qFormat/>
    <w:uiPriority w:val="99"/>
    <w:rPr>
      <w:color w:val="605E5C"/>
      <w:shd w:val="clear" w:color="auto" w:fill="E1DFDD"/>
    </w:rPr>
  </w:style>
  <w:style w:type="character" w:customStyle="1" w:styleId="115">
    <w:name w:val="不明显强调2"/>
    <w:autoRedefine/>
    <w:qFormat/>
    <w:uiPriority w:val="19"/>
    <w:rPr>
      <w:i/>
      <w:color w:val="595959" w:themeColor="text1" w:themeTint="A6"/>
      <w14:textFill>
        <w14:solidFill>
          <w14:schemeClr w14:val="tx1">
            <w14:lumMod w14:val="65000"/>
            <w14:lumOff w14:val="35000"/>
          </w14:schemeClr>
        </w14:solidFill>
      </w14:textFill>
    </w:rPr>
  </w:style>
  <w:style w:type="character" w:customStyle="1" w:styleId="116">
    <w:name w:val="明显强调2"/>
    <w:basedOn w:val="46"/>
    <w:autoRedefine/>
    <w:qFormat/>
    <w:uiPriority w:val="21"/>
    <w:rPr>
      <w:b/>
      <w:i/>
      <w:sz w:val="24"/>
      <w:szCs w:val="24"/>
      <w:u w:val="single"/>
    </w:rPr>
  </w:style>
  <w:style w:type="character" w:customStyle="1" w:styleId="117">
    <w:name w:val="不明显参考2"/>
    <w:basedOn w:val="46"/>
    <w:autoRedefine/>
    <w:qFormat/>
    <w:uiPriority w:val="31"/>
    <w:rPr>
      <w:sz w:val="24"/>
      <w:szCs w:val="24"/>
      <w:u w:val="single"/>
    </w:rPr>
  </w:style>
  <w:style w:type="character" w:customStyle="1" w:styleId="118">
    <w:name w:val="明显参考2"/>
    <w:basedOn w:val="46"/>
    <w:autoRedefine/>
    <w:qFormat/>
    <w:uiPriority w:val="32"/>
    <w:rPr>
      <w:b/>
      <w:sz w:val="24"/>
      <w:u w:val="single"/>
    </w:rPr>
  </w:style>
  <w:style w:type="character" w:customStyle="1" w:styleId="119">
    <w:name w:val="书籍标题2"/>
    <w:basedOn w:val="46"/>
    <w:autoRedefine/>
    <w:qFormat/>
    <w:uiPriority w:val="33"/>
    <w:rPr>
      <w:rFonts w:asciiTheme="majorHAnsi" w:hAnsiTheme="majorHAnsi" w:eastAsiaTheme="majorEastAsia"/>
      <w:b/>
      <w:i/>
      <w:sz w:val="24"/>
      <w:szCs w:val="24"/>
    </w:rPr>
  </w:style>
  <w:style w:type="paragraph" w:customStyle="1" w:styleId="120">
    <w:name w:val="TOC 标题2"/>
    <w:basedOn w:val="2"/>
    <w:next w:val="1"/>
    <w:autoRedefine/>
    <w:semiHidden/>
    <w:unhideWhenUsed/>
    <w:qFormat/>
    <w:uiPriority w:val="39"/>
    <w:pPr>
      <w:outlineLvl w:val="9"/>
    </w:pPr>
  </w:style>
  <w:style w:type="paragraph" w:customStyle="1" w:styleId="121">
    <w:name w:val="WPSOffice手动目录 1"/>
    <w:qFormat/>
    <w:uiPriority w:val="0"/>
    <w:rPr>
      <w:rFonts w:cs="Times New Roman" w:asciiTheme="minorHAnsi" w:hAnsiTheme="minorHAnsi" w:eastAsiaTheme="minorEastAsia"/>
      <w:sz w:val="22"/>
      <w:szCs w:val="22"/>
      <w:lang w:val="en-US" w:eastAsia="zh-CN" w:bidi="ar-SA"/>
    </w:rPr>
  </w:style>
  <w:style w:type="character" w:customStyle="1" w:styleId="122">
    <w:name w:val="font21"/>
    <w:basedOn w:val="46"/>
    <w:autoRedefine/>
    <w:qFormat/>
    <w:uiPriority w:val="0"/>
    <w:rPr>
      <w:rFonts w:hint="eastAsia" w:ascii="宋体" w:hAnsi="宋体" w:eastAsia="宋体" w:cs="宋体"/>
      <w:b/>
      <w:bCs/>
      <w:color w:val="000000"/>
      <w:sz w:val="24"/>
      <w:szCs w:val="24"/>
      <w:u w:val="none"/>
    </w:rPr>
  </w:style>
  <w:style w:type="paragraph" w:customStyle="1" w:styleId="123">
    <w:name w:val="msonormal"/>
    <w:basedOn w:val="1"/>
    <w:autoRedefine/>
    <w:qFormat/>
    <w:uiPriority w:val="0"/>
    <w:pPr>
      <w:spacing w:before="100" w:beforeAutospacing="1" w:after="100" w:afterAutospacing="1"/>
    </w:pPr>
    <w:rPr>
      <w:rFonts w:ascii="宋体" w:hAnsi="宋体" w:eastAsia="宋体" w:cs="宋体"/>
    </w:rPr>
  </w:style>
  <w:style w:type="paragraph" w:customStyle="1" w:styleId="124">
    <w:name w:val="font5"/>
    <w:basedOn w:val="1"/>
    <w:autoRedefine/>
    <w:qFormat/>
    <w:uiPriority w:val="0"/>
    <w:pPr>
      <w:spacing w:before="100" w:beforeAutospacing="1" w:after="100" w:afterAutospacing="1"/>
    </w:pPr>
    <w:rPr>
      <w:rFonts w:ascii="等线" w:hAnsi="等线" w:eastAsia="等线" w:cs="宋体"/>
      <w:sz w:val="18"/>
      <w:szCs w:val="18"/>
    </w:rPr>
  </w:style>
  <w:style w:type="paragraph" w:customStyle="1" w:styleId="125">
    <w:name w:val="font6"/>
    <w:basedOn w:val="1"/>
    <w:autoRedefine/>
    <w:qFormat/>
    <w:uiPriority w:val="0"/>
    <w:pPr>
      <w:spacing w:before="100" w:beforeAutospacing="1" w:after="100" w:afterAutospacing="1"/>
    </w:pPr>
    <w:rPr>
      <w:rFonts w:ascii="等线" w:hAnsi="等线" w:eastAsia="等线" w:cs="宋体"/>
      <w:sz w:val="18"/>
      <w:szCs w:val="18"/>
    </w:rPr>
  </w:style>
  <w:style w:type="paragraph" w:customStyle="1" w:styleId="126">
    <w:name w:val="xl67"/>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eastAsia="宋体" w:cs="宋体"/>
      <w:sz w:val="20"/>
      <w:szCs w:val="20"/>
    </w:rPr>
  </w:style>
  <w:style w:type="paragraph" w:customStyle="1" w:styleId="127">
    <w:name w:val="xl68"/>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eastAsia="宋体" w:cs="宋体"/>
      <w:sz w:val="20"/>
      <w:szCs w:val="20"/>
    </w:rPr>
  </w:style>
  <w:style w:type="paragraph" w:customStyle="1" w:styleId="128">
    <w:name w:val="xl69"/>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eastAsia="宋体" w:cs="宋体"/>
      <w:color w:val="000000"/>
      <w:sz w:val="20"/>
      <w:szCs w:val="20"/>
    </w:rPr>
  </w:style>
  <w:style w:type="paragraph" w:customStyle="1" w:styleId="129">
    <w:name w:val="xl70"/>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sz w:val="20"/>
      <w:szCs w:val="20"/>
    </w:rPr>
  </w:style>
  <w:style w:type="paragraph" w:customStyle="1" w:styleId="130">
    <w:name w:val="xl71"/>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sz w:val="20"/>
      <w:szCs w:val="20"/>
    </w:rPr>
  </w:style>
  <w:style w:type="paragraph" w:customStyle="1" w:styleId="131">
    <w:name w:val="xl72"/>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32">
    <w:name w:val="xl73"/>
    <w:basedOn w:val="1"/>
    <w:autoRedefine/>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eastAsia="宋体" w:cs="宋体"/>
      <w:color w:val="000000"/>
      <w:sz w:val="20"/>
      <w:szCs w:val="20"/>
    </w:rPr>
  </w:style>
  <w:style w:type="paragraph" w:customStyle="1" w:styleId="133">
    <w:name w:val="xl74"/>
    <w:basedOn w:val="1"/>
    <w:autoRedefine/>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34">
    <w:name w:val="xl75"/>
    <w:basedOn w:val="1"/>
    <w:autoRedefine/>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35">
    <w:name w:val="xl76"/>
    <w:basedOn w:val="1"/>
    <w:autoRedefine/>
    <w:qFormat/>
    <w:uiPriority w:val="0"/>
    <w:pPr>
      <w:pBdr>
        <w:left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36">
    <w:name w:val="xl77"/>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37">
    <w:name w:val="xl78"/>
    <w:basedOn w:val="1"/>
    <w:autoRedefine/>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38">
    <w:name w:val="xl79"/>
    <w:basedOn w:val="1"/>
    <w:autoRedefine/>
    <w:qFormat/>
    <w:uiPriority w:val="0"/>
    <w:pPr>
      <w:pBdr>
        <w:left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39">
    <w:name w:val="xl80"/>
    <w:basedOn w:val="1"/>
    <w:autoRedefine/>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0">
    <w:name w:val="xl81"/>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1">
    <w:name w:val="xl82"/>
    <w:basedOn w:val="1"/>
    <w:autoRedefine/>
    <w:qFormat/>
    <w:uiPriority w:val="0"/>
    <w:pPr>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2">
    <w:name w:val="xl83"/>
    <w:basedOn w:val="1"/>
    <w:autoRedefine/>
    <w:qFormat/>
    <w:uiPriority w:val="0"/>
    <w:pPr>
      <w:pBdr>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3">
    <w:name w:val="xl84"/>
    <w:basedOn w:val="1"/>
    <w:autoRedefine/>
    <w:qFormat/>
    <w:uiPriority w:val="0"/>
    <w:pPr>
      <w:pBdr>
        <w:top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4">
    <w:name w:val="xl85"/>
    <w:basedOn w:val="1"/>
    <w:autoRedefine/>
    <w:qFormat/>
    <w:uiPriority w:val="0"/>
    <w:pPr>
      <w:pBdr>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5">
    <w:name w:val="xl86"/>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6">
    <w:name w:val="xl87"/>
    <w:basedOn w:val="1"/>
    <w:autoRedefine/>
    <w:qFormat/>
    <w:uiPriority w:val="0"/>
    <w:pPr>
      <w:pBdr>
        <w:left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7">
    <w:name w:val="xl88"/>
    <w:basedOn w:val="1"/>
    <w:autoRedefine/>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8">
    <w:name w:val="xl89"/>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49">
    <w:name w:val="xl90"/>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eastAsia="宋体" w:cs="宋体"/>
    </w:rPr>
  </w:style>
  <w:style w:type="paragraph" w:customStyle="1" w:styleId="150">
    <w:name w:val="xl65"/>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sz w:val="20"/>
      <w:szCs w:val="20"/>
    </w:rPr>
  </w:style>
  <w:style w:type="paragraph" w:customStyle="1" w:styleId="151">
    <w:name w:val="xl66"/>
    <w:basedOn w:val="1"/>
    <w:autoRedefine/>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sz w:val="20"/>
      <w:szCs w:val="20"/>
    </w:rPr>
  </w:style>
  <w:style w:type="paragraph" w:customStyle="1" w:styleId="152">
    <w:name w:val="font7"/>
    <w:basedOn w:val="1"/>
    <w:autoRedefine/>
    <w:qFormat/>
    <w:uiPriority w:val="0"/>
    <w:pPr>
      <w:spacing w:before="100" w:beforeAutospacing="1" w:after="100" w:afterAutospacing="1"/>
    </w:pPr>
    <w:rPr>
      <w:rFonts w:ascii="宋体" w:hAnsi="宋体" w:eastAsia="宋体" w:cs="宋体"/>
      <w:sz w:val="18"/>
      <w:szCs w:val="18"/>
    </w:rPr>
  </w:style>
  <w:style w:type="character" w:customStyle="1" w:styleId="153">
    <w:name w:val="文档结构图 Char"/>
    <w:basedOn w:val="46"/>
    <w:link w:val="16"/>
    <w:autoRedefine/>
    <w:semiHidden/>
    <w:qFormat/>
    <w:uiPriority w:val="99"/>
    <w:rPr>
      <w:rFonts w:ascii="宋体" w:hAnsi="宋体" w:eastAsia="宋体" w:cs="宋体"/>
      <w:sz w:val="24"/>
      <w:szCs w:val="24"/>
      <w:shd w:val="clear" w:color="auto" w:fill="000080"/>
    </w:rPr>
  </w:style>
  <w:style w:type="character" w:customStyle="1" w:styleId="154">
    <w:name w:val="日期 Char"/>
    <w:basedOn w:val="46"/>
    <w:link w:val="26"/>
    <w:autoRedefine/>
    <w:qFormat/>
    <w:uiPriority w:val="99"/>
    <w:rPr>
      <w:rFonts w:ascii="楷体_GB2312" w:hAnsi="宋体" w:eastAsia="楷体_GB2312" w:cs="宋体"/>
      <w:sz w:val="24"/>
      <w:szCs w:val="24"/>
    </w:rPr>
  </w:style>
  <w:style w:type="character" w:customStyle="1" w:styleId="155">
    <w:name w:val="正文文本缩进 2 Char"/>
    <w:basedOn w:val="46"/>
    <w:link w:val="27"/>
    <w:autoRedefine/>
    <w:qFormat/>
    <w:uiPriority w:val="0"/>
    <w:rPr>
      <w:rFonts w:ascii="宋体" w:hAnsi="宋体" w:eastAsia="华文楷体" w:cs="宋体"/>
      <w:sz w:val="28"/>
      <w:szCs w:val="24"/>
    </w:rPr>
  </w:style>
  <w:style w:type="character" w:customStyle="1" w:styleId="156">
    <w:name w:val="脚注文本 Char"/>
    <w:basedOn w:val="46"/>
    <w:link w:val="34"/>
    <w:autoRedefine/>
    <w:qFormat/>
    <w:uiPriority w:val="0"/>
    <w:rPr>
      <w:rFonts w:ascii="宋体" w:hAnsi="宋体" w:eastAsia="宋体" w:cs="宋体"/>
      <w:sz w:val="18"/>
      <w:szCs w:val="18"/>
    </w:rPr>
  </w:style>
  <w:style w:type="character" w:customStyle="1" w:styleId="157">
    <w:name w:val="正文文本缩进 3 Char"/>
    <w:basedOn w:val="46"/>
    <w:link w:val="36"/>
    <w:autoRedefine/>
    <w:qFormat/>
    <w:uiPriority w:val="0"/>
    <w:rPr>
      <w:rFonts w:ascii="宋体" w:hAnsi="宋体" w:eastAsia="宋体" w:cs="宋体"/>
      <w:sz w:val="24"/>
      <w:szCs w:val="24"/>
    </w:rPr>
  </w:style>
  <w:style w:type="paragraph" w:customStyle="1" w:styleId="158">
    <w:name w:val="ZZW三级标题"/>
    <w:basedOn w:val="1"/>
    <w:autoRedefine/>
    <w:qFormat/>
    <w:uiPriority w:val="0"/>
    <w:rPr>
      <w:rFonts w:ascii="宋体" w:hAnsi="宋体" w:eastAsia="宋体" w:cs="宋体"/>
    </w:rPr>
  </w:style>
  <w:style w:type="paragraph" w:customStyle="1" w:styleId="159">
    <w:name w:val="样式 标题 1 + 宋体 五号 左 段前: 24 磅 段后: 12 磅 行距: 最小值 0 磅"/>
    <w:basedOn w:val="2"/>
    <w:autoRedefine/>
    <w:qFormat/>
    <w:uiPriority w:val="0"/>
    <w:pPr>
      <w:keepLines/>
      <w:tabs>
        <w:tab w:val="left" w:pos="0"/>
      </w:tabs>
      <w:spacing w:before="480" w:after="240" w:line="0" w:lineRule="atLeast"/>
      <w:ind w:left="0" w:firstLine="0"/>
    </w:pPr>
    <w:rPr>
      <w:rFonts w:ascii="宋体" w:hAnsi="宋体" w:eastAsia="宋体" w:cs="宋体"/>
      <w:kern w:val="44"/>
      <w:szCs w:val="20"/>
    </w:rPr>
  </w:style>
  <w:style w:type="character" w:customStyle="1" w:styleId="160">
    <w:name w:val="标题 2 Char"/>
    <w:autoRedefine/>
    <w:qFormat/>
    <w:uiPriority w:val="0"/>
    <w:rPr>
      <w:rFonts w:ascii="Arial" w:hAnsi="Arial" w:eastAsia="黑体"/>
      <w:b/>
      <w:kern w:val="2"/>
      <w:sz w:val="32"/>
      <w:lang w:val="en-US" w:eastAsia="zh-CN" w:bidi="ar-SA"/>
    </w:rPr>
  </w:style>
  <w:style w:type="character" w:customStyle="1" w:styleId="161">
    <w:name w:val="正文文本 Char"/>
    <w:link w:val="18"/>
    <w:autoRedefine/>
    <w:qFormat/>
    <w:uiPriority w:val="0"/>
    <w:rPr>
      <w:rFonts w:cstheme="minorBidi"/>
      <w:sz w:val="24"/>
      <w:szCs w:val="24"/>
    </w:rPr>
  </w:style>
  <w:style w:type="character" w:customStyle="1" w:styleId="162">
    <w:name w:val="标题 字符1"/>
    <w:autoRedefine/>
    <w:qFormat/>
    <w:uiPriority w:val="0"/>
    <w:rPr>
      <w:rFonts w:ascii="Arial" w:hAnsi="Arial" w:eastAsia="黑体" w:cs="Arial"/>
      <w:b/>
      <w:bCs/>
      <w:kern w:val="2"/>
      <w:sz w:val="32"/>
      <w:szCs w:val="32"/>
    </w:rPr>
  </w:style>
  <w:style w:type="character" w:customStyle="1" w:styleId="163">
    <w:name w:val="p31"/>
    <w:autoRedefine/>
    <w:qFormat/>
    <w:uiPriority w:val="0"/>
    <w:rPr>
      <w:color w:val="5E5B5B"/>
      <w:sz w:val="18"/>
      <w:szCs w:val="18"/>
    </w:rPr>
  </w:style>
  <w:style w:type="paragraph" w:customStyle="1" w:styleId="164">
    <w:name w:val="xl95"/>
    <w:basedOn w:val="1"/>
    <w:autoRedefine/>
    <w:qFormat/>
    <w:uiPriority w:val="0"/>
    <w:pPr>
      <w:pBdr>
        <w:left w:val="single" w:color="auto" w:sz="4" w:space="0"/>
        <w:bottom w:val="single" w:color="auto" w:sz="4" w:space="0"/>
        <w:right w:val="single" w:color="auto" w:sz="4" w:space="0"/>
      </w:pBdr>
      <w:shd w:val="clear" w:color="000000" w:fill="FF0000"/>
      <w:spacing w:before="100" w:beforeAutospacing="1" w:after="100" w:afterAutospacing="1"/>
      <w:jc w:val="center"/>
      <w:textAlignment w:val="center"/>
    </w:pPr>
    <w:rPr>
      <w:rFonts w:ascii="宋体" w:hAnsi="宋体" w:eastAsia="宋体" w:cs="宋体"/>
      <w:b/>
      <w:bCs/>
      <w:szCs w:val="21"/>
    </w:rPr>
  </w:style>
  <w:style w:type="paragraph" w:customStyle="1" w:styleId="165">
    <w:name w:val="xl64"/>
    <w:basedOn w:val="1"/>
    <w:autoRedefine/>
    <w:qFormat/>
    <w:uiPriority w:val="0"/>
    <w:pPr>
      <w:spacing w:before="100" w:beforeAutospacing="1" w:after="100" w:afterAutospacing="1"/>
    </w:pPr>
    <w:rPr>
      <w:rFonts w:ascii="宋体" w:hAnsi="宋体" w:eastAsia="宋体" w:cs="宋体"/>
    </w:rPr>
  </w:style>
  <w:style w:type="character" w:customStyle="1" w:styleId="166">
    <w:name w:val="批注文字 字符1"/>
    <w:autoRedefine/>
    <w:qFormat/>
    <w:uiPriority w:val="0"/>
    <w:rPr>
      <w:kern w:val="2"/>
      <w:sz w:val="21"/>
    </w:rPr>
  </w:style>
  <w:style w:type="paragraph" w:customStyle="1" w:styleId="167">
    <w:name w:val="xl94"/>
    <w:basedOn w:val="1"/>
    <w:autoRedefine/>
    <w:qFormat/>
    <w:uiPriority w:val="0"/>
    <w:pPr>
      <w:pBdr>
        <w:top w:val="single" w:color="auto" w:sz="4" w:space="0"/>
        <w:left w:val="single" w:color="auto" w:sz="4" w:space="0"/>
        <w:right w:val="single" w:color="auto" w:sz="4" w:space="0"/>
      </w:pBdr>
      <w:shd w:val="clear" w:color="000000" w:fill="FF0000"/>
      <w:spacing w:before="100" w:beforeAutospacing="1" w:after="100" w:afterAutospacing="1"/>
      <w:jc w:val="center"/>
      <w:textAlignment w:val="center"/>
    </w:pPr>
    <w:rPr>
      <w:rFonts w:ascii="宋体" w:hAnsi="宋体" w:eastAsia="宋体" w:cs="宋体"/>
      <w:b/>
      <w:bCs/>
      <w:szCs w:val="21"/>
    </w:rPr>
  </w:style>
  <w:style w:type="paragraph" w:customStyle="1" w:styleId="168">
    <w:name w:val="xl63"/>
    <w:basedOn w:val="1"/>
    <w:autoRedefine/>
    <w:qFormat/>
    <w:uiPriority w:val="0"/>
    <w:pPr>
      <w:spacing w:before="100" w:beforeAutospacing="1" w:after="100" w:afterAutospacing="1"/>
      <w:textAlignment w:val="center"/>
    </w:pPr>
    <w:rPr>
      <w:rFonts w:ascii="宋体" w:hAnsi="宋体" w:eastAsia="宋体" w:cs="宋体"/>
    </w:rPr>
  </w:style>
  <w:style w:type="paragraph" w:customStyle="1" w:styleId="169">
    <w:name w:val="Char"/>
    <w:basedOn w:val="1"/>
    <w:autoRedefine/>
    <w:qFormat/>
    <w:uiPriority w:val="0"/>
    <w:rPr>
      <w:rFonts w:ascii="仿宋_GB2312" w:hAnsi="宋体" w:eastAsia="仿宋_GB2312" w:cs="宋体"/>
      <w:b/>
      <w:sz w:val="32"/>
      <w:szCs w:val="32"/>
    </w:rPr>
  </w:style>
  <w:style w:type="paragraph" w:customStyle="1" w:styleId="170">
    <w:name w:val="Tabletext"/>
    <w:basedOn w:val="1"/>
    <w:qFormat/>
    <w:uiPriority w:val="0"/>
    <w:pPr>
      <w:keepLines/>
      <w:spacing w:after="120" w:line="240" w:lineRule="atLeast"/>
    </w:pPr>
    <w:rPr>
      <w:rFonts w:ascii="宋体" w:hAnsi="宋体" w:eastAsia="宋体" w:cs="宋体"/>
      <w:snapToGrid w:val="0"/>
      <w:sz w:val="20"/>
    </w:rPr>
  </w:style>
  <w:style w:type="paragraph" w:customStyle="1" w:styleId="171">
    <w:name w:val="xl96"/>
    <w:basedOn w:val="1"/>
    <w:autoRedefine/>
    <w:qFormat/>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宋体" w:hAnsi="宋体" w:eastAsia="宋体" w:cs="宋体"/>
      <w:szCs w:val="21"/>
    </w:rPr>
  </w:style>
  <w:style w:type="paragraph" w:customStyle="1" w:styleId="172">
    <w:name w:val="Char Char Char"/>
    <w:basedOn w:val="1"/>
    <w:autoRedefine/>
    <w:qFormat/>
    <w:uiPriority w:val="0"/>
    <w:pPr>
      <w:spacing w:line="360" w:lineRule="auto"/>
    </w:pPr>
    <w:rPr>
      <w:rFonts w:ascii="Tahoma" w:hAnsi="Tahoma" w:eastAsia="宋体" w:cs="宋体"/>
    </w:rPr>
  </w:style>
  <w:style w:type="paragraph" w:customStyle="1" w:styleId="173">
    <w:name w:val="Char Char1"/>
    <w:basedOn w:val="1"/>
    <w:autoRedefine/>
    <w:qFormat/>
    <w:uiPriority w:val="0"/>
    <w:pPr>
      <w:spacing w:after="160" w:line="240" w:lineRule="exact"/>
    </w:pPr>
    <w:rPr>
      <w:rFonts w:ascii="宋体" w:hAnsi="宋体" w:eastAsia="宋体" w:cs="宋体"/>
      <w:sz w:val="20"/>
      <w:lang w:eastAsia="en-US"/>
    </w:rPr>
  </w:style>
  <w:style w:type="paragraph" w:customStyle="1" w:styleId="174">
    <w:name w:val="回信地址"/>
    <w:basedOn w:val="1"/>
    <w:autoRedefine/>
    <w:qFormat/>
    <w:uiPriority w:val="0"/>
    <w:pPr>
      <w:keepLines/>
      <w:framePr w:w="2160" w:h="1200" w:wrap="notBeside" w:vAnchor="page" w:hAnchor="page" w:x="9241" w:y="673" w:anchorLock="1"/>
      <w:spacing w:line="220" w:lineRule="atLeast"/>
    </w:pPr>
    <w:rPr>
      <w:rFonts w:ascii="宋体" w:hAnsi="宋体" w:eastAsia="宋体" w:cs="宋体"/>
      <w:sz w:val="15"/>
    </w:rPr>
  </w:style>
  <w:style w:type="paragraph" w:customStyle="1" w:styleId="175">
    <w:name w:val="列出段落2"/>
    <w:basedOn w:val="1"/>
    <w:autoRedefine/>
    <w:qFormat/>
    <w:uiPriority w:val="0"/>
    <w:pPr>
      <w:ind w:firstLine="420" w:firstLineChars="200"/>
    </w:pPr>
    <w:rPr>
      <w:rFonts w:ascii="Calibri" w:hAnsi="Calibri" w:eastAsia="宋体" w:cs="宋体"/>
      <w:szCs w:val="22"/>
    </w:rPr>
  </w:style>
  <w:style w:type="paragraph" w:customStyle="1" w:styleId="176">
    <w:name w:val="xl92"/>
    <w:basedOn w:val="1"/>
    <w:autoRedefine/>
    <w:qFormat/>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宋体" w:hAnsi="宋体" w:eastAsia="宋体" w:cs="宋体"/>
      <w:szCs w:val="21"/>
    </w:rPr>
  </w:style>
  <w:style w:type="paragraph" w:customStyle="1" w:styleId="177">
    <w:name w:val="xl91"/>
    <w:basedOn w:val="1"/>
    <w:autoRedefine/>
    <w:qFormat/>
    <w:uiPriority w:val="0"/>
    <w:pPr>
      <w:pBdr>
        <w:top w:val="single" w:color="auto" w:sz="4" w:space="0"/>
        <w:left w:val="single" w:color="auto" w:sz="4" w:space="0"/>
        <w:right w:val="single" w:color="auto" w:sz="4" w:space="0"/>
      </w:pBdr>
      <w:spacing w:before="100" w:beforeAutospacing="1" w:after="100" w:afterAutospacing="1"/>
      <w:textAlignment w:val="center"/>
    </w:pPr>
    <w:rPr>
      <w:rFonts w:ascii="宋体" w:hAnsi="宋体" w:eastAsia="宋体" w:cs="宋体"/>
      <w:szCs w:val="21"/>
    </w:rPr>
  </w:style>
  <w:style w:type="paragraph" w:customStyle="1" w:styleId="178">
    <w:name w:val="Char Char Char Char"/>
    <w:basedOn w:val="1"/>
    <w:autoRedefine/>
    <w:qFormat/>
    <w:uiPriority w:val="0"/>
    <w:pPr>
      <w:tabs>
        <w:tab w:val="left" w:pos="360"/>
      </w:tabs>
      <w:ind w:firstLine="420" w:firstLineChars="150"/>
    </w:pPr>
    <w:rPr>
      <w:rFonts w:ascii="Arial" w:hAnsi="Arial" w:eastAsia="宋体" w:cs="Arial"/>
      <w:sz w:val="20"/>
    </w:rPr>
  </w:style>
  <w:style w:type="paragraph" w:customStyle="1" w:styleId="179">
    <w:name w:val="xl93"/>
    <w:basedOn w:val="1"/>
    <w:autoRedefine/>
    <w:qFormat/>
    <w:uiPriority w:val="0"/>
    <w:pPr>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textAlignment w:val="center"/>
    </w:pPr>
    <w:rPr>
      <w:rFonts w:ascii="宋体" w:hAnsi="宋体" w:eastAsia="宋体" w:cs="宋体"/>
      <w:b/>
      <w:bCs/>
      <w:szCs w:val="21"/>
    </w:rPr>
  </w:style>
  <w:style w:type="paragraph" w:customStyle="1" w:styleId="180">
    <w:name w:val="xl97"/>
    <w:basedOn w:val="1"/>
    <w:autoRedefine/>
    <w:qFormat/>
    <w:uiPriority w:val="0"/>
    <w:pPr>
      <w:pBdr>
        <w:top w:val="single" w:color="auto" w:sz="4" w:space="0"/>
        <w:left w:val="single" w:color="auto" w:sz="4" w:space="0"/>
        <w:bottom w:val="single" w:color="auto" w:sz="4" w:space="0"/>
        <w:right w:val="single" w:color="auto" w:sz="4" w:space="0"/>
      </w:pBdr>
      <w:shd w:val="clear" w:color="000000" w:fill="FF0000"/>
      <w:spacing w:before="100" w:beforeAutospacing="1" w:after="100" w:afterAutospacing="1"/>
      <w:textAlignment w:val="center"/>
    </w:pPr>
    <w:rPr>
      <w:rFonts w:ascii="宋体" w:hAnsi="宋体" w:eastAsia="宋体" w:cs="宋体"/>
      <w:b/>
      <w:bCs/>
      <w:szCs w:val="21"/>
    </w:rPr>
  </w:style>
  <w:style w:type="paragraph" w:customStyle="1" w:styleId="181">
    <w:name w:val="列出段落1"/>
    <w:basedOn w:val="1"/>
    <w:autoRedefine/>
    <w:qFormat/>
    <w:uiPriority w:val="34"/>
    <w:pPr>
      <w:ind w:firstLine="420" w:firstLineChars="200"/>
    </w:pPr>
    <w:rPr>
      <w:rFonts w:ascii="宋体" w:hAnsi="宋体" w:eastAsia="宋体" w:cs="宋体"/>
    </w:rPr>
  </w:style>
  <w:style w:type="paragraph" w:customStyle="1" w:styleId="182">
    <w:name w:val="prj0"/>
    <w:basedOn w:val="1"/>
    <w:autoRedefine/>
    <w:qFormat/>
    <w:uiPriority w:val="0"/>
    <w:pPr>
      <w:pBdr>
        <w:top w:val="single" w:color="B1BBCC" w:sz="4" w:space="0"/>
        <w:left w:val="single" w:color="B1BBCC" w:sz="4" w:space="0"/>
        <w:bottom w:val="single" w:color="B1BBCC" w:sz="4" w:space="0"/>
        <w:right w:val="single" w:color="B1BBCC" w:sz="4" w:space="0"/>
      </w:pBdr>
      <w:spacing w:before="100" w:beforeAutospacing="1" w:after="100" w:afterAutospacing="1"/>
    </w:pPr>
    <w:rPr>
      <w:rFonts w:ascii="宋体" w:hAnsi="宋体" w:eastAsia="宋体" w:cs="宋体"/>
      <w:sz w:val="18"/>
      <w:szCs w:val="18"/>
    </w:rPr>
  </w:style>
  <w:style w:type="paragraph" w:customStyle="1" w:styleId="183">
    <w:name w:val="prj1"/>
    <w:basedOn w:val="1"/>
    <w:autoRedefine/>
    <w:qFormat/>
    <w:uiPriority w:val="0"/>
    <w:pPr>
      <w:pBdr>
        <w:top w:val="single" w:color="B1BBCC" w:sz="4" w:space="0"/>
        <w:left w:val="single" w:color="B1BBCC" w:sz="4" w:space="0"/>
        <w:bottom w:val="single" w:color="B1BBCC" w:sz="4" w:space="0"/>
        <w:right w:val="single" w:color="B1BBCC" w:sz="4" w:space="0"/>
      </w:pBdr>
      <w:spacing w:before="100" w:beforeAutospacing="1" w:after="100" w:afterAutospacing="1"/>
    </w:pPr>
    <w:rPr>
      <w:rFonts w:ascii="宋体" w:hAnsi="宋体" w:eastAsia="宋体" w:cs="宋体"/>
      <w:sz w:val="22"/>
      <w:szCs w:val="22"/>
    </w:rPr>
  </w:style>
  <w:style w:type="paragraph" w:customStyle="1" w:styleId="184">
    <w:name w:val="prj2"/>
    <w:basedOn w:val="1"/>
    <w:autoRedefine/>
    <w:qFormat/>
    <w:uiPriority w:val="0"/>
    <w:pPr>
      <w:pBdr>
        <w:top w:val="single" w:color="B1BBCC" w:sz="4" w:space="0"/>
        <w:left w:val="single" w:color="B1BBCC" w:sz="4" w:space="0"/>
        <w:bottom w:val="single" w:color="B1BBCC" w:sz="4" w:space="0"/>
        <w:right w:val="single" w:color="B1BBCC" w:sz="4" w:space="0"/>
      </w:pBdr>
      <w:spacing w:before="100" w:beforeAutospacing="1" w:after="100" w:afterAutospacing="1"/>
    </w:pPr>
    <w:rPr>
      <w:rFonts w:ascii="宋体" w:hAnsi="宋体" w:eastAsia="宋体" w:cs="宋体"/>
    </w:rPr>
  </w:style>
  <w:style w:type="paragraph" w:customStyle="1" w:styleId="185">
    <w:name w:val="功能列表样式"/>
    <w:basedOn w:val="1"/>
    <w:link w:val="186"/>
    <w:autoRedefine/>
    <w:qFormat/>
    <w:uiPriority w:val="0"/>
    <w:pPr>
      <w:widowControl w:val="0"/>
      <w:spacing w:afterLines="50" w:line="360" w:lineRule="auto"/>
    </w:pPr>
    <w:rPr>
      <w:rFonts w:ascii="宋体" w:hAnsi="宋体" w:eastAsia="宋体" w:cs="Times New Roman"/>
      <w:spacing w:val="2"/>
      <w:lang w:eastAsia="en-US"/>
    </w:rPr>
  </w:style>
  <w:style w:type="character" w:customStyle="1" w:styleId="186">
    <w:name w:val="功能列表样式 Char"/>
    <w:link w:val="185"/>
    <w:autoRedefine/>
    <w:qFormat/>
    <w:uiPriority w:val="0"/>
    <w:rPr>
      <w:rFonts w:ascii="宋体" w:hAnsi="宋体" w:eastAsia="宋体"/>
      <w:spacing w:val="2"/>
      <w:sz w:val="24"/>
      <w:szCs w:val="24"/>
      <w:lang w:eastAsia="en-US"/>
    </w:rPr>
  </w:style>
  <w:style w:type="character" w:customStyle="1" w:styleId="187">
    <w:name w:val="普通(网站) Char"/>
    <w:link w:val="39"/>
    <w:autoRedefine/>
    <w:qFormat/>
    <w:locked/>
    <w:uiPriority w:val="0"/>
    <w:rPr>
      <w:rFonts w:cs="宋体"/>
      <w:sz w:val="24"/>
      <w:szCs w:val="24"/>
    </w:rPr>
  </w:style>
  <w:style w:type="paragraph" w:customStyle="1" w:styleId="188">
    <w:name w:val="_Style 4"/>
    <w:basedOn w:val="1"/>
    <w:autoRedefine/>
    <w:qFormat/>
    <w:uiPriority w:val="34"/>
    <w:pPr>
      <w:ind w:firstLine="420" w:firstLineChars="200"/>
    </w:pPr>
    <w:rPr>
      <w:rFonts w:ascii="Calibri" w:hAnsi="Calibri" w:eastAsia="宋体" w:cs="Times New Roman"/>
      <w:sz w:val="28"/>
      <w:szCs w:val="22"/>
    </w:rPr>
  </w:style>
  <w:style w:type="paragraph" w:customStyle="1" w:styleId="189">
    <w:name w:val="表格题头"/>
    <w:basedOn w:val="1"/>
    <w:autoRedefine/>
    <w:qFormat/>
    <w:uiPriority w:val="0"/>
    <w:pPr>
      <w:adjustRightInd w:val="0"/>
      <w:jc w:val="center"/>
      <w:textAlignment w:val="baseline"/>
    </w:pPr>
    <w:rPr>
      <w:rFonts w:ascii="宋体" w:hAnsi="宋体" w:eastAsia="宋体" w:cs="宋体"/>
      <w:bCs/>
      <w:szCs w:val="20"/>
    </w:rPr>
  </w:style>
  <w:style w:type="paragraph" w:customStyle="1" w:styleId="190">
    <w:name w:val="表格正文"/>
    <w:basedOn w:val="1"/>
    <w:autoRedefine/>
    <w:qFormat/>
    <w:uiPriority w:val="0"/>
    <w:pPr>
      <w:adjustRightInd w:val="0"/>
      <w:spacing w:line="320" w:lineRule="atLeast"/>
      <w:textAlignment w:val="baseline"/>
    </w:pPr>
    <w:rPr>
      <w:rFonts w:ascii="宋体" w:hAnsi="宋体" w:eastAsia="宋体" w:cs="宋体"/>
      <w:szCs w:val="20"/>
    </w:rPr>
  </w:style>
  <w:style w:type="paragraph" w:customStyle="1" w:styleId="191">
    <w:name w:val="表格左栏"/>
    <w:basedOn w:val="190"/>
    <w:autoRedefine/>
    <w:qFormat/>
    <w:uiPriority w:val="0"/>
    <w:pPr>
      <w:jc w:val="center"/>
    </w:pPr>
  </w:style>
  <w:style w:type="paragraph" w:customStyle="1" w:styleId="192">
    <w:name w:val="列表段落4"/>
    <w:basedOn w:val="1"/>
    <w:autoRedefine/>
    <w:qFormat/>
    <w:uiPriority w:val="99"/>
    <w:pPr>
      <w:widowControl w:val="0"/>
      <w:ind w:firstLine="420" w:firstLineChars="200"/>
      <w:jc w:val="both"/>
    </w:pPr>
    <w:rPr>
      <w:rFonts w:hint="eastAsia" w:ascii="Calibri" w:hAnsi="Calibri" w:eastAsia="宋体" w:cs="Times New Roman"/>
      <w:kern w:val="2"/>
      <w:sz w:val="21"/>
      <w:szCs w:val="20"/>
    </w:rPr>
  </w:style>
  <w:style w:type="paragraph" w:customStyle="1" w:styleId="193">
    <w:name w:val="Note Heading2"/>
    <w:basedOn w:val="1"/>
    <w:next w:val="1"/>
    <w:autoRedefine/>
    <w:qFormat/>
    <w:uiPriority w:val="0"/>
    <w:pPr>
      <w:widowControl w:val="0"/>
      <w:jc w:val="center"/>
    </w:pPr>
    <w:rPr>
      <w:rFonts w:hint="eastAsia" w:ascii="DFKai-SB" w:hAnsi="DFKai-SB" w:eastAsia="DFKai-SB" w:cs="Times New Roman"/>
      <w:kern w:val="2"/>
      <w:sz w:val="20"/>
      <w:szCs w:val="20"/>
    </w:rPr>
  </w:style>
  <w:style w:type="paragraph" w:customStyle="1" w:styleId="194">
    <w:name w:val="Table"/>
    <w:basedOn w:val="1"/>
    <w:autoRedefine/>
    <w:qFormat/>
    <w:uiPriority w:val="0"/>
    <w:pPr>
      <w:spacing w:before="40" w:after="40"/>
      <w:ind w:firstLine="480" w:firstLineChars="200"/>
      <w:textAlignment w:val="baseline"/>
    </w:pPr>
    <w:rPr>
      <w:rFonts w:hint="eastAsia" w:ascii="Arial Narrow" w:hAnsi="Arial Narrow" w:eastAsia="仿宋_GB2312" w:cs="Times New Roman"/>
      <w:color w:val="000000"/>
      <w:sz w:val="34"/>
      <w:szCs w:val="20"/>
    </w:rPr>
  </w:style>
  <w:style w:type="paragraph" w:customStyle="1" w:styleId="195">
    <w:name w:val="列表段落3"/>
    <w:basedOn w:val="1"/>
    <w:autoRedefine/>
    <w:qFormat/>
    <w:uiPriority w:val="99"/>
    <w:pPr>
      <w:widowControl w:val="0"/>
      <w:ind w:firstLine="420" w:firstLineChars="200"/>
      <w:jc w:val="both"/>
    </w:pPr>
    <w:rPr>
      <w:rFonts w:hint="eastAsia" w:ascii="Calibri" w:hAnsi="Calibri" w:eastAsia="宋体" w:cs="Times New Roman"/>
      <w:kern w:val="2"/>
      <w:sz w:val="21"/>
      <w:szCs w:val="20"/>
    </w:rPr>
  </w:style>
  <w:style w:type="paragraph" w:customStyle="1" w:styleId="196">
    <w:name w:val="Table Paragraph"/>
    <w:basedOn w:val="1"/>
    <w:autoRedefine/>
    <w:qFormat/>
    <w:uiPriority w:val="1"/>
    <w:pPr>
      <w:ind w:firstLine="480" w:firstLineChars="200"/>
    </w:pPr>
    <w:rPr>
      <w:rFonts w:hint="eastAsia" w:ascii="楷体" w:hAnsi="楷体" w:eastAsia="楷体" w:cs="Times New Roman"/>
      <w:szCs w:val="20"/>
      <w:lang w:eastAsia="en-US"/>
    </w:rPr>
  </w:style>
  <w:style w:type="table" w:customStyle="1" w:styleId="197">
    <w:name w:val="Table Normal"/>
    <w:autoRedefine/>
    <w:unhideWhenUsed/>
    <w:qFormat/>
    <w:uiPriority w:val="0"/>
    <w:pPr>
      <w:widowControl w:val="0"/>
      <w:autoSpaceDE w:val="0"/>
      <w:autoSpaceDN w:val="0"/>
    </w:pPr>
    <w:rPr>
      <w:lang w:eastAsia="en-US"/>
    </w:rPr>
    <w:tblPr>
      <w:tblCellMar>
        <w:top w:w="0" w:type="dxa"/>
        <w:left w:w="0" w:type="dxa"/>
        <w:bottom w:w="0" w:type="dxa"/>
        <w:right w:w="0" w:type="dxa"/>
      </w:tblCellMar>
    </w:tblPr>
  </w:style>
  <w:style w:type="paragraph" w:customStyle="1" w:styleId="198">
    <w:name w:val="彩色列表 - 强调文字颜色 11"/>
    <w:autoRedefine/>
    <w:qFormat/>
    <w:uiPriority w:val="0"/>
    <w:pPr>
      <w:widowControl w:val="0"/>
      <w:ind w:firstLine="420"/>
      <w:jc w:val="both"/>
    </w:pPr>
    <w:rPr>
      <w:rFonts w:hint="eastAsia" w:ascii="Arial Unicode MS" w:hAnsi="Arial Unicode MS" w:eastAsia="Arial Unicode MS" w:cs="Arial Unicode MS"/>
      <w:color w:val="000000"/>
      <w:kern w:val="2"/>
      <w:sz w:val="21"/>
      <w:szCs w:val="21"/>
      <w:u w:color="000000"/>
      <w:lang w:val="en-US" w:eastAsia="zh-CN" w:bidi="ar-SA"/>
    </w:rPr>
  </w:style>
  <w:style w:type="paragraph" w:customStyle="1" w:styleId="199">
    <w:name w:val="U_正文"/>
    <w:basedOn w:val="1"/>
    <w:autoRedefine/>
    <w:qFormat/>
    <w:uiPriority w:val="0"/>
    <w:pPr>
      <w:spacing w:beforeLines="20" w:afterLines="20" w:line="300" w:lineRule="auto"/>
      <w:ind w:firstLine="200" w:firstLineChars="200"/>
    </w:pPr>
    <w:rPr>
      <w:szCs w:val="20"/>
    </w:rPr>
  </w:style>
  <w:style w:type="character" w:customStyle="1" w:styleId="200">
    <w:name w:val="未处理的提及2"/>
    <w:basedOn w:val="46"/>
    <w:autoRedefine/>
    <w:semiHidden/>
    <w:unhideWhenUsed/>
    <w:qFormat/>
    <w:uiPriority w:val="99"/>
    <w:rPr>
      <w:color w:val="605E5C"/>
      <w:shd w:val="clear" w:color="auto" w:fill="E1DFDD"/>
    </w:rPr>
  </w:style>
  <w:style w:type="paragraph" w:customStyle="1" w:styleId="201">
    <w:name w:val="标准正文格式"/>
    <w:basedOn w:val="1"/>
    <w:autoRedefine/>
    <w:qFormat/>
    <w:uiPriority w:val="0"/>
    <w:pPr>
      <w:adjustRightInd w:val="0"/>
      <w:spacing w:before="60" w:after="120"/>
      <w:ind w:firstLine="200" w:firstLineChars="200"/>
      <w:textAlignment w:val="baseline"/>
    </w:pPr>
    <w:rPr>
      <w:rFonts w:ascii="宋体" w:hAnsi="Times New Roman" w:eastAsia="仿宋_GB2312" w:cs="Times New Roman"/>
      <w:color w:val="000000"/>
      <w:szCs w:val="20"/>
    </w:rPr>
  </w:style>
  <w:style w:type="paragraph" w:customStyle="1" w:styleId="202">
    <w:name w:val="首行缩进"/>
    <w:basedOn w:val="1"/>
    <w:autoRedefine/>
    <w:qFormat/>
    <w:uiPriority w:val="0"/>
    <w:pPr>
      <w:spacing w:line="360" w:lineRule="auto"/>
      <w:ind w:firstLine="480" w:firstLineChars="200"/>
    </w:pPr>
    <w:rPr>
      <w:rFonts w:ascii="宋体"/>
      <w:szCs w:val="20"/>
    </w:rPr>
  </w:style>
  <w:style w:type="paragraph" w:customStyle="1" w:styleId="203">
    <w:name w:val="正文2"/>
    <w:basedOn w:val="1"/>
    <w:autoRedefine/>
    <w:qFormat/>
    <w:uiPriority w:val="0"/>
    <w:pPr>
      <w:spacing w:before="156" w:line="360" w:lineRule="auto"/>
      <w:ind w:firstLine="510" w:firstLineChars="200"/>
    </w:pPr>
    <w:rPr>
      <w:szCs w:val="20"/>
    </w:rPr>
  </w:style>
  <w:style w:type="paragraph" w:customStyle="1" w:styleId="20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0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06">
    <w:name w:val="样式5"/>
    <w:basedOn w:val="1"/>
    <w:autoRedefine/>
    <w:qFormat/>
    <w:uiPriority w:val="0"/>
    <w:pPr>
      <w:spacing w:line="440" w:lineRule="exact"/>
      <w:ind w:left="2" w:firstLine="480" w:firstLineChars="200"/>
    </w:pPr>
    <w:rPr>
      <w:rFonts w:ascii="仿宋_GB2312" w:hAnsi="仿宋" w:eastAsia="仿宋_GB231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numbering" Target="numbering.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BF93C8-290D-42D0-8088-10A43F9456AD}">
  <ds:schemaRefs/>
</ds:datastoreItem>
</file>

<file path=docProps/app.xml><?xml version="1.0" encoding="utf-8"?>
<Properties xmlns="http://schemas.openxmlformats.org/officeDocument/2006/extended-properties" xmlns:vt="http://schemas.openxmlformats.org/officeDocument/2006/docPropsVTypes">
  <Template>Normal</Template>
  <Pages>153</Pages>
  <Words>16787</Words>
  <Characters>17968</Characters>
  <Lines>593</Lines>
  <Paragraphs>166</Paragraphs>
  <TotalTime>0</TotalTime>
  <ScaleCrop>false</ScaleCrop>
  <LinksUpToDate>false</LinksUpToDate>
  <CharactersWithSpaces>18139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2025-02-14T06:58:00Z</dcterms:created>
  <dc:creator>Administrator</dc:creator>
  <cp:lastModifiedBy>Administrator</cp:lastModifiedBy>
  <cp:lastPrinted>2025-03-06T07:36:00Z</cp:lastPrinted>
  <dcterms:modified xsi:type="dcterms:W3CDTF">2025-04-18T08:32:04Z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1AE8AFF3EAAF46CD906F52DF277A8F22_13</vt:lpwstr>
  </property>
  <property fmtid="{D5CDD505-2E9C-101B-9397-08002B2CF9AE}" pid="4" name="KSOTemplateDocerSaveRecord">
    <vt:lpwstr>eyJoZGlkIjoiZmVjYjc1MGEzYzlhMjAzM2E5N2JmYzZhOTU0MDdkZDYifQ==</vt:lpwstr>
  </property>
</Properties>
</file>