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绍兴开放大学</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2025年学校物业管理服务采购项目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bookmarkStart w:id="137" w:name="_GoBack"/>
      <w:bookmarkEnd w:id="137"/>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2024-12-0140</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绍兴开放大学</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十二</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绍兴开放大学2025年学校物业管理服务采购项目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2024-12-0140</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绍兴开放大学2025年学校物业管理服务采购项目</w:t>
            </w:r>
          </w:p>
          <w:p>
            <w:pPr>
              <w:pStyle w:val="97"/>
              <w:spacing w:afterLines="0" w:line="440" w:lineRule="exact"/>
              <w:ind w:firstLine="482"/>
              <w:rPr>
                <w:rFonts w:hint="eastAsia"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147</w:t>
            </w:r>
            <w:r>
              <w:rPr>
                <w:rFonts w:hint="eastAsia" w:ascii="仿宋_GB2312" w:hAnsi="新宋体" w:eastAsia="仿宋_GB2312"/>
                <w:color w:val="auto"/>
                <w:szCs w:val="24"/>
                <w:highlight w:val="none"/>
              </w:rPr>
              <w:t>000</w:t>
            </w:r>
            <w:r>
              <w:rPr>
                <w:rFonts w:hint="eastAsia" w:ascii="仿宋_GB2312" w:hAnsi="新宋体" w:eastAsia="仿宋_GB2312"/>
                <w:color w:val="auto"/>
                <w:szCs w:val="24"/>
                <w:highlight w:val="none"/>
                <w:lang w:val="en-US" w:eastAsia="zh-CN"/>
              </w:rPr>
              <w:t>0</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147</w:t>
            </w:r>
            <w:r>
              <w:rPr>
                <w:rFonts w:hint="eastAsia" w:ascii="仿宋_GB2312" w:hAnsi="新宋体" w:eastAsia="仿宋_GB2312"/>
                <w:color w:val="auto"/>
                <w:szCs w:val="24"/>
                <w:highlight w:val="none"/>
              </w:rPr>
              <w:t>0000</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2025年学校物业管理服务采购项目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val="en-US" w:eastAsia="zh-CN"/>
              </w:rPr>
              <w:t>147</w:t>
            </w:r>
            <w:r>
              <w:rPr>
                <w:rFonts w:hint="eastAsia" w:ascii="仿宋_GB2312" w:hAnsi="新宋体" w:eastAsia="仿宋_GB2312"/>
                <w:color w:val="auto"/>
                <w:szCs w:val="24"/>
                <w:highlight w:val="none"/>
              </w:rPr>
              <w:t>0000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sdt>
                  </w:sdtContent>
                </w:sdt>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绍兴开放大学</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地址：绍兴市越城区平江路579号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传真：0575-89107056</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项目联系人（询问）：王苑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项目联系方式（询问）：0575-88614560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质疑联系人：罗小标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质疑联系方式：0575-88168128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hint="default" w:ascii="仿宋_GB2312" w:hAnsi="仿宋" w:eastAsia="仿宋_GB2312"/>
                <w:color w:val="auto"/>
                <w:sz w:val="24"/>
                <w:highlight w:val="none"/>
                <w:lang w:val="en-US" w:eastAsia="zh-CN"/>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rPr>
              <w:t>对学校行政楼、食堂的电梯进行定期保养和维护</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lang w:val="en-US" w:eastAsia="zh-CN"/>
              </w:rPr>
              <w:t>分包预算金额为维保费14500元、年检费2300元。</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7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87"/>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8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90"/>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3"/>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4"/>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6"/>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4"/>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3"/>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3"/>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4"/>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4325929"/>
      <w:bookmarkStart w:id="3" w:name="_Toc81372953"/>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8"/>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8"/>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8"/>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4325981"/>
      <w:bookmarkStart w:id="6" w:name="_Toc81372964"/>
      <w:bookmarkStart w:id="7" w:name="_Toc80157775"/>
      <w:bookmarkStart w:id="8" w:name="_Toc81372787"/>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2025年学校物业管理服务采购项目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147</w:t>
      </w:r>
      <w:r>
        <w:rPr>
          <w:rFonts w:hint="eastAsia" w:ascii="仿宋_GB2312" w:hAnsi="新宋体" w:eastAsia="仿宋_GB2312" w:cs="Arial"/>
          <w:b/>
          <w:bCs/>
          <w:color w:val="auto"/>
          <w:sz w:val="24"/>
          <w:highlight w:val="none"/>
        </w:rPr>
        <w:t>万元）</w:t>
      </w:r>
      <w:bookmarkStart w:id="9" w:name="_Toc7206"/>
      <w:bookmarkStart w:id="10" w:name="_Toc32678"/>
    </w:p>
    <w:bookmarkEnd w:id="9"/>
    <w:bookmarkEnd w:id="10"/>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1.1项目背景:</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学校校区占地约139亩，建筑面积约51897平方米，绿化面积约29540平方米。</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结合我校实际管理需求，为更好的服务广大师生，同时按照绍兴市财政、市机关事务管理局相关要求，对我校2025年1月1日至2025年12月31日物业管理服务进行采购。</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1.2服务区域:</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学校的保洁、保安、消控、高配、维修、绿化等服务。</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1.3服务时间:</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2025年1月1日至2025年12月31日。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1.4服务主要内容及要求:</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1.4.1人员配置安排:</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100"/>
        <w:gridCol w:w="1380"/>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522" w:type="dxa"/>
            <w:gridSpan w:val="4"/>
            <w:vAlign w:val="center"/>
          </w:tcPr>
          <w:p>
            <w:pPr>
              <w:keepNext w:val="0"/>
              <w:keepLines w:val="0"/>
              <w:pageBreakBefore w:val="0"/>
              <w:widowControl w:val="0"/>
              <w:tabs>
                <w:tab w:val="left" w:pos="2901"/>
              </w:tabs>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保安、物业管理等人员配置表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序号</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项目</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人数</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项目负责人</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仓库管理员</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客服</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食堂安全管理员、档案管理员等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保安</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含收发人员、培训人员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消控管理</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保洁</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含垃圾清运工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高压电工</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综合维修工</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绿化养护</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c>
          <w:tcPr>
            <w:tcW w:w="210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r>
              <w:rPr>
                <w:rFonts w:hint="eastAsia" w:ascii="仿宋_GB2312" w:hAnsi="仿宋_GB2312" w:eastAsia="仿宋_GB2312" w:cs="仿宋_GB2312"/>
                <w:color w:val="auto"/>
                <w:sz w:val="24"/>
                <w:szCs w:val="24"/>
                <w:highlight w:val="none"/>
                <w:vertAlign w:val="baseline"/>
                <w:lang w:eastAsia="zh-CN"/>
              </w:rPr>
              <w:t>合计</w:t>
            </w:r>
          </w:p>
        </w:tc>
        <w:tc>
          <w:tcPr>
            <w:tcW w:w="138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28</w:t>
            </w:r>
          </w:p>
        </w:tc>
        <w:tc>
          <w:tcPr>
            <w:tcW w:w="422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sz w:val="24"/>
                <w:szCs w:val="24"/>
                <w:highlight w:val="none"/>
                <w:vertAlign w:val="baseline"/>
                <w:lang w:eastAsia="zh-CN"/>
              </w:rPr>
            </w:pP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1.4.2具体岗位情况: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kern w:val="2"/>
          <w:sz w:val="24"/>
          <w:szCs w:val="24"/>
          <w:highlight w:val="none"/>
          <w:lang w:val="en-US" w:eastAsia="zh-CN" w:bidi="ar-SA"/>
        </w:rPr>
        <w:t>(一)</w:t>
      </w:r>
      <w:r>
        <w:rPr>
          <w:rFonts w:hint="eastAsia" w:ascii="仿宋_GB2312" w:hAnsi="仿宋_GB2312" w:eastAsia="仿宋_GB2312" w:cs="仿宋_GB2312"/>
          <w:b/>
          <w:bCs/>
          <w:color w:val="auto"/>
          <w:sz w:val="24"/>
          <w:szCs w:val="24"/>
          <w:highlight w:val="none"/>
          <w:lang w:eastAsia="zh-CN"/>
        </w:rPr>
        <w:t>项目负责人、仓库保管员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1.人员素质要求: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(1)项目负责人:年龄</w:t>
      </w:r>
      <w:r>
        <w:rPr>
          <w:rFonts w:hint="eastAsia" w:ascii="仿宋_GB2312" w:hAnsi="仿宋_GB2312" w:eastAsia="仿宋_GB2312" w:cs="仿宋_GB2312"/>
          <w:color w:val="auto"/>
          <w:sz w:val="24"/>
          <w:szCs w:val="24"/>
          <w:highlight w:val="none"/>
          <w:lang w:val="en-US" w:eastAsia="zh-CN"/>
        </w:rPr>
        <w:t>45</w:t>
      </w:r>
      <w:r>
        <w:rPr>
          <w:rFonts w:hint="eastAsia" w:ascii="仿宋_GB2312" w:hAnsi="仿宋_GB2312" w:eastAsia="仿宋_GB2312" w:cs="仿宋_GB2312"/>
          <w:color w:val="auto"/>
          <w:sz w:val="24"/>
          <w:szCs w:val="24"/>
          <w:highlight w:val="none"/>
          <w:lang w:eastAsia="zh-CN"/>
        </w:rPr>
        <w:t>周岁及以下，形象礼仪好，身体健康;统一着装，佩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带胸牌。</w:t>
      </w:r>
      <w:r>
        <w:rPr>
          <w:rFonts w:hint="eastAsia" w:ascii="仿宋_GB2312" w:hAnsi="仿宋_GB2312" w:eastAsia="仿宋_GB2312" w:cs="仿宋_GB2312"/>
          <w:color w:val="auto"/>
          <w:sz w:val="24"/>
          <w:szCs w:val="24"/>
          <w:highlight w:val="none"/>
          <w:lang w:val="en-US" w:eastAsia="zh-CN"/>
        </w:rPr>
        <w:t>要求本科以上学历，持有人社部门颁发的高级技术职称证书。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(2)物料仓库管理员:年龄</w:t>
      </w:r>
      <w:r>
        <w:rPr>
          <w:rFonts w:hint="eastAsia" w:ascii="仿宋_GB2312" w:hAnsi="仿宋_GB2312" w:eastAsia="仿宋_GB2312" w:cs="仿宋_GB2312"/>
          <w:color w:val="auto"/>
          <w:sz w:val="24"/>
          <w:szCs w:val="24"/>
          <w:highlight w:val="none"/>
          <w:lang w:val="en-US" w:eastAsia="zh-CN"/>
        </w:rPr>
        <w:t>45</w:t>
      </w:r>
      <w:r>
        <w:rPr>
          <w:rFonts w:hint="eastAsia" w:ascii="仿宋_GB2312" w:hAnsi="仿宋_GB2312" w:eastAsia="仿宋_GB2312" w:cs="仿宋_GB2312"/>
          <w:color w:val="auto"/>
          <w:sz w:val="24"/>
          <w:szCs w:val="24"/>
          <w:highlight w:val="none"/>
          <w:lang w:eastAsia="zh-CN"/>
        </w:rPr>
        <w:t>周岁及以下，全日制大专学历以上，会电脑，</w:t>
      </w:r>
      <w:r>
        <w:rPr>
          <w:rFonts w:hint="eastAsia" w:ascii="仿宋_GB2312" w:hAnsi="仿宋_GB2312" w:eastAsia="仿宋_GB2312" w:cs="仿宋_GB2312"/>
          <w:color w:val="auto"/>
          <w:sz w:val="24"/>
          <w:szCs w:val="24"/>
          <w:highlight w:val="none"/>
          <w:lang w:val="en-US" w:eastAsia="zh-CN"/>
        </w:rPr>
        <w:t>有</w:t>
      </w:r>
      <w:r>
        <w:rPr>
          <w:rFonts w:hint="eastAsia" w:ascii="仿宋_GB2312" w:hAnsi="仿宋_GB2312" w:eastAsia="仿宋_GB2312" w:cs="仿宋_GB2312"/>
          <w:color w:val="auto"/>
          <w:sz w:val="24"/>
          <w:szCs w:val="24"/>
          <w:highlight w:val="none"/>
          <w:lang w:eastAsia="zh-CN"/>
        </w:rPr>
        <w:t>一定的财务或仓库管理基础，身体健康;统一着装，佩带胸牌。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(1)项目负责人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①主持制定工作计划安排，制订相应的规章制度，并组织检查督促各岗位的工作。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②负责校园绿化规划方案。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③负责对本部门人员的考核及奖罚制度的落实，经常巡视校园，检查校园设施及卫生状况，发现问题及时处理。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④负责本部门事务的决策和处理，做好上请下达的工作，并及时向集团及学校领导汇报本部门的情况。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⑤负责本部门人员调配和物资进出的审批。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⑥组织安排对外联络工作。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⑦主持召开日常工作例会、政治和业务学习。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⑧根据下属片区工作内容建立工作台账。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⑨加强安全工作检查，做好预防和应急、应变准备工作。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⑩负责校区人员管理及工作安排。</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(2)仓库保管员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①负责学校物料仓库的管理，做好维修物料的进出台账。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②科学合理地安排物料仓库的存放次序，按种类、规格分类摆放。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③做好物料定期的清点工作。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④协助总务科做好资产管理工作。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(二)客服人员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客服服务专职保障工作，共3人。要求大专以上学历，有较好的政治素质，年龄45周岁以下，责任心强，为人谦恭、低调、稳重。客服人员分别为食堂安全管理员1人，主要协助做好食堂相关账目管理、食品安全管理等;后勤档案管理员1人，主要协助做好后勤采购平台操作及资料管理、日常学校项目管理服务等;教学档案管理员1人，主要协助做好教学档案收集整理、学生联系服务等。岗位须具备一定的电脑操作</w:t>
      </w:r>
      <w:r>
        <w:rPr>
          <w:rFonts w:hint="eastAsia" w:ascii="仿宋_GB2312" w:hAnsi="仿宋_GB2312" w:eastAsia="仿宋_GB2312" w:cs="仿宋_GB2312"/>
          <w:color w:val="auto"/>
          <w:sz w:val="24"/>
          <w:szCs w:val="24"/>
          <w:highlight w:val="none"/>
          <w:lang w:val="en-US" w:eastAsia="zh-CN"/>
        </w:rPr>
        <w:t>能力</w:t>
      </w:r>
      <w:r>
        <w:rPr>
          <w:rFonts w:hint="eastAsia" w:ascii="仿宋_GB2312" w:hAnsi="仿宋_GB2312" w:eastAsia="仿宋_GB2312" w:cs="仿宋_GB2312"/>
          <w:color w:val="auto"/>
          <w:sz w:val="24"/>
          <w:szCs w:val="24"/>
          <w:highlight w:val="none"/>
          <w:lang w:eastAsia="zh-CN"/>
        </w:rPr>
        <w:t>，能熟练操作使用电脑办公软件等，具体事项根据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要求为准。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(三)保安、消控管理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1.人员素质要求: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(1)保安人员素质要求:年龄</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lang w:eastAsia="zh-CN"/>
        </w:rPr>
        <w:t>周岁及以下，身高165cm以上，形象礼仪好，身体健康;统一着装，佩带胸牌;</w:t>
      </w:r>
      <w:r>
        <w:rPr>
          <w:rFonts w:hint="eastAsia" w:ascii="仿宋_GB2312" w:hAnsi="仿宋_GB2312" w:eastAsia="仿宋_GB2312" w:cs="仿宋_GB2312"/>
          <w:color w:val="auto"/>
          <w:sz w:val="24"/>
          <w:szCs w:val="24"/>
          <w:highlight w:val="none"/>
          <w:lang w:val="en-US" w:eastAsia="zh-CN"/>
        </w:rPr>
        <w:t>所有保安均需持保安员三级及以上证书上岗</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其中至少有一人</w:t>
      </w:r>
      <w:r>
        <w:rPr>
          <w:rFonts w:hint="eastAsia" w:ascii="仿宋_GB2312" w:hAnsi="仿宋_GB2312" w:eastAsia="仿宋_GB2312" w:cs="仿宋_GB2312"/>
          <w:color w:val="auto"/>
          <w:sz w:val="24"/>
          <w:szCs w:val="24"/>
          <w:highlight w:val="none"/>
        </w:rPr>
        <w:t>持有市场监督管理部门颁发的安全管理和作业人员证（特种设备安全管理）</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(2)消控管理人员素质要求:年龄</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lang w:eastAsia="zh-CN"/>
        </w:rPr>
        <w:t>周岁及以下，要求消控管理人员持有人社部门颁发的建(构)筑物消防员初级及以上证书或消防设施操作员证书，且至少有1名男性，同时具有应急管理部门颁布的特种作业操作证(低压电工证)，具有良好的水电维修能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(1)保安人员工作内容和要求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①人员安排:学校门卫室24小时需要二名保安值岗，师生进出学校时间段</w:t>
      </w:r>
      <w:r>
        <w:rPr>
          <w:rFonts w:hint="eastAsia" w:ascii="仿宋_GB2312" w:hAnsi="仿宋_GB2312" w:eastAsia="仿宋_GB2312" w:cs="仿宋_GB2312"/>
          <w:color w:val="auto"/>
          <w:sz w:val="24"/>
          <w:szCs w:val="24"/>
          <w:highlight w:val="none"/>
          <w:lang w:val="en-US" w:eastAsia="zh-CN"/>
        </w:rPr>
        <w:t>不少于</w:t>
      </w:r>
      <w:r>
        <w:rPr>
          <w:rFonts w:hint="eastAsia" w:ascii="仿宋_GB2312" w:hAnsi="仿宋_GB2312" w:eastAsia="仿宋_GB2312" w:cs="仿宋_GB2312"/>
          <w:color w:val="auto"/>
          <w:sz w:val="24"/>
          <w:szCs w:val="24"/>
          <w:highlight w:val="none"/>
          <w:lang w:eastAsia="zh-CN"/>
        </w:rPr>
        <w:t>二名保安校门站岗，</w:t>
      </w:r>
      <w:r>
        <w:rPr>
          <w:rFonts w:hint="eastAsia" w:ascii="仿宋_GB2312" w:hAnsi="仿宋_GB2312" w:eastAsia="仿宋_GB2312" w:cs="仿宋_GB2312"/>
          <w:color w:val="auto"/>
          <w:sz w:val="24"/>
          <w:szCs w:val="24"/>
          <w:highlight w:val="none"/>
          <w:lang w:val="en-US" w:eastAsia="zh-CN"/>
        </w:rPr>
        <w:t>同时要</w:t>
      </w:r>
      <w:r>
        <w:rPr>
          <w:rFonts w:hint="eastAsia" w:ascii="仿宋_GB2312" w:hAnsi="仿宋_GB2312" w:eastAsia="仿宋_GB2312" w:cs="仿宋_GB2312"/>
          <w:color w:val="auto"/>
          <w:sz w:val="24"/>
          <w:szCs w:val="24"/>
          <w:highlight w:val="none"/>
          <w:lang w:eastAsia="zh-CN"/>
        </w:rPr>
        <w:t>协助交通管理</w:t>
      </w:r>
      <w:r>
        <w:rPr>
          <w:rFonts w:hint="eastAsia" w:ascii="仿宋_GB2312" w:hAnsi="仿宋_GB2312" w:eastAsia="仿宋_GB2312" w:cs="仿宋_GB2312"/>
          <w:color w:val="auto"/>
          <w:sz w:val="24"/>
          <w:szCs w:val="24"/>
          <w:highlight w:val="none"/>
          <w:lang w:val="en-US" w:eastAsia="zh-CN"/>
        </w:rPr>
        <w:t>引导工作</w:t>
      </w:r>
      <w:r>
        <w:rPr>
          <w:rFonts w:hint="eastAsia" w:ascii="仿宋_GB2312" w:hAnsi="仿宋_GB2312" w:eastAsia="仿宋_GB2312" w:cs="仿宋_GB2312"/>
          <w:color w:val="auto"/>
          <w:sz w:val="24"/>
          <w:szCs w:val="24"/>
          <w:highlight w:val="none"/>
          <w:lang w:eastAsia="zh-CN"/>
        </w:rPr>
        <w:t>。2号教学楼、</w:t>
      </w:r>
      <w:r>
        <w:rPr>
          <w:rFonts w:hint="eastAsia" w:ascii="仿宋_GB2312" w:hAnsi="仿宋_GB2312" w:eastAsia="仿宋_GB2312" w:cs="仿宋_GB2312"/>
          <w:color w:val="auto"/>
          <w:sz w:val="24"/>
          <w:szCs w:val="24"/>
          <w:highlight w:val="none"/>
          <w:lang w:val="en-US" w:eastAsia="zh-CN"/>
        </w:rPr>
        <w:t>3号教学楼</w:t>
      </w:r>
      <w:r>
        <w:rPr>
          <w:rFonts w:hint="eastAsia" w:ascii="仿宋_GB2312" w:hAnsi="仿宋_GB2312" w:eastAsia="仿宋_GB2312" w:cs="仿宋_GB2312"/>
          <w:color w:val="auto"/>
          <w:sz w:val="24"/>
          <w:szCs w:val="24"/>
          <w:highlight w:val="none"/>
          <w:lang w:eastAsia="zh-CN"/>
        </w:rPr>
        <w:t>安排一名保安负责安保值岗，学生进出2号楼时间段至少安排二名保安校门站岗，协助做好人流疏导和财产管理，重点关注一老一少的进出安全。白天安排三名保安负责校园巡视，晚上安排两名保安巡视，机动性做好体育场馆等运动场地人员安全监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②做好门卫工作。办理校外人员进校登记手续，检查出入校门的人员、车辆和物资，按</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要求做好验证登记工作，严禁危险物品带入校园。维护好校门口周围交通秩序，引导车辆有序停放。搞好校门口内外区域的环境卫生，保持校门区域清洁。做好每日师生进出校期间的安全礼仪检查及交通疏导管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③做好安全巡逻工作。校内巡逻时发现和处置安全隐患，做好节能节电节水和门窗关闭工作，对可疑人员进行盘查。对可能发生的刑事、治安案件及治安灾害事故要及时采取应急措施。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④其他:接受</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临时性简单劳务搬运等工作安排;协助学校做好会议、考试、大型活动等时段的安全保卫工作;通过安全检查及时发现不安全隐患提请</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及时整改;协助总务科做好其他工作。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(2)收发室人员工作内容和要求(由一名保安兼</w:t>
      </w:r>
      <w:r>
        <w:rPr>
          <w:rFonts w:hint="eastAsia" w:ascii="仿宋_GB2312" w:hAnsi="仿宋_GB2312" w:eastAsia="仿宋_GB2312" w:cs="仿宋_GB2312"/>
          <w:color w:val="auto"/>
          <w:sz w:val="24"/>
          <w:szCs w:val="24"/>
          <w:highlight w:val="none"/>
          <w:lang w:val="en-US" w:eastAsia="zh-CN"/>
        </w:rPr>
        <w:t>任</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①学校收发室设在门卫室，是全校公用各种报刊、杂志收发的总窗口，管理人员必须固定，要求高中</w:t>
      </w:r>
      <w:r>
        <w:rPr>
          <w:rFonts w:hint="eastAsia" w:ascii="仿宋_GB2312" w:hAnsi="仿宋_GB2312" w:eastAsia="仿宋_GB2312" w:cs="仿宋_GB2312"/>
          <w:color w:val="auto"/>
          <w:sz w:val="24"/>
          <w:szCs w:val="24"/>
          <w:highlight w:val="none"/>
          <w:lang w:val="en-US" w:eastAsia="zh-CN"/>
        </w:rPr>
        <w:t>及</w:t>
      </w:r>
      <w:r>
        <w:rPr>
          <w:rFonts w:hint="eastAsia" w:ascii="仿宋_GB2312" w:hAnsi="仿宋_GB2312" w:eastAsia="仿宋_GB2312" w:cs="仿宋_GB2312"/>
          <w:color w:val="auto"/>
          <w:sz w:val="24"/>
          <w:szCs w:val="24"/>
          <w:highlight w:val="none"/>
          <w:lang w:eastAsia="zh-CN"/>
        </w:rPr>
        <w:t>以上文化程度，品行端正，责任性强，认真细致地做好收发工作，避免出现差错。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②各处室所订报刊、杂志和教职工个人信件，由收发人员按时派送;对投递地址不详无法分发的个人信件，两周内无人认领的，联系总务科处置，或交邮递员按邮政部门有关规定处理。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③对于教职工的挂号信、汇款单、包裹单等，收发人员在接收此类邮件时，必须认真核对，详细登记、签收，并对签收后的邮件负责。教职工领取上述邮件时，按要求携带有效证件方可领取。对地址不详的挂号邮件，收发人员应立即帮助查阅，尽快核对后发给收件人;对无法查实的应尽早退回邮政部门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④收发室要协助各处室做好对公邮件快递的寄发。</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(3)消控管理工作内容和要求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负责学校消控室设备管理，巡视检查全校消防安全设施设备及校园安防，并及时做好各类登记，确保消控室24小时有人员值班</w:t>
      </w:r>
      <w:r>
        <w:rPr>
          <w:rFonts w:hint="eastAsia" w:ascii="仿宋_GB2312" w:hAnsi="仿宋_GB2312" w:eastAsia="仿宋_GB2312" w:cs="仿宋_GB2312"/>
          <w:color w:val="auto"/>
          <w:sz w:val="24"/>
          <w:szCs w:val="24"/>
          <w:highlight w:val="none"/>
          <w:lang w:val="en-US" w:eastAsia="zh-CN"/>
        </w:rPr>
        <w:t>且符合浙江省消防安全相关规定，投标人需承担远程监控设备的投入与监管费用，</w:t>
      </w:r>
      <w:r>
        <w:rPr>
          <w:rFonts w:hint="eastAsia" w:ascii="仿宋_GB2312" w:hAnsi="仿宋_GB2312" w:eastAsia="仿宋_GB2312" w:cs="仿宋_GB2312"/>
          <w:color w:val="auto"/>
          <w:sz w:val="24"/>
          <w:szCs w:val="24"/>
          <w:highlight w:val="none"/>
          <w:lang w:eastAsia="zh-CN"/>
        </w:rPr>
        <w:t>同时能配合做好</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其他交办的工作。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3.安保物资和人员着装</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①学校为派驻的保安、消控人员提供必备的工作条件，包括值班室、办公桌椅、通讯联络方式等。安保物资如服装、手电筒等由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不另行追加经费。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②人员着装要求:员工持证上岗，着装统一(费用由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承担)，标识鲜明，礼仪规范，提供高规格的服务。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 安全责任: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必须重视安全生产和安全教育，工作过程中发现校园安全隐患，在其工作职责范围内及时处置并向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反映，由于操作不规范等因素造成的安全责任事故，由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承担一切责任及损失。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5.其他要求和考核细则详见附件一</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(四)高压电工、综合维修工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1.人员素质要求: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(1)高压电工2名:年龄18-</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lang w:eastAsia="zh-CN"/>
        </w:rPr>
        <w:t>周岁，要求具有应急管理部门颁发的特种作业操作证(高压电工作业)，具有有较强的动手能力。</w:t>
      </w:r>
    </w:p>
    <w:p>
      <w:pPr>
        <w:keepNext w:val="0"/>
        <w:keepLines w:val="0"/>
        <w:pageBreakBefore w:val="0"/>
        <w:kinsoku/>
        <w:wordWrap/>
        <w:overflowPunct/>
        <w:topLinePunct w:val="0"/>
        <w:autoSpaceDE/>
        <w:autoSpaceDN/>
        <w:bidi w:val="0"/>
        <w:adjustRightInd/>
        <w:spacing w:line="300" w:lineRule="exact"/>
        <w:ind w:firstLine="480" w:firstLineChars="20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(2)综合维修工2名:年龄18-</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lang w:eastAsia="zh-CN"/>
        </w:rPr>
        <w:t>周岁，综合维修工能力要求具有应急管理部门颁发的特种作业操作证(低压电工作业)、</w:t>
      </w:r>
      <w:r>
        <w:rPr>
          <w:rFonts w:hint="eastAsia" w:ascii="仿宋_GB2312" w:hAnsi="仿宋_GB2312" w:eastAsia="仿宋_GB2312" w:cs="仿宋_GB2312"/>
          <w:color w:val="auto"/>
          <w:sz w:val="24"/>
          <w:szCs w:val="24"/>
          <w:highlight w:val="none"/>
        </w:rPr>
        <w:t>人社部门颁发</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或认可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的维修电工二级及以上证书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持有应急管理部门颁发或监制的特种作业操作证（高处作业）</w:t>
      </w:r>
      <w:r>
        <w:rPr>
          <w:rFonts w:hint="eastAsia" w:ascii="仿宋_GB2312" w:hAnsi="仿宋_GB2312" w:eastAsia="仿宋_GB2312" w:cs="仿宋_GB2312"/>
          <w:color w:val="auto"/>
          <w:sz w:val="24"/>
          <w:szCs w:val="24"/>
          <w:highlight w:val="none"/>
          <w:lang w:eastAsia="zh-CN"/>
        </w:rPr>
        <w:t>，具有良好的综合维修工能力。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(1)高压电工人员工作内容和要求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a)高压电工要有高度的事业心和工作责任感，严格遵守相关规定，坚守岗位，做到不脱岗、不串岗。</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b)努力学习供电设备的相关知识，熟练掌握各类设备的内部结构及工作原理，严格遵守操作规程，能快速准确地操作设备。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c)高压电工要经常巡视高、低压柜、变压器等的运行情况，做到“四勤”勤看、勤听、勤闻、勤问。如发现问题，应及时上报，同时采取有效、安全的措施迅速排除故障，确保供电。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d)认真做好配电房安全防火、防事故工作，如遇电气设备着火时，应立即将有关设备的电源断开，然后进行救火，对带电设备应使用干式灭火器，保管好各检修工具，定期检查电器设备的绝缘情况。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e)熟练掌握高配供电方式、线路去向，设备技术性能和实际操作方法。</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f)严格遵守各种设备的维护保养制度。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g)负责保持配电房内的环境卫生，做到设备上无积灰、无油垢，地上无垃圾。高配人员每周应对自己管辖范围内的高配房至少进行三次清洁工作。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h)做好耗电记录，为学校用电量的统计提供真实、准确的数据。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i)严格执行安全操作规程，检查各种设备开关线路和仪表的正常运行，认真填写值班记录和工作日报表。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j)负责配电房值班工作，值班时间:每日7:30-21:00。</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k)严格遵守输配电各项制度和规定，服从上级领导的工作安排。</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L)违反制度或失职造成影响学校正常供电或损坏设备，要追究当事负责人的刑事责任。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(2)综合维修工人员工作内容和要求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a)负责全校的木工、水电等维修工作，“网上报修”内容要求当天完成，确保学校正常教学。</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b)根据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要求完成简单的水电安装管理等工作。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c)负责维修间设备、工具的管理、使用，保持设备完好。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d)坚守岗位，经常巡视，发现问题，及时处理。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e)完成学校领导交办的其他突击性、临时性工作。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f)工作时间:每日7:30-17:00，每日安排专人值班。双休日和寒暑假实行动态调休。</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将建立维修配件仓库、</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须承诺免费提供学校</w:t>
      </w:r>
      <w:r>
        <w:rPr>
          <w:rFonts w:hint="eastAsia" w:ascii="仿宋_GB2312" w:hAnsi="仿宋_GB2312" w:eastAsia="仿宋_GB2312" w:cs="仿宋_GB2312"/>
          <w:color w:val="auto"/>
          <w:sz w:val="24"/>
          <w:szCs w:val="24"/>
          <w:highlight w:val="none"/>
          <w:lang w:val="en-US" w:eastAsia="zh-CN"/>
        </w:rPr>
        <w:t>各</w:t>
      </w:r>
      <w:r>
        <w:rPr>
          <w:rFonts w:hint="eastAsia" w:ascii="仿宋_GB2312" w:hAnsi="仿宋_GB2312" w:eastAsia="仿宋_GB2312" w:cs="仿宋_GB2312"/>
          <w:color w:val="auto"/>
          <w:sz w:val="24"/>
          <w:szCs w:val="24"/>
          <w:highlight w:val="none"/>
          <w:lang w:eastAsia="zh-CN"/>
        </w:rPr>
        <w:t>类设施的维修配件，总</w:t>
      </w:r>
      <w:r>
        <w:rPr>
          <w:rFonts w:hint="eastAsia" w:ascii="仿宋_GB2312" w:hAnsi="仿宋_GB2312" w:eastAsia="仿宋_GB2312" w:cs="仿宋_GB2312"/>
          <w:color w:val="auto"/>
          <w:sz w:val="24"/>
          <w:szCs w:val="24"/>
          <w:highlight w:val="none"/>
          <w:lang w:val="en-US" w:eastAsia="zh-CN"/>
        </w:rPr>
        <w:t>费用不超过</w:t>
      </w:r>
      <w:r>
        <w:rPr>
          <w:rFonts w:hint="eastAsia" w:ascii="仿宋_GB2312" w:hAnsi="仿宋_GB2312" w:eastAsia="仿宋_GB2312" w:cs="仿宋_GB2312"/>
          <w:color w:val="auto"/>
          <w:sz w:val="24"/>
          <w:szCs w:val="24"/>
          <w:highlight w:val="none"/>
          <w:lang w:eastAsia="zh-CN"/>
        </w:rPr>
        <w:t>5万元，</w:t>
      </w:r>
      <w:r>
        <w:rPr>
          <w:rFonts w:hint="eastAsia" w:ascii="仿宋_GB2312" w:hAnsi="仿宋_GB2312" w:eastAsia="仿宋_GB2312" w:cs="仿宋_GB2312"/>
          <w:color w:val="auto"/>
          <w:sz w:val="24"/>
          <w:szCs w:val="24"/>
          <w:highlight w:val="none"/>
          <w:lang w:val="en-US" w:eastAsia="zh-CN"/>
        </w:rPr>
        <w:t>超出部分由双方自行协商</w:t>
      </w:r>
      <w:r>
        <w:rPr>
          <w:rFonts w:hint="eastAsia" w:ascii="仿宋_GB2312" w:hAnsi="仿宋_GB2312" w:eastAsia="仿宋_GB2312" w:cs="仿宋_GB2312"/>
          <w:color w:val="auto"/>
          <w:sz w:val="24"/>
          <w:szCs w:val="24"/>
          <w:highlight w:val="none"/>
          <w:lang w:eastAsia="zh-CN"/>
        </w:rPr>
        <w:t>，具体由学校总务科确认。日常维修，根据学校总务科下达的任务，负责领料，派料。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须根据国家《特种设备使用管理规则》(TSG08-2017)和《电梯维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护保养规则》(TSGT5002-2017)的相关要求，承诺安排专业人员对学校行政楼、食堂的电梯进行定期保养和维护，由此产生的</w:t>
      </w:r>
      <w:r>
        <w:rPr>
          <w:rFonts w:hint="eastAsia" w:ascii="仿宋_GB2312" w:hAnsi="仿宋_GB2312" w:eastAsia="仿宋_GB2312" w:cs="仿宋_GB2312"/>
          <w:color w:val="auto"/>
          <w:sz w:val="24"/>
          <w:szCs w:val="24"/>
          <w:highlight w:val="none"/>
          <w:lang w:val="en-US" w:eastAsia="zh-CN"/>
        </w:rPr>
        <w:t>维保费、年检费</w:t>
      </w:r>
      <w:r>
        <w:rPr>
          <w:rFonts w:hint="eastAsia" w:ascii="仿宋_GB2312" w:hAnsi="仿宋_GB2312" w:eastAsia="仿宋_GB2312" w:cs="仿宋_GB2312"/>
          <w:color w:val="auto"/>
          <w:sz w:val="24"/>
          <w:szCs w:val="24"/>
          <w:highlight w:val="none"/>
          <w:lang w:eastAsia="zh-CN"/>
        </w:rPr>
        <w:t>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负责，</w:t>
      </w:r>
      <w:r>
        <w:rPr>
          <w:rFonts w:hint="eastAsia" w:ascii="仿宋_GB2312" w:hAnsi="仿宋_GB2312" w:eastAsia="仿宋_GB2312" w:cs="仿宋_GB2312"/>
          <w:color w:val="auto"/>
          <w:sz w:val="24"/>
          <w:szCs w:val="24"/>
          <w:highlight w:val="none"/>
          <w:lang w:val="en-US" w:eastAsia="zh-CN"/>
        </w:rPr>
        <w:t>本项目允许投标人将该部分内容分包给有资质的单位</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3.安全责任: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必须重视安全生产和安全教育，维修过程中发现校舍、设备的安全隐患及时向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反映，由于操作不规范等因素造成的安全责任事故，由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承担一切责任及损失。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(五)保洁服务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1.人员素质要求:60周岁以下（</w:t>
      </w:r>
      <w:r>
        <w:rPr>
          <w:rFonts w:hint="eastAsia" w:ascii="仿宋_GB2312" w:hAnsi="仿宋_GB2312" w:eastAsia="仿宋_GB2312" w:cs="仿宋_GB2312"/>
          <w:color w:val="auto"/>
          <w:sz w:val="24"/>
          <w:szCs w:val="24"/>
          <w:highlight w:val="none"/>
          <w:lang w:val="en-US" w:eastAsia="zh-CN"/>
        </w:rPr>
        <w:t>条件优秀者可适当放宽），</w:t>
      </w:r>
      <w:r>
        <w:rPr>
          <w:rFonts w:hint="eastAsia" w:ascii="仿宋_GB2312" w:hAnsi="仿宋_GB2312" w:eastAsia="仿宋_GB2312" w:cs="仿宋_GB2312"/>
          <w:color w:val="auto"/>
          <w:sz w:val="24"/>
          <w:szCs w:val="24"/>
          <w:highlight w:val="none"/>
          <w:lang w:eastAsia="zh-CN"/>
        </w:rPr>
        <w:t>身体健康;垃圾清运工1名，三幢教学楼、体育馆2名，行政综合楼2名，校内场外和校门口清扫工4名，共计9名。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(1)垃圾分类、垃圾车、垃圾桶(箱)及垃圾清运要求: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a)做好垃圾清运前的分类工作，垃圾房周边无卫生死角，每日完成垃圾清运工作，封闭式垃圾运输的环卫专用车辆由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提供，运输车的修理费及在运输过程中发生事故等费用均由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负责。要求清运物须运到市环境卫生管理部门指定的处置点进行专业处理。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b)垃圾桶由专人管理、合理设置。垃圾桶无满溢、无异味、无污迹;每年四季定期做好除“四害”。</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c)校园内垃圾日产日销，包括生活垃圾、非生活垃圾(建筑垃圾、食堂厨余垃圾除外)，指定垃圾临时存放点卫生保洁(含垃圾房的冲洗)等工作。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(2)保洁工工作内容和要求: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a)保洁服务范围:学校围墙内公共环境卫生含广场、运动场、园林绿化带、地面、明沟渠、通道、走廊、花基、大厅、台阶、门窗、天花、柱面、墙壁、玻璃、室内外下水道、各种扶手、宣传栏、户内外的各种灯饰、分体空调滤网、各种风扇、公共厕所、楼顶、车棚(含顶部)消防栓、楼梯扶手、挂画、路灯、垃圾桶、办公室走廊等公共区域的保洁工作及通知、公告张贴的清除等;学校教职工办公室、会议室、报告厅清扫;教师值班寝室被褥更换洗晒和保洁;各教学楼空教室、空办公室的临时打扫;每年化粪池清理至少一次且确保一年畅通。所有建筑物屋顶必须按月清扫一次，以免造成下水管堵塞，必要时，在下雨前突击清扫。地面、厕所下水道保持畅通，全校教室、办公室空调、风扇、窗帘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指定时间每年清洗一次(全校空调、窗帘数量以实地踏勘为准，本项目提供现场踏勘，联系方式：王苑，13867552270，截止日期：开标前一个工作日16:00)。</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b)要做好垃圾分类工作，明确垃圾分类细则，做好区域垃圾管理。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c)每两周进行全校性的大扫除，对室内外场所进行全面清扫。</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d)如遇火警、水管爆裂、台风袭击、突发性、重要接待、节会活动等特殊情况，要求进行突击性服务，配合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搞好特殊保洁工作。完成临时性的其他卫生保洁工作，维护承包范围内校容、校貌的整洁。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e)对于堵塞疏通、搬运垃圾等重体力劳动必须按需调用男工完成，遇上级部门检查考核评比、重要接待、节会活动、自然灾害等特殊时段能积极响应，根据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的要求无条件临时增加2-3名保洁人员。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f)要求员工持证上岗，着装统一(费用由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承担)，标识鲜明，礼仪规范，提供高规格的服务。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g)保洁服务时间: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每天7:00-11:00，13:00-17:00。鉴于学校的工作特点，要求服务方拟定相</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关的作业计划，保洁服务工作不得因节假日和双休日而中断。寒暑假和国家法定假日要安排值班，保证校园动态清洁，学校允许学生和老师不在校时的节假日、双休日和寒暑假保洁工动态调休。学校各部门因有临时任务需加班，保洁人员应予主动配合，并处理好各项突击性工作。无特殊情况，在学校正式开学前一周，保洁人员与学校各部门配合进行开学大清扫，若有人员调整，应及时通知总务科。</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h)具体工作要求和考核细则详见附件二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3.保洁物资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保洁服务用的各种卫生洁具、垃圾袋(按垃圾分类要求尺寸、数量配备)、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清洁(消毒)液(含用于清洁作用的次氯酸钠、去污粉、去污液)、小方巾、工作服、</w:t>
      </w:r>
      <w:r>
        <w:rPr>
          <w:rFonts w:hint="eastAsia" w:ascii="仿宋_GB2312" w:hAnsi="仿宋_GB2312" w:eastAsia="仿宋_GB2312" w:cs="仿宋_GB2312"/>
          <w:color w:val="auto"/>
          <w:sz w:val="24"/>
          <w:szCs w:val="24"/>
          <w:highlight w:val="none"/>
          <w:lang w:val="en-US" w:eastAsia="zh-CN"/>
        </w:rPr>
        <w:t>卫生间易耗品（洗手液、卫生纸等）、食堂易耗品（洗洁精、手套等）</w:t>
      </w:r>
      <w:r>
        <w:rPr>
          <w:rFonts w:hint="eastAsia" w:ascii="仿宋_GB2312" w:hAnsi="仿宋_GB2312" w:eastAsia="仿宋_GB2312" w:cs="仿宋_GB2312"/>
          <w:color w:val="auto"/>
          <w:sz w:val="24"/>
          <w:szCs w:val="24"/>
          <w:highlight w:val="none"/>
          <w:lang w:eastAsia="zh-CN"/>
        </w:rPr>
        <w:t>及其他职业防护等物品，</w:t>
      </w:r>
      <w:r>
        <w:rPr>
          <w:rFonts w:hint="eastAsia" w:ascii="仿宋_GB2312" w:hAnsi="仿宋_GB2312" w:eastAsia="仿宋_GB2312" w:cs="仿宋_GB2312"/>
          <w:color w:val="auto"/>
          <w:sz w:val="24"/>
          <w:szCs w:val="24"/>
          <w:highlight w:val="none"/>
          <w:lang w:val="en-US" w:eastAsia="zh-CN"/>
        </w:rPr>
        <w:t>均</w:t>
      </w:r>
      <w:r>
        <w:rPr>
          <w:rFonts w:hint="eastAsia" w:ascii="仿宋_GB2312" w:hAnsi="仿宋_GB2312" w:eastAsia="仿宋_GB2312" w:cs="仿宋_GB2312"/>
          <w:color w:val="auto"/>
          <w:sz w:val="24"/>
          <w:szCs w:val="24"/>
          <w:highlight w:val="none"/>
          <w:lang w:eastAsia="zh-CN"/>
        </w:rPr>
        <w:t>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w:t>
      </w:r>
      <w:r>
        <w:rPr>
          <w:rFonts w:hint="eastAsia" w:ascii="仿宋_GB2312" w:hAnsi="仿宋_GB2312" w:eastAsia="仿宋_GB2312" w:cs="仿宋_GB2312"/>
          <w:color w:val="auto"/>
          <w:sz w:val="24"/>
          <w:szCs w:val="24"/>
          <w:highlight w:val="none"/>
          <w:lang w:val="en-US" w:eastAsia="zh-CN"/>
        </w:rPr>
        <w:t>同时投标人服务期间需提供一辆清扫车用于</w:t>
      </w:r>
      <w:r>
        <w:rPr>
          <w:rFonts w:hint="eastAsia" w:ascii="仿宋_GB2312" w:hAnsi="仿宋_GB2312" w:eastAsia="仿宋_GB2312" w:cs="仿宋_GB2312"/>
          <w:color w:val="auto"/>
          <w:sz w:val="24"/>
          <w:szCs w:val="24"/>
          <w:highlight w:val="none"/>
          <w:lang w:eastAsia="zh-CN"/>
        </w:rPr>
        <w:t>学校</w:t>
      </w:r>
      <w:r>
        <w:rPr>
          <w:rFonts w:hint="eastAsia" w:ascii="仿宋_GB2312" w:hAnsi="仿宋_GB2312" w:eastAsia="仿宋_GB2312" w:cs="仿宋_GB2312"/>
          <w:color w:val="auto"/>
          <w:sz w:val="24"/>
          <w:szCs w:val="24"/>
          <w:highlight w:val="none"/>
          <w:lang w:val="en-US" w:eastAsia="zh-CN"/>
        </w:rPr>
        <w:t>路面清扫作业，采购人</w:t>
      </w:r>
      <w:r>
        <w:rPr>
          <w:rFonts w:hint="eastAsia" w:ascii="仿宋_GB2312" w:hAnsi="仿宋_GB2312" w:eastAsia="仿宋_GB2312" w:cs="仿宋_GB2312"/>
          <w:color w:val="auto"/>
          <w:sz w:val="24"/>
          <w:szCs w:val="24"/>
          <w:highlight w:val="none"/>
          <w:lang w:eastAsia="zh-CN"/>
        </w:rPr>
        <w:t>不另行追加经费。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4.安全责任: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必须重视安全生产和安全教育，保洁过程中发现校舍的安全隐患及时向</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反映，由于操作不规范等因素造成的安全责任事故，由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承担一切责任及损失。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5.其他补充:学校如有上级领导和重要嘉宾参观、检查或教研活动，可根据需要提前通知</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根据</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要求进行突击性服务;如遇火警、水管爆裂、台风袭击、突发性、重要接待、节会活动等特殊情况，</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要组织突击小组配合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搞好特殊保洁工作;维护承包范围内校容、校貌的整洁，协助</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完成临时性的课桌椅的调配工作及其他卫生保洁工作，因传染疾病突发的清洁消毒工作等服务。未经同意，保洁人员不得在校内做兼职工作，不得捡废旧物品(纸板、塑料瓶等)。</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(六)绿化养护</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1.人员要求:60周岁以下，身体健康;具有绿化技能;2人。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2.工作内容和要求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(1)校园内现有的所有绿化场地上的绿化养护及根据景观布局要求的苗木的迁种和补种，包括淋水、开窝培土、修剪、施肥、除草、修剪抹芽、病虫害防治、扶正、补迁苗木(苗木费另计)等整套过程。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(2)完成各处室、办公室、会议室(按60间计算)内盆景的摆放，每室常年不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少于四盆且</w:t>
      </w:r>
      <w:r>
        <w:rPr>
          <w:rFonts w:hint="eastAsia" w:ascii="仿宋_GB2312" w:hAnsi="仿宋_GB2312" w:eastAsia="仿宋_GB2312" w:cs="仿宋_GB2312"/>
          <w:color w:val="auto"/>
          <w:sz w:val="24"/>
          <w:szCs w:val="24"/>
          <w:highlight w:val="none"/>
          <w:lang w:val="en-US" w:eastAsia="zh-CN"/>
        </w:rPr>
        <w:t>按照大盆盆栽（1米—1.8米）数量约100盆左右，种类包含幸福树/发财树/夏威夷/平安树/大绿萝/青叶腾/大绿宝/造型龙血树等；中盆盆栽（0.5米--0.8米）数量约200盆左右，种类包括万年青/袖珍椰子/青铁/金边也门铁/小绿宝/一叶兰/黄金万两/高盆虎皮兰等；小号盆栽（0.3米-0.5米）数量约200盆左右，种类包括君子兰/小发财树/小绿萝/红掌/木兰/吉利红/金鱼草/小虎皮兰等，要求投标人根据季节变化调整花木的品种，保障颜色搭配合理，美观和谐</w:t>
      </w:r>
      <w:r>
        <w:rPr>
          <w:rFonts w:hint="eastAsia" w:ascii="仿宋_GB2312" w:hAnsi="仿宋_GB2312" w:eastAsia="仿宋_GB2312" w:cs="仿宋_GB2312"/>
          <w:color w:val="auto"/>
          <w:sz w:val="24"/>
          <w:szCs w:val="24"/>
          <w:highlight w:val="none"/>
          <w:lang w:eastAsia="zh-CN"/>
        </w:rPr>
        <w:t>，达到一定的美化效果。每年</w:t>
      </w:r>
      <w:r>
        <w:rPr>
          <w:rFonts w:hint="eastAsia" w:ascii="仿宋_GB2312" w:hAnsi="仿宋_GB2312" w:eastAsia="仿宋_GB2312" w:cs="仿宋_GB2312"/>
          <w:color w:val="auto"/>
          <w:sz w:val="24"/>
          <w:szCs w:val="24"/>
          <w:highlight w:val="none"/>
          <w:lang w:val="en-US" w:eastAsia="zh-CN"/>
        </w:rPr>
        <w:t>一共</w:t>
      </w:r>
      <w:r>
        <w:rPr>
          <w:rFonts w:hint="eastAsia" w:ascii="仿宋_GB2312" w:hAnsi="仿宋_GB2312" w:eastAsia="仿宋_GB2312" w:cs="仿宋_GB2312"/>
          <w:color w:val="auto"/>
          <w:sz w:val="24"/>
          <w:szCs w:val="24"/>
          <w:highlight w:val="none"/>
          <w:lang w:eastAsia="zh-CN"/>
        </w:rPr>
        <w:t>能提供不少于</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00盆以上的盆花在校内摆放，完成校门口、学校广场、行政楼、各教学楼、体育馆等地方的盆景摆放，</w:t>
      </w:r>
      <w:r>
        <w:rPr>
          <w:rFonts w:hint="eastAsia" w:ascii="仿宋_GB2312" w:hAnsi="仿宋_GB2312" w:eastAsia="仿宋_GB2312" w:cs="仿宋_GB2312"/>
          <w:color w:val="auto"/>
          <w:sz w:val="24"/>
          <w:szCs w:val="24"/>
          <w:highlight w:val="none"/>
          <w:lang w:val="en-US" w:eastAsia="zh-CN"/>
        </w:rPr>
        <w:t>每月不少于一次对盆栽进行养护工作，如遇</w:t>
      </w:r>
      <w:r>
        <w:rPr>
          <w:rFonts w:hint="eastAsia" w:ascii="仿宋_GB2312" w:hAnsi="仿宋_GB2312" w:eastAsia="仿宋_GB2312" w:cs="仿宋_GB2312"/>
          <w:color w:val="auto"/>
          <w:sz w:val="24"/>
          <w:szCs w:val="24"/>
          <w:highlight w:val="none"/>
        </w:rPr>
        <w:t>重要接待、上级检查、节</w:t>
      </w:r>
      <w:r>
        <w:rPr>
          <w:rFonts w:hint="eastAsia" w:ascii="仿宋_GB2312" w:hAnsi="仿宋_GB2312" w:eastAsia="仿宋_GB2312" w:cs="仿宋_GB2312"/>
          <w:color w:val="auto"/>
          <w:sz w:val="24"/>
          <w:szCs w:val="24"/>
          <w:highlight w:val="none"/>
          <w:lang w:val="en-US" w:eastAsia="zh-CN"/>
        </w:rPr>
        <w:t>日</w:t>
      </w:r>
      <w:r>
        <w:rPr>
          <w:rFonts w:hint="eastAsia" w:ascii="仿宋_GB2312" w:hAnsi="仿宋_GB2312" w:eastAsia="仿宋_GB2312" w:cs="仿宋_GB2312"/>
          <w:color w:val="auto"/>
          <w:sz w:val="24"/>
          <w:szCs w:val="24"/>
          <w:highlight w:val="none"/>
        </w:rPr>
        <w:t>活动、创建工作需要在特定时期提高养护管理标准的，</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必须配合执行。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(3)绿化草皮、苗木补种，总投入不低于2万元，</w:t>
      </w:r>
      <w:r>
        <w:rPr>
          <w:rFonts w:hint="eastAsia" w:ascii="仿宋_GB2312" w:hAnsi="仿宋_GB2312" w:eastAsia="仿宋_GB2312" w:cs="仿宋_GB2312"/>
          <w:color w:val="auto"/>
          <w:sz w:val="24"/>
          <w:szCs w:val="24"/>
          <w:highlight w:val="none"/>
          <w:lang w:val="en-US" w:eastAsia="zh-CN"/>
        </w:rPr>
        <w:t>超出部分由双方自行协商</w:t>
      </w:r>
      <w:r>
        <w:rPr>
          <w:rFonts w:hint="eastAsia" w:ascii="仿宋_GB2312" w:hAnsi="仿宋_GB2312" w:eastAsia="仿宋_GB2312" w:cs="仿宋_GB2312"/>
          <w:color w:val="auto"/>
          <w:sz w:val="24"/>
          <w:szCs w:val="24"/>
          <w:highlight w:val="none"/>
          <w:lang w:eastAsia="zh-CN"/>
        </w:rPr>
        <w:t>，具体以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确认为准。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(4)养护要求: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成活率:绿地内苗木、草坪、大树保存率要求达到98%以上，如有死亡。根据死亡情况及时补种并保活至服务期结束，如不及时补种，将按原品种、规格的信息价的最高价的三倍价进行赔偿。</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a)修剪:草坪、足球场每年要求6次以上，草坪有黄叶应及时修剪，冷季型草坪每年不少于10次以上;灌木修剪根据实际情况修剪，一般每年不少于8次(新枝高度不得高于10CM)，其它绿化按实际情况修剪，达到树木造型整齐、美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b)施肥:草坪每年施化肥2次以上;灌木每年施有机肥1次以上(发酵的豆饼+磷肥);大树每年施有机肥1次以上、化肥每年1次以上，使植物生长健壮、形态良好。</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c)遇到灾害性气候发生，应及时组织人员进行抗旱、浇水、抗台扶树、抗雪保绿，并在2天内完成所有损坏树木的扶植、加固、清枝等工作。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(5)完成学校迎宾、迎检、迎新的突击性任务，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应无条件、无报酬地为学校服务。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(6)合同期内，因管理不善造成树木枯死及毁损的，由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负责补齐或修复，并自行承担所需费用。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3.劳动力和物资费用:对本承包项目实施养护管理所用的一切劳动力和服务由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自行组织，由此产生的一切费用由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承担。所需的材料设备如:劳动工具、运输工具、修剪机械、农药、肥料、汽柴油、草绳、花盆、泥土、支架、遮阳膜、铁丝、绳索等由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提供，学校提供水源、电源和养护人员的临时休息室、工具室。学校如遇突击栽树、移树，</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应无条件地为学校栽树，新栽的所需苗木、泥土、支架、遮阳膜、铁丝、绳索及机械等相关费用由</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负担。</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4.安全责任: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必须重视安全生产，确保全年不出安全责任事故，</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必须为养护工买好人身意外保险。养护期间，养护工人由于操作不规范等因素造成的安全责任事故，由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承担一切责任及损失。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lang w:eastAsia="zh-CN"/>
        </w:rPr>
        <w:t>在校内绿化养护期间应确保学校设备、设施和师生人员安全。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5.养护服务工作时间: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鉴于</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lang w:eastAsia="zh-CN"/>
        </w:rPr>
        <w:t>的工作特点，绿化养护工作不得因节假日和双休日而中断。</w:t>
      </w:r>
    </w:p>
    <w:p>
      <w:pPr>
        <w:keepNext w:val="0"/>
        <w:keepLines w:val="0"/>
        <w:pageBreakBefore w:val="0"/>
        <w:widowControl w:val="0"/>
        <w:numPr>
          <w:ilvl w:val="0"/>
          <w:numId w:val="6"/>
        </w:numPr>
        <w:kinsoku/>
        <w:wordWrap/>
        <w:overflowPunct/>
        <w:topLinePunct w:val="0"/>
        <w:autoSpaceDE/>
        <w:autoSpaceDN/>
        <w:bidi w:val="0"/>
        <w:adjustRightInd/>
        <w:snapToGrid/>
        <w:spacing w:line="30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其他要求及说明：</w:t>
      </w:r>
    </w:p>
    <w:p>
      <w:pPr>
        <w:keepNext w:val="0"/>
        <w:keepLines w:val="0"/>
        <w:pageBreakBefore w:val="0"/>
        <w:kinsoku/>
        <w:wordWrap/>
        <w:overflowPunct/>
        <w:topLinePunct w:val="0"/>
        <w:autoSpaceDE/>
        <w:autoSpaceDN/>
        <w:bidi w:val="0"/>
        <w:adjustRightInd/>
        <w:spacing w:line="300" w:lineRule="exact"/>
        <w:ind w:firstLine="480" w:firstLineChars="20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1.实行综合包干，包括服务人员的工资（采购人要求需加班的费用）、福利、</w:t>
      </w:r>
      <w:r>
        <w:rPr>
          <w:rFonts w:hint="eastAsia" w:ascii="仿宋_GB2312" w:hAnsi="仿宋_GB2312" w:eastAsia="仿宋_GB2312" w:cs="仿宋_GB2312"/>
          <w:color w:val="auto"/>
          <w:sz w:val="24"/>
          <w:szCs w:val="24"/>
          <w:highlight w:val="none"/>
          <w:lang w:val="en-US" w:eastAsia="zh-CN"/>
        </w:rPr>
        <w:t>餐费（如需在采购人食堂就餐，餐费标准通过后期协商确定）、</w:t>
      </w:r>
      <w:r>
        <w:rPr>
          <w:rFonts w:hint="eastAsia" w:ascii="仿宋_GB2312" w:hAnsi="仿宋_GB2312" w:eastAsia="仿宋_GB2312" w:cs="仿宋_GB2312"/>
          <w:color w:val="auto"/>
          <w:sz w:val="24"/>
          <w:szCs w:val="24"/>
          <w:highlight w:val="none"/>
        </w:rPr>
        <w:t>服装、加班、培训、工具、装备、</w:t>
      </w:r>
      <w:r>
        <w:rPr>
          <w:rFonts w:hint="eastAsia" w:ascii="仿宋_GB2312" w:hAnsi="仿宋_GB2312" w:eastAsia="仿宋_GB2312" w:cs="仿宋_GB2312"/>
          <w:color w:val="auto"/>
          <w:sz w:val="24"/>
          <w:szCs w:val="24"/>
          <w:highlight w:val="none"/>
          <w:lang w:val="en-US" w:eastAsia="zh-CN"/>
        </w:rPr>
        <w:t>卫生间、食堂易耗品、</w:t>
      </w:r>
      <w:r>
        <w:rPr>
          <w:rFonts w:hint="eastAsia" w:ascii="仿宋_GB2312" w:hAnsi="仿宋_GB2312" w:eastAsia="仿宋_GB2312" w:cs="仿宋_GB2312"/>
          <w:color w:val="auto"/>
          <w:sz w:val="24"/>
          <w:szCs w:val="24"/>
          <w:highlight w:val="none"/>
        </w:rPr>
        <w:t>办公耗材、各种保险等费用，管理费、税费等</w:t>
      </w:r>
      <w:r>
        <w:rPr>
          <w:rFonts w:hint="eastAsia" w:ascii="仿宋_GB2312" w:hAnsi="仿宋_GB2312" w:eastAsia="仿宋_GB2312" w:cs="仿宋_GB2312"/>
          <w:color w:val="auto"/>
          <w:sz w:val="24"/>
          <w:szCs w:val="24"/>
          <w:highlight w:val="none"/>
          <w:lang w:eastAsia="zh-CN"/>
        </w:rPr>
        <w:t>。</w:t>
      </w:r>
    </w:p>
    <w:p>
      <w:pPr>
        <w:pStyle w:val="2"/>
        <w:keepNext w:val="0"/>
        <w:keepLines w:val="0"/>
        <w:pageBreakBefore w:val="0"/>
        <w:kinsoku/>
        <w:wordWrap/>
        <w:overflowPunct/>
        <w:topLinePunct w:val="0"/>
        <w:autoSpaceDE/>
        <w:autoSpaceDN/>
        <w:bidi w:val="0"/>
        <w:adjustRightInd/>
        <w:spacing w:line="300" w:lineRule="exact"/>
        <w:ind w:firstLine="480" w:firstLineChars="200"/>
        <w:textAlignment w:val="auto"/>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kern w:val="0"/>
          <w:sz w:val="24"/>
          <w:szCs w:val="24"/>
          <w:highlight w:val="none"/>
        </w:rPr>
        <w:t>2.人员最低工资不低于绍兴当地的最低标准（参照浙政发浙政发〔2024〕3号执行），并缴纳相应的社保。</w:t>
      </w:r>
    </w:p>
    <w:p>
      <w:pPr>
        <w:keepNext w:val="0"/>
        <w:keepLines w:val="0"/>
        <w:pageBreakBefore w:val="0"/>
        <w:kinsoku/>
        <w:wordWrap/>
        <w:overflowPunct/>
        <w:topLinePunct w:val="0"/>
        <w:autoSpaceDE/>
        <w:autoSpaceDN/>
        <w:bidi w:val="0"/>
        <w:adjustRightInd/>
        <w:spacing w:line="30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.如因采购人应急或不在服务范围内的工作任务，</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也须积极配合。</w:t>
      </w:r>
    </w:p>
    <w:p>
      <w:pPr>
        <w:keepNext w:val="0"/>
        <w:keepLines w:val="0"/>
        <w:pageBreakBefore w:val="0"/>
        <w:kinsoku/>
        <w:wordWrap/>
        <w:overflowPunct/>
        <w:topLinePunct w:val="0"/>
        <w:autoSpaceDE/>
        <w:autoSpaceDN/>
        <w:bidi w:val="0"/>
        <w:adjustRightInd/>
        <w:spacing w:line="300" w:lineRule="exact"/>
        <w:ind w:firstLine="480" w:firstLineChars="20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工作人员与采购人不发生任何法律关系，</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工作人员的劳务纠纷或疾病、事故等与采购人无关，由</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自行解决（处理和承担</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.采购人对不符合用工要求、严重违反采购人规章制度和劳动纪律，影响较差的人员有权要求</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对相关人员进行更换、调整。</w:t>
      </w:r>
    </w:p>
    <w:p>
      <w:pPr>
        <w:pStyle w:val="2"/>
        <w:keepNext w:val="0"/>
        <w:keepLines w:val="0"/>
        <w:pageBreakBefore w:val="0"/>
        <w:kinsoku/>
        <w:wordWrap/>
        <w:overflowPunct/>
        <w:topLinePunct w:val="0"/>
        <w:autoSpaceDE/>
        <w:autoSpaceDN/>
        <w:bidi w:val="0"/>
        <w:adjustRightInd/>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6.服务期间如因采购人场地改造、新增等原因导致服务范围扩大，投标人也需保障新增场地的路面环境卫生及绿化修剪等工作，采购人不另行增加费用。</w:t>
      </w:r>
    </w:p>
    <w:p>
      <w:pPr>
        <w:keepNext w:val="0"/>
        <w:keepLines w:val="0"/>
        <w:pageBreakBefore w:val="0"/>
        <w:kinsoku/>
        <w:wordWrap/>
        <w:overflowPunct/>
        <w:topLinePunct w:val="0"/>
        <w:autoSpaceDE/>
        <w:autoSpaceDN/>
        <w:bidi w:val="0"/>
        <w:adjustRightInd/>
        <w:spacing w:line="300" w:lineRule="exact"/>
        <w:textAlignment w:val="auto"/>
        <w:rPr>
          <w:rFonts w:hint="eastAsia" w:ascii="仿宋_GB2312" w:hAnsi="仿宋_GB2312" w:eastAsia="仿宋_GB2312" w:cs="仿宋_GB2312"/>
          <w:b/>
          <w:bCs/>
          <w:iCs/>
          <w:color w:val="auto"/>
          <w:sz w:val="24"/>
          <w:szCs w:val="24"/>
          <w:highlight w:val="none"/>
        </w:rPr>
      </w:pPr>
      <w:r>
        <w:rPr>
          <w:rFonts w:hint="eastAsia" w:ascii="仿宋_GB2312" w:hAnsi="仿宋_GB2312" w:eastAsia="仿宋_GB2312" w:cs="仿宋_GB2312"/>
          <w:b/>
          <w:bCs/>
          <w:iCs/>
          <w:color w:val="auto"/>
          <w:sz w:val="24"/>
          <w:szCs w:val="24"/>
          <w:highlight w:val="none"/>
          <w:lang w:val="en-US" w:eastAsia="zh-CN"/>
        </w:rPr>
        <w:t xml:space="preserve">    7.</w:t>
      </w:r>
      <w:r>
        <w:rPr>
          <w:rFonts w:hint="eastAsia" w:ascii="仿宋_GB2312" w:hAnsi="仿宋_GB2312" w:eastAsia="仿宋_GB2312" w:cs="仿宋_GB2312"/>
          <w:b/>
          <w:bCs/>
          <w:iCs/>
          <w:color w:val="auto"/>
          <w:sz w:val="24"/>
          <w:szCs w:val="24"/>
          <w:highlight w:val="none"/>
        </w:rPr>
        <w:t>付款方式：按《浙江省财政厅关于进一步发挥政府采购政策 功能全力推动经济稳进提质的通知》（浙财采监〔2022〕3号）等文件要求执行，具体付款方式由双方协商后在合同中明确。</w:t>
      </w:r>
    </w:p>
    <w:p>
      <w:pPr>
        <w:spacing w:line="360" w:lineRule="auto"/>
        <w:rPr>
          <w:rFonts w:ascii="仿宋_GB2312" w:eastAsia="仿宋_GB2312" w:hAnsiTheme="minorEastAsia" w:cstheme="minorEastAsia"/>
          <w:color w:val="auto"/>
          <w:sz w:val="24"/>
          <w:highlight w:val="none"/>
          <w:lang w:val="zh-CN"/>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6"/>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1" w:name="_Toc19273"/>
      <w:bookmarkStart w:id="12" w:name="_Toc22967"/>
      <w:bookmarkStart w:id="13" w:name="_Toc20421"/>
      <w:bookmarkStart w:id="14" w:name="_Toc15367"/>
      <w:bookmarkStart w:id="15" w:name="_Toc28855"/>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6" w:name="_Toc2918"/>
      <w:bookmarkStart w:id="17" w:name="_Toc6311"/>
      <w:bookmarkStart w:id="18" w:name="_Toc6773"/>
      <w:bookmarkStart w:id="19" w:name="_Toc18585"/>
      <w:bookmarkStart w:id="20" w:name="_Toc22185"/>
      <w:r>
        <w:rPr>
          <w:rFonts w:hint="eastAsia" w:ascii="仿宋_GB2312" w:hAnsi="仿宋" w:eastAsia="仿宋_GB2312" w:cs="仿宋"/>
          <w:b/>
          <w:color w:val="auto"/>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1" w:name="_Toc13918"/>
      <w:bookmarkStart w:id="22" w:name="_Toc5635"/>
      <w:bookmarkStart w:id="23" w:name="_Toc4929"/>
      <w:bookmarkStart w:id="24" w:name="_Toc1386"/>
      <w:bookmarkStart w:id="25"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6" w:name="_Toc3654"/>
      <w:bookmarkStart w:id="27" w:name="_Toc30158"/>
      <w:bookmarkStart w:id="28" w:name="_Toc26916"/>
      <w:bookmarkStart w:id="29" w:name="_Toc30506"/>
      <w:bookmarkStart w:id="30" w:name="_Toc14993"/>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22618"/>
      <w:bookmarkStart w:id="32" w:name="_Toc10340"/>
      <w:bookmarkStart w:id="33" w:name="_Toc1814"/>
      <w:bookmarkStart w:id="34" w:name="_Toc8772"/>
      <w:bookmarkStart w:id="35" w:name="_Toc31421"/>
      <w:bookmarkStart w:id="36" w:name="_Toc11108"/>
      <w:bookmarkStart w:id="37" w:name="_Toc3625"/>
      <w:bookmarkStart w:id="38" w:name="_Toc4760"/>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9" w:name="_Toc24662"/>
      <w:bookmarkStart w:id="40" w:name="_Toc3079"/>
      <w:bookmarkStart w:id="41" w:name="_Toc2375"/>
      <w:bookmarkStart w:id="42" w:name="_Toc8586"/>
      <w:bookmarkStart w:id="43" w:name="_Toc5698"/>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4" w:name="_Toc18683"/>
      <w:bookmarkStart w:id="45" w:name="_Toc26807"/>
      <w:bookmarkStart w:id="46" w:name="_Toc9497"/>
      <w:bookmarkStart w:id="47" w:name="_Toc30329"/>
      <w:bookmarkStart w:id="48" w:name="_Toc32454"/>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color w:val="auto"/>
          <w:sz w:val="24"/>
          <w:highlight w:val="none"/>
        </w:rPr>
      </w:pPr>
      <w:bookmarkStart w:id="49" w:name="_Toc16021"/>
      <w:bookmarkStart w:id="50" w:name="_Toc15583"/>
      <w:bookmarkStart w:id="51" w:name="_Toc28375"/>
      <w:r>
        <w:rPr>
          <w:rFonts w:hint="eastAsia" w:ascii="仿宋_GB2312" w:hAnsi="仿宋" w:eastAsia="仿宋_GB2312" w:cs="仿宋"/>
          <w:b/>
          <w:color w:val="auto"/>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color w:val="auto"/>
          <w:sz w:val="24"/>
          <w:highlight w:val="none"/>
        </w:rPr>
      </w:pPr>
      <w:bookmarkStart w:id="52" w:name="_Toc7245"/>
      <w:bookmarkStart w:id="53" w:name="_Toc11173"/>
      <w:bookmarkStart w:id="54" w:name="_Toc15322"/>
      <w:r>
        <w:rPr>
          <w:rFonts w:hint="eastAsia" w:ascii="仿宋_GB2312" w:hAnsi="仿宋" w:eastAsia="仿宋_GB2312" w:cs="仿宋"/>
          <w:b/>
          <w:color w:val="auto"/>
          <w:sz w:val="24"/>
          <w:highlight w:val="none"/>
        </w:rPr>
        <w:t>2.0 合同生效</w:t>
      </w:r>
      <w:bookmarkEnd w:id="52"/>
      <w:bookmarkEnd w:id="53"/>
      <w:bookmarkEnd w:id="54"/>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5" w:name="_Toc19680"/>
      <w:bookmarkStart w:id="56" w:name="_Toc25079"/>
      <w:bookmarkStart w:id="57" w:name="_Toc14021"/>
      <w:bookmarkStart w:id="58" w:name="_Toc5228"/>
      <w:bookmarkStart w:id="59" w:name="_Toc31297"/>
      <w:r>
        <w:rPr>
          <w:rFonts w:hint="eastAsia" w:ascii="仿宋_GB2312" w:hAnsi="仿宋" w:eastAsia="仿宋_GB2312" w:cs="仿宋"/>
          <w:b/>
          <w:color w:val="auto"/>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0" w:name="_Toc16752"/>
      <w:bookmarkStart w:id="61" w:name="_Toc19539"/>
      <w:bookmarkStart w:id="62" w:name="_Toc23289"/>
      <w:bookmarkStart w:id="63" w:name="_Toc31402"/>
      <w:bookmarkStart w:id="64" w:name="_Toc3769"/>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5" w:name="_Toc12412"/>
      <w:bookmarkStart w:id="66" w:name="_Toc4133"/>
      <w:bookmarkStart w:id="67" w:name="_Toc9161"/>
      <w:bookmarkStart w:id="68" w:name="_Toc27945"/>
      <w:bookmarkStart w:id="69" w:name="_Toc13673"/>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0" w:name="_Toc15447"/>
      <w:bookmarkStart w:id="71" w:name="_Toc22011"/>
      <w:bookmarkStart w:id="72" w:name="_Toc32670"/>
      <w:bookmarkStart w:id="73" w:name="_Toc26555"/>
      <w:bookmarkStart w:id="74" w:name="_Toc31233"/>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Toc16163"/>
      <w:bookmarkStart w:id="76" w:name="_Toc13467"/>
      <w:bookmarkStart w:id="77" w:name="_Toc13154"/>
      <w:bookmarkStart w:id="78" w:name="_Toc30507"/>
      <w:bookmarkStart w:id="79" w:name="_Toc18990"/>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3" w:name="_Toc26689"/>
      <w:bookmarkStart w:id="84" w:name="_Toc10663"/>
      <w:bookmarkStart w:id="85" w:name="_Toc42"/>
      <w:bookmarkStart w:id="86" w:name="_Toc21830"/>
      <w:bookmarkStart w:id="87" w:name="_Toc23368"/>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8" w:name="_Toc32494"/>
      <w:bookmarkStart w:id="89" w:name="_Toc26633"/>
      <w:bookmarkStart w:id="90" w:name="_Toc14371"/>
      <w:bookmarkStart w:id="91" w:name="_Toc4720"/>
      <w:bookmarkStart w:id="92" w:name="_Toc255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3" w:name="_Toc14115"/>
      <w:bookmarkStart w:id="94" w:name="_Toc24465"/>
      <w:bookmarkStart w:id="95" w:name="_Toc3638"/>
      <w:bookmarkStart w:id="96" w:name="_Toc25783"/>
      <w:bookmarkStart w:id="97" w:name="_Toc23854"/>
      <w:r>
        <w:rPr>
          <w:rFonts w:hint="eastAsia" w:ascii="仿宋_GB2312" w:hAnsi="仿宋" w:eastAsia="仿宋_GB2312" w:cs="仿宋"/>
          <w:b/>
          <w:color w:val="auto"/>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8" w:name="_Toc7315"/>
      <w:bookmarkStart w:id="99" w:name="_Toc26883"/>
      <w:bookmarkStart w:id="100" w:name="_Toc30105"/>
      <w:bookmarkStart w:id="101" w:name="_Toc14814"/>
      <w:bookmarkStart w:id="102" w:name="_Toc25525"/>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3" w:name="_Toc23323"/>
      <w:bookmarkStart w:id="104" w:name="_Toc1123"/>
      <w:bookmarkStart w:id="105" w:name="_Toc2016"/>
      <w:r>
        <w:rPr>
          <w:rFonts w:hint="eastAsia" w:ascii="仿宋_GB2312" w:hAnsi="仿宋" w:eastAsia="仿宋_GB2312" w:cs="仿宋"/>
          <w:b/>
          <w:color w:val="auto"/>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6" w:name="_Toc17363"/>
      <w:bookmarkStart w:id="107" w:name="_Toc1969"/>
      <w:bookmarkStart w:id="108" w:name="_Toc14525"/>
      <w:r>
        <w:rPr>
          <w:rFonts w:hint="eastAsia" w:ascii="仿宋_GB2312" w:hAnsi="仿宋" w:eastAsia="仿宋_GB2312" w:cs="仿宋"/>
          <w:b/>
          <w:color w:val="auto"/>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9" w:name="_Toc25198"/>
      <w:bookmarkStart w:id="110" w:name="_Toc2308"/>
      <w:bookmarkStart w:id="111" w:name="_Toc12666"/>
      <w:bookmarkStart w:id="112" w:name="_Toc9808"/>
      <w:bookmarkStart w:id="113" w:name="_Toc31892"/>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bookmarkStart w:id="114" w:name="_Toc27674"/>
      <w:bookmarkStart w:id="11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color w:val="auto"/>
          <w:sz w:val="24"/>
          <w:highlight w:val="none"/>
        </w:rPr>
      </w:pPr>
      <w:bookmarkStart w:id="116" w:name="_Toc28906"/>
      <w:bookmarkStart w:id="117" w:name="_Toc12254"/>
      <w:bookmarkStart w:id="118" w:name="_Toc20808"/>
      <w:bookmarkStart w:id="119" w:name="_Toc5063"/>
      <w:bookmarkStart w:id="120" w:name="_Toc27644"/>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1" w:name="_Toc4355"/>
      <w:bookmarkStart w:id="122" w:name="_Toc30599"/>
      <w:bookmarkStart w:id="123" w:name="_Toc18540"/>
      <w:r>
        <w:rPr>
          <w:rFonts w:hint="eastAsia" w:ascii="仿宋_GB2312" w:hAnsi="仿宋" w:eastAsia="仿宋_GB2312" w:cs="仿宋"/>
          <w:b/>
          <w:color w:val="auto"/>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4" w:name="_Toc18567"/>
      <w:bookmarkStart w:id="125" w:name="_Toc259093692"/>
      <w:bookmarkStart w:id="126" w:name="_Toc279701263"/>
      <w:bookmarkStart w:id="127" w:name="_Toc10330"/>
      <w:bookmarkStart w:id="128" w:name="_Toc12773"/>
      <w:bookmarkStart w:id="129" w:name="_Toc487900373"/>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w:t>
      </w:r>
      <w:r>
        <w:rPr>
          <w:rFonts w:hint="eastAsia" w:ascii="仿宋_GB2312" w:hAnsi="宋体" w:eastAsia="仿宋_GB2312"/>
          <w:b/>
          <w:color w:val="auto"/>
          <w:sz w:val="24"/>
          <w:highlight w:val="none"/>
          <w:lang w:val="en-US" w:eastAsia="zh-CN"/>
        </w:rPr>
        <w:t>.</w:t>
      </w:r>
      <w:r>
        <w:rPr>
          <w:rFonts w:hint="eastAsia" w:ascii="仿宋_GB2312" w:hAnsi="宋体" w:eastAsia="仿宋_GB2312"/>
          <w:b/>
          <w:color w:val="auto"/>
          <w:sz w:val="24"/>
          <w:highlight w:val="none"/>
        </w:rPr>
        <w:t>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480"/>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1480"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评分项</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评审依据及标准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1</w:t>
            </w:r>
          </w:p>
        </w:tc>
        <w:tc>
          <w:tcPr>
            <w:tcW w:w="1480" w:type="dxa"/>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w:t>
            </w:r>
          </w:p>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认证</w:t>
            </w:r>
          </w:p>
        </w:tc>
        <w:tc>
          <w:tcPr>
            <w:tcW w:w="6416" w:type="dxa"/>
            <w:vAlign w:val="center"/>
          </w:tcPr>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根据投标人企业认证证书情况进行打分，0-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分。（提供相关证明并加盖投标人公章）</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2</w:t>
            </w:r>
          </w:p>
        </w:tc>
        <w:tc>
          <w:tcPr>
            <w:tcW w:w="1480"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业绩案例</w:t>
            </w:r>
          </w:p>
        </w:tc>
        <w:tc>
          <w:tcPr>
            <w:tcW w:w="6416" w:type="dxa"/>
            <w:vAlign w:val="center"/>
          </w:tcPr>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投标人自202</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年</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月1日以来（以合同签订时间为准）完成的同类案例，每有</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个得</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val="en-US" w:eastAsia="zh-CN"/>
              </w:rPr>
              <w:t>满分3</w:t>
            </w:r>
            <w:r>
              <w:rPr>
                <w:rFonts w:hint="eastAsia" w:ascii="仿宋_GB2312" w:hAnsi="仿宋_GB2312" w:eastAsia="仿宋_GB2312" w:cs="仿宋_GB2312"/>
                <w:color w:val="auto"/>
                <w:sz w:val="24"/>
                <w:szCs w:val="24"/>
                <w:highlight w:val="none"/>
              </w:rPr>
              <w:t>分。</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注：每个案例提供合同</w:t>
            </w:r>
            <w:r>
              <w:rPr>
                <w:rFonts w:hint="eastAsia" w:ascii="仿宋_GB2312" w:hAnsi="仿宋_GB2312" w:eastAsia="仿宋_GB2312" w:cs="仿宋_GB2312"/>
                <w:b/>
                <w:bCs/>
                <w:color w:val="auto"/>
                <w:sz w:val="24"/>
                <w:szCs w:val="24"/>
                <w:highlight w:val="none"/>
                <w:lang w:val="en-US" w:eastAsia="zh-CN"/>
              </w:rPr>
              <w:t>和验收报告</w:t>
            </w:r>
            <w:r>
              <w:rPr>
                <w:rFonts w:hint="eastAsia" w:ascii="仿宋_GB2312" w:hAnsi="仿宋_GB2312" w:eastAsia="仿宋_GB2312" w:cs="仿宋_GB2312"/>
                <w:b/>
                <w:bCs/>
                <w:color w:val="auto"/>
                <w:sz w:val="24"/>
                <w:szCs w:val="24"/>
                <w:highlight w:val="none"/>
              </w:rPr>
              <w:t>复印件</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并</w:t>
            </w:r>
            <w:r>
              <w:rPr>
                <w:rFonts w:hint="eastAsia" w:ascii="仿宋_GB2312" w:hAnsi="仿宋_GB2312" w:eastAsia="仿宋_GB2312" w:cs="仿宋_GB2312"/>
                <w:b/>
                <w:bCs/>
                <w:color w:val="auto"/>
                <w:sz w:val="24"/>
                <w:szCs w:val="24"/>
                <w:highlight w:val="none"/>
              </w:rPr>
              <w:t>加盖投标人公章。</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3</w:t>
            </w:r>
          </w:p>
        </w:tc>
        <w:tc>
          <w:tcPr>
            <w:tcW w:w="1480"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lang w:eastAsia="zh-CN"/>
              </w:rPr>
              <w:t>主要</w:t>
            </w:r>
            <w:r>
              <w:rPr>
                <w:rFonts w:hint="eastAsia" w:ascii="仿宋_GB2312" w:hAnsi="仿宋_GB2312" w:eastAsia="仿宋_GB2312" w:cs="仿宋_GB2312"/>
                <w:color w:val="auto"/>
                <w:sz w:val="24"/>
                <w:szCs w:val="24"/>
                <w:highlight w:val="none"/>
              </w:rPr>
              <w:t>人员</w:t>
            </w:r>
            <w:r>
              <w:rPr>
                <w:rFonts w:hint="eastAsia" w:ascii="仿宋_GB2312" w:hAnsi="仿宋_GB2312" w:eastAsia="仿宋_GB2312" w:cs="仿宋_GB2312"/>
                <w:color w:val="auto"/>
                <w:kern w:val="0"/>
                <w:sz w:val="24"/>
                <w:szCs w:val="24"/>
                <w:highlight w:val="none"/>
              </w:rPr>
              <w:t>综合素质</w:t>
            </w:r>
          </w:p>
        </w:tc>
        <w:tc>
          <w:tcPr>
            <w:tcW w:w="6416" w:type="dxa"/>
            <w:vAlign w:val="center"/>
          </w:tcPr>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拟派项目负责人</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1、具有本科及以上学历的得1分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持有人社部门颁发的高级技术职称证书</w:t>
            </w:r>
            <w:r>
              <w:rPr>
                <w:rFonts w:hint="eastAsia" w:ascii="仿宋_GB2312" w:hAnsi="仿宋_GB2312" w:eastAsia="仿宋_GB2312" w:cs="仿宋_GB2312"/>
                <w:color w:val="auto"/>
                <w:sz w:val="24"/>
                <w:szCs w:val="24"/>
                <w:highlight w:val="none"/>
                <w:lang w:val="en-US" w:eastAsia="zh-CN"/>
              </w:rPr>
              <w:t>的得1分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rPr>
              <w:t>拟派保安</w:t>
            </w:r>
            <w:r>
              <w:rPr>
                <w:rFonts w:hint="eastAsia" w:ascii="仿宋_GB2312" w:hAnsi="仿宋_GB2312" w:eastAsia="仿宋_GB2312" w:cs="仿宋_GB2312"/>
                <w:color w:val="auto"/>
                <w:sz w:val="24"/>
                <w:szCs w:val="24"/>
                <w:highlight w:val="none"/>
                <w:lang w:val="en-US" w:eastAsia="zh-CN"/>
              </w:rPr>
              <w:t>人员</w:t>
            </w:r>
            <w:r>
              <w:rPr>
                <w:rFonts w:hint="eastAsia" w:ascii="仿宋_GB2312" w:hAnsi="仿宋_GB2312" w:eastAsia="仿宋_GB2312" w:cs="仿宋_GB2312"/>
                <w:color w:val="auto"/>
                <w:sz w:val="24"/>
                <w:szCs w:val="24"/>
                <w:highlight w:val="none"/>
              </w:rPr>
              <w:t>：</w:t>
            </w:r>
          </w:p>
          <w:p>
            <w:pPr>
              <w:keepNext w:val="0"/>
              <w:keepLines w:val="0"/>
              <w:pageBreakBefore w:val="0"/>
              <w:numPr>
                <w:ilvl w:val="0"/>
                <w:numId w:val="0"/>
              </w:numPr>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持有人社部门或公安部门颁发的保安员三级及以上证书</w:t>
            </w:r>
            <w:r>
              <w:rPr>
                <w:rFonts w:hint="eastAsia" w:ascii="仿宋_GB2312" w:hAnsi="仿宋_GB2312" w:eastAsia="仿宋_GB2312" w:cs="仿宋_GB2312"/>
                <w:color w:val="auto"/>
                <w:sz w:val="24"/>
                <w:szCs w:val="24"/>
                <w:highlight w:val="none"/>
                <w:lang w:val="en-US" w:eastAsia="zh-CN"/>
              </w:rPr>
              <w:t>的，每有一本证得0.5分，最高3分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持有市场监督管理部门颁发的安全管理和作业人员证（特种设备安全管理）</w:t>
            </w:r>
            <w:r>
              <w:rPr>
                <w:rFonts w:hint="eastAsia" w:ascii="仿宋_GB2312" w:hAnsi="仿宋_GB2312" w:eastAsia="仿宋_GB2312" w:cs="仿宋_GB2312"/>
                <w:color w:val="auto"/>
                <w:sz w:val="24"/>
                <w:szCs w:val="24"/>
                <w:highlight w:val="none"/>
                <w:lang w:val="en-US" w:eastAsia="zh-CN"/>
              </w:rPr>
              <w:t>的得1分</w:t>
            </w:r>
            <w:r>
              <w:rPr>
                <w:rFonts w:hint="eastAsia" w:ascii="仿宋_GB2312" w:hAnsi="仿宋_GB2312" w:eastAsia="仿宋_GB2312" w:cs="仿宋_GB2312"/>
                <w:color w:val="auto"/>
                <w:sz w:val="24"/>
                <w:szCs w:val="24"/>
                <w:highlight w:val="none"/>
                <w:lang w:eastAsia="zh-CN"/>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、拟派</w:t>
            </w:r>
            <w:r>
              <w:rPr>
                <w:rFonts w:hint="eastAsia" w:ascii="仿宋_GB2312" w:hAnsi="仿宋_GB2312" w:eastAsia="仿宋_GB2312" w:cs="仿宋_GB2312"/>
                <w:color w:val="auto"/>
                <w:sz w:val="24"/>
                <w:szCs w:val="24"/>
                <w:highlight w:val="none"/>
                <w:lang w:val="en-US" w:eastAsia="zh-CN"/>
              </w:rPr>
              <w:t>高压电工</w:t>
            </w:r>
            <w:r>
              <w:rPr>
                <w:rFonts w:hint="eastAsia" w:ascii="仿宋_GB2312" w:hAnsi="仿宋_GB2312" w:eastAsia="仿宋_GB2312" w:cs="仿宋_GB2312"/>
                <w:color w:val="auto"/>
                <w:sz w:val="24"/>
                <w:szCs w:val="24"/>
                <w:highlight w:val="none"/>
              </w:rPr>
              <w:t>：持有应急管理部门颁发或监制的特种作业操作证（</w:t>
            </w:r>
            <w:r>
              <w:rPr>
                <w:rFonts w:hint="eastAsia" w:ascii="仿宋_GB2312" w:hAnsi="仿宋_GB2312" w:eastAsia="仿宋_GB2312" w:cs="仿宋_GB2312"/>
                <w:color w:val="auto"/>
                <w:sz w:val="24"/>
                <w:szCs w:val="24"/>
                <w:highlight w:val="none"/>
              </w:rPr>
              <w:fldChar w:fldCharType="begin"/>
            </w:r>
            <w:r>
              <w:rPr>
                <w:rFonts w:hint="eastAsia" w:ascii="仿宋_GB2312" w:hAnsi="仿宋_GB2312" w:eastAsia="仿宋_GB2312" w:cs="仿宋_GB2312"/>
                <w:color w:val="auto"/>
                <w:sz w:val="24"/>
                <w:szCs w:val="24"/>
                <w:highlight w:val="none"/>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auto"/>
                <w:sz w:val="24"/>
                <w:szCs w:val="24"/>
                <w:highlight w:val="none"/>
              </w:rPr>
              <w:fldChar w:fldCharType="separate"/>
            </w:r>
            <w:r>
              <w:rPr>
                <w:rFonts w:hint="eastAsia" w:ascii="仿宋_GB2312" w:hAnsi="仿宋_GB2312" w:eastAsia="仿宋_GB2312" w:cs="仿宋_GB2312"/>
                <w:color w:val="auto"/>
                <w:sz w:val="24"/>
                <w:szCs w:val="24"/>
                <w:highlight w:val="none"/>
              </w:rPr>
              <w:t>高压电</w:t>
            </w:r>
            <w:r>
              <w:rPr>
                <w:rFonts w:hint="eastAsia" w:ascii="仿宋_GB2312" w:hAnsi="仿宋_GB2312" w:eastAsia="仿宋_GB2312" w:cs="仿宋_GB2312"/>
                <w:color w:val="auto"/>
                <w:sz w:val="24"/>
                <w:szCs w:val="24"/>
                <w:highlight w:val="none"/>
              </w:rPr>
              <w:fldChar w:fldCharType="end"/>
            </w:r>
            <w:r>
              <w:rPr>
                <w:rFonts w:hint="eastAsia" w:ascii="仿宋_GB2312" w:hAnsi="仿宋_GB2312" w:eastAsia="仿宋_GB2312" w:cs="仿宋_GB2312"/>
                <w:color w:val="auto"/>
                <w:sz w:val="24"/>
                <w:szCs w:val="24"/>
                <w:highlight w:val="none"/>
              </w:rPr>
              <w:t>工作业）</w:t>
            </w:r>
            <w:r>
              <w:rPr>
                <w:rFonts w:hint="eastAsia" w:ascii="仿宋_GB2312" w:hAnsi="仿宋_GB2312" w:eastAsia="仿宋_GB2312" w:cs="仿宋_GB2312"/>
                <w:color w:val="auto"/>
                <w:sz w:val="24"/>
                <w:szCs w:val="24"/>
                <w:highlight w:val="none"/>
                <w:lang w:val="en-US" w:eastAsia="zh-CN"/>
              </w:rPr>
              <w:t>的得1分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四、拟派综合维修工：</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、持有应急管理部门颁发或监制的特种作业操作证（低压电工作业）</w:t>
            </w:r>
            <w:r>
              <w:rPr>
                <w:rFonts w:hint="eastAsia" w:ascii="仿宋_GB2312" w:hAnsi="仿宋_GB2312" w:eastAsia="仿宋_GB2312" w:cs="仿宋_GB2312"/>
                <w:color w:val="auto"/>
                <w:sz w:val="24"/>
                <w:szCs w:val="24"/>
                <w:highlight w:val="none"/>
                <w:lang w:val="en-US" w:eastAsia="zh-CN"/>
              </w:rPr>
              <w:t>的得1分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、持有人社部门颁发</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或认可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的维修电工二级及以上证书</w:t>
            </w:r>
            <w:r>
              <w:rPr>
                <w:rFonts w:hint="eastAsia" w:ascii="仿宋_GB2312" w:hAnsi="仿宋_GB2312" w:eastAsia="仿宋_GB2312" w:cs="仿宋_GB2312"/>
                <w:color w:val="auto"/>
                <w:sz w:val="24"/>
                <w:szCs w:val="24"/>
                <w:highlight w:val="none"/>
                <w:lang w:val="en-US" w:eastAsia="zh-CN"/>
              </w:rPr>
              <w:t>的得1分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、持有应急管理部门颁发或监制的特种作业操作证（高处作业）</w:t>
            </w:r>
            <w:r>
              <w:rPr>
                <w:rFonts w:hint="eastAsia" w:ascii="仿宋_GB2312" w:hAnsi="仿宋_GB2312" w:eastAsia="仿宋_GB2312" w:cs="仿宋_GB2312"/>
                <w:color w:val="auto"/>
                <w:sz w:val="24"/>
                <w:szCs w:val="24"/>
                <w:highlight w:val="none"/>
                <w:lang w:val="en-US" w:eastAsia="zh-CN"/>
              </w:rPr>
              <w:t>的得1分</w:t>
            </w:r>
            <w:r>
              <w:rPr>
                <w:rFonts w:hint="eastAsia" w:ascii="仿宋_GB2312" w:hAnsi="仿宋_GB2312" w:eastAsia="仿宋_GB2312" w:cs="仿宋_GB2312"/>
                <w:color w:val="auto"/>
                <w:sz w:val="24"/>
                <w:szCs w:val="24"/>
                <w:highlight w:val="none"/>
              </w:rPr>
              <w:t>；</w:t>
            </w:r>
          </w:p>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注：以上人员不得兼任，提供以上相关人员本单位的社保证明材料及相关证书材料复印件并加盖投标人公章,否则不得分。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c>
          <w:tcPr>
            <w:tcW w:w="1480" w:type="dxa"/>
            <w:vAlign w:val="center"/>
          </w:tcPr>
          <w:p>
            <w:pPr>
              <w:keepNext w:val="0"/>
              <w:keepLines w:val="0"/>
              <w:pageBreakBefore w:val="0"/>
              <w:kinsoku/>
              <w:wordWrap/>
              <w:overflowPunct/>
              <w:topLinePunct w:val="0"/>
              <w:autoSpaceDE/>
              <w:autoSpaceDN/>
              <w:bidi w:val="0"/>
              <w:adjustRightInd/>
              <w:spacing w:line="300" w:lineRule="exact"/>
              <w:ind w:left="240" w:leftChars="0" w:hanging="240" w:hangingChars="1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sz w:val="24"/>
                <w:szCs w:val="24"/>
                <w:highlight w:val="none"/>
              </w:rPr>
              <w:t>保安服务方案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根据投标人提供的保安服务方案进行打分，</w:t>
            </w:r>
            <w:r>
              <w:rPr>
                <w:rFonts w:hint="eastAsia" w:ascii="仿宋_GB2312" w:hAnsi="仿宋_GB2312" w:eastAsia="仿宋_GB2312" w:cs="仿宋_GB2312"/>
                <w:color w:val="auto"/>
                <w:kern w:val="0"/>
                <w:sz w:val="24"/>
                <w:szCs w:val="24"/>
                <w:highlight w:val="none"/>
              </w:rPr>
              <w:t>包括但不限于物业服务区域内的日常治安管理、巡逻检查、消防安全的日常维护等，</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5</w:t>
            </w:r>
          </w:p>
        </w:tc>
        <w:tc>
          <w:tcPr>
            <w:tcW w:w="1480" w:type="dxa"/>
            <w:vAlign w:val="center"/>
          </w:tcPr>
          <w:p>
            <w:pPr>
              <w:keepNext w:val="0"/>
              <w:keepLines w:val="0"/>
              <w:pageBreakBefore w:val="0"/>
              <w:kinsoku/>
              <w:wordWrap/>
              <w:overflowPunct/>
              <w:topLinePunct w:val="0"/>
              <w:autoSpaceDE/>
              <w:autoSpaceDN/>
              <w:bidi w:val="0"/>
              <w:adjustRightInd/>
              <w:spacing w:line="300" w:lineRule="exact"/>
              <w:ind w:left="240" w:leftChars="0" w:hanging="240" w:hangingChars="100"/>
              <w:textAlignment w:val="auto"/>
              <w:rPr>
                <w:rFonts w:hint="eastAsia" w:ascii="仿宋_GB2312" w:hAnsi="仿宋_GB2312" w:eastAsia="仿宋_GB2312" w:cs="仿宋_GB2312"/>
                <w:bCs/>
                <w:iCs/>
                <w:color w:val="auto"/>
                <w:sz w:val="24"/>
                <w:szCs w:val="24"/>
                <w:highlight w:val="none"/>
                <w:lang w:val="en-US"/>
              </w:rPr>
            </w:pPr>
            <w:r>
              <w:rPr>
                <w:rFonts w:hint="eastAsia" w:ascii="仿宋_GB2312" w:hAnsi="仿宋_GB2312" w:eastAsia="仿宋_GB2312" w:cs="仿宋_GB2312"/>
                <w:color w:val="auto"/>
                <w:sz w:val="24"/>
                <w:szCs w:val="24"/>
                <w:highlight w:val="none"/>
              </w:rPr>
              <w:t>保洁服务方案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lang w:val="en-US"/>
              </w:rPr>
            </w:pPr>
            <w:r>
              <w:rPr>
                <w:rFonts w:hint="eastAsia" w:ascii="仿宋_GB2312" w:hAnsi="仿宋_GB2312" w:eastAsia="仿宋_GB2312" w:cs="仿宋_GB2312"/>
                <w:color w:val="auto"/>
                <w:sz w:val="24"/>
                <w:szCs w:val="24"/>
                <w:highlight w:val="none"/>
              </w:rPr>
              <w:t>根据投标人提供的保洁服务方案进行打分，</w:t>
            </w:r>
            <w:r>
              <w:rPr>
                <w:rFonts w:hint="eastAsia" w:ascii="仿宋_GB2312" w:hAnsi="仿宋_GB2312" w:eastAsia="仿宋_GB2312" w:cs="仿宋_GB2312"/>
                <w:color w:val="auto"/>
                <w:kern w:val="0"/>
                <w:sz w:val="24"/>
                <w:szCs w:val="24"/>
                <w:highlight w:val="none"/>
              </w:rPr>
              <w:t>包括但不限于公共区域及设施的保洁方案；灭“四害”消杀等，</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6</w:t>
            </w:r>
          </w:p>
        </w:tc>
        <w:tc>
          <w:tcPr>
            <w:tcW w:w="1480" w:type="dxa"/>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kern w:val="0"/>
                <w:sz w:val="24"/>
                <w:szCs w:val="24"/>
                <w:highlight w:val="none"/>
              </w:rPr>
              <w:t>信息化能力</w:t>
            </w:r>
          </w:p>
        </w:tc>
        <w:tc>
          <w:tcPr>
            <w:tcW w:w="6416" w:type="dxa"/>
            <w:vAlign w:val="center"/>
          </w:tcPr>
          <w:p>
            <w:pPr>
              <w:keepNext w:val="0"/>
              <w:keepLines w:val="0"/>
              <w:pageBreakBefore w:val="0"/>
              <w:kinsoku/>
              <w:wordWrap/>
              <w:overflowPunct/>
              <w:topLinePunct w:val="0"/>
              <w:autoSpaceDE/>
              <w:autoSpaceDN/>
              <w:bidi w:val="0"/>
              <w:adjustRightInd/>
              <w:spacing w:line="30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根据投标人针对本项目拟投入信息化系统进行打分，包括但不限于垃圾分类收运、垃圾分类投放、分类处置、数据采集与对接等功能，需提供系统介绍和主要功能截图或相关承诺，0-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 xml:space="preserve">分。  </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7</w:t>
            </w:r>
          </w:p>
        </w:tc>
        <w:tc>
          <w:tcPr>
            <w:tcW w:w="1480" w:type="dxa"/>
            <w:vAlign w:val="center"/>
          </w:tcPr>
          <w:p>
            <w:pPr>
              <w:keepNext w:val="0"/>
              <w:keepLines w:val="0"/>
              <w:pageBreakBefore w:val="0"/>
              <w:kinsoku/>
              <w:wordWrap/>
              <w:overflowPunct/>
              <w:topLinePunct w:val="0"/>
              <w:autoSpaceDE/>
              <w:autoSpaceDN/>
              <w:bidi w:val="0"/>
              <w:adjustRightInd/>
              <w:spacing w:line="300" w:lineRule="exact"/>
              <w:ind w:left="240" w:leftChars="0" w:hanging="240" w:hangingChars="100"/>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维修服务方案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投标人提供的维修服务方案进行打分，包括但不限于高（低）压线路、照明及供电设备管理维护方案；弱电系统管理维护方案；给排水设备运行维护方案；房屋及设备设施日常养护、巡查维修方案；消防设备维护方案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p>
        </w:tc>
        <w:tc>
          <w:tcPr>
            <w:tcW w:w="1480" w:type="dxa"/>
            <w:vAlign w:val="center"/>
          </w:tcPr>
          <w:p>
            <w:pPr>
              <w:keepNext w:val="0"/>
              <w:keepLines w:val="0"/>
              <w:pageBreakBefore w:val="0"/>
              <w:kinsoku/>
              <w:wordWrap/>
              <w:overflowPunct/>
              <w:topLinePunct w:val="0"/>
              <w:autoSpaceDE/>
              <w:autoSpaceDN/>
              <w:bidi w:val="0"/>
              <w:adjustRightInd/>
              <w:spacing w:line="300" w:lineRule="exact"/>
              <w:ind w:left="240" w:leftChars="0" w:hanging="240" w:hangingChars="1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拟投入物资和设备</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根据投标人</w:t>
            </w:r>
            <w:r>
              <w:rPr>
                <w:rFonts w:hint="eastAsia" w:ascii="仿宋_GB2312" w:hAnsi="仿宋_GB2312" w:eastAsia="仿宋_GB2312" w:cs="仿宋_GB2312"/>
                <w:color w:val="auto"/>
                <w:sz w:val="24"/>
                <w:szCs w:val="24"/>
                <w:highlight w:val="none"/>
                <w:lang w:val="en-US" w:eastAsia="zh-CN"/>
              </w:rPr>
              <w:t>提供的拟</w:t>
            </w:r>
            <w:r>
              <w:rPr>
                <w:rFonts w:hint="eastAsia" w:ascii="仿宋_GB2312" w:hAnsi="仿宋_GB2312" w:eastAsia="仿宋_GB2312" w:cs="仿宋_GB2312"/>
                <w:color w:val="auto"/>
                <w:sz w:val="24"/>
                <w:szCs w:val="24"/>
                <w:highlight w:val="none"/>
              </w:rPr>
              <w:t>投入的物资和设备情况进行打分，包括但不限于清扫车保洁服务用的各种卫生洁具、垃圾袋、清洁(消毒)液、小方巾、工作服、卫生间易耗品（洗手液、卫生纸等）、食堂易耗品（洗洁精、手套等）及其他职业防护、盆花等进行打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0-4分。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default"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w:t>
            </w:r>
          </w:p>
        </w:tc>
        <w:tc>
          <w:tcPr>
            <w:tcW w:w="1480" w:type="dxa"/>
            <w:vAlign w:val="center"/>
          </w:tcPr>
          <w:p>
            <w:pPr>
              <w:keepNext w:val="0"/>
              <w:keepLines w:val="0"/>
              <w:pageBreakBefore w:val="0"/>
              <w:kinsoku/>
              <w:wordWrap/>
              <w:overflowPunct/>
              <w:topLinePunct w:val="0"/>
              <w:autoSpaceDE/>
              <w:autoSpaceDN/>
              <w:bidi w:val="0"/>
              <w:adjustRightInd/>
              <w:spacing w:line="300" w:lineRule="exact"/>
              <w:ind w:left="240" w:leftChars="0" w:hanging="240" w:hangingChars="100"/>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员工培训方案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lang w:val="en-US"/>
              </w:rPr>
            </w:pPr>
            <w:r>
              <w:rPr>
                <w:rFonts w:hint="eastAsia" w:ascii="仿宋_GB2312" w:hAnsi="仿宋_GB2312" w:eastAsia="仿宋_GB2312" w:cs="仿宋_GB2312"/>
                <w:color w:val="auto"/>
                <w:sz w:val="24"/>
                <w:szCs w:val="24"/>
                <w:highlight w:val="none"/>
              </w:rPr>
              <w:t>根据投标人提供的员工培训方案进行打分，包括但不限于职业技能培训教育能力或认定资质；培训的频次、内容等，0-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w:t>
            </w:r>
          </w:p>
        </w:tc>
        <w:tc>
          <w:tcPr>
            <w:tcW w:w="1480" w:type="dxa"/>
            <w:vAlign w:val="center"/>
          </w:tcPr>
          <w:p>
            <w:pPr>
              <w:keepNext w:val="0"/>
              <w:keepLines w:val="0"/>
              <w:pageBreakBefore w:val="0"/>
              <w:kinsoku/>
              <w:wordWrap/>
              <w:overflowPunct/>
              <w:topLinePunct w:val="0"/>
              <w:autoSpaceDE/>
              <w:autoSpaceDN/>
              <w:bidi w:val="0"/>
              <w:adjustRightInd/>
              <w:spacing w:line="300" w:lineRule="exact"/>
              <w:ind w:left="240" w:leftChars="0" w:hanging="240" w:hangingChars="100"/>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垃圾服务方案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根据投标人提供的垃圾服务方案进行打分，包括但不限于</w:t>
            </w:r>
            <w:r>
              <w:rPr>
                <w:rFonts w:hint="eastAsia" w:ascii="仿宋_GB2312" w:hAnsi="仿宋_GB2312" w:eastAsia="仿宋_GB2312" w:cs="仿宋_GB2312"/>
                <w:color w:val="auto"/>
                <w:kern w:val="0"/>
                <w:sz w:val="24"/>
                <w:szCs w:val="24"/>
                <w:highlight w:val="none"/>
              </w:rPr>
              <w:t>垃圾、废弃物清理；垃圾分类；垃圾运输处置等，</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11</w:t>
            </w:r>
          </w:p>
        </w:tc>
        <w:tc>
          <w:tcPr>
            <w:tcW w:w="1480" w:type="dxa"/>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紧急事件防范预案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kern w:val="0"/>
                <w:sz w:val="24"/>
                <w:szCs w:val="24"/>
                <w:highlight w:val="none"/>
              </w:rPr>
              <w:t>根据投标人提出的针对防台、防汛、防火、防震、突发事件处置的应急方案及措施进行打分，</w:t>
            </w:r>
            <w:r>
              <w:rPr>
                <w:rFonts w:hint="eastAsia" w:ascii="仿宋_GB2312" w:hAnsi="仿宋_GB2312" w:eastAsia="仿宋_GB2312" w:cs="仿宋_GB2312"/>
                <w:color w:val="auto"/>
                <w:sz w:val="24"/>
                <w:szCs w:val="24"/>
                <w:highlight w:val="none"/>
              </w:rPr>
              <w:t>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w:t>
            </w:r>
          </w:p>
        </w:tc>
        <w:tc>
          <w:tcPr>
            <w:tcW w:w="1480" w:type="dxa"/>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稳定员工队伍的措施</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根据投标人提供的稳定员工队伍的措施进行打分，包括但不限于员工福利待遇，工会福利等方面，0-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w:t>
            </w:r>
          </w:p>
        </w:tc>
        <w:tc>
          <w:tcPr>
            <w:tcW w:w="1480" w:type="dxa"/>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交接方案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根据投标人提供物业交接方案进行打分，包含但不限于人员安置、工作移交、设备盘点交接、提前对接等，0-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44"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14</w:t>
            </w:r>
          </w:p>
        </w:tc>
        <w:tc>
          <w:tcPr>
            <w:tcW w:w="1480" w:type="dxa"/>
            <w:vAlign w:val="center"/>
          </w:tcPr>
          <w:p>
            <w:pPr>
              <w:keepNext w:val="0"/>
              <w:keepLines w:val="0"/>
              <w:pageBreakBefore w:val="0"/>
              <w:kinsoku/>
              <w:wordWrap/>
              <w:overflowPunct/>
              <w:topLinePunct w:val="0"/>
              <w:autoSpaceDE/>
              <w:autoSpaceDN/>
              <w:bidi w:val="0"/>
              <w:adjustRightInd/>
              <w:spacing w:line="300" w:lineRule="exact"/>
              <w:jc w:val="center"/>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工作组织实施方案</w:t>
            </w:r>
          </w:p>
        </w:tc>
        <w:tc>
          <w:tcPr>
            <w:tcW w:w="641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highlight w:val="none"/>
              </w:rPr>
              <w:t>根据投标人提供的工作组织实施方案进行打分，包含但不限于管理流程，包括运作流程图、激励机制、监督机制、自我约束机制、信息反馈渠道及处理机制，管理指标承诺达到物业管理标准等，0-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val="0"/>
              <w:pageBreakBefore w:val="0"/>
              <w:widowControl/>
              <w:kinsoku/>
              <w:wordWrap/>
              <w:overflowPunct/>
              <w:topLinePunct w:val="0"/>
              <w:autoSpaceDE/>
              <w:autoSpaceDN/>
              <w:bidi w:val="0"/>
              <w:adjustRightInd/>
              <w:snapToGrid w:val="0"/>
              <w:spacing w:line="300" w:lineRule="exact"/>
              <w:jc w:val="center"/>
              <w:textAlignment w:val="auto"/>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即：投标报价得分=(评标基准价／投标报价)×30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6"/>
        <w:spacing w:line="800" w:lineRule="atLeast"/>
        <w:ind w:left="0" w:leftChars="0"/>
        <w:rPr>
          <w:rFonts w:ascii="仿宋_GB2312" w:hAnsi="宋体" w:eastAsia="仿宋_GB2312"/>
          <w:b/>
          <w:color w:val="auto"/>
          <w:sz w:val="36"/>
          <w:szCs w:val="36"/>
          <w:highlight w:val="none"/>
        </w:rPr>
      </w:pPr>
    </w:p>
    <w:p>
      <w:pPr>
        <w:pStyle w:val="26"/>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绍兴开放大学</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绍兴开放大学2025年学校物业管理服务采购项目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2024-12-0140</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绍兴开放大学</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6"/>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6"/>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绍兴开放大学</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绍兴开放大学2025年学校物业管理服务采购项目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2024-12-0140</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绍兴开放大学</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绍兴开放大学2025年学校物业管理服务采购项目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2024-12-0140</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绍兴开放大学</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绍兴开放大学</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绍兴开放大学2025年学校物业管理服务采购项目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2024-12-0140</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5"/>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rPr>
        <w:rFonts w:hint="eastAsia" w:eastAsia="宋体"/>
        <w:lang w:eastAsia="zh-CN"/>
      </w:rPr>
    </w:pPr>
    <w:r>
      <w:rPr>
        <w:rFonts w:hint="eastAsia"/>
      </w:rPr>
      <w:t>绍兴市公共资源交易中心                                            招标文件招标编号:</w:t>
    </w:r>
    <w:r>
      <w:rPr>
        <w:rFonts w:hint="eastAsia"/>
        <w:lang w:eastAsia="zh-CN"/>
      </w:rPr>
      <w:t>2024-12-0140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49708D"/>
    <w:multiLevelType w:val="singleLevel"/>
    <w:tmpl w:val="B649708D"/>
    <w:lvl w:ilvl="0" w:tentative="0">
      <w:start w:val="7"/>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10"/>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1059279E"/>
    <w:rsid w:val="1350004B"/>
    <w:rsid w:val="17857D5A"/>
    <w:rsid w:val="3FD9443D"/>
    <w:rsid w:val="4A523CB1"/>
    <w:rsid w:val="4ED27E7F"/>
    <w:rsid w:val="56D92837"/>
    <w:rsid w:val="57DB7F47"/>
    <w:rsid w:val="5B952728"/>
    <w:rsid w:val="66B15E6E"/>
    <w:rsid w:val="72E87C49"/>
    <w:rsid w:val="75165DFB"/>
    <w:rsid w:val="753E3131"/>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7"/>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86"/>
    <w:qFormat/>
    <w:uiPriority w:val="0"/>
    <w:pPr>
      <w:keepNext/>
      <w:widowControl/>
      <w:numPr>
        <w:ilvl w:val="0"/>
        <w:numId w:val="4"/>
      </w:numPr>
      <w:jc w:val="left"/>
      <w:outlineLvl w:val="4"/>
    </w:pPr>
    <w:rPr>
      <w:kern w:val="0"/>
      <w:sz w:val="24"/>
      <w:szCs w:val="20"/>
    </w:rPr>
  </w:style>
  <w:style w:type="paragraph" w:styleId="11">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2"/>
    <w:qFormat/>
    <w:uiPriority w:val="0"/>
    <w:pPr>
      <w:spacing w:line="360" w:lineRule="auto"/>
    </w:pPr>
    <w:rPr>
      <w:rFonts w:eastAsia="仿宋_GB2312"/>
      <w:sz w:val="28"/>
    </w:rPr>
  </w:style>
  <w:style w:type="paragraph" w:styleId="3">
    <w:name w:val="Body Text First Indent"/>
    <w:basedOn w:val="2"/>
    <w:next w:val="4"/>
    <w:link w:val="230"/>
    <w:qFormat/>
    <w:uiPriority w:val="0"/>
    <w:pPr>
      <w:spacing w:after="120" w:line="240" w:lineRule="auto"/>
      <w:ind w:firstLine="420" w:firstLineChars="100"/>
    </w:pPr>
    <w:rPr>
      <w:rFonts w:eastAsia="宋体"/>
      <w:sz w:val="21"/>
    </w:rPr>
  </w:style>
  <w:style w:type="paragraph" w:styleId="4">
    <w:name w:val="toc 6"/>
    <w:basedOn w:val="1"/>
    <w:next w:val="1"/>
    <w:qFormat/>
    <w:uiPriority w:val="0"/>
    <w:pPr>
      <w:adjustRightInd w:val="0"/>
      <w:ind w:left="2100" w:leftChars="1000"/>
    </w:pPr>
  </w:style>
  <w:style w:type="paragraph" w:styleId="7">
    <w:name w:val="Normal Indent"/>
    <w:basedOn w:val="1"/>
    <w:link w:val="81"/>
    <w:qFormat/>
    <w:uiPriority w:val="0"/>
    <w:pPr>
      <w:ind w:firstLine="420" w:firstLineChars="200"/>
    </w:pPr>
  </w:style>
  <w:style w:type="paragraph" w:styleId="15">
    <w:name w:val="toc 7"/>
    <w:basedOn w:val="1"/>
    <w:next w:val="1"/>
    <w:qFormat/>
    <w:uiPriority w:val="0"/>
    <w:pPr>
      <w:adjustRightInd w:val="0"/>
      <w:ind w:left="2520" w:leftChars="1200"/>
    </w:pPr>
  </w:style>
  <w:style w:type="paragraph" w:styleId="16">
    <w:name w:val="List Number 2"/>
    <w:basedOn w:val="1"/>
    <w:qFormat/>
    <w:uiPriority w:val="0"/>
    <w:pPr>
      <w:widowControl/>
      <w:tabs>
        <w:tab w:val="left" w:pos="1697"/>
      </w:tabs>
      <w:spacing w:afterLines="50"/>
      <w:ind w:left="1697" w:hanging="420"/>
      <w:jc w:val="left"/>
    </w:pPr>
    <w:rPr>
      <w:kern w:val="0"/>
      <w:sz w:val="24"/>
      <w:szCs w:val="20"/>
    </w:rPr>
  </w:style>
  <w:style w:type="paragraph" w:styleId="17">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454"/>
      </w:tabs>
      <w:spacing w:afterLines="50"/>
      <w:ind w:left="454" w:hanging="284"/>
      <w:jc w:val="left"/>
    </w:pPr>
    <w:rPr>
      <w:kern w:val="0"/>
      <w:sz w:val="24"/>
      <w:szCs w:val="20"/>
    </w:rPr>
  </w:style>
  <w:style w:type="paragraph" w:styleId="19">
    <w:name w:val="caption"/>
    <w:basedOn w:val="1"/>
    <w:next w:val="1"/>
    <w:link w:val="308"/>
    <w:qFormat/>
    <w:uiPriority w:val="0"/>
    <w:pPr>
      <w:spacing w:line="360" w:lineRule="auto"/>
      <w:jc w:val="center"/>
    </w:pPr>
    <w:rPr>
      <w:rFonts w:ascii="Calibri" w:hAnsi="Calibri"/>
      <w:sz w:val="20"/>
      <w:szCs w:val="20"/>
    </w:rPr>
  </w:style>
  <w:style w:type="paragraph" w:styleId="20">
    <w:name w:val="index 5"/>
    <w:basedOn w:val="1"/>
    <w:next w:val="1"/>
    <w:qFormat/>
    <w:uiPriority w:val="0"/>
    <w:pPr>
      <w:ind w:left="800" w:leftChars="800" w:firstLine="200" w:firstLineChars="200"/>
    </w:pPr>
  </w:style>
  <w:style w:type="paragraph" w:styleId="21">
    <w:name w:val="Document Map"/>
    <w:basedOn w:val="1"/>
    <w:link w:val="147"/>
    <w:qFormat/>
    <w:uiPriority w:val="0"/>
    <w:pPr>
      <w:shd w:val="clear" w:color="auto" w:fill="000080"/>
    </w:pPr>
  </w:style>
  <w:style w:type="paragraph" w:styleId="22">
    <w:name w:val="annotation text"/>
    <w:basedOn w:val="1"/>
    <w:link w:val="99"/>
    <w:qFormat/>
    <w:uiPriority w:val="0"/>
    <w:pPr>
      <w:jc w:val="left"/>
    </w:pPr>
  </w:style>
  <w:style w:type="paragraph" w:styleId="23">
    <w:name w:val="Salutation"/>
    <w:basedOn w:val="1"/>
    <w:next w:val="1"/>
    <w:link w:val="316"/>
    <w:qFormat/>
    <w:uiPriority w:val="0"/>
    <w:pPr>
      <w:adjustRightInd w:val="0"/>
    </w:pPr>
    <w:rPr>
      <w:rFonts w:ascii="仿宋_GB2312" w:eastAsia="仿宋_GB2312"/>
      <w:sz w:val="28"/>
      <w:szCs w:val="20"/>
    </w:rPr>
  </w:style>
  <w:style w:type="paragraph" w:styleId="24">
    <w:name w:val="Body Text 3"/>
    <w:basedOn w:val="1"/>
    <w:link w:val="317"/>
    <w:qFormat/>
    <w:uiPriority w:val="0"/>
    <w:pPr>
      <w:adjustRightInd w:val="0"/>
      <w:jc w:val="center"/>
    </w:pPr>
    <w:rPr>
      <w:szCs w:val="20"/>
    </w:rPr>
  </w:style>
  <w:style w:type="paragraph" w:styleId="25">
    <w:name w:val="List Bullet 3"/>
    <w:basedOn w:val="1"/>
    <w:qFormat/>
    <w:uiPriority w:val="0"/>
    <w:pPr>
      <w:adjustRightInd w:val="0"/>
      <w:snapToGrid w:val="0"/>
      <w:spacing w:line="360" w:lineRule="auto"/>
      <w:ind w:left="360" w:right="238" w:hanging="360"/>
      <w:contextualSpacing/>
    </w:pPr>
    <w:rPr>
      <w:sz w:val="24"/>
    </w:rPr>
  </w:style>
  <w:style w:type="paragraph" w:styleId="26">
    <w:name w:val="Body Text Indent"/>
    <w:basedOn w:val="1"/>
    <w:link w:val="93"/>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1"/>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4"/>
    <w:qFormat/>
    <w:uiPriority w:val="0"/>
    <w:rPr>
      <w:rFonts w:ascii="楷体_GB2312" w:eastAsia="楷体_GB2312"/>
      <w:b/>
      <w:sz w:val="28"/>
      <w:szCs w:val="20"/>
    </w:rPr>
  </w:style>
  <w:style w:type="paragraph" w:styleId="38">
    <w:name w:val="Body Text Indent 2"/>
    <w:basedOn w:val="1"/>
    <w:link w:val="108"/>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6"/>
    <w:qFormat/>
    <w:uiPriority w:val="0"/>
    <w:rPr>
      <w:sz w:val="18"/>
      <w:szCs w:val="18"/>
    </w:rPr>
  </w:style>
  <w:style w:type="paragraph" w:styleId="41">
    <w:name w:val="footer"/>
    <w:basedOn w:val="1"/>
    <w:link w:val="96"/>
    <w:qFormat/>
    <w:uiPriority w:val="99"/>
    <w:pPr>
      <w:tabs>
        <w:tab w:val="center" w:pos="4153"/>
        <w:tab w:val="right" w:pos="8306"/>
      </w:tabs>
      <w:snapToGrid w:val="0"/>
      <w:jc w:val="left"/>
    </w:pPr>
    <w:rPr>
      <w:sz w:val="18"/>
      <w:szCs w:val="18"/>
    </w:rPr>
  </w:style>
  <w:style w:type="paragraph" w:styleId="42">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7"/>
    <w:link w:val="322"/>
    <w:qFormat/>
    <w:uiPriority w:val="0"/>
    <w:pPr>
      <w:widowControl/>
      <w:spacing w:before="60" w:after="60" w:line="300" w:lineRule="exact"/>
      <w:ind w:firstLine="0" w:firstLineChars="0"/>
    </w:pPr>
    <w:rPr>
      <w:rFonts w:ascii="Calibri"/>
      <w:color w:val="0000FF"/>
      <w:kern w:val="0"/>
      <w:szCs w:val="20"/>
    </w:r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2"/>
    <w:next w:val="22"/>
    <w:link w:val="229"/>
    <w:qFormat/>
    <w:uiPriority w:val="0"/>
    <w:pPr>
      <w:widowControl/>
      <w:spacing w:afterLines="50"/>
    </w:pPr>
    <w:rPr>
      <w:b/>
      <w:bCs/>
      <w:kern w:val="0"/>
      <w:sz w:val="24"/>
      <w:szCs w:val="20"/>
    </w:rPr>
  </w:style>
  <w:style w:type="paragraph" w:styleId="62">
    <w:name w:val="Body Text First Indent 2"/>
    <w:basedOn w:val="26"/>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5"/>
    <w:qFormat/>
    <w:uiPriority w:val="0"/>
    <w:rPr>
      <w:rFonts w:eastAsia="仿宋_GB2312"/>
      <w:b/>
      <w:kern w:val="44"/>
      <w:sz w:val="44"/>
      <w:lang w:val="en-US" w:eastAsia="zh-CN" w:bidi="ar-SA"/>
    </w:rPr>
  </w:style>
  <w:style w:type="character" w:customStyle="1" w:styleId="81">
    <w:name w:val="正文缩进 Char"/>
    <w:link w:val="7"/>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6"/>
    <w:qFormat/>
    <w:uiPriority w:val="0"/>
    <w:rPr>
      <w:rFonts w:ascii="Arial" w:hAnsi="Arial" w:eastAsia="黑体"/>
      <w:b/>
      <w:kern w:val="2"/>
      <w:sz w:val="32"/>
      <w:lang w:val="en-US" w:eastAsia="zh-CN" w:bidi="ar-SA"/>
    </w:rPr>
  </w:style>
  <w:style w:type="character" w:customStyle="1" w:styleId="84">
    <w:name w:val="标题 3 Char"/>
    <w:link w:val="8"/>
    <w:qFormat/>
    <w:uiPriority w:val="0"/>
    <w:rPr>
      <w:rFonts w:eastAsia="仿宋_GB2312"/>
      <w:b/>
      <w:kern w:val="2"/>
      <w:sz w:val="32"/>
      <w:lang w:val="en-US" w:eastAsia="zh-CN" w:bidi="ar-SA"/>
    </w:rPr>
  </w:style>
  <w:style w:type="character" w:customStyle="1" w:styleId="85">
    <w:name w:val="标题 4 Char1"/>
    <w:link w:val="9"/>
    <w:qFormat/>
    <w:uiPriority w:val="0"/>
    <w:rPr>
      <w:rFonts w:ascii="Arial" w:hAnsi="Arial" w:eastAsia="黑体"/>
      <w:b/>
      <w:kern w:val="2"/>
      <w:sz w:val="28"/>
      <w:lang w:val="en-US" w:eastAsia="zh-CN" w:bidi="ar-SA"/>
    </w:rPr>
  </w:style>
  <w:style w:type="character" w:customStyle="1" w:styleId="86">
    <w:name w:val="标题 5 Char1"/>
    <w:link w:val="10"/>
    <w:qFormat/>
    <w:uiPriority w:val="0"/>
    <w:rPr>
      <w:rFonts w:eastAsia="宋体"/>
      <w:sz w:val="24"/>
      <w:lang w:val="en-US" w:eastAsia="zh-CN" w:bidi="ar-SA"/>
    </w:rPr>
  </w:style>
  <w:style w:type="character" w:customStyle="1" w:styleId="87">
    <w:name w:val="标题 6 Char1"/>
    <w:link w:val="11"/>
    <w:qFormat/>
    <w:uiPriority w:val="0"/>
    <w:rPr>
      <w:rFonts w:ascii="宋体" w:hAnsi="Arial" w:eastAsia="宋体"/>
      <w:sz w:val="24"/>
      <w:lang w:val="en-US" w:eastAsia="zh-CN" w:bidi="ar-SA"/>
    </w:rPr>
  </w:style>
  <w:style w:type="character" w:customStyle="1" w:styleId="88">
    <w:name w:val="标题 7 Char1"/>
    <w:link w:val="12"/>
    <w:qFormat/>
    <w:uiPriority w:val="0"/>
    <w:rPr>
      <w:rFonts w:ascii="宋体" w:hAnsi="Arial" w:eastAsia="宋体"/>
      <w:b/>
      <w:sz w:val="24"/>
      <w:lang w:val="en-US" w:eastAsia="zh-CN" w:bidi="ar-SA"/>
    </w:rPr>
  </w:style>
  <w:style w:type="character" w:customStyle="1" w:styleId="89">
    <w:name w:val="标题 8 Char1"/>
    <w:link w:val="13"/>
    <w:qFormat/>
    <w:uiPriority w:val="0"/>
    <w:rPr>
      <w:rFonts w:ascii="Arial" w:hAnsi="Arial" w:eastAsia="黑体"/>
      <w:sz w:val="24"/>
      <w:lang w:val="en-US" w:eastAsia="zh-CN" w:bidi="ar-SA"/>
    </w:rPr>
  </w:style>
  <w:style w:type="character" w:customStyle="1" w:styleId="90">
    <w:name w:val="标题 9 Char1"/>
    <w:link w:val="14"/>
    <w:qFormat/>
    <w:uiPriority w:val="0"/>
    <w:rPr>
      <w:rFonts w:ascii="Arial" w:hAnsi="Arial" w:eastAsia="黑体"/>
      <w:sz w:val="24"/>
      <w:lang w:val="en-US" w:eastAsia="zh-CN" w:bidi="ar-SA"/>
    </w:rPr>
  </w:style>
  <w:style w:type="character" w:customStyle="1" w:styleId="91">
    <w:name w:val="纯文本 Char"/>
    <w:link w:val="34"/>
    <w:qFormat/>
    <w:uiPriority w:val="0"/>
    <w:rPr>
      <w:rFonts w:ascii="宋体" w:hAnsi="Courier New" w:eastAsia="宋体"/>
      <w:kern w:val="2"/>
      <w:sz w:val="21"/>
      <w:lang w:val="en-US" w:eastAsia="zh-CN" w:bidi="ar-SA"/>
    </w:rPr>
  </w:style>
  <w:style w:type="paragraph" w:customStyle="1" w:styleId="92">
    <w:name w:val="表正文"/>
    <w:basedOn w:val="1"/>
    <w:next w:val="34"/>
    <w:qFormat/>
    <w:uiPriority w:val="0"/>
    <w:rPr>
      <w:rFonts w:ascii="宋体" w:hAnsi="Courier New"/>
      <w:szCs w:val="20"/>
    </w:rPr>
  </w:style>
  <w:style w:type="character" w:customStyle="1" w:styleId="93">
    <w:name w:val="正文文本缩进 Char"/>
    <w:link w:val="26"/>
    <w:qFormat/>
    <w:uiPriority w:val="0"/>
    <w:rPr>
      <w:rFonts w:eastAsia="宋体"/>
      <w:kern w:val="2"/>
      <w:sz w:val="21"/>
      <w:szCs w:val="24"/>
      <w:lang w:val="en-US" w:eastAsia="zh-CN" w:bidi="ar-SA"/>
    </w:rPr>
  </w:style>
  <w:style w:type="character" w:customStyle="1" w:styleId="94">
    <w:name w:val="日期 Char2"/>
    <w:link w:val="37"/>
    <w:qFormat/>
    <w:uiPriority w:val="0"/>
    <w:rPr>
      <w:rFonts w:ascii="楷体_GB2312" w:eastAsia="楷体_GB2312"/>
      <w:b/>
      <w:kern w:val="2"/>
      <w:sz w:val="28"/>
      <w:lang w:val="en-US" w:eastAsia="zh-CN" w:bidi="ar-SA"/>
    </w:rPr>
  </w:style>
  <w:style w:type="character" w:customStyle="1" w:styleId="95">
    <w:name w:val="页眉 Char1"/>
    <w:link w:val="42"/>
    <w:qFormat/>
    <w:uiPriority w:val="0"/>
    <w:rPr>
      <w:rFonts w:eastAsia="宋体"/>
      <w:kern w:val="2"/>
      <w:sz w:val="18"/>
      <w:szCs w:val="18"/>
      <w:lang w:val="en-US" w:eastAsia="zh-CN" w:bidi="ar-SA"/>
    </w:rPr>
  </w:style>
  <w:style w:type="character" w:customStyle="1" w:styleId="96">
    <w:name w:val="页脚 Char"/>
    <w:link w:val="41"/>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22"/>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8"/>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21"/>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21"/>
    <w:qFormat/>
    <w:uiPriority w:val="0"/>
    <w:rPr>
      <w:rFonts w:ascii="Tahoma" w:hAnsi="Tahoma"/>
      <w:sz w:val="24"/>
    </w:rPr>
  </w:style>
  <w:style w:type="paragraph" w:customStyle="1" w:styleId="167">
    <w:name w:val="Char Char Char"/>
    <w:basedOn w:val="21"/>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7"/>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8"/>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40"/>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3"/>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9"/>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3"/>
    <w:qFormat/>
    <w:uiPriority w:val="0"/>
    <w:rPr>
      <w:rFonts w:ascii="仿宋_GB2312" w:eastAsia="仿宋_GB2312"/>
      <w:kern w:val="2"/>
      <w:sz w:val="28"/>
    </w:rPr>
  </w:style>
  <w:style w:type="character" w:customStyle="1" w:styleId="317">
    <w:name w:val="正文文本 3 Char"/>
    <w:basedOn w:val="70"/>
    <w:link w:val="24"/>
    <w:qFormat/>
    <w:uiPriority w:val="0"/>
    <w:rPr>
      <w:kern w:val="2"/>
      <w:sz w:val="21"/>
    </w:rPr>
  </w:style>
  <w:style w:type="character" w:customStyle="1" w:styleId="318">
    <w:name w:val="HTML 地址 Char"/>
    <w:basedOn w:val="70"/>
    <w:link w:val="31"/>
    <w:qFormat/>
    <w:uiPriority w:val="0"/>
    <w:rPr>
      <w:rFonts w:ascii="宋体" w:hAnsi="宋体"/>
      <w:i/>
      <w:iCs/>
      <w:sz w:val="24"/>
      <w:szCs w:val="24"/>
    </w:rPr>
  </w:style>
  <w:style w:type="character" w:customStyle="1" w:styleId="319">
    <w:name w:val="尾注文本 Char"/>
    <w:basedOn w:val="70"/>
    <w:link w:val="39"/>
    <w:qFormat/>
    <w:uiPriority w:val="0"/>
    <w:rPr>
      <w:kern w:val="2"/>
      <w:sz w:val="21"/>
      <w:szCs w:val="24"/>
      <w:lang w:val="zh-CN"/>
    </w:rPr>
  </w:style>
  <w:style w:type="character" w:customStyle="1" w:styleId="320">
    <w:name w:val="签名 Char"/>
    <w:basedOn w:val="70"/>
    <w:link w:val="43"/>
    <w:qFormat/>
    <w:uiPriority w:val="0"/>
    <w:rPr>
      <w:rFonts w:eastAsia="仿宋_GB2312"/>
      <w:sz w:val="24"/>
    </w:rPr>
  </w:style>
  <w:style w:type="character" w:customStyle="1" w:styleId="321">
    <w:name w:val="副标题 Char"/>
    <w:basedOn w:val="70"/>
    <w:link w:val="48"/>
    <w:qFormat/>
    <w:uiPriority w:val="0"/>
    <w:rPr>
      <w:rFonts w:ascii="Arial" w:hAnsi="Arial" w:eastAsia="隶书"/>
      <w:b/>
      <w:bCs/>
      <w:kern w:val="28"/>
      <w:sz w:val="44"/>
      <w:szCs w:val="32"/>
    </w:rPr>
  </w:style>
  <w:style w:type="character" w:customStyle="1" w:styleId="322">
    <w:name w:val="脚注文本 Char"/>
    <w:basedOn w:val="70"/>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6"/>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8"/>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9"/>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9"/>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9"/>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6"/>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6"/>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1"/>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6"/>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8"/>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10"/>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8"/>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6"/>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7"/>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5"/>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9"/>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6"/>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7"/>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6"/>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8"/>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6"/>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8"/>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5"/>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6"/>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9"/>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6"/>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6"/>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5"/>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5"/>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9"/>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6"/>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8"/>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9"/>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7"/>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8"/>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5"/>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9"/>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8"/>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1"/>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8"/>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10"/>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5"/>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6"/>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7960</Words>
  <Characters>45378</Characters>
  <Lines>378</Lines>
  <Paragraphs>106</Paragraphs>
  <TotalTime>14</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amin</cp:lastModifiedBy>
  <cp:lastPrinted>2023-07-27T03:40:00Z</cp:lastPrinted>
  <dcterms:modified xsi:type="dcterms:W3CDTF">2024-12-11T08:35:28Z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