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color w:val="auto"/>
          <w:spacing w:val="-12"/>
          <w:sz w:val="48"/>
          <w:szCs w:val="48"/>
          <w:highlight w:val="none"/>
        </w:rPr>
      </w:pP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绍兴市强制医疗所</w:t>
      </w:r>
    </w:p>
    <w:p>
      <w:pPr>
        <w:jc w:val="center"/>
        <w:outlineLvl w:val="0"/>
        <w:rPr>
          <w:rFonts w:hint="eastAsia" w:ascii="隶书" w:hAnsi="Arial" w:eastAsia="隶书" w:cs="Arial"/>
          <w:b/>
          <w:color w:val="auto"/>
          <w:spacing w:val="-12"/>
          <w:sz w:val="48"/>
          <w:szCs w:val="48"/>
          <w:highlight w:val="none"/>
          <w:lang w:eastAsia="zh-CN"/>
        </w:rPr>
      </w:pPr>
      <w:r>
        <w:rPr>
          <w:rFonts w:hint="eastAsia" w:ascii="隶书" w:hAnsi="Arial" w:eastAsia="隶书" w:cs="Arial"/>
          <w:b/>
          <w:color w:val="auto"/>
          <w:spacing w:val="-12"/>
          <w:sz w:val="48"/>
          <w:szCs w:val="48"/>
          <w:highlight w:val="none"/>
          <w:lang w:eastAsia="zh-CN"/>
        </w:rPr>
        <w:t>2025年度物业管理服务项目</w:t>
      </w:r>
    </w:p>
    <w:p>
      <w:pPr>
        <w:outlineLvl w:val="0"/>
        <w:rPr>
          <w:rFonts w:ascii="隶书" w:eastAsia="隶书"/>
          <w:color w:val="auto"/>
          <w:sz w:val="44"/>
          <w:highlight w:val="none"/>
        </w:rPr>
      </w:pPr>
    </w:p>
    <w:p>
      <w:pPr>
        <w:outlineLvl w:val="0"/>
        <w:rPr>
          <w:rFonts w:ascii="隶书" w:eastAsia="隶书"/>
          <w:color w:val="auto"/>
          <w:sz w:val="44"/>
          <w:highlight w:val="none"/>
        </w:rPr>
      </w:pP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公</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开</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招</w:t>
      </w:r>
    </w:p>
    <w:p>
      <w:pPr>
        <w:jc w:val="center"/>
        <w:outlineLvl w:val="0"/>
        <w:rPr>
          <w:rFonts w:ascii="隶书" w:hAnsi="Arial" w:eastAsia="隶书" w:cs="Arial"/>
          <w:b/>
          <w:color w:val="auto"/>
          <w:sz w:val="72"/>
          <w:szCs w:val="72"/>
          <w:highlight w:val="none"/>
        </w:rPr>
      </w:pPr>
      <w:r>
        <w:rPr>
          <w:rFonts w:hint="eastAsia" w:ascii="隶书" w:hAnsi="Arial" w:eastAsia="隶书" w:cs="Arial"/>
          <w:b/>
          <w:color w:val="auto"/>
          <w:sz w:val="72"/>
          <w:szCs w:val="72"/>
          <w:highlight w:val="none"/>
        </w:rPr>
        <w:t>标</w:t>
      </w:r>
    </w:p>
    <w:p>
      <w:pPr>
        <w:jc w:val="center"/>
        <w:outlineLvl w:val="0"/>
        <w:rPr>
          <w:rFonts w:ascii="隶书" w:eastAsia="隶书"/>
          <w:b/>
          <w:color w:val="auto"/>
          <w:sz w:val="72"/>
          <w:szCs w:val="72"/>
          <w:highlight w:val="none"/>
        </w:rPr>
      </w:pPr>
      <w:r>
        <w:rPr>
          <w:rFonts w:hint="eastAsia" w:ascii="隶书" w:eastAsia="隶书"/>
          <w:b/>
          <w:color w:val="auto"/>
          <w:sz w:val="72"/>
          <w:szCs w:val="72"/>
          <w:highlight w:val="none"/>
        </w:rPr>
        <w:t>文</w:t>
      </w:r>
    </w:p>
    <w:p>
      <w:pPr>
        <w:jc w:val="center"/>
        <w:outlineLvl w:val="0"/>
        <w:rPr>
          <w:rFonts w:ascii="隶书" w:eastAsia="隶书"/>
          <w:color w:val="auto"/>
          <w:sz w:val="44"/>
          <w:highlight w:val="none"/>
        </w:rPr>
      </w:pPr>
      <w:r>
        <w:rPr>
          <w:rFonts w:hint="eastAsia" w:ascii="隶书" w:eastAsia="隶书"/>
          <w:b/>
          <w:color w:val="auto"/>
          <w:sz w:val="72"/>
          <w:szCs w:val="72"/>
          <w:highlight w:val="none"/>
        </w:rPr>
        <w:t>件</w:t>
      </w:r>
    </w:p>
    <w:p>
      <w:pPr>
        <w:jc w:val="center"/>
        <w:outlineLvl w:val="0"/>
        <w:rPr>
          <w:rFonts w:ascii="隶书" w:eastAsia="隶书"/>
          <w:color w:val="auto"/>
          <w:sz w:val="44"/>
          <w:highlight w:val="none"/>
        </w:rPr>
      </w:pPr>
      <w:r>
        <w:rPr>
          <w:rFonts w:hint="eastAsia" w:ascii="隶书" w:eastAsia="隶书"/>
          <w:color w:val="auto"/>
          <w:sz w:val="44"/>
          <w:highlight w:val="none"/>
        </w:rPr>
        <w:t>（电子招投标）</w:t>
      </w:r>
    </w:p>
    <w:p>
      <w:pPr>
        <w:jc w:val="center"/>
        <w:outlineLvl w:val="0"/>
        <w:rPr>
          <w:rFonts w:ascii="隶书" w:eastAsia="隶书"/>
          <w:color w:val="auto"/>
          <w:sz w:val="44"/>
          <w:highlight w:val="none"/>
        </w:rPr>
      </w:pPr>
    </w:p>
    <w:p>
      <w:pPr>
        <w:jc w:val="center"/>
        <w:outlineLvl w:val="0"/>
        <w:rPr>
          <w:rFonts w:ascii="隶书" w:eastAsia="隶书"/>
          <w:color w:val="auto"/>
          <w:sz w:val="44"/>
          <w:highlight w:val="none"/>
        </w:rPr>
      </w:pPr>
    </w:p>
    <w:p>
      <w:pPr>
        <w:jc w:val="center"/>
        <w:rPr>
          <w:rFonts w:hint="eastAsia" w:ascii="隶书" w:eastAsia="隶书"/>
          <w:b/>
          <w:color w:val="auto"/>
          <w:sz w:val="28"/>
          <w:szCs w:val="28"/>
          <w:highlight w:val="none"/>
          <w:lang w:eastAsia="zh-CN"/>
        </w:rPr>
      </w:pPr>
      <w:r>
        <w:rPr>
          <w:rFonts w:hint="eastAsia" w:ascii="隶书" w:eastAsia="隶书"/>
          <w:b/>
          <w:color w:val="auto"/>
          <w:sz w:val="28"/>
          <w:szCs w:val="28"/>
          <w:highlight w:val="none"/>
        </w:rPr>
        <w:t>招标编号:</w:t>
      </w:r>
      <w:r>
        <w:rPr>
          <w:rFonts w:hint="eastAsia" w:ascii="隶书" w:eastAsia="隶书"/>
          <w:b/>
          <w:color w:val="auto"/>
          <w:sz w:val="28"/>
          <w:szCs w:val="28"/>
          <w:highlight w:val="none"/>
          <w:lang w:eastAsia="zh-CN"/>
        </w:rPr>
        <w:t>2024-11-0132</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rPr>
              <w:t>采购单</w:t>
            </w:r>
            <w:r>
              <w:rPr>
                <w:rFonts w:hint="eastAsia" w:ascii="隶书" w:hAnsi="宋体" w:eastAsia="隶书"/>
                <w:color w:val="auto"/>
                <w:spacing w:val="1"/>
                <w:kern w:val="0"/>
                <w:sz w:val="28"/>
                <w:szCs w:val="28"/>
                <w:highlight w:val="none"/>
              </w:rPr>
              <w:t>位</w:t>
            </w:r>
            <w:r>
              <w:rPr>
                <w:rFonts w:hint="eastAsia" w:ascii="隶书" w:hAnsi="宋体" w:eastAsia="隶书"/>
                <w:color w:val="auto"/>
                <w:sz w:val="28"/>
                <w:szCs w:val="28"/>
                <w:highlight w:val="none"/>
              </w:rPr>
              <w:t>：</w:t>
            </w:r>
          </w:p>
        </w:tc>
        <w:tc>
          <w:tcPr>
            <w:tcW w:w="5445" w:type="dxa"/>
            <w:vAlign w:val="center"/>
          </w:tcPr>
          <w:p>
            <w:pPr>
              <w:spacing w:line="320" w:lineRule="exact"/>
              <w:outlineLvl w:val="0"/>
              <w:rPr>
                <w:rFonts w:hint="eastAsia" w:ascii="隶书" w:hAnsi="宋体" w:eastAsia="隶书"/>
                <w:color w:val="auto"/>
                <w:sz w:val="28"/>
                <w:szCs w:val="28"/>
                <w:highlight w:val="none"/>
                <w:lang w:eastAsia="zh-CN"/>
              </w:rPr>
            </w:pPr>
            <w:r>
              <w:rPr>
                <w:rFonts w:hint="eastAsia" w:ascii="隶书" w:hAnsi="宋体" w:eastAsia="隶书"/>
                <w:color w:val="auto"/>
                <w:sz w:val="28"/>
                <w:szCs w:val="28"/>
                <w:highlight w:val="none"/>
                <w:lang w:eastAsia="zh-CN"/>
              </w:rPr>
              <w:t>绍兴市强制医疗所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0"/>
                <w:w w:val="100"/>
                <w:kern w:val="0"/>
                <w:sz w:val="28"/>
                <w:szCs w:val="28"/>
                <w:highlight w:val="none"/>
                <w:fitText w:val="1680" w:id="1"/>
              </w:rPr>
              <w:t>采购代理机构</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pacing w:val="93"/>
                <w:kern w:val="0"/>
                <w:sz w:val="28"/>
                <w:szCs w:val="28"/>
                <w:highlight w:val="none"/>
                <w:fitText w:val="1680" w:id="2"/>
              </w:rPr>
              <w:t>监督单</w:t>
            </w:r>
            <w:r>
              <w:rPr>
                <w:rFonts w:hint="eastAsia" w:ascii="隶书" w:hAnsi="宋体" w:eastAsia="隶书"/>
                <w:color w:val="auto"/>
                <w:spacing w:val="1"/>
                <w:kern w:val="0"/>
                <w:sz w:val="28"/>
                <w:szCs w:val="28"/>
                <w:highlight w:val="none"/>
                <w:fitText w:val="1680" w:id="2"/>
              </w:rPr>
              <w:t>位</w:t>
            </w:r>
            <w:r>
              <w:rPr>
                <w:rFonts w:hint="eastAsia" w:ascii="隶书" w:hAnsi="宋体" w:eastAsia="隶书"/>
                <w:color w:val="auto"/>
                <w:sz w:val="28"/>
                <w:szCs w:val="28"/>
                <w:highlight w:val="none"/>
              </w:rPr>
              <w:t>：</w:t>
            </w: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tcPr>
          <w:p>
            <w:pPr>
              <w:spacing w:after="100" w:afterAutospacing="1" w:line="440" w:lineRule="exact"/>
              <w:rPr>
                <w:rFonts w:ascii="隶书" w:hAnsi="宋体" w:eastAsia="隶书"/>
                <w:color w:val="auto"/>
                <w:sz w:val="28"/>
                <w:szCs w:val="28"/>
                <w:highlight w:val="none"/>
              </w:rPr>
            </w:pPr>
          </w:p>
        </w:tc>
        <w:tc>
          <w:tcPr>
            <w:tcW w:w="5445" w:type="dxa"/>
          </w:tcPr>
          <w:p>
            <w:pPr>
              <w:spacing w:after="100" w:afterAutospacing="1" w:line="440" w:lineRule="exact"/>
              <w:rPr>
                <w:rFonts w:ascii="隶书" w:hAnsi="宋体" w:eastAsia="隶书"/>
                <w:color w:val="auto"/>
                <w:sz w:val="28"/>
                <w:szCs w:val="28"/>
                <w:highlight w:val="none"/>
              </w:rPr>
            </w:pPr>
            <w:r>
              <w:rPr>
                <w:rFonts w:hint="eastAsia" w:ascii="隶书" w:hAnsi="宋体" w:eastAsia="隶书"/>
                <w:color w:val="auto"/>
                <w:sz w:val="28"/>
                <w:szCs w:val="28"/>
                <w:highlight w:val="none"/>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隶书" w:hAnsi="宋体" w:eastAsia="隶书"/>
                <w:color w:val="auto"/>
                <w:sz w:val="28"/>
                <w:szCs w:val="28"/>
                <w:highlight w:val="none"/>
              </w:rPr>
            </w:pPr>
            <w:r>
              <w:rPr>
                <w:rFonts w:hint="eastAsia" w:ascii="隶书" w:eastAsia="隶书"/>
                <w:color w:val="auto"/>
                <w:sz w:val="28"/>
                <w:szCs w:val="28"/>
                <w:highlight w:val="none"/>
              </w:rPr>
              <w:t>二○二</w:t>
            </w:r>
            <w:r>
              <w:rPr>
                <w:rFonts w:hint="eastAsia" w:ascii="隶书" w:eastAsia="隶书"/>
                <w:color w:val="auto"/>
                <w:sz w:val="28"/>
                <w:szCs w:val="28"/>
                <w:highlight w:val="none"/>
                <w:lang w:val="en-US" w:eastAsia="zh-CN"/>
              </w:rPr>
              <w:t>四</w:t>
            </w:r>
            <w:r>
              <w:rPr>
                <w:rFonts w:hint="eastAsia" w:ascii="隶书" w:eastAsia="隶书"/>
                <w:color w:val="auto"/>
                <w:sz w:val="28"/>
                <w:szCs w:val="28"/>
                <w:highlight w:val="none"/>
              </w:rPr>
              <w:t>年</w:t>
            </w:r>
            <w:r>
              <w:rPr>
                <w:rFonts w:hint="eastAsia" w:ascii="隶书" w:eastAsia="隶书"/>
                <w:color w:val="auto"/>
                <w:sz w:val="28"/>
                <w:szCs w:val="28"/>
                <w:highlight w:val="none"/>
                <w:lang w:val="en-US" w:eastAsia="zh-CN"/>
              </w:rPr>
              <w:t>十一</w:t>
            </w:r>
            <w:r>
              <w:rPr>
                <w:rFonts w:hint="eastAsia" w:ascii="隶书" w:eastAsia="隶书"/>
                <w:color w:val="auto"/>
                <w:sz w:val="28"/>
                <w:szCs w:val="28"/>
                <w:highlight w:val="none"/>
              </w:rPr>
              <w:t>月</w:t>
            </w:r>
          </w:p>
        </w:tc>
      </w:tr>
    </w:tbl>
    <w:p>
      <w:pPr>
        <w:pageBreakBefore/>
        <w:jc w:val="center"/>
        <w:rPr>
          <w:rFonts w:ascii="隶书" w:eastAsia="隶书"/>
          <w:b/>
          <w:color w:val="auto"/>
          <w:sz w:val="44"/>
          <w:szCs w:val="44"/>
          <w:highlight w:val="none"/>
        </w:rPr>
      </w:pPr>
      <w:r>
        <w:rPr>
          <w:rFonts w:hint="eastAsia" w:ascii="隶书" w:eastAsia="隶书"/>
          <w:b/>
          <w:color w:val="auto"/>
          <w:sz w:val="44"/>
          <w:szCs w:val="44"/>
          <w:highlight w:val="none"/>
        </w:rPr>
        <w:t xml:space="preserve">  </w:t>
      </w:r>
    </w:p>
    <w:p>
      <w:pPr>
        <w:jc w:val="center"/>
        <w:rPr>
          <w:rFonts w:ascii="隶书" w:eastAsia="隶书"/>
          <w:b/>
          <w:color w:val="auto"/>
          <w:sz w:val="44"/>
          <w:szCs w:val="44"/>
          <w:highlight w:val="none"/>
        </w:rPr>
      </w:pPr>
    </w:p>
    <w:p>
      <w:pPr>
        <w:jc w:val="center"/>
        <w:rPr>
          <w:rFonts w:ascii="仿宋_GB2312" w:eastAsia="仿宋_GB2312"/>
          <w:b/>
          <w:color w:val="auto"/>
          <w:sz w:val="44"/>
          <w:szCs w:val="44"/>
          <w:highlight w:val="none"/>
        </w:rPr>
      </w:pPr>
      <w:r>
        <w:rPr>
          <w:rFonts w:hint="eastAsia" w:ascii="仿宋_GB2312" w:eastAsia="仿宋_GB2312"/>
          <w:b/>
          <w:color w:val="auto"/>
          <w:sz w:val="44"/>
          <w:szCs w:val="44"/>
          <w:highlight w:val="none"/>
        </w:rPr>
        <w:t>目录</w:t>
      </w:r>
    </w:p>
    <w:p>
      <w:pPr>
        <w:jc w:val="center"/>
        <w:rPr>
          <w:rFonts w:ascii="隶书" w:eastAsia="隶书"/>
          <w:b/>
          <w:color w:val="auto"/>
          <w:sz w:val="44"/>
          <w:szCs w:val="44"/>
          <w:highlight w:val="none"/>
        </w:rPr>
      </w:pPr>
    </w:p>
    <w:p>
      <w:pPr>
        <w:jc w:val="center"/>
        <w:rPr>
          <w:rFonts w:ascii="隶书" w:eastAsia="隶书"/>
          <w:color w:val="auto"/>
          <w:highlight w:val="none"/>
        </w:rPr>
      </w:pP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第一部分    招标公告</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 xml:space="preserve">第二部分   </w:t>
      </w:r>
      <w:r>
        <w:rPr>
          <w:rFonts w:hint="eastAsia" w:ascii="仿宋_GB2312" w:hAnsi="宋体" w:eastAsia="仿宋_GB2312"/>
          <w:b/>
          <w:color w:val="auto"/>
          <w:sz w:val="36"/>
          <w:szCs w:val="36"/>
          <w:highlight w:val="none"/>
          <w:lang w:val="en-US" w:eastAsia="zh-CN"/>
        </w:rPr>
        <w:t xml:space="preserve"> </w:t>
      </w:r>
      <w:r>
        <w:rPr>
          <w:rFonts w:hint="eastAsia" w:ascii="仿宋_GB2312" w:hAnsi="宋体" w:eastAsia="仿宋_GB2312"/>
          <w:b/>
          <w:color w:val="auto"/>
          <w:sz w:val="36"/>
          <w:szCs w:val="36"/>
          <w:highlight w:val="none"/>
        </w:rPr>
        <w:t>投标须知</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第六部分    投标文件及其附件格式</w:t>
      </w: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snapToGrid w:val="0"/>
        <w:spacing w:line="480" w:lineRule="auto"/>
        <w:jc w:val="left"/>
        <w:rPr>
          <w:rFonts w:ascii="仿宋_GB2312" w:hAnsi="宋体" w:eastAsia="仿宋_GB2312"/>
          <w:color w:val="auto"/>
          <w:sz w:val="36"/>
          <w:szCs w:val="36"/>
          <w:highlight w:val="none"/>
        </w:rPr>
      </w:pPr>
    </w:p>
    <w:p>
      <w:pPr>
        <w:pageBreakBefore/>
        <w:widowControl/>
        <w:jc w:val="center"/>
        <w:rPr>
          <w:rFonts w:ascii="仿宋_GB2312" w:eastAsia="仿宋_GB2312"/>
          <w:b/>
          <w:color w:val="auto"/>
          <w:sz w:val="36"/>
          <w:szCs w:val="36"/>
          <w:highlight w:val="none"/>
        </w:rPr>
      </w:pPr>
      <w:r>
        <w:rPr>
          <w:rFonts w:hint="eastAsia" w:ascii="仿宋_GB2312" w:eastAsia="仿宋_GB2312"/>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trPr>
          <w:trHeight w:val="12609" w:hRule="atLeast"/>
        </w:trPr>
        <w:tc>
          <w:tcPr>
            <w:tcW w:w="8749" w:type="dxa"/>
            <w:vAlign w:val="center"/>
          </w:tcPr>
          <w:p>
            <w:pPr>
              <w:rPr>
                <w:color w:val="auto"/>
                <w:highlight w:val="none"/>
              </w:rPr>
            </w:pPr>
            <w:r>
              <w:rPr>
                <w:rFonts w:ascii="仿宋_GB2312" w:hAnsi="新宋体" w:eastAsia="仿宋_GB2312"/>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7"/>
                    <w:spacing w:after="12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项目概况：</w:t>
                  </w:r>
                </w:p>
                <w:p>
                  <w:pPr>
                    <w:pStyle w:val="97"/>
                    <w:wordWrap w:val="0"/>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u w:val="single"/>
                      <w:lang w:eastAsia="zh-CN"/>
                    </w:rPr>
                    <w:t>绍兴市强制医疗所2025年度物业管理服务项目</w:t>
                  </w:r>
                  <w:r>
                    <w:rPr>
                      <w:rFonts w:hint="eastAsia" w:ascii="仿宋_GB2312" w:hAnsi="新宋体" w:eastAsia="仿宋_GB2312"/>
                      <w:color w:val="auto"/>
                      <w:szCs w:val="24"/>
                      <w:highlight w:val="none"/>
                    </w:rPr>
                    <w:t>招标项目的潜在投标人应在政采云平台（https://www.zcygov.cn/）获取（下载）招标文件，并于202</w:t>
                  </w:r>
                  <w:r>
                    <w:rPr>
                      <w:rFonts w:hint="eastAsia" w:ascii="仿宋_GB2312" w:hAnsi="新宋体" w:eastAsia="仿宋_GB2312"/>
                      <w:color w:val="auto"/>
                      <w:szCs w:val="24"/>
                      <w:highlight w:val="none"/>
                      <w:lang w:val="en-US" w:eastAsia="zh-CN"/>
                    </w:rPr>
                    <w:t>4</w:t>
                  </w:r>
                  <w:r>
                    <w:rPr>
                      <w:rFonts w:hint="eastAsia" w:ascii="仿宋_GB2312" w:hAnsi="新宋体" w:eastAsia="仿宋_GB2312"/>
                      <w:color w:val="auto"/>
                      <w:szCs w:val="24"/>
                      <w:highlight w:val="none"/>
                    </w:rPr>
                    <w:t>年 月 日 点 分00秒（北京时间）前递交（上传）投标文件。</w:t>
                  </w:r>
                </w:p>
              </w:tc>
            </w:tr>
          </w:tbl>
          <w:p>
            <w:pPr>
              <w:pStyle w:val="97"/>
              <w:spacing w:afterLines="0" w:line="440" w:lineRule="exact"/>
              <w:ind w:firstLine="482"/>
              <w:jc w:val="left"/>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一、项目基本情况</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项目编号：</w:t>
            </w:r>
            <w:r>
              <w:rPr>
                <w:rFonts w:hint="eastAsia" w:ascii="仿宋_GB2312" w:hAnsi="新宋体" w:eastAsia="仿宋_GB2312"/>
                <w:color w:val="auto"/>
                <w:szCs w:val="24"/>
                <w:highlight w:val="none"/>
                <w:lang w:eastAsia="zh-CN"/>
              </w:rPr>
              <w:t>2024-11-0132</w:t>
            </w:r>
          </w:p>
          <w:p>
            <w:pPr>
              <w:pStyle w:val="97"/>
              <w:spacing w:afterLines="0" w:line="440" w:lineRule="exact"/>
              <w:ind w:right="-508" w:rightChars="-242"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项目名称：</w:t>
            </w:r>
            <w:r>
              <w:rPr>
                <w:rFonts w:hint="eastAsia" w:ascii="仿宋_GB2312" w:hAnsi="新宋体" w:eastAsia="仿宋_GB2312"/>
                <w:color w:val="auto"/>
                <w:szCs w:val="24"/>
                <w:highlight w:val="none"/>
                <w:lang w:eastAsia="zh-CN"/>
              </w:rPr>
              <w:t>绍兴市强制医疗所2025年度物业管理服务项目</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预算金额（元）：</w:t>
            </w:r>
            <w:r>
              <w:rPr>
                <w:rFonts w:hint="eastAsia" w:ascii="仿宋_GB2312" w:hAnsi="新宋体" w:eastAsia="仿宋_GB2312"/>
                <w:color w:val="auto"/>
                <w:szCs w:val="24"/>
                <w:highlight w:val="none"/>
                <w:lang w:eastAsia="zh-CN"/>
              </w:rPr>
              <w:t>990271</w:t>
            </w:r>
          </w:p>
          <w:p>
            <w:pPr>
              <w:pStyle w:val="97"/>
              <w:spacing w:afterLines="0" w:line="440" w:lineRule="exact"/>
              <w:ind w:firstLine="482"/>
              <w:rPr>
                <w:rFonts w:hint="eastAsia" w:ascii="仿宋_GB2312" w:hAnsi="新宋体" w:eastAsia="仿宋_GB2312"/>
                <w:color w:val="auto"/>
                <w:szCs w:val="24"/>
                <w:highlight w:val="none"/>
                <w:lang w:eastAsia="zh-CN"/>
              </w:rPr>
            </w:pPr>
            <w:r>
              <w:rPr>
                <w:rFonts w:hint="eastAsia" w:ascii="仿宋_GB2312" w:hAnsi="新宋体" w:eastAsia="仿宋_GB2312"/>
                <w:b/>
                <w:color w:val="auto"/>
                <w:szCs w:val="24"/>
                <w:highlight w:val="none"/>
              </w:rPr>
              <w:t>最高限价（元）：</w:t>
            </w:r>
            <w:r>
              <w:rPr>
                <w:rFonts w:hint="eastAsia" w:ascii="仿宋_GB2312" w:hAnsi="新宋体" w:eastAsia="仿宋_GB2312"/>
                <w:color w:val="auto"/>
                <w:szCs w:val="24"/>
                <w:highlight w:val="none"/>
                <w:lang w:eastAsia="zh-CN"/>
              </w:rPr>
              <w:t>990271</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采购需求：</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标项一:</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标项名称:</w:t>
            </w:r>
            <w:r>
              <w:rPr>
                <w:rFonts w:hint="eastAsia" w:ascii="仿宋_GB2312" w:hAnsi="新宋体" w:eastAsia="仿宋_GB2312"/>
                <w:color w:val="auto"/>
                <w:szCs w:val="24"/>
                <w:highlight w:val="none"/>
                <w:lang w:eastAsia="zh-CN"/>
              </w:rPr>
              <w:t>2025年度物业管理服务项目</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数量:1</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预算金额（元）: </w:t>
            </w:r>
            <w:r>
              <w:rPr>
                <w:rFonts w:hint="eastAsia" w:ascii="仿宋_GB2312" w:hAnsi="新宋体" w:eastAsia="仿宋_GB2312"/>
                <w:color w:val="auto"/>
                <w:szCs w:val="24"/>
                <w:highlight w:val="none"/>
                <w:lang w:eastAsia="zh-CN"/>
              </w:rPr>
              <w:t>990271</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主要内容：简要规格描述、项目基本概况介绍、用途详见采购文件。</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b/>
                <w:color w:val="auto"/>
                <w:szCs w:val="24"/>
                <w:highlight w:val="none"/>
              </w:rPr>
              <w:t>合同履约期限：</w:t>
            </w:r>
            <w:r>
              <w:rPr>
                <w:rFonts w:hint="eastAsia" w:ascii="仿宋_GB2312" w:hAnsi="新宋体" w:eastAsia="仿宋_GB2312"/>
                <w:color w:val="auto"/>
                <w:szCs w:val="24"/>
                <w:highlight w:val="none"/>
              </w:rPr>
              <w:t>按双方合同约定条款执行。</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本项目接受联合体投标：</w:t>
            </w:r>
            <w:sdt>
              <w:sdtPr>
                <w:rPr>
                  <w:rFonts w:hint="eastAsia" w:ascii="仿宋_GB2312" w:hAnsi="仿宋" w:eastAsia="仿宋_GB2312" w:cs="Arial"/>
                  <w:color w:val="auto"/>
                  <w:highlight w:val="none"/>
                </w:rPr>
                <w:id w:val="337506595"/>
              </w:sdtPr>
              <w:sdtEndPr>
                <w:rPr>
                  <w:rFonts w:hint="eastAsia" w:ascii="仿宋_GB2312" w:hAnsi="仿宋" w:eastAsia="仿宋_GB2312" w:cs="Arial"/>
                  <w:color w:val="auto"/>
                  <w:highlight w:val="none"/>
                </w:rPr>
              </w:sdtEndPr>
              <w:sdtContent>
                <w:r>
                  <w:rPr>
                    <w:rFonts w:ascii="仿宋_GB2312" w:hAnsi="仿宋" w:eastAsia="仿宋_GB2312" w:cs="Arial"/>
                    <w:color w:val="auto"/>
                    <w:highlight w:val="none"/>
                  </w:rPr>
                  <w:sym w:font="Wingdings" w:char="F0FE"/>
                </w:r>
              </w:sdtContent>
            </w:sdt>
            <w:r>
              <w:rPr>
                <w:rFonts w:hint="eastAsia" w:ascii="仿宋_GB2312" w:hAnsi="新宋体" w:eastAsia="仿宋_GB2312"/>
                <w:color w:val="auto"/>
                <w:szCs w:val="24"/>
                <w:highlight w:val="none"/>
              </w:rPr>
              <w:t>是，</w:t>
            </w:r>
            <w:r>
              <w:rPr>
                <w:rFonts w:hint="eastAsia" w:ascii="MS Mincho" w:hAnsi="MS Mincho" w:eastAsia="MS Mincho" w:cs="MS Mincho"/>
                <w:color w:val="auto"/>
                <w:szCs w:val="24"/>
                <w:highlight w:val="none"/>
              </w:rPr>
              <w:t>☐</w:t>
            </w:r>
            <w:r>
              <w:rPr>
                <w:rFonts w:hint="eastAsia" w:ascii="仿宋_GB2312" w:hAnsi="新宋体" w:eastAsia="仿宋_GB2312"/>
                <w:color w:val="auto"/>
                <w:szCs w:val="24"/>
                <w:highlight w:val="none"/>
              </w:rPr>
              <w:t>否。</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二、申请人的资格要求：</w:t>
            </w:r>
          </w:p>
          <w:p>
            <w:pPr>
              <w:pStyle w:val="97"/>
              <w:spacing w:after="120" w:line="440" w:lineRule="exact"/>
              <w:ind w:right="101" w:rightChars="48"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7"/>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2.以联合体形式投标的，提供联合体协议（本项目不接受联合体投标或者投标人不以联合体形式投标的，则不需要提供）；</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3.落实政府采购政策需满足的资格要求：</w:t>
            </w:r>
          </w:p>
          <w:p>
            <w:pPr>
              <w:pStyle w:val="97"/>
              <w:spacing w:afterLines="0" w:line="440" w:lineRule="exact"/>
              <w:ind w:firstLine="420"/>
              <w:rPr>
                <w:rFonts w:ascii="仿宋_GB2312" w:hAnsi="新宋体" w:eastAsia="仿宋_GB2312"/>
                <w:color w:val="auto"/>
                <w:szCs w:val="24"/>
                <w:highlight w:val="none"/>
              </w:rPr>
            </w:pPr>
            <w:sdt>
              <w:sdtPr>
                <w:rPr>
                  <w:rFonts w:hint="eastAsia" w:ascii="仿宋_GB2312" w:hAnsi="仿宋" w:eastAsia="仿宋_GB2312" w:cs="Arial"/>
                  <w:color w:val="auto"/>
                  <w:sz w:val="21"/>
                  <w:szCs w:val="21"/>
                  <w:highlight w:val="none"/>
                </w:rPr>
                <w:id w:val="725337177"/>
              </w:sdtPr>
              <w:sdtEndPr>
                <w:rPr>
                  <w:rFonts w:hint="eastAsia" w:ascii="仿宋_GB2312" w:hAnsi="新宋体" w:eastAsia="仿宋_GB2312" w:cs="Times New Roman"/>
                  <w:color w:val="auto"/>
                  <w:sz w:val="24"/>
                  <w:szCs w:val="24"/>
                  <w:highlight w:val="none"/>
                </w:rPr>
              </w:sdtEndPr>
              <w:sdtContent>
                <w:r>
                  <w:rPr>
                    <w:rFonts w:ascii="MS Gothic" w:hAnsi="MS Gothic" w:eastAsia="MS Gothic" w:cs="Arial"/>
                    <w:color w:val="auto"/>
                    <w:highlight w:val="none"/>
                  </w:rPr>
                  <w:t>☐</w:t>
                </w:r>
              </w:sdtContent>
            </w:sdt>
            <w:r>
              <w:rPr>
                <w:rFonts w:hint="eastAsia" w:ascii="仿宋_GB2312" w:hAnsi="新宋体" w:eastAsia="仿宋_GB2312"/>
                <w:color w:val="auto"/>
                <w:szCs w:val="24"/>
                <w:highlight w:val="none"/>
              </w:rPr>
              <w:t>无；</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253497049"/>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专</w:t>
            </w:r>
            <w:r>
              <w:rPr>
                <w:rFonts w:hint="eastAsia" w:ascii="仿宋_GB2312" w:hAnsi="仿宋" w:eastAsia="仿宋_GB2312"/>
                <w:color w:val="auto"/>
                <w:sz w:val="24"/>
                <w:highlight w:val="none"/>
              </w:rPr>
              <w:t>门面向中小企业</w:t>
            </w:r>
          </w:p>
          <w:p>
            <w:pPr>
              <w:spacing w:line="360" w:lineRule="auto"/>
              <w:ind w:firstLine="897" w:firstLineChars="374"/>
              <w:rPr>
                <w:rFonts w:ascii="仿宋_GB2312" w:hAnsi="仿宋" w:eastAsia="仿宋_GB2312"/>
                <w:color w:val="auto"/>
                <w:sz w:val="24"/>
                <w:highlight w:val="none"/>
              </w:rPr>
            </w:pPr>
            <w:r>
              <w:rPr>
                <w:rFonts w:ascii="MS Gothic" w:hAnsi="MS Gothic" w:eastAsia="MS Gothic" w:cs="Arial"/>
                <w:color w:val="auto"/>
                <w:kern w:val="0"/>
                <w:sz w:val="24"/>
                <w:highlight w:val="none"/>
              </w:rPr>
              <w:t>☐</w:t>
            </w:r>
            <w:r>
              <w:rPr>
                <w:rFonts w:hint="eastAsia" w:ascii="仿宋_GB2312" w:hAnsi="仿宋" w:eastAsia="仿宋_GB2312"/>
                <w:color w:val="auto"/>
                <w:sz w:val="24"/>
                <w:highlight w:val="none"/>
              </w:rPr>
              <w:t>货物全部由符合政策要求的中小企业制造，提供中小企业声明函；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6"/>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0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货物全部由符合政策要求的小微企业制造，提供中小企业声明函；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06902902"/>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51"/>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sdtContent>
                </w:sdt>
              </w:sdtContent>
            </w:sdt>
            <w:r>
              <w:rPr>
                <w:rFonts w:hint="eastAsia" w:ascii="仿宋_GB2312" w:hAnsi="仿宋" w:eastAsia="仿宋_GB2312"/>
                <w:color w:val="auto"/>
                <w:sz w:val="24"/>
                <w:highlight w:val="none"/>
              </w:rPr>
              <w:t>服务全部由符合政策要求的中小企业承接，提供中小企业声明函；</w:t>
            </w:r>
          </w:p>
          <w:p>
            <w:pPr>
              <w:spacing w:line="360" w:lineRule="auto"/>
              <w:ind w:firstLine="897" w:firstLineChars="374"/>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1"/>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3"/>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服务全部由符合政策要求的小微企业承接，提供中小企业声明函；</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603697228"/>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5"/>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要求以联合体形式参加，提供联合协议和中小企业声明函，联合协议中中小企业合同金额应当达到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highlight w:val="none"/>
              </w:rPr>
              <w:t>；</w:t>
            </w:r>
          </w:p>
          <w:p>
            <w:pPr>
              <w:spacing w:line="360" w:lineRule="auto"/>
              <w:ind w:firstLine="480" w:firstLineChars="200"/>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34630645"/>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79565517"/>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sdtContent>
            </w:sdt>
            <w:r>
              <w:rPr>
                <w:rFonts w:hint="eastAsia" w:ascii="仿宋_GB2312" w:hAnsi="仿宋" w:eastAsia="仿宋_GB2312"/>
                <w:color w:val="auto"/>
                <w:sz w:val="24"/>
                <w:highlight w:val="none"/>
              </w:rPr>
              <w:t>要求合同分包，提供分包意向协议和中小企业声明函，分包意向协议中中小企业合同金额应当达到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，小微企业合同金额应当达到</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 ;</w:t>
            </w:r>
            <w:r>
              <w:rPr>
                <w:rFonts w:hint="eastAsia" w:ascii="仿宋_GB2312" w:hAnsi="仿宋" w:eastAsia="仿宋_GB2312" w:cs="宋体"/>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4.本项目的特定资格要求：无；</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三、获取招标文件</w:t>
            </w:r>
            <w:r>
              <w:rPr>
                <w:rFonts w:ascii="仿宋_GB2312" w:hAnsi="新宋体" w:eastAsia="仿宋_GB2312"/>
                <w:b/>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时间：</w:t>
            </w:r>
            <w:r>
              <w:rPr>
                <w:rFonts w:hint="eastAsia" w:ascii="仿宋_GB2312" w:hAnsi="新宋体" w:eastAsia="仿宋_GB2312"/>
                <w:color w:val="auto"/>
                <w:szCs w:val="24"/>
                <w:highlight w:val="none"/>
              </w:rPr>
              <w:t>/至</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w:t>
            </w:r>
            <w:r>
              <w:rPr>
                <w:rFonts w:hint="eastAsia" w:ascii="仿宋_GB2312" w:hAnsi="新宋体" w:eastAsia="仿宋_GB2312"/>
                <w:color w:val="auto"/>
                <w:szCs w:val="24"/>
                <w:highlight w:val="none"/>
              </w:rPr>
              <w:t>，每天上午00:00至12:00</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，下午12:00至23:59（北京时间，线上获取法定节假日均可，线下获取文件法定节假日除外）</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地点（网址）：</w:t>
            </w:r>
            <w:r>
              <w:rPr>
                <w:rFonts w:hint="eastAsia" w:ascii="仿宋_GB2312" w:hAnsi="新宋体" w:eastAsia="仿宋_GB2312" w:cs="Arial"/>
                <w:bCs/>
                <w:color w:val="auto"/>
                <w:highlight w:val="none"/>
              </w:rPr>
              <w:t>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方式：</w:t>
            </w:r>
            <w:r>
              <w:rPr>
                <w:rFonts w:hint="eastAsia" w:ascii="仿宋_GB2312" w:hAnsi="新宋体" w:eastAsia="仿宋_GB2312" w:cs="Arial"/>
                <w:bCs/>
                <w:color w:val="auto"/>
                <w:highlight w:val="none"/>
              </w:rPr>
              <w:t>供应商登陆政采云平台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s="Arial"/>
                <w:bCs/>
                <w:color w:val="auto"/>
                <w:highlight w:val="none"/>
              </w:rPr>
              <w:t>，在线申请获取采购文件（进入“项目采购”应用，在获取采购文件菜单中选择项目，申请获取采购文件）</w:t>
            </w:r>
            <w:r>
              <w:rPr>
                <w:rFonts w:ascii="仿宋_GB2312" w:hAnsi="新宋体" w:eastAsia="仿宋_GB2312" w:cs="Arial"/>
                <w:bCs/>
                <w:color w:val="auto"/>
                <w:highlight w:val="none"/>
              </w:rPr>
              <w:t>。</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售价（元）：</w:t>
            </w:r>
            <w:r>
              <w:rPr>
                <w:rFonts w:hint="eastAsia" w:ascii="仿宋_GB2312" w:hAnsi="新宋体" w:eastAsia="仿宋_GB2312"/>
                <w:color w:val="auto"/>
                <w:szCs w:val="24"/>
                <w:highlight w:val="none"/>
              </w:rPr>
              <w:t>0</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四、提交投标文件截止时间、开标时间和地点</w:t>
            </w:r>
          </w:p>
          <w:p>
            <w:pPr>
              <w:pStyle w:val="97"/>
              <w:spacing w:afterLines="0" w:line="440" w:lineRule="exact"/>
              <w:ind w:firstLine="482"/>
              <w:rPr>
                <w:rFonts w:ascii="仿宋_GB2312" w:hAnsi="新宋体" w:eastAsia="仿宋_GB2312"/>
                <w:color w:val="auto"/>
                <w:szCs w:val="24"/>
                <w:highlight w:val="none"/>
              </w:rPr>
            </w:pPr>
            <w:r>
              <w:rPr>
                <w:rFonts w:hint="eastAsia" w:ascii="仿宋_GB2312" w:hAnsi="新宋体" w:eastAsia="仿宋_GB2312"/>
                <w:b/>
                <w:color w:val="auto"/>
                <w:szCs w:val="24"/>
                <w:highlight w:val="none"/>
              </w:rPr>
              <w:t>提交投标文件截止时间：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r>
              <w:rPr>
                <w:rFonts w:hint="eastAsia" w:ascii="仿宋_GB2312" w:hAnsi="新宋体" w:eastAsia="仿宋_GB2312"/>
                <w:color w:val="auto"/>
                <w:szCs w:val="24"/>
                <w:highlight w:val="none"/>
              </w:rPr>
              <w:t>（北京时间）</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投标地点（网址）：政采云平台（</w:t>
            </w:r>
            <w:r>
              <w:rPr>
                <w:rFonts w:ascii="仿宋_GB2312" w:hAnsi="新宋体" w:eastAsia="仿宋_GB2312" w:cs="Arial"/>
                <w:bCs/>
                <w:color w:val="auto"/>
                <w:highlight w:val="none"/>
              </w:rPr>
              <w:t>http://www</w:t>
            </w:r>
            <w:r>
              <w:rPr>
                <w:rFonts w:hint="eastAsia" w:ascii="仿宋_GB2312" w:hAnsi="新宋体" w:eastAsia="仿宋_GB2312" w:cs="Arial"/>
                <w:bCs/>
                <w:color w:val="auto"/>
                <w:highlight w:val="none"/>
              </w:rPr>
              <w:t>.</w:t>
            </w:r>
            <w:r>
              <w:rPr>
                <w:rFonts w:ascii="仿宋_GB2312" w:hAnsi="新宋体" w:eastAsia="仿宋_GB2312" w:cs="Arial"/>
                <w:bCs/>
                <w:color w:val="auto"/>
                <w:highlight w:val="none"/>
              </w:rPr>
              <w:t>zcygov.cn/</w:t>
            </w:r>
            <w:r>
              <w:rPr>
                <w:rFonts w:hint="eastAsia" w:ascii="仿宋_GB2312" w:hAnsi="新宋体" w:eastAsia="仿宋_GB2312"/>
                <w:color w:val="auto"/>
                <w:szCs w:val="24"/>
                <w:highlight w:val="none"/>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开标时间：</w:t>
            </w:r>
            <w:r>
              <w:rPr>
                <w:rFonts w:hint="eastAsia" w:ascii="仿宋_GB2312" w:hAnsi="新宋体" w:eastAsia="仿宋_GB2312"/>
                <w:color w:val="auto"/>
                <w:szCs w:val="24"/>
                <w:highlight w:val="none"/>
                <w:u w:val="single"/>
              </w:rPr>
              <w:t>202</w:t>
            </w:r>
            <w:r>
              <w:rPr>
                <w:rFonts w:hint="eastAsia" w:ascii="仿宋_GB2312" w:hAnsi="新宋体" w:eastAsia="仿宋_GB2312"/>
                <w:color w:val="auto"/>
                <w:szCs w:val="24"/>
                <w:highlight w:val="none"/>
                <w:u w:val="single"/>
                <w:lang w:val="en-US" w:eastAsia="zh-CN"/>
              </w:rPr>
              <w:t>4</w:t>
            </w:r>
            <w:r>
              <w:rPr>
                <w:rFonts w:hint="eastAsia" w:ascii="仿宋_GB2312" w:hAnsi="新宋体" w:eastAsia="仿宋_GB2312"/>
                <w:color w:val="auto"/>
                <w:szCs w:val="24"/>
                <w:highlight w:val="none"/>
                <w:u w:val="single"/>
              </w:rPr>
              <w:t>年 月 日9点00分00秒</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开标地点（网址）：政采云平台（https://www.zcygov.cn/）。</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五、公告期限</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自本公告发布之日起5个工作日。</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六、其他补充事宜</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仿宋" w:eastAsia="仿宋_GB2312"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3.</w:t>
            </w:r>
            <w:r>
              <w:rPr>
                <w:rFonts w:hint="eastAsia"/>
                <w:color w:val="auto"/>
                <w:highlight w:val="none"/>
              </w:rPr>
              <w:t xml:space="preserve"> </w:t>
            </w:r>
            <w:r>
              <w:rPr>
                <w:rFonts w:hint="eastAsia" w:ascii="仿宋_GB2312" w:hAnsi="新宋体" w:eastAsia="仿宋_GB2312"/>
                <w:color w:val="auto"/>
                <w:szCs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2.其他事项：（1）需要落实的政府采购政策：包括节约资源、保护环境、支持创新、促进中小企业发展等。详见招标文件的第二部分总则。（2）</w:t>
            </w:r>
            <w:r>
              <w:rPr>
                <w:rFonts w:ascii="仿宋_GB2312" w:hAnsi="仿宋" w:eastAsia="仿宋_GB2312"/>
                <w:color w:val="auto"/>
                <w:highlight w:val="none"/>
              </w:rPr>
              <w:t>电子招投标的说明：</w:t>
            </w:r>
            <w:r>
              <w:rPr>
                <w:rFonts w:hint="eastAsia" w:ascii="仿宋_GB2312" w:hAnsi="仿宋" w:eastAsia="仿宋_GB2312" w:cs="仿宋_GB2312"/>
                <w:color w:val="auto"/>
                <w:highlight w:val="none"/>
              </w:rPr>
              <w:t>①</w:t>
            </w:r>
            <w:r>
              <w:rPr>
                <w:rFonts w:ascii="仿宋_GB2312" w:hAnsi="仿宋" w:eastAsia="仿宋_GB2312" w:cs="仿宋_GB2312"/>
                <w:color w:val="auto"/>
                <w:highlight w:val="none"/>
              </w:rPr>
              <w:t>电子招投标：本项目以数据电文形式，依托“政府采购云平台（www.zcygov.cn）”进行招投标活动，不接受纸质投标文件</w:t>
            </w:r>
            <w:r>
              <w:rPr>
                <w:rFonts w:hint="eastAsia" w:ascii="仿宋_GB2312" w:hAnsi="仿宋" w:eastAsia="仿宋_GB2312" w:cs="仿宋_GB2312"/>
                <w:color w:val="auto"/>
                <w:highlight w:val="none"/>
              </w:rPr>
              <w:t>；②</w:t>
            </w:r>
            <w:r>
              <w:rPr>
                <w:rFonts w:ascii="仿宋_GB2312" w:hAnsi="仿宋" w:eastAsia="仿宋_GB2312" w:cs="仿宋_GB2312"/>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color w:val="auto"/>
                <w:highlight w:val="none"/>
              </w:rPr>
              <w:t>采云电子交易客户端”</w:t>
            </w:r>
            <w:r>
              <w:rPr>
                <w:rFonts w:ascii="仿宋_GB2312" w:hAnsi="仿宋" w:eastAsia="仿宋_GB2312" w:cs="仿宋_GB2312"/>
                <w:color w:val="auto"/>
                <w:highlight w:val="none"/>
              </w:rPr>
              <w:t>----前往“浙江政府采购网-下载专区-电子交易客户端”进行下载并安装</w:t>
            </w:r>
            <w:r>
              <w:rPr>
                <w:rFonts w:hint="eastAsia" w:ascii="仿宋_GB2312" w:hAnsi="仿宋" w:eastAsia="仿宋_GB2312" w:cs="仿宋_GB2312"/>
                <w:color w:val="auto"/>
                <w:highlight w:val="none"/>
              </w:rPr>
              <w:t>；③</w:t>
            </w:r>
            <w:r>
              <w:rPr>
                <w:rFonts w:ascii="仿宋_GB2312" w:hAnsi="仿宋" w:eastAsia="仿宋_GB2312" w:cs="仿宋_GB2312"/>
                <w:color w:val="auto"/>
                <w:highlight w:val="none"/>
              </w:rPr>
              <w:t>招标文件的获取：使用账号登录或者使用CA登录政</w:t>
            </w:r>
            <w:r>
              <w:rPr>
                <w:rFonts w:hint="eastAsia" w:ascii="仿宋_GB2312" w:hAnsi="仿宋" w:eastAsia="仿宋_GB2312" w:cs="仿宋_GB2312"/>
                <w:color w:val="auto"/>
                <w:highlight w:val="none"/>
              </w:rPr>
              <w:t>采云平台；进入“项目采购”应用，在获取采购文件菜单中选择项目，获取招标文件；④</w:t>
            </w:r>
            <w:r>
              <w:rPr>
                <w:rFonts w:ascii="仿宋_GB2312" w:hAnsi="仿宋" w:eastAsia="仿宋_GB2312" w:cs="仿宋_GB2312"/>
                <w:color w:val="auto"/>
                <w:highlight w:val="none"/>
              </w:rPr>
              <w:t>投标文件的制作：在“政</w:t>
            </w:r>
            <w:r>
              <w:rPr>
                <w:rFonts w:hint="eastAsia" w:ascii="仿宋_GB2312" w:hAnsi="仿宋" w:eastAsia="仿宋_GB2312" w:cs="仿宋_GB2312"/>
                <w:color w:val="auto"/>
                <w:highlight w:val="none"/>
              </w:rPr>
              <w:t>采云电子交易客户端”中完成“填写基本信息”、“导入投标文件”、“标书关联”、“标书检查”、“电子签名”、“生成电子标书”等操作；</w:t>
            </w:r>
            <w:r>
              <w:rPr>
                <w:rFonts w:hint="eastAsia" w:ascii="仿宋_GB2312" w:hAnsi="仿宋" w:eastAsia="仿宋_GB2312"/>
                <w:color w:val="auto"/>
                <w:highlight w:val="none"/>
              </w:rPr>
              <w:t>⑤</w:t>
            </w:r>
            <w:r>
              <w:rPr>
                <w:rFonts w:ascii="仿宋_GB2312" w:hAnsi="仿宋" w:eastAsia="仿宋_GB2312"/>
                <w:color w:val="auto"/>
                <w:highlight w:val="none"/>
              </w:rPr>
              <w:t>采购人、采购机构将依托政</w:t>
            </w:r>
            <w:r>
              <w:rPr>
                <w:rFonts w:hint="eastAsia" w:ascii="仿宋_GB2312" w:hAnsi="仿宋" w:eastAsia="仿宋_GB2312"/>
                <w:color w:val="auto"/>
                <w:highlight w:val="none"/>
              </w:rPr>
              <w:t>采云平台完成本项目的电子交易活动，平台不接受未按上述方式获取招标文件的供应商进行投标活动；</w:t>
            </w:r>
            <w:r>
              <w:rPr>
                <w:rFonts w:ascii="仿宋_GB2312" w:hAnsi="仿宋" w:eastAsia="仿宋_GB2312"/>
                <w:color w:val="auto"/>
                <w:highlight w:val="none"/>
              </w:rPr>
              <w:t xml:space="preserve"> </w:t>
            </w:r>
            <w:r>
              <w:rPr>
                <w:rFonts w:hint="eastAsia" w:ascii="仿宋_GB2312" w:hAnsi="仿宋" w:eastAsia="仿宋_GB2312"/>
                <w:color w:val="auto"/>
                <w:highlight w:val="none"/>
              </w:rPr>
              <w:t>⑥</w:t>
            </w:r>
            <w:r>
              <w:rPr>
                <w:rFonts w:ascii="仿宋_GB2312" w:hAnsi="仿宋" w:eastAsia="仿宋_GB2312"/>
                <w:color w:val="auto"/>
                <w:highlight w:val="none"/>
              </w:rPr>
              <w:t>对未按上述方式获取招标文件的供应商对该文件提出的质疑，采购人或采购代理机构将</w:t>
            </w:r>
            <w:r>
              <w:rPr>
                <w:rFonts w:hint="eastAsia" w:ascii="仿宋_GB2312" w:hAnsi="仿宋" w:eastAsia="仿宋_GB2312"/>
                <w:color w:val="auto"/>
                <w:highlight w:val="none"/>
              </w:rPr>
              <w:t>不予处理；⑦</w:t>
            </w:r>
            <w:r>
              <w:rPr>
                <w:rFonts w:ascii="仿宋_GB2312" w:hAnsi="仿宋" w:eastAsia="仿宋_GB2312"/>
                <w:color w:val="auto"/>
                <w:highlight w:val="none"/>
              </w:rPr>
              <w:t>不提供招标文件纸质版</w:t>
            </w:r>
            <w:r>
              <w:rPr>
                <w:rFonts w:hint="eastAsia" w:ascii="仿宋_GB2312" w:hAnsi="仿宋" w:eastAsia="仿宋_GB2312"/>
                <w:color w:val="auto"/>
                <w:highlight w:val="none"/>
              </w:rPr>
              <w:t>；</w:t>
            </w:r>
            <w:r>
              <w:rPr>
                <w:rFonts w:hint="eastAsia" w:ascii="仿宋_GB2312" w:hAnsi="仿宋" w:eastAsia="仿宋_GB2312" w:cs="仿宋_GB2312"/>
                <w:color w:val="auto"/>
                <w:highlight w:val="none"/>
              </w:rPr>
              <w:t>⑧</w:t>
            </w:r>
            <w:r>
              <w:rPr>
                <w:rFonts w:ascii="仿宋_GB2312" w:hAnsi="仿宋" w:eastAsia="仿宋_GB2312" w:cs="仿宋_GB2312"/>
                <w:color w:val="auto"/>
                <w:highlight w:val="none"/>
              </w:rPr>
              <w:t>投标文件的传输递交：投标人在投标截止时间前将加密的投标文件上传至政府采购云平台</w:t>
            </w:r>
            <w:r>
              <w:rPr>
                <w:rFonts w:hint="eastAsia" w:ascii="仿宋_GB2312" w:hAnsi="仿宋" w:eastAsia="仿宋_GB2312" w:cs="仿宋_GB2312"/>
                <w:color w:val="auto"/>
                <w:highlight w:val="none"/>
              </w:rPr>
              <w:t>；</w:t>
            </w:r>
            <w:r>
              <w:rPr>
                <w:rFonts w:hint="eastAsia" w:ascii="仿宋_GB2312" w:hAnsi="仿宋" w:eastAsia="仿宋_GB2312"/>
                <w:color w:val="auto"/>
                <w:highlight w:val="none"/>
              </w:rPr>
              <w:t>⑨</w:t>
            </w:r>
            <w:r>
              <w:rPr>
                <w:rFonts w:hint="eastAsia" w:ascii="仿宋_GB2312" w:hAnsi="仿宋" w:eastAsia="仿宋_GB2312" w:cs="仿宋_GB2312"/>
                <w:color w:val="auto"/>
                <w:highlight w:val="none"/>
              </w:rPr>
              <w:t>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w:t>
            </w:r>
            <w:r>
              <w:rPr>
                <w:rFonts w:ascii="仿宋_GB2312" w:hAnsi="仿宋" w:eastAsia="仿宋_GB2312" w:cs="仿宋_GB2312"/>
                <w:color w:val="auto"/>
                <w:highlight w:val="none"/>
              </w:rPr>
              <w:t>具体操作指南：详见政</w:t>
            </w:r>
            <w:r>
              <w:rPr>
                <w:rFonts w:hint="eastAsia" w:ascii="仿宋_GB2312" w:hAnsi="仿宋" w:eastAsia="仿宋_GB2312" w:cs="仿宋_GB2312"/>
                <w:color w:val="auto"/>
                <w:highlight w:val="none"/>
              </w:rPr>
              <w:t>采云平台“服务中心</w:t>
            </w:r>
            <w:r>
              <w:rPr>
                <w:rFonts w:ascii="仿宋_GB2312" w:hAnsi="仿宋" w:eastAsia="仿宋_GB2312" w:cs="仿宋_GB2312"/>
                <w:color w:val="auto"/>
                <w:highlight w:val="none"/>
              </w:rPr>
              <w:t>-帮助文档-项目采购-操作流程-电子招投标-政府采购项目电子交易管理操作指南-供应商”。</w:t>
            </w:r>
            <w:r>
              <w:rPr>
                <w:rFonts w:hint="eastAsia" w:ascii="仿宋_GB2312" w:hAnsi="新宋体" w:eastAsia="仿宋_GB2312"/>
                <w:color w:val="auto"/>
                <w:szCs w:val="24"/>
                <w:highlight w:val="none"/>
              </w:rPr>
              <w:t>（3）招标文件公告期限与招标公告的公告期限一致。</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七、对本次采购提出询问、质疑、投诉，请按以下方式联系</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1.采购人信息：</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w:t>
            </w:r>
            <w:r>
              <w:rPr>
                <w:rFonts w:hint="eastAsia" w:ascii="仿宋_GB2312" w:hAnsi="新宋体" w:eastAsia="仿宋_GB2312"/>
                <w:color w:val="auto"/>
                <w:szCs w:val="24"/>
                <w:highlight w:val="none"/>
                <w:lang w:eastAsia="zh-CN"/>
              </w:rPr>
              <w:t>绍兴市强制医疗所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地址：绍兴市越城区丰山路9号 </w:t>
            </w:r>
          </w:p>
          <w:p>
            <w:pPr>
              <w:pStyle w:val="97"/>
              <w:spacing w:afterLines="0" w:line="440" w:lineRule="exact"/>
              <w:ind w:firstLine="480"/>
              <w:rPr>
                <w:rFonts w:hint="eastAsia" w:ascii="仿宋_GB2312" w:hAnsi="新宋体" w:eastAsia="仿宋_GB2312"/>
                <w:color w:val="auto"/>
                <w:szCs w:val="24"/>
                <w:highlight w:val="none"/>
                <w:lang w:eastAsia="zh-CN"/>
              </w:rPr>
            </w:pPr>
            <w:r>
              <w:rPr>
                <w:rFonts w:hint="eastAsia" w:ascii="仿宋_GB2312" w:hAnsi="新宋体" w:eastAsia="仿宋_GB2312"/>
                <w:color w:val="auto"/>
                <w:szCs w:val="24"/>
                <w:highlight w:val="none"/>
              </w:rPr>
              <w:t>传真：</w:t>
            </w:r>
            <w:r>
              <w:rPr>
                <w:rFonts w:hint="eastAsia" w:ascii="仿宋_GB2312" w:hAnsi="新宋体" w:eastAsia="仿宋_GB2312"/>
                <w:color w:val="auto"/>
                <w:szCs w:val="24"/>
                <w:highlight w:val="none"/>
                <w:lang w:val="en-US" w:eastAsia="zh-CN"/>
              </w:rPr>
              <w:t>/</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项目联系人（询问）：马黎霞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项目联系方式（询问）：0575-85156067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质疑联系人：汤国炎 </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质疑联系方式：0575-85161216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2.采购代理机构信息：</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名称：绍兴市公共资源交易中心</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地址：绍兴市越城区迪荡新城鼎盛时代大厦</w:t>
            </w:r>
            <w:r>
              <w:rPr>
                <w:rFonts w:ascii="仿宋_GB2312" w:hAnsi="新宋体" w:eastAsia="仿宋_GB2312"/>
                <w:color w:val="auto"/>
                <w:szCs w:val="24"/>
                <w:highlight w:val="none"/>
              </w:rPr>
              <w:t>431</w:t>
            </w:r>
            <w:r>
              <w:rPr>
                <w:rFonts w:hint="eastAsia" w:ascii="仿宋_GB2312" w:hAnsi="新宋体" w:eastAsia="仿宋_GB2312"/>
                <w:color w:val="auto"/>
                <w:szCs w:val="24"/>
                <w:highlight w:val="none"/>
              </w:rPr>
              <w:t>室</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传真：0575-8830702</w:t>
            </w:r>
            <w:r>
              <w:rPr>
                <w:rFonts w:ascii="仿宋_GB2312" w:hAnsi="新宋体" w:eastAsia="仿宋_GB2312"/>
                <w:color w:val="auto"/>
                <w:szCs w:val="24"/>
                <w:highlight w:val="none"/>
              </w:rPr>
              <w:t>9       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项目联系人（询问）：黄世杰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项目联系方式（询问）：0575-88307028</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质疑联系人：顾梁杰</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质疑联系方式：0575-88307026</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p>
          <w:p>
            <w:pPr>
              <w:pStyle w:val="97"/>
              <w:spacing w:afterLines="0" w:line="440" w:lineRule="exact"/>
              <w:ind w:firstLine="482"/>
              <w:rPr>
                <w:rFonts w:ascii="仿宋_GB2312" w:hAnsi="新宋体" w:eastAsia="仿宋_GB2312"/>
                <w:b/>
                <w:color w:val="auto"/>
                <w:szCs w:val="24"/>
                <w:highlight w:val="none"/>
              </w:rPr>
            </w:pPr>
            <w:r>
              <w:rPr>
                <w:rFonts w:hint="eastAsia" w:ascii="仿宋_GB2312" w:hAnsi="新宋体" w:eastAsia="仿宋_GB2312"/>
                <w:b/>
                <w:color w:val="auto"/>
                <w:szCs w:val="24"/>
                <w:highlight w:val="none"/>
              </w:rPr>
              <w:t>3.同级政府采购监督管理部门：</w:t>
            </w:r>
            <w:r>
              <w:rPr>
                <w:rFonts w:ascii="仿宋_GB2312" w:hAnsi="新宋体" w:eastAsia="仿宋_GB2312"/>
                <w:b/>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名称：绍兴市财政局</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地址：绍兴市越城区凤林西路151号</w:t>
            </w:r>
            <w:r>
              <w:rPr>
                <w:rFonts w:ascii="仿宋_GB2312" w:hAnsi="新宋体" w:eastAsia="仿宋_GB2312"/>
                <w:color w:val="auto"/>
                <w:szCs w:val="24"/>
                <w:highlight w:val="none"/>
              </w:rPr>
              <w:t>       </w:t>
            </w:r>
          </w:p>
          <w:p>
            <w:pPr>
              <w:pStyle w:val="97"/>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传真：</w:t>
            </w:r>
            <w:r>
              <w:rPr>
                <w:rFonts w:hint="eastAsia" w:ascii="仿宋_GB2312" w:hAnsi="新宋体" w:eastAsia="仿宋_GB2312"/>
                <w:color w:val="auto"/>
                <w:highlight w:val="none"/>
              </w:rPr>
              <w:t>0575-85209697</w:t>
            </w:r>
            <w:r>
              <w:rPr>
                <w:rFonts w:ascii="仿宋_GB2312" w:hAnsi="新宋体" w:eastAsia="仿宋_GB2312"/>
                <w:color w:val="auto"/>
                <w:szCs w:val="24"/>
                <w:highlight w:val="none"/>
              </w:rPr>
              <w:t>       </w:t>
            </w:r>
          </w:p>
          <w:p>
            <w:pPr>
              <w:pStyle w:val="97"/>
              <w:spacing w:afterLines="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 xml:space="preserve">联系人 ：张婷婷      </w:t>
            </w:r>
          </w:p>
          <w:p>
            <w:pPr>
              <w:pStyle w:val="97"/>
              <w:wordWrap w:val="0"/>
              <w:spacing w:after="120" w:line="440" w:lineRule="exact"/>
              <w:ind w:firstLine="480"/>
              <w:jc w:val="left"/>
              <w:rPr>
                <w:rFonts w:ascii="仿宋_GB2312" w:hAnsi="新宋体" w:eastAsia="仿宋_GB2312"/>
                <w:color w:val="auto"/>
                <w:szCs w:val="24"/>
                <w:highlight w:val="none"/>
              </w:rPr>
            </w:pPr>
            <w:r>
              <w:rPr>
                <w:rFonts w:hint="eastAsia" w:ascii="仿宋_GB2312" w:hAnsi="新宋体" w:eastAsia="仿宋_GB2312"/>
                <w:color w:val="auto"/>
                <w:szCs w:val="24"/>
                <w:highlight w:val="none"/>
              </w:rPr>
              <w:t>监督投诉电话：</w:t>
            </w:r>
            <w:r>
              <w:rPr>
                <w:rFonts w:hint="eastAsia" w:ascii="仿宋_GB2312" w:hAnsi="新宋体" w:eastAsia="仿宋_GB2312"/>
                <w:color w:val="auto"/>
                <w:highlight w:val="none"/>
              </w:rPr>
              <w:t>0575-85209697</w:t>
            </w:r>
            <w:r>
              <w:rPr>
                <w:rFonts w:hint="eastAsia" w:ascii="仿宋_GB2312" w:hAnsi="新宋体" w:eastAsia="仿宋_GB2312"/>
                <w:color w:val="auto"/>
                <w:szCs w:val="24"/>
                <w:highlight w:val="none"/>
              </w:rPr>
              <w:t>     </w:t>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br w:type="textWrapping"/>
            </w:r>
            <w:r>
              <w:rPr>
                <w:rFonts w:ascii="仿宋_GB2312" w:hAnsi="新宋体" w:eastAsia="仿宋_GB2312"/>
                <w:color w:val="auto"/>
                <w:szCs w:val="24"/>
                <w:highlight w:val="none"/>
              </w:rPr>
              <w:t>  </w:t>
            </w:r>
            <w:r>
              <w:rPr>
                <w:rFonts w:hint="eastAsia" w:ascii="仿宋_GB2312" w:hAnsi="新宋体" w:eastAsia="仿宋_GB2312"/>
                <w:color w:val="auto"/>
                <w:szCs w:val="24"/>
                <w:highlight w:val="none"/>
              </w:rPr>
              <w:t xml:space="preserve">若对项目采购电子交易系统操作有疑问，可登录政采云（https://www.zcygov.cn/），点击右侧咨询小采，获取采小蜜智能服务管家帮助，或拨打政采云服务热线95763获取热线服务帮助。        </w:t>
            </w:r>
          </w:p>
          <w:p>
            <w:pPr>
              <w:pStyle w:val="97"/>
              <w:wordWrap w:val="0"/>
              <w:spacing w:afterLines="0" w:line="440" w:lineRule="exact"/>
              <w:ind w:firstLine="480"/>
              <w:rPr>
                <w:rFonts w:ascii="仿宋_GB2312" w:hAnsi="新宋体" w:eastAsia="仿宋_GB2312"/>
                <w:color w:val="auto"/>
                <w:szCs w:val="24"/>
                <w:highlight w:val="none"/>
              </w:rPr>
            </w:pPr>
            <w:r>
              <w:rPr>
                <w:rFonts w:hint="eastAsia" w:ascii="仿宋_GB2312" w:hAnsi="新宋体" w:eastAsia="仿宋_GB2312"/>
                <w:color w:val="auto"/>
                <w:szCs w:val="24"/>
                <w:highlight w:val="none"/>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_GB2312" w:hAnsi="新宋体" w:eastAsia="仿宋_GB2312"/>
                <w:color w:val="auto"/>
                <w:highlight w:val="none"/>
              </w:rPr>
            </w:pPr>
            <w:r>
              <w:rPr>
                <w:rFonts w:hint="eastAsia" w:ascii="仿宋_GB2312" w:hAnsi="新宋体" w:eastAsia="仿宋_GB2312"/>
                <w:color w:val="auto"/>
                <w:highlight w:val="none"/>
              </w:rPr>
              <w:t>·</w:t>
            </w:r>
          </w:p>
        </w:tc>
      </w:tr>
    </w:tbl>
    <w:p>
      <w:pPr>
        <w:widowControl/>
        <w:jc w:val="left"/>
        <w:rPr>
          <w:rFonts w:ascii="仿宋_GB2312" w:hAnsi="新宋体" w:eastAsia="仿宋_GB2312"/>
          <w:color w:val="auto"/>
          <w:kern w:val="0"/>
          <w:sz w:val="24"/>
          <w:highlight w:val="none"/>
        </w:rPr>
      </w:pPr>
      <w:r>
        <w:rPr>
          <w:rFonts w:ascii="仿宋_GB2312" w:hAnsi="新宋体" w:eastAsia="仿宋_GB2312"/>
          <w:color w:val="auto"/>
          <w:highlight w:val="none"/>
        </w:rPr>
        <w:br w:type="page"/>
      </w:r>
    </w:p>
    <w:p>
      <w:pPr>
        <w:pageBreakBefore/>
        <w:ind w:left="238"/>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第二部分 投标须知</w:t>
      </w:r>
    </w:p>
    <w:p>
      <w:pPr>
        <w:ind w:left="238"/>
        <w:jc w:val="center"/>
        <w:rPr>
          <w:rFonts w:ascii="仿宋_GB2312" w:hAnsi="宋体" w:eastAsia="仿宋_GB2312"/>
          <w:b/>
          <w:color w:val="auto"/>
          <w:sz w:val="30"/>
          <w:szCs w:val="36"/>
          <w:highlight w:val="none"/>
        </w:rPr>
      </w:pPr>
      <w:bookmarkStart w:id="0" w:name="_Hlk47616320"/>
      <w:r>
        <w:rPr>
          <w:rFonts w:hint="eastAsia" w:ascii="仿宋_GB2312" w:hAnsi="宋体" w:eastAsia="仿宋_GB2312"/>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序号</w:t>
            </w:r>
          </w:p>
        </w:tc>
        <w:tc>
          <w:tcPr>
            <w:tcW w:w="8370" w:type="dxa"/>
            <w:gridSpan w:val="2"/>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p>
        </w:tc>
        <w:tc>
          <w:tcPr>
            <w:tcW w:w="8370" w:type="dxa"/>
            <w:gridSpan w:val="2"/>
            <w:vAlign w:val="center"/>
          </w:tcPr>
          <w:p>
            <w:pPr>
              <w:snapToGrid w:val="0"/>
              <w:spacing w:line="440" w:lineRule="exact"/>
              <w:rPr>
                <w:rFonts w:ascii="仿宋_GB2312" w:hAnsi="仿宋_GB2312" w:eastAsia="仿宋_GB2312" w:cs="仿宋_GB2312"/>
                <w:color w:val="auto"/>
                <w:sz w:val="24"/>
                <w:highlight w:val="none"/>
                <w:u w:val="single"/>
              </w:rPr>
            </w:pPr>
            <w:r>
              <w:rPr>
                <w:rFonts w:hint="eastAsia" w:ascii="仿宋_GB2312" w:hAnsi="仿宋_GB2312" w:eastAsia="仿宋_GB2312" w:cs="仿宋_GB2312"/>
                <w:b/>
                <w:color w:val="auto"/>
                <w:sz w:val="24"/>
                <w:highlight w:val="none"/>
              </w:rPr>
              <w:t>投标人按照项目要求特许资格、资信证明文件（如果有）：</w:t>
            </w:r>
          </w:p>
          <w:p>
            <w:pPr>
              <w:spacing w:line="440" w:lineRule="exact"/>
              <w:ind w:firstLine="480" w:firstLineChars="200"/>
              <w:rPr>
                <w:rFonts w:ascii="仿宋_GB2312" w:hAnsi="宋体" w:eastAsia="仿宋_GB2312"/>
                <w:b/>
                <w:color w:val="auto"/>
                <w:sz w:val="24"/>
                <w:highlight w:val="none"/>
              </w:rPr>
            </w:pPr>
            <w:r>
              <w:rPr>
                <w:rFonts w:hint="eastAsia" w:ascii="仿宋_GB2312" w:hAnsi="仿宋_GB2312" w:eastAsia="仿宋_GB2312" w:cs="仿宋_GB2312"/>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2</w:t>
            </w:r>
          </w:p>
        </w:tc>
        <w:tc>
          <w:tcPr>
            <w:tcW w:w="8370" w:type="dxa"/>
            <w:gridSpan w:val="2"/>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资格审查方式：</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1.资格后审。</w:t>
            </w:r>
          </w:p>
          <w:p>
            <w:pPr>
              <w:snapToGrid w:val="0"/>
              <w:spacing w:line="440" w:lineRule="exac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3</w:t>
            </w:r>
          </w:p>
        </w:tc>
        <w:tc>
          <w:tcPr>
            <w:tcW w:w="8370" w:type="dxa"/>
            <w:gridSpan w:val="2"/>
            <w:vAlign w:val="center"/>
          </w:tcPr>
          <w:p>
            <w:pPr>
              <w:autoSpaceDE w:val="0"/>
              <w:autoSpaceDN w:val="0"/>
              <w:spacing w:line="440" w:lineRule="exact"/>
              <w:textAlignment w:val="bottom"/>
              <w:rPr>
                <w:rFonts w:ascii="仿宋_GB2312" w:hAnsi="宋体" w:eastAsia="仿宋_GB2312"/>
                <w:color w:val="auto"/>
                <w:sz w:val="24"/>
                <w:highlight w:val="none"/>
              </w:rPr>
            </w:pPr>
            <w:r>
              <w:rPr>
                <w:rFonts w:hint="eastAsia" w:ascii="仿宋_GB2312" w:hAnsi="宋体" w:eastAsia="仿宋_GB2312"/>
                <w:b/>
                <w:color w:val="auto"/>
                <w:sz w:val="24"/>
                <w:highlight w:val="none"/>
              </w:rPr>
              <w:t>投标有效期：</w:t>
            </w:r>
            <w:r>
              <w:rPr>
                <w:rFonts w:hint="eastAsia" w:ascii="仿宋_GB2312" w:hAnsi="仿宋" w:eastAsia="仿宋_GB2312" w:cs="仿宋_GB2312"/>
                <w:color w:val="auto"/>
                <w:sz w:val="24"/>
                <w:highlight w:val="none"/>
              </w:rPr>
              <w:t>投标有效期为从提交投标文件的截止之日起90天。</w:t>
            </w:r>
            <w:r>
              <w:rPr>
                <w:rFonts w:hint="eastAsia" w:ascii="仿宋_GB2312" w:hAnsi="仿宋" w:eastAsia="仿宋_GB2312" w:cs="仿宋_GB2312"/>
                <w:b/>
                <w:color w:val="auto"/>
                <w:sz w:val="24"/>
                <w:highlight w:val="none"/>
              </w:rPr>
              <w:t>投标人的投标文件中承</w:t>
            </w:r>
            <w:r>
              <w:rPr>
                <w:rFonts w:hint="eastAsia" w:ascii="仿宋_GB2312" w:hAnsi="仿宋" w:eastAsia="仿宋_GB2312" w:cs="仿宋_GB2312"/>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4</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仿宋" w:eastAsia="仿宋_GB2312" w:cs="仿宋_GB2312"/>
                <w:b/>
                <w:color w:val="auto"/>
                <w:sz w:val="24"/>
                <w:highlight w:val="none"/>
              </w:rPr>
              <w:t>转包：</w:t>
            </w:r>
            <w:r>
              <w:rPr>
                <w:rFonts w:hint="eastAsia" w:ascii="仿宋_GB2312" w:hAnsi="仿宋" w:eastAsia="仿宋_GB2312" w:cs="仿宋_GB2312"/>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5</w:t>
            </w:r>
          </w:p>
        </w:tc>
        <w:tc>
          <w:tcPr>
            <w:tcW w:w="8370" w:type="dxa"/>
            <w:gridSpan w:val="2"/>
            <w:vAlign w:val="center"/>
          </w:tcPr>
          <w:p>
            <w:pPr>
              <w:spacing w:line="440" w:lineRule="exact"/>
              <w:rPr>
                <w:rFonts w:ascii="仿宋_GB2312" w:hAnsi="仿宋" w:eastAsia="仿宋_GB2312"/>
                <w:color w:val="auto"/>
                <w:sz w:val="24"/>
                <w:highlight w:val="none"/>
              </w:rPr>
            </w:pPr>
            <w:r>
              <w:rPr>
                <w:rFonts w:hint="eastAsia" w:ascii="仿宋_GB2312" w:hAnsi="仿宋" w:eastAsia="仿宋_GB2312" w:cs="仿宋_GB2312"/>
                <w:b/>
                <w:color w:val="auto"/>
                <w:sz w:val="24"/>
                <w:highlight w:val="none"/>
              </w:rPr>
              <w:t>分包：</w:t>
            </w:r>
            <w:r>
              <w:rPr>
                <w:rFonts w:ascii="MS Gothic" w:hAnsi="MS Gothic" w:eastAsia="MS Gothic"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同意将非主体、非关键性的</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工作分包。</w:t>
            </w:r>
          </w:p>
          <w:p>
            <w:pPr>
              <w:spacing w:line="440" w:lineRule="exact"/>
              <w:ind w:firstLine="720" w:firstLineChars="300"/>
              <w:rPr>
                <w:rFonts w:ascii="仿宋_GB2312" w:hAnsi="仿宋" w:eastAsia="仿宋_GB2312" w:cs="仿宋_GB2312"/>
                <w:b/>
                <w:color w:val="auto"/>
                <w:sz w:val="24"/>
                <w:highlight w:val="none"/>
              </w:rPr>
            </w:pPr>
            <w:r>
              <w:rPr>
                <w:rFonts w:ascii="仿宋_GB2312" w:hAnsi="仿宋" w:eastAsia="仿宋_GB2312" w:cs="Arial"/>
                <w:color w:val="auto"/>
                <w:kern w:val="0"/>
                <w:sz w:val="24"/>
                <w:highlight w:val="none"/>
              </w:rPr>
              <w:sym w:font="Wingdings" w:char="F0FE"/>
            </w:r>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6</w:t>
            </w:r>
          </w:p>
        </w:tc>
        <w:tc>
          <w:tcPr>
            <w:tcW w:w="8370" w:type="dxa"/>
            <w:gridSpan w:val="2"/>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b/>
                <w:color w:val="auto"/>
                <w:sz w:val="24"/>
                <w:highlight w:val="none"/>
              </w:rPr>
              <w:t>投标文件份数：</w:t>
            </w:r>
            <w:r>
              <w:rPr>
                <w:rFonts w:hint="eastAsia" w:ascii="仿宋_GB2312" w:hAnsi="宋体" w:eastAsia="仿宋_GB2312"/>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_GB2312"/>
                <w:b/>
                <w:color w:val="auto"/>
                <w:sz w:val="24"/>
                <w:highlight w:val="none"/>
              </w:rPr>
            </w:pPr>
            <w:r>
              <w:rPr>
                <w:rFonts w:hint="eastAsia" w:ascii="仿宋" w:hAnsi="仿宋" w:eastAsia="仿宋" w:cs="仿宋_GB2312"/>
                <w:b/>
                <w:color w:val="auto"/>
                <w:sz w:val="24"/>
                <w:highlight w:val="none"/>
              </w:rPr>
              <w:t>开标前答疑会或现场考察：</w:t>
            </w:r>
          </w:p>
          <w:p>
            <w:pPr>
              <w:spacing w:line="360" w:lineRule="auto"/>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7"/>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不组织。</w:t>
            </w:r>
          </w:p>
          <w:p>
            <w:pPr>
              <w:autoSpaceDE w:val="0"/>
              <w:autoSpaceDN w:val="0"/>
              <w:spacing w:line="440" w:lineRule="exact"/>
              <w:textAlignment w:val="bottom"/>
              <w:rPr>
                <w:rFonts w:ascii="仿宋_GB2312" w:hAnsi="宋体" w:eastAsia="仿宋_GB2312"/>
                <w:b/>
                <w:color w:val="auto"/>
                <w:sz w:val="24"/>
                <w:highlight w:val="none"/>
              </w:rPr>
            </w:pPr>
            <w:sdt>
              <w:sdtPr>
                <w:rPr>
                  <w:rFonts w:hint="eastAsia" w:ascii="仿宋_GB2312" w:hAnsi="仿宋" w:eastAsia="仿宋_GB2312" w:cs="Arial"/>
                  <w:color w:val="auto"/>
                  <w:kern w:val="0"/>
                  <w:sz w:val="24"/>
                  <w:highlight w:val="none"/>
                </w:rPr>
                <w:id w:val="78"/>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ascii="仿宋_GB2312" w:hAnsi="仿宋" w:eastAsia="仿宋_GB2312"/>
                <w:color w:val="auto"/>
                <w:kern w:val="0"/>
                <w:sz w:val="24"/>
                <w:highlight w:val="none"/>
              </w:rPr>
              <w:t>B组织，</w:t>
            </w:r>
            <w:r>
              <w:rPr>
                <w:rFonts w:hint="eastAsia" w:ascii="仿宋_GB2312" w:hAnsi="仿宋" w:eastAsia="仿宋_GB2312"/>
                <w:color w:val="auto"/>
                <w:sz w:val="24"/>
                <w:highlight w:val="none"/>
              </w:rPr>
              <w:t>时间：</w:t>
            </w:r>
            <w:r>
              <w:rPr>
                <w:rFonts w:ascii="仿宋_GB2312" w:hAnsi="仿宋" w:eastAsia="仿宋_GB2312"/>
                <w:color w:val="auto"/>
                <w:sz w:val="24"/>
                <w:highlight w:val="none"/>
                <w:u w:val="single"/>
              </w:rPr>
              <w:t xml:space="preserve">      </w:t>
            </w:r>
            <w:r>
              <w:rPr>
                <w:rFonts w:ascii="仿宋_GB2312" w:hAnsi="仿宋" w:eastAsia="仿宋_GB2312"/>
                <w:color w:val="auto"/>
                <w:sz w:val="24"/>
                <w:highlight w:val="none"/>
              </w:rPr>
              <w:t>,地点：</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，联系人：</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，联系方式：</w:t>
            </w:r>
            <w:r>
              <w:rPr>
                <w:rFonts w:ascii="仿宋_GB2312" w:hAnsi="仿宋" w:eastAsia="仿宋_GB2312"/>
                <w:color w:val="auto"/>
                <w:sz w:val="24"/>
                <w:highlight w:val="none"/>
                <w:u w:val="single"/>
              </w:rPr>
              <w:t xml:space="preserve">      </w:t>
            </w:r>
            <w:r>
              <w:rPr>
                <w:rFonts w:hint="eastAsia" w:ascii="仿宋_GB2312" w:hAnsi="仿宋" w:eastAsia="仿宋_GB2312"/>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8</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样品提供：</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7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253497085"/>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不要求提供。</w:t>
            </w:r>
          </w:p>
          <w:p>
            <w:pPr>
              <w:spacing w:line="440" w:lineRule="exact"/>
              <w:rPr>
                <w:rFonts w:ascii="仿宋_GB2312" w:hAnsi="仿宋" w:eastAsia="仿宋_GB2312"/>
                <w:color w:val="auto"/>
                <w:kern w:val="0"/>
                <w:sz w:val="24"/>
                <w:highlight w:val="none"/>
              </w:rPr>
            </w:pPr>
            <w:sdt>
              <w:sdtPr>
                <w:rPr>
                  <w:rFonts w:hint="eastAsia" w:ascii="仿宋_GB2312" w:hAnsi="仿宋" w:eastAsia="仿宋_GB2312" w:cs="Arial"/>
                  <w:color w:val="auto"/>
                  <w:kern w:val="0"/>
                  <w:sz w:val="24"/>
                  <w:highlight w:val="none"/>
                </w:rPr>
                <w:id w:val="102683198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olor w:val="auto"/>
                <w:kern w:val="0"/>
                <w:sz w:val="24"/>
                <w:highlight w:val="none"/>
              </w:rPr>
              <w:t>B要求提供，</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（1）</w:t>
            </w:r>
            <w:r>
              <w:rPr>
                <w:rFonts w:hint="eastAsia" w:ascii="仿宋_GB2312" w:hAnsi="仿宋" w:eastAsia="仿宋_GB2312"/>
                <w:snapToGrid w:val="0"/>
                <w:color w:val="auto"/>
                <w:kern w:val="28"/>
                <w:sz w:val="24"/>
                <w:highlight w:val="none"/>
              </w:rPr>
              <w:t>样品：</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（2）</w:t>
            </w:r>
            <w:r>
              <w:rPr>
                <w:rFonts w:hint="eastAsia" w:ascii="仿宋_GB2312" w:hAnsi="仿宋" w:eastAsia="仿宋_GB2312"/>
                <w:snapToGrid w:val="0"/>
                <w:color w:val="auto"/>
                <w:kern w:val="28"/>
                <w:sz w:val="24"/>
                <w:highlight w:val="none"/>
              </w:rPr>
              <w:t>样品制作的标准和要求：</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（3）样品的评审方法以及评审标准</w:t>
            </w:r>
            <w:r>
              <w:rPr>
                <w:rFonts w:hint="eastAsia" w:ascii="仿宋_GB2312" w:hAnsi="仿宋" w:eastAsia="仿宋_GB2312"/>
                <w:snapToGrid w:val="0"/>
                <w:color w:val="auto"/>
                <w:kern w:val="28"/>
                <w:sz w:val="24"/>
                <w:highlight w:val="none"/>
              </w:rPr>
              <w:t>：详见</w:t>
            </w:r>
            <w:r>
              <w:rPr>
                <w:rFonts w:hint="eastAsia" w:ascii="仿宋_GB2312" w:hAnsi="仿宋" w:eastAsia="仿宋_GB2312"/>
                <w:snapToGrid w:val="0"/>
                <w:color w:val="auto"/>
                <w:kern w:val="28"/>
                <w:sz w:val="24"/>
                <w:highlight w:val="none"/>
                <w:u w:val="single"/>
              </w:rPr>
              <w:t xml:space="preserve">   </w:t>
            </w:r>
            <w:r>
              <w:rPr>
                <w:rFonts w:hint="eastAsia" w:ascii="仿宋_GB2312" w:hAnsi="仿宋" w:eastAsia="仿宋_GB2312"/>
                <w:color w:val="auto"/>
                <w:sz w:val="24"/>
                <w:highlight w:val="none"/>
                <w:u w:val="single"/>
              </w:rPr>
              <w:t xml:space="preserve">评标办法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kern w:val="0"/>
                <w:sz w:val="24"/>
                <w:highlight w:val="none"/>
              </w:rPr>
            </w:pPr>
            <w:r>
              <w:rPr>
                <w:rFonts w:hint="eastAsia" w:ascii="仿宋_GB2312" w:hAnsi="仿宋" w:eastAsia="仿宋_GB2312"/>
                <w:color w:val="auto"/>
                <w:kern w:val="0"/>
                <w:sz w:val="24"/>
                <w:highlight w:val="none"/>
              </w:rPr>
              <w:t>（4）是否需要随样品提交检测报告：</w:t>
            </w:r>
            <w:sdt>
              <w:sdtPr>
                <w:rPr>
                  <w:rFonts w:hint="eastAsia" w:ascii="仿宋_GB2312" w:hAnsi="仿宋" w:eastAsia="仿宋_GB2312" w:cs="Arial"/>
                  <w:color w:val="auto"/>
                  <w:kern w:val="0"/>
                  <w:sz w:val="24"/>
                  <w:highlight w:val="none"/>
                </w:rPr>
                <w:id w:val="1303421454"/>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r>
              <w:rPr>
                <w:rFonts w:hint="eastAsia" w:ascii="仿宋_GB2312" w:hAnsi="仿宋" w:eastAsia="仿宋_GB2312" w:cs="Arial"/>
                <w:color w:val="auto"/>
                <w:kern w:val="0"/>
                <w:sz w:val="24"/>
                <w:highlight w:val="none"/>
              </w:rPr>
              <w:t>否</w:t>
            </w:r>
            <w:r>
              <w:rPr>
                <w:rFonts w:hint="eastAsia" w:ascii="仿宋_GB2312" w:hAnsi="仿宋" w:eastAsia="仿宋_GB2312"/>
                <w:color w:val="auto"/>
                <w:kern w:val="0"/>
                <w:sz w:val="24"/>
                <w:highlight w:val="none"/>
              </w:rPr>
              <w:t>；</w:t>
            </w:r>
            <w:sdt>
              <w:sdtPr>
                <w:rPr>
                  <w:rFonts w:hint="eastAsia" w:ascii="仿宋_GB2312" w:hAnsi="仿宋" w:eastAsia="仿宋_GB2312" w:cs="Arial"/>
                  <w:color w:val="auto"/>
                  <w:kern w:val="0"/>
                  <w:sz w:val="24"/>
                  <w:highlight w:val="none"/>
                </w:rPr>
                <w:id w:val="1621728433"/>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414742328"/>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t>□</w:t>
                    </w:r>
                  </w:sdtContent>
                </w:sdt>
              </w:sdtContent>
            </w:sdt>
            <w:r>
              <w:rPr>
                <w:rFonts w:hint="eastAsia" w:ascii="仿宋_GB2312" w:hAnsi="仿宋" w:eastAsia="仿宋_GB2312"/>
                <w:color w:val="auto"/>
                <w:kern w:val="0"/>
                <w:sz w:val="24"/>
                <w:highlight w:val="none"/>
              </w:rPr>
              <w:t>是，检测机构的要求</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；检测内容</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（5）提供样品的时间：</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；地点：</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kern w:val="0"/>
                <w:sz w:val="24"/>
                <w:highlight w:val="none"/>
              </w:rPr>
              <w:t>；联系人</w:t>
            </w:r>
            <w:r>
              <w:rPr>
                <w:rFonts w:hint="eastAsia" w:ascii="仿宋_GB2312" w:hAnsi="仿宋" w:eastAsia="仿宋_GB2312"/>
                <w:color w:val="auto"/>
                <w:sz w:val="24"/>
                <w:highlight w:val="none"/>
              </w:rPr>
              <w:t>：</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r>
              <w:rPr>
                <w:rFonts w:hint="eastAsia" w:ascii="仿宋_GB2312" w:hAnsi="仿宋" w:eastAsia="仿宋_GB2312"/>
                <w:color w:val="auto"/>
                <w:kern w:val="28"/>
                <w:sz w:val="24"/>
                <w:highlight w:val="none"/>
              </w:rPr>
              <w:t>联系电话：</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color w:val="auto"/>
                <w:sz w:val="24"/>
                <w:highlight w:val="none"/>
              </w:rPr>
            </w:pPr>
            <w:r>
              <w:rPr>
                <w:rFonts w:hint="eastAsia" w:ascii="仿宋_GB2312" w:hAnsi="仿宋" w:eastAsia="仿宋_GB2312"/>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_GB2312" w:hAnsi="仿宋" w:eastAsia="仿宋_GB2312"/>
                <w:color w:val="auto"/>
                <w:sz w:val="24"/>
                <w:highlight w:val="none"/>
              </w:rPr>
            </w:pPr>
            <w:sdt>
              <w:sdtPr>
                <w:rPr>
                  <w:rFonts w:hint="eastAsia" w:ascii="仿宋_GB2312" w:hAnsi="仿宋" w:eastAsia="仿宋_GB2312" w:cs="Arial"/>
                  <w:color w:val="auto"/>
                  <w:kern w:val="0"/>
                  <w:sz w:val="24"/>
                  <w:highlight w:val="none"/>
                </w:rPr>
                <w:id w:val="80173153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86"/>
                  </w:sdtPr>
                  <w:sdtEndPr>
                    <w:rPr>
                      <w:rFonts w:hint="eastAsia" w:ascii="仿宋_GB2312" w:hAnsi="仿宋" w:eastAsia="仿宋_GB2312" w:cs="Arial"/>
                      <w:color w:val="auto"/>
                      <w:kern w:val="0"/>
                      <w:sz w:val="24"/>
                      <w:highlight w:val="none"/>
                    </w:rPr>
                  </w:sdtEndPr>
                  <w:sdtContent>
                    <w:r>
                      <w:rPr>
                        <w:rFonts w:hint="eastAsia" w:ascii="仿宋_GB2312" w:hAnsi="MS Gothic" w:eastAsia="仿宋_GB2312" w:cs="Arial"/>
                        <w:color w:val="auto"/>
                        <w:kern w:val="0"/>
                        <w:sz w:val="24"/>
                        <w:highlight w:val="none"/>
                      </w:rPr>
                      <w:sym w:font="Wingdings" w:char="F0FE"/>
                    </w:r>
                  </w:sdtContent>
                </w:sdt>
              </w:sdtContent>
            </w:sdt>
            <w:r>
              <w:rPr>
                <w:rFonts w:hint="eastAsia" w:ascii="仿宋_GB2312" w:hAnsi="仿宋" w:eastAsia="仿宋_GB2312" w:cs="Arial"/>
                <w:color w:val="auto"/>
                <w:kern w:val="0"/>
                <w:sz w:val="24"/>
                <w:highlight w:val="none"/>
              </w:rPr>
              <w:t>A</w:t>
            </w:r>
            <w:r>
              <w:rPr>
                <w:rFonts w:hint="eastAsia" w:ascii="仿宋_GB2312" w:hAnsi="仿宋" w:eastAsia="仿宋_GB2312"/>
                <w:color w:val="auto"/>
                <w:sz w:val="24"/>
                <w:highlight w:val="none"/>
              </w:rPr>
              <w:t>无方案讲解演示。</w:t>
            </w:r>
          </w:p>
          <w:p>
            <w:pPr>
              <w:spacing w:line="440" w:lineRule="exact"/>
              <w:rPr>
                <w:rFonts w:ascii="仿宋_GB2312" w:hAnsi="宋体" w:eastAsia="仿宋_GB2312"/>
                <w:b/>
                <w:color w:val="auto"/>
                <w:sz w:val="24"/>
                <w:highlight w:val="none"/>
              </w:rPr>
            </w:pPr>
            <w:r>
              <w:rPr>
                <w:rFonts w:hint="eastAsia" w:ascii="仿宋_GB2312" w:hAnsi="MS Gothic" w:eastAsia="仿宋_GB2312" w:cs="Arial"/>
                <w:color w:val="auto"/>
                <w:kern w:val="0"/>
                <w:sz w:val="24"/>
                <w:highlight w:val="none"/>
              </w:rPr>
              <w:t>□</w:t>
            </w:r>
            <w:r>
              <w:rPr>
                <w:rFonts w:hint="eastAsia" w:ascii="仿宋_GB2312" w:hAnsi="仿宋" w:eastAsia="仿宋_GB2312"/>
                <w:color w:val="auto"/>
                <w:kern w:val="0"/>
                <w:sz w:val="24"/>
                <w:highlight w:val="none"/>
              </w:rPr>
              <w:t>B有方案讲解演示：</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（1）在评标时安排每个供应商进行方案讲解演示。每个供应商时间不超过</w:t>
            </w:r>
            <w:r>
              <w:rPr>
                <w:rFonts w:hint="eastAsia" w:ascii="仿宋_GB2312" w:hAnsi="仿宋" w:eastAsia="仿宋_GB2312" w:cs="仿宋"/>
                <w:color w:val="auto"/>
                <w:sz w:val="24"/>
                <w:highlight w:val="none"/>
                <w:u w:val="single"/>
                <w:lang w:val="zh-CN"/>
              </w:rPr>
              <w:t>15</w:t>
            </w:r>
            <w:r>
              <w:rPr>
                <w:rFonts w:hint="eastAsia" w:ascii="仿宋_GB2312" w:hAnsi="仿宋" w:eastAsia="仿宋_GB2312" w:cs="仿宋"/>
                <w:color w:val="auto"/>
                <w:sz w:val="24"/>
                <w:highlight w:val="none"/>
                <w:lang w:val="zh-CN"/>
              </w:rPr>
              <w:t>分钟，讲解次序以投标文件解密时间先后次序为准。讲解演示结束后按要求解答评标委员会提问。</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（2）方案讲解演示可选择以下其中一种方式：</w:t>
            </w:r>
          </w:p>
          <w:p>
            <w:pPr>
              <w:spacing w:line="440" w:lineRule="exact"/>
              <w:rPr>
                <w:rFonts w:ascii="仿宋_GB2312" w:hAnsi="仿宋" w:eastAsia="仿宋_GB2312" w:cs="仿宋"/>
                <w:color w:val="auto"/>
                <w:sz w:val="24"/>
                <w:highlight w:val="none"/>
                <w:lang w:val="zh-CN"/>
              </w:rPr>
            </w:pPr>
            <w:sdt>
              <w:sdtPr>
                <w:rPr>
                  <w:rFonts w:hint="eastAsia" w:ascii="仿宋_GB2312" w:hAnsi="仿宋" w:eastAsia="仿宋_GB2312" w:cs="Arial"/>
                  <w:color w:val="auto"/>
                  <w:kern w:val="0"/>
                  <w:sz w:val="24"/>
                  <w:highlight w:val="none"/>
                </w:rPr>
                <w:id w:val="91445939"/>
              </w:sdtPr>
              <w:sdtEndPr>
                <w:rPr>
                  <w:rFonts w:hint="eastAsia" w:ascii="仿宋_GB2312" w:hAnsi="仿宋" w:eastAsia="仿宋_GB2312" w:cs="Arial"/>
                  <w:color w:val="auto"/>
                  <w:kern w:val="0"/>
                  <w:sz w:val="24"/>
                  <w:highlight w:val="none"/>
                </w:rPr>
              </w:sdtEndPr>
              <w:sdtContent>
                <w:r>
                  <w:rPr>
                    <w:rFonts w:hint="eastAsia" w:ascii="仿宋_GB2312" w:hAnsi="仿宋" w:eastAsia="仿宋_GB2312" w:cs="仿宋"/>
                    <w:color w:val="auto"/>
                    <w:sz w:val="24"/>
                    <w:highlight w:val="none"/>
                  </w:rPr>
                  <w:t>□</w:t>
                </w:r>
              </w:sdtContent>
            </w:sdt>
            <w:r>
              <w:rPr>
                <w:rFonts w:hint="eastAsia" w:ascii="仿宋_GB2312" w:hAnsi="仿宋" w:eastAsia="仿宋_GB2312"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lang w:val="zh-CN"/>
              </w:rPr>
              <w:t>方式二：现场讲解演示。现场讲解地点为</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w:t>
            </w:r>
            <w:r>
              <w:rPr>
                <w:rFonts w:hint="eastAsia" w:ascii="仿宋_GB2312" w:hAnsi="仿宋" w:eastAsia="仿宋_GB2312" w:cs="仿宋"/>
                <w:color w:val="auto"/>
                <w:kern w:val="0"/>
                <w:sz w:val="24"/>
                <w:highlight w:val="none"/>
                <w:lang w:val="zh-CN"/>
              </w:rPr>
              <w:t>讲解演示人员不超过</w:t>
            </w:r>
            <w:r>
              <w:rPr>
                <w:rFonts w:hint="eastAsia" w:ascii="仿宋_GB2312" w:hAnsi="仿宋" w:eastAsia="仿宋_GB2312" w:cs="仿宋"/>
                <w:color w:val="auto"/>
                <w:kern w:val="0"/>
                <w:sz w:val="24"/>
                <w:highlight w:val="none"/>
                <w:u w:val="single"/>
              </w:rPr>
              <w:t xml:space="preserve"> 3 </w:t>
            </w:r>
            <w:r>
              <w:rPr>
                <w:rFonts w:hint="eastAsia" w:ascii="仿宋_GB2312" w:hAnsi="仿宋" w:eastAsia="仿宋_GB2312" w:cs="仿宋"/>
                <w:color w:val="auto"/>
                <w:kern w:val="0"/>
                <w:sz w:val="24"/>
                <w:highlight w:val="none"/>
                <w:lang w:val="zh-CN"/>
              </w:rPr>
              <w:t>人。</w:t>
            </w:r>
            <w:r>
              <w:rPr>
                <w:rFonts w:hint="eastAsia" w:ascii="仿宋_GB2312" w:hAnsi="仿宋" w:eastAsia="仿宋_GB2312"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_GB2312" w:hAnsi="宋体" w:eastAsia="仿宋_GB2312"/>
                <w:b/>
                <w:color w:val="auto"/>
                <w:sz w:val="24"/>
                <w:highlight w:val="none"/>
              </w:rPr>
            </w:pPr>
            <w:r>
              <w:rPr>
                <w:rFonts w:hint="eastAsia" w:ascii="仿宋_GB2312" w:hAnsi="仿宋" w:eastAsia="仿宋_GB2312"/>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10</w:t>
            </w:r>
          </w:p>
        </w:tc>
        <w:tc>
          <w:tcPr>
            <w:tcW w:w="855" w:type="dxa"/>
            <w:vAlign w:val="center"/>
          </w:tcPr>
          <w:p>
            <w:pPr>
              <w:snapToGrid w:val="0"/>
              <w:spacing w:line="440" w:lineRule="exact"/>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进口产品</w:t>
            </w:r>
          </w:p>
        </w:tc>
        <w:tc>
          <w:tcPr>
            <w:tcW w:w="7515" w:type="dxa"/>
            <w:vAlign w:val="center"/>
          </w:tcPr>
          <w:p>
            <w:pPr>
              <w:spacing w:line="360" w:lineRule="auto"/>
              <w:rPr>
                <w:rFonts w:ascii="仿宋_GB2312" w:hAnsi="仿宋" w:eastAsia="仿宋_GB2312" w:cs="Arial"/>
                <w:color w:val="auto"/>
                <w:kern w:val="0"/>
                <w:sz w:val="24"/>
                <w:highlight w:val="none"/>
              </w:rPr>
            </w:pPr>
            <w:sdt>
              <w:sdtPr>
                <w:rPr>
                  <w:rFonts w:hint="eastAsia" w:ascii="仿宋_GB2312" w:hAnsi="仿宋" w:eastAsia="仿宋_GB2312" w:cs="Arial"/>
                  <w:color w:val="auto"/>
                  <w:kern w:val="0"/>
                  <w:sz w:val="24"/>
                  <w:highlight w:val="none"/>
                </w:rPr>
                <w:id w:val="88"/>
              </w:sdtPr>
              <w:sdtEndPr>
                <w:rPr>
                  <w:rFonts w:hint="eastAsia" w:ascii="仿宋_GB2312" w:hAnsi="仿宋" w:eastAsia="仿宋_GB2312" w:cs="Arial"/>
                  <w:color w:val="auto"/>
                  <w:kern w:val="0"/>
                  <w:sz w:val="24"/>
                  <w:highlight w:val="none"/>
                </w:rPr>
              </w:sdtEndPr>
              <w:sdtContent>
                <w:r>
                  <w:rPr>
                    <w:rFonts w:ascii="仿宋_GB2312" w:hAnsi="仿宋" w:eastAsia="仿宋_GB2312" w:cs="Arial"/>
                    <w:color w:val="auto"/>
                    <w:kern w:val="0"/>
                    <w:sz w:val="24"/>
                    <w:highlight w:val="none"/>
                  </w:rPr>
                  <w:sym w:font="Wingdings" w:char="F0FE"/>
                </w:r>
              </w:sdtContent>
            </w:sdt>
            <w:r>
              <w:rPr>
                <w:rFonts w:hint="eastAsia" w:ascii="仿宋_GB2312" w:hAnsi="仿宋" w:eastAsia="仿宋_GB2312" w:cs="Arial"/>
                <w:color w:val="auto"/>
                <w:kern w:val="0"/>
                <w:sz w:val="24"/>
                <w:highlight w:val="none"/>
              </w:rPr>
              <w:t>本项目不允许采购进口产品。</w:t>
            </w:r>
          </w:p>
          <w:p>
            <w:pPr>
              <w:snapToGrid w:val="0"/>
              <w:spacing w:line="440" w:lineRule="exact"/>
              <w:rPr>
                <w:rFonts w:ascii="仿宋_GB2312" w:hAnsi="仿宋_GB2312" w:eastAsia="仿宋_GB2312" w:cs="仿宋_GB2312"/>
                <w:b/>
                <w:color w:val="auto"/>
                <w:sz w:val="24"/>
                <w:highlight w:val="none"/>
              </w:rPr>
            </w:pPr>
            <w:sdt>
              <w:sdtPr>
                <w:rPr>
                  <w:rFonts w:hint="eastAsia" w:ascii="仿宋_GB2312" w:hAnsi="仿宋" w:eastAsia="仿宋_GB2312" w:cs="Arial"/>
                  <w:color w:val="auto"/>
                  <w:kern w:val="0"/>
                  <w:sz w:val="24"/>
                  <w:highlight w:val="none"/>
                </w:rPr>
                <w:id w:val="89"/>
              </w:sdtPr>
              <w:sdtEndPr>
                <w:rPr>
                  <w:rFonts w:hint="eastAsia" w:ascii="仿宋_GB2312" w:hAnsi="仿宋" w:eastAsia="仿宋_GB2312" w:cs="Arial"/>
                  <w:color w:val="auto"/>
                  <w:kern w:val="0"/>
                  <w:sz w:val="24"/>
                  <w:highlight w:val="none"/>
                </w:rPr>
              </w:sdtEndPr>
              <w:sdtContent>
                <w:r>
                  <w:rPr>
                    <w:rFonts w:ascii="MS Gothic" w:hAnsi="MS Gothic" w:eastAsia="MS Gothic" w:cs="Arial"/>
                    <w:color w:val="auto"/>
                    <w:kern w:val="0"/>
                    <w:sz w:val="24"/>
                    <w:highlight w:val="none"/>
                  </w:rPr>
                  <w:t>☐</w:t>
                </w:r>
              </w:sdtContent>
            </w:sdt>
            <w:r>
              <w:rPr>
                <w:rFonts w:hint="eastAsia" w:ascii="仿宋_GB2312" w:hAnsi="仿宋" w:eastAsia="仿宋_GB2312" w:cs="Arial"/>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11</w:t>
            </w:r>
          </w:p>
        </w:tc>
        <w:tc>
          <w:tcPr>
            <w:tcW w:w="855" w:type="dxa"/>
            <w:vAlign w:val="center"/>
          </w:tcPr>
          <w:p>
            <w:pPr>
              <w:snapToGrid w:val="0"/>
              <w:ind w:left="-3" w:leftChars="-8" w:right="-50" w:rightChars="-24" w:hanging="14" w:hangingChars="7"/>
              <w:rPr>
                <w:rFonts w:ascii="仿宋_GB2312" w:hAnsi="仿宋_GB2312" w:eastAsia="仿宋_GB2312" w:cs="仿宋_GB2312"/>
                <w:b/>
                <w:color w:val="auto"/>
                <w:spacing w:val="-20"/>
                <w:sz w:val="24"/>
                <w:highlight w:val="none"/>
              </w:rPr>
            </w:pPr>
            <w:r>
              <w:rPr>
                <w:rFonts w:hint="eastAsia" w:ascii="仿宋_GB2312" w:hAnsi="仿宋_GB2312" w:eastAsia="仿宋_GB2312" w:cs="仿宋_GB2312"/>
                <w:b/>
                <w:color w:val="auto"/>
                <w:spacing w:val="-20"/>
                <w:sz w:val="24"/>
                <w:highlight w:val="none"/>
              </w:rPr>
              <w:t>项目属性与核心产品</w:t>
            </w:r>
          </w:p>
        </w:tc>
        <w:tc>
          <w:tcPr>
            <w:tcW w:w="7515" w:type="dxa"/>
            <w:vAlign w:val="center"/>
          </w:tcPr>
          <w:p>
            <w:pPr>
              <w:spacing w:line="360" w:lineRule="auto"/>
              <w:rPr>
                <w:rFonts w:ascii="仿宋_GB2312" w:hAnsi="仿宋" w:eastAsia="仿宋_GB2312"/>
                <w:color w:val="auto"/>
                <w:sz w:val="24"/>
                <w:highlight w:val="none"/>
              </w:rPr>
            </w:pPr>
            <w:r>
              <w:rPr>
                <w:rFonts w:ascii="MS Gothic" w:hAnsi="MS Gothic" w:eastAsia="仿宋_GB2312" w:cs="Arial"/>
                <w:color w:val="auto"/>
                <w:kern w:val="0"/>
                <w:sz w:val="24"/>
                <w:highlight w:val="none"/>
              </w:rPr>
              <w:t>☐</w:t>
            </w:r>
            <w:r>
              <w:rPr>
                <w:rFonts w:ascii="仿宋_GB2312" w:hAnsi="仿宋" w:eastAsia="仿宋_GB2312" w:cs="Arial"/>
                <w:color w:val="auto"/>
                <w:kern w:val="0"/>
                <w:sz w:val="24"/>
                <w:highlight w:val="none"/>
              </w:rPr>
              <w:t>A</w:t>
            </w:r>
            <w:r>
              <w:rPr>
                <w:rFonts w:hint="eastAsia" w:ascii="仿宋_GB2312" w:hAnsi="仿宋" w:eastAsia="仿宋_GB2312"/>
                <w:color w:val="auto"/>
                <w:sz w:val="24"/>
                <w:highlight w:val="none"/>
              </w:rPr>
              <w:t>货物类，单一产品或</w:t>
            </w:r>
            <w:r>
              <w:rPr>
                <w:rFonts w:hint="eastAsia" w:ascii="仿宋_GB2312" w:hAnsi="仿宋" w:eastAsia="仿宋_GB2312"/>
                <w:color w:val="auto"/>
                <w:kern w:val="0"/>
                <w:sz w:val="24"/>
                <w:highlight w:val="none"/>
              </w:rPr>
              <w:t>核心产品为：</w:t>
            </w:r>
            <w:r>
              <w:rPr>
                <w:rFonts w:hint="eastAsia" w:ascii="仿宋_GB2312" w:hAnsi="仿宋" w:eastAsia="仿宋_GB2312"/>
                <w:color w:val="auto"/>
                <w:sz w:val="24"/>
                <w:highlight w:val="none"/>
                <w:u w:val="single"/>
              </w:rPr>
              <w:t xml:space="preserve">    </w:t>
            </w:r>
            <w:r>
              <w:rPr>
                <w:rFonts w:hint="eastAsia" w:ascii="仿宋_GB2312" w:hAnsi="仿宋" w:eastAsia="仿宋_GB2312"/>
                <w:color w:val="auto"/>
                <w:sz w:val="24"/>
                <w:highlight w:val="none"/>
              </w:rPr>
              <w:t>。</w:t>
            </w:r>
          </w:p>
          <w:p>
            <w:pPr>
              <w:snapToGrid w:val="0"/>
              <w:spacing w:line="440" w:lineRule="exact"/>
              <w:rPr>
                <w:rFonts w:ascii="仿宋_GB2312" w:hAnsi="仿宋_GB2312" w:eastAsia="仿宋_GB2312" w:cs="仿宋_GB2312"/>
                <w:color w:val="auto"/>
                <w:sz w:val="24"/>
                <w:highlight w:val="none"/>
              </w:rPr>
            </w:pPr>
            <w:sdt>
              <w:sdtPr>
                <w:rPr>
                  <w:rFonts w:hint="eastAsia" w:ascii="仿宋_GB2312" w:hAnsi="仿宋" w:eastAsia="仿宋_GB2312" w:cs="Arial"/>
                  <w:color w:val="auto"/>
                  <w:kern w:val="0"/>
                  <w:sz w:val="24"/>
                  <w:highlight w:val="none"/>
                </w:rPr>
                <w:id w:val="474885559"/>
              </w:sdtPr>
              <w:sdtEndPr>
                <w:rPr>
                  <w:rFonts w:hint="eastAsia" w:ascii="仿宋_GB2312" w:hAnsi="仿宋" w:eastAsia="仿宋_GB2312" w:cs="Arial"/>
                  <w:color w:val="auto"/>
                  <w:kern w:val="0"/>
                  <w:sz w:val="24"/>
                  <w:highlight w:val="none"/>
                </w:rPr>
              </w:sdtEndPr>
              <w:sdtContent>
                <w:sdt>
                  <w:sdtPr>
                    <w:rPr>
                      <w:rFonts w:hint="eastAsia" w:ascii="仿宋_GB2312" w:hAnsi="仿宋" w:eastAsia="仿宋_GB2312" w:cs="Arial"/>
                      <w:color w:val="auto"/>
                      <w:kern w:val="0"/>
                      <w:sz w:val="24"/>
                      <w:highlight w:val="none"/>
                    </w:rPr>
                    <w:id w:val="118727868"/>
                  </w:sdtPr>
                  <w:sdtEndPr>
                    <w:rPr>
                      <w:rFonts w:hint="eastAsia" w:ascii="仿宋_GB2312" w:hAnsi="仿宋" w:eastAsia="仿宋_GB2312" w:cs="Arial"/>
                      <w:color w:val="auto"/>
                      <w:kern w:val="0"/>
                      <w:sz w:val="24"/>
                      <w:highlight w:val="none"/>
                    </w:rPr>
                  </w:sdtEndPr>
                  <w:sdtContent>
                    <w:r>
                      <w:rPr>
                        <w:rFonts w:ascii="Wingdings" w:hAnsi="Wingdings" w:eastAsia="仿宋_GB2312" w:cs="Arial"/>
                        <w:color w:val="auto"/>
                        <w:kern w:val="0"/>
                        <w:sz w:val="24"/>
                        <w:highlight w:val="none"/>
                      </w:rPr>
                      <w:t></w:t>
                    </w:r>
                  </w:sdtContent>
                </w:sdt>
              </w:sdtContent>
            </w:sdt>
            <w:r>
              <w:rPr>
                <w:rFonts w:ascii="仿宋_GB2312" w:hAnsi="仿宋" w:eastAsia="仿宋_GB2312" w:cs="Arial"/>
                <w:color w:val="auto"/>
                <w:kern w:val="0"/>
                <w:sz w:val="24"/>
                <w:highlight w:val="none"/>
              </w:rPr>
              <w:t>B</w:t>
            </w:r>
            <w:r>
              <w:rPr>
                <w:rFonts w:hint="eastAsia" w:ascii="仿宋_GB2312" w:hAnsi="仿宋" w:eastAsia="仿宋_GB2312"/>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12</w:t>
            </w:r>
          </w:p>
        </w:tc>
        <w:tc>
          <w:tcPr>
            <w:tcW w:w="855" w:type="dxa"/>
            <w:vAlign w:val="center"/>
          </w:tcPr>
          <w:p>
            <w:pPr>
              <w:snapToGrid w:val="0"/>
              <w:ind w:left="-18" w:leftChars="-9" w:right="-50" w:rightChars="-24" w:hanging="1"/>
              <w:jc w:val="center"/>
              <w:rPr>
                <w:rFonts w:ascii="仿宋_GB2312" w:hAnsi="仿宋" w:eastAsia="仿宋_GB2312" w:cs="仿宋_GB2312"/>
                <w:b/>
                <w:color w:val="auto"/>
                <w:spacing w:val="-20"/>
                <w:sz w:val="24"/>
                <w:highlight w:val="none"/>
              </w:rPr>
            </w:pPr>
            <w:r>
              <w:rPr>
                <w:rFonts w:hint="eastAsia" w:ascii="仿宋_GB2312" w:hAnsi="仿宋" w:eastAsia="仿宋_GB2312" w:cs="仿宋_GB2312"/>
                <w:b/>
                <w:color w:val="auto"/>
                <w:spacing w:val="-20"/>
                <w:sz w:val="24"/>
                <w:highlight w:val="none"/>
              </w:rPr>
              <w:t>采购标的对应的中小企业划分标准所属行业</w:t>
            </w:r>
          </w:p>
        </w:tc>
        <w:tc>
          <w:tcPr>
            <w:tcW w:w="7515" w:type="dxa"/>
            <w:vAlign w:val="center"/>
          </w:tcPr>
          <w:p>
            <w:pPr>
              <w:snapToGrid w:val="0"/>
              <w:spacing w:line="360" w:lineRule="auto"/>
              <w:rPr>
                <w:color w:val="auto"/>
                <w:highlight w:val="none"/>
              </w:rPr>
            </w:pPr>
            <w:r>
              <w:rPr>
                <w:rFonts w:hint="eastAsia" w:ascii="仿宋_GB2312" w:hAnsi="仿宋" w:eastAsia="仿宋_GB2312" w:cs="Arial"/>
                <w:color w:val="auto"/>
                <w:kern w:val="0"/>
                <w:sz w:val="24"/>
                <w:highlight w:val="none"/>
              </w:rPr>
              <w:t>（</w:t>
            </w:r>
            <w:r>
              <w:rPr>
                <w:rFonts w:ascii="仿宋_GB2312" w:hAnsi="仿宋" w:eastAsia="仿宋_GB2312" w:cs="Arial"/>
                <w:color w:val="auto"/>
                <w:kern w:val="0"/>
                <w:sz w:val="24"/>
                <w:highlight w:val="none"/>
              </w:rPr>
              <w:t>1</w:t>
            </w:r>
            <w:r>
              <w:rPr>
                <w:rFonts w:hint="eastAsia" w:ascii="仿宋_GB2312" w:hAnsi="仿宋" w:eastAsia="仿宋_GB2312" w:cs="Arial"/>
                <w:color w:val="auto"/>
                <w:kern w:val="0"/>
                <w:sz w:val="24"/>
                <w:highlight w:val="none"/>
              </w:rPr>
              <w:t>）标的：</w:t>
            </w:r>
            <w:r>
              <w:rPr>
                <w:rFonts w:hint="eastAsia" w:ascii="仿宋_GB2312" w:hAnsi="仿宋" w:eastAsia="仿宋_GB2312" w:cs="Arial"/>
                <w:color w:val="auto"/>
                <w:kern w:val="0"/>
                <w:sz w:val="24"/>
                <w:highlight w:val="none"/>
                <w:u w:val="single"/>
              </w:rPr>
              <w:t xml:space="preserve"> 01标 </w:t>
            </w:r>
            <w:r>
              <w:rPr>
                <w:rFonts w:hint="eastAsia" w:ascii="仿宋_GB2312" w:hAnsi="仿宋" w:eastAsia="仿宋_GB2312" w:cs="Arial"/>
                <w:color w:val="auto"/>
                <w:kern w:val="0"/>
                <w:sz w:val="24"/>
                <w:highlight w:val="none"/>
              </w:rPr>
              <w:t>，属于</w:t>
            </w:r>
            <w:r>
              <w:rPr>
                <w:rFonts w:hint="eastAsia" w:ascii="仿宋_GB2312" w:hAnsi="仿宋" w:eastAsia="仿宋_GB2312" w:cs="Arial"/>
                <w:color w:val="auto"/>
                <w:kern w:val="0"/>
                <w:sz w:val="24"/>
                <w:highlight w:val="none"/>
                <w:u w:val="single"/>
              </w:rPr>
              <w:t xml:space="preserve">   物业管理   </w:t>
            </w:r>
            <w:r>
              <w:rPr>
                <w:rFonts w:hint="eastAsia" w:ascii="仿宋_GB2312" w:hAnsi="仿宋" w:eastAsia="仿宋_GB2312" w:cs="Arial"/>
                <w:color w:val="auto"/>
                <w:kern w:val="0"/>
                <w:sz w:val="24"/>
                <w:highlight w:val="none"/>
              </w:rPr>
              <w:t>行业；</w:t>
            </w:r>
            <w:r>
              <w:rPr>
                <w:color w:val="auto"/>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color w:val="auto"/>
                <w:sz w:val="24"/>
                <w:highlight w:val="none"/>
              </w:rPr>
            </w:pPr>
            <w:r>
              <w:rPr>
                <w:rFonts w:ascii="仿宋_GB2312" w:hAnsi="宋体" w:eastAsia="仿宋_GB2312"/>
                <w:color w:val="auto"/>
                <w:sz w:val="24"/>
                <w:highlight w:val="none"/>
              </w:rPr>
              <w:t>1</w:t>
            </w:r>
            <w:r>
              <w:rPr>
                <w:rFonts w:hint="eastAsia" w:ascii="仿宋_GB2312" w:hAnsi="宋体" w:eastAsia="仿宋_GB2312"/>
                <w:color w:val="auto"/>
                <w:sz w:val="24"/>
                <w:highlight w:val="none"/>
              </w:rPr>
              <w:t>3</w:t>
            </w:r>
          </w:p>
        </w:tc>
        <w:tc>
          <w:tcPr>
            <w:tcW w:w="855" w:type="dxa"/>
            <w:vMerge w:val="restart"/>
            <w:vAlign w:val="center"/>
          </w:tcPr>
          <w:p>
            <w:pPr>
              <w:snapToGrid w:val="0"/>
              <w:spacing w:line="440" w:lineRule="exact"/>
              <w:rPr>
                <w:rFonts w:ascii="仿宋_GB2312" w:hAnsi="仿宋_GB2312" w:eastAsia="仿宋_GB2312" w:cs="仿宋_GB2312"/>
                <w:b/>
                <w:color w:val="auto"/>
                <w:sz w:val="24"/>
                <w:highlight w:val="none"/>
              </w:rPr>
            </w:pPr>
            <w:r>
              <w:rPr>
                <w:rFonts w:hint="eastAsia" w:ascii="仿宋_GB2312" w:hAnsi="宋体" w:eastAsia="仿宋_GB2312"/>
                <w:b/>
                <w:color w:val="auto"/>
                <w:sz w:val="24"/>
                <w:highlight w:val="none"/>
              </w:rPr>
              <w:t>投标人信用信息事项</w:t>
            </w: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信用信息查询渠道及截止时间：</w:t>
            </w:r>
            <w:r>
              <w:rPr>
                <w:rFonts w:hint="eastAsia" w:ascii="仿宋_GB2312" w:hAnsi="仿宋" w:eastAsia="仿宋_GB2312" w:cs="仿宋"/>
                <w:color w:val="auto"/>
                <w:sz w:val="24"/>
                <w:highlight w:val="none"/>
              </w:rPr>
              <w:t>采购人或采购人委托的评审小组或采购代理机构将通过“信用中国”网站(www.creditchina.gov.cn)、中国政府采购网(www.ccgp.gov.cn)渠道查询投标人</w:t>
            </w:r>
            <w:r>
              <w:rPr>
                <w:rFonts w:hint="eastAsia" w:ascii="仿宋_GB2312" w:hAnsi="仿宋" w:eastAsia="仿宋_GB2312" w:cs="仿宋"/>
                <w:b/>
                <w:color w:val="auto"/>
                <w:sz w:val="24"/>
                <w:highlight w:val="none"/>
              </w:rPr>
              <w:t>开标当天</w:t>
            </w:r>
            <w:r>
              <w:rPr>
                <w:rFonts w:hint="eastAsia" w:ascii="仿宋_GB2312" w:hAnsi="仿宋" w:eastAsia="仿宋_GB2312"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信用信息查询记录和证据留存的具体方式：</w:t>
            </w:r>
            <w:r>
              <w:rPr>
                <w:rFonts w:hint="eastAsia" w:ascii="仿宋_GB2312" w:hAnsi="仿宋" w:eastAsia="仿宋_GB2312"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color w:val="auto"/>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auto"/>
                <w:sz w:val="24"/>
                <w:highlight w:val="none"/>
              </w:rPr>
            </w:pPr>
          </w:p>
        </w:tc>
        <w:tc>
          <w:tcPr>
            <w:tcW w:w="7515" w:type="dxa"/>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信用信息的使用规则：</w:t>
            </w:r>
            <w:r>
              <w:rPr>
                <w:rFonts w:hint="eastAsia" w:ascii="仿宋_GB2312" w:hAnsi="仿宋" w:eastAsia="仿宋_GB2312"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 w:eastAsia="仿宋_GB2312" w:cs="仿宋"/>
                <w:b/>
                <w:color w:val="auto"/>
                <w:sz w:val="24"/>
                <w:highlight w:val="none"/>
              </w:rPr>
            </w:pPr>
            <w:r>
              <w:rPr>
                <w:rFonts w:hint="eastAsia" w:ascii="仿宋_GB2312" w:hAnsi="仿宋" w:eastAsia="仿宋_GB2312"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4</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lang w:val="en-US" w:eastAsia="zh-CN"/>
              </w:rPr>
              <w:t>15</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color w:val="auto"/>
                <w:sz w:val="24"/>
                <w:highlight w:val="none"/>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6</w:t>
            </w:r>
            <w:r>
              <w:rPr>
                <w:rFonts w:hint="eastAsia" w:ascii="仿宋_GB2312" w:hAnsi="宋体" w:eastAsia="仿宋_GB2312"/>
                <w:color w:val="auto"/>
                <w:sz w:val="24"/>
                <w:highlight w:val="none"/>
              </w:rPr>
              <w:t xml:space="preserve">                                                                                                                                                                                                                                                                                                                                                                                                                                                                                                                                                                                                                                                                                                                                                                                                                                                                                                                                                                                                                                                                                                                                                                                                                                                                                                                                        </w:t>
            </w:r>
          </w:p>
        </w:tc>
        <w:tc>
          <w:tcPr>
            <w:tcW w:w="8370" w:type="dxa"/>
            <w:gridSpan w:val="2"/>
            <w:vAlign w:val="center"/>
          </w:tcPr>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投标与开标注意事项：</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1.本项目实行网上投标，采用电子投标文件。若供应商参与投标，自行承担投标一切费用。</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注：供应商CA相关操作可参考政采云平台</w:t>
            </w:r>
            <w:r>
              <w:rPr>
                <w:rFonts w:hint="eastAsia" w:ascii="仿宋_GB2312" w:hAnsi="仿宋" w:eastAsia="仿宋_GB2312" w:cs="仿宋"/>
                <w:color w:val="auto"/>
                <w:highlight w:val="none"/>
              </w:rPr>
              <w:t>https://www.zcygov.cn/</w:t>
            </w:r>
            <w:r>
              <w:rPr>
                <w:rFonts w:hint="eastAsia" w:ascii="仿宋_GB2312" w:hAnsi="仿宋" w:eastAsia="仿宋_GB2312"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3.投标文件制作、递交、解密：</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3.3开标时间后30分钟内供应商可以登录“政采云”平台，用“项目采购-开标评标”功能进行解密投标文件。若供应商</w:t>
            </w:r>
            <w:r>
              <w:rPr>
                <w:rFonts w:hint="eastAsia" w:ascii="仿宋_GB2312" w:hAnsi="仿宋" w:eastAsia="仿宋_GB2312" w:cs="仿宋"/>
                <w:b/>
                <w:color w:val="auto"/>
                <w:sz w:val="24"/>
                <w:highlight w:val="none"/>
                <w:u w:val="single"/>
              </w:rPr>
              <w:t>未按时解密的</w:t>
            </w: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u w:val="single"/>
              </w:rPr>
              <w:t>视为投标文件撤回</w:t>
            </w:r>
            <w:r>
              <w:rPr>
                <w:rFonts w:hint="eastAsia" w:ascii="仿宋_GB2312" w:hAnsi="仿宋" w:eastAsia="仿宋_GB2312"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default" w:ascii="仿宋_GB2312" w:hAnsi="宋体" w:eastAsia="仿宋_GB2312"/>
                <w:color w:val="auto"/>
                <w:sz w:val="24"/>
                <w:highlight w:val="none"/>
                <w:lang w:val="en-US" w:eastAsia="zh-CN"/>
              </w:rPr>
            </w:pPr>
            <w:r>
              <w:rPr>
                <w:rFonts w:hint="eastAsia" w:ascii="仿宋_GB2312" w:hAnsi="宋体" w:eastAsia="仿宋_GB2312"/>
                <w:color w:val="auto"/>
                <w:sz w:val="24"/>
                <w:highlight w:val="none"/>
                <w:lang w:val="en-US" w:eastAsia="zh-CN"/>
              </w:rPr>
              <w:t>17</w:t>
            </w:r>
          </w:p>
        </w:tc>
        <w:tc>
          <w:tcPr>
            <w:tcW w:w="8370" w:type="dxa"/>
            <w:gridSpan w:val="2"/>
            <w:vAlign w:val="center"/>
          </w:tcPr>
          <w:p>
            <w:pPr>
              <w:spacing w:line="440" w:lineRule="exact"/>
              <w:rPr>
                <w:rFonts w:ascii="仿宋_GB2312" w:hAnsi="宋体" w:eastAsia="仿宋_GB2312" w:cs="宋体"/>
                <w:b/>
                <w:color w:val="auto"/>
                <w:sz w:val="24"/>
                <w:highlight w:val="none"/>
              </w:rPr>
            </w:pPr>
            <w:r>
              <w:rPr>
                <w:rFonts w:hint="eastAsia" w:ascii="仿宋_GB2312" w:hAnsi="宋体" w:eastAsia="仿宋_GB2312" w:cs="宋体"/>
                <w:b/>
                <w:color w:val="auto"/>
                <w:sz w:val="24"/>
                <w:highlight w:val="none"/>
              </w:rPr>
              <w:t>特别说明：</w:t>
            </w:r>
          </w:p>
          <w:p>
            <w:pPr>
              <w:spacing w:line="440" w:lineRule="exact"/>
              <w:rPr>
                <w:rFonts w:ascii="仿宋_GB2312" w:hAnsi="宋体" w:eastAsia="仿宋_GB2312"/>
                <w:color w:val="auto"/>
                <w:sz w:val="24"/>
                <w:highlight w:val="none"/>
              </w:rPr>
            </w:pPr>
            <w:r>
              <w:rPr>
                <w:rFonts w:hint="eastAsia" w:ascii="仿宋_GB2312" w:hAnsi="宋体" w:eastAsia="仿宋_GB2312" w:cs="宋体"/>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color w:val="auto"/>
                <w:sz w:val="24"/>
                <w:highlight w:val="none"/>
              </w:rPr>
            </w:pPr>
          </w:p>
        </w:tc>
        <w:tc>
          <w:tcPr>
            <w:tcW w:w="8370" w:type="dxa"/>
            <w:gridSpan w:val="2"/>
            <w:vAlign w:val="center"/>
          </w:tcPr>
          <w:p>
            <w:pPr>
              <w:adjustRightInd w:val="0"/>
              <w:spacing w:line="440" w:lineRule="exact"/>
              <w:rPr>
                <w:rFonts w:ascii="仿宋_GB2312" w:hAnsi="宋体" w:eastAsia="仿宋_GB2312" w:cs="宋体"/>
                <w:snapToGrid w:val="0"/>
                <w:color w:val="auto"/>
                <w:kern w:val="28"/>
                <w:sz w:val="24"/>
                <w:highlight w:val="none"/>
              </w:rPr>
            </w:pPr>
            <w:sdt>
              <w:sdtPr>
                <w:rPr>
                  <w:rFonts w:hint="eastAsia" w:ascii="仿宋_GB2312" w:hAnsi="宋体" w:eastAsia="仿宋_GB2312" w:cs="宋体"/>
                  <w:color w:val="auto"/>
                  <w:kern w:val="0"/>
                  <w:sz w:val="24"/>
                  <w:szCs w:val="21"/>
                  <w:highlight w:val="none"/>
                </w:rPr>
                <w:id w:val="92"/>
              </w:sdtPr>
              <w:sdtEndPr>
                <w:rPr>
                  <w:rFonts w:hint="eastAsia" w:ascii="仿宋_GB2312" w:hAnsi="宋体" w:eastAsia="仿宋_GB2312" w:cs="宋体"/>
                  <w:color w:val="auto"/>
                  <w:kern w:val="0"/>
                  <w:sz w:val="24"/>
                  <w:szCs w:val="21"/>
                  <w:highlight w:val="none"/>
                </w:rPr>
              </w:sdtEndPr>
              <w:sdtContent>
                <w:r>
                  <w:rPr>
                    <w:rFonts w:hint="eastAsia" w:ascii="仿宋_GB2312" w:hAnsi="宋体" w:eastAsia="仿宋_GB2312" w:cs="宋体"/>
                    <w:color w:val="auto"/>
                    <w:kern w:val="0"/>
                    <w:sz w:val="24"/>
                    <w:highlight w:val="none"/>
                  </w:rPr>
                  <w:sym w:font="Wingdings" w:char="F0FE"/>
                </w:r>
              </w:sdtContent>
            </w:sdt>
            <w:r>
              <w:rPr>
                <w:rFonts w:hint="eastAsia" w:ascii="仿宋_GB2312" w:hAnsi="宋体" w:eastAsia="仿宋_GB2312" w:cs="宋体"/>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宋体" w:hAnsi="宋体" w:cs="宋体"/>
                <w:b/>
                <w:color w:val="auto"/>
                <w:sz w:val="24"/>
                <w:highlight w:val="none"/>
              </w:rPr>
            </w:pPr>
            <w:sdt>
              <w:sdtPr>
                <w:rPr>
                  <w:rFonts w:hint="eastAsia" w:ascii="仿宋_GB2312" w:hAnsi="宋体" w:eastAsia="仿宋_GB2312" w:cs="宋体"/>
                  <w:color w:val="auto"/>
                  <w:kern w:val="0"/>
                  <w:sz w:val="24"/>
                  <w:szCs w:val="21"/>
                  <w:highlight w:val="none"/>
                </w:rPr>
                <w:id w:val="93"/>
              </w:sdtPr>
              <w:sdtEndPr>
                <w:rPr>
                  <w:rFonts w:hint="eastAsia" w:ascii="仿宋_GB2312" w:hAnsi="宋体" w:eastAsia="仿宋_GB2312" w:cs="宋体"/>
                  <w:color w:val="auto"/>
                  <w:kern w:val="0"/>
                  <w:sz w:val="24"/>
                  <w:szCs w:val="21"/>
                  <w:highlight w:val="none"/>
                </w:rPr>
              </w:sdtEndPr>
              <w:sdtContent>
                <w:r>
                  <w:rPr>
                    <w:rFonts w:hint="eastAsia" w:ascii="MS Gothic" w:hAnsi="MS Gothic" w:eastAsia="MS Gothic" w:cs="宋体"/>
                    <w:color w:val="auto"/>
                    <w:kern w:val="0"/>
                    <w:sz w:val="24"/>
                    <w:highlight w:val="none"/>
                  </w:rPr>
                  <w:t>☐</w:t>
                </w:r>
              </w:sdtContent>
            </w:sdt>
            <w:r>
              <w:rPr>
                <w:rFonts w:hint="eastAsia" w:ascii="仿宋_GB2312" w:hAnsi="宋体" w:eastAsia="仿宋_GB2312" w:cs="宋体"/>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color w:val="auto"/>
                <w:sz w:val="24"/>
                <w:highlight w:val="none"/>
                <w:lang w:eastAsia="zh-CN"/>
              </w:rPr>
            </w:pPr>
            <w:r>
              <w:rPr>
                <w:rFonts w:hint="eastAsia" w:ascii="仿宋_GB2312" w:hAnsi="宋体" w:eastAsia="仿宋_GB2312"/>
                <w:color w:val="auto"/>
                <w:sz w:val="24"/>
                <w:highlight w:val="none"/>
              </w:rPr>
              <w:t>1</w:t>
            </w:r>
            <w:r>
              <w:rPr>
                <w:rFonts w:hint="eastAsia" w:ascii="仿宋_GB2312" w:hAnsi="宋体" w:eastAsia="仿宋_GB2312"/>
                <w:color w:val="auto"/>
                <w:sz w:val="24"/>
                <w:highlight w:val="none"/>
                <w:lang w:val="en-US" w:eastAsia="zh-CN"/>
              </w:rPr>
              <w:t>8</w:t>
            </w:r>
          </w:p>
        </w:tc>
        <w:tc>
          <w:tcPr>
            <w:tcW w:w="8370" w:type="dxa"/>
            <w:gridSpan w:val="2"/>
            <w:vAlign w:val="center"/>
          </w:tcPr>
          <w:p>
            <w:pPr>
              <w:spacing w:line="440" w:lineRule="exact"/>
              <w:jc w:val="left"/>
              <w:rPr>
                <w:rFonts w:ascii="仿宋_GB2312" w:hAnsi="仿宋" w:eastAsia="仿宋_GB2312" w:cs="仿宋"/>
                <w:b/>
                <w:color w:val="auto"/>
                <w:kern w:val="0"/>
                <w:sz w:val="24"/>
                <w:szCs w:val="21"/>
                <w:highlight w:val="none"/>
              </w:rPr>
            </w:pPr>
            <w:r>
              <w:rPr>
                <w:rFonts w:hint="eastAsia" w:ascii="仿宋_GB2312" w:hAnsi="宋体" w:eastAsia="仿宋_GB2312"/>
                <w:b/>
                <w:color w:val="auto"/>
                <w:sz w:val="24"/>
                <w:highlight w:val="none"/>
              </w:rPr>
              <w:t xml:space="preserve">采购代理服务费：无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auto"/>
                <w:sz w:val="24"/>
                <w:highlight w:val="none"/>
              </w:rPr>
            </w:pPr>
            <w:r>
              <w:rPr>
                <w:rFonts w:hint="eastAsia" w:ascii="仿宋_GB2312" w:hAnsi="宋体" w:eastAsia="仿宋_GB2312"/>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auto"/>
                <w:sz w:val="24"/>
                <w:highlight w:val="none"/>
              </w:rPr>
            </w:pPr>
            <w:r>
              <w:rPr>
                <w:rFonts w:hint="eastAsia" w:ascii="仿宋_GB2312" w:eastAsia="仿宋_GB2312"/>
                <w:b/>
                <w:color w:val="auto"/>
                <w:sz w:val="24"/>
                <w:highlight w:val="none"/>
              </w:rPr>
              <w:t>注：中标人放弃中标资格或因质疑、投诉被取消中标资格或不能履行合同的，本项目重新组织采购。</w:t>
            </w:r>
          </w:p>
        </w:tc>
      </w:tr>
      <w:bookmarkEnd w:id="0"/>
    </w:tbl>
    <w:p>
      <w:pPr>
        <w:pageBreakBefore/>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一、总则</w:t>
      </w:r>
    </w:p>
    <w:p>
      <w:pPr>
        <w:snapToGrid w:val="0"/>
        <w:spacing w:line="440" w:lineRule="exact"/>
        <w:jc w:val="left"/>
        <w:outlineLvl w:val="1"/>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1.适用范围</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本招标文件适用于该项目的招标、投标、开标、资格审查及信用信息查询、评标、定标、合同、验收等行为（法律、法规另有规定的，从其规定）。</w:t>
      </w:r>
    </w:p>
    <w:p>
      <w:pPr>
        <w:spacing w:line="440" w:lineRule="exact"/>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2.定义</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 “采购人”系指招标公告中载明的本项目的采购人。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 “采购代理机构”系指招标公告中载明的本项目的采购代理机构。</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 “投标人”“供应商”系指是指响应招标、参加投标竞争的法人、其他组织或者自然人。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2.4“监督单位”系指政府采购法定义监督管理部门。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_GB2312" w:hAnsi="宋体" w:eastAsia="仿宋_GB2312"/>
          <w:color w:val="auto"/>
          <w:sz w:val="24"/>
          <w:highlight w:val="none"/>
        </w:rPr>
      </w:pPr>
      <w:r>
        <w:rPr>
          <w:rFonts w:ascii="仿宋_GB2312" w:hAnsi="宋体" w:eastAsia="仿宋_GB2312"/>
          <w:color w:val="auto"/>
          <w:sz w:val="24"/>
          <w:highlight w:val="none"/>
        </w:rPr>
        <w:t>2.8“</w:t>
      </w:r>
      <w:r>
        <w:rPr>
          <w:rFonts w:hint="eastAsia" w:ascii="仿宋_GB2312" w:hAnsi="宋体" w:eastAsia="仿宋_GB2312"/>
          <w:color w:val="auto"/>
          <w:sz w:val="24"/>
          <w:highlight w:val="none"/>
        </w:rPr>
        <w:t>★”系指实质性指标要求条款，“▲”</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系指主要性能指标要求条款。如任意一条打“★”的指标出现负偏离视为实质性不响应招标文件要求，作无效投标处理；如任意一条打“▲”的指标出现负偏离按评分标准作扣分处理。“</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系指适用本项目的要求，“</w:t>
      </w:r>
      <w:r>
        <w:rPr>
          <w:rFonts w:hint="eastAsia" w:ascii="MS Mincho" w:hAnsi="MS Mincho" w:eastAsia="MS Mincho" w:cs="MS Mincho"/>
          <w:color w:val="auto"/>
          <w:sz w:val="24"/>
          <w:highlight w:val="none"/>
        </w:rPr>
        <w:t>☐</w:t>
      </w:r>
      <w:r>
        <w:rPr>
          <w:rFonts w:ascii="仿宋_GB2312" w:hAnsi="宋体" w:eastAsia="仿宋_GB2312"/>
          <w:color w:val="auto"/>
          <w:sz w:val="24"/>
          <w:highlight w:val="none"/>
        </w:rPr>
        <w:t xml:space="preserve">” </w:t>
      </w:r>
      <w:r>
        <w:rPr>
          <w:rFonts w:hint="eastAsia" w:ascii="仿宋_GB2312" w:hAnsi="宋体" w:eastAsia="仿宋_GB2312"/>
          <w:color w:val="auto"/>
          <w:sz w:val="24"/>
          <w:highlight w:val="none"/>
        </w:rPr>
        <w:t>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s="仿宋"/>
          <w:color w:val="auto"/>
          <w:sz w:val="24"/>
          <w:highlight w:val="none"/>
        </w:rPr>
      </w:pPr>
      <w:r>
        <w:rPr>
          <w:rFonts w:hint="eastAsia" w:ascii="仿宋_GB2312" w:hAnsi="宋体" w:eastAsia="仿宋_GB2312"/>
          <w:color w:val="auto"/>
          <w:sz w:val="24"/>
          <w:highlight w:val="none"/>
        </w:rPr>
        <w:t>3.2.5</w:t>
      </w:r>
      <w:r>
        <w:rPr>
          <w:rFonts w:hint="eastAsia" w:ascii="仿宋_GB2312" w:hAnsi="仿宋" w:eastAsia="仿宋_GB2312"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ind w:firstLine="480" w:firstLineChars="200"/>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平等对待内</w:t>
      </w:r>
      <w:r>
        <w:rPr>
          <w:rFonts w:hint="eastAsia" w:ascii="仿宋_GB2312" w:hAnsi="仿宋" w:eastAsia="仿宋_GB2312"/>
          <w:color w:val="auto"/>
          <w:sz w:val="24"/>
          <w:highlight w:val="none"/>
        </w:rPr>
        <w:t>外资企业</w:t>
      </w:r>
      <w:r>
        <w:rPr>
          <w:rFonts w:hint="eastAsia" w:ascii="仿宋_GB2312" w:hAnsi="仿宋" w:eastAsia="仿宋_GB2312" w:cs="仿宋"/>
          <w:color w:val="auto"/>
          <w:sz w:val="24"/>
          <w:highlight w:val="none"/>
        </w:rPr>
        <w:t>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_GB2312" w:eastAsia="仿宋_GB2312"/>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二、招标文件</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1．招标方式</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 本次招标采用公开招标方式进行。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jc w:val="left"/>
        <w:rPr>
          <w:rFonts w:ascii="仿宋_GB2312" w:hAnsi="仿宋" w:eastAsia="仿宋_GB2312" w:cs="仿宋"/>
          <w:b/>
          <w:color w:val="auto"/>
          <w:highlight w:val="none"/>
        </w:rPr>
      </w:pPr>
      <w:r>
        <w:rPr>
          <w:rFonts w:hint="eastAsia" w:ascii="仿宋_GB2312" w:hAnsi="仿宋" w:eastAsia="仿宋_GB2312" w:cs="仿宋"/>
          <w:b/>
          <w:color w:val="auto"/>
          <w:sz w:val="24"/>
          <w:highlight w:val="none"/>
        </w:rPr>
        <w:t>2.授权委托</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 投标费用</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 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4.1招标文件包括本招标文件及所有的招标答疑记录（澄清、修改）和发出的补充通知。</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4.2招标文件的澄清 </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4.3招标文件的修改</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5.参考品牌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spacing w:line="360" w:lineRule="auto"/>
        <w:jc w:val="center"/>
        <w:outlineLvl w:val="0"/>
        <w:rPr>
          <w:rFonts w:ascii="仿宋_GB2312" w:hAnsi="仿宋" w:eastAsia="仿宋_GB2312" w:cs="仿宋"/>
          <w:b/>
          <w:color w:val="auto"/>
          <w:sz w:val="32"/>
          <w:szCs w:val="32"/>
          <w:highlight w:val="none"/>
        </w:rPr>
      </w:pPr>
    </w:p>
    <w:p>
      <w:pPr>
        <w:spacing w:line="360" w:lineRule="auto"/>
        <w:jc w:val="center"/>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三、投标文件</w:t>
      </w:r>
    </w:p>
    <w:p>
      <w:pPr>
        <w:snapToGrid w:val="0"/>
        <w:spacing w:line="440" w:lineRule="exact"/>
        <w:jc w:val="left"/>
        <w:rPr>
          <w:rFonts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1.投标文件的语言、计量单位、形式及效力</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1.5投标文件的形式和效力</w:t>
      </w:r>
    </w:p>
    <w:p>
      <w:pPr>
        <w:snapToGrid w:val="0"/>
        <w:spacing w:line="440" w:lineRule="exact"/>
        <w:ind w:firstLine="723" w:firstLineChars="3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1.5.2投标文件的效力：</w:t>
      </w:r>
    </w:p>
    <w:p>
      <w:pPr>
        <w:snapToGrid w:val="0"/>
        <w:spacing w:line="440" w:lineRule="exact"/>
        <w:ind w:firstLine="723" w:firstLineChars="300"/>
        <w:jc w:val="left"/>
        <w:rPr>
          <w:rFonts w:ascii="仿宋_GB2312" w:hAnsi="仿宋" w:eastAsia="仿宋_GB2312" w:cs="仿宋"/>
          <w:b/>
          <w:color w:val="auto"/>
          <w:sz w:val="24"/>
          <w:highlight w:val="none"/>
          <w:u w:val="single"/>
        </w:rPr>
      </w:pPr>
      <w:r>
        <w:rPr>
          <w:rFonts w:hint="eastAsia" w:ascii="仿宋_GB2312" w:hAnsi="仿宋" w:eastAsia="仿宋_GB2312"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2. 投标文件的组成</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投标文件由“资格文件”、“商务技术（资信）文件资料”、“报价文件资料”三部分组成，其中</w:t>
      </w:r>
      <w:r>
        <w:rPr>
          <w:rFonts w:hint="eastAsia" w:ascii="仿宋_GB2312" w:hAnsi="仿宋" w:eastAsia="仿宋_GB2312" w:cs="仿宋"/>
          <w:b/>
          <w:color w:val="auto"/>
          <w:sz w:val="24"/>
          <w:highlight w:val="none"/>
        </w:rPr>
        <w:t>电子投标文件中所须加盖公章部分均应采用电子签章。</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rPr>
        <w:t>2</w:t>
      </w:r>
      <w:r>
        <w:rPr>
          <w:rFonts w:hint="eastAsia" w:ascii="仿宋_GB2312" w:hAnsi="仿宋" w:eastAsia="仿宋_GB2312" w:cs="仿宋"/>
          <w:b/>
          <w:color w:val="auto"/>
          <w:sz w:val="24"/>
          <w:highlight w:val="none"/>
          <w:lang w:val="zh-CN"/>
        </w:rPr>
        <w:t>.1资格文件：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2.1.1符合参加政府采购活动应当具备的一般条件的承诺函；</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2.1.2联合协议（如果有)；</w:t>
      </w:r>
    </w:p>
    <w:p>
      <w:pPr>
        <w:snapToGrid w:val="0"/>
        <w:spacing w:line="440" w:lineRule="exact"/>
        <w:ind w:firstLine="720" w:firstLineChars="300"/>
        <w:rPr>
          <w:rFonts w:ascii="仿宋_GB2312" w:hAnsi="仿宋" w:eastAsia="仿宋_GB2312" w:cs="仿宋"/>
          <w:color w:val="auto"/>
          <w:highlight w:val="none"/>
        </w:rPr>
      </w:pPr>
      <w:r>
        <w:rPr>
          <w:rFonts w:hint="eastAsia" w:ascii="仿宋_GB2312" w:hAnsi="仿宋" w:eastAsia="仿宋_GB2312" w:cs="仿宋"/>
          <w:color w:val="auto"/>
          <w:sz w:val="24"/>
          <w:highlight w:val="none"/>
        </w:rPr>
        <w:t>2.1.3分包意向协议</w:t>
      </w:r>
      <w:r>
        <w:rPr>
          <w:rFonts w:hint="eastAsia" w:ascii="仿宋_GB2312" w:hAnsi="仿宋" w:eastAsia="仿宋_GB2312" w:cs="仿宋"/>
          <w:snapToGrid w:val="0"/>
          <w:color w:val="auto"/>
          <w:kern w:val="28"/>
          <w:sz w:val="24"/>
          <w:szCs w:val="20"/>
          <w:highlight w:val="none"/>
        </w:rPr>
        <w:t>（如果有)</w:t>
      </w:r>
      <w:r>
        <w:rPr>
          <w:rFonts w:hint="eastAsia" w:ascii="仿宋_GB2312" w:hAnsi="仿宋" w:eastAsia="仿宋_GB2312" w:cs="仿宋"/>
          <w:color w:val="auto"/>
          <w:sz w:val="24"/>
          <w:highlight w:val="none"/>
        </w:rPr>
        <w:t>；</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2.1.4落实政府采购政策需满足的资格要求（如果有)；</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2.1.5本项目的特定资格要求（如果有)。</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2.</w:t>
      </w:r>
      <w:r>
        <w:rPr>
          <w:rFonts w:hint="eastAsia" w:ascii="仿宋_GB2312" w:hAnsi="仿宋" w:eastAsia="仿宋_GB2312" w:cs="仿宋"/>
          <w:b/>
          <w:color w:val="auto"/>
          <w:sz w:val="24"/>
          <w:highlight w:val="none"/>
        </w:rPr>
        <w:t>2商务技术</w:t>
      </w:r>
      <w:r>
        <w:rPr>
          <w:rFonts w:hint="eastAsia" w:ascii="仿宋_GB2312" w:hAnsi="仿宋" w:eastAsia="仿宋_GB2312" w:cs="仿宋"/>
          <w:b/>
          <w:color w:val="auto"/>
          <w:sz w:val="24"/>
          <w:highlight w:val="none"/>
          <w:lang w:val="zh-CN"/>
        </w:rPr>
        <w:t>文件：</w:t>
      </w:r>
    </w:p>
    <w:p>
      <w:pPr>
        <w:snapToGrid w:val="0"/>
        <w:spacing w:line="440" w:lineRule="exact"/>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2.2.1投标函；</w:t>
      </w:r>
      <w:r>
        <w:rPr>
          <w:rFonts w:hint="eastAsia" w:ascii="仿宋_GB2312" w:hAnsi="仿宋" w:eastAsia="仿宋_GB2312" w:cs="仿宋"/>
          <w:color w:val="auto"/>
          <w:sz w:val="24"/>
          <w:highlight w:val="none"/>
          <w:lang w:val="zh-CN"/>
        </w:rPr>
        <w:t xml:space="preserve"> </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2.2.2法定代表人授权委托书；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2.2.3授权代表社保证明；</w:t>
      </w:r>
    </w:p>
    <w:p>
      <w:pPr>
        <w:snapToGrid w:val="0"/>
        <w:spacing w:line="336" w:lineRule="auto"/>
        <w:ind w:firstLine="720" w:firstLineChars="300"/>
        <w:rPr>
          <w:rFonts w:hint="eastAsia" w:ascii="仿宋_GB2312" w:hAnsi="仿宋" w:eastAsia="仿宋_GB2312" w:cs="仿宋"/>
          <w:color w:val="auto"/>
          <w:sz w:val="24"/>
          <w:highlight w:val="none"/>
          <w:lang w:eastAsia="zh-CN"/>
        </w:rPr>
      </w:pPr>
      <w:r>
        <w:rPr>
          <w:rFonts w:hint="eastAsia" w:ascii="仿宋_GB2312" w:hAnsi="仿宋" w:eastAsia="仿宋_GB2312" w:cs="仿宋"/>
          <w:color w:val="auto"/>
          <w:sz w:val="24"/>
          <w:highlight w:val="none"/>
        </w:rPr>
        <w:t>2.2.4法定代表人及其授权代表身份证复印件</w:t>
      </w:r>
      <w:r>
        <w:rPr>
          <w:rFonts w:hint="eastAsia" w:ascii="仿宋_GB2312" w:hAnsi="仿宋" w:eastAsia="仿宋_GB2312" w:cs="仿宋"/>
          <w:color w:val="auto"/>
          <w:sz w:val="24"/>
          <w:highlight w:val="none"/>
          <w:lang w:eastAsia="zh-CN"/>
        </w:rPr>
        <w:t>；</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法定代表人身份证明书；</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廉政承诺书（格式见第六部分附件）；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供应商应提供针对项目的完整技术解决方案：</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w:t>
      </w:r>
      <w:r>
        <w:rPr>
          <w:rFonts w:hint="eastAsia" w:ascii="仿宋_GB2312" w:hAnsi="仿宋" w:eastAsia="仿宋_GB2312" w:cs="仿宋"/>
          <w:color w:val="auto"/>
          <w:sz w:val="24"/>
          <w:highlight w:val="none"/>
          <w:lang w:val="en-US" w:eastAsia="zh-CN"/>
        </w:rPr>
        <w:t>10</w:t>
      </w:r>
      <w:r>
        <w:rPr>
          <w:rFonts w:hint="eastAsia" w:ascii="仿宋_GB2312" w:hAnsi="仿宋" w:eastAsia="仿宋_GB2312" w:cs="仿宋"/>
          <w:color w:val="auto"/>
          <w:sz w:val="24"/>
          <w:highlight w:val="none"/>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1</w:t>
      </w:r>
      <w:r>
        <w:rPr>
          <w:rFonts w:hint="eastAsia" w:ascii="仿宋_GB2312" w:hAnsi="仿宋" w:eastAsia="仿宋_GB2312" w:cs="仿宋"/>
          <w:color w:val="auto"/>
          <w:sz w:val="24"/>
          <w:highlight w:val="none"/>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2</w:t>
      </w:r>
      <w:r>
        <w:rPr>
          <w:rFonts w:hint="eastAsia" w:ascii="仿宋_GB2312" w:hAnsi="仿宋" w:eastAsia="仿宋_GB2312" w:cs="仿宋"/>
          <w:color w:val="auto"/>
          <w:sz w:val="24"/>
          <w:highlight w:val="none"/>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3</w:t>
      </w:r>
      <w:r>
        <w:rPr>
          <w:rFonts w:hint="eastAsia" w:ascii="仿宋_GB2312" w:hAnsi="仿宋" w:eastAsia="仿宋_GB2312" w:cs="仿宋"/>
          <w:color w:val="auto"/>
          <w:sz w:val="24"/>
          <w:highlight w:val="none"/>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4</w:t>
      </w:r>
      <w:r>
        <w:rPr>
          <w:rFonts w:hint="eastAsia" w:ascii="仿宋_GB2312" w:hAnsi="仿宋" w:eastAsia="仿宋_GB2312" w:cs="仿宋"/>
          <w:color w:val="auto"/>
          <w:sz w:val="24"/>
          <w:highlight w:val="none"/>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5</w:t>
      </w:r>
      <w:r>
        <w:rPr>
          <w:rFonts w:hint="eastAsia" w:ascii="仿宋_GB2312" w:hAnsi="仿宋" w:eastAsia="仿宋_GB2312" w:cs="仿宋"/>
          <w:color w:val="auto"/>
          <w:sz w:val="24"/>
          <w:highlight w:val="none"/>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6</w:t>
      </w:r>
      <w:r>
        <w:rPr>
          <w:rFonts w:hint="eastAsia" w:ascii="仿宋_GB2312" w:hAnsi="仿宋" w:eastAsia="仿宋_GB2312" w:cs="仿宋"/>
          <w:color w:val="auto"/>
          <w:sz w:val="24"/>
          <w:highlight w:val="none"/>
        </w:rPr>
        <w:t>培训计划（如有）；</w:t>
      </w:r>
    </w:p>
    <w:p>
      <w:pPr>
        <w:snapToGrid w:val="0"/>
        <w:spacing w:line="336" w:lineRule="auto"/>
        <w:ind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7</w:t>
      </w:r>
      <w:r>
        <w:rPr>
          <w:rFonts w:hint="eastAsia" w:ascii="仿宋_GB2312" w:hAnsi="仿宋" w:eastAsia="仿宋_GB2312" w:cs="仿宋"/>
          <w:color w:val="auto"/>
          <w:sz w:val="24"/>
          <w:highlight w:val="none"/>
        </w:rPr>
        <w:t>验收方案；</w:t>
      </w:r>
    </w:p>
    <w:p>
      <w:pPr>
        <w:snapToGrid w:val="0"/>
        <w:spacing w:line="336" w:lineRule="auto"/>
        <w:ind w:firstLine="720" w:firstLineChars="300"/>
        <w:rPr>
          <w:rFonts w:ascii="仿宋_GB2312" w:hAnsi="仿宋" w:eastAsia="仿宋_GB2312" w:cs="仿宋"/>
          <w:color w:val="auto"/>
          <w:sz w:val="24"/>
          <w:highlight w:val="none"/>
          <w:u w:val="wave"/>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8</w:t>
      </w:r>
      <w:r>
        <w:rPr>
          <w:rFonts w:hint="eastAsia" w:ascii="仿宋_GB2312" w:hAnsi="仿宋" w:eastAsia="仿宋_GB2312" w:cs="仿宋"/>
          <w:color w:val="auto"/>
          <w:sz w:val="24"/>
          <w:highlight w:val="none"/>
          <w:u w:val="wave"/>
        </w:rPr>
        <w:t>未尽事宜请各投标单位按评分标准和相对应标项相关要求制作；</w:t>
      </w:r>
    </w:p>
    <w:p>
      <w:pPr>
        <w:snapToGrid w:val="0"/>
        <w:spacing w:line="336" w:lineRule="auto"/>
        <w:ind w:firstLine="720" w:firstLineChars="300"/>
        <w:rPr>
          <w:rFonts w:ascii="仿宋_GB2312" w:eastAsia="仿宋_GB2312"/>
          <w:color w:val="auto"/>
          <w:highlight w:val="none"/>
          <w:lang w:val="zh-CN"/>
        </w:rPr>
      </w:pPr>
      <w:r>
        <w:rPr>
          <w:rFonts w:hint="eastAsia" w:ascii="仿宋_GB2312" w:hAnsi="仿宋" w:eastAsia="仿宋_GB2312" w:cs="仿宋"/>
          <w:color w:val="auto"/>
          <w:sz w:val="24"/>
          <w:highlight w:val="none"/>
        </w:rPr>
        <w:t>2.2.1</w:t>
      </w:r>
      <w:r>
        <w:rPr>
          <w:rFonts w:hint="eastAsia" w:ascii="仿宋_GB2312" w:hAnsi="仿宋" w:eastAsia="仿宋_GB2312" w:cs="仿宋"/>
          <w:color w:val="auto"/>
          <w:sz w:val="24"/>
          <w:highlight w:val="none"/>
          <w:lang w:val="en-US" w:eastAsia="zh-CN"/>
        </w:rPr>
        <w:t>9</w:t>
      </w:r>
      <w:r>
        <w:rPr>
          <w:rFonts w:hint="eastAsia" w:ascii="仿宋_GB2312" w:hAnsi="仿宋" w:eastAsia="仿宋_GB2312" w:cs="仿宋"/>
          <w:color w:val="auto"/>
          <w:sz w:val="24"/>
          <w:highlight w:val="none"/>
        </w:rPr>
        <w:t>投标人需要说明的其他文件和说明（格式自拟）。</w:t>
      </w:r>
    </w:p>
    <w:p>
      <w:pPr>
        <w:snapToGrid w:val="0"/>
        <w:spacing w:line="440" w:lineRule="exact"/>
        <w:ind w:firstLine="482" w:firstLineChars="200"/>
        <w:rPr>
          <w:rFonts w:ascii="仿宋_GB2312" w:hAnsi="仿宋" w:eastAsia="仿宋_GB2312" w:cs="仿宋"/>
          <w:b/>
          <w:color w:val="auto"/>
          <w:sz w:val="24"/>
          <w:highlight w:val="none"/>
          <w:lang w:val="zh-CN"/>
        </w:rPr>
      </w:pPr>
      <w:r>
        <w:rPr>
          <w:rFonts w:hint="eastAsia" w:ascii="仿宋_GB2312" w:hAnsi="仿宋" w:eastAsia="仿宋_GB2312" w:cs="仿宋"/>
          <w:b/>
          <w:color w:val="auto"/>
          <w:sz w:val="24"/>
          <w:highlight w:val="none"/>
          <w:lang w:val="zh-CN"/>
        </w:rPr>
        <w:t xml:space="preserve">2.3报价文件： </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2.3.1开标一览表（报价表）；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2.3.2中小企业声明函（如果有）；</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2.3.3 残疾人福利性单位声明函（如果有）。</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3.投标报价</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3.1供应商应按招标文件中《开标一览表》等附表要求填写。</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3.2报价为采购人可以合格使用产品的价格，包括货款、包装、运输、保险、货到就位以及安装、调试、培训、保修及产品知识产权等一切费用。</w:t>
      </w:r>
    </w:p>
    <w:p>
      <w:pPr>
        <w:pStyle w:val="61"/>
        <w:keepNext w:val="0"/>
        <w:keepLines w:val="0"/>
        <w:pageBreakBefore w:val="0"/>
        <w:widowControl w:val="0"/>
        <w:kinsoku/>
        <w:wordWrap/>
        <w:overflowPunct/>
        <w:topLinePunct w:val="0"/>
        <w:autoSpaceDE/>
        <w:autoSpaceDN/>
        <w:bidi w:val="0"/>
        <w:adjustRightInd/>
        <w:snapToGrid w:val="0"/>
        <w:spacing w:after="0" w:line="440" w:lineRule="exact"/>
        <w:ind w:firstLine="720" w:firstLineChars="300"/>
        <w:textAlignment w:val="auto"/>
        <w:rPr>
          <w:rFonts w:ascii="仿宋_GB2312" w:hAnsi="仿宋" w:eastAsia="仿宋_GB2312" w:cs="仿宋"/>
          <w:color w:val="auto"/>
          <w:highlight w:val="none"/>
        </w:rPr>
      </w:pPr>
      <w:r>
        <w:rPr>
          <w:rFonts w:hint="eastAsia" w:ascii="仿宋_GB2312" w:hAnsi="仿宋" w:eastAsia="仿宋_GB2312" w:cs="仿宋"/>
          <w:color w:val="auto"/>
          <w:sz w:val="24"/>
          <w:highlight w:val="none"/>
        </w:rPr>
        <w:t>3.3招标文件未列明，而供应商认为必需的费用也需列入报价。</w:t>
      </w:r>
    </w:p>
    <w:p>
      <w:pPr>
        <w:pStyle w:val="61"/>
        <w:snapToGrid w:val="0"/>
        <w:spacing w:line="440" w:lineRule="exact"/>
        <w:ind w:firstLine="723" w:firstLineChars="300"/>
        <w:rPr>
          <w:rFonts w:hint="eastAsia" w:ascii="仿宋_GB2312" w:hAnsi="仿宋" w:eastAsia="仿宋_GB2312" w:cs="仿宋"/>
          <w:b/>
          <w:bCs/>
          <w:color w:val="auto"/>
          <w:sz w:val="24"/>
          <w:highlight w:val="none"/>
        </w:rPr>
      </w:pPr>
      <w:r>
        <w:rPr>
          <w:rFonts w:hint="eastAsia" w:ascii="仿宋_GB2312" w:hAnsi="仿宋" w:eastAsia="仿宋_GB2312" w:cs="仿宋"/>
          <w:b/>
          <w:bCs/>
          <w:color w:val="auto"/>
          <w:sz w:val="24"/>
          <w:highlight w:val="none"/>
        </w:rPr>
        <w:t>3.4投标报价只允许有一个报价，有选择的报价将不予接受（除指定外）。</w:t>
      </w:r>
    </w:p>
    <w:p>
      <w:pPr>
        <w:pStyle w:val="32"/>
        <w:spacing w:line="440" w:lineRule="exact"/>
        <w:rPr>
          <w:rFonts w:hint="eastAsia"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4.</w:t>
      </w:r>
      <w:r>
        <w:rPr>
          <w:rFonts w:hint="eastAsia" w:ascii="仿宋_GB2312" w:hAnsi="仿宋" w:eastAsia="仿宋_GB2312" w:cs="仿宋"/>
          <w:b/>
          <w:color w:val="auto"/>
          <w:sz w:val="24"/>
          <w:szCs w:val="24"/>
          <w:highlight w:val="none"/>
          <w:lang w:val="zh-CN"/>
        </w:rPr>
        <w:t xml:space="preserve"> </w:t>
      </w:r>
      <w:r>
        <w:rPr>
          <w:rFonts w:hint="eastAsia" w:ascii="仿宋_GB2312" w:hAnsi="仿宋" w:eastAsia="仿宋_GB2312" w:cs="仿宋"/>
          <w:b/>
          <w:color w:val="auto"/>
          <w:sz w:val="24"/>
          <w:szCs w:val="24"/>
          <w:highlight w:val="none"/>
        </w:rPr>
        <w:t>投标文件的编制和签署</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w:t>
      </w:r>
      <w:r>
        <w:rPr>
          <w:rFonts w:hint="eastAsia" w:ascii="仿宋_GB2312" w:hAnsi="仿宋" w:eastAsia="仿宋_GB2312"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4.4</w:t>
      </w:r>
      <w:r>
        <w:rPr>
          <w:rFonts w:hint="eastAsia" w:ascii="仿宋_GB2312" w:hAnsi="仿宋" w:eastAsia="仿宋_GB2312"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4.5</w:t>
      </w:r>
      <w:r>
        <w:rPr>
          <w:rFonts w:hint="eastAsia" w:ascii="仿宋_GB2312" w:hAnsi="仿宋" w:eastAsia="仿宋_GB2312"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4.6</w:t>
      </w:r>
      <w:r>
        <w:rPr>
          <w:rFonts w:hint="eastAsia" w:ascii="仿宋_GB2312" w:hAnsi="仿宋" w:eastAsia="仿宋_GB2312" w:cs="仿宋"/>
          <w:color w:val="auto"/>
          <w:sz w:val="24"/>
          <w:highlight w:val="none"/>
          <w:lang w:val="zh-CN"/>
        </w:rPr>
        <w:t>招标文件对投标文件签署、盖章的要求适用于电子签名。</w:t>
      </w:r>
    </w:p>
    <w:p>
      <w:pPr>
        <w:pStyle w:val="181"/>
        <w:spacing w:before="0" w:line="440" w:lineRule="exact"/>
        <w:ind w:firstLine="0" w:firstLineChars="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5. 投标文件的提交、补充、修改、撤回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_GB2312" w:hAnsi="仿宋" w:eastAsia="仿宋_GB2312" w:cs="仿宋"/>
          <w:b/>
          <w:color w:val="auto"/>
          <w:sz w:val="32"/>
          <w:highlight w:val="none"/>
        </w:rPr>
      </w:pPr>
      <w:r>
        <w:rPr>
          <w:rFonts w:hint="eastAsia" w:ascii="仿宋_GB2312" w:hAnsi="仿宋" w:eastAsia="仿宋_GB2312" w:cs="仿宋"/>
          <w:b/>
          <w:bCs/>
          <w:color w:val="auto"/>
          <w:sz w:val="24"/>
          <w:highlight w:val="none"/>
        </w:rPr>
        <w:t>6.投标有效期</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_GB2312" w:hAnsi="仿宋" w:eastAsia="仿宋_GB2312" w:cs="仿宋"/>
          <w:b/>
          <w:color w:val="auto"/>
          <w:sz w:val="32"/>
          <w:highlight w:val="none"/>
        </w:rPr>
      </w:pPr>
      <w:r>
        <w:rPr>
          <w:rFonts w:hint="eastAsia" w:ascii="仿宋_GB2312" w:hAnsi="仿宋" w:eastAsia="仿宋_GB2312" w:cs="仿宋"/>
          <w:color w:val="auto"/>
          <w:sz w:val="24"/>
          <w:highlight w:val="none"/>
        </w:rPr>
        <w:t>6.2投标文件合格投递后，自投标截止日期起，在投标有效期内有效。</w:t>
      </w:r>
    </w:p>
    <w:p>
      <w:pPr>
        <w:pStyle w:val="181"/>
        <w:spacing w:before="0"/>
        <w:ind w:firstLine="480"/>
        <w:rPr>
          <w:rFonts w:ascii="仿宋_GB2312" w:hAnsi="仿宋" w:eastAsia="仿宋_GB2312" w:cs="仿宋"/>
          <w:b/>
          <w:color w:val="auto"/>
          <w:sz w:val="32"/>
          <w:highlight w:val="none"/>
        </w:rPr>
      </w:pPr>
      <w:r>
        <w:rPr>
          <w:rFonts w:hint="eastAsia" w:ascii="仿宋_GB2312" w:hAnsi="仿宋" w:eastAsia="仿宋_GB2312"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adjustRightInd w:val="0"/>
        <w:spacing w:line="360" w:lineRule="auto"/>
        <w:jc w:val="center"/>
        <w:rPr>
          <w:rFonts w:ascii="仿宋_GB2312" w:hAnsi="仿宋" w:eastAsia="仿宋_GB2312" w:cs="仿宋"/>
          <w:b/>
          <w:color w:val="auto"/>
          <w:sz w:val="32"/>
          <w:szCs w:val="32"/>
          <w:highlight w:val="none"/>
        </w:rPr>
      </w:pPr>
    </w:p>
    <w:p>
      <w:pPr>
        <w:adjustRightInd w:val="0"/>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四、开标和评标</w:t>
      </w:r>
    </w:p>
    <w:p>
      <w:pPr>
        <w:snapToGrid w:val="0"/>
        <w:spacing w:line="440" w:lineRule="exact"/>
        <w:jc w:val="left"/>
        <w:rPr>
          <w:rFonts w:ascii="仿宋_GB2312" w:hAnsi="仿宋" w:eastAsia="仿宋_GB2312" w:cs="仿宋"/>
          <w:b/>
          <w:color w:val="auto"/>
          <w:sz w:val="24"/>
          <w:highlight w:val="none"/>
        </w:rPr>
      </w:pPr>
      <w:bookmarkStart w:id="1" w:name="_Toc81372776"/>
      <w:bookmarkStart w:id="2" w:name="_Toc81372953"/>
      <w:bookmarkStart w:id="3" w:name="_Toc84325929"/>
      <w:r>
        <w:rPr>
          <w:rFonts w:hint="eastAsia" w:ascii="仿宋_GB2312" w:hAnsi="仿宋" w:eastAsia="仿宋_GB2312" w:cs="仿宋"/>
          <w:b/>
          <w:color w:val="auto"/>
          <w:sz w:val="24"/>
          <w:highlight w:val="none"/>
        </w:rPr>
        <w:t>1．电子招投标开标及评审程序</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1.1投标截止时间后，主持人宣布开标会开始。</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1.3评标委员会对资格和商务技术响应文件进行评审。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1.7主持人公布评标结果。</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特别说明：政采云公司如对电子化开标及评审程序有调整的，按调整后的程序操作。</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2.3电子交易平台发现严重安全漏洞，有潜在泄密危险的；</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2.4病毒发作导致不能进行正常操作的； </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2.5其他无法保证电子交易的公平、公正和安全的情况。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3．评标</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3.3评标委员会负责对投标人资格的最终审定。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3.7评标委员会不向落标方解释落标的原因。</w:t>
      </w:r>
    </w:p>
    <w:p>
      <w:pPr>
        <w:snapToGrid w:val="0"/>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4．投标文件的初审鉴定</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4.1资格性审查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4.2符合性审查</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kern w:val="0"/>
          <w:sz w:val="24"/>
          <w:highlight w:val="none"/>
        </w:rPr>
        <w:t xml:space="preserve">5. </w:t>
      </w:r>
      <w:r>
        <w:rPr>
          <w:rFonts w:hint="eastAsia" w:ascii="仿宋_GB2312" w:hAnsi="仿宋" w:eastAsia="仿宋_GB2312" w:cs="仿宋"/>
          <w:b/>
          <w:color w:val="auto"/>
          <w:sz w:val="24"/>
          <w:highlight w:val="none"/>
        </w:rPr>
        <w:t>投标文件报价出现前后不一致的，按照下列规定修正：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5.2大写金额和小写金额不一致的，以大写金额为准；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6.投标文件的评审、比较和否决</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454"/>
        </w:tabs>
        <w:spacing w:after="120" w:line="440" w:lineRule="exact"/>
        <w:ind w:left="0" w:firstLine="0"/>
        <w:rPr>
          <w:rFonts w:ascii="仿宋_GB2312" w:hAnsi="仿宋" w:eastAsia="仿宋_GB2312" w:cs="仿宋"/>
          <w:b/>
          <w:color w:val="auto"/>
          <w:highlight w:val="none"/>
        </w:rPr>
      </w:pPr>
      <w:r>
        <w:rPr>
          <w:rFonts w:hint="eastAsia" w:ascii="仿宋_GB2312" w:hAnsi="仿宋" w:eastAsia="仿宋_GB2312" w:cs="仿宋"/>
          <w:b/>
          <w:color w:val="auto"/>
          <w:highlight w:val="none"/>
        </w:rPr>
        <w:t>7.投标文件的澄清</w:t>
      </w:r>
    </w:p>
    <w:p>
      <w:pPr>
        <w:pStyle w:val="15"/>
        <w:widowControl w:val="0"/>
        <w:tabs>
          <w:tab w:val="clear" w:pos="454"/>
        </w:tabs>
        <w:spacing w:after="120" w:line="440" w:lineRule="exact"/>
        <w:ind w:left="0" w:firstLine="480" w:firstLineChars="200"/>
        <w:rPr>
          <w:rFonts w:ascii="仿宋_GB2312" w:hAnsi="仿宋" w:eastAsia="仿宋_GB2312" w:cs="仿宋"/>
          <w:color w:val="auto"/>
          <w:highlight w:val="none"/>
        </w:rPr>
      </w:pPr>
      <w:r>
        <w:rPr>
          <w:rFonts w:hint="eastAsia" w:ascii="仿宋_GB2312" w:hAnsi="仿宋" w:eastAsia="仿宋_GB2312"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ascii="仿宋_GB2312" w:hAnsi="仿宋" w:eastAsia="仿宋_GB2312" w:cs="仿宋"/>
          <w:b/>
          <w:color w:val="auto"/>
          <w:sz w:val="24"/>
          <w:szCs w:val="24"/>
          <w:highlight w:val="none"/>
        </w:rPr>
      </w:pPr>
      <w:r>
        <w:rPr>
          <w:rFonts w:hint="eastAsia" w:ascii="仿宋_GB2312" w:hAnsi="仿宋" w:eastAsia="仿宋_GB2312"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投标文件有下列情形之一的作无效投标处理：</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8.1未按照招标文件规定要求电子签章、签字或盖章的；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8.12《技术偏离说明表》不真实填写或弄虚作假的；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8.13投标文件含有采购人不能接受的附加条件；</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8.19投标人对根据修正原则修正后的报价不确认的；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8.20.5其他弄虚作假的行为。</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_GB2312" w:hAnsi="仿宋" w:eastAsia="仿宋_GB2312" w:cs="仿宋"/>
          <w:b/>
          <w:color w:val="auto"/>
          <w:sz w:val="24"/>
          <w:highlight w:val="none"/>
          <w:lang w:val="en-US" w:eastAsia="zh-CN"/>
        </w:rPr>
      </w:pPr>
      <w:r>
        <w:rPr>
          <w:rFonts w:hint="eastAsia" w:ascii="仿宋_GB2312" w:hAnsi="仿宋" w:eastAsia="仿宋_GB2312" w:cs="仿宋"/>
          <w:b/>
          <w:color w:val="auto"/>
          <w:sz w:val="24"/>
          <w:highlight w:val="none"/>
          <w:lang w:val="en-US" w:eastAsia="zh-CN"/>
        </w:rPr>
        <w:t>8.23参与同一个采购包(标段)的供应商存在下列情形之一的其投标(响应)文件无效：</w:t>
      </w:r>
    </w:p>
    <w:p>
      <w:pPr>
        <w:tabs>
          <w:tab w:val="left" w:pos="3870"/>
          <w:tab w:val="left" w:pos="4085"/>
        </w:tabs>
        <w:snapToGrid w:val="0"/>
        <w:spacing w:line="440" w:lineRule="exact"/>
        <w:ind w:firstLine="720" w:firstLineChars="300"/>
        <w:jc w:val="left"/>
        <w:rPr>
          <w:rFonts w:hint="eastAsia"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8.23.1不同供应商的电子投标(响应)文件上传计算机的网卡MAC地址、CPU序列号和硬盘序列号等硬件信息相同的；</w:t>
      </w:r>
    </w:p>
    <w:p>
      <w:pPr>
        <w:tabs>
          <w:tab w:val="left" w:pos="3870"/>
          <w:tab w:val="left" w:pos="4085"/>
        </w:tabs>
        <w:snapToGrid w:val="0"/>
        <w:spacing w:line="440" w:lineRule="exact"/>
        <w:ind w:firstLine="720" w:firstLineChars="300"/>
        <w:jc w:val="left"/>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lang w:val="en-US" w:eastAsia="zh-CN"/>
        </w:rPr>
        <w:t>8.23.2不同供应商联系人为同一人或不同联系人的联系电话一致，且无法合理解释的；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4</w:t>
      </w:r>
      <w:r>
        <w:rPr>
          <w:rFonts w:hint="eastAsia" w:ascii="仿宋_GB2312" w:hAnsi="仿宋" w:eastAsia="仿宋_GB2312" w:cs="仿宋"/>
          <w:b/>
          <w:color w:val="auto"/>
          <w:sz w:val="24"/>
          <w:highlight w:val="none"/>
        </w:rPr>
        <w:t>评标委员会认定有重大偏差或实质性不响应招标文件要求的；</w:t>
      </w:r>
    </w:p>
    <w:p>
      <w:pPr>
        <w:snapToGrid w:val="0"/>
        <w:spacing w:line="44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5</w:t>
      </w:r>
      <w:r>
        <w:rPr>
          <w:rFonts w:hint="eastAsia" w:ascii="仿宋_GB2312" w:hAnsi="仿宋" w:eastAsia="仿宋_GB2312" w:cs="仿宋"/>
          <w:b/>
          <w:color w:val="auto"/>
          <w:sz w:val="24"/>
          <w:highlight w:val="none"/>
        </w:rPr>
        <w:t>投标文件出现不是唯一的、有选择性投标报价的；</w:t>
      </w:r>
    </w:p>
    <w:p>
      <w:pPr>
        <w:snapToGrid w:val="0"/>
        <w:spacing w:line="440" w:lineRule="exact"/>
        <w:rPr>
          <w:rFonts w:hint="eastAsia"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8.2</w:t>
      </w:r>
      <w:r>
        <w:rPr>
          <w:rFonts w:hint="eastAsia" w:ascii="仿宋_GB2312" w:hAnsi="仿宋" w:eastAsia="仿宋_GB2312" w:cs="仿宋"/>
          <w:b/>
          <w:color w:val="auto"/>
          <w:sz w:val="24"/>
          <w:highlight w:val="none"/>
          <w:lang w:val="en-US" w:eastAsia="zh-CN"/>
        </w:rPr>
        <w:t>6</w:t>
      </w:r>
      <w:r>
        <w:rPr>
          <w:rFonts w:hint="eastAsia" w:ascii="仿宋_GB2312" w:hAnsi="仿宋" w:eastAsia="仿宋_GB2312" w:cs="仿宋"/>
          <w:b/>
          <w:color w:val="auto"/>
          <w:sz w:val="24"/>
          <w:highlight w:val="none"/>
        </w:rPr>
        <w:t>其他违反法律、法规的情形。</w:t>
      </w:r>
    </w:p>
    <w:p>
      <w:pPr>
        <w:snapToGrid w:val="0"/>
        <w:spacing w:line="440" w:lineRule="exact"/>
        <w:rPr>
          <w:rFonts w:ascii="仿宋_GB2312" w:hAnsi="仿宋" w:eastAsia="仿宋_GB2312" w:cs="仿宋"/>
          <w:b/>
          <w:color w:val="auto"/>
          <w:kern w:val="0"/>
          <w:sz w:val="24"/>
          <w:highlight w:val="none"/>
        </w:rPr>
      </w:pPr>
      <w:r>
        <w:rPr>
          <w:rFonts w:hint="eastAsia" w:ascii="仿宋_GB2312" w:hAnsi="仿宋" w:eastAsia="仿宋_GB2312" w:cs="仿宋"/>
          <w:b/>
          <w:color w:val="auto"/>
          <w:kern w:val="0"/>
          <w:sz w:val="24"/>
          <w:highlight w:val="none"/>
        </w:rPr>
        <w:t>9. 评标过程保密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9.1</w:t>
      </w:r>
      <w:r>
        <w:rPr>
          <w:rFonts w:hint="eastAsia" w:ascii="仿宋_GB2312" w:hAnsi="仿宋" w:eastAsia="仿宋_GB2312"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9.2 在评标期间，投标人企图影响招标人或</w:t>
      </w:r>
      <w:r>
        <w:rPr>
          <w:rFonts w:hint="eastAsia" w:ascii="仿宋_GB2312" w:hAnsi="仿宋" w:eastAsia="仿宋_GB2312" w:cs="仿宋"/>
          <w:color w:val="auto"/>
          <w:sz w:val="24"/>
          <w:highlight w:val="none"/>
        </w:rPr>
        <w:t>评标委员会</w:t>
      </w:r>
      <w:r>
        <w:rPr>
          <w:rFonts w:hint="eastAsia" w:ascii="仿宋_GB2312" w:hAnsi="仿宋" w:eastAsia="仿宋_GB2312" w:cs="仿宋"/>
          <w:color w:val="auto"/>
          <w:kern w:val="0"/>
          <w:sz w:val="24"/>
          <w:highlight w:val="none"/>
        </w:rPr>
        <w:t>的任何活动，都将导致投标被拒绝，并由其承担相应的法律责任。</w:t>
      </w: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p>
    <w:p>
      <w:pPr>
        <w:pStyle w:val="32"/>
        <w:adjustRightInd w:val="0"/>
        <w:spacing w:line="360" w:lineRule="auto"/>
        <w:ind w:firstLine="726"/>
        <w:jc w:val="center"/>
        <w:rPr>
          <w:rFonts w:ascii="仿宋_GB2312" w:hAnsi="仿宋" w:eastAsia="仿宋_GB2312" w:cs="仿宋"/>
          <w:b/>
          <w:snapToGrid w:val="0"/>
          <w:color w:val="auto"/>
          <w:sz w:val="32"/>
          <w:szCs w:val="32"/>
          <w:highlight w:val="none"/>
        </w:rPr>
      </w:pPr>
      <w:r>
        <w:rPr>
          <w:rFonts w:hint="eastAsia" w:ascii="仿宋_GB2312" w:hAnsi="仿宋" w:eastAsia="仿宋_GB2312" w:cs="仿宋"/>
          <w:b/>
          <w:snapToGrid w:val="0"/>
          <w:color w:val="auto"/>
          <w:sz w:val="32"/>
          <w:szCs w:val="32"/>
          <w:highlight w:val="none"/>
        </w:rPr>
        <w:t>五、授予合同</w:t>
      </w:r>
    </w:p>
    <w:bookmarkEnd w:id="1"/>
    <w:bookmarkEnd w:id="2"/>
    <w:bookmarkEnd w:id="3"/>
    <w:p>
      <w:pPr>
        <w:pStyle w:val="15"/>
        <w:tabs>
          <w:tab w:val="clear" w:pos="454"/>
        </w:tabs>
        <w:spacing w:after="120" w:line="440" w:lineRule="exact"/>
        <w:ind w:left="0" w:firstLine="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1.中标条件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1.1投标文件基本符合招标文件要求；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1.2投标人有很好的执行合同的能力；</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1.4投标人能够提供质量技术、商务经济占综合优势的系统及服务。</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1.5招标人将把中标通知书授予最佳投标者，但最低价不是中标的绝对保证。</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2.中标确认</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2.3采购人应在确认中标人前再次对资格条件和相关证件材料进一步查验核实。</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3．中标通知</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_GB2312" w:hAnsi="仿宋" w:eastAsia="仿宋_GB2312" w:cs="仿宋"/>
          <w:color w:val="auto"/>
          <w:sz w:val="24"/>
          <w:highlight w:val="none"/>
        </w:rPr>
        <w:t>http://zfcg.czt.zj.gov.cn/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_GB2312" w:hAnsi="仿宋" w:eastAsia="仿宋_GB2312" w:cs="仿宋"/>
          <w:color w:val="auto"/>
          <w:sz w:val="24"/>
          <w:highlight w:val="none"/>
        </w:rPr>
        <w:t>http://ggb.sx.gov.cn</w:t>
      </w:r>
      <w:r>
        <w:rPr>
          <w:rFonts w:hint="eastAsia" w:ascii="仿宋_GB2312" w:hAnsi="仿宋" w:eastAsia="仿宋_GB2312" w:cs="仿宋"/>
          <w:color w:val="auto"/>
          <w:sz w:val="24"/>
          <w:highlight w:val="none"/>
        </w:rPr>
        <w:fldChar w:fldCharType="end"/>
      </w:r>
      <w:r>
        <w:rPr>
          <w:rFonts w:hint="eastAsia" w:ascii="仿宋_GB2312" w:hAnsi="仿宋" w:eastAsia="仿宋_GB2312" w:cs="仿宋"/>
          <w:color w:val="auto"/>
          <w:sz w:val="24"/>
          <w:highlight w:val="none"/>
        </w:rPr>
        <w:t>）发布中标公告，中标公告期限为1个工作日。</w:t>
      </w:r>
    </w:p>
    <w:p>
      <w:pPr>
        <w:snapToGrid w:val="0"/>
        <w:spacing w:line="44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 w:eastAsia="仿宋_GB2312" w:cs="仿宋"/>
          <w:color w:val="auto"/>
          <w:sz w:val="24"/>
          <w:highlight w:val="none"/>
          <w:lang w:val="zh-CN"/>
        </w:rPr>
        <w:t>。</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3.3采购代理机构对中标结果不作任何说明和解释，也不回答任何提问。</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4．履约保证金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4.2项目验收结束后，采购人应及时退还履约保证金。</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4.4政府采购货物和服务项目不得收取质量保证金。</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5．合同签订及备案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5.1中标人应当在中标通知书发出之日起30天内与采购人签订合同，自采购合同签订之日起</w:t>
      </w:r>
      <w:r>
        <w:rPr>
          <w:rFonts w:hint="eastAsia" w:ascii="仿宋_GB2312" w:hAnsi="仿宋" w:eastAsia="仿宋_GB2312" w:cs="仿宋"/>
          <w:b/>
          <w:bCs/>
          <w:color w:val="auto"/>
          <w:sz w:val="24"/>
          <w:highlight w:val="none"/>
        </w:rPr>
        <w:t>3个工作日内</w:t>
      </w:r>
      <w:r>
        <w:rPr>
          <w:rFonts w:hint="eastAsia" w:ascii="仿宋_GB2312" w:hAnsi="仿宋" w:eastAsia="仿宋_GB2312" w:cs="仿宋"/>
          <w:color w:val="auto"/>
          <w:sz w:val="24"/>
          <w:highlight w:val="none"/>
        </w:rPr>
        <w:t>，通过电子交易平台进行备案。</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5.2如中标人为联合体的，由联合体成员各方法定代表人或其授权代表与采购人代表签订合同。</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6.验收</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7.售后服务考核</w:t>
      </w:r>
    </w:p>
    <w:p>
      <w:pPr>
        <w:snapToGrid w:val="0"/>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jc w:val="center"/>
        <w:outlineLvl w:val="0"/>
        <w:rPr>
          <w:rFonts w:ascii="仿宋_GB2312" w:hAnsi="仿宋_GB2312" w:eastAsia="仿宋_GB2312" w:cs="仿宋_GB2312"/>
          <w:b/>
          <w:color w:val="auto"/>
          <w:sz w:val="36"/>
          <w:szCs w:val="36"/>
          <w:highlight w:val="none"/>
        </w:rPr>
      </w:pPr>
    </w:p>
    <w:p>
      <w:pPr>
        <w:spacing w:line="336" w:lineRule="auto"/>
        <w:jc w:val="center"/>
        <w:outlineLvl w:val="0"/>
        <w:rPr>
          <w:rFonts w:ascii="仿宋_GB2312" w:hAnsi="仿宋_GB2312" w:eastAsia="仿宋_GB2312" w:cs="仿宋_GB2312"/>
          <w:b/>
          <w:color w:val="auto"/>
          <w:sz w:val="36"/>
          <w:szCs w:val="36"/>
          <w:highlight w:val="none"/>
        </w:rPr>
      </w:pPr>
      <w:r>
        <w:rPr>
          <w:rFonts w:hint="eastAsia" w:ascii="仿宋_GB2312" w:hAnsi="仿宋_GB2312" w:eastAsia="仿宋_GB2312" w:cs="仿宋_GB2312"/>
          <w:b/>
          <w:color w:val="auto"/>
          <w:sz w:val="36"/>
          <w:szCs w:val="36"/>
          <w:highlight w:val="none"/>
        </w:rPr>
        <w:t>六、询问、质疑与投诉</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1.在线询问、质疑、投诉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2. 供应商询问</w:t>
      </w:r>
    </w:p>
    <w:p>
      <w:pPr>
        <w:autoSpaceDE w:val="0"/>
        <w:autoSpaceDN w:val="0"/>
        <w:spacing w:line="336" w:lineRule="auto"/>
        <w:ind w:firstLine="480" w:firstLineChars="200"/>
        <w:jc w:val="left"/>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3. 供应商质疑</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sz w:val="24"/>
          <w:szCs w:val="20"/>
          <w:highlight w:val="none"/>
        </w:rPr>
        <w:t>.1质疑提出时效</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kern w:val="0"/>
          <w:sz w:val="24"/>
          <w:szCs w:val="20"/>
          <w:highlight w:val="none"/>
          <w:lang w:val="zh-CN"/>
        </w:rPr>
        <w:t>3</w:t>
      </w:r>
      <w:r>
        <w:rPr>
          <w:rFonts w:hint="eastAsia" w:ascii="仿宋_GB2312" w:hAnsi="仿宋" w:eastAsia="仿宋_GB2312"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3.1.2.4对同一采购程序环节的质疑，供应商须一次性提出。</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kern w:val="0"/>
          <w:sz w:val="24"/>
          <w:szCs w:val="20"/>
          <w:highlight w:val="none"/>
          <w:lang w:val="zh-CN"/>
        </w:rPr>
        <w:t>3.</w:t>
      </w:r>
      <w:r>
        <w:rPr>
          <w:rFonts w:hint="eastAsia" w:ascii="仿宋_GB2312" w:hAnsi="仿宋" w:eastAsia="仿宋_GB2312" w:cs="仿宋"/>
          <w:b/>
          <w:bCs/>
          <w:color w:val="auto"/>
          <w:kern w:val="0"/>
          <w:sz w:val="24"/>
          <w:szCs w:val="20"/>
          <w:highlight w:val="none"/>
        </w:rPr>
        <w:t>2</w:t>
      </w:r>
      <w:r>
        <w:rPr>
          <w:rFonts w:hint="eastAsia" w:ascii="仿宋_GB2312" w:hAnsi="仿宋" w:eastAsia="仿宋_GB2312" w:cs="仿宋"/>
          <w:b/>
          <w:bCs/>
          <w:color w:val="auto"/>
          <w:kern w:val="0"/>
          <w:sz w:val="24"/>
          <w:szCs w:val="20"/>
          <w:highlight w:val="none"/>
          <w:lang w:val="zh-CN"/>
        </w:rPr>
        <w:t>质疑函</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供应商的姓名或者名称、地址、邮编、联系人及联系电话；</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质疑项目的名称、编号；</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具体、明确的质疑事项和与质疑事项相关的请求；</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事实依据；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必要的法律依据；</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highlight w:val="none"/>
        </w:rPr>
        <w:t>提出质疑的日期。</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质疑函范本及制作说明详见附件1。</w:t>
      </w:r>
    </w:p>
    <w:p>
      <w:pPr>
        <w:spacing w:line="336" w:lineRule="auto"/>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highlight w:val="none"/>
        </w:rPr>
        <w:t>4.供应商投诉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4.3供应商投诉应当有明确的请求和必要的证明材料。</w:t>
      </w:r>
    </w:p>
    <w:p>
      <w:pPr>
        <w:spacing w:line="336" w:lineRule="auto"/>
        <w:ind w:firstLine="480" w:firstLineChars="200"/>
        <w:rPr>
          <w:rFonts w:ascii="仿宋_GB2312" w:hAnsi="仿宋" w:eastAsia="仿宋_GB2312" w:cs="仿宋"/>
          <w:b/>
          <w:color w:val="auto"/>
          <w:sz w:val="32"/>
          <w:szCs w:val="32"/>
          <w:highlight w:val="none"/>
        </w:rPr>
      </w:pPr>
      <w:r>
        <w:rPr>
          <w:rFonts w:hint="eastAsia" w:ascii="仿宋_GB2312" w:hAnsi="仿宋" w:eastAsia="仿宋_GB2312"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outlineLvl w:val="0"/>
        <w:rPr>
          <w:rFonts w:ascii="仿宋_GB2312" w:hAnsi="仿宋" w:eastAsia="仿宋_GB2312" w:cs="仿宋"/>
          <w:b/>
          <w:color w:val="auto"/>
          <w:sz w:val="32"/>
          <w:szCs w:val="32"/>
          <w:highlight w:val="none"/>
        </w:rPr>
      </w:pPr>
      <w:r>
        <w:rPr>
          <w:rFonts w:hint="eastAsia" w:ascii="仿宋_GB2312" w:hAnsi="仿宋" w:eastAsia="仿宋_GB2312" w:cs="仿宋"/>
          <w:b/>
          <w:bCs/>
          <w:color w:val="auto"/>
          <w:sz w:val="24"/>
          <w:szCs w:val="20"/>
          <w:highlight w:val="none"/>
        </w:rPr>
        <w:t>投诉书范本及制作说明详见附件2。</w:t>
      </w:r>
    </w:p>
    <w:p>
      <w:pPr>
        <w:pageBreakBefore/>
        <w:snapToGrid w:val="0"/>
        <w:spacing w:line="800" w:lineRule="exact"/>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第三部分 招标项目范围及要求</w:t>
      </w:r>
    </w:p>
    <w:p>
      <w:pPr>
        <w:spacing w:line="440" w:lineRule="exact"/>
        <w:ind w:right="420"/>
        <w:rPr>
          <w:rFonts w:ascii="仿宋_GB2312" w:hAnsi="新宋体" w:eastAsia="仿宋_GB2312" w:cs="Arial"/>
          <w:b/>
          <w:bCs/>
          <w:color w:val="auto"/>
          <w:sz w:val="24"/>
          <w:highlight w:val="none"/>
        </w:rPr>
      </w:pPr>
      <w:bookmarkStart w:id="4" w:name="_Toc151354173"/>
      <w:bookmarkStart w:id="5" w:name="_Toc80157775"/>
      <w:bookmarkStart w:id="6" w:name="_Toc81372964"/>
      <w:bookmarkStart w:id="7" w:name="_Toc84325981"/>
      <w:bookmarkStart w:id="8" w:name="_Toc81372787"/>
      <w:r>
        <w:rPr>
          <w:rFonts w:hint="eastAsia" w:ascii="仿宋_GB2312" w:hAnsi="新宋体" w:eastAsia="仿宋_GB2312" w:cs="Arial"/>
          <w:b/>
          <w:bCs/>
          <w:color w:val="auto"/>
          <w:sz w:val="24"/>
          <w:highlight w:val="none"/>
          <w:bdr w:val="single" w:color="auto" w:sz="4" w:space="0"/>
        </w:rPr>
        <w:t>01标</w:t>
      </w:r>
      <w:r>
        <w:rPr>
          <w:rFonts w:hint="eastAsia" w:ascii="仿宋_GB2312" w:hAnsi="新宋体" w:eastAsia="仿宋_GB2312" w:cs="Arial"/>
          <w:b/>
          <w:bCs/>
          <w:color w:val="auto"/>
          <w:sz w:val="24"/>
          <w:highlight w:val="none"/>
          <w:lang w:eastAsia="zh-CN"/>
        </w:rPr>
        <w:t>2025年度物业管理服务项目</w:t>
      </w:r>
      <w:r>
        <w:rPr>
          <w:rFonts w:hint="eastAsia" w:ascii="仿宋_GB2312" w:hAnsi="新宋体" w:eastAsia="仿宋_GB2312" w:cs="Arial"/>
          <w:b/>
          <w:bCs/>
          <w:color w:val="auto"/>
          <w:sz w:val="24"/>
          <w:highlight w:val="none"/>
        </w:rPr>
        <w:t>（预算：99</w:t>
      </w:r>
      <w:r>
        <w:rPr>
          <w:rFonts w:hint="eastAsia" w:ascii="仿宋_GB2312" w:hAnsi="新宋体" w:eastAsia="仿宋_GB2312" w:cs="Arial"/>
          <w:b/>
          <w:bCs/>
          <w:color w:val="auto"/>
          <w:sz w:val="24"/>
          <w:highlight w:val="none"/>
          <w:lang w:val="en-US" w:eastAsia="zh-CN"/>
        </w:rPr>
        <w:t>.</w:t>
      </w:r>
      <w:bookmarkStart w:id="137" w:name="_GoBack"/>
      <w:bookmarkEnd w:id="137"/>
      <w:r>
        <w:rPr>
          <w:rFonts w:hint="eastAsia" w:ascii="仿宋_GB2312" w:hAnsi="新宋体" w:eastAsia="仿宋_GB2312" w:cs="Arial"/>
          <w:b/>
          <w:bCs/>
          <w:color w:val="auto"/>
          <w:sz w:val="24"/>
          <w:highlight w:val="none"/>
        </w:rPr>
        <w:t>0271万元）</w:t>
      </w:r>
      <w:bookmarkStart w:id="9" w:name="_Toc32678"/>
      <w:bookmarkStart w:id="10" w:name="_Toc7206"/>
    </w:p>
    <w:bookmarkEnd w:id="9"/>
    <w:bookmarkEnd w:id="10"/>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b w:val="0"/>
          <w:bCs/>
          <w:color w:val="auto"/>
          <w:sz w:val="24"/>
          <w:szCs w:val="24"/>
          <w:highlight w:val="none"/>
          <w:lang w:val="en-US" w:eastAsia="zh-CN"/>
        </w:rPr>
      </w:pPr>
      <w:r>
        <w:rPr>
          <w:rFonts w:hint="eastAsia" w:ascii="仿宋_GB2312" w:hAnsi="仿宋_GB2312" w:eastAsia="仿宋_GB2312" w:cs="仿宋_GB2312"/>
          <w:b/>
          <w:bCs w:val="0"/>
          <w:color w:val="auto"/>
          <w:sz w:val="24"/>
          <w:szCs w:val="24"/>
          <w:highlight w:val="none"/>
          <w:lang w:val="en-US" w:eastAsia="zh-CN"/>
        </w:rPr>
        <w:t>一、</w:t>
      </w:r>
      <w:r>
        <w:rPr>
          <w:rFonts w:hint="eastAsia" w:ascii="仿宋_GB2312" w:hAnsi="仿宋_GB2312" w:eastAsia="仿宋_GB2312" w:cs="仿宋_GB2312"/>
          <w:b/>
          <w:bCs w:val="0"/>
          <w:color w:val="auto"/>
          <w:sz w:val="24"/>
          <w:szCs w:val="24"/>
          <w:highlight w:val="none"/>
        </w:rPr>
        <w:t>物业</w:t>
      </w:r>
      <w:r>
        <w:rPr>
          <w:rFonts w:hint="eastAsia" w:ascii="仿宋_GB2312" w:hAnsi="仿宋_GB2312" w:eastAsia="仿宋_GB2312" w:cs="仿宋_GB2312"/>
          <w:b/>
          <w:bCs w:val="0"/>
          <w:color w:val="auto"/>
          <w:sz w:val="24"/>
          <w:szCs w:val="24"/>
          <w:highlight w:val="none"/>
          <w:lang w:val="en-US" w:eastAsia="zh-CN"/>
        </w:rPr>
        <w:t>服务范围及服务期限</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1、物业服务范围：</w:t>
      </w:r>
      <w:r>
        <w:rPr>
          <w:rFonts w:hint="eastAsia" w:ascii="仿宋_GB2312" w:hAnsi="仿宋_GB2312" w:eastAsia="仿宋_GB2312" w:cs="仿宋_GB2312"/>
          <w:color w:val="auto"/>
          <w:sz w:val="24"/>
          <w:szCs w:val="24"/>
          <w:highlight w:val="none"/>
        </w:rPr>
        <w:t>绍兴市强制医疗所（安康医院）位于绍兴市越城区丰山路9号，总占地总面积约 10045平方米，总建筑面积15112.34平方米。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2、服务期限：2025年1月1日-2025年12月31日</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textAlignment w:val="auto"/>
        <w:rPr>
          <w:rFonts w:hint="eastAsia" w:ascii="仿宋_GB2312" w:hAnsi="仿宋_GB2312" w:eastAsia="仿宋_GB2312" w:cs="仿宋_GB2312"/>
          <w:b/>
          <w:bCs w:val="0"/>
          <w:color w:val="auto"/>
          <w:sz w:val="24"/>
          <w:szCs w:val="24"/>
          <w:highlight w:val="none"/>
        </w:rPr>
      </w:pPr>
      <w:r>
        <w:rPr>
          <w:rFonts w:hint="eastAsia" w:ascii="仿宋_GB2312" w:hAnsi="仿宋_GB2312" w:eastAsia="仿宋_GB2312" w:cs="仿宋_GB2312"/>
          <w:b/>
          <w:bCs w:val="0"/>
          <w:color w:val="auto"/>
          <w:sz w:val="24"/>
          <w:szCs w:val="24"/>
          <w:highlight w:val="none"/>
          <w:lang w:val="en-US" w:eastAsia="zh-CN"/>
        </w:rPr>
        <w:t xml:space="preserve"> 二、</w:t>
      </w:r>
      <w:r>
        <w:rPr>
          <w:rFonts w:hint="eastAsia" w:ascii="仿宋_GB2312" w:hAnsi="仿宋_GB2312" w:eastAsia="仿宋_GB2312" w:cs="仿宋_GB2312"/>
          <w:b/>
          <w:bCs w:val="0"/>
          <w:color w:val="auto"/>
          <w:sz w:val="24"/>
          <w:szCs w:val="24"/>
          <w:highlight w:val="none"/>
        </w:rPr>
        <w:t>物业内容及要求</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（一）安防服务与要求</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1.保安员素质及数量要求：形象礼仪好，身体健康；统一着装，佩带胸牌；人数不少于4人。</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2.服务内容：</w:t>
      </w:r>
    </w:p>
    <w:p>
      <w:pPr>
        <w:tabs>
          <w:tab w:val="left" w:pos="420"/>
        </w:tabs>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(1)门岗及来客来车</w:t>
      </w:r>
      <w:r>
        <w:rPr>
          <w:rFonts w:hint="eastAsia" w:ascii="仿宋_GB2312" w:hAnsi="仿宋_GB2312" w:eastAsia="仿宋_GB2312" w:cs="仿宋_GB2312"/>
          <w:color w:val="auto"/>
          <w:sz w:val="24"/>
          <w:szCs w:val="24"/>
          <w:highlight w:val="none"/>
          <w:lang w:val="en-US" w:eastAsia="zh-CN"/>
        </w:rPr>
        <w:t>管理</w:t>
      </w:r>
      <w:r>
        <w:rPr>
          <w:rFonts w:hint="eastAsia" w:ascii="仿宋_GB2312" w:hAnsi="仿宋_GB2312" w:eastAsia="仿宋_GB2312" w:cs="仿宋_GB2312"/>
          <w:color w:val="auto"/>
          <w:sz w:val="24"/>
          <w:szCs w:val="24"/>
          <w:highlight w:val="none"/>
        </w:rPr>
        <w:t>。实行24小时值班制，负责门岗执勤、人员登记、车辆引导、秩序维护、疫情防控核查等。对符合监所疫情防控要求的人员，做好各项检测登记后予以进入。其中对外来办事、来访人员要做到“严格登记、准确引导、热情服务”，对未经登记入内的要力劝重新登记，并根据访客去向，及时给予引导，必要时应及时向被访对象核实。同时，要及时制止无关人员、车辆进入采购人单位大院，引导车辆按指定位置停车。重要物资出入应逐件登记、凭证放行，遇有嫌疑及时核实。</w:t>
      </w:r>
    </w:p>
    <w:p>
      <w:pPr>
        <w:tabs>
          <w:tab w:val="left" w:pos="8280"/>
        </w:tabs>
        <w:autoSpaceDE w:val="0"/>
        <w:autoSpaceDN w:val="0"/>
        <w:adjustRightInd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(2)24小时监控值班。遇突发事件时，保持镇定，按照应急预案规定，迅速向相关领导传递信息，配合做好应急处理工作。认真填写值班和消防记录，做好交接班。</w:t>
      </w:r>
    </w:p>
    <w:p>
      <w:pPr>
        <w:tabs>
          <w:tab w:val="left" w:pos="420"/>
        </w:tabs>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r>
        <w:rPr>
          <w:rFonts w:hint="eastAsia" w:ascii="仿宋_GB2312" w:hAnsi="仿宋_GB2312" w:eastAsia="仿宋_GB2312" w:cs="仿宋_GB2312"/>
          <w:color w:val="auto"/>
          <w:sz w:val="24"/>
          <w:szCs w:val="24"/>
          <w:highlight w:val="none"/>
          <w:lang w:val="en-US" w:eastAsia="zh-CN"/>
        </w:rPr>
        <w:t>日常巡查管理。</w:t>
      </w:r>
      <w:r>
        <w:rPr>
          <w:rFonts w:hint="eastAsia" w:ascii="仿宋_GB2312" w:hAnsi="仿宋_GB2312" w:eastAsia="仿宋_GB2312" w:cs="仿宋_GB2312"/>
          <w:color w:val="auto"/>
          <w:sz w:val="24"/>
          <w:szCs w:val="24"/>
          <w:highlight w:val="none"/>
        </w:rPr>
        <w:t>根据采购人单位工作需要，按规定线路及重点部位24小时内不定时巡逻检查，</w:t>
      </w:r>
      <w:r>
        <w:rPr>
          <w:rFonts w:hint="eastAsia" w:ascii="仿宋_GB2312" w:hAnsi="仿宋_GB2312" w:eastAsia="仿宋_GB2312" w:cs="仿宋_GB2312"/>
          <w:color w:val="auto"/>
          <w:kern w:val="0"/>
          <w:sz w:val="24"/>
          <w:szCs w:val="24"/>
          <w:highlight w:val="none"/>
        </w:rPr>
        <w:t>做好日常巡查记录</w:t>
      </w:r>
      <w:r>
        <w:rPr>
          <w:rFonts w:hint="eastAsia" w:ascii="仿宋_GB2312" w:hAnsi="仿宋_GB2312" w:eastAsia="仿宋_GB2312" w:cs="仿宋_GB2312"/>
          <w:color w:val="auto"/>
          <w:sz w:val="24"/>
          <w:szCs w:val="24"/>
          <w:highlight w:val="none"/>
        </w:rPr>
        <w:t>。其他时间，做到严密注视大门人员、车辆和物资出入情况，确保大院内门窗、水电、电器关闭到位，值班电话畅通。非查巡时间应坚守岗位，不得脱岗、串岗，不得做与工作无关的事。</w:t>
      </w:r>
    </w:p>
    <w:p>
      <w:pPr>
        <w:tabs>
          <w:tab w:val="left" w:pos="8280"/>
        </w:tabs>
        <w:autoSpaceDE w:val="0"/>
        <w:autoSpaceDN w:val="0"/>
        <w:adjustRightInd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(4)维护车辆行驶、停泊秩序。对进出</w:t>
      </w:r>
      <w:r>
        <w:rPr>
          <w:rFonts w:hint="eastAsia" w:ascii="仿宋_GB2312" w:hAnsi="仿宋_GB2312" w:eastAsia="仿宋_GB2312" w:cs="仿宋_GB2312"/>
          <w:color w:val="auto"/>
          <w:sz w:val="24"/>
          <w:szCs w:val="24"/>
          <w:highlight w:val="none"/>
          <w:lang w:val="en-US" w:eastAsia="zh-CN"/>
        </w:rPr>
        <w:t>营院</w:t>
      </w:r>
      <w:r>
        <w:rPr>
          <w:rFonts w:hint="eastAsia" w:ascii="仿宋_GB2312" w:hAnsi="仿宋_GB2312" w:eastAsia="仿宋_GB2312" w:cs="仿宋_GB2312"/>
          <w:color w:val="auto"/>
          <w:sz w:val="24"/>
          <w:szCs w:val="24"/>
          <w:highlight w:val="none"/>
        </w:rPr>
        <w:t>区域的各类车辆进行管理，指定车辆停放区域，非机动车定点有序停放，停车区域无易燃、易爆等物品存放。保证停车场的车辆停放整齐、管理有序，保证车辆安全，防止车辆丢失、损坏或酿成事故；做到标志规范、指挥规范、语言规范、管理规范。</w:t>
      </w:r>
    </w:p>
    <w:p>
      <w:pPr>
        <w:tabs>
          <w:tab w:val="left" w:pos="420"/>
        </w:tabs>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(5)报刊、信件收发。</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3.特殊要求：</w:t>
      </w:r>
    </w:p>
    <w:p>
      <w:pPr>
        <w:tabs>
          <w:tab w:val="left" w:pos="420"/>
        </w:tabs>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(1)通过现有的管理手段，采取“人防”与“技防”相结合的管理模式，实施全天候保安管理，切实做好安全防范措施。</w:t>
      </w:r>
    </w:p>
    <w:p>
      <w:pPr>
        <w:tabs>
          <w:tab w:val="left" w:pos="420"/>
        </w:tabs>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(2)运用报警监控系统及巡更系统，发现异常情况，及时报告与妥善处置。</w:t>
      </w:r>
    </w:p>
    <w:p>
      <w:pPr>
        <w:tabs>
          <w:tab w:val="left" w:pos="420"/>
        </w:tabs>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(3)协助公安机关做好区域内的治安案件的处理。</w:t>
      </w:r>
    </w:p>
    <w:p>
      <w:pPr>
        <w:spacing w:line="336" w:lineRule="auto"/>
        <w:ind w:firstLine="480" w:firstLineChars="200"/>
        <w:rPr>
          <w:rFonts w:hint="eastAsia" w:ascii="仿宋_GB2312" w:hAnsi="仿宋_GB2312" w:eastAsia="仿宋_GB2312" w:cs="仿宋_GB2312"/>
          <w:strike w:val="0"/>
          <w:dstrike w:val="0"/>
          <w:color w:val="auto"/>
          <w:sz w:val="24"/>
          <w:szCs w:val="24"/>
          <w:highlight w:val="none"/>
          <w:lang w:val="en-US" w:eastAsia="zh-CN"/>
        </w:rPr>
      </w:pPr>
      <w:r>
        <w:rPr>
          <w:rFonts w:hint="eastAsia" w:ascii="仿宋_GB2312" w:hAnsi="仿宋_GB2312" w:eastAsia="仿宋_GB2312" w:cs="仿宋_GB2312"/>
          <w:color w:val="auto"/>
          <w:sz w:val="24"/>
          <w:szCs w:val="24"/>
          <w:highlight w:val="none"/>
        </w:rPr>
        <w:t>(4)建立严格规范的应急体系，以便应对突发的传染性疾病、火灾、治安等紧急情况。当发生上述情况时，</w:t>
      </w:r>
      <w:r>
        <w:rPr>
          <w:rFonts w:hint="eastAsia" w:ascii="仿宋_GB2312" w:hAnsi="仿宋_GB2312" w:eastAsia="仿宋_GB2312" w:cs="仿宋_GB2312"/>
          <w:strike w:val="0"/>
          <w:dstrike w:val="0"/>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必须无条件配合采购人做好职责范围内的工作。</w:t>
      </w:r>
      <w:r>
        <w:rPr>
          <w:rFonts w:hint="eastAsia" w:ascii="仿宋_GB2312" w:hAnsi="仿宋_GB2312" w:eastAsia="仿宋_GB2312" w:cs="仿宋_GB2312"/>
          <w:strike w:val="0"/>
          <w:dstrike w:val="0"/>
          <w:color w:val="auto"/>
          <w:sz w:val="24"/>
          <w:szCs w:val="24"/>
          <w:highlight w:val="none"/>
          <w:lang w:val="en-US" w:eastAsia="zh-CN"/>
        </w:rPr>
        <w:t>由于场所较为特殊，在紧急情况下，中标人需保证物业人员稳定性，增加临时性人员数量，保证场所正常运行。</w:t>
      </w:r>
    </w:p>
    <w:p>
      <w:pPr>
        <w:spacing w:line="440" w:lineRule="exact"/>
        <w:ind w:firstLine="602" w:firstLineChars="25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color w:val="auto"/>
          <w:sz w:val="24"/>
          <w:szCs w:val="24"/>
          <w:highlight w:val="none"/>
        </w:rPr>
        <w:t>（二）消防管理与要求</w:t>
      </w:r>
      <w:r>
        <w:rPr>
          <w:rFonts w:hint="eastAsia" w:ascii="仿宋_GB2312" w:hAnsi="仿宋_GB2312" w:eastAsia="仿宋_GB2312" w:cs="仿宋_GB2312"/>
          <w:color w:val="auto"/>
          <w:sz w:val="24"/>
          <w:szCs w:val="24"/>
          <w:highlight w:val="none"/>
        </w:rPr>
        <w:t xml:space="preserve">（消防设施完好率为100%）： </w:t>
      </w:r>
    </w:p>
    <w:p>
      <w:pPr>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1.消控员素质及数量要求：</w:t>
      </w:r>
      <w:r>
        <w:rPr>
          <w:rFonts w:hint="eastAsia" w:ascii="仿宋_GB2312" w:hAnsi="仿宋_GB2312" w:eastAsia="仿宋_GB2312" w:cs="仿宋_GB2312"/>
          <w:color w:val="auto"/>
          <w:sz w:val="24"/>
          <w:szCs w:val="24"/>
          <w:highlight w:val="none"/>
          <w:lang w:val="en-US" w:eastAsia="zh-CN"/>
        </w:rPr>
        <w:t>配备消控人员3人</w:t>
      </w:r>
      <w:r>
        <w:rPr>
          <w:rFonts w:hint="eastAsia" w:ascii="仿宋_GB2312" w:hAnsi="仿宋_GB2312" w:eastAsia="仿宋_GB2312" w:cs="仿宋_GB2312"/>
          <w:color w:val="auto"/>
          <w:sz w:val="24"/>
          <w:szCs w:val="24"/>
          <w:highlight w:val="none"/>
        </w:rPr>
        <w:t>，配合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做好消控管理工作。</w:t>
      </w:r>
    </w:p>
    <w:p>
      <w:pPr>
        <w:snapToGrid w:val="0"/>
        <w:spacing w:line="44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 xml:space="preserve">2.消防工作的指导思想是：以防为主，宣传先行，防消结合。 </w:t>
      </w:r>
    </w:p>
    <w:p>
      <w:pPr>
        <w:snapToGrid w:val="0"/>
        <w:spacing w:line="44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rPr>
        <w:t>3.消防系统一般主要有：</w:t>
      </w:r>
    </w:p>
    <w:p>
      <w:pPr>
        <w:snapToGrid w:val="0"/>
        <w:spacing w:line="44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(1)</w:t>
      </w:r>
      <w:r>
        <w:rPr>
          <w:rFonts w:hint="eastAsia" w:ascii="仿宋_GB2312" w:hAnsi="仿宋_GB2312" w:eastAsia="仿宋_GB2312" w:cs="仿宋_GB2312"/>
          <w:bCs/>
          <w:color w:val="auto"/>
          <w:sz w:val="24"/>
          <w:szCs w:val="24"/>
          <w:highlight w:val="none"/>
        </w:rPr>
        <w:t>干式消防系统：自动报警系统，联动总控制屏，BTM气体灭火系统。</w:t>
      </w:r>
    </w:p>
    <w:p>
      <w:pPr>
        <w:snapToGrid w:val="0"/>
        <w:spacing w:line="44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(2)</w:t>
      </w:r>
      <w:r>
        <w:rPr>
          <w:rFonts w:hint="eastAsia" w:ascii="仿宋_GB2312" w:hAnsi="仿宋_GB2312" w:eastAsia="仿宋_GB2312" w:cs="仿宋_GB2312"/>
          <w:bCs/>
          <w:color w:val="auto"/>
          <w:sz w:val="24"/>
          <w:szCs w:val="24"/>
          <w:highlight w:val="none"/>
        </w:rPr>
        <w:t>湿式消防系统：自动喷淋系统，消防栓系统(消防泵)。</w:t>
      </w:r>
    </w:p>
    <w:p>
      <w:pPr>
        <w:snapToGrid w:val="0"/>
        <w:spacing w:line="44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(3)</w:t>
      </w:r>
      <w:r>
        <w:rPr>
          <w:rFonts w:hint="eastAsia" w:ascii="仿宋_GB2312" w:hAnsi="仿宋_GB2312" w:eastAsia="仿宋_GB2312" w:cs="仿宋_GB2312"/>
          <w:bCs/>
          <w:color w:val="auto"/>
          <w:sz w:val="24"/>
          <w:szCs w:val="24"/>
          <w:highlight w:val="none"/>
        </w:rPr>
        <w:t>消防联动机构：消防送风和排烟风机的功能和联动试验；空气系统鲜风机和排气机的功能和联动试验；消防电梯的功能试验。</w:t>
      </w:r>
    </w:p>
    <w:p>
      <w:pPr>
        <w:snapToGrid w:val="0"/>
        <w:spacing w:line="440" w:lineRule="exact"/>
        <w:ind w:firstLine="480" w:firstLineChars="200"/>
        <w:rPr>
          <w:rFonts w:hint="eastAsia" w:ascii="仿宋_GB2312" w:hAnsi="仿宋_GB2312" w:eastAsia="仿宋_GB2312" w:cs="仿宋_GB2312"/>
          <w:bCs/>
          <w:color w:val="auto"/>
          <w:sz w:val="24"/>
          <w:szCs w:val="24"/>
          <w:highlight w:val="none"/>
        </w:rPr>
      </w:pPr>
      <w:r>
        <w:rPr>
          <w:rFonts w:hint="eastAsia" w:ascii="仿宋_GB2312" w:hAnsi="仿宋_GB2312" w:eastAsia="仿宋_GB2312" w:cs="仿宋_GB2312"/>
          <w:bCs/>
          <w:color w:val="auto"/>
          <w:sz w:val="24"/>
          <w:szCs w:val="24"/>
          <w:highlight w:val="none"/>
          <w:lang w:val="en-US" w:eastAsia="zh-CN"/>
        </w:rPr>
        <w:t>(4)</w:t>
      </w:r>
      <w:r>
        <w:rPr>
          <w:rFonts w:hint="eastAsia" w:ascii="仿宋_GB2312" w:hAnsi="仿宋_GB2312" w:eastAsia="仿宋_GB2312" w:cs="仿宋_GB2312"/>
          <w:bCs/>
          <w:color w:val="auto"/>
          <w:sz w:val="24"/>
          <w:szCs w:val="24"/>
          <w:highlight w:val="none"/>
        </w:rPr>
        <w:t>火灾报警系统：自动报警系统（包括感温式火灾报警、感烟式火灾报警、感光式火灾报警），手动报警系统（包括电铃报警、破碎玻璃报警、紧急电话报警）。除消防系统外，楼层(公共)灭火器、手推灭火器由采购人配备、更换，日常巡检、维护由</w:t>
      </w:r>
      <w:r>
        <w:rPr>
          <w:rFonts w:hint="eastAsia" w:ascii="仿宋_GB2312" w:hAnsi="仿宋_GB2312" w:eastAsia="仿宋_GB2312" w:cs="仿宋_GB2312"/>
          <w:bCs/>
          <w:color w:val="auto"/>
          <w:sz w:val="24"/>
          <w:szCs w:val="24"/>
          <w:highlight w:val="none"/>
          <w:lang w:val="en-US" w:eastAsia="zh-CN"/>
        </w:rPr>
        <w:t>中标人</w:t>
      </w:r>
      <w:r>
        <w:rPr>
          <w:rFonts w:hint="eastAsia" w:ascii="仿宋_GB2312" w:hAnsi="仿宋_GB2312" w:eastAsia="仿宋_GB2312" w:cs="仿宋_GB2312"/>
          <w:bCs/>
          <w:color w:val="auto"/>
          <w:sz w:val="24"/>
          <w:szCs w:val="24"/>
          <w:highlight w:val="none"/>
        </w:rPr>
        <w:t>负责。消防疏散示意图范围安装在主要出入口，由</w:t>
      </w:r>
      <w:r>
        <w:rPr>
          <w:rFonts w:hint="eastAsia" w:ascii="仿宋_GB2312" w:hAnsi="仿宋_GB2312" w:eastAsia="仿宋_GB2312" w:cs="仿宋_GB2312"/>
          <w:bCs/>
          <w:color w:val="auto"/>
          <w:sz w:val="24"/>
          <w:szCs w:val="24"/>
          <w:highlight w:val="none"/>
          <w:lang w:val="en-US" w:eastAsia="zh-CN"/>
        </w:rPr>
        <w:t>中标人</w:t>
      </w:r>
      <w:r>
        <w:rPr>
          <w:rFonts w:hint="eastAsia" w:ascii="仿宋_GB2312" w:hAnsi="仿宋_GB2312" w:eastAsia="仿宋_GB2312" w:cs="仿宋_GB2312"/>
          <w:bCs/>
          <w:color w:val="auto"/>
          <w:sz w:val="24"/>
          <w:szCs w:val="24"/>
          <w:highlight w:val="none"/>
        </w:rPr>
        <w:t>负责。</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4.消防安全管理</w:t>
      </w:r>
      <w:r>
        <w:rPr>
          <w:rFonts w:hint="eastAsia" w:ascii="仿宋_GB2312" w:hAnsi="仿宋_GB2312" w:eastAsia="仿宋_GB2312" w:cs="仿宋_GB2312"/>
          <w:color w:val="auto"/>
          <w:sz w:val="24"/>
          <w:szCs w:val="24"/>
          <w:highlight w:val="none"/>
          <w:lang w:eastAsia="zh-CN"/>
        </w:rPr>
        <w:t>：</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snapToGrid w:val="0"/>
          <w:color w:val="auto"/>
          <w:kern w:val="0"/>
          <w:sz w:val="24"/>
          <w:szCs w:val="24"/>
          <w:highlight w:val="none"/>
        </w:rPr>
        <w:t>按照《中华人民共和国消防法》的规定，建立健全消防安全档案。</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snapToGrid w:val="0"/>
          <w:color w:val="auto"/>
          <w:kern w:val="0"/>
          <w:sz w:val="24"/>
          <w:szCs w:val="24"/>
          <w:highlight w:val="none"/>
          <w:lang w:val="en-US" w:eastAsia="zh-CN"/>
        </w:rPr>
      </w:pPr>
      <w:r>
        <w:rPr>
          <w:rFonts w:hint="eastAsia" w:ascii="仿宋_GB2312" w:hAnsi="仿宋_GB2312" w:eastAsia="仿宋_GB2312" w:cs="仿宋_GB2312"/>
          <w:snapToGrid w:val="0"/>
          <w:color w:val="auto"/>
          <w:kern w:val="0"/>
          <w:sz w:val="24"/>
          <w:szCs w:val="24"/>
          <w:highlight w:val="none"/>
          <w:lang w:val="en-US" w:eastAsia="zh-CN"/>
        </w:rPr>
        <w:t>(2)</w:t>
      </w:r>
      <w:r>
        <w:rPr>
          <w:rFonts w:hint="eastAsia" w:ascii="仿宋_GB2312" w:hAnsi="仿宋_GB2312" w:eastAsia="仿宋_GB2312" w:cs="仿宋_GB2312"/>
          <w:snapToGrid w:val="0"/>
          <w:color w:val="auto"/>
          <w:kern w:val="0"/>
          <w:sz w:val="24"/>
          <w:szCs w:val="24"/>
          <w:highlight w:val="none"/>
        </w:rPr>
        <w:t>定期组织派驻服务人员开展消防知识培训、熟练掌握消防安全技能，制定操作性较强的消防应急预案，</w:t>
      </w:r>
      <w:r>
        <w:rPr>
          <w:rFonts w:hint="eastAsia" w:ascii="仿宋_GB2312" w:hAnsi="仿宋_GB2312" w:eastAsia="仿宋_GB2312" w:cs="仿宋_GB2312"/>
          <w:color w:val="auto"/>
          <w:sz w:val="24"/>
          <w:szCs w:val="24"/>
          <w:highlight w:val="none"/>
        </w:rPr>
        <w:t>抓好消防训练，每年组织一次消防演习</w:t>
      </w:r>
      <w:r>
        <w:rPr>
          <w:rFonts w:hint="eastAsia" w:ascii="仿宋_GB2312" w:hAnsi="仿宋_GB2312" w:eastAsia="仿宋_GB2312" w:cs="仿宋_GB2312"/>
          <w:snapToGrid w:val="0"/>
          <w:color w:val="auto"/>
          <w:kern w:val="0"/>
          <w:sz w:val="24"/>
          <w:szCs w:val="24"/>
          <w:highlight w:val="none"/>
          <w:lang w:val="en-US" w:eastAsia="zh-CN"/>
        </w:rPr>
        <w:t>。</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lang w:val="en-US" w:eastAsia="zh-CN"/>
        </w:rPr>
        <w:t>(3)</w:t>
      </w:r>
      <w:r>
        <w:rPr>
          <w:rFonts w:hint="eastAsia" w:ascii="仿宋_GB2312" w:hAnsi="仿宋_GB2312" w:eastAsia="仿宋_GB2312" w:cs="仿宋_GB2312"/>
          <w:snapToGrid w:val="0"/>
          <w:color w:val="auto"/>
          <w:kern w:val="0"/>
          <w:sz w:val="24"/>
          <w:szCs w:val="24"/>
          <w:highlight w:val="none"/>
        </w:rPr>
        <w:t>按照《中华人民共和国消防法》的要求，排查事故隐患，对各种可疑因素或突发事件及时处理，并向</w:t>
      </w:r>
      <w:r>
        <w:rPr>
          <w:rFonts w:hint="eastAsia" w:ascii="仿宋_GB2312" w:hAnsi="仿宋_GB2312" w:eastAsia="仿宋_GB2312" w:cs="仿宋_GB2312"/>
          <w:snapToGrid w:val="0"/>
          <w:color w:val="auto"/>
          <w:kern w:val="0"/>
          <w:sz w:val="24"/>
          <w:szCs w:val="24"/>
          <w:highlight w:val="none"/>
          <w:lang w:val="en-US" w:eastAsia="zh-CN"/>
        </w:rPr>
        <w:t>采购人及时</w:t>
      </w:r>
      <w:r>
        <w:rPr>
          <w:rFonts w:hint="eastAsia" w:ascii="仿宋_GB2312" w:hAnsi="仿宋_GB2312" w:eastAsia="仿宋_GB2312" w:cs="仿宋_GB2312"/>
          <w:snapToGrid w:val="0"/>
          <w:color w:val="auto"/>
          <w:kern w:val="0"/>
          <w:sz w:val="24"/>
          <w:szCs w:val="24"/>
          <w:highlight w:val="none"/>
        </w:rPr>
        <w:t>汇报。</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lang w:val="en-US" w:eastAsia="zh-CN"/>
        </w:rPr>
        <w:t>(4)</w:t>
      </w:r>
      <w:r>
        <w:rPr>
          <w:rFonts w:hint="eastAsia" w:ascii="仿宋_GB2312" w:hAnsi="仿宋_GB2312" w:eastAsia="仿宋_GB2312" w:cs="仿宋_GB2312"/>
          <w:snapToGrid w:val="0"/>
          <w:color w:val="auto"/>
          <w:kern w:val="0"/>
          <w:sz w:val="24"/>
          <w:szCs w:val="24"/>
          <w:highlight w:val="none"/>
        </w:rPr>
        <w:t>底层所有通往室外的疏散门在紧急情况时随时可以打开。</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snapToGrid w:val="0"/>
          <w:color w:val="auto"/>
          <w:kern w:val="0"/>
          <w:sz w:val="24"/>
          <w:szCs w:val="24"/>
          <w:highlight w:val="none"/>
        </w:rPr>
      </w:pPr>
      <w:r>
        <w:rPr>
          <w:rFonts w:hint="eastAsia" w:ascii="仿宋_GB2312" w:hAnsi="仿宋_GB2312" w:eastAsia="仿宋_GB2312" w:cs="仿宋_GB2312"/>
          <w:snapToGrid w:val="0"/>
          <w:color w:val="auto"/>
          <w:kern w:val="0"/>
          <w:sz w:val="24"/>
          <w:szCs w:val="24"/>
          <w:highlight w:val="none"/>
          <w:lang w:val="en-US" w:eastAsia="zh-CN"/>
        </w:rPr>
        <w:t>(5)</w:t>
      </w:r>
      <w:r>
        <w:rPr>
          <w:rFonts w:hint="eastAsia" w:ascii="仿宋_GB2312" w:hAnsi="仿宋_GB2312" w:eastAsia="仿宋_GB2312" w:cs="仿宋_GB2312"/>
          <w:snapToGrid w:val="0"/>
          <w:color w:val="auto"/>
          <w:kern w:val="0"/>
          <w:sz w:val="24"/>
          <w:szCs w:val="24"/>
          <w:highlight w:val="none"/>
        </w:rPr>
        <w:t>注意大楼公共通道，应急通道是否有乱堆乱放物品，一经发现，应通知相关人员将物品搬离。</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snapToGrid w:val="0"/>
          <w:color w:val="auto"/>
          <w:kern w:val="0"/>
          <w:sz w:val="24"/>
          <w:szCs w:val="24"/>
          <w:highlight w:val="none"/>
          <w:lang w:val="en-US" w:eastAsia="zh-CN"/>
        </w:rPr>
        <w:t>(6)</w:t>
      </w:r>
      <w:r>
        <w:rPr>
          <w:rFonts w:hint="eastAsia" w:ascii="仿宋_GB2312" w:hAnsi="仿宋_GB2312" w:eastAsia="仿宋_GB2312" w:cs="仿宋_GB2312"/>
          <w:snapToGrid w:val="0"/>
          <w:color w:val="auto"/>
          <w:kern w:val="0"/>
          <w:sz w:val="24"/>
          <w:szCs w:val="24"/>
          <w:highlight w:val="none"/>
        </w:rPr>
        <w:t>负责</w:t>
      </w:r>
      <w:r>
        <w:rPr>
          <w:rFonts w:hint="eastAsia" w:ascii="仿宋_GB2312" w:hAnsi="仿宋_GB2312" w:eastAsia="仿宋_GB2312" w:cs="仿宋_GB2312"/>
          <w:snapToGrid w:val="0"/>
          <w:color w:val="auto"/>
          <w:kern w:val="0"/>
          <w:sz w:val="24"/>
          <w:szCs w:val="24"/>
          <w:highlight w:val="none"/>
          <w:lang w:val="en-US" w:eastAsia="zh-CN"/>
        </w:rPr>
        <w:t>采购人营院区域内所有</w:t>
      </w:r>
      <w:r>
        <w:rPr>
          <w:rFonts w:hint="eastAsia" w:ascii="仿宋_GB2312" w:hAnsi="仿宋_GB2312" w:eastAsia="仿宋_GB2312" w:cs="仿宋_GB2312"/>
          <w:snapToGrid w:val="0"/>
          <w:color w:val="auto"/>
          <w:kern w:val="0"/>
          <w:sz w:val="24"/>
          <w:szCs w:val="24"/>
          <w:highlight w:val="none"/>
        </w:rPr>
        <w:t>消防设施、设备的日常巡检，做好物业服务范围内的所有消防设施、器械日常养护、维修工作。</w:t>
      </w:r>
      <w:r>
        <w:rPr>
          <w:rFonts w:hint="eastAsia" w:ascii="仿宋_GB2312" w:hAnsi="仿宋_GB2312" w:eastAsia="仿宋_GB2312" w:cs="仿宋_GB2312"/>
          <w:color w:val="auto"/>
          <w:sz w:val="24"/>
          <w:szCs w:val="24"/>
          <w:highlight w:val="none"/>
          <w:lang w:val="en-US" w:eastAsia="zh-CN"/>
        </w:rPr>
        <w:t>需维修更换零部件时只得收取相应的材料费，不得额外收取人工（安装）费用</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spacing w:line="440" w:lineRule="exact"/>
        <w:ind w:firstLine="482"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（三）保洁服务与要求</w:t>
      </w:r>
      <w:r>
        <w:rPr>
          <w:rFonts w:hint="eastAsia" w:ascii="仿宋_GB2312" w:hAnsi="仿宋_GB2312" w:eastAsia="仿宋_GB2312" w:cs="仿宋_GB2312"/>
          <w:color w:val="auto"/>
          <w:sz w:val="24"/>
          <w:szCs w:val="24"/>
          <w:highlight w:val="none"/>
        </w:rPr>
        <w:t>（确保建筑群和各公共场所整洁）：</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1.保洁员素质及数量要求：身体健康；统一着装，佩带胸牌、仪容仪表整洁端庄；保洁人数不少于</w:t>
      </w:r>
      <w:r>
        <w:rPr>
          <w:rFonts w:hint="eastAsia" w:ascii="仿宋_GB2312" w:hAnsi="仿宋_GB2312" w:eastAsia="仿宋_GB2312" w:cs="仿宋_GB2312"/>
          <w:strike w:val="0"/>
          <w:dstrike w:val="0"/>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人。</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需配垃圾</w:t>
      </w:r>
      <w:r>
        <w:rPr>
          <w:rFonts w:hint="eastAsia" w:ascii="仿宋_GB2312" w:hAnsi="仿宋_GB2312" w:eastAsia="仿宋_GB2312" w:cs="仿宋_GB2312"/>
          <w:color w:val="auto"/>
          <w:sz w:val="24"/>
          <w:szCs w:val="24"/>
          <w:highlight w:val="none"/>
          <w:lang w:val="en-US" w:eastAsia="zh-CN"/>
        </w:rPr>
        <w:t>清</w:t>
      </w:r>
      <w:r>
        <w:rPr>
          <w:rFonts w:hint="eastAsia" w:ascii="仿宋_GB2312" w:hAnsi="仿宋_GB2312" w:eastAsia="仿宋_GB2312" w:cs="仿宋_GB2312"/>
          <w:color w:val="auto"/>
          <w:sz w:val="24"/>
          <w:szCs w:val="24"/>
          <w:highlight w:val="none"/>
        </w:rPr>
        <w:t>运车</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辆、多功能洗地机1台。</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2.服务内容：</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(1)清扫、拖扫医院地面和楼梯间地面，清抹擦拭公共通道窗玻璃、通道门窗、各层办公室外门和门套、防火门、管道进门、走廊灯具、开关、栏杆、楼梯扶手、墙面、窗台板等公共区域，并随时保洁。</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(2)部分办公室、会议室、接待室、值班室、休息室、活动室、堆积间、浴室、阅览室、地下室、阳台露台等区域每天至少打扫一次（打扫间数由采购人与</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协商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不少于10间）。</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(3)随时清抹玻璃门、电梯门、电梯按钮、电梯轿厢内不绣钢壁面。</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(4)公共洗手间和茶水间内的墙面、地面、台面及卫生洁具的及时清洗和保洁，</w:t>
      </w:r>
      <w:r>
        <w:rPr>
          <w:rFonts w:hint="eastAsia" w:ascii="仿宋_GB2312" w:hAnsi="仿宋_GB2312" w:eastAsia="仿宋_GB2312" w:cs="仿宋_GB2312"/>
          <w:color w:val="auto"/>
          <w:sz w:val="24"/>
          <w:szCs w:val="24"/>
          <w:highlight w:val="none"/>
          <w:lang w:val="en-US" w:eastAsia="zh-CN"/>
        </w:rPr>
        <w:t>并</w:t>
      </w:r>
      <w:r>
        <w:rPr>
          <w:rFonts w:hint="eastAsia" w:ascii="仿宋_GB2312" w:hAnsi="仿宋_GB2312" w:eastAsia="仿宋_GB2312" w:cs="仿宋_GB2312"/>
          <w:color w:val="auto"/>
          <w:sz w:val="24"/>
          <w:szCs w:val="24"/>
          <w:highlight w:val="none"/>
        </w:rPr>
        <w:t>及时清倒，清洗垃圾桶。</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(5)室内公共区域及监区垃圾每天及时清倒、垃圾桶每天清洗；及时清理公共场所；及时清扫积水、积雪；及时组织清理乱堆放物品、乱张贴宣传品等。</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(6)室外广场道路、停车场、绿化带的保洁。雨雪天气时，保证广场面</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路面</w:t>
      </w:r>
      <w:r>
        <w:rPr>
          <w:rFonts w:hint="eastAsia" w:ascii="仿宋_GB2312" w:hAnsi="仿宋_GB2312" w:eastAsia="仿宋_GB2312" w:cs="仿宋_GB2312"/>
          <w:color w:val="auto"/>
          <w:sz w:val="24"/>
          <w:szCs w:val="24"/>
          <w:highlight w:val="none"/>
        </w:rPr>
        <w:t>不积水、少结冰（中、大雪以上保证道路畅通）</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(7)定期清抹路灯、标识牌等。</w:t>
      </w:r>
    </w:p>
    <w:p>
      <w:pPr>
        <w:keepNext w:val="0"/>
        <w:keepLines w:val="0"/>
        <w:pageBreakBefore w:val="0"/>
        <w:widowControl w:val="0"/>
        <w:tabs>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(8)四害消杀，3-11月份每3天对垃圾桶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地沟等消杀喷药一次，冬季每周一次，必须达到创卫要求和灭四害标准（每次消杀完毕做好台账登记记录）</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该</w:t>
      </w:r>
      <w:r>
        <w:rPr>
          <w:rFonts w:hint="eastAsia" w:ascii="仿宋_GB2312" w:hAnsi="仿宋_GB2312" w:eastAsia="仿宋_GB2312" w:cs="仿宋_GB2312"/>
          <w:color w:val="auto"/>
          <w:sz w:val="24"/>
          <w:highlight w:val="none"/>
          <w:lang w:val="en-US" w:eastAsia="zh-CN"/>
        </w:rPr>
        <w:t>费用均包含在投标报价内</w:t>
      </w:r>
      <w:r>
        <w:rPr>
          <w:rFonts w:hint="eastAsia" w:ascii="仿宋_GB2312" w:hAnsi="仿宋_GB2312" w:eastAsia="仿宋_GB2312" w:cs="仿宋_GB2312"/>
          <w:color w:val="auto"/>
          <w:sz w:val="24"/>
          <w:szCs w:val="24"/>
          <w:highlight w:val="none"/>
        </w:rPr>
        <w:t>。</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rPr>
        <w:t>(9)及时对垃圾筒、垃圾集中点进行消毒，由专人管理、合理设置。垃圾桶每日清理一次，垃圾桶无满溢、无异味、无污迹</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人为造成的垃圾桶损坏由中标人进行赔偿或补足</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营院</w:t>
      </w:r>
      <w:r>
        <w:rPr>
          <w:rFonts w:hint="eastAsia" w:ascii="仿宋_GB2312" w:hAnsi="仿宋_GB2312" w:eastAsia="仿宋_GB2312" w:cs="仿宋_GB2312"/>
          <w:color w:val="auto"/>
          <w:sz w:val="24"/>
          <w:szCs w:val="24"/>
          <w:highlight w:val="none"/>
        </w:rPr>
        <w:t>内垃圾日产日清，按城市卫生要求，对全</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产生的垃圾进行分类管理。定时全部运输至指定地点，收集过程确保干净整洁，运输中车辆要做好防护，不得沿路抛撒、滴漏，避免二次污染</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(10)大楼外墙每年清洗一次</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除墙面为外墙涂料以外的所有外墙</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(11)二次供水水箱按规定清洗，定时巡查，</w:t>
      </w:r>
      <w:r>
        <w:rPr>
          <w:rFonts w:hint="eastAsia" w:ascii="仿宋_GB2312" w:hAnsi="仿宋_GB2312" w:eastAsia="仿宋_GB2312" w:cs="仿宋_GB2312"/>
          <w:color w:val="auto"/>
          <w:sz w:val="24"/>
          <w:szCs w:val="24"/>
          <w:highlight w:val="none"/>
          <w:lang w:val="en-US" w:eastAsia="zh-CN"/>
        </w:rPr>
        <w:t>确保</w:t>
      </w:r>
      <w:r>
        <w:rPr>
          <w:rFonts w:hint="eastAsia" w:ascii="仿宋_GB2312" w:hAnsi="仿宋_GB2312" w:eastAsia="仿宋_GB2312" w:cs="仿宋_GB2312"/>
          <w:color w:val="auto"/>
          <w:sz w:val="24"/>
          <w:szCs w:val="24"/>
          <w:highlight w:val="none"/>
        </w:rPr>
        <w:t>水质符合卫生要求。</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(12)公共雨、污水管道、</w:t>
      </w:r>
      <w:r>
        <w:rPr>
          <w:rFonts w:hint="eastAsia" w:ascii="仿宋_GB2312" w:hAnsi="仿宋_GB2312" w:eastAsia="仿宋_GB2312" w:cs="仿宋_GB2312"/>
          <w:color w:val="auto"/>
          <w:sz w:val="24"/>
          <w:szCs w:val="24"/>
          <w:highlight w:val="none"/>
          <w:lang w:eastAsia="zh-CN"/>
        </w:rPr>
        <w:t>顶层</w:t>
      </w:r>
      <w:r>
        <w:rPr>
          <w:rFonts w:hint="eastAsia" w:ascii="仿宋_GB2312" w:hAnsi="仿宋_GB2312" w:eastAsia="仿宋_GB2312" w:cs="仿宋_GB2312"/>
          <w:color w:val="auto"/>
          <w:sz w:val="24"/>
          <w:szCs w:val="24"/>
          <w:highlight w:val="none"/>
          <w:lang w:val="en-US" w:eastAsia="zh-CN"/>
        </w:rPr>
        <w:t>楼面下水管道等</w:t>
      </w:r>
      <w:r>
        <w:rPr>
          <w:rFonts w:hint="eastAsia" w:ascii="仿宋_GB2312" w:hAnsi="仿宋_GB2312" w:eastAsia="仿宋_GB2312" w:cs="仿宋_GB2312"/>
          <w:color w:val="auto"/>
          <w:sz w:val="24"/>
          <w:szCs w:val="24"/>
          <w:highlight w:val="none"/>
        </w:rPr>
        <w:t>保证畅通无堵，疏通每半年不少于一次，屋顶檐沟每</w:t>
      </w:r>
      <w:r>
        <w:rPr>
          <w:rFonts w:hint="eastAsia" w:ascii="仿宋_GB2312" w:hAnsi="仿宋_GB2312" w:eastAsia="仿宋_GB2312" w:cs="仿宋_GB2312"/>
          <w:strike w:val="0"/>
          <w:dstrike w:val="0"/>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检查；化粪池、隔油池保持通畅、无堵塞、无满溢，每月检查一次，每</w:t>
      </w:r>
      <w:r>
        <w:rPr>
          <w:rFonts w:hint="eastAsia" w:ascii="仿宋_GB2312" w:hAnsi="仿宋_GB2312" w:eastAsia="仿宋_GB2312" w:cs="仿宋_GB2312"/>
          <w:color w:val="auto"/>
          <w:sz w:val="24"/>
          <w:szCs w:val="24"/>
          <w:highlight w:val="none"/>
          <w:lang w:val="en-US" w:eastAsia="zh-CN"/>
        </w:rPr>
        <w:t>半</w:t>
      </w:r>
      <w:r>
        <w:rPr>
          <w:rFonts w:hint="eastAsia" w:ascii="仿宋_GB2312" w:hAnsi="仿宋_GB2312" w:eastAsia="仿宋_GB2312" w:cs="仿宋_GB2312"/>
          <w:color w:val="auto"/>
          <w:sz w:val="24"/>
          <w:szCs w:val="24"/>
          <w:highlight w:val="none"/>
        </w:rPr>
        <w:t>年清掏</w:t>
      </w:r>
      <w:r>
        <w:rPr>
          <w:rFonts w:hint="eastAsia" w:ascii="仿宋_GB2312" w:hAnsi="仿宋_GB2312" w:eastAsia="仿宋_GB2312" w:cs="仿宋_GB2312"/>
          <w:color w:val="auto"/>
          <w:sz w:val="24"/>
          <w:szCs w:val="24"/>
          <w:highlight w:val="none"/>
          <w:lang w:val="en-US" w:eastAsia="zh-CN"/>
        </w:rPr>
        <w:t>一</w:t>
      </w:r>
      <w:r>
        <w:rPr>
          <w:rFonts w:hint="eastAsia" w:ascii="仿宋_GB2312" w:hAnsi="仿宋_GB2312" w:eastAsia="仿宋_GB2312" w:cs="仿宋_GB2312"/>
          <w:color w:val="auto"/>
          <w:sz w:val="24"/>
          <w:szCs w:val="24"/>
          <w:highlight w:val="none"/>
        </w:rPr>
        <w:t>次，发现异常及时清掏。</w:t>
      </w:r>
    </w:p>
    <w:p>
      <w:pPr>
        <w:keepNext w:val="0"/>
        <w:keepLines w:val="0"/>
        <w:pageBreakBefore w:val="0"/>
        <w:widowControl w:val="0"/>
        <w:tabs>
          <w:tab w:val="left" w:pos="420"/>
          <w:tab w:val="left" w:pos="630"/>
          <w:tab w:val="left" w:pos="840"/>
          <w:tab w:val="left" w:pos="1050"/>
        </w:tabs>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(13)协助做好会务工作，会间随时更换相应用品，同时讲究文明礼貌，接待应热情周到；会后要及时清理会场，以备随时使用。</w:t>
      </w:r>
    </w:p>
    <w:p>
      <w:pPr>
        <w:keepNext w:val="0"/>
        <w:keepLines w:val="0"/>
        <w:pageBreakBefore w:val="0"/>
        <w:widowControl w:val="0"/>
        <w:kinsoku/>
        <w:wordWrap/>
        <w:overflowPunct/>
        <w:topLinePunct w:val="0"/>
        <w:autoSpaceDE/>
        <w:autoSpaceDN/>
        <w:bidi w:val="0"/>
        <w:spacing w:line="440" w:lineRule="exact"/>
        <w:ind w:firstLine="422" w:firstLineChars="175"/>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（四）绿化养护(含盆花租摆)及要求</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1.区域内树木、花坛、花卉的养护培植，室外树木草坪的修剪养护等。区域内花木无缺株，乔木一年修剪不少于四次，具体要求在台风季节前和冬春季进行疏枝修剪</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修剪时间</w:t>
      </w:r>
      <w:r>
        <w:rPr>
          <w:rFonts w:hint="eastAsia" w:ascii="仿宋_GB2312" w:hAnsi="仿宋_GB2312" w:eastAsia="仿宋_GB2312" w:cs="仿宋_GB2312"/>
          <w:color w:val="auto"/>
          <w:sz w:val="24"/>
          <w:szCs w:val="24"/>
          <w:highlight w:val="none"/>
        </w:rPr>
        <w:t>分别在4月、7月和12月进行</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2.盆花</w:t>
      </w:r>
      <w:r>
        <w:rPr>
          <w:rFonts w:hint="eastAsia" w:ascii="仿宋_GB2312" w:hAnsi="仿宋_GB2312" w:eastAsia="仿宋_GB2312" w:cs="仿宋_GB2312"/>
          <w:color w:val="auto"/>
          <w:sz w:val="24"/>
          <w:szCs w:val="24"/>
          <w:highlight w:val="none"/>
          <w:lang w:val="en-US" w:eastAsia="zh-CN"/>
        </w:rPr>
        <w:t>每周</w:t>
      </w:r>
      <w:r>
        <w:rPr>
          <w:rFonts w:hint="eastAsia" w:ascii="仿宋_GB2312" w:hAnsi="仿宋_GB2312" w:eastAsia="仿宋_GB2312" w:cs="仿宋_GB2312"/>
          <w:color w:val="auto"/>
          <w:sz w:val="24"/>
          <w:szCs w:val="24"/>
          <w:highlight w:val="none"/>
        </w:rPr>
        <w:t>巡查更换一次，做好定期浇水、施肥、修剪及病虫防治工作，花草树木修剪及时，无枯枝、死杈及病虫害现象，如有枯萎、腐烂等盆花应及时更换。</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3.保护绿地不被侵占，绿地无裸露黄土，植被配置合理；草地平整，无斑秃。乔、灌、草及时修剪，保证整齐、美观。保证绿地清洁卫生，</w:t>
      </w:r>
      <w:r>
        <w:rPr>
          <w:rFonts w:hint="eastAsia" w:ascii="仿宋_GB2312" w:hAnsi="仿宋_GB2312" w:eastAsia="仿宋_GB2312" w:cs="仿宋_GB2312"/>
          <w:snapToGrid w:val="0"/>
          <w:color w:val="auto"/>
          <w:kern w:val="0"/>
          <w:sz w:val="24"/>
          <w:szCs w:val="24"/>
          <w:highlight w:val="none"/>
        </w:rPr>
        <w:t>草坪、花坛内的枯枝落叶每日进行清扫，确保无杂物、无堆物，巡回保洁</w:t>
      </w:r>
      <w:r>
        <w:rPr>
          <w:rFonts w:hint="eastAsia" w:ascii="仿宋_GB2312" w:hAnsi="仿宋_GB2312" w:eastAsia="仿宋_GB2312" w:cs="仿宋_GB2312"/>
          <w:snapToGrid w:val="0"/>
          <w:color w:val="auto"/>
          <w:kern w:val="0"/>
          <w:sz w:val="24"/>
          <w:szCs w:val="24"/>
          <w:highlight w:val="none"/>
          <w:lang w:eastAsia="zh-CN"/>
        </w:rPr>
        <w:t>，</w:t>
      </w:r>
      <w:r>
        <w:rPr>
          <w:rFonts w:hint="eastAsia" w:ascii="仿宋_GB2312" w:hAnsi="仿宋_GB2312" w:eastAsia="仿宋_GB2312" w:cs="仿宋_GB2312"/>
          <w:color w:val="auto"/>
          <w:sz w:val="24"/>
          <w:szCs w:val="24"/>
          <w:highlight w:val="none"/>
        </w:rPr>
        <w:t>达到除“四害”达标。</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4.遇到灾害性气候，应及时组织人员进行抗旱浇水，抗台扶树，抗雪防冻保绿。对台风高发季节，要求预防措施到位，抢救及时</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事先及时组织支撑、修剪等措施，事中事后及时组织应急小分队进行抢救。</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color w:val="auto"/>
          <w:sz w:val="24"/>
          <w:szCs w:val="24"/>
          <w:highlight w:val="none"/>
        </w:rPr>
        <w:t>5.因特殊原因需增加花木数量（节日、会议、活动性用花等），</w:t>
      </w:r>
      <w:r>
        <w:rPr>
          <w:rFonts w:hint="eastAsia" w:ascii="仿宋_GB2312" w:hAnsi="仿宋_GB2312" w:eastAsia="仿宋_GB2312" w:cs="仿宋_GB2312"/>
          <w:color w:val="auto"/>
          <w:sz w:val="24"/>
          <w:szCs w:val="24"/>
          <w:highlight w:val="none"/>
          <w:lang w:val="en-US" w:eastAsia="zh-CN"/>
        </w:rPr>
        <w:t>该</w:t>
      </w:r>
      <w:r>
        <w:rPr>
          <w:rFonts w:hint="eastAsia" w:ascii="仿宋_GB2312" w:hAnsi="仿宋_GB2312" w:eastAsia="仿宋_GB2312" w:cs="仿宋_GB2312"/>
          <w:color w:val="auto"/>
          <w:sz w:val="24"/>
          <w:highlight w:val="none"/>
          <w:lang w:val="en-US" w:eastAsia="zh-CN"/>
        </w:rPr>
        <w:t>费用均包含在投标报价内</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6.绿化租摆数量要求：大型</w:t>
      </w:r>
      <w:r>
        <w:rPr>
          <w:rFonts w:hint="eastAsia" w:ascii="仿宋_GB2312" w:hAnsi="仿宋_GB2312" w:eastAsia="仿宋_GB2312" w:cs="仿宋_GB2312"/>
          <w:color w:val="auto"/>
          <w:sz w:val="24"/>
          <w:szCs w:val="24"/>
          <w:highlight w:val="none"/>
          <w:lang w:val="en-US" w:eastAsia="zh-CN"/>
        </w:rPr>
        <w:t>50</w:t>
      </w:r>
      <w:r>
        <w:rPr>
          <w:rFonts w:hint="eastAsia" w:ascii="仿宋_GB2312" w:hAnsi="仿宋_GB2312" w:eastAsia="仿宋_GB2312" w:cs="仿宋_GB2312"/>
          <w:color w:val="auto"/>
          <w:sz w:val="24"/>
          <w:szCs w:val="24"/>
          <w:highlight w:val="none"/>
        </w:rPr>
        <w:t>盆，中型1</w:t>
      </w: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盆，小型</w:t>
      </w:r>
      <w:r>
        <w:rPr>
          <w:rFonts w:hint="eastAsia" w:ascii="仿宋_GB2312" w:hAnsi="仿宋_GB2312" w:eastAsia="仿宋_GB2312" w:cs="仿宋_GB2312"/>
          <w:color w:val="auto"/>
          <w:sz w:val="24"/>
          <w:szCs w:val="24"/>
          <w:highlight w:val="none"/>
          <w:lang w:val="en-US" w:eastAsia="zh-CN"/>
        </w:rPr>
        <w:t>70</w:t>
      </w:r>
      <w:r>
        <w:rPr>
          <w:rFonts w:hint="eastAsia" w:ascii="仿宋_GB2312" w:hAnsi="仿宋_GB2312" w:eastAsia="仿宋_GB2312" w:cs="仿宋_GB2312"/>
          <w:color w:val="auto"/>
          <w:sz w:val="24"/>
          <w:szCs w:val="24"/>
          <w:highlight w:val="none"/>
        </w:rPr>
        <w:t>盆，草花</w:t>
      </w:r>
      <w:r>
        <w:rPr>
          <w:rFonts w:hint="eastAsia" w:ascii="仿宋_GB2312" w:hAnsi="仿宋_GB2312" w:eastAsia="仿宋_GB2312" w:cs="仿宋_GB2312"/>
          <w:color w:val="auto"/>
          <w:sz w:val="24"/>
          <w:szCs w:val="24"/>
          <w:highlight w:val="none"/>
          <w:lang w:val="en-US" w:eastAsia="zh-CN"/>
        </w:rPr>
        <w:t>60</w:t>
      </w:r>
      <w:r>
        <w:rPr>
          <w:rFonts w:hint="eastAsia" w:ascii="仿宋_GB2312" w:hAnsi="仿宋_GB2312" w:eastAsia="仿宋_GB2312" w:cs="仿宋_GB2312"/>
          <w:color w:val="auto"/>
          <w:sz w:val="24"/>
          <w:szCs w:val="24"/>
          <w:highlight w:val="none"/>
        </w:rPr>
        <w:t>盆。</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highlight w:val="none"/>
        </w:rPr>
        <w:t xml:space="preserve"> </w:t>
      </w:r>
      <w:r>
        <w:rPr>
          <w:rFonts w:hint="eastAsia" w:ascii="仿宋_GB2312" w:hAnsi="仿宋_GB2312" w:eastAsia="仿宋_GB2312" w:cs="仿宋_GB2312"/>
          <w:color w:val="auto"/>
          <w:sz w:val="24"/>
          <w:szCs w:val="24"/>
          <w:highlight w:val="none"/>
          <w:lang w:val="en-US" w:eastAsia="zh-CN"/>
        </w:rPr>
        <w:t xml:space="preserve">  </w:t>
      </w:r>
      <w:r>
        <w:rPr>
          <w:rFonts w:hint="eastAsia" w:ascii="仿宋_GB2312" w:hAnsi="仿宋_GB2312" w:eastAsia="仿宋_GB2312" w:cs="仿宋_GB2312"/>
          <w:b/>
          <w:bCs/>
          <w:color w:val="auto"/>
          <w:sz w:val="24"/>
          <w:szCs w:val="24"/>
          <w:highlight w:val="none"/>
        </w:rPr>
        <w:t>（五）高配操作服务与要求</w:t>
      </w:r>
      <w:r>
        <w:rPr>
          <w:rFonts w:hint="eastAsia" w:ascii="仿宋_GB2312" w:hAnsi="仿宋_GB2312" w:eastAsia="仿宋_GB2312" w:cs="仿宋_GB2312"/>
          <w:color w:val="auto"/>
          <w:sz w:val="24"/>
          <w:szCs w:val="24"/>
          <w:highlight w:val="none"/>
        </w:rPr>
        <w:t>（确保场</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高低压配电系统的正常运行）</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1.高配员工的人员素质及数量要求：需</w:t>
      </w:r>
      <w:r>
        <w:rPr>
          <w:rFonts w:hint="eastAsia" w:ascii="仿宋_GB2312" w:hAnsi="仿宋_GB2312" w:eastAsia="仿宋_GB2312" w:cs="仿宋_GB2312"/>
          <w:color w:val="auto"/>
          <w:sz w:val="24"/>
          <w:szCs w:val="24"/>
          <w:highlight w:val="none"/>
          <w:lang w:val="en-US" w:eastAsia="zh-CN"/>
        </w:rPr>
        <w:t>持有应急管理部门颁发或监制的特种作业操作证（</w:t>
      </w:r>
      <w:r>
        <w:rPr>
          <w:rFonts w:hint="eastAsia" w:ascii="仿宋_GB2312" w:hAnsi="仿宋_GB2312" w:eastAsia="仿宋_GB2312" w:cs="仿宋_GB2312"/>
          <w:color w:val="auto"/>
          <w:sz w:val="24"/>
          <w:szCs w:val="24"/>
          <w:highlight w:val="none"/>
          <w:lang w:val="en-US" w:eastAsia="zh-CN"/>
        </w:rPr>
        <w:fldChar w:fldCharType="begin"/>
      </w:r>
      <w:r>
        <w:rPr>
          <w:rFonts w:hint="eastAsia" w:ascii="仿宋_GB2312" w:hAnsi="仿宋_GB2312" w:eastAsia="仿宋_GB2312" w:cs="仿宋_GB2312"/>
          <w:color w:val="auto"/>
          <w:sz w:val="24"/>
          <w:szCs w:val="24"/>
          <w:highlight w:val="none"/>
          <w:lang w:val="en-US" w:eastAsia="zh-CN"/>
        </w:rPr>
        <w:instrText xml:space="preserve"> HYPERLINK "https://baike.baidu.com/item/%E9%AB%98%E5%8E%8B%E7%94%B5/290410?fromModule=lemma_inlink" \t "https://baike.baidu.com/item/%E7%89%B9%E7%A7%8D%E4%BD%9C%E4%B8%9A%E6%93%8D%E4%BD%9C%E8%AF%81/_blank" </w:instrText>
      </w:r>
      <w:r>
        <w:rPr>
          <w:rFonts w:hint="eastAsia" w:ascii="仿宋_GB2312" w:hAnsi="仿宋_GB2312" w:eastAsia="仿宋_GB2312" w:cs="仿宋_GB2312"/>
          <w:color w:val="auto"/>
          <w:sz w:val="24"/>
          <w:szCs w:val="24"/>
          <w:highlight w:val="none"/>
          <w:lang w:val="en-US" w:eastAsia="zh-CN"/>
        </w:rPr>
        <w:fldChar w:fldCharType="separate"/>
      </w:r>
      <w:r>
        <w:rPr>
          <w:rFonts w:hint="eastAsia" w:ascii="仿宋_GB2312" w:hAnsi="仿宋_GB2312" w:eastAsia="仿宋_GB2312" w:cs="仿宋_GB2312"/>
          <w:color w:val="auto"/>
          <w:sz w:val="24"/>
          <w:szCs w:val="24"/>
          <w:highlight w:val="none"/>
          <w:lang w:val="en-US" w:eastAsia="zh-CN"/>
        </w:rPr>
        <w:t>高压电</w:t>
      </w:r>
      <w:r>
        <w:rPr>
          <w:rFonts w:hint="eastAsia" w:ascii="仿宋_GB2312" w:hAnsi="仿宋_GB2312" w:eastAsia="仿宋_GB2312" w:cs="仿宋_GB2312"/>
          <w:color w:val="auto"/>
          <w:sz w:val="24"/>
          <w:szCs w:val="24"/>
          <w:highlight w:val="none"/>
          <w:lang w:val="en-US" w:eastAsia="zh-CN"/>
        </w:rPr>
        <w:fldChar w:fldCharType="end"/>
      </w:r>
      <w:r>
        <w:rPr>
          <w:rFonts w:hint="eastAsia" w:ascii="仿宋_GB2312" w:hAnsi="仿宋_GB2312" w:eastAsia="仿宋_GB2312" w:cs="仿宋_GB2312"/>
          <w:color w:val="auto"/>
          <w:sz w:val="24"/>
          <w:szCs w:val="24"/>
          <w:highlight w:val="none"/>
          <w:lang w:val="en-US" w:eastAsia="zh-CN"/>
        </w:rPr>
        <w:t>工作业）</w:t>
      </w:r>
      <w:r>
        <w:rPr>
          <w:rFonts w:hint="eastAsia" w:ascii="仿宋_GB2312" w:hAnsi="仿宋_GB2312" w:eastAsia="仿宋_GB2312" w:cs="仿宋_GB2312"/>
          <w:color w:val="auto"/>
          <w:sz w:val="24"/>
          <w:szCs w:val="24"/>
          <w:highlight w:val="none"/>
        </w:rPr>
        <w:t>。身体健康；统一着装，佩带胸牌、仪容仪表整洁端庄；人数不少于3人。</w:t>
      </w:r>
    </w:p>
    <w:p>
      <w:pPr>
        <w:keepNext w:val="0"/>
        <w:keepLines w:val="0"/>
        <w:pageBreakBefore w:val="0"/>
        <w:widowControl w:val="0"/>
        <w:kinsoku/>
        <w:wordWrap/>
        <w:overflowPunct/>
        <w:topLinePunct w:val="0"/>
        <w:autoSpaceDE/>
        <w:autoSpaceDN/>
        <w:bidi w:val="0"/>
        <w:spacing w:line="440" w:lineRule="exact"/>
        <w:ind w:left="420" w:left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2.保证24小时值班，设施设备运行正常，设备房环境整洁，做好</w:t>
      </w:r>
      <w:r>
        <w:rPr>
          <w:rFonts w:hint="eastAsia" w:ascii="仿宋_GB2312" w:hAnsi="仿宋_GB2312" w:eastAsia="仿宋_GB2312" w:cs="仿宋_GB2312"/>
          <w:color w:val="auto"/>
          <w:kern w:val="0"/>
          <w:sz w:val="24"/>
          <w:szCs w:val="24"/>
          <w:highlight w:val="none"/>
        </w:rPr>
        <w:t>运行记录</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spacing w:line="44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3.应熟悉供电系统的工作原理，如遇主供系统断电，必须在最短时间内保证备用供电系统的启用，不得影响</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的工作开展。严格按电力部门要求操作、值班。按规定维护、保养设备，对高配房中的安全用品按要求检测</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检测费用包含在投标报价内</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，保证正常运行。</w:t>
      </w:r>
    </w:p>
    <w:p>
      <w:pPr>
        <w:keepNext w:val="0"/>
        <w:keepLines w:val="0"/>
        <w:pageBreakBefore w:val="0"/>
        <w:widowControl w:val="0"/>
        <w:kinsoku/>
        <w:wordWrap/>
        <w:overflowPunct/>
        <w:topLinePunct w:val="0"/>
        <w:autoSpaceDE/>
        <w:autoSpaceDN/>
        <w:bidi w:val="0"/>
        <w:spacing w:line="440" w:lineRule="exact"/>
        <w:ind w:firstLine="420" w:firstLineChars="175"/>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4.在接到供电部门停电通知时应及时通知</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，并在出入口张贴停电通知。</w:t>
      </w:r>
    </w:p>
    <w:p>
      <w:pPr>
        <w:keepNext w:val="0"/>
        <w:keepLines w:val="0"/>
        <w:pageBreakBefore w:val="0"/>
        <w:widowControl w:val="0"/>
        <w:kinsoku/>
        <w:wordWrap/>
        <w:overflowPunct/>
        <w:topLinePunct w:val="0"/>
        <w:autoSpaceDE/>
        <w:autoSpaceDN/>
        <w:bidi w:val="0"/>
        <w:spacing w:line="440" w:lineRule="exact"/>
        <w:ind w:firstLine="482"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（六）水电维修服务与要求</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1.水电工的人员素质及数量要求:</w:t>
      </w:r>
      <w:r>
        <w:rPr>
          <w:rFonts w:hint="eastAsia" w:ascii="仿宋_GB2312" w:hAnsi="仿宋_GB2312" w:eastAsia="仿宋_GB2312" w:cs="仿宋_GB2312"/>
          <w:color w:val="auto"/>
          <w:sz w:val="24"/>
          <w:szCs w:val="24"/>
          <w:highlight w:val="none"/>
          <w:lang w:val="en-US" w:eastAsia="zh-CN"/>
        </w:rPr>
        <w:t>持有应急管理部门颁发或监制的特种作业操作证（低压电工作业）</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身体健康,统一着装,佩带胸牌,仪容仪表整洁端正；人数不少于 1 人。</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2.公共照明、电器设施（包括灯具、配电箱、强弱电插座、开水器，热水器、食堂电器等）做到勤检查、勤维护，保证用电安全，故障及时修复，一般故障当天修复。</w:t>
      </w:r>
    </w:p>
    <w:p>
      <w:pPr>
        <w:numPr>
          <w:ilvl w:val="0"/>
          <w:numId w:val="0"/>
        </w:numPr>
        <w:tabs>
          <w:tab w:val="left" w:pos="0"/>
        </w:tabs>
        <w:snapToGrid w:val="0"/>
        <w:spacing w:line="360" w:lineRule="auto"/>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（七）</w:t>
      </w:r>
      <w:r>
        <w:rPr>
          <w:rFonts w:hint="eastAsia" w:ascii="仿宋_GB2312" w:hAnsi="仿宋_GB2312" w:eastAsia="仿宋_GB2312" w:cs="仿宋_GB2312"/>
          <w:b/>
          <w:bCs/>
          <w:color w:val="auto"/>
          <w:sz w:val="24"/>
          <w:szCs w:val="24"/>
          <w:highlight w:val="none"/>
        </w:rPr>
        <w:t>设施设备管理服务与要求：</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1.供电、供水管理：对供电、供水设备进行日常维护、保养、按时对各种设备进行检查及维护，保证设备的正常运行。</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2.空调管理：</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空调的日常维护由</w:t>
      </w:r>
      <w:r>
        <w:rPr>
          <w:rFonts w:hint="eastAsia" w:ascii="仿宋_GB2312" w:hAnsi="仿宋_GB2312" w:eastAsia="仿宋_GB2312" w:cs="仿宋_GB2312"/>
          <w:color w:val="auto"/>
          <w:sz w:val="24"/>
          <w:szCs w:val="24"/>
          <w:highlight w:val="none"/>
          <w:lang w:eastAsia="zh-CN"/>
        </w:rPr>
        <w:t>中标人</w:t>
      </w:r>
      <w:r>
        <w:rPr>
          <w:rFonts w:hint="eastAsia" w:ascii="仿宋_GB2312" w:hAnsi="仿宋_GB2312" w:eastAsia="仿宋_GB2312" w:cs="仿宋_GB2312"/>
          <w:color w:val="auto"/>
          <w:sz w:val="24"/>
          <w:szCs w:val="24"/>
          <w:highlight w:val="none"/>
        </w:rPr>
        <w:t>负责，做好</w:t>
      </w:r>
      <w:r>
        <w:rPr>
          <w:rFonts w:hint="eastAsia" w:ascii="仿宋_GB2312" w:hAnsi="仿宋_GB2312" w:eastAsia="仿宋_GB2312" w:cs="仿宋_GB2312"/>
          <w:color w:val="auto"/>
          <w:sz w:val="24"/>
          <w:szCs w:val="24"/>
          <w:highlight w:val="none"/>
          <w:lang w:val="en-US" w:eastAsia="zh-CN"/>
        </w:rPr>
        <w:t>空调设备</w:t>
      </w:r>
      <w:r>
        <w:rPr>
          <w:rFonts w:hint="eastAsia" w:ascii="仿宋_GB2312" w:hAnsi="仿宋_GB2312" w:eastAsia="仿宋_GB2312" w:cs="仿宋_GB2312"/>
          <w:color w:val="auto"/>
          <w:sz w:val="24"/>
          <w:szCs w:val="24"/>
          <w:highlight w:val="none"/>
        </w:rPr>
        <w:t>相关维修</w:t>
      </w:r>
      <w:r>
        <w:rPr>
          <w:rFonts w:hint="eastAsia" w:ascii="仿宋_GB2312" w:hAnsi="仿宋_GB2312" w:eastAsia="仿宋_GB2312" w:cs="仿宋_GB2312"/>
          <w:color w:val="auto"/>
          <w:sz w:val="24"/>
          <w:szCs w:val="24"/>
          <w:highlight w:val="none"/>
          <w:lang w:val="en-US" w:eastAsia="zh-CN"/>
        </w:rPr>
        <w:t>维护</w:t>
      </w:r>
      <w:r>
        <w:rPr>
          <w:rFonts w:hint="eastAsia" w:ascii="仿宋_GB2312" w:hAnsi="仿宋_GB2312" w:eastAsia="仿宋_GB2312" w:cs="仿宋_GB2312"/>
          <w:color w:val="auto"/>
          <w:sz w:val="24"/>
          <w:szCs w:val="24"/>
          <w:highlight w:val="none"/>
        </w:rPr>
        <w:t>和保养工作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保养费用</w:t>
      </w:r>
      <w:r>
        <w:rPr>
          <w:rFonts w:hint="eastAsia" w:ascii="仿宋_GB2312" w:hAnsi="仿宋_GB2312" w:eastAsia="仿宋_GB2312" w:cs="仿宋_GB2312"/>
          <w:color w:val="auto"/>
          <w:sz w:val="24"/>
          <w:szCs w:val="24"/>
          <w:highlight w:val="none"/>
          <w:lang w:eastAsia="zh-CN"/>
        </w:rPr>
        <w:t>包含在投标报价内</w:t>
      </w:r>
      <w:r>
        <w:rPr>
          <w:rFonts w:hint="eastAsia" w:ascii="仿宋_GB2312" w:hAnsi="仿宋_GB2312" w:eastAsia="仿宋_GB2312" w:cs="仿宋_GB2312"/>
          <w:color w:val="auto"/>
          <w:sz w:val="24"/>
          <w:szCs w:val="24"/>
          <w:highlight w:val="none"/>
        </w:rPr>
        <w:t>）。</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各种运行管理记录应齐全，包括各主要设备运行记录、巡回检查记录、维护保养记录、设备部件大修及更换情况记录等。</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根据空调使用季节，定期（每年二次，五月一次，十一月一次）派维修工程师对空调设备进行检测、保养</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其中包括机组的电气系统、自控系统、通风系统、制冷循环系统等综合系统方面的检查。</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所有空调、通风系统回风口滤网外壳每半年清洗一次；空气过滤器</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室外机控制主板</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室内电脑板应定期检查，必要时清洗和更换</w:t>
      </w:r>
      <w:r>
        <w:rPr>
          <w:rFonts w:hint="eastAsia" w:ascii="仿宋_GB2312" w:hAnsi="仿宋_GB2312" w:eastAsia="仿宋_GB2312" w:cs="仿宋_GB2312"/>
          <w:color w:val="auto"/>
          <w:sz w:val="24"/>
          <w:szCs w:val="24"/>
          <w:highlight w:val="none"/>
          <w:lang w:eastAsia="zh-CN"/>
        </w:rPr>
        <w:t>。</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(5)中标人</w:t>
      </w:r>
      <w:r>
        <w:rPr>
          <w:rFonts w:hint="eastAsia" w:ascii="仿宋_GB2312" w:hAnsi="仿宋_GB2312" w:eastAsia="仿宋_GB2312" w:cs="仿宋_GB2312"/>
          <w:color w:val="auto"/>
          <w:sz w:val="24"/>
          <w:szCs w:val="24"/>
          <w:highlight w:val="none"/>
        </w:rPr>
        <w:t>负责检查故障原因并进行维修服务，所产生的配件费用</w:t>
      </w:r>
      <w:r>
        <w:rPr>
          <w:rFonts w:hint="eastAsia" w:ascii="仿宋_GB2312" w:hAnsi="仿宋_GB2312" w:eastAsia="仿宋_GB2312" w:cs="仿宋_GB2312"/>
          <w:color w:val="auto"/>
          <w:sz w:val="24"/>
          <w:szCs w:val="24"/>
          <w:highlight w:val="none"/>
          <w:lang w:val="en-US" w:eastAsia="zh-CN"/>
        </w:rPr>
        <w:t>由采购人承担</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中标人只得收取实际产生材料费，不得额外收取人工（安装）费用</w:t>
      </w:r>
      <w:r>
        <w:rPr>
          <w:rFonts w:hint="eastAsia" w:ascii="仿宋_GB2312" w:hAnsi="仿宋_GB2312" w:eastAsia="仿宋_GB2312" w:cs="仿宋_GB2312"/>
          <w:color w:val="auto"/>
          <w:sz w:val="24"/>
          <w:szCs w:val="24"/>
          <w:highlight w:val="none"/>
        </w:rPr>
        <w:t>。</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3.电梯管理：</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客梯3台（行政楼1台楼高5层，病区2台楼高六层）</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由中标人提供维修和保养（年检、保养费用</w:t>
      </w:r>
      <w:r>
        <w:rPr>
          <w:rFonts w:hint="eastAsia" w:ascii="仿宋_GB2312" w:hAnsi="仿宋_GB2312" w:eastAsia="仿宋_GB2312" w:cs="仿宋_GB2312"/>
          <w:color w:val="auto"/>
          <w:sz w:val="24"/>
          <w:szCs w:val="24"/>
          <w:highlight w:val="none"/>
          <w:lang w:eastAsia="zh-CN"/>
        </w:rPr>
        <w:t>包含在投标报价内</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电梯在正常运行期内，要提供轿厢内部设施日常保养，在设备出现故障时应与设备维修单位积极配合。</w:t>
      </w:r>
    </w:p>
    <w:p>
      <w:pPr>
        <w:numPr>
          <w:ilvl w:val="0"/>
          <w:numId w:val="0"/>
        </w:numPr>
        <w:tabs>
          <w:tab w:val="left" w:pos="0"/>
        </w:tabs>
        <w:snapToGrid w:val="0"/>
        <w:spacing w:line="360" w:lineRule="auto"/>
        <w:ind w:firstLine="480" w:firstLineChars="20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运行中，各种运行管理记录应齐全，包括各主要设备运行记录、事故分析处理记录、巡回检查记录、维护保养记录、设备部件大修及更换情况记录等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需更换电梯零部件时只得收取相应的材料费，不得额外收取人工（安装）费用</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spacing w:line="440" w:lineRule="exact"/>
        <w:ind w:firstLine="482" w:firstLineChars="200"/>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三</w:t>
      </w:r>
      <w:r>
        <w:rPr>
          <w:rFonts w:hint="eastAsia" w:ascii="仿宋_GB2312" w:hAnsi="仿宋_GB2312" w:eastAsia="仿宋_GB2312" w:cs="仿宋_GB2312"/>
          <w:b/>
          <w:bCs/>
          <w:color w:val="auto"/>
          <w:sz w:val="24"/>
          <w:szCs w:val="24"/>
          <w:highlight w:val="none"/>
        </w:rPr>
        <w:t>、其他管理与服务设置和要求</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b w:val="0"/>
          <w:bCs w:val="0"/>
          <w:color w:val="auto"/>
          <w:sz w:val="24"/>
          <w:szCs w:val="24"/>
          <w:highlight w:val="none"/>
        </w:rPr>
      </w:pPr>
      <w:r>
        <w:rPr>
          <w:rFonts w:hint="eastAsia" w:ascii="仿宋_GB2312" w:hAnsi="仿宋_GB2312" w:eastAsia="仿宋_GB2312" w:cs="仿宋_GB2312"/>
          <w:b w:val="0"/>
          <w:bCs w:val="0"/>
          <w:color w:val="auto"/>
          <w:sz w:val="24"/>
          <w:szCs w:val="24"/>
          <w:highlight w:val="none"/>
        </w:rPr>
        <w:t>1.本项目人员总编制1</w:t>
      </w:r>
      <w:r>
        <w:rPr>
          <w:rFonts w:hint="eastAsia" w:ascii="仿宋_GB2312" w:hAnsi="仿宋_GB2312" w:eastAsia="仿宋_GB2312" w:cs="仿宋_GB2312"/>
          <w:b w:val="0"/>
          <w:bCs w:val="0"/>
          <w:color w:val="auto"/>
          <w:sz w:val="24"/>
          <w:szCs w:val="24"/>
          <w:highlight w:val="none"/>
          <w:lang w:val="en-US" w:eastAsia="zh-CN"/>
        </w:rPr>
        <w:t>5</w:t>
      </w:r>
      <w:r>
        <w:rPr>
          <w:rFonts w:hint="eastAsia" w:ascii="仿宋_GB2312" w:hAnsi="仿宋_GB2312" w:eastAsia="仿宋_GB2312" w:cs="仿宋_GB2312"/>
          <w:b w:val="0"/>
          <w:bCs w:val="0"/>
          <w:color w:val="auto"/>
          <w:sz w:val="24"/>
          <w:szCs w:val="24"/>
          <w:highlight w:val="none"/>
        </w:rPr>
        <w:t>人</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保安</w:t>
      </w:r>
      <w:r>
        <w:rPr>
          <w:rFonts w:hint="eastAsia" w:ascii="仿宋_GB2312" w:hAnsi="仿宋_GB2312" w:eastAsia="仿宋_GB2312" w:cs="仿宋_GB2312"/>
          <w:b w:val="0"/>
          <w:bCs w:val="0"/>
          <w:color w:val="auto"/>
          <w:sz w:val="24"/>
          <w:szCs w:val="24"/>
          <w:highlight w:val="none"/>
          <w:lang w:val="en-US" w:eastAsia="zh-CN"/>
        </w:rPr>
        <w:t>人员4</w:t>
      </w:r>
      <w:r>
        <w:rPr>
          <w:rFonts w:hint="eastAsia" w:ascii="仿宋_GB2312" w:hAnsi="仿宋_GB2312" w:eastAsia="仿宋_GB2312" w:cs="仿宋_GB2312"/>
          <w:b w:val="0"/>
          <w:bCs w:val="0"/>
          <w:color w:val="auto"/>
          <w:sz w:val="24"/>
          <w:szCs w:val="24"/>
          <w:highlight w:val="none"/>
        </w:rPr>
        <w:t>人</w:t>
      </w:r>
      <w:r>
        <w:rPr>
          <w:rFonts w:hint="eastAsia" w:ascii="仿宋_GB2312" w:hAnsi="仿宋_GB2312" w:eastAsia="仿宋_GB2312" w:cs="仿宋_GB2312"/>
          <w:b w:val="0"/>
          <w:bCs w:val="0"/>
          <w:color w:val="auto"/>
          <w:sz w:val="24"/>
          <w:szCs w:val="24"/>
          <w:highlight w:val="none"/>
          <w:lang w:eastAsia="zh-CN"/>
        </w:rPr>
        <w:t>（包含</w:t>
      </w:r>
      <w:r>
        <w:rPr>
          <w:rFonts w:hint="eastAsia" w:ascii="仿宋_GB2312" w:hAnsi="仿宋_GB2312" w:eastAsia="仿宋_GB2312" w:cs="仿宋_GB2312"/>
          <w:b w:val="0"/>
          <w:bCs w:val="0"/>
          <w:color w:val="auto"/>
          <w:sz w:val="24"/>
          <w:szCs w:val="24"/>
          <w:highlight w:val="none"/>
          <w:lang w:val="en-US" w:eastAsia="zh-CN"/>
        </w:rPr>
        <w:t>保安队长1人且负责该项目的现场管理</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rPr>
        <w:t>，</w:t>
      </w:r>
      <w:r>
        <w:rPr>
          <w:rFonts w:hint="eastAsia" w:ascii="仿宋_GB2312" w:hAnsi="仿宋_GB2312" w:eastAsia="仿宋_GB2312" w:cs="仿宋_GB2312"/>
          <w:b w:val="0"/>
          <w:bCs w:val="0"/>
          <w:color w:val="auto"/>
          <w:sz w:val="24"/>
          <w:szCs w:val="24"/>
          <w:highlight w:val="none"/>
          <w:lang w:val="en-US" w:eastAsia="zh-CN"/>
        </w:rPr>
        <w:t>维修人员</w:t>
      </w:r>
      <w:r>
        <w:rPr>
          <w:rFonts w:hint="eastAsia" w:ascii="仿宋_GB2312" w:hAnsi="仿宋_GB2312" w:eastAsia="仿宋_GB2312" w:cs="仿宋_GB2312"/>
          <w:b w:val="0"/>
          <w:bCs w:val="0"/>
          <w:color w:val="auto"/>
          <w:sz w:val="24"/>
          <w:szCs w:val="24"/>
          <w:highlight w:val="none"/>
        </w:rPr>
        <w:t>1人，高配</w:t>
      </w:r>
      <w:r>
        <w:rPr>
          <w:rFonts w:hint="eastAsia" w:ascii="仿宋_GB2312" w:hAnsi="仿宋_GB2312" w:eastAsia="仿宋_GB2312" w:cs="仿宋_GB2312"/>
          <w:b w:val="0"/>
          <w:bCs w:val="0"/>
          <w:color w:val="auto"/>
          <w:sz w:val="24"/>
          <w:szCs w:val="24"/>
          <w:highlight w:val="none"/>
          <w:lang w:eastAsia="zh-CN"/>
        </w:rPr>
        <w:t>人员</w:t>
      </w:r>
      <w:r>
        <w:rPr>
          <w:rFonts w:hint="eastAsia" w:ascii="仿宋_GB2312" w:hAnsi="仿宋_GB2312" w:eastAsia="仿宋_GB2312" w:cs="仿宋_GB2312"/>
          <w:b w:val="0"/>
          <w:bCs w:val="0"/>
          <w:color w:val="auto"/>
          <w:sz w:val="24"/>
          <w:szCs w:val="24"/>
          <w:highlight w:val="none"/>
        </w:rPr>
        <w:t>3人，</w:t>
      </w:r>
      <w:r>
        <w:rPr>
          <w:rFonts w:hint="eastAsia" w:ascii="仿宋_GB2312" w:hAnsi="仿宋_GB2312" w:eastAsia="仿宋_GB2312" w:cs="仿宋_GB2312"/>
          <w:b w:val="0"/>
          <w:bCs w:val="0"/>
          <w:color w:val="auto"/>
          <w:sz w:val="24"/>
          <w:szCs w:val="24"/>
          <w:highlight w:val="none"/>
          <w:lang w:val="en-US" w:eastAsia="zh-CN"/>
        </w:rPr>
        <w:t>消控人员3名，</w:t>
      </w:r>
      <w:r>
        <w:rPr>
          <w:rFonts w:hint="eastAsia" w:ascii="仿宋_GB2312" w:hAnsi="仿宋_GB2312" w:eastAsia="仿宋_GB2312" w:cs="仿宋_GB2312"/>
          <w:b w:val="0"/>
          <w:bCs w:val="0"/>
          <w:color w:val="auto"/>
          <w:sz w:val="24"/>
          <w:szCs w:val="24"/>
          <w:highlight w:val="none"/>
        </w:rPr>
        <w:t>保洁</w:t>
      </w:r>
      <w:r>
        <w:rPr>
          <w:rFonts w:hint="eastAsia" w:ascii="仿宋_GB2312" w:hAnsi="仿宋_GB2312" w:eastAsia="仿宋_GB2312" w:cs="仿宋_GB2312"/>
          <w:b w:val="0"/>
          <w:bCs w:val="0"/>
          <w:color w:val="auto"/>
          <w:sz w:val="24"/>
          <w:szCs w:val="24"/>
          <w:highlight w:val="none"/>
          <w:lang w:val="en-US" w:eastAsia="zh-CN"/>
        </w:rPr>
        <w:t>4</w:t>
      </w:r>
      <w:r>
        <w:rPr>
          <w:rFonts w:hint="eastAsia" w:ascii="仿宋_GB2312" w:hAnsi="仿宋_GB2312" w:eastAsia="仿宋_GB2312" w:cs="仿宋_GB2312"/>
          <w:b w:val="0"/>
          <w:bCs w:val="0"/>
          <w:color w:val="auto"/>
          <w:sz w:val="24"/>
          <w:szCs w:val="24"/>
          <w:highlight w:val="none"/>
        </w:rPr>
        <w:t>人</w:t>
      </w:r>
      <w:r>
        <w:rPr>
          <w:rFonts w:hint="eastAsia" w:ascii="仿宋_GB2312" w:hAnsi="仿宋_GB2312" w:eastAsia="仿宋_GB2312" w:cs="仿宋_GB2312"/>
          <w:b w:val="0"/>
          <w:bCs w:val="0"/>
          <w:color w:val="auto"/>
          <w:sz w:val="24"/>
          <w:szCs w:val="24"/>
          <w:highlight w:val="none"/>
          <w:lang w:eastAsia="zh-CN"/>
        </w:rPr>
        <w:t>，</w:t>
      </w:r>
      <w:r>
        <w:rPr>
          <w:rFonts w:hint="eastAsia" w:ascii="仿宋_GB2312" w:hAnsi="仿宋_GB2312" w:eastAsia="仿宋_GB2312" w:cs="仿宋_GB2312"/>
          <w:b w:val="0"/>
          <w:bCs w:val="0"/>
          <w:color w:val="auto"/>
          <w:sz w:val="24"/>
          <w:szCs w:val="24"/>
          <w:highlight w:val="none"/>
          <w:u w:val="single"/>
        </w:rPr>
        <w:t>上述人员均需全员参加社保,缴纳社保金</w:t>
      </w:r>
      <w:r>
        <w:rPr>
          <w:rFonts w:hint="eastAsia" w:ascii="仿宋_GB2312" w:hAnsi="仿宋_GB2312" w:eastAsia="仿宋_GB2312" w:cs="仿宋_GB2312"/>
          <w:b w:val="0"/>
          <w:bCs w:val="0"/>
          <w:color w:val="auto"/>
          <w:sz w:val="24"/>
          <w:szCs w:val="24"/>
          <w:highlight w:val="none"/>
        </w:rPr>
        <w:t>。</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.管理与服务所需的各类服装、工具、部分材料由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自行负责；进入监区工作的人员需先经本所资格审查，工作过程中发现有违反强制医疗所管理规定的一律辞退，构成犯罪行为的人由</w:t>
      </w: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承担全部责任。</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上岗人员均需与采购人签订保密协议，遵守保密规定，不得泄露采购人机密。</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应积极配合采购人,认真落实采购人的重大庆典活动（含上级检查、会议及创卫工作)、不可预见自然灾害等紧急任务,配合采购人努力完成相关工作任务。</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上岗人员与采购人不发生任何法律关系，</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上岗人员的劳务纠纷或疾病、事故等与采购人无涉，由</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自行解决（处理和承担）。</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eastAsia="zh-CN"/>
        </w:rPr>
        <w:t>投标人</w:t>
      </w:r>
      <w:r>
        <w:rPr>
          <w:rFonts w:hint="eastAsia" w:ascii="仿宋_GB2312" w:hAnsi="仿宋_GB2312" w:eastAsia="仿宋_GB2312" w:cs="仿宋_GB2312"/>
          <w:color w:val="auto"/>
          <w:sz w:val="24"/>
          <w:szCs w:val="24"/>
          <w:highlight w:val="none"/>
        </w:rPr>
        <w:t>须参照全国城市物业管理评分标准，制定和落实与本物业相对应的服务质量考核标准，实现目标管理。</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rPr>
        <w:t>.付款方式: 按《浙江省财政厅关于进一步发挥政府采购政策 功能全力推动经济稳进提质的通知》（浙财采监〔2022〕3号）等文件要求执行，具体付款方式由双方协商后在合同中明确</w:t>
      </w:r>
      <w:r>
        <w:rPr>
          <w:rFonts w:hint="eastAsia" w:ascii="仿宋_GB2312" w:hAnsi="仿宋_GB2312" w:eastAsia="仿宋_GB2312" w:cs="仿宋_GB2312"/>
          <w:color w:val="auto"/>
          <w:sz w:val="24"/>
          <w:szCs w:val="24"/>
          <w:highlight w:val="none"/>
          <w:lang w:eastAsia="zh-CN"/>
        </w:rPr>
        <w:t>。</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rPr>
        <w:t>.采购人单位根据物业的考核规定按月进行考核，每季度季末支付物业费用，</w:t>
      </w:r>
      <w:r>
        <w:rPr>
          <w:rFonts w:hint="eastAsia" w:ascii="仿宋_GB2312" w:hAnsi="仿宋_GB2312" w:eastAsia="仿宋_GB2312" w:cs="仿宋_GB2312"/>
          <w:color w:val="auto"/>
          <w:sz w:val="24"/>
          <w:szCs w:val="24"/>
          <w:highlight w:val="none"/>
          <w:lang w:val="en-US" w:eastAsia="zh-CN"/>
        </w:rPr>
        <w:t>根据考核标准支付每季度</w:t>
      </w:r>
      <w:r>
        <w:rPr>
          <w:rFonts w:hint="eastAsia" w:ascii="仿宋_GB2312" w:hAnsi="仿宋_GB2312" w:eastAsia="仿宋_GB2312" w:cs="仿宋_GB2312"/>
          <w:color w:val="auto"/>
          <w:sz w:val="24"/>
          <w:szCs w:val="24"/>
          <w:highlight w:val="none"/>
        </w:rPr>
        <w:t>的物业费用。第四季度物业费于当年12月20日前考核合格后支付。</w:t>
      </w:r>
    </w:p>
    <w:p>
      <w:pPr>
        <w:keepNext w:val="0"/>
        <w:keepLines w:val="0"/>
        <w:pageBreakBefore w:val="0"/>
        <w:widowControl w:val="0"/>
        <w:kinsoku/>
        <w:wordWrap/>
        <w:overflowPunct/>
        <w:topLinePunct w:val="0"/>
        <w:autoSpaceDE/>
        <w:autoSpaceDN/>
        <w:bidi w:val="0"/>
        <w:spacing w:line="440" w:lineRule="exact"/>
        <w:ind w:firstLine="480" w:firstLineChars="200"/>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9.中标人的工作人员若需在采购人处就餐的，需支付就餐搭伙费，按照不少于280元/人/月的标准（具体按照采购人实际情况进行相应调整），按月支付给采购人。</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四</w:t>
      </w:r>
      <w:r>
        <w:rPr>
          <w:rFonts w:hint="eastAsia" w:ascii="仿宋_GB2312" w:hAnsi="仿宋_GB2312" w:eastAsia="仿宋_GB2312" w:cs="仿宋_GB2312"/>
          <w:b w:val="0"/>
          <w:bCs/>
          <w:color w:val="auto"/>
          <w:sz w:val="24"/>
          <w:szCs w:val="24"/>
          <w:highlight w:val="none"/>
        </w:rPr>
        <w:t>、考核办法</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r>
        <w:rPr>
          <w:rFonts w:hint="eastAsia" w:ascii="仿宋_GB2312" w:hAnsi="仿宋_GB2312" w:eastAsia="仿宋_GB2312" w:cs="仿宋_GB2312"/>
          <w:color w:val="auto"/>
          <w:sz w:val="24"/>
          <w:szCs w:val="24"/>
          <w:highlight w:val="none"/>
          <w:lang w:val="en-US" w:eastAsia="zh-CN"/>
        </w:rPr>
        <w:t>采购</w:t>
      </w:r>
      <w:r>
        <w:rPr>
          <w:rFonts w:hint="eastAsia" w:ascii="仿宋_GB2312" w:hAnsi="仿宋_GB2312" w:eastAsia="仿宋_GB2312" w:cs="仿宋_GB2312"/>
          <w:color w:val="auto"/>
          <w:sz w:val="24"/>
          <w:szCs w:val="24"/>
          <w:highlight w:val="none"/>
        </w:rPr>
        <w:t>单位每月对物业服务情况进行抽查，对</w:t>
      </w: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的服务质量实施月度考核，每月考核结果以书面形式通知</w:t>
      </w: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考核标准：物业服务考核分为100分，其中:整体管理（20分）；保洁管理（30分）；保安管理（10分）；消防管理（10分）；建筑维护（10分）；设备维护（10分）；绿化养护（10分）。另设加分项。月考核分90分（含）及以上得全额合同款；月考核分低于90分至80分（含）的，每分扣500元；月考核分低于80分的，每分扣1000元。</w:t>
      </w:r>
    </w:p>
    <w:p>
      <w:pPr>
        <w:keepNext w:val="0"/>
        <w:keepLines w:val="0"/>
        <w:pageBreakBefore w:val="0"/>
        <w:widowControl w:val="0"/>
        <w:kinsoku/>
        <w:wordWrap/>
        <w:overflowPunct/>
        <w:topLinePunct w:val="0"/>
        <w:autoSpaceDE/>
        <w:autoSpaceDN/>
        <w:bidi w:val="0"/>
        <w:snapToGrid w:val="0"/>
        <w:spacing w:line="440" w:lineRule="exact"/>
        <w:ind w:firstLine="480" w:firstLineChars="200"/>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3.自合同签订之日起一年内，月度考核得分有二次得分在85分以下的，</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有权直接终止服务管理合同，并按实际服务期限结算物业服务管理费用。</w:t>
      </w:r>
      <w:r>
        <w:rPr>
          <w:rFonts w:hint="eastAsia" w:ascii="仿宋_GB2312" w:hAnsi="仿宋_GB2312" w:eastAsia="仿宋_GB2312" w:cs="仿宋_GB2312"/>
          <w:color w:val="auto"/>
          <w:sz w:val="24"/>
          <w:szCs w:val="24"/>
          <w:highlight w:val="none"/>
          <w:lang w:val="en-US" w:eastAsia="zh-CN"/>
        </w:rPr>
        <w:t>中标人</w:t>
      </w:r>
      <w:r>
        <w:rPr>
          <w:rFonts w:hint="eastAsia" w:ascii="仿宋_GB2312" w:hAnsi="仿宋_GB2312" w:eastAsia="仿宋_GB2312" w:cs="仿宋_GB2312"/>
          <w:color w:val="auto"/>
          <w:sz w:val="24"/>
          <w:szCs w:val="24"/>
          <w:highlight w:val="none"/>
        </w:rPr>
        <w:t>自动放弃次年度绍兴市强制医疗所物业招标资格。</w:t>
      </w:r>
    </w:p>
    <w:p>
      <w:pPr>
        <w:tabs>
          <w:tab w:val="left" w:pos="482"/>
          <w:tab w:val="left" w:pos="2183"/>
          <w:tab w:val="left" w:pos="3884"/>
          <w:tab w:val="left" w:pos="5585"/>
        </w:tabs>
        <w:spacing w:after="120" w:line="440" w:lineRule="exact"/>
        <w:jc w:val="lef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b/>
          <w:color w:val="auto"/>
          <w:sz w:val="24"/>
          <w:szCs w:val="24"/>
          <w:highlight w:val="none"/>
        </w:rPr>
        <w:t>附：绍兴市强制医疗所考细则</w:t>
      </w:r>
    </w:p>
    <w:p>
      <w:pPr>
        <w:tabs>
          <w:tab w:val="left" w:pos="482"/>
          <w:tab w:val="left" w:pos="2183"/>
          <w:tab w:val="left" w:pos="3884"/>
          <w:tab w:val="left" w:pos="5585"/>
        </w:tabs>
        <w:spacing w:after="120" w:line="440" w:lineRule="exact"/>
        <w:jc w:val="center"/>
        <w:rPr>
          <w:rFonts w:hint="eastAsia" w:ascii="仿宋_GB2312" w:hAnsi="仿宋_GB2312" w:eastAsia="仿宋_GB2312" w:cs="仿宋_GB2312"/>
          <w:bCs/>
          <w:color w:val="auto"/>
          <w:kern w:val="0"/>
          <w:sz w:val="24"/>
          <w:szCs w:val="24"/>
          <w:highlight w:val="none"/>
        </w:rPr>
      </w:pPr>
      <w:r>
        <w:rPr>
          <w:rFonts w:hint="eastAsia" w:ascii="仿宋_GB2312" w:hAnsi="仿宋_GB2312" w:eastAsia="仿宋_GB2312" w:cs="仿宋_GB2312"/>
          <w:b/>
          <w:color w:val="auto"/>
          <w:sz w:val="24"/>
          <w:szCs w:val="24"/>
          <w:highlight w:val="none"/>
        </w:rPr>
        <w:t>绍兴市强制医疗所考核细则</w:t>
      </w:r>
    </w:p>
    <w:tbl>
      <w:tblPr>
        <w:tblStyle w:val="63"/>
        <w:tblW w:w="9498" w:type="dxa"/>
        <w:tblInd w:w="-318" w:type="dxa"/>
        <w:tblLayout w:type="fixed"/>
        <w:tblCellMar>
          <w:top w:w="0" w:type="dxa"/>
          <w:left w:w="108" w:type="dxa"/>
          <w:bottom w:w="0" w:type="dxa"/>
          <w:right w:w="108" w:type="dxa"/>
        </w:tblCellMar>
      </w:tblPr>
      <w:tblGrid>
        <w:gridCol w:w="852"/>
        <w:gridCol w:w="992"/>
        <w:gridCol w:w="3544"/>
        <w:gridCol w:w="3161"/>
        <w:gridCol w:w="949"/>
      </w:tblGrid>
      <w:tr>
        <w:tblPrEx>
          <w:tblCellMar>
            <w:top w:w="0" w:type="dxa"/>
            <w:left w:w="108" w:type="dxa"/>
            <w:bottom w:w="0" w:type="dxa"/>
            <w:right w:w="108" w:type="dxa"/>
          </w:tblCellMar>
        </w:tblPrEx>
        <w:trPr>
          <w:trHeight w:val="508" w:hRule="atLeast"/>
        </w:trPr>
        <w:tc>
          <w:tcPr>
            <w:tcW w:w="852" w:type="dxa"/>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序号</w:t>
            </w:r>
          </w:p>
        </w:tc>
        <w:tc>
          <w:tcPr>
            <w:tcW w:w="992"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   分类</w:t>
            </w:r>
          </w:p>
        </w:tc>
        <w:tc>
          <w:tcPr>
            <w:tcW w:w="3544"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具体内容和要求</w:t>
            </w:r>
          </w:p>
        </w:tc>
        <w:tc>
          <w:tcPr>
            <w:tcW w:w="3161"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加扣分标准</w:t>
            </w:r>
          </w:p>
        </w:tc>
        <w:tc>
          <w:tcPr>
            <w:tcW w:w="949" w:type="dxa"/>
            <w:tcBorders>
              <w:top w:val="single" w:color="auto" w:sz="4" w:space="0"/>
              <w:left w:val="nil"/>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分值</w:t>
            </w:r>
          </w:p>
        </w:tc>
      </w:tr>
      <w:tr>
        <w:tblPrEx>
          <w:tblCellMar>
            <w:top w:w="0" w:type="dxa"/>
            <w:left w:w="108" w:type="dxa"/>
            <w:bottom w:w="0" w:type="dxa"/>
            <w:right w:w="108" w:type="dxa"/>
          </w:tblCellMar>
        </w:tblPrEx>
        <w:trPr>
          <w:trHeight w:val="859"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992"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综合  管理</w:t>
            </w: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物业人员按要求配备，每日足额、按时到岗到位。</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发现不符配备要求的，每少1人扣2分。</w:t>
            </w:r>
          </w:p>
        </w:tc>
        <w:tc>
          <w:tcPr>
            <w:tcW w:w="949" w:type="dxa"/>
            <w:vMerge w:val="restart"/>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20分</w:t>
            </w:r>
          </w:p>
        </w:tc>
      </w:tr>
      <w:tr>
        <w:tblPrEx>
          <w:tblCellMar>
            <w:top w:w="0" w:type="dxa"/>
            <w:left w:w="108" w:type="dxa"/>
            <w:bottom w:w="0" w:type="dxa"/>
            <w:right w:w="108" w:type="dxa"/>
          </w:tblCellMar>
        </w:tblPrEx>
        <w:trPr>
          <w:trHeight w:val="968"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物业人员每月离职不能超过两名（含）人员。</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离职4人（含）以内的，每人次扣1分；离职4人以上的，每人次扣2分。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106"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物业人员应统一着工装、佩戴工牌，做到装容整洁，仪表端庄、精神饱满。服务规范，礼貌、主动热情。</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有不符要求的，按项每人次扣1分。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26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物业人员上班时间不得做与工作无关的事情(玩手机、游戏、聊天等)。同时还应当严格遵守</w:t>
            </w:r>
            <w:r>
              <w:rPr>
                <w:rFonts w:hint="eastAsia" w:ascii="仿宋_GB2312" w:hAnsi="仿宋_GB2312" w:eastAsia="仿宋_GB2312" w:cs="仿宋_GB2312"/>
                <w:color w:val="auto"/>
                <w:sz w:val="24"/>
                <w:szCs w:val="24"/>
                <w:highlight w:val="none"/>
                <w:lang w:val="en-US" w:eastAsia="zh-CN"/>
              </w:rPr>
              <w:t>采购人</w:t>
            </w:r>
            <w:r>
              <w:rPr>
                <w:rFonts w:hint="eastAsia" w:ascii="仿宋_GB2312" w:hAnsi="仿宋_GB2312" w:eastAsia="仿宋_GB2312" w:cs="仿宋_GB2312"/>
                <w:color w:val="auto"/>
                <w:sz w:val="24"/>
                <w:szCs w:val="24"/>
                <w:highlight w:val="none"/>
              </w:rPr>
              <w:t>内部相关纪律规定。</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有不符要求的，按项每人次扣1分。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098"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日常检查提出的问题应当及时整改落实。</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若问题提出当日整改完毕的，不扣分；若不能及时整改的，每次视情予以扣分（0.1-0.5分）。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6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各种台账记录（工作安排、工作流程、设备台账、日常检查等）完整。</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每缺1次记录扣1分。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94"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对业主方交办的各项工作任务能确保及时、高效、高质的完成。</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因工作不到位被投诉的，每次扣0.5分；被局领导批评的，每次扣1分。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15"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物业人员不得在工作区域内出现言语或肢体冲突。</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出现言语或肢体冲突，造成一定影响的，每发生一次，扣5分。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025"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9</w:t>
            </w:r>
          </w:p>
          <w:p>
            <w:pPr>
              <w:spacing w:line="440" w:lineRule="exact"/>
              <w:jc w:val="center"/>
              <w:rPr>
                <w:rFonts w:hint="eastAsia" w:ascii="仿宋_GB2312" w:hAnsi="仿宋_GB2312" w:eastAsia="仿宋_GB2312" w:cs="仿宋_GB2312"/>
                <w:color w:val="auto"/>
                <w:sz w:val="24"/>
                <w:szCs w:val="24"/>
                <w:highlight w:val="none"/>
              </w:rPr>
            </w:pPr>
          </w:p>
        </w:tc>
        <w:tc>
          <w:tcPr>
            <w:tcW w:w="992"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建筑  维护</w:t>
            </w:r>
          </w:p>
        </w:tc>
        <w:tc>
          <w:tcPr>
            <w:tcW w:w="3544"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大楼外墙每年必须清洗一次</w:t>
            </w:r>
            <w:r>
              <w:rPr>
                <w:rFonts w:hint="eastAsia" w:ascii="仿宋_GB2312" w:hAnsi="仿宋_GB2312" w:eastAsia="仿宋_GB2312" w:cs="仿宋_GB2312"/>
                <w:color w:val="auto"/>
                <w:sz w:val="24"/>
                <w:szCs w:val="24"/>
                <w:highlight w:val="none"/>
                <w:lang w:val="en-US" w:eastAsia="zh-CN"/>
              </w:rPr>
              <w:t>以上</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除墙面为外墙涂料以外的所有外墙</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w:t>
            </w:r>
          </w:p>
        </w:tc>
        <w:tc>
          <w:tcPr>
            <w:tcW w:w="31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未按要求执行的，扣10分。</w:t>
            </w:r>
          </w:p>
        </w:tc>
        <w:tc>
          <w:tcPr>
            <w:tcW w:w="949" w:type="dxa"/>
            <w:vMerge w:val="restart"/>
            <w:tcBorders>
              <w:top w:val="nil"/>
              <w:left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10分</w:t>
            </w:r>
          </w:p>
        </w:tc>
      </w:tr>
      <w:tr>
        <w:tblPrEx>
          <w:tblCellMar>
            <w:top w:w="0" w:type="dxa"/>
            <w:left w:w="108" w:type="dxa"/>
            <w:bottom w:w="0" w:type="dxa"/>
            <w:right w:w="108" w:type="dxa"/>
          </w:tblCellMar>
        </w:tblPrEx>
        <w:trPr>
          <w:trHeight w:val="704"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11</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及时完成维修工作。接报修后维修人员应当在20分钟内到达现场。</w:t>
            </w:r>
          </w:p>
        </w:tc>
        <w:tc>
          <w:tcPr>
            <w:tcW w:w="3161"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未按要求执行的，发现一起扣1分。</w:t>
            </w:r>
          </w:p>
        </w:tc>
        <w:tc>
          <w:tcPr>
            <w:tcW w:w="949" w:type="dxa"/>
            <w:vMerge w:val="continue"/>
            <w:tcBorders>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04"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12</w:t>
            </w:r>
          </w:p>
        </w:tc>
        <w:tc>
          <w:tcPr>
            <w:tcW w:w="992" w:type="dxa"/>
            <w:vMerge w:val="restart"/>
            <w:tcBorders>
              <w:top w:val="nil"/>
              <w:left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保安</w:t>
            </w:r>
          </w:p>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w:t>
            </w:r>
          </w:p>
        </w:tc>
        <w:tc>
          <w:tcPr>
            <w:tcW w:w="3544" w:type="dxa"/>
            <w:tcBorders>
              <w:top w:val="single" w:color="auto" w:sz="4" w:space="0"/>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b/>
                <w:color w:val="auto"/>
                <w:sz w:val="24"/>
                <w:szCs w:val="24"/>
                <w:highlight w:val="none"/>
              </w:rPr>
            </w:pPr>
            <w:r>
              <w:rPr>
                <w:rFonts w:hint="eastAsia" w:ascii="仿宋_GB2312" w:hAnsi="仿宋_GB2312" w:eastAsia="仿宋_GB2312" w:cs="仿宋_GB2312"/>
                <w:color w:val="auto"/>
                <w:sz w:val="24"/>
                <w:szCs w:val="24"/>
                <w:highlight w:val="none"/>
              </w:rPr>
              <w:t>保安人员名单、排班及岗位分工，实行24小时值班记录（交接班记录）。</w:t>
            </w:r>
          </w:p>
        </w:tc>
        <w:tc>
          <w:tcPr>
            <w:tcW w:w="3161" w:type="dxa"/>
            <w:tcBorders>
              <w:top w:val="single" w:color="auto" w:sz="4" w:space="0"/>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发现不符要求的，每少1项扣1分。</w:t>
            </w:r>
          </w:p>
        </w:tc>
        <w:tc>
          <w:tcPr>
            <w:tcW w:w="949" w:type="dxa"/>
            <w:vMerge w:val="restart"/>
            <w:tcBorders>
              <w:left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10分</w:t>
            </w:r>
          </w:p>
        </w:tc>
      </w:tr>
      <w:tr>
        <w:tblPrEx>
          <w:tblCellMar>
            <w:top w:w="0" w:type="dxa"/>
            <w:left w:w="108" w:type="dxa"/>
            <w:bottom w:w="0" w:type="dxa"/>
            <w:right w:w="108" w:type="dxa"/>
          </w:tblCellMar>
        </w:tblPrEx>
        <w:trPr>
          <w:trHeight w:val="704"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13</w:t>
            </w:r>
          </w:p>
        </w:tc>
        <w:tc>
          <w:tcPr>
            <w:tcW w:w="992" w:type="dxa"/>
            <w:vMerge w:val="continue"/>
            <w:tcBorders>
              <w:left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强制医疗所出入口有人员值守，严格按照要求执行各项制度。</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发现不符要求的，每少1项扣1分。</w:t>
            </w:r>
          </w:p>
        </w:tc>
        <w:tc>
          <w:tcPr>
            <w:tcW w:w="949" w:type="dxa"/>
            <w:vMerge w:val="continue"/>
            <w:tcBorders>
              <w:left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04"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14</w:t>
            </w:r>
          </w:p>
        </w:tc>
        <w:tc>
          <w:tcPr>
            <w:tcW w:w="992" w:type="dxa"/>
            <w:vMerge w:val="continue"/>
            <w:tcBorders>
              <w:left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保安人员培训、训练及考核记录。</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发现不符要求的，每少1项扣1分。</w:t>
            </w:r>
          </w:p>
        </w:tc>
        <w:tc>
          <w:tcPr>
            <w:tcW w:w="949" w:type="dxa"/>
            <w:vMerge w:val="continue"/>
            <w:tcBorders>
              <w:left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704"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15</w:t>
            </w:r>
          </w:p>
        </w:tc>
        <w:tc>
          <w:tcPr>
            <w:tcW w:w="992" w:type="dxa"/>
            <w:vMerge w:val="continue"/>
            <w:tcBorders>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有物业管理应有的相关制度、规定，制定各种突发事件处理预案。</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发现不符要求的，每少1项扣1分。</w:t>
            </w:r>
          </w:p>
        </w:tc>
        <w:tc>
          <w:tcPr>
            <w:tcW w:w="949" w:type="dxa"/>
            <w:vMerge w:val="continue"/>
            <w:tcBorders>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123"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16</w:t>
            </w:r>
          </w:p>
        </w:tc>
        <w:tc>
          <w:tcPr>
            <w:tcW w:w="992" w:type="dxa"/>
            <w:vMerge w:val="restart"/>
            <w:tcBorders>
              <w:top w:val="nil"/>
              <w:left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消防  管理</w:t>
            </w: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做好大楼消防设施（设备）的每</w:t>
            </w:r>
            <w:r>
              <w:rPr>
                <w:rFonts w:hint="eastAsia" w:ascii="仿宋_GB2312" w:hAnsi="仿宋_GB2312" w:eastAsia="仿宋_GB2312" w:cs="仿宋_GB2312"/>
                <w:color w:val="auto"/>
                <w:sz w:val="24"/>
                <w:szCs w:val="24"/>
                <w:highlight w:val="none"/>
                <w:lang w:val="en-US" w:eastAsia="zh-CN"/>
              </w:rPr>
              <w:t>周</w:t>
            </w:r>
            <w:r>
              <w:rPr>
                <w:rFonts w:hint="eastAsia" w:ascii="仿宋_GB2312" w:hAnsi="仿宋_GB2312" w:eastAsia="仿宋_GB2312" w:cs="仿宋_GB2312"/>
                <w:color w:val="auto"/>
                <w:sz w:val="24"/>
                <w:szCs w:val="24"/>
                <w:highlight w:val="none"/>
              </w:rPr>
              <w:t>一次的日常检查并记录。</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每少1次检查扣1分；因检查不到位导致出现问题的，每次扣2分。</w:t>
            </w:r>
          </w:p>
        </w:tc>
        <w:tc>
          <w:tcPr>
            <w:tcW w:w="949" w:type="dxa"/>
            <w:vMerge w:val="restart"/>
            <w:tcBorders>
              <w:top w:val="nil"/>
              <w:left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10分</w:t>
            </w:r>
          </w:p>
        </w:tc>
      </w:tr>
      <w:tr>
        <w:tblPrEx>
          <w:tblCellMar>
            <w:top w:w="0" w:type="dxa"/>
            <w:left w:w="108" w:type="dxa"/>
            <w:bottom w:w="0" w:type="dxa"/>
            <w:right w:w="108" w:type="dxa"/>
          </w:tblCellMar>
        </w:tblPrEx>
        <w:trPr>
          <w:trHeight w:val="1111"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17</w:t>
            </w:r>
          </w:p>
        </w:tc>
        <w:tc>
          <w:tcPr>
            <w:tcW w:w="992" w:type="dxa"/>
            <w:vMerge w:val="continue"/>
            <w:tcBorders>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有物业管理应有的相关制度、规定，制定灭火和应急疏散预案；每年组织一次消防演习。</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无制度、规定或预案的，扣1分；制度规定缺失的，每少1个扣0.5分；不按规定开展消防演习的，扣1分。</w:t>
            </w:r>
          </w:p>
        </w:tc>
        <w:tc>
          <w:tcPr>
            <w:tcW w:w="949" w:type="dxa"/>
            <w:vMerge w:val="continue"/>
            <w:tcBorders>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823"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18</w:t>
            </w:r>
          </w:p>
        </w:tc>
        <w:tc>
          <w:tcPr>
            <w:tcW w:w="992"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设备  维护</w:t>
            </w: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供电、设备设施维修等人员需按要求持证上岗。</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发现无证上岗的，每人每次扣2分。</w:t>
            </w:r>
          </w:p>
        </w:tc>
        <w:tc>
          <w:tcPr>
            <w:tcW w:w="949"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10分</w:t>
            </w:r>
          </w:p>
        </w:tc>
      </w:tr>
      <w:tr>
        <w:tblPrEx>
          <w:tblCellMar>
            <w:top w:w="0" w:type="dxa"/>
            <w:left w:w="108" w:type="dxa"/>
            <w:bottom w:w="0" w:type="dxa"/>
            <w:right w:w="108" w:type="dxa"/>
          </w:tblCellMar>
        </w:tblPrEx>
        <w:trPr>
          <w:trHeight w:val="947"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19</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高配需专业人士24小时值班，做好当天值班记录。</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发现无人值守情况的，每次扣1分；未做好当天值班记录的，每发现一次扣0.5分。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26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20</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按照岗位职责，每周至少一次巡查本物业的设施设备并制定养护计划及运行记录。</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没有按要求巡查的，每少1次扣1分，每缺1次记录的，扣0.5分，记录不清楚扣0.2分.因巡查不到位，引发后果的，每次扣2分。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147"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21</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水泵房、配电房、发电房、电梯房、线井房清洁卫生,通风良好,设施设备标识清楚,管理制度张贴上墙;</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每发现一项不符要求，扣1分。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97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22</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涉设施故障报修的，应当在5分钟内到达现场，排除一般性故障不过夜。</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未按要求执行的，每次扣1分。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83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23</w:t>
            </w:r>
          </w:p>
        </w:tc>
        <w:tc>
          <w:tcPr>
            <w:tcW w:w="992"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  管理</w:t>
            </w: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执行保洁时间和次数是否按时、到位。</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被发现不按要求执行的，每次扣0.5分。</w:t>
            </w:r>
          </w:p>
        </w:tc>
        <w:tc>
          <w:tcPr>
            <w:tcW w:w="949"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p>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30分</w:t>
            </w:r>
          </w:p>
        </w:tc>
      </w:tr>
      <w:tr>
        <w:tblPrEx>
          <w:tblCellMar>
            <w:top w:w="0" w:type="dxa"/>
            <w:left w:w="108" w:type="dxa"/>
            <w:bottom w:w="0" w:type="dxa"/>
            <w:right w:w="108" w:type="dxa"/>
          </w:tblCellMar>
        </w:tblPrEx>
        <w:trPr>
          <w:trHeight w:val="1383"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24</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各办公楼出入口地台、地毯（含脚垫）无脏杂物、无污迹；楼内大厅地面整洁光亮、无浮尘，无烟蒂、纸屑等废弃物。 </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367"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25</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各楼层走廊、过道、楼梯，公共区域内的装饰物和各类设施（如开关盒、指示牌、消防栓箱等）等要干净整洁、无浮尘、无污迹，无蜘蛛网；栏杆扶手等要保持干净、无积尘、无污迹，金属材质的要确保无斑点。公共区门窗、窗台干净无灰尘、无污迹；垃圾桶清倒及时，筒身外表保持干净、无积垢、无异味。</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718"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26</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电梯厅墙面、地面、门框、电梯指示牌表面干净，无灰尘；电梯内墙、地面、天花板等表面干净、无灰尘、无污迹；电梯箱壁、电梯门、框要按规定上保护剂；地毯要按规定跟换。</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01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27</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卫生间内干净无污迹、无异味；洗手盆和台面、镜面无积水、无污迹；卫生纸补充及时。</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236"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28</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车库保持整洁，无堆积的杂物、排水沟通畅；</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 xml:space="preserve"> 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353"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29</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玻璃屋顶、雨棚玻璃要及时清洗，确保清洁。</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126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30</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室外场地、道路、绿化带、公共区域等保持清洁，无乱贴乱画，无占用和堆放杂物现象；地面无纸屑、烟头等废弃物；</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9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31</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实施垃圾分类收集，垃圾清理做到及时干净、日产日清。</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959"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32</w:t>
            </w:r>
          </w:p>
        </w:tc>
        <w:tc>
          <w:tcPr>
            <w:tcW w:w="992"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绿化  管理</w:t>
            </w: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草坪平整，无斑秃，不允许有开花杂草；花木丛中无高于花木的杂草。</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10分</w:t>
            </w:r>
          </w:p>
        </w:tc>
      </w:tr>
      <w:tr>
        <w:tblPrEx>
          <w:tblCellMar>
            <w:top w:w="0" w:type="dxa"/>
            <w:left w:w="108" w:type="dxa"/>
            <w:bottom w:w="0" w:type="dxa"/>
            <w:right w:w="108" w:type="dxa"/>
          </w:tblCellMar>
        </w:tblPrEx>
        <w:trPr>
          <w:trHeight w:val="90"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33</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花草树木修剪及时，无枯枝、死杈及病虫害现象。</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每发现1个问题扣1分。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821"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34</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大楼绿化租摆数量达标。</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每少一盆，大型的扣1分，中型的扣0.5分，小型及草花的，扣0.1分。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843"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35</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3544"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对大楼租摆绿化进行日常养护，无枯叶，叶面要保持清洁。</w:t>
            </w:r>
          </w:p>
        </w:tc>
        <w:tc>
          <w:tcPr>
            <w:tcW w:w="3161" w:type="dxa"/>
            <w:tcBorders>
              <w:top w:val="nil"/>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若发现未及时清理绿化的黄叶或叶面灰尘，每次每盆扣0.1分。</w:t>
            </w:r>
          </w:p>
        </w:tc>
        <w:tc>
          <w:tcPr>
            <w:tcW w:w="949"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r>
      <w:tr>
        <w:tblPrEx>
          <w:tblCellMar>
            <w:top w:w="0" w:type="dxa"/>
            <w:left w:w="108" w:type="dxa"/>
            <w:bottom w:w="0" w:type="dxa"/>
            <w:right w:w="108" w:type="dxa"/>
          </w:tblCellMar>
        </w:tblPrEx>
        <w:trPr>
          <w:trHeight w:val="546"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36</w:t>
            </w:r>
          </w:p>
        </w:tc>
        <w:tc>
          <w:tcPr>
            <w:tcW w:w="992" w:type="dxa"/>
            <w:vMerge w:val="restart"/>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加分</w:t>
            </w:r>
          </w:p>
        </w:tc>
        <w:tc>
          <w:tcPr>
            <w:tcW w:w="7654" w:type="dxa"/>
            <w:gridSpan w:val="3"/>
            <w:tcBorders>
              <w:top w:val="single" w:color="auto" w:sz="4" w:space="0"/>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有好人好事的，每次加0.5分。</w:t>
            </w:r>
          </w:p>
        </w:tc>
      </w:tr>
      <w:tr>
        <w:tblPrEx>
          <w:tblCellMar>
            <w:top w:w="0" w:type="dxa"/>
            <w:left w:w="108" w:type="dxa"/>
            <w:bottom w:w="0" w:type="dxa"/>
            <w:right w:w="108" w:type="dxa"/>
          </w:tblCellMar>
        </w:tblPrEx>
        <w:trPr>
          <w:trHeight w:val="508"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37</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7654" w:type="dxa"/>
            <w:gridSpan w:val="3"/>
            <w:tcBorders>
              <w:top w:val="single" w:color="auto" w:sz="4" w:space="0"/>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连续三个月得分在98分以上的，加1分。</w:t>
            </w:r>
          </w:p>
        </w:tc>
      </w:tr>
      <w:tr>
        <w:tblPrEx>
          <w:tblCellMar>
            <w:top w:w="0" w:type="dxa"/>
            <w:left w:w="108" w:type="dxa"/>
            <w:bottom w:w="0" w:type="dxa"/>
            <w:right w:w="108" w:type="dxa"/>
          </w:tblCellMar>
        </w:tblPrEx>
        <w:trPr>
          <w:trHeight w:val="756" w:hRule="atLeast"/>
        </w:trPr>
        <w:tc>
          <w:tcPr>
            <w:tcW w:w="852" w:type="dxa"/>
            <w:tcBorders>
              <w:top w:val="nil"/>
              <w:left w:val="single" w:color="auto" w:sz="4" w:space="0"/>
              <w:bottom w:val="single" w:color="auto" w:sz="4" w:space="0"/>
              <w:right w:val="single" w:color="auto" w:sz="4" w:space="0"/>
            </w:tcBorders>
            <w:vAlign w:val="center"/>
          </w:tcPr>
          <w:p>
            <w:pPr>
              <w:spacing w:line="44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38</w:t>
            </w:r>
          </w:p>
        </w:tc>
        <w:tc>
          <w:tcPr>
            <w:tcW w:w="992" w:type="dxa"/>
            <w:vMerge w:val="continue"/>
            <w:tcBorders>
              <w:top w:val="nil"/>
              <w:left w:val="single" w:color="auto" w:sz="4" w:space="0"/>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p>
        </w:tc>
        <w:tc>
          <w:tcPr>
            <w:tcW w:w="7654" w:type="dxa"/>
            <w:gridSpan w:val="3"/>
            <w:tcBorders>
              <w:top w:val="single" w:color="auto" w:sz="4" w:space="0"/>
              <w:left w:val="nil"/>
              <w:bottom w:val="single" w:color="auto" w:sz="4" w:space="0"/>
              <w:right w:val="single" w:color="auto" w:sz="4" w:space="0"/>
            </w:tcBorders>
            <w:vAlign w:val="center"/>
          </w:tcPr>
          <w:p>
            <w:pPr>
              <w:spacing w:line="44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为保护业主生命和财产，表现英勇，或发现重大隐患，避免事故的，每有一项突出的事迹，加5分。</w:t>
            </w:r>
          </w:p>
        </w:tc>
      </w:tr>
    </w:tbl>
    <w:p>
      <w:pPr>
        <w:rPr>
          <w:rFonts w:hint="eastAsia" w:ascii="仿宋_GB2312" w:hAnsi="仿宋_GB2312" w:eastAsia="仿宋_GB2312" w:cs="仿宋_GB2312"/>
          <w:color w:val="auto"/>
          <w:sz w:val="24"/>
          <w:szCs w:val="24"/>
          <w:highlight w:val="none"/>
        </w:rPr>
      </w:pPr>
    </w:p>
    <w:p>
      <w:pPr>
        <w:rPr>
          <w:color w:val="auto"/>
          <w:highlight w:val="none"/>
        </w:rPr>
      </w:pPr>
    </w:p>
    <w:p>
      <w:pPr>
        <w:spacing w:line="360" w:lineRule="auto"/>
        <w:rPr>
          <w:rFonts w:ascii="仿宋_GB2312" w:eastAsia="仿宋_GB2312" w:hAnsiTheme="minorEastAsia" w:cstheme="minorEastAsia"/>
          <w:color w:val="auto"/>
          <w:sz w:val="24"/>
          <w:highlight w:val="none"/>
          <w:lang w:val="zh-CN"/>
        </w:rPr>
      </w:pPr>
    </w:p>
    <w:bookmarkEnd w:id="4"/>
    <w:p>
      <w:pPr>
        <w:pageBreakBefore/>
        <w:spacing w:line="360" w:lineRule="auto"/>
        <w:ind w:left="720" w:leftChars="343" w:firstLine="1084" w:firstLineChars="300"/>
        <w:outlineLvl w:val="0"/>
        <w:rPr>
          <w:rFonts w:ascii="仿宋_GB2312" w:hAnsi="仿宋" w:eastAsia="仿宋_GB2312" w:cs="仿宋"/>
          <w:b/>
          <w:color w:val="auto"/>
          <w:sz w:val="36"/>
          <w:szCs w:val="36"/>
          <w:highlight w:val="none"/>
        </w:rPr>
      </w:pPr>
      <w:r>
        <w:rPr>
          <w:rFonts w:hint="eastAsia" w:ascii="仿宋_GB2312" w:hAnsi="宋体" w:eastAsia="仿宋_GB2312"/>
          <w:b/>
          <w:color w:val="auto"/>
          <w:sz w:val="36"/>
          <w:szCs w:val="36"/>
          <w:highlight w:val="none"/>
        </w:rPr>
        <w:t xml:space="preserve">第四部分  </w:t>
      </w:r>
      <w:r>
        <w:rPr>
          <w:rFonts w:hint="eastAsia" w:ascii="仿宋_GB2312" w:hAnsi="仿宋" w:eastAsia="仿宋_GB2312" w:cs="仿宋"/>
          <w:b/>
          <w:color w:val="auto"/>
          <w:sz w:val="36"/>
          <w:szCs w:val="36"/>
          <w:highlight w:val="none"/>
        </w:rPr>
        <w:t>拟签订的合同文本</w:t>
      </w:r>
    </w:p>
    <w:p>
      <w:pPr>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合同编号：</w:t>
      </w:r>
      <w:r>
        <w:rPr>
          <w:rFonts w:hint="eastAsia" w:ascii="仿宋_GB2312" w:hAnsi="仿宋" w:eastAsia="仿宋_GB2312" w:cs="仿宋"/>
          <w:color w:val="auto"/>
          <w:sz w:val="24"/>
          <w:highlight w:val="none"/>
          <w:u w:val="single"/>
        </w:rPr>
        <w:t xml:space="preserve">           </w:t>
      </w:r>
    </w:p>
    <w:p>
      <w:pPr>
        <w:spacing w:line="480" w:lineRule="auto"/>
        <w:jc w:val="center"/>
        <w:rPr>
          <w:rFonts w:ascii="仿宋_GB2312" w:hAnsi="仿宋" w:eastAsia="仿宋_GB2312" w:cs="仿宋"/>
          <w:b/>
          <w:color w:val="auto"/>
          <w:sz w:val="28"/>
          <w:szCs w:val="28"/>
          <w:highlight w:val="none"/>
        </w:rPr>
      </w:pPr>
    </w:p>
    <w:p>
      <w:pPr>
        <w:spacing w:line="480" w:lineRule="auto"/>
        <w:jc w:val="center"/>
        <w:rPr>
          <w:rFonts w:ascii="仿宋_GB2312" w:hAnsi="仿宋" w:eastAsia="仿宋_GB2312" w:cs="仿宋"/>
          <w:b/>
          <w:color w:val="auto"/>
          <w:sz w:val="24"/>
          <w:highlight w:val="none"/>
        </w:rPr>
      </w:pP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政府采购合同参考范本</w:t>
      </w:r>
    </w:p>
    <w:p>
      <w:pPr>
        <w:spacing w:line="480" w:lineRule="auto"/>
        <w:jc w:val="center"/>
        <w:rPr>
          <w:rFonts w:ascii="仿宋_GB2312" w:hAnsi="仿宋" w:eastAsia="仿宋_GB2312" w:cs="仿宋"/>
          <w:b/>
          <w:color w:val="auto"/>
          <w:sz w:val="36"/>
          <w:szCs w:val="36"/>
          <w:highlight w:val="none"/>
        </w:rPr>
      </w:pPr>
      <w:r>
        <w:rPr>
          <w:rFonts w:hint="eastAsia" w:ascii="仿宋_GB2312" w:hAnsi="仿宋" w:eastAsia="仿宋_GB2312" w:cs="仿宋"/>
          <w:b/>
          <w:color w:val="auto"/>
          <w:sz w:val="36"/>
          <w:szCs w:val="36"/>
          <w:highlight w:val="none"/>
        </w:rPr>
        <w:t>（服务类）</w:t>
      </w:r>
    </w:p>
    <w:p>
      <w:pPr>
        <w:pStyle w:val="310"/>
        <w:ind w:firstLine="2843" w:firstLineChars="1180"/>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第一部分 合同书</w:t>
      </w:r>
    </w:p>
    <w:p>
      <w:pPr>
        <w:spacing w:before="120" w:line="22" w:lineRule="atLeast"/>
        <w:rPr>
          <w:rFonts w:ascii="仿宋_GB2312" w:hAnsi="仿宋" w:eastAsia="仿宋_GB2312" w:cs="仿宋"/>
          <w:color w:val="auto"/>
          <w:sz w:val="24"/>
          <w:highlight w:val="none"/>
        </w:rPr>
      </w:pPr>
    </w:p>
    <w:p>
      <w:pPr>
        <w:pStyle w:val="5"/>
        <w:numPr>
          <w:ilvl w:val="0"/>
          <w:numId w:val="0"/>
        </w:numPr>
        <w:ind w:left="992"/>
        <w:rPr>
          <w:rFonts w:cs="仿宋"/>
          <w:color w:val="auto"/>
          <w:highlight w:val="none"/>
        </w:rPr>
      </w:pPr>
    </w:p>
    <w:p>
      <w:pPr>
        <w:spacing w:before="120" w:line="22" w:lineRule="atLeast"/>
        <w:ind w:left="96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项目名称：</w:t>
      </w:r>
      <w:r>
        <w:rPr>
          <w:rFonts w:hint="eastAsia" w:ascii="仿宋_GB2312" w:hAnsi="仿宋" w:eastAsia="仿宋_GB2312" w:cs="仿宋"/>
          <w:color w:val="auto"/>
          <w:sz w:val="24"/>
          <w:highlight w:val="none"/>
          <w:u w:val="single"/>
        </w:rPr>
        <w:t xml:space="preserve">                                   </w:t>
      </w:r>
    </w:p>
    <w:p>
      <w:pPr>
        <w:pStyle w:val="309"/>
        <w:spacing w:before="120" w:line="22" w:lineRule="atLeast"/>
        <w:rPr>
          <w:rFonts w:hAnsi="仿宋" w:cs="仿宋"/>
          <w:color w:val="auto"/>
          <w:szCs w:val="24"/>
          <w:highlight w:val="none"/>
        </w:rPr>
      </w:pPr>
    </w:p>
    <w:p>
      <w:pPr>
        <w:pStyle w:val="309"/>
        <w:spacing w:before="120" w:line="22" w:lineRule="atLeast"/>
        <w:rPr>
          <w:rFonts w:hAnsi="仿宋" w:cs="仿宋"/>
          <w:color w:val="auto"/>
          <w:szCs w:val="24"/>
          <w:highlight w:val="none"/>
        </w:rPr>
      </w:pPr>
    </w:p>
    <w:p>
      <w:pPr>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甲方：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left="960"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乙方：</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签订地：</w:t>
      </w:r>
      <w:r>
        <w:rPr>
          <w:rFonts w:hint="eastAsia" w:ascii="仿宋_GB2312" w:hAnsi="仿宋" w:eastAsia="仿宋_GB2312" w:cs="仿宋"/>
          <w:color w:val="auto"/>
          <w:sz w:val="24"/>
          <w:highlight w:val="none"/>
          <w:u w:val="single"/>
        </w:rPr>
        <w:t xml:space="preserve">                                     </w:t>
      </w:r>
    </w:p>
    <w:p>
      <w:pPr>
        <w:spacing w:before="120" w:line="22" w:lineRule="atLeast"/>
        <w:rPr>
          <w:rFonts w:ascii="仿宋_GB2312" w:hAnsi="仿宋" w:eastAsia="仿宋_GB2312" w:cs="仿宋"/>
          <w:color w:val="auto"/>
          <w:sz w:val="24"/>
          <w:highlight w:val="none"/>
        </w:rPr>
      </w:pPr>
    </w:p>
    <w:p>
      <w:pPr>
        <w:spacing w:before="120" w:line="22" w:lineRule="atLeast"/>
        <w:ind w:firstLine="1440" w:firstLineChars="6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签订日期：</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日</w:t>
      </w:r>
    </w:p>
    <w:p>
      <w:pPr>
        <w:widowControl/>
        <w:jc w:val="left"/>
        <w:rPr>
          <w:rFonts w:ascii="仿宋_GB2312" w:hAnsi="仿宋" w:eastAsia="仿宋_GB2312" w:cs="仿宋"/>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年</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月</w:t>
      </w:r>
      <w:r>
        <w:rPr>
          <w:rFonts w:hint="eastAsia" w:ascii="仿宋_GB2312" w:hAnsi="仿宋" w:eastAsia="仿宋_GB2312" w:cs="仿宋"/>
          <w:color w:val="auto"/>
          <w:sz w:val="24"/>
          <w:highlight w:val="none"/>
          <w:u w:val="single"/>
          <w:lang w:val="zh-CN"/>
        </w:rPr>
        <w:t xml:space="preserve">    </w:t>
      </w:r>
      <w:r>
        <w:rPr>
          <w:rFonts w:hint="eastAsia" w:ascii="仿宋_GB2312" w:hAnsi="仿宋" w:eastAsia="仿宋_GB2312" w:cs="仿宋"/>
          <w:color w:val="auto"/>
          <w:sz w:val="24"/>
          <w:highlight w:val="none"/>
          <w:lang w:val="zh-CN"/>
        </w:rPr>
        <w:t>日</w:t>
      </w:r>
      <w:r>
        <w:rPr>
          <w:rFonts w:hint="eastAsia" w:ascii="仿宋_GB2312" w:hAnsi="仿宋" w:eastAsia="仿宋_GB2312" w:cs="仿宋"/>
          <w:color w:val="auto"/>
          <w:sz w:val="24"/>
          <w:highlight w:val="none"/>
        </w:rPr>
        <w:t>，</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rPr>
        <w:t>以</w:t>
      </w:r>
      <w:r>
        <w:rPr>
          <w:rFonts w:hint="eastAsia" w:ascii="仿宋_GB2312" w:hAnsi="仿宋" w:eastAsia="仿宋_GB2312" w:cs="仿宋"/>
          <w:color w:val="auto"/>
          <w:sz w:val="24"/>
          <w:highlight w:val="none"/>
          <w:u w:val="single"/>
        </w:rPr>
        <w:t xml:space="preserve">   （政府采购方式）  </w:t>
      </w:r>
      <w:r>
        <w:rPr>
          <w:rFonts w:hint="eastAsia" w:ascii="仿宋_GB2312" w:hAnsi="仿宋" w:eastAsia="仿宋_GB2312" w:cs="仿宋"/>
          <w:color w:val="auto"/>
          <w:sz w:val="24"/>
          <w:highlight w:val="none"/>
        </w:rPr>
        <w:t>对</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项目进行了采购。经</w:t>
      </w:r>
      <w:r>
        <w:rPr>
          <w:rFonts w:hint="eastAsia" w:ascii="仿宋_GB2312" w:hAnsi="仿宋" w:eastAsia="仿宋_GB2312" w:cs="仿宋"/>
          <w:color w:val="auto"/>
          <w:sz w:val="24"/>
          <w:highlight w:val="none"/>
          <w:u w:val="single"/>
        </w:rPr>
        <w:t xml:space="preserve">   （相关评定主体名称）   </w:t>
      </w:r>
      <w:r>
        <w:rPr>
          <w:rFonts w:hint="eastAsia" w:ascii="仿宋_GB2312" w:hAnsi="仿宋" w:eastAsia="仿宋_GB2312" w:cs="仿宋"/>
          <w:color w:val="auto"/>
          <w:sz w:val="24"/>
          <w:highlight w:val="none"/>
        </w:rPr>
        <w:t>评定，</w:t>
      </w:r>
      <w:r>
        <w:rPr>
          <w:rFonts w:hint="eastAsia" w:ascii="仿宋_GB2312" w:hAnsi="仿宋" w:eastAsia="仿宋_GB2312" w:cs="仿宋"/>
          <w:color w:val="auto"/>
          <w:sz w:val="24"/>
          <w:highlight w:val="none"/>
          <w:u w:val="single"/>
        </w:rPr>
        <w:t xml:space="preserve">   （中标或者成交供应商名称） </w:t>
      </w:r>
      <w:r>
        <w:rPr>
          <w:rFonts w:hint="eastAsia" w:ascii="仿宋_GB2312" w:hAnsi="仿宋" w:eastAsia="仿宋_GB2312"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_GB2312" w:hAnsi="仿宋" w:eastAsia="仿宋_GB2312" w:cs="仿宋"/>
          <w:color w:val="auto"/>
          <w:sz w:val="24"/>
          <w:highlight w:val="none"/>
          <w:u w:val="single"/>
        </w:rPr>
        <w:t xml:space="preserve">   （采购人）   </w:t>
      </w:r>
      <w:r>
        <w:rPr>
          <w:rFonts w:hint="eastAsia" w:ascii="仿宋_GB2312" w:hAnsi="仿宋" w:eastAsia="仿宋_GB2312" w:cs="仿宋"/>
          <w:color w:val="auto"/>
          <w:sz w:val="24"/>
          <w:highlight w:val="none"/>
          <w:lang w:val="zh-CN"/>
        </w:rPr>
        <w:t>(以下简称：甲方)和</w:t>
      </w:r>
      <w:r>
        <w:rPr>
          <w:rFonts w:hint="eastAsia" w:ascii="仿宋_GB2312" w:hAnsi="仿宋" w:eastAsia="仿宋_GB2312" w:cs="仿宋"/>
          <w:color w:val="auto"/>
          <w:sz w:val="24"/>
          <w:highlight w:val="none"/>
          <w:u w:val="single"/>
        </w:rPr>
        <w:t xml:space="preserve">   （中或者成交标供应商名称）   </w:t>
      </w:r>
      <w:r>
        <w:rPr>
          <w:rFonts w:hint="eastAsia" w:ascii="仿宋_GB2312" w:hAnsi="仿宋" w:eastAsia="仿宋_GB2312" w:cs="仿宋"/>
          <w:color w:val="auto"/>
          <w:sz w:val="24"/>
          <w:highlight w:val="none"/>
          <w:lang w:val="zh-CN"/>
        </w:rPr>
        <w:t>(以下简称：乙方)协商一致，约定以下合同</w:t>
      </w:r>
      <w:r>
        <w:rPr>
          <w:rFonts w:hint="eastAsia" w:ascii="仿宋_GB2312" w:hAnsi="仿宋" w:eastAsia="仿宋_GB2312" w:cs="仿宋"/>
          <w:color w:val="auto"/>
          <w:sz w:val="24"/>
          <w:highlight w:val="none"/>
        </w:rPr>
        <w:t>条款，以兹共同遵守、全面履行。</w:t>
      </w:r>
    </w:p>
    <w:p>
      <w:pPr>
        <w:spacing w:line="440" w:lineRule="exact"/>
        <w:ind w:firstLine="482" w:firstLineChars="200"/>
        <w:outlineLvl w:val="0"/>
        <w:rPr>
          <w:rFonts w:ascii="仿宋_GB2312" w:hAnsi="仿宋" w:eastAsia="仿宋_GB2312" w:cs="仿宋"/>
          <w:color w:val="auto"/>
          <w:sz w:val="24"/>
          <w:highlight w:val="none"/>
        </w:rPr>
      </w:pPr>
      <w:bookmarkStart w:id="11" w:name="_Toc20421"/>
      <w:bookmarkStart w:id="12" w:name="_Toc19273"/>
      <w:bookmarkStart w:id="13" w:name="_Toc22967"/>
      <w:bookmarkStart w:id="14" w:name="_Toc15367"/>
      <w:bookmarkStart w:id="15" w:name="_Toc28855"/>
      <w:r>
        <w:rPr>
          <w:rFonts w:hint="eastAsia" w:ascii="仿宋_GB2312" w:hAnsi="仿宋" w:eastAsia="仿宋_GB2312" w:cs="仿宋"/>
          <w:b/>
          <w:color w:val="auto"/>
          <w:sz w:val="24"/>
          <w:highlight w:val="none"/>
        </w:rPr>
        <w:t>1.1 合同组成部分</w:t>
      </w:r>
      <w:bookmarkEnd w:id="11"/>
      <w:bookmarkEnd w:id="12"/>
      <w:bookmarkEnd w:id="13"/>
      <w:bookmarkEnd w:id="14"/>
      <w:bookmarkEnd w:id="1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1.1.1 本合同及其补充合同、变更协议；</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1.1.2 中标或者成交通知书；</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1.1.3 投标或者响应文件（含澄清或者说明文件）；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1.1.4 采购文件（含澄清或者修改文件）；</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1.1.5 其他相关采购文件。</w:t>
      </w:r>
    </w:p>
    <w:p>
      <w:pPr>
        <w:spacing w:line="440" w:lineRule="exact"/>
        <w:ind w:firstLine="482" w:firstLineChars="200"/>
        <w:outlineLvl w:val="0"/>
        <w:rPr>
          <w:rFonts w:ascii="仿宋_GB2312" w:hAnsi="仿宋" w:eastAsia="仿宋_GB2312" w:cs="仿宋"/>
          <w:b/>
          <w:color w:val="auto"/>
          <w:sz w:val="24"/>
          <w:highlight w:val="none"/>
        </w:rPr>
      </w:pPr>
      <w:bookmarkStart w:id="16" w:name="_Toc6773"/>
      <w:bookmarkStart w:id="17" w:name="_Toc18585"/>
      <w:bookmarkStart w:id="18" w:name="_Toc6311"/>
      <w:bookmarkStart w:id="19" w:name="_Toc2918"/>
      <w:bookmarkStart w:id="20" w:name="_Toc22185"/>
      <w:r>
        <w:rPr>
          <w:rFonts w:hint="eastAsia" w:ascii="仿宋_GB2312" w:hAnsi="仿宋" w:eastAsia="仿宋_GB2312" w:cs="仿宋"/>
          <w:b/>
          <w:color w:val="auto"/>
          <w:sz w:val="24"/>
          <w:highlight w:val="none"/>
        </w:rPr>
        <w:t>1.2 标的</w:t>
      </w:r>
      <w:bookmarkEnd w:id="16"/>
      <w:bookmarkEnd w:id="17"/>
      <w:bookmarkEnd w:id="18"/>
      <w:bookmarkEnd w:id="19"/>
      <w:bookmarkEnd w:id="20"/>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1.2.1 服务内容：</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1.2.2 服务标准：</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1.2.3 技术保障：</w:t>
      </w:r>
      <w:r>
        <w:rPr>
          <w:rFonts w:hint="eastAsia" w:ascii="仿宋_GB2312" w:hAnsi="仿宋" w:eastAsia="仿宋_GB2312" w:cs="仿宋"/>
          <w:color w:val="auto"/>
          <w:sz w:val="24"/>
          <w:highlight w:val="none"/>
          <w:u w:val="single"/>
        </w:rPr>
        <w:t>　　　　　　　　　                      　      ；</w:t>
      </w:r>
    </w:p>
    <w:p>
      <w:pPr>
        <w:spacing w:line="44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1.2.4 服务人员组成：</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pStyle w:val="311"/>
        <w:spacing w:before="0" w:beforeAutospacing="0" w:after="0" w:afterAutospacing="0" w:line="44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1.2.5合同</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（是/否）涉及货物。若涉及货物的的，则：</w:t>
      </w:r>
    </w:p>
    <w:p>
      <w:pPr>
        <w:spacing w:line="440" w:lineRule="exact"/>
        <w:ind w:firstLine="480" w:firstLineChars="200"/>
        <w:rPr>
          <w:rFonts w:ascii="仿宋_GB2312" w:hAnsi="仿宋" w:eastAsia="仿宋_GB2312" w:cs="仿宋"/>
          <w:color w:val="auto"/>
          <w:sz w:val="24"/>
          <w:highlight w:val="none"/>
          <w:u w:val="single"/>
        </w:rPr>
      </w:pPr>
      <w:bookmarkStart w:id="21" w:name="_Toc4929"/>
      <w:bookmarkStart w:id="22" w:name="_Toc21124"/>
      <w:bookmarkStart w:id="23" w:name="_Toc5635"/>
      <w:bookmarkStart w:id="24" w:name="_Toc13918"/>
      <w:bookmarkStart w:id="25" w:name="_Toc1386"/>
      <w:r>
        <w:rPr>
          <w:rFonts w:hint="eastAsia" w:ascii="仿宋_GB2312" w:hAnsi="仿宋" w:eastAsia="仿宋_GB2312" w:cs="仿宋"/>
          <w:color w:val="auto"/>
          <w:sz w:val="24"/>
          <w:highlight w:val="none"/>
        </w:rPr>
        <w:t>1.2.5.1 货物名称、品牌、规格型号、花色：</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1.2.5.2 货物数量：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1.2.5.3 货物质量：</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p>
    <w:p>
      <w:pPr>
        <w:spacing w:line="44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1.3 价款</w:t>
      </w:r>
      <w:bookmarkEnd w:id="21"/>
      <w:bookmarkEnd w:id="22"/>
      <w:bookmarkEnd w:id="23"/>
      <w:bookmarkEnd w:id="24"/>
      <w:bookmarkEnd w:id="25"/>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本项目采用以下第</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条款规定的计价方式计价。</w:t>
      </w:r>
    </w:p>
    <w:p>
      <w:pPr>
        <w:spacing w:line="44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1.3.1总价合同，本合同总价（含税）为：￥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4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序号</w:t>
            </w: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分项名称</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340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r>
              <w:rPr>
                <w:rFonts w:hint="eastAsia" w:ascii="仿宋_GB2312" w:hAnsi="仿宋" w:eastAsia="仿宋_GB2312" w:cs="仿宋"/>
                <w:color w:val="auto"/>
                <w:sz w:val="24"/>
                <w:szCs w:val="24"/>
                <w:highlight w:val="none"/>
              </w:rPr>
              <w:t>总价</w:t>
            </w:r>
          </w:p>
        </w:tc>
        <w:tc>
          <w:tcPr>
            <w:tcW w:w="2552" w:type="dxa"/>
            <w:vAlign w:val="center"/>
          </w:tcPr>
          <w:p>
            <w:pPr>
              <w:pStyle w:val="208"/>
              <w:spacing w:line="440" w:lineRule="exact"/>
              <w:ind w:firstLine="480" w:firstLineChars="200"/>
              <w:jc w:val="center"/>
              <w:rPr>
                <w:rFonts w:ascii="仿宋_GB2312" w:hAnsi="仿宋" w:eastAsia="仿宋_GB2312" w:cs="仿宋"/>
                <w:color w:val="auto"/>
                <w:sz w:val="24"/>
                <w:szCs w:val="24"/>
                <w:highlight w:val="none"/>
              </w:rPr>
            </w:pPr>
          </w:p>
        </w:tc>
      </w:tr>
    </w:tbl>
    <w:p>
      <w:pPr>
        <w:spacing w:line="400" w:lineRule="exact"/>
        <w:ind w:firstLine="480" w:firstLineChars="200"/>
        <w:rPr>
          <w:rFonts w:ascii="仿宋_GB2312" w:hAnsi="仿宋" w:eastAsia="仿宋_GB2312" w:cs="仿宋"/>
          <w:color w:val="auto"/>
          <w:sz w:val="24"/>
          <w:highlight w:val="none"/>
        </w:rPr>
      </w:pPr>
      <w:bookmarkStart w:id="26" w:name="_Toc14993"/>
      <w:bookmarkStart w:id="27" w:name="_Toc3654"/>
      <w:bookmarkStart w:id="28" w:name="_Toc26916"/>
      <w:bookmarkStart w:id="29" w:name="_Toc30506"/>
      <w:bookmarkStart w:id="30" w:name="_Toc30158"/>
      <w:r>
        <w:rPr>
          <w:rFonts w:hint="eastAsia" w:ascii="仿宋_GB2312" w:hAnsi="仿宋" w:eastAsia="仿宋_GB2312" w:cs="仿宋"/>
          <w:bCs/>
          <w:color w:val="auto"/>
          <w:sz w:val="24"/>
          <w:highlight w:val="none"/>
        </w:rPr>
        <w:t>1.3.2单价合同，本合同单价（含税）标准为：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。服务工作量的计量方式为：</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color w:val="auto"/>
          <w:sz w:val="24"/>
          <w:highlight w:val="none"/>
        </w:rPr>
        <w:t>。单价合同，在合同履行期间内，根据实际完成的工作量据实结算，但结算总价上限不得超过预算金额或者双方确定的金额￥</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元（大写：</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元人民币）。</w:t>
      </w:r>
    </w:p>
    <w:p>
      <w:pPr>
        <w:spacing w:line="400" w:lineRule="exact"/>
        <w:ind w:firstLine="480" w:firstLineChars="200"/>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1.3.3其他计价方式：</w:t>
      </w:r>
      <w:r>
        <w:rPr>
          <w:rFonts w:hint="eastAsia" w:ascii="仿宋_GB2312" w:hAnsi="仿宋" w:eastAsia="仿宋_GB2312" w:cs="仿宋"/>
          <w:bCs/>
          <w:color w:val="auto"/>
          <w:sz w:val="24"/>
          <w:highlight w:val="none"/>
          <w:u w:val="single"/>
        </w:rPr>
        <w:t xml:space="preserve">                   </w:t>
      </w:r>
      <w:r>
        <w:rPr>
          <w:rFonts w:hint="eastAsia" w:ascii="仿宋_GB2312" w:hAnsi="仿宋" w:eastAsia="仿宋_GB2312" w:cs="仿宋"/>
          <w:bCs/>
          <w:color w:val="auto"/>
          <w:sz w:val="24"/>
          <w:highlight w:val="none"/>
        </w:rPr>
        <w:t>。</w:t>
      </w:r>
    </w:p>
    <w:bookmarkEnd w:id="26"/>
    <w:bookmarkEnd w:id="27"/>
    <w:bookmarkEnd w:id="28"/>
    <w:bookmarkEnd w:id="29"/>
    <w:bookmarkEnd w:id="30"/>
    <w:p>
      <w:pPr>
        <w:pStyle w:val="311"/>
        <w:spacing w:before="0" w:beforeAutospacing="0" w:after="0" w:afterAutospacing="0" w:line="400" w:lineRule="exact"/>
        <w:ind w:firstLine="482" w:firstLineChars="200"/>
        <w:rPr>
          <w:rFonts w:ascii="仿宋_GB2312" w:hAnsi="仿宋" w:eastAsia="仿宋_GB2312" w:cs="仿宋"/>
          <w:b/>
          <w:color w:val="auto"/>
          <w:highlight w:val="none"/>
        </w:rPr>
      </w:pPr>
      <w:bookmarkStart w:id="31" w:name="_Toc10340"/>
      <w:bookmarkStart w:id="32" w:name="_Toc1814"/>
      <w:bookmarkStart w:id="33" w:name="_Toc22618"/>
      <w:bookmarkStart w:id="34" w:name="_Toc3625"/>
      <w:bookmarkStart w:id="35" w:name="_Toc4760"/>
      <w:bookmarkStart w:id="36" w:name="_Toc11108"/>
      <w:bookmarkStart w:id="37" w:name="_Toc31421"/>
      <w:bookmarkStart w:id="38" w:name="_Toc8772"/>
      <w:r>
        <w:rPr>
          <w:rFonts w:hint="eastAsia" w:ascii="仿宋_GB2312" w:hAnsi="仿宋" w:eastAsia="仿宋_GB2312" w:cs="仿宋"/>
          <w:b/>
          <w:color w:val="auto"/>
          <w:highlight w:val="none"/>
        </w:rPr>
        <w:t>1.4履约保证金</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乙方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（是/否）需要支付履约保证金。若需要支付履约保证金的，则：</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1.4.1履约保证金的比例为合同金额的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1.4.2履约保证金支付方式详见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00" w:lineRule="exact"/>
        <w:ind w:firstLine="480" w:firstLineChars="200"/>
        <w:outlineLvl w:val="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1.4.4甲方在项目验收结束后及时退还履约保证金。甲方在项目通过验收之日起</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%计算，最高限额为本合同履约保证金的</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 xml:space="preserve"> %。</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1.5</w:t>
      </w:r>
      <w:bookmarkEnd w:id="31"/>
      <w:bookmarkEnd w:id="32"/>
      <w:bookmarkEnd w:id="33"/>
      <w:r>
        <w:rPr>
          <w:rFonts w:hint="eastAsia" w:ascii="仿宋_GB2312" w:hAnsi="仿宋" w:eastAsia="仿宋_GB2312" w:cs="仿宋"/>
          <w:b/>
          <w:color w:val="auto"/>
          <w:sz w:val="24"/>
          <w:highlight w:val="none"/>
        </w:rPr>
        <w:t>预付款</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甲方</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（是/否）需要支付预付款。若需要支付预付款的，则：</w:t>
      </w:r>
    </w:p>
    <w:p>
      <w:pPr>
        <w:spacing w:line="400" w:lineRule="exact"/>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1.5.1预付款比例、支付方式、时间详见</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1.5.2预付款的扣回方式详见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0" w:firstLineChars="200"/>
        <w:rPr>
          <w:rFonts w:ascii="仿宋_GB2312" w:hAnsi="仿宋" w:eastAsia="仿宋_GB2312" w:cs="仿宋"/>
          <w:color w:val="auto"/>
          <w:highlight w:val="none"/>
          <w:u w:val="single"/>
        </w:rPr>
      </w:pPr>
      <w:r>
        <w:rPr>
          <w:rFonts w:hint="eastAsia" w:ascii="仿宋_GB2312" w:hAnsi="仿宋" w:eastAsia="仿宋_GB2312" w:cs="仿宋"/>
          <w:color w:val="auto"/>
          <w:highlight w:val="none"/>
        </w:rPr>
        <w:t>1.5.3预付款的担保措施详见</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b/>
          <w:i/>
          <w:color w:val="auto"/>
          <w:highlight w:val="none"/>
          <w:u w:val="single"/>
        </w:rPr>
        <w:t>合同专用条款</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highlight w:val="none"/>
        </w:rPr>
        <w:t>。</w:t>
      </w:r>
    </w:p>
    <w:p>
      <w:pPr>
        <w:pStyle w:val="311"/>
        <w:spacing w:before="0" w:beforeAutospacing="0" w:after="0" w:afterAutospacing="0" w:line="400" w:lineRule="exact"/>
        <w:ind w:firstLine="482" w:firstLineChars="200"/>
        <w:rPr>
          <w:rFonts w:ascii="仿宋_GB2312" w:hAnsi="仿宋" w:eastAsia="仿宋_GB2312" w:cs="仿宋"/>
          <w:b/>
          <w:bCs/>
          <w:color w:val="auto"/>
          <w:highlight w:val="none"/>
        </w:rPr>
      </w:pPr>
      <w:r>
        <w:rPr>
          <w:rFonts w:hint="eastAsia" w:ascii="仿宋_GB2312" w:hAnsi="仿宋" w:eastAsia="仿宋_GB2312" w:cs="仿宋"/>
          <w:b/>
          <w:bCs/>
          <w:color w:val="auto"/>
          <w:highlight w:val="none"/>
        </w:rPr>
        <w:t>1.6资金支付</w:t>
      </w:r>
    </w:p>
    <w:p>
      <w:pPr>
        <w:pStyle w:val="311"/>
        <w:spacing w:before="0" w:beforeAutospacing="0" w:after="0" w:afterAutospacing="0"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00" w:lineRule="exact"/>
        <w:ind w:firstLine="480" w:firstLineChars="200"/>
        <w:outlineLvl w:val="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1.6.2资金支付的方式、时间和条件详见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1.7 履行期限、地点和方式</w:t>
      </w:r>
      <w:bookmarkEnd w:id="34"/>
      <w:bookmarkEnd w:id="35"/>
      <w:bookmarkEnd w:id="36"/>
      <w:bookmarkEnd w:id="37"/>
      <w:bookmarkEnd w:id="38"/>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1.7.1 服务交付（实施）的时间（期限）：</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 服务交付（实施）的地点（地域范围）：</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 服务交付（实施）的方式：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outlineLvl w:val="0"/>
        <w:rPr>
          <w:rFonts w:ascii="仿宋_GB2312" w:hAnsi="仿宋" w:eastAsia="仿宋_GB2312" w:cs="仿宋"/>
          <w:bCs/>
          <w:color w:val="auto"/>
          <w:sz w:val="24"/>
          <w:highlight w:val="none"/>
        </w:rPr>
      </w:pPr>
      <w:bookmarkStart w:id="39" w:name="_Toc8586"/>
      <w:bookmarkStart w:id="40" w:name="_Toc2375"/>
      <w:bookmarkStart w:id="41" w:name="_Toc24662"/>
      <w:bookmarkStart w:id="42" w:name="_Toc5698"/>
      <w:bookmarkStart w:id="43" w:name="_Toc3079"/>
      <w:r>
        <w:rPr>
          <w:rFonts w:hint="eastAsia" w:ascii="仿宋_GB2312" w:hAnsi="仿宋" w:eastAsia="仿宋_GB2312" w:cs="仿宋"/>
          <w:bCs/>
          <w:color w:val="auto"/>
          <w:sz w:val="24"/>
          <w:highlight w:val="none"/>
        </w:rPr>
        <w:t>1.7.4若服务涉及货物的，则货物的：</w:t>
      </w:r>
    </w:p>
    <w:p>
      <w:pPr>
        <w:spacing w:line="400" w:lineRule="exact"/>
        <w:ind w:firstLine="480" w:firstLineChars="200"/>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1.7.4.1 交付期限：详见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 交付地点：</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 交付方式：</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400" w:lineRule="exact"/>
        <w:ind w:firstLine="482" w:firstLineChars="200"/>
        <w:outlineLvl w:val="0"/>
        <w:rPr>
          <w:rFonts w:ascii="仿宋_GB2312" w:hAnsi="仿宋" w:eastAsia="仿宋_GB2312" w:cs="仿宋"/>
          <w:color w:val="auto"/>
          <w:sz w:val="24"/>
          <w:highlight w:val="none"/>
          <w:u w:val="single"/>
        </w:rPr>
      </w:pPr>
      <w:r>
        <w:rPr>
          <w:rFonts w:hint="eastAsia" w:ascii="仿宋_GB2312" w:hAnsi="仿宋" w:eastAsia="仿宋_GB2312" w:cs="仿宋"/>
          <w:b/>
          <w:color w:val="auto"/>
          <w:sz w:val="24"/>
          <w:highlight w:val="none"/>
        </w:rPr>
        <w:t>1.8违约责任</w:t>
      </w:r>
      <w:bookmarkEnd w:id="39"/>
      <w:bookmarkEnd w:id="40"/>
      <w:bookmarkEnd w:id="41"/>
      <w:bookmarkEnd w:id="42"/>
      <w:bookmarkEnd w:id="43"/>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%；迟延履行的违约金计算数额达到前述最高限额之日起，甲方有权在要求乙方支付违约金的同时，书面通知乙方解除本合同；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%；迟延交付货物的违约金计算数额达到前述最高限额之日起，甲方有权在要求乙方支付违约金的同时，书面通知乙方解除本合同；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%计算，最高限额为本合同总价的</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%；迟延付款的违约金计算数额达到前述最高限额之日起，乙方有权在要求甲方支付违约金的同时，书面通知甲方解除本合同；</w:t>
      </w:r>
    </w:p>
    <w:p>
      <w:pPr>
        <w:spacing w:line="400" w:lineRule="exact"/>
        <w:ind w:firstLine="480" w:firstLineChars="200"/>
        <w:rPr>
          <w:rFonts w:ascii="仿宋_GB2312" w:hAnsi="仿宋" w:eastAsia="仿宋_GB2312" w:cs="仿宋"/>
          <w:color w:val="auto"/>
          <w:sz w:val="24"/>
          <w:highlight w:val="none"/>
        </w:rPr>
      </w:pPr>
      <w:bookmarkStart w:id="44" w:name="_Toc30329"/>
      <w:bookmarkStart w:id="45" w:name="_Toc9497"/>
      <w:bookmarkStart w:id="46" w:name="_Toc26807"/>
      <w:bookmarkStart w:id="47" w:name="_Toc18683"/>
      <w:bookmarkStart w:id="48" w:name="_Toc32454"/>
      <w:r>
        <w:rPr>
          <w:rFonts w:hint="eastAsia" w:ascii="仿宋_GB2312" w:hAnsi="仿宋" w:eastAsia="仿宋_GB2312"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00" w:lineRule="exact"/>
        <w:ind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1.8.7违约责任</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另有约定的，从其约定。</w:t>
      </w:r>
    </w:p>
    <w:bookmarkEnd w:id="44"/>
    <w:bookmarkEnd w:id="45"/>
    <w:bookmarkEnd w:id="46"/>
    <w:bookmarkEnd w:id="47"/>
    <w:bookmarkEnd w:id="48"/>
    <w:p>
      <w:pPr>
        <w:spacing w:line="400" w:lineRule="exact"/>
        <w:ind w:firstLine="482" w:firstLineChars="200"/>
        <w:outlineLvl w:val="0"/>
        <w:rPr>
          <w:rFonts w:ascii="仿宋_GB2312" w:hAnsi="仿宋" w:eastAsia="仿宋_GB2312" w:cs="仿宋"/>
          <w:b/>
          <w:color w:val="auto"/>
          <w:sz w:val="24"/>
          <w:highlight w:val="none"/>
        </w:rPr>
      </w:pPr>
      <w:bookmarkStart w:id="49" w:name="_Toc15583"/>
      <w:bookmarkStart w:id="50" w:name="_Toc28375"/>
      <w:bookmarkStart w:id="51" w:name="_Toc16021"/>
      <w:r>
        <w:rPr>
          <w:rFonts w:hint="eastAsia" w:ascii="仿宋_GB2312" w:hAnsi="仿宋" w:eastAsia="仿宋_GB2312" w:cs="仿宋"/>
          <w:b/>
          <w:color w:val="auto"/>
          <w:sz w:val="24"/>
          <w:highlight w:val="none"/>
        </w:rPr>
        <w:t>1.9合同争议的解决</w:t>
      </w:r>
      <w:bookmarkEnd w:id="49"/>
      <w:bookmarkEnd w:id="50"/>
      <w:bookmarkEnd w:id="51"/>
    </w:p>
    <w:p>
      <w:pPr>
        <w:spacing w:line="40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本合同履行过程中发生的任何争议，双方当事人均可通过和解或者调解解决；不愿和解、调解或者和解、调解不成的，将争议提交绍兴仲裁委员会仲裁。</w:t>
      </w:r>
    </w:p>
    <w:p>
      <w:pPr>
        <w:spacing w:line="400" w:lineRule="exact"/>
        <w:ind w:firstLine="482" w:firstLineChars="200"/>
        <w:outlineLvl w:val="0"/>
        <w:rPr>
          <w:rFonts w:ascii="仿宋_GB2312" w:hAnsi="仿宋" w:eastAsia="仿宋_GB2312" w:cs="仿宋"/>
          <w:b/>
          <w:color w:val="auto"/>
          <w:sz w:val="24"/>
          <w:highlight w:val="none"/>
        </w:rPr>
      </w:pPr>
      <w:bookmarkStart w:id="52" w:name="_Toc7245"/>
      <w:bookmarkStart w:id="53" w:name="_Toc11173"/>
      <w:bookmarkStart w:id="54" w:name="_Toc15322"/>
      <w:r>
        <w:rPr>
          <w:rFonts w:hint="eastAsia" w:ascii="仿宋_GB2312" w:hAnsi="仿宋" w:eastAsia="仿宋_GB2312" w:cs="仿宋"/>
          <w:b/>
          <w:color w:val="auto"/>
          <w:sz w:val="24"/>
          <w:highlight w:val="none"/>
        </w:rPr>
        <w:t>2.0 合同生效</w:t>
      </w:r>
      <w:bookmarkEnd w:id="52"/>
      <w:bookmarkEnd w:id="53"/>
      <w:bookmarkEnd w:id="54"/>
    </w:p>
    <w:p>
      <w:pPr>
        <w:spacing w:line="400" w:lineRule="exact"/>
        <w:ind w:firstLine="480" w:firstLineChars="200"/>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rPr>
        <w:t>本合同自双方当事人盖章签字时生效。</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b/>
          <w:color w:val="auto"/>
          <w:sz w:val="24"/>
          <w:highlight w:val="none"/>
          <w:lang w:val="zh-CN"/>
        </w:rPr>
        <w:t>甲方</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b/>
          <w:color w:val="auto"/>
          <w:sz w:val="24"/>
          <w:highlight w:val="none"/>
          <w:lang w:val="zh-CN"/>
        </w:rPr>
        <w:t xml:space="preserve">      乙方</w:t>
      </w:r>
      <w:r>
        <w:rPr>
          <w:rFonts w:hint="eastAsia" w:ascii="仿宋_GB2312" w:hAnsi="仿宋" w:eastAsia="仿宋_GB2312" w:cs="仿宋"/>
          <w:color w:val="auto"/>
          <w:sz w:val="24"/>
          <w:highlight w:val="none"/>
          <w:lang w:val="zh-CN"/>
        </w:rPr>
        <w:t>：</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统一社会信用代码：                       统一社会信用代码或身份证号码：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住所：                                   住所：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法定代表人或                             法定代表人或</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授权代表（签字）：                       授权代表（签字）: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联系人：                                 联系人：</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约定送达地址：                           约定送达地址：</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邮政编码：                               邮政编码：</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 xml:space="preserve">电话:                                    电话: </w:t>
      </w:r>
    </w:p>
    <w:p>
      <w:pPr>
        <w:autoSpaceDE w:val="0"/>
        <w:autoSpaceDN w:val="0"/>
        <w:spacing w:line="400" w:lineRule="exact"/>
        <w:rPr>
          <w:rFonts w:ascii="仿宋_GB2312" w:hAnsi="仿宋" w:eastAsia="仿宋_GB2312" w:cs="仿宋"/>
          <w:color w:val="auto"/>
          <w:sz w:val="24"/>
          <w:highlight w:val="none"/>
          <w:lang w:val="zh-CN"/>
        </w:rPr>
      </w:pPr>
      <w:r>
        <w:rPr>
          <w:rFonts w:hint="eastAsia" w:ascii="仿宋_GB2312" w:hAnsi="仿宋" w:eastAsia="仿宋_GB2312" w:cs="仿宋"/>
          <w:color w:val="auto"/>
          <w:sz w:val="24"/>
          <w:highlight w:val="none"/>
          <w:lang w:val="zh-CN"/>
        </w:rPr>
        <w:t>传真:                                    传真:</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val="zh-CN"/>
        </w:rPr>
        <w:t>电子邮箱：                               电子邮箱：</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开户银行：                               开户银行：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开户名称：                               开户名称： </w:t>
      </w:r>
    </w:p>
    <w:p>
      <w:pPr>
        <w:autoSpaceDE w:val="0"/>
        <w:autoSpaceDN w:val="0"/>
        <w:spacing w:line="40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开户账号：</w:t>
      </w:r>
      <w:r>
        <w:rPr>
          <w:rFonts w:hint="eastAsia" w:ascii="仿宋_GB2312" w:hAnsi="仿宋" w:eastAsia="仿宋_GB2312" w:cs="仿宋"/>
          <w:color w:val="auto"/>
          <w:sz w:val="24"/>
          <w:highlight w:val="none"/>
          <w:lang w:val="zh-CN"/>
        </w:rPr>
        <w:t xml:space="preserve">                               </w:t>
      </w:r>
      <w:r>
        <w:rPr>
          <w:rFonts w:hint="eastAsia" w:ascii="仿宋_GB2312" w:hAnsi="仿宋" w:eastAsia="仿宋_GB2312" w:cs="仿宋"/>
          <w:color w:val="auto"/>
          <w:sz w:val="24"/>
          <w:highlight w:val="none"/>
        </w:rPr>
        <w:t>开户账号：</w:t>
      </w:r>
    </w:p>
    <w:p>
      <w:pPr>
        <w:widowControl/>
        <w:jc w:val="left"/>
        <w:rPr>
          <w:rFonts w:ascii="仿宋_GB2312" w:hAnsi="仿宋" w:eastAsia="仿宋_GB2312" w:cs="仿宋"/>
          <w:b/>
          <w:color w:val="auto"/>
          <w:sz w:val="24"/>
          <w:highlight w:val="none"/>
        </w:rPr>
      </w:pPr>
      <w:r>
        <w:rPr>
          <w:rFonts w:hint="eastAsia" w:ascii="仿宋_GB2312" w:hAnsi="仿宋" w:eastAsia="仿宋_GB2312" w:cs="仿宋"/>
          <w:b/>
          <w:color w:val="auto"/>
          <w:highlight w:val="none"/>
        </w:rPr>
        <w:br w:type="page"/>
      </w:r>
    </w:p>
    <w:p>
      <w:pPr>
        <w:pStyle w:val="310"/>
        <w:spacing w:line="560" w:lineRule="exact"/>
        <w:ind w:firstLine="482"/>
        <w:jc w:val="center"/>
        <w:rPr>
          <w:rFonts w:ascii="仿宋_GB2312" w:hAnsi="仿宋" w:eastAsia="仿宋_GB2312" w:cs="仿宋"/>
          <w:b/>
          <w:color w:val="auto"/>
          <w:szCs w:val="24"/>
          <w:highlight w:val="none"/>
        </w:rPr>
      </w:pPr>
      <w:r>
        <w:rPr>
          <w:rFonts w:hint="eastAsia" w:ascii="仿宋_GB2312" w:hAnsi="仿宋" w:eastAsia="仿宋_GB2312" w:cs="仿宋"/>
          <w:b/>
          <w:color w:val="auto"/>
          <w:szCs w:val="24"/>
          <w:highlight w:val="none"/>
        </w:rPr>
        <w:t>第二部分 合同一般条款</w:t>
      </w:r>
    </w:p>
    <w:p>
      <w:pPr>
        <w:spacing w:line="560" w:lineRule="exact"/>
        <w:ind w:firstLine="482" w:firstLineChars="200"/>
        <w:outlineLvl w:val="0"/>
        <w:rPr>
          <w:rFonts w:ascii="仿宋_GB2312" w:hAnsi="仿宋" w:eastAsia="仿宋_GB2312" w:cs="仿宋"/>
          <w:b/>
          <w:color w:val="auto"/>
          <w:sz w:val="24"/>
          <w:highlight w:val="none"/>
        </w:rPr>
      </w:pPr>
      <w:bookmarkStart w:id="55" w:name="_Toc14021"/>
      <w:bookmarkStart w:id="56" w:name="_Toc31297"/>
      <w:bookmarkStart w:id="57" w:name="_Toc5228"/>
      <w:bookmarkStart w:id="58" w:name="_Toc19680"/>
      <w:bookmarkStart w:id="59" w:name="_Toc25079"/>
      <w:r>
        <w:rPr>
          <w:rFonts w:hint="eastAsia" w:ascii="仿宋_GB2312" w:hAnsi="仿宋" w:eastAsia="仿宋_GB2312" w:cs="仿宋"/>
          <w:b/>
          <w:color w:val="auto"/>
          <w:sz w:val="24"/>
          <w:highlight w:val="none"/>
        </w:rPr>
        <w:t>2.1 定义</w:t>
      </w:r>
      <w:bookmarkEnd w:id="55"/>
      <w:bookmarkEnd w:id="56"/>
      <w:bookmarkEnd w:id="57"/>
      <w:bookmarkEnd w:id="58"/>
      <w:bookmarkEnd w:id="5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本合同中的下列词语应按以下内容进行解释：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2.1.6 “现场”系指合同约定提供服务的地点。</w:t>
      </w:r>
    </w:p>
    <w:p>
      <w:pPr>
        <w:spacing w:line="560" w:lineRule="exact"/>
        <w:ind w:firstLine="482" w:firstLineChars="200"/>
        <w:outlineLvl w:val="0"/>
        <w:rPr>
          <w:rFonts w:ascii="仿宋_GB2312" w:hAnsi="仿宋" w:eastAsia="仿宋_GB2312" w:cs="仿宋"/>
          <w:b/>
          <w:color w:val="auto"/>
          <w:sz w:val="24"/>
          <w:highlight w:val="none"/>
        </w:rPr>
      </w:pPr>
      <w:bookmarkStart w:id="60" w:name="_Toc31402"/>
      <w:bookmarkStart w:id="61" w:name="_Toc16752"/>
      <w:bookmarkStart w:id="62" w:name="_Toc23289"/>
      <w:bookmarkStart w:id="63" w:name="_Toc3769"/>
      <w:bookmarkStart w:id="64" w:name="_Toc19539"/>
      <w:r>
        <w:rPr>
          <w:rFonts w:hint="eastAsia" w:ascii="仿宋_GB2312" w:hAnsi="仿宋" w:eastAsia="仿宋_GB2312" w:cs="仿宋"/>
          <w:b/>
          <w:color w:val="auto"/>
          <w:sz w:val="24"/>
          <w:highlight w:val="none"/>
        </w:rPr>
        <w:t>2.2 技术规范</w:t>
      </w:r>
      <w:bookmarkEnd w:id="60"/>
      <w:bookmarkEnd w:id="61"/>
      <w:bookmarkEnd w:id="62"/>
      <w:bookmarkEnd w:id="63"/>
      <w:bookmarkEnd w:id="6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cs="仿宋"/>
          <w:b/>
          <w:color w:val="auto"/>
          <w:sz w:val="24"/>
          <w:highlight w:val="none"/>
        </w:rPr>
      </w:pPr>
      <w:bookmarkStart w:id="65" w:name="_Toc27945"/>
      <w:bookmarkStart w:id="66" w:name="_Toc9161"/>
      <w:bookmarkStart w:id="67" w:name="_Toc12412"/>
      <w:bookmarkStart w:id="68" w:name="_Toc13673"/>
      <w:bookmarkStart w:id="69" w:name="_Toc4133"/>
      <w:r>
        <w:rPr>
          <w:rFonts w:hint="eastAsia" w:ascii="仿宋_GB2312" w:hAnsi="仿宋" w:eastAsia="仿宋_GB2312" w:cs="仿宋"/>
          <w:b/>
          <w:color w:val="auto"/>
          <w:sz w:val="24"/>
          <w:highlight w:val="none"/>
        </w:rPr>
        <w:t>2.3 知识产权</w:t>
      </w:r>
      <w:bookmarkEnd w:id="65"/>
      <w:bookmarkEnd w:id="66"/>
      <w:bookmarkEnd w:id="67"/>
      <w:bookmarkEnd w:id="68"/>
      <w:bookmarkEnd w:id="6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 合同涉及技术成果的归属和收益的分成办法的，详见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2.4 履约检查和问题反馈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_GB2312" w:hAnsi="仿宋" w:eastAsia="仿宋_GB2312" w:cs="仿宋"/>
          <w:b/>
          <w:color w:val="auto"/>
          <w:sz w:val="24"/>
          <w:highlight w:val="none"/>
        </w:rPr>
      </w:pPr>
      <w:bookmarkStart w:id="70" w:name="_Toc22011"/>
      <w:bookmarkStart w:id="71" w:name="_Toc31233"/>
      <w:bookmarkStart w:id="72" w:name="_Toc26555"/>
      <w:bookmarkStart w:id="73" w:name="_Toc15447"/>
      <w:bookmarkStart w:id="74" w:name="_Toc32670"/>
      <w:r>
        <w:rPr>
          <w:rFonts w:hint="eastAsia" w:ascii="仿宋_GB2312" w:hAnsi="仿宋" w:eastAsia="仿宋_GB2312" w:cs="仿宋"/>
          <w:b/>
          <w:color w:val="auto"/>
          <w:sz w:val="24"/>
          <w:highlight w:val="none"/>
        </w:rPr>
        <w:t>2.5 结算方式和付款条件</w:t>
      </w:r>
      <w:bookmarkEnd w:id="70"/>
      <w:bookmarkEnd w:id="71"/>
      <w:bookmarkEnd w:id="72"/>
      <w:bookmarkEnd w:id="73"/>
      <w:bookmarkEnd w:id="74"/>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75" w:name="_Toc30507"/>
      <w:bookmarkStart w:id="76" w:name="_Toc18990"/>
      <w:bookmarkStart w:id="77" w:name="_Toc16163"/>
      <w:bookmarkStart w:id="78" w:name="_Toc13467"/>
      <w:bookmarkStart w:id="79" w:name="_Toc13154"/>
      <w:r>
        <w:rPr>
          <w:rFonts w:hint="eastAsia" w:ascii="仿宋_GB2312" w:hAnsi="仿宋" w:eastAsia="仿宋_GB2312" w:cs="仿宋"/>
          <w:b/>
          <w:color w:val="auto"/>
          <w:sz w:val="24"/>
          <w:highlight w:val="none"/>
        </w:rPr>
        <w:t>2.6 技术资料和保密义务</w:t>
      </w:r>
      <w:bookmarkEnd w:id="75"/>
      <w:bookmarkEnd w:id="76"/>
      <w:bookmarkEnd w:id="77"/>
      <w:bookmarkEnd w:id="78"/>
      <w:bookmarkEnd w:id="7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2.6.2 乙方有义务妥善保管和保护由甲方提供的前款信息和资料等；</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cs="仿宋"/>
          <w:b/>
          <w:color w:val="auto"/>
          <w:sz w:val="24"/>
          <w:highlight w:val="none"/>
        </w:rPr>
      </w:pPr>
      <w:bookmarkStart w:id="80" w:name="_Toc19069"/>
      <w:r>
        <w:rPr>
          <w:rFonts w:hint="eastAsia" w:ascii="仿宋_GB2312" w:hAnsi="仿宋" w:eastAsia="仿宋_GB2312" w:cs="仿宋"/>
          <w:b/>
          <w:color w:val="auto"/>
          <w:sz w:val="24"/>
          <w:highlight w:val="none"/>
        </w:rPr>
        <w:t>2.7 质量保证</w:t>
      </w:r>
      <w:bookmarkEnd w:id="8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cs="仿宋"/>
          <w:b/>
          <w:color w:val="auto"/>
          <w:sz w:val="24"/>
          <w:highlight w:val="none"/>
        </w:rPr>
      </w:pPr>
      <w:bookmarkStart w:id="81" w:name="_Toc22267"/>
      <w:r>
        <w:rPr>
          <w:rFonts w:hint="eastAsia" w:ascii="仿宋_GB2312" w:hAnsi="仿宋" w:eastAsia="仿宋_GB2312" w:cs="仿宋"/>
          <w:b/>
          <w:color w:val="auto"/>
          <w:sz w:val="24"/>
          <w:highlight w:val="none"/>
        </w:rPr>
        <w:t>2.8 延迟履行</w:t>
      </w:r>
      <w:bookmarkEnd w:id="81"/>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_GB2312" w:hAnsi="仿宋" w:eastAsia="仿宋_GB2312" w:cs="仿宋"/>
          <w:b/>
          <w:color w:val="auto"/>
          <w:sz w:val="24"/>
          <w:highlight w:val="none"/>
        </w:rPr>
      </w:pPr>
      <w:bookmarkStart w:id="82" w:name="_Toc10611"/>
      <w:r>
        <w:rPr>
          <w:rFonts w:hint="eastAsia" w:ascii="仿宋_GB2312" w:hAnsi="仿宋" w:eastAsia="仿宋_GB2312" w:cs="仿宋"/>
          <w:b/>
          <w:color w:val="auto"/>
          <w:sz w:val="24"/>
          <w:highlight w:val="none"/>
        </w:rPr>
        <w:t>2.9 合同变更</w:t>
      </w:r>
      <w:bookmarkEnd w:id="8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83" w:name="_Toc21830"/>
      <w:bookmarkStart w:id="84" w:name="_Toc23368"/>
      <w:bookmarkStart w:id="85" w:name="_Toc26689"/>
      <w:bookmarkStart w:id="86" w:name="_Toc42"/>
      <w:bookmarkStart w:id="87" w:name="_Toc10663"/>
      <w:r>
        <w:rPr>
          <w:rFonts w:hint="eastAsia" w:ascii="仿宋_GB2312" w:hAnsi="仿宋" w:eastAsia="仿宋_GB2312" w:cs="仿宋"/>
          <w:b/>
          <w:color w:val="auto"/>
          <w:sz w:val="24"/>
          <w:highlight w:val="none"/>
        </w:rPr>
        <w:t>2.10 合同转让和分包</w:t>
      </w:r>
      <w:bookmarkEnd w:id="83"/>
      <w:bookmarkEnd w:id="84"/>
      <w:bookmarkEnd w:id="85"/>
      <w:bookmarkEnd w:id="86"/>
      <w:bookmarkEnd w:id="8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_GB2312" w:hAnsi="仿宋" w:eastAsia="仿宋_GB2312" w:cs="仿宋"/>
          <w:b/>
          <w:color w:val="auto"/>
          <w:sz w:val="24"/>
          <w:highlight w:val="none"/>
        </w:rPr>
      </w:pPr>
      <w:bookmarkStart w:id="88" w:name="_Toc26633"/>
      <w:bookmarkStart w:id="89" w:name="_Toc4720"/>
      <w:bookmarkStart w:id="90" w:name="_Toc14371"/>
      <w:bookmarkStart w:id="91" w:name="_Toc32494"/>
      <w:bookmarkStart w:id="92" w:name="_Toc25571"/>
      <w:r>
        <w:rPr>
          <w:rFonts w:hint="eastAsia" w:ascii="仿宋_GB2312" w:hAnsi="仿宋" w:eastAsia="仿宋_GB2312" w:cs="仿宋"/>
          <w:b/>
          <w:color w:val="auto"/>
          <w:sz w:val="24"/>
          <w:highlight w:val="none"/>
        </w:rPr>
        <w:t>2.11 不可抗力</w:t>
      </w:r>
      <w:bookmarkEnd w:id="88"/>
      <w:bookmarkEnd w:id="89"/>
      <w:bookmarkEnd w:id="90"/>
      <w:bookmarkEnd w:id="91"/>
      <w:bookmarkEnd w:id="9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2.11.2 因不可抗力致使不能实现合同目的的，当事人可以解除合同；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 因不可抗力致使合同有变更必要的，双方当事人应在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约定时间内以书面形式变更合同；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2.11.4受不可抗力影响的一方在不可抗力发生后，应在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约定时间内以书面形式通知对方当事人，并在</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约定时间内，将有关部门出具的证明文件送达对方当事人。</w:t>
      </w:r>
    </w:p>
    <w:p>
      <w:pPr>
        <w:spacing w:line="560" w:lineRule="exact"/>
        <w:ind w:firstLine="482" w:firstLineChars="200"/>
        <w:outlineLvl w:val="0"/>
        <w:rPr>
          <w:rFonts w:ascii="仿宋_GB2312" w:hAnsi="仿宋" w:eastAsia="仿宋_GB2312" w:cs="仿宋"/>
          <w:b/>
          <w:color w:val="auto"/>
          <w:sz w:val="24"/>
          <w:highlight w:val="none"/>
        </w:rPr>
      </w:pPr>
      <w:bookmarkStart w:id="93" w:name="_Toc25783"/>
      <w:bookmarkStart w:id="94" w:name="_Toc24465"/>
      <w:bookmarkStart w:id="95" w:name="_Toc23854"/>
      <w:bookmarkStart w:id="96" w:name="_Toc14115"/>
      <w:bookmarkStart w:id="97" w:name="_Toc3638"/>
      <w:r>
        <w:rPr>
          <w:rFonts w:hint="eastAsia" w:ascii="仿宋_GB2312" w:hAnsi="仿宋" w:eastAsia="仿宋_GB2312" w:cs="仿宋"/>
          <w:b/>
          <w:color w:val="auto"/>
          <w:sz w:val="24"/>
          <w:highlight w:val="none"/>
        </w:rPr>
        <w:t>2.12 税费</w:t>
      </w:r>
      <w:bookmarkEnd w:id="93"/>
      <w:bookmarkEnd w:id="94"/>
      <w:bookmarkEnd w:id="95"/>
      <w:bookmarkEnd w:id="96"/>
      <w:bookmarkEnd w:id="97"/>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_GB2312" w:hAnsi="仿宋" w:eastAsia="仿宋_GB2312" w:cs="仿宋"/>
          <w:b/>
          <w:color w:val="auto"/>
          <w:sz w:val="24"/>
          <w:highlight w:val="none"/>
        </w:rPr>
      </w:pPr>
      <w:bookmarkStart w:id="98" w:name="_Toc7315"/>
      <w:bookmarkStart w:id="99" w:name="_Toc30105"/>
      <w:bookmarkStart w:id="100" w:name="_Toc26883"/>
      <w:bookmarkStart w:id="101" w:name="_Toc25525"/>
      <w:bookmarkStart w:id="102" w:name="_Toc14814"/>
      <w:r>
        <w:rPr>
          <w:rFonts w:hint="eastAsia" w:ascii="仿宋_GB2312" w:hAnsi="仿宋" w:eastAsia="仿宋_GB2312" w:cs="仿宋"/>
          <w:b/>
          <w:color w:val="auto"/>
          <w:sz w:val="24"/>
          <w:highlight w:val="none"/>
        </w:rPr>
        <w:t>2.13 乙方破产</w:t>
      </w:r>
      <w:bookmarkEnd w:id="98"/>
      <w:bookmarkEnd w:id="99"/>
      <w:bookmarkEnd w:id="100"/>
      <w:bookmarkEnd w:id="101"/>
      <w:bookmarkEnd w:id="102"/>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cs="仿宋"/>
          <w:b/>
          <w:color w:val="auto"/>
          <w:sz w:val="24"/>
          <w:highlight w:val="none"/>
        </w:rPr>
      </w:pPr>
      <w:bookmarkStart w:id="103" w:name="_Toc2016"/>
      <w:bookmarkStart w:id="104" w:name="_Toc1123"/>
      <w:bookmarkStart w:id="105" w:name="_Toc23323"/>
      <w:r>
        <w:rPr>
          <w:rFonts w:hint="eastAsia" w:ascii="仿宋_GB2312" w:hAnsi="仿宋" w:eastAsia="仿宋_GB2312" w:cs="仿宋"/>
          <w:b/>
          <w:color w:val="auto"/>
          <w:sz w:val="24"/>
          <w:highlight w:val="none"/>
        </w:rPr>
        <w:t>2.14 合同中止、终止</w:t>
      </w:r>
      <w:bookmarkEnd w:id="103"/>
      <w:bookmarkEnd w:id="104"/>
      <w:bookmarkEnd w:id="105"/>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2.14.1 双方当事人不得擅自中止或者终止合同；</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cs="仿宋"/>
          <w:b/>
          <w:color w:val="auto"/>
          <w:sz w:val="24"/>
          <w:highlight w:val="none"/>
        </w:rPr>
      </w:pPr>
      <w:bookmarkStart w:id="106" w:name="_Toc14525"/>
      <w:bookmarkStart w:id="107" w:name="_Toc17363"/>
      <w:bookmarkStart w:id="108" w:name="_Toc1969"/>
      <w:r>
        <w:rPr>
          <w:rFonts w:hint="eastAsia" w:ascii="仿宋_GB2312" w:hAnsi="仿宋" w:eastAsia="仿宋_GB2312" w:cs="仿宋"/>
          <w:b/>
          <w:color w:val="auto"/>
          <w:sz w:val="24"/>
          <w:highlight w:val="none"/>
        </w:rPr>
        <w:t>2.15 检验和验收</w:t>
      </w:r>
      <w:bookmarkEnd w:id="106"/>
      <w:bookmarkEnd w:id="107"/>
      <w:bookmarkEnd w:id="108"/>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 乙方按照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的约定，定期提交服务报告，甲方按照</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 检验和验收标准、程序等具体内容以及前述验收书的效力详见</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i/>
          <w:color w:val="auto"/>
          <w:sz w:val="24"/>
          <w:highlight w:val="none"/>
        </w:rPr>
        <w:t>。</w:t>
      </w:r>
    </w:p>
    <w:p>
      <w:pPr>
        <w:spacing w:line="560" w:lineRule="exact"/>
        <w:ind w:firstLine="482" w:firstLineChars="200"/>
        <w:outlineLvl w:val="0"/>
        <w:rPr>
          <w:rFonts w:ascii="仿宋_GB2312" w:hAnsi="仿宋" w:eastAsia="仿宋_GB2312" w:cs="仿宋"/>
          <w:b/>
          <w:color w:val="auto"/>
          <w:sz w:val="24"/>
          <w:highlight w:val="none"/>
        </w:rPr>
      </w:pPr>
      <w:bookmarkStart w:id="109" w:name="_Toc12666"/>
      <w:bookmarkStart w:id="110" w:name="_Toc9808"/>
      <w:bookmarkStart w:id="111" w:name="_Toc2308"/>
      <w:bookmarkStart w:id="112" w:name="_Toc31892"/>
      <w:bookmarkStart w:id="113" w:name="_Toc25198"/>
      <w:r>
        <w:rPr>
          <w:rFonts w:hint="eastAsia" w:ascii="仿宋_GB2312" w:hAnsi="仿宋" w:eastAsia="仿宋_GB2312" w:cs="仿宋"/>
          <w:b/>
          <w:color w:val="auto"/>
          <w:sz w:val="24"/>
          <w:highlight w:val="none"/>
        </w:rPr>
        <w:t>2.16 通知和送达</w:t>
      </w:r>
      <w:bookmarkEnd w:id="109"/>
      <w:bookmarkEnd w:id="110"/>
      <w:bookmarkEnd w:id="111"/>
      <w:bookmarkEnd w:id="112"/>
      <w:bookmarkEnd w:id="113"/>
    </w:p>
    <w:p>
      <w:pPr>
        <w:spacing w:line="560" w:lineRule="exact"/>
        <w:ind w:firstLine="480" w:firstLineChars="200"/>
        <w:rPr>
          <w:rFonts w:ascii="仿宋_GB2312" w:hAnsi="仿宋" w:eastAsia="仿宋_GB2312" w:cs="仿宋"/>
          <w:color w:val="auto"/>
          <w:sz w:val="24"/>
          <w:highlight w:val="none"/>
        </w:rPr>
      </w:pPr>
      <w:bookmarkStart w:id="114" w:name="_Toc18401"/>
      <w:bookmarkStart w:id="115" w:name="_Toc27674"/>
      <w:r>
        <w:rPr>
          <w:rFonts w:hint="eastAsia" w:ascii="仿宋_GB2312" w:hAnsi="仿宋" w:eastAsia="仿宋_GB2312" w:cs="仿宋"/>
          <w:color w:val="auto"/>
          <w:sz w:val="24"/>
          <w:highlight w:val="none"/>
        </w:rPr>
        <w:t xml:space="preserve">2.17.1任何一方因履行合同而以合同第一部分尾部所列明的传真或电子邮件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发出的所有通知、文件、材料，均视为已向对方当事人送达；任何一方变更上述送达方式或者地址的，应于</w:t>
      </w:r>
      <w:r>
        <w:rPr>
          <w:rFonts w:hint="eastAsia" w:ascii="仿宋_GB2312" w:hAnsi="仿宋" w:eastAsia="仿宋_GB2312" w:cs="仿宋"/>
          <w:color w:val="auto"/>
          <w:sz w:val="24"/>
          <w:highlight w:val="none"/>
          <w:u w:val="single"/>
        </w:rPr>
        <w:t>3</w:t>
      </w:r>
      <w:r>
        <w:rPr>
          <w:rFonts w:hint="eastAsia" w:ascii="仿宋_GB2312" w:hAnsi="仿宋" w:eastAsia="仿宋_GB2312"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pPr>
        <w:spacing w:line="560" w:lineRule="exact"/>
        <w:ind w:firstLine="482" w:firstLineChars="200"/>
        <w:outlineLvl w:val="0"/>
        <w:rPr>
          <w:rFonts w:ascii="仿宋_GB2312" w:hAnsi="仿宋" w:eastAsia="仿宋_GB2312" w:cs="仿宋"/>
          <w:b/>
          <w:color w:val="auto"/>
          <w:sz w:val="24"/>
          <w:highlight w:val="none"/>
        </w:rPr>
      </w:pPr>
      <w:bookmarkStart w:id="116" w:name="_Toc20808"/>
      <w:bookmarkStart w:id="117" w:name="_Toc12254"/>
      <w:bookmarkStart w:id="118" w:name="_Toc5063"/>
      <w:bookmarkStart w:id="119" w:name="_Toc27644"/>
      <w:bookmarkStart w:id="120" w:name="_Toc28906"/>
      <w:r>
        <w:rPr>
          <w:rFonts w:hint="eastAsia" w:ascii="仿宋_GB2312" w:hAnsi="仿宋" w:eastAsia="仿宋_GB2312" w:cs="仿宋"/>
          <w:b/>
          <w:color w:val="auto"/>
          <w:sz w:val="24"/>
          <w:highlight w:val="none"/>
        </w:rPr>
        <w:t>2.17 合同使用的文字和适用的法律</w:t>
      </w:r>
      <w:bookmarkEnd w:id="116"/>
      <w:bookmarkEnd w:id="117"/>
      <w:bookmarkEnd w:id="118"/>
      <w:bookmarkEnd w:id="119"/>
      <w:bookmarkEnd w:id="120"/>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2.17.2 合同适用中华人民共和国法律。</w:t>
      </w:r>
    </w:p>
    <w:p>
      <w:pPr>
        <w:spacing w:line="560" w:lineRule="exact"/>
        <w:ind w:firstLine="482" w:firstLineChars="200"/>
        <w:outlineLvl w:val="0"/>
        <w:rPr>
          <w:rFonts w:ascii="仿宋_GB2312" w:hAnsi="仿宋" w:eastAsia="仿宋_GB2312" w:cs="仿宋"/>
          <w:b/>
          <w:color w:val="auto"/>
          <w:sz w:val="24"/>
          <w:highlight w:val="none"/>
        </w:rPr>
      </w:pPr>
      <w:bookmarkStart w:id="121" w:name="_Toc30599"/>
      <w:bookmarkStart w:id="122" w:name="_Toc18540"/>
      <w:bookmarkStart w:id="123" w:name="_Toc4355"/>
      <w:r>
        <w:rPr>
          <w:rFonts w:hint="eastAsia" w:ascii="仿宋_GB2312" w:hAnsi="仿宋" w:eastAsia="仿宋_GB2312" w:cs="仿宋"/>
          <w:b/>
          <w:color w:val="auto"/>
          <w:sz w:val="24"/>
          <w:highlight w:val="none"/>
        </w:rPr>
        <w:t>2.18 计量单位</w:t>
      </w:r>
      <w:bookmarkEnd w:id="121"/>
      <w:bookmarkEnd w:id="122"/>
      <w:bookmarkEnd w:id="123"/>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_GB2312" w:hAnsi="仿宋" w:eastAsia="仿宋_GB2312" w:cs="仿宋"/>
          <w:b/>
          <w:color w:val="auto"/>
          <w:sz w:val="24"/>
          <w:highlight w:val="none"/>
        </w:rPr>
      </w:pPr>
      <w:bookmarkStart w:id="124" w:name="_Toc279701263"/>
      <w:bookmarkStart w:id="125" w:name="_Toc10330"/>
      <w:bookmarkStart w:id="126" w:name="_Toc18567"/>
      <w:bookmarkStart w:id="127" w:name="_Toc12773"/>
      <w:bookmarkStart w:id="128" w:name="_Toc487900373"/>
      <w:bookmarkStart w:id="129" w:name="_Toc259093692"/>
      <w:r>
        <w:rPr>
          <w:rFonts w:hint="eastAsia" w:ascii="仿宋_GB2312" w:hAnsi="仿宋" w:eastAsia="仿宋_GB2312" w:cs="仿宋"/>
          <w:b/>
          <w:color w:val="auto"/>
          <w:sz w:val="24"/>
          <w:highlight w:val="none"/>
        </w:rPr>
        <w:t>2.19 合同使用的文字和适用的法律</w:t>
      </w:r>
      <w:bookmarkEnd w:id="124"/>
      <w:bookmarkEnd w:id="125"/>
      <w:bookmarkEnd w:id="126"/>
      <w:bookmarkEnd w:id="127"/>
      <w:bookmarkEnd w:id="128"/>
      <w:bookmarkEnd w:id="129"/>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2.19.1 合同使用汉语书就、变更和解释；</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2.19.2 合同适用中华人民共和国法律。</w:t>
      </w:r>
    </w:p>
    <w:p>
      <w:pPr>
        <w:spacing w:line="560" w:lineRule="exact"/>
        <w:ind w:firstLine="482" w:firstLineChars="200"/>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2.20合同份数</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合同份数按</w:t>
      </w:r>
      <w:r>
        <w:rPr>
          <w:rFonts w:hint="eastAsia" w:ascii="仿宋_GB2312" w:hAnsi="仿宋" w:eastAsia="仿宋_GB2312" w:cs="仿宋"/>
          <w:b/>
          <w:i/>
          <w:color w:val="auto"/>
          <w:sz w:val="24"/>
          <w:highlight w:val="none"/>
          <w:u w:val="single"/>
        </w:rPr>
        <w:t>合同专用条款</w:t>
      </w:r>
      <w:r>
        <w:rPr>
          <w:rFonts w:hint="eastAsia" w:ascii="仿宋_GB2312" w:hAnsi="仿宋" w:eastAsia="仿宋_GB2312" w:cs="仿宋"/>
          <w:color w:val="auto"/>
          <w:sz w:val="24"/>
          <w:highlight w:val="none"/>
        </w:rPr>
        <w:t>规定，每份均具有同等法律效力。</w:t>
      </w:r>
    </w:p>
    <w:p>
      <w:pPr>
        <w:spacing w:line="440" w:lineRule="atLeast"/>
        <w:ind w:firstLine="420" w:firstLineChars="200"/>
        <w:jc w:val="center"/>
        <w:outlineLvl w:val="0"/>
        <w:rPr>
          <w:rFonts w:ascii="仿宋_GB2312" w:hAnsi="仿宋" w:eastAsia="仿宋_GB2312" w:cs="仿宋"/>
          <w:b/>
          <w:color w:val="auto"/>
          <w:sz w:val="24"/>
          <w:highlight w:val="none"/>
        </w:rPr>
      </w:pPr>
      <w:r>
        <w:rPr>
          <w:rFonts w:hint="eastAsia" w:ascii="仿宋_GB2312" w:hAnsi="仿宋" w:eastAsia="仿宋_GB2312" w:cs="仿宋"/>
          <w:color w:val="auto"/>
          <w:kern w:val="0"/>
          <w:highlight w:val="none"/>
        </w:rPr>
        <w:br w:type="page"/>
      </w:r>
      <w:bookmarkStart w:id="130" w:name="_Toc331685784"/>
      <w:r>
        <w:rPr>
          <w:rFonts w:hint="eastAsia" w:ascii="仿宋_GB2312" w:hAnsi="仿宋" w:eastAsia="仿宋_GB2312" w:cs="仿宋"/>
          <w:b/>
          <w:color w:val="auto"/>
          <w:sz w:val="24"/>
          <w:highlight w:val="none"/>
        </w:rPr>
        <w:t xml:space="preserve"> </w:t>
      </w:r>
      <w:bookmarkEnd w:id="130"/>
      <w:r>
        <w:rPr>
          <w:rFonts w:hint="eastAsia" w:ascii="仿宋_GB2312" w:hAnsi="仿宋" w:eastAsia="仿宋_GB2312" w:cs="仿宋"/>
          <w:b/>
          <w:color w:val="auto"/>
          <w:sz w:val="24"/>
          <w:highlight w:val="none"/>
        </w:rPr>
        <w:t>第三部分  合同专用条款</w:t>
      </w:r>
    </w:p>
    <w:p>
      <w:pPr>
        <w:spacing w:line="440" w:lineRule="atLeast"/>
        <w:ind w:left="-420" w:leftChars="-200" w:right="-420" w:rightChars="-200" w:firstLine="480" w:firstLineChars="200"/>
        <w:rPr>
          <w:rFonts w:ascii="仿宋_GB2312" w:hAnsi="仿宋" w:eastAsia="仿宋_GB2312" w:cs="仿宋"/>
          <w:color w:val="auto"/>
          <w:highlight w:val="none"/>
        </w:rPr>
      </w:pPr>
      <w:r>
        <w:rPr>
          <w:rFonts w:hint="eastAsia" w:ascii="仿宋_GB2312" w:hAnsi="仿宋" w:eastAsia="仿宋_GB2312"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条款号</w:t>
            </w:r>
          </w:p>
        </w:tc>
        <w:tc>
          <w:tcPr>
            <w:tcW w:w="8149"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1.3.2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1.5.1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1.5.2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1.5.3 </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1.6.2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1.7.1</w:t>
            </w:r>
          </w:p>
        </w:tc>
        <w:tc>
          <w:tcPr>
            <w:tcW w:w="8149" w:type="dxa"/>
            <w:vAlign w:val="center"/>
          </w:tcPr>
          <w:p>
            <w:pPr>
              <w:spacing w:line="360" w:lineRule="auto"/>
              <w:rPr>
                <w:rFonts w:ascii="仿宋_GB2312" w:hAnsi="仿宋" w:eastAsia="仿宋_GB2312" w:cs="仿宋"/>
                <w:color w:val="auto"/>
                <w:sz w:val="24"/>
                <w:highlight w:val="none"/>
              </w:rPr>
            </w:pPr>
          </w:p>
        </w:tc>
      </w:tr>
      <w:tr>
        <w:tblPrEx>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1.7.4.3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1.8.7</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1.9.2</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2.11.3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2.11.4 </w:t>
            </w:r>
          </w:p>
        </w:tc>
        <w:tc>
          <w:tcPr>
            <w:tcW w:w="8149" w:type="dxa"/>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2.15.1</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vAlign w:val="center"/>
          </w:tcPr>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2.15.3</w:t>
            </w:r>
          </w:p>
        </w:tc>
        <w:tc>
          <w:tcPr>
            <w:tcW w:w="8149" w:type="dxa"/>
            <w:vAlign w:val="center"/>
          </w:tcPr>
          <w:p>
            <w:pPr>
              <w:spacing w:line="360" w:lineRule="auto"/>
              <w:rPr>
                <w:rFonts w:ascii="仿宋_GB2312" w:hAnsi="仿宋" w:eastAsia="仿宋_GB2312"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977" w:type="dxa"/>
            <w:tcBorders>
              <w:left w:val="single" w:color="auto" w:sz="4" w:space="0"/>
            </w:tcBorders>
          </w:tcPr>
          <w:p>
            <w:pPr>
              <w:spacing w:line="360" w:lineRule="auto"/>
              <w:rPr>
                <w:rFonts w:hint="default" w:ascii="仿宋_GB2312" w:hAnsi="仿宋" w:eastAsia="仿宋_GB2312" w:cs="仿宋"/>
                <w:color w:val="auto"/>
                <w:sz w:val="24"/>
                <w:highlight w:val="none"/>
                <w:lang w:val="en-US" w:eastAsia="zh-CN"/>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lang w:val="en-US" w:eastAsia="zh-CN"/>
              </w:rPr>
              <w:t>20</w:t>
            </w:r>
          </w:p>
        </w:tc>
        <w:tc>
          <w:tcPr>
            <w:tcW w:w="8149" w:type="dxa"/>
          </w:tcPr>
          <w:p>
            <w:pPr>
              <w:spacing w:line="360" w:lineRule="auto"/>
              <w:rPr>
                <w:rFonts w:ascii="仿宋_GB2312" w:hAnsi="仿宋" w:eastAsia="仿宋_GB2312" w:cs="仿宋"/>
                <w:color w:val="auto"/>
                <w:sz w:val="24"/>
                <w:highlight w:val="none"/>
              </w:rPr>
            </w:pPr>
          </w:p>
        </w:tc>
      </w:tr>
    </w:tbl>
    <w:p>
      <w:pPr>
        <w:pStyle w:val="32"/>
        <w:pageBreakBefore/>
        <w:spacing w:line="800" w:lineRule="exact"/>
        <w:ind w:firstLine="726"/>
        <w:jc w:val="center"/>
        <w:rPr>
          <w:rFonts w:ascii="仿宋_GB2312" w:hAnsi="宋体" w:eastAsia="仿宋_GB2312"/>
          <w:b/>
          <w:color w:val="auto"/>
          <w:sz w:val="36"/>
          <w:szCs w:val="36"/>
          <w:highlight w:val="none"/>
        </w:rPr>
      </w:pPr>
      <w:r>
        <w:rPr>
          <w:rFonts w:hint="eastAsia" w:ascii="仿宋_GB2312" w:hAnsi="宋体" w:eastAsia="仿宋_GB2312"/>
          <w:b/>
          <w:color w:val="auto"/>
          <w:sz w:val="36"/>
          <w:szCs w:val="36"/>
          <w:highlight w:val="none"/>
        </w:rPr>
        <w:t>第五部分  评标方法及标准</w:t>
      </w:r>
    </w:p>
    <w:p>
      <w:pPr>
        <w:spacing w:line="440" w:lineRule="exact"/>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1、评标方法：</w:t>
      </w:r>
    </w:p>
    <w:p>
      <w:pPr>
        <w:spacing w:line="440" w:lineRule="exact"/>
        <w:ind w:firstLine="480" w:firstLineChars="200"/>
        <w:jc w:val="left"/>
        <w:rPr>
          <w:rFonts w:ascii="仿宋_GB2312" w:hAnsi="宋体" w:eastAsia="仿宋_GB2312"/>
          <w:color w:val="auto"/>
          <w:sz w:val="24"/>
          <w:highlight w:val="none"/>
        </w:rPr>
      </w:pPr>
      <w:r>
        <w:rPr>
          <w:rFonts w:hint="eastAsia" w:ascii="仿宋_GB2312" w:hAnsi="宋体" w:eastAsia="仿宋_GB2312"/>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highlight w:val="none"/>
        </w:rPr>
      </w:pPr>
      <w:r>
        <w:rPr>
          <w:rFonts w:hint="eastAsia" w:ascii="仿宋_GB2312" w:hAnsi="宋体" w:eastAsia="仿宋_GB2312"/>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highlight w:val="none"/>
        </w:rPr>
      </w:pPr>
      <w:r>
        <w:rPr>
          <w:rFonts w:hint="eastAsia" w:ascii="仿宋_GB2312" w:hAnsi="宋体" w:eastAsia="仿宋_GB2312"/>
          <w:b/>
          <w:color w:val="auto"/>
          <w:sz w:val="24"/>
          <w:highlight w:val="none"/>
        </w:rPr>
        <w:t>2.评分标准：</w:t>
      </w:r>
      <w:r>
        <w:rPr>
          <w:rFonts w:hint="eastAsia" w:ascii="仿宋_GB2312" w:hAnsi="宋体" w:eastAsia="仿宋_GB2312"/>
          <w:color w:val="auto"/>
          <w:sz w:val="24"/>
          <w:highlight w:val="none"/>
        </w:rPr>
        <w:t>共100分，其中商务技术分</w:t>
      </w:r>
      <w:r>
        <w:rPr>
          <w:rFonts w:hint="eastAsia" w:ascii="仿宋_GB2312" w:hAnsi="宋体" w:eastAsia="仿宋_GB2312"/>
          <w:color w:val="auto"/>
          <w:sz w:val="24"/>
          <w:highlight w:val="none"/>
          <w:lang w:val="en-US" w:eastAsia="zh-CN"/>
        </w:rPr>
        <w:t>8</w:t>
      </w:r>
      <w:r>
        <w:rPr>
          <w:rFonts w:hint="eastAsia" w:ascii="仿宋_GB2312" w:hAnsi="宋体" w:eastAsia="仿宋_GB2312"/>
          <w:color w:val="auto"/>
          <w:sz w:val="24"/>
          <w:highlight w:val="none"/>
        </w:rPr>
        <w:t>0分，价格分</w:t>
      </w:r>
      <w:r>
        <w:rPr>
          <w:rFonts w:hint="eastAsia" w:ascii="仿宋_GB2312" w:hAnsi="宋体" w:eastAsia="仿宋_GB2312"/>
          <w:color w:val="auto"/>
          <w:sz w:val="24"/>
          <w:highlight w:val="none"/>
          <w:lang w:val="en-US" w:eastAsia="zh-CN"/>
        </w:rPr>
        <w:t>2</w:t>
      </w:r>
      <w:r>
        <w:rPr>
          <w:rFonts w:hint="eastAsia" w:ascii="仿宋_GB2312" w:hAnsi="宋体" w:eastAsia="仿宋_GB2312"/>
          <w:color w:val="auto"/>
          <w:sz w:val="24"/>
          <w:highlight w:val="none"/>
        </w:rPr>
        <w:t>0分。评分依下述所列为评标打分依据，分值如下（计算分值时，按其算术平均值保留小数2位）。</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2.1商务技术分（</w:t>
      </w:r>
      <w:r>
        <w:rPr>
          <w:rFonts w:hint="eastAsia" w:ascii="仿宋_GB2312" w:hAnsi="宋体" w:eastAsia="仿宋_GB2312"/>
          <w:b/>
          <w:bCs/>
          <w:iCs/>
          <w:color w:val="auto"/>
          <w:sz w:val="24"/>
          <w:highlight w:val="none"/>
          <w:lang w:val="en-US" w:eastAsia="zh-CN"/>
        </w:rPr>
        <w:t>8</w:t>
      </w:r>
      <w:r>
        <w:rPr>
          <w:rFonts w:hint="eastAsia" w:ascii="仿宋_GB2312" w:hAnsi="宋体" w:eastAsia="仿宋_GB2312"/>
          <w:b/>
          <w:bCs/>
          <w:iCs/>
          <w:color w:val="auto"/>
          <w:sz w:val="24"/>
          <w:highlight w:val="none"/>
        </w:rPr>
        <w:t>0分）</w:t>
      </w:r>
    </w:p>
    <w:tbl>
      <w:tblPr>
        <w:tblStyle w:val="63"/>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413"/>
        <w:gridCol w:w="6416"/>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811" w:type="dxa"/>
            <w:vAlign w:val="center"/>
          </w:tcPr>
          <w:p>
            <w:pPr>
              <w:keepNext w:val="0"/>
              <w:keepLines/>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序号</w:t>
            </w:r>
          </w:p>
        </w:tc>
        <w:tc>
          <w:tcPr>
            <w:tcW w:w="1413" w:type="dxa"/>
            <w:vAlign w:val="center"/>
          </w:tcPr>
          <w:p>
            <w:pPr>
              <w:keepNext w:val="0"/>
              <w:keepLines/>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评分项</w:t>
            </w:r>
          </w:p>
        </w:tc>
        <w:tc>
          <w:tcPr>
            <w:tcW w:w="6416" w:type="dxa"/>
            <w:vAlign w:val="center"/>
          </w:tcPr>
          <w:p>
            <w:pPr>
              <w:keepNext w:val="0"/>
              <w:keepLines/>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评审依据及标准</w:t>
            </w:r>
          </w:p>
        </w:tc>
        <w:tc>
          <w:tcPr>
            <w:tcW w:w="786" w:type="dxa"/>
            <w:vAlign w:val="center"/>
          </w:tcPr>
          <w:p>
            <w:pPr>
              <w:keepNext w:val="0"/>
              <w:keepLines/>
              <w:pageBreakBefore w:val="0"/>
              <w:widowControl/>
              <w:kinsoku/>
              <w:wordWrap/>
              <w:overflowPunct/>
              <w:topLinePunct w:val="0"/>
              <w:autoSpaceDE/>
              <w:autoSpaceDN/>
              <w:bidi w:val="0"/>
              <w:adjustRightInd/>
              <w:snapToGrid w:val="0"/>
              <w:spacing w:line="360" w:lineRule="exact"/>
              <w:jc w:val="center"/>
              <w:textAlignment w:val="auto"/>
              <w:rPr>
                <w:rFonts w:hint="eastAsia" w:ascii="仿宋_GB2312" w:hAnsi="仿宋_GB2312" w:eastAsia="仿宋_GB2312" w:cs="仿宋_GB2312"/>
                <w:b/>
                <w:bCs/>
                <w:color w:val="auto"/>
                <w:kern w:val="0"/>
                <w:sz w:val="24"/>
                <w:szCs w:val="24"/>
                <w:highlight w:val="none"/>
              </w:rPr>
            </w:pPr>
            <w:r>
              <w:rPr>
                <w:rFonts w:hint="eastAsia" w:ascii="仿宋_GB2312" w:hAnsi="仿宋_GB2312" w:eastAsia="仿宋_GB2312" w:cs="仿宋_GB2312"/>
                <w:b/>
                <w:bCs/>
                <w:color w:val="auto"/>
                <w:kern w:val="0"/>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管理体系</w:t>
            </w:r>
          </w:p>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认证</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根据投标人企业认证证书情况进行打分，0-</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分。（提供相关证明并加盖投标人公章）</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0"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业绩案例</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textAlignment w:val="auto"/>
              <w:rPr>
                <w:rFonts w:hint="eastAsia" w:ascii="仿宋_GB2312" w:hAnsi="仿宋_GB2312" w:eastAsia="仿宋_GB2312" w:cs="仿宋_GB2312"/>
                <w:bCs/>
                <w:iCs/>
                <w:color w:val="auto"/>
                <w:sz w:val="24"/>
                <w:szCs w:val="24"/>
                <w:highlight w:val="none"/>
              </w:rPr>
            </w:pPr>
            <w:r>
              <w:rPr>
                <w:rFonts w:hint="eastAsia" w:ascii="仿宋_GB2312" w:hAnsi="仿宋_GB2312" w:eastAsia="仿宋_GB2312" w:cs="仿宋_GB2312"/>
                <w:bCs/>
                <w:iCs/>
                <w:color w:val="auto"/>
                <w:sz w:val="24"/>
                <w:szCs w:val="24"/>
                <w:highlight w:val="none"/>
              </w:rPr>
              <w:t>投标人自2021年7月1日以来（以合同签订时间为准）完成的同类案例，每有1个得</w:t>
            </w:r>
            <w:r>
              <w:rPr>
                <w:rFonts w:hint="eastAsia" w:ascii="仿宋_GB2312" w:hAnsi="仿宋_GB2312" w:eastAsia="仿宋_GB2312" w:cs="仿宋_GB2312"/>
                <w:bCs/>
                <w:iCs/>
                <w:color w:val="auto"/>
                <w:sz w:val="24"/>
                <w:szCs w:val="24"/>
                <w:highlight w:val="none"/>
                <w:lang w:val="en-US" w:eastAsia="zh-CN"/>
              </w:rPr>
              <w:t>1</w:t>
            </w:r>
            <w:r>
              <w:rPr>
                <w:rFonts w:hint="eastAsia" w:ascii="仿宋_GB2312" w:hAnsi="仿宋_GB2312" w:eastAsia="仿宋_GB2312" w:cs="仿宋_GB2312"/>
                <w:bCs/>
                <w:iCs/>
                <w:color w:val="auto"/>
                <w:sz w:val="24"/>
                <w:szCs w:val="24"/>
                <w:highlight w:val="none"/>
              </w:rPr>
              <w:t>分，满分</w:t>
            </w:r>
            <w:r>
              <w:rPr>
                <w:rFonts w:hint="eastAsia" w:ascii="仿宋_GB2312" w:hAnsi="仿宋_GB2312" w:eastAsia="仿宋_GB2312" w:cs="仿宋_GB2312"/>
                <w:bCs/>
                <w:iCs/>
                <w:color w:val="auto"/>
                <w:sz w:val="24"/>
                <w:szCs w:val="24"/>
                <w:highlight w:val="none"/>
                <w:lang w:val="en-US" w:eastAsia="zh-CN"/>
              </w:rPr>
              <w:t>2</w:t>
            </w:r>
            <w:r>
              <w:rPr>
                <w:rFonts w:hint="eastAsia" w:ascii="仿宋_GB2312" w:hAnsi="仿宋_GB2312" w:eastAsia="仿宋_GB2312" w:cs="仿宋_GB2312"/>
                <w:bCs/>
                <w:iCs/>
                <w:color w:val="auto"/>
                <w:sz w:val="24"/>
                <w:szCs w:val="24"/>
                <w:highlight w:val="none"/>
              </w:rPr>
              <w:t>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Cs/>
                <w:iCs/>
                <w:color w:val="auto"/>
                <w:sz w:val="24"/>
                <w:szCs w:val="24"/>
                <w:highlight w:val="none"/>
              </w:rPr>
              <w:t>注：每个案例提供合同复印件，并加盖投标人公章。</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6"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人员</w:t>
            </w:r>
            <w:r>
              <w:rPr>
                <w:rFonts w:hint="eastAsia" w:ascii="仿宋_GB2312" w:hAnsi="仿宋_GB2312" w:eastAsia="仿宋_GB2312" w:cs="仿宋_GB2312"/>
                <w:color w:val="auto"/>
                <w:sz w:val="24"/>
                <w:szCs w:val="24"/>
                <w:highlight w:val="none"/>
              </w:rPr>
              <w:t>组织架构</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一、拟派项目负责人：</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1、具有大专及以上学历，得2分；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2、持有公安部门或人社部门颁发的保安员二级及以上证书，得2分；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二、拟派三名消控人员：</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1、持有人社部门颁发的建（构）筑物消防员中级及以上证书或消防设施操作员证书，每有一本得2分，最高得6分；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三、拟派四名保安员：</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1、具有保安员证书的，每有一本得2分，最高得8分；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四、拟派三名高配人员：</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1、持有应急管理部门颁发或监制的特种作业操作证（高压电工作业），每有一本得2分，最高得6分；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五、拟派一名维修人员：</w:t>
            </w:r>
          </w:p>
          <w:p>
            <w:pPr>
              <w:keepNext w:val="0"/>
              <w:keepLines/>
              <w:pageBreakBefore w:val="0"/>
              <w:widowControl/>
              <w:numPr>
                <w:ins w:id="0" w:author="admin" w:date=""/>
              </w:numPr>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持有人社部门颁发的维修电工二级及以上资格证书，得2分；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b w:val="0"/>
                <w:color w:val="auto"/>
                <w:kern w:val="2"/>
                <w:sz w:val="24"/>
                <w:szCs w:val="24"/>
                <w:highlight w:val="none"/>
                <w:lang w:val="en-US" w:eastAsia="zh-CN" w:bidi="ar-SA"/>
              </w:rPr>
            </w:pPr>
            <w:r>
              <w:rPr>
                <w:rFonts w:hint="eastAsia" w:ascii="仿宋_GB2312" w:hAnsi="仿宋_GB2312" w:eastAsia="仿宋_GB2312" w:cs="仿宋_GB2312"/>
                <w:b w:val="0"/>
                <w:color w:val="auto"/>
                <w:kern w:val="2"/>
                <w:sz w:val="24"/>
                <w:szCs w:val="24"/>
                <w:highlight w:val="none"/>
                <w:lang w:val="en-US" w:eastAsia="zh-CN" w:bidi="ar-SA"/>
              </w:rPr>
              <w:t>六、拟派团队人员中持有人社部门颁发的应急救援员证书或紧急救助员证的，每提供一本得2分，最高得4分。</w:t>
            </w:r>
          </w:p>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注：</w:t>
            </w:r>
            <w:r>
              <w:rPr>
                <w:rFonts w:hint="eastAsia" w:ascii="仿宋_GB2312" w:hAnsi="仿宋_GB2312" w:eastAsia="仿宋_GB2312" w:cs="仿宋_GB2312"/>
                <w:b/>
                <w:bCs/>
                <w:color w:val="auto"/>
                <w:sz w:val="24"/>
                <w:szCs w:val="24"/>
                <w:highlight w:val="none"/>
                <w:lang w:val="en-US" w:eastAsia="zh-CN"/>
              </w:rPr>
              <w:t>除第六条</w:t>
            </w:r>
            <w:r>
              <w:rPr>
                <w:rFonts w:hint="eastAsia" w:ascii="仿宋_GB2312" w:hAnsi="仿宋_GB2312" w:eastAsia="仿宋_GB2312" w:cs="仿宋_GB2312"/>
                <w:b/>
                <w:bCs/>
                <w:color w:val="auto"/>
                <w:sz w:val="24"/>
                <w:szCs w:val="24"/>
                <w:highlight w:val="none"/>
              </w:rPr>
              <w:t>以上人员不得兼任，提供以上相关人员本单位的社保证明材料及相关证书材料复印件并加盖投标人公章,否则不得分。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保洁服务方案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w:t>
            </w:r>
            <w:r>
              <w:rPr>
                <w:rFonts w:hint="eastAsia" w:ascii="仿宋_GB2312" w:hAnsi="仿宋_GB2312" w:eastAsia="仿宋_GB2312" w:cs="仿宋_GB2312"/>
                <w:color w:val="auto"/>
                <w:sz w:val="24"/>
                <w:szCs w:val="24"/>
                <w:highlight w:val="none"/>
                <w:lang w:eastAsia="zh-CN"/>
              </w:rPr>
              <w:t>根据投标人提供的</w:t>
            </w:r>
            <w:r>
              <w:rPr>
                <w:rFonts w:hint="eastAsia" w:ascii="仿宋_GB2312" w:hAnsi="仿宋_GB2312" w:eastAsia="仿宋_GB2312" w:cs="仿宋_GB2312"/>
                <w:color w:val="auto"/>
                <w:sz w:val="24"/>
                <w:szCs w:val="24"/>
                <w:highlight w:val="none"/>
              </w:rPr>
              <w:t>保洁服务方案</w:t>
            </w:r>
            <w:r>
              <w:rPr>
                <w:rFonts w:hint="eastAsia" w:ascii="仿宋_GB2312" w:hAnsi="仿宋_GB2312" w:eastAsia="仿宋_GB2312" w:cs="仿宋_GB2312"/>
                <w:color w:val="auto"/>
                <w:sz w:val="24"/>
                <w:szCs w:val="24"/>
                <w:highlight w:val="none"/>
                <w:lang w:eastAsia="zh-CN"/>
              </w:rPr>
              <w:t>进行打分，</w:t>
            </w:r>
            <w:r>
              <w:rPr>
                <w:rFonts w:hint="eastAsia" w:ascii="仿宋_GB2312" w:hAnsi="仿宋_GB2312" w:eastAsia="仿宋_GB2312" w:cs="仿宋_GB2312"/>
                <w:color w:val="auto"/>
                <w:sz w:val="24"/>
                <w:szCs w:val="24"/>
                <w:highlight w:val="none"/>
              </w:rPr>
              <w:t>包括但不限于公共区域及设施的保洁方案</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垃圾、废弃物清理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灭“四害”消杀等</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lang w:eastAsia="zh-CN"/>
              </w:rPr>
              <w:t>保安</w:t>
            </w:r>
            <w:r>
              <w:rPr>
                <w:rFonts w:hint="eastAsia" w:ascii="仿宋_GB2312" w:hAnsi="仿宋_GB2312" w:eastAsia="仿宋_GB2312" w:cs="仿宋_GB2312"/>
                <w:color w:val="auto"/>
                <w:sz w:val="24"/>
                <w:szCs w:val="24"/>
                <w:highlight w:val="none"/>
              </w:rPr>
              <w:t>服务方案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w:t>
            </w: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rPr>
              <w:t>投标人提供的</w:t>
            </w:r>
            <w:r>
              <w:rPr>
                <w:rFonts w:hint="eastAsia" w:ascii="仿宋_GB2312" w:hAnsi="仿宋_GB2312" w:eastAsia="仿宋_GB2312" w:cs="仿宋_GB2312"/>
                <w:color w:val="auto"/>
                <w:sz w:val="24"/>
                <w:szCs w:val="24"/>
                <w:highlight w:val="none"/>
                <w:lang w:eastAsia="zh-CN"/>
              </w:rPr>
              <w:t>保安</w:t>
            </w:r>
            <w:r>
              <w:rPr>
                <w:rFonts w:hint="eastAsia" w:ascii="仿宋_GB2312" w:hAnsi="仿宋_GB2312" w:eastAsia="仿宋_GB2312" w:cs="仿宋_GB2312"/>
                <w:color w:val="auto"/>
                <w:sz w:val="24"/>
                <w:szCs w:val="24"/>
                <w:highlight w:val="none"/>
              </w:rPr>
              <w:t>管理方案</w:t>
            </w:r>
            <w:r>
              <w:rPr>
                <w:rFonts w:hint="eastAsia" w:ascii="仿宋_GB2312" w:hAnsi="仿宋_GB2312" w:eastAsia="仿宋_GB2312" w:cs="仿宋_GB2312"/>
                <w:color w:val="auto"/>
                <w:sz w:val="24"/>
                <w:szCs w:val="24"/>
                <w:highlight w:val="none"/>
                <w:lang w:val="en-US" w:eastAsia="zh-CN"/>
              </w:rPr>
              <w:t>进行打分</w:t>
            </w:r>
            <w:r>
              <w:rPr>
                <w:rFonts w:hint="eastAsia" w:ascii="仿宋_GB2312" w:hAnsi="仿宋_GB2312" w:eastAsia="仿宋_GB2312" w:cs="仿宋_GB2312"/>
                <w:color w:val="auto"/>
                <w:sz w:val="24"/>
                <w:szCs w:val="24"/>
                <w:highlight w:val="none"/>
              </w:rPr>
              <w:t>，包括但不限于门岗、巡逻、消防、监控、车辆管理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外卖管控</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重大活动保障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各类突发事件处置流程等，</w:t>
            </w:r>
            <w:r>
              <w:rPr>
                <w:rFonts w:hint="eastAsia" w:ascii="仿宋_GB2312" w:hAnsi="仿宋_GB2312" w:eastAsia="仿宋_GB2312" w:cs="仿宋_GB2312"/>
                <w:color w:val="auto"/>
                <w:sz w:val="24"/>
                <w:szCs w:val="24"/>
                <w:highlight w:val="none"/>
                <w:lang w:val="en-US" w:eastAsia="zh-CN"/>
              </w:rPr>
              <w:t>0-5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6</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维修</w:t>
            </w:r>
            <w:r>
              <w:rPr>
                <w:rFonts w:hint="eastAsia" w:ascii="仿宋_GB2312" w:hAnsi="仿宋_GB2312" w:eastAsia="仿宋_GB2312" w:cs="仿宋_GB2312"/>
                <w:color w:val="auto"/>
                <w:sz w:val="24"/>
                <w:szCs w:val="24"/>
                <w:highlight w:val="none"/>
                <w:lang w:val="en-US" w:eastAsia="zh-CN"/>
              </w:rPr>
              <w:t>维保</w:t>
            </w:r>
            <w:r>
              <w:rPr>
                <w:rFonts w:hint="eastAsia" w:ascii="仿宋_GB2312" w:hAnsi="仿宋_GB2312" w:eastAsia="仿宋_GB2312" w:cs="仿宋_GB2312"/>
                <w:color w:val="auto"/>
                <w:sz w:val="24"/>
                <w:szCs w:val="24"/>
                <w:highlight w:val="none"/>
              </w:rPr>
              <w:t>服务方案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w:t>
            </w:r>
            <w:r>
              <w:rPr>
                <w:rFonts w:hint="eastAsia" w:ascii="仿宋_GB2312" w:hAnsi="仿宋_GB2312" w:eastAsia="仿宋_GB2312" w:cs="仿宋_GB2312"/>
                <w:color w:val="auto"/>
                <w:sz w:val="24"/>
                <w:szCs w:val="24"/>
                <w:highlight w:val="none"/>
                <w:lang w:val="en-US" w:eastAsia="zh-CN"/>
              </w:rPr>
              <w:t>根据投标人</w:t>
            </w:r>
            <w:r>
              <w:rPr>
                <w:rFonts w:hint="eastAsia" w:ascii="仿宋_GB2312" w:hAnsi="仿宋_GB2312" w:eastAsia="仿宋_GB2312" w:cs="仿宋_GB2312"/>
                <w:color w:val="auto"/>
                <w:sz w:val="24"/>
                <w:szCs w:val="24"/>
                <w:highlight w:val="none"/>
              </w:rPr>
              <w:t>提供</w:t>
            </w:r>
            <w:r>
              <w:rPr>
                <w:rFonts w:hint="eastAsia" w:ascii="仿宋_GB2312" w:hAnsi="仿宋_GB2312" w:eastAsia="仿宋_GB2312" w:cs="仿宋_GB2312"/>
                <w:color w:val="auto"/>
                <w:sz w:val="24"/>
                <w:szCs w:val="24"/>
                <w:highlight w:val="none"/>
                <w:lang w:val="en-US" w:eastAsia="zh-CN"/>
              </w:rPr>
              <w:t>的维修维保服务方案进行打分，包括但不限于高（低）压线路、照明及供电设备管理维护方案；设备机房标准化管理方案；房屋及设备设施日常养护；空调日常维修养护方案；消防维修保养方案；电梯维修保养方案；巡查维修方案以及其他相关维修方案等，0-5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7</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绿化服务方案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w:t>
            </w:r>
            <w:r>
              <w:rPr>
                <w:rFonts w:hint="eastAsia" w:ascii="仿宋_GB2312" w:hAnsi="仿宋_GB2312" w:eastAsia="仿宋_GB2312" w:cs="仿宋_GB2312"/>
                <w:color w:val="auto"/>
                <w:sz w:val="24"/>
                <w:szCs w:val="24"/>
                <w:highlight w:val="none"/>
                <w:lang w:val="en-US" w:eastAsia="zh-CN"/>
              </w:rPr>
              <w:t>根据投标人提供的绿化服务方案进行打分，包括但不限于物业服务区域内树木、花草、色块等的日常养护和管理；室内外摆花及盆栽绿色植物的摆放和养护等，0-5分。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8</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紧急事件防范方案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lang w:val="en-US"/>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w:t>
            </w: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rPr>
              <w:t>投标人提供</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紧急事件防范方案</w:t>
            </w:r>
            <w:r>
              <w:rPr>
                <w:rFonts w:hint="eastAsia" w:ascii="仿宋_GB2312" w:hAnsi="仿宋_GB2312" w:eastAsia="仿宋_GB2312" w:cs="仿宋_GB2312"/>
                <w:color w:val="auto"/>
                <w:sz w:val="24"/>
                <w:szCs w:val="24"/>
                <w:highlight w:val="none"/>
                <w:lang w:val="en-US" w:eastAsia="zh-CN"/>
              </w:rPr>
              <w:t>进行打分</w:t>
            </w:r>
            <w:r>
              <w:rPr>
                <w:rFonts w:hint="eastAsia" w:ascii="仿宋_GB2312" w:hAnsi="仿宋_GB2312" w:eastAsia="仿宋_GB2312" w:cs="仿宋_GB2312"/>
                <w:color w:val="auto"/>
                <w:sz w:val="24"/>
                <w:szCs w:val="24"/>
                <w:highlight w:val="none"/>
              </w:rPr>
              <w:t>，包</w:t>
            </w:r>
            <w:r>
              <w:rPr>
                <w:rFonts w:hint="eastAsia" w:ascii="仿宋_GB2312" w:hAnsi="仿宋_GB2312" w:eastAsia="仿宋_GB2312" w:cs="仿宋_GB2312"/>
                <w:color w:val="auto"/>
                <w:sz w:val="24"/>
                <w:szCs w:val="24"/>
                <w:highlight w:val="none"/>
                <w:lang w:val="en-US" w:eastAsia="zh-CN"/>
              </w:rPr>
              <w:t>括</w:t>
            </w:r>
            <w:r>
              <w:rPr>
                <w:rFonts w:hint="eastAsia" w:ascii="仿宋_GB2312" w:hAnsi="仿宋_GB2312" w:eastAsia="仿宋_GB2312" w:cs="仿宋_GB2312"/>
                <w:color w:val="auto"/>
                <w:sz w:val="24"/>
                <w:szCs w:val="24"/>
                <w:highlight w:val="none"/>
              </w:rPr>
              <w:t>但不限于重大活动应急保障</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电梯困人</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雨雪天气</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火灾等，0-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9</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项目员工培训方案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w:t>
            </w: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rPr>
              <w:t>投标人提供的培训与管理方案</w:t>
            </w:r>
            <w:r>
              <w:rPr>
                <w:rFonts w:hint="eastAsia" w:ascii="仿宋_GB2312" w:hAnsi="仿宋_GB2312" w:eastAsia="仿宋_GB2312" w:cs="仿宋_GB2312"/>
                <w:color w:val="auto"/>
                <w:sz w:val="24"/>
                <w:szCs w:val="24"/>
                <w:highlight w:val="none"/>
                <w:lang w:val="en-US" w:eastAsia="zh-CN"/>
              </w:rPr>
              <w:t>进行打分</w:t>
            </w:r>
            <w:r>
              <w:rPr>
                <w:rFonts w:hint="eastAsia" w:ascii="仿宋_GB2312" w:hAnsi="仿宋_GB2312" w:eastAsia="仿宋_GB2312" w:cs="仿宋_GB2312"/>
                <w:color w:val="auto"/>
                <w:sz w:val="24"/>
                <w:szCs w:val="24"/>
                <w:highlight w:val="none"/>
              </w:rPr>
              <w:t>，包括但不限于培训场地</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培训师资</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培训制度</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培训内容等，0-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交接方案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特点，根据投标人提供</w:t>
            </w:r>
            <w:r>
              <w:rPr>
                <w:rFonts w:hint="eastAsia" w:ascii="仿宋_GB2312" w:hAnsi="仿宋_GB2312" w:eastAsia="仿宋_GB2312" w:cs="仿宋_GB2312"/>
                <w:color w:val="auto"/>
                <w:sz w:val="24"/>
                <w:szCs w:val="24"/>
                <w:highlight w:val="none"/>
                <w:lang w:val="en-US" w:eastAsia="zh-CN"/>
              </w:rPr>
              <w:t>的</w:t>
            </w:r>
            <w:r>
              <w:rPr>
                <w:rFonts w:hint="eastAsia" w:ascii="仿宋_GB2312" w:hAnsi="仿宋_GB2312" w:eastAsia="仿宋_GB2312" w:cs="仿宋_GB2312"/>
                <w:color w:val="auto"/>
                <w:sz w:val="24"/>
                <w:szCs w:val="24"/>
                <w:highlight w:val="none"/>
              </w:rPr>
              <w:t>物业交接方案进行打分，包</w:t>
            </w:r>
            <w:r>
              <w:rPr>
                <w:rFonts w:hint="eastAsia" w:ascii="仿宋_GB2312" w:hAnsi="仿宋_GB2312" w:eastAsia="仿宋_GB2312" w:cs="仿宋_GB2312"/>
                <w:color w:val="auto"/>
                <w:sz w:val="24"/>
                <w:szCs w:val="24"/>
                <w:highlight w:val="none"/>
                <w:lang w:val="en-US" w:eastAsia="zh-CN"/>
              </w:rPr>
              <w:t>括</w:t>
            </w:r>
            <w:r>
              <w:rPr>
                <w:rFonts w:hint="eastAsia" w:ascii="仿宋_GB2312" w:hAnsi="仿宋_GB2312" w:eastAsia="仿宋_GB2312" w:cs="仿宋_GB2312"/>
                <w:color w:val="auto"/>
                <w:sz w:val="24"/>
                <w:szCs w:val="24"/>
                <w:highlight w:val="none"/>
              </w:rPr>
              <w:t>但不限于人员安置</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工作移交</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设备盘点交接</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提前对接等，0-</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11</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工作组织实施方案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结合</w:t>
            </w:r>
            <w:r>
              <w:rPr>
                <w:rFonts w:hint="eastAsia" w:ascii="仿宋_GB2312" w:hAnsi="仿宋_GB2312" w:eastAsia="仿宋_GB2312" w:cs="仿宋_GB2312"/>
                <w:color w:val="auto"/>
                <w:sz w:val="24"/>
                <w:szCs w:val="24"/>
                <w:highlight w:val="none"/>
                <w:lang w:eastAsia="zh-CN"/>
              </w:rPr>
              <w:t>我</w:t>
            </w:r>
            <w:r>
              <w:rPr>
                <w:rFonts w:hint="eastAsia" w:ascii="仿宋_GB2312" w:hAnsi="仿宋_GB2312" w:eastAsia="仿宋_GB2312" w:cs="仿宋_GB2312"/>
                <w:color w:val="auto"/>
                <w:sz w:val="24"/>
                <w:szCs w:val="24"/>
                <w:highlight w:val="none"/>
                <w:lang w:val="en-US" w:eastAsia="zh-CN"/>
              </w:rPr>
              <w:t>所</w:t>
            </w:r>
            <w:r>
              <w:rPr>
                <w:rFonts w:hint="eastAsia" w:ascii="仿宋_GB2312" w:hAnsi="仿宋_GB2312" w:eastAsia="仿宋_GB2312" w:cs="仿宋_GB2312"/>
                <w:color w:val="auto"/>
                <w:sz w:val="24"/>
                <w:szCs w:val="24"/>
                <w:highlight w:val="none"/>
              </w:rPr>
              <w:t>特点，</w:t>
            </w:r>
            <w:r>
              <w:rPr>
                <w:rFonts w:hint="eastAsia" w:ascii="仿宋_GB2312" w:hAnsi="仿宋_GB2312" w:eastAsia="仿宋_GB2312" w:cs="仿宋_GB2312"/>
                <w:color w:val="auto"/>
                <w:sz w:val="24"/>
                <w:szCs w:val="24"/>
                <w:highlight w:val="none"/>
                <w:lang w:val="en-US" w:eastAsia="zh-CN"/>
              </w:rPr>
              <w:t>根据</w:t>
            </w:r>
            <w:r>
              <w:rPr>
                <w:rFonts w:hint="eastAsia" w:ascii="仿宋_GB2312" w:hAnsi="仿宋_GB2312" w:eastAsia="仿宋_GB2312" w:cs="仿宋_GB2312"/>
                <w:color w:val="auto"/>
                <w:sz w:val="24"/>
                <w:szCs w:val="24"/>
                <w:highlight w:val="none"/>
                <w:lang w:eastAsia="zh-CN"/>
              </w:rPr>
              <w:t>投标人提供工作组织实施方案</w:t>
            </w:r>
            <w:r>
              <w:rPr>
                <w:rFonts w:hint="eastAsia" w:ascii="仿宋_GB2312" w:hAnsi="仿宋_GB2312" w:eastAsia="仿宋_GB2312" w:cs="仿宋_GB2312"/>
                <w:color w:val="auto"/>
                <w:sz w:val="24"/>
                <w:szCs w:val="24"/>
                <w:highlight w:val="none"/>
                <w:lang w:val="en-US" w:eastAsia="zh-CN"/>
              </w:rPr>
              <w:t>进行打分</w:t>
            </w:r>
            <w:r>
              <w:rPr>
                <w:rFonts w:hint="eastAsia" w:ascii="仿宋_GB2312" w:hAnsi="仿宋_GB2312" w:eastAsia="仿宋_GB2312" w:cs="仿宋_GB2312"/>
                <w:color w:val="auto"/>
                <w:sz w:val="24"/>
                <w:szCs w:val="24"/>
                <w:highlight w:val="none"/>
                <w:lang w:eastAsia="zh-CN"/>
              </w:rPr>
              <w:t>，包</w:t>
            </w:r>
            <w:r>
              <w:rPr>
                <w:rFonts w:hint="eastAsia" w:ascii="仿宋_GB2312" w:hAnsi="仿宋_GB2312" w:eastAsia="仿宋_GB2312" w:cs="仿宋_GB2312"/>
                <w:color w:val="auto"/>
                <w:sz w:val="24"/>
                <w:szCs w:val="24"/>
                <w:highlight w:val="none"/>
                <w:lang w:val="en-US" w:eastAsia="zh-CN"/>
              </w:rPr>
              <w:t>括</w:t>
            </w:r>
            <w:r>
              <w:rPr>
                <w:rFonts w:hint="eastAsia" w:ascii="仿宋_GB2312" w:hAnsi="仿宋_GB2312" w:eastAsia="仿宋_GB2312" w:cs="仿宋_GB2312"/>
                <w:color w:val="auto"/>
                <w:sz w:val="24"/>
                <w:szCs w:val="24"/>
                <w:highlight w:val="none"/>
                <w:lang w:eastAsia="zh-CN"/>
              </w:rPr>
              <w:t>但不限于管理流程，包括运作流程图、激励机制、监督机制、自我约束机制、信息反馈渠道及处理机制，管理指标承诺达到物业管理标准等，</w:t>
            </w:r>
            <w:r>
              <w:rPr>
                <w:rFonts w:hint="eastAsia" w:ascii="仿宋_GB2312" w:hAnsi="仿宋_GB2312" w:eastAsia="仿宋_GB2312" w:cs="仿宋_GB2312"/>
                <w:color w:val="auto"/>
                <w:sz w:val="24"/>
                <w:szCs w:val="24"/>
                <w:highlight w:val="none"/>
                <w:lang w:val="en-US" w:eastAsia="zh-CN"/>
              </w:rPr>
              <w:t>0-5分。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trPr>
        <w:tc>
          <w:tcPr>
            <w:tcW w:w="811"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12</w:t>
            </w:r>
          </w:p>
        </w:tc>
        <w:tc>
          <w:tcPr>
            <w:tcW w:w="1413"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财务档案管理方案</w:t>
            </w:r>
          </w:p>
        </w:tc>
        <w:tc>
          <w:tcPr>
            <w:tcW w:w="6416" w:type="dxa"/>
            <w:vAlign w:val="center"/>
          </w:tcPr>
          <w:p>
            <w:pPr>
              <w:keepNext w:val="0"/>
              <w:keepLines/>
              <w:pageBreakBefore w:val="0"/>
              <w:widowControl/>
              <w:kinsoku/>
              <w:wordWrap/>
              <w:overflowPunct/>
              <w:topLinePunct w:val="0"/>
              <w:autoSpaceDE/>
              <w:autoSpaceDN/>
              <w:bidi w:val="0"/>
              <w:adjustRightInd/>
              <w:spacing w:line="360" w:lineRule="exact"/>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根据投标人提供的财务档案管理方案进行打分，包括但不限于建立财务制度；对各项收支进行财务管理等，0-5分。</w:t>
            </w:r>
          </w:p>
        </w:tc>
        <w:tc>
          <w:tcPr>
            <w:tcW w:w="786" w:type="dxa"/>
            <w:vAlign w:val="center"/>
          </w:tcPr>
          <w:p>
            <w:pPr>
              <w:keepNext w:val="0"/>
              <w:keepLines/>
              <w:pageBreakBefore w:val="0"/>
              <w:widowControl/>
              <w:kinsoku/>
              <w:wordWrap/>
              <w:overflowPunct/>
              <w:topLinePunct w:val="0"/>
              <w:autoSpaceDE/>
              <w:autoSpaceDN/>
              <w:bidi w:val="0"/>
              <w:adjustRightInd/>
              <w:spacing w:line="36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r>
    </w:tbl>
    <w:p>
      <w:pPr>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0"/>
          <w:szCs w:val="20"/>
          <w:highlight w:val="none"/>
          <w:shd w:val="clear" w:color="auto" w:fill="FFFFFF"/>
        </w:rPr>
        <w:t> </w:t>
      </w:r>
      <w:r>
        <w:rPr>
          <w:rFonts w:hint="eastAsia" w:ascii="仿宋_GB2312" w:hAnsi="仿宋" w:eastAsia="仿宋_GB2312" w:cs="仿宋"/>
          <w:b/>
          <w:color w:val="auto"/>
          <w:sz w:val="24"/>
          <w:highlight w:val="none"/>
        </w:rPr>
        <w:t>备注：</w:t>
      </w:r>
      <w:r>
        <w:rPr>
          <w:rFonts w:hint="eastAsia" w:ascii="仿宋_GB2312" w:hAnsi="仿宋" w:eastAsia="仿宋_GB2312" w:cs="仿宋"/>
          <w:color w:val="auto"/>
          <w:sz w:val="24"/>
          <w:highlight w:val="none"/>
        </w:rPr>
        <w:t>投标人编制投标文件（商务技术文件部分）时，建议按此目录（序号和内容）提供评标标准相应的商务技术资料。 </w:t>
      </w:r>
    </w:p>
    <w:p>
      <w:pPr>
        <w:spacing w:line="440" w:lineRule="exact"/>
        <w:ind w:firstLine="482" w:firstLineChars="200"/>
        <w:rPr>
          <w:rFonts w:ascii="仿宋_GB2312" w:hAnsi="宋体" w:eastAsia="仿宋_GB2312"/>
          <w:b/>
          <w:bCs/>
          <w:iCs/>
          <w:color w:val="auto"/>
          <w:sz w:val="24"/>
          <w:highlight w:val="none"/>
        </w:rPr>
      </w:pPr>
      <w:r>
        <w:rPr>
          <w:rFonts w:hint="eastAsia" w:ascii="仿宋_GB2312" w:hAnsi="宋体" w:eastAsia="仿宋_GB2312"/>
          <w:b/>
          <w:bCs/>
          <w:iCs/>
          <w:color w:val="auto"/>
          <w:sz w:val="24"/>
          <w:highlight w:val="none"/>
        </w:rPr>
        <w:t>2.2价格分（</w:t>
      </w:r>
      <w:r>
        <w:rPr>
          <w:rFonts w:hint="eastAsia" w:ascii="仿宋_GB2312" w:hAnsi="宋体" w:eastAsia="仿宋_GB2312"/>
          <w:b/>
          <w:bCs/>
          <w:iCs/>
          <w:color w:val="auto"/>
          <w:sz w:val="24"/>
          <w:highlight w:val="none"/>
          <w:lang w:val="en-US" w:eastAsia="zh-CN"/>
        </w:rPr>
        <w:t>2</w:t>
      </w:r>
      <w:r>
        <w:rPr>
          <w:rFonts w:hint="eastAsia" w:ascii="仿宋_GB2312" w:hAnsi="宋体" w:eastAsia="仿宋_GB2312"/>
          <w:b/>
          <w:bCs/>
          <w:iCs/>
          <w:color w:val="auto"/>
          <w:sz w:val="24"/>
          <w:highlight w:val="none"/>
        </w:rPr>
        <w:t>0分）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2.2.1评标基准价：即满足招标文件要求且投标价格最低的投标报价为评标基准价，其价格分为满分。</w:t>
      </w:r>
    </w:p>
    <w:p>
      <w:pPr>
        <w:spacing w:line="440" w:lineRule="exact"/>
        <w:ind w:firstLine="480" w:firstLineChars="200"/>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highlight w:val="none"/>
        </w:rPr>
      </w:pPr>
      <w:r>
        <w:rPr>
          <w:rFonts w:hint="eastAsia" w:ascii="仿宋_GB2312" w:hAnsi="宋体" w:eastAsia="仿宋_GB2312"/>
          <w:bCs/>
          <w:iCs/>
          <w:color w:val="auto"/>
          <w:sz w:val="24"/>
          <w:highlight w:val="none"/>
        </w:rPr>
        <w:t>即：投标报价得分=(评标基准价／投标报价)×</w:t>
      </w:r>
      <w:r>
        <w:rPr>
          <w:rFonts w:hint="eastAsia" w:ascii="仿宋_GB2312" w:hAnsi="宋体" w:eastAsia="仿宋_GB2312"/>
          <w:bCs/>
          <w:iCs/>
          <w:color w:val="auto"/>
          <w:sz w:val="24"/>
          <w:highlight w:val="none"/>
          <w:lang w:val="en-US" w:eastAsia="zh-CN"/>
        </w:rPr>
        <w:t>2</w:t>
      </w:r>
      <w:r>
        <w:rPr>
          <w:rFonts w:hint="eastAsia" w:ascii="仿宋_GB2312" w:hAnsi="宋体" w:eastAsia="仿宋_GB2312"/>
          <w:bCs/>
          <w:iCs/>
          <w:color w:val="auto"/>
          <w:sz w:val="24"/>
          <w:highlight w:val="none"/>
        </w:rPr>
        <w:t>0</w:t>
      </w:r>
    </w:p>
    <w:p>
      <w:pPr>
        <w:snapToGrid w:val="0"/>
        <w:rPr>
          <w:rFonts w:ascii="仿宋_GB2312" w:hAnsi="宋体" w:eastAsia="仿宋_GB2312"/>
          <w:b/>
          <w:color w:val="auto"/>
          <w:sz w:val="24"/>
          <w:highlight w:val="none"/>
          <w:u w:val="single"/>
        </w:rPr>
      </w:pPr>
    </w:p>
    <w:bookmarkEnd w:id="5"/>
    <w:bookmarkEnd w:id="6"/>
    <w:bookmarkEnd w:id="7"/>
    <w:bookmarkEnd w:id="8"/>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snapToGrid w:val="0"/>
        <w:spacing w:line="360" w:lineRule="auto"/>
        <w:jc w:val="center"/>
        <w:rPr>
          <w:rFonts w:ascii="仿宋_GB2312" w:hAnsi="仿宋_GB2312" w:eastAsia="仿宋_GB2312" w:cs="仿宋_GB2312"/>
          <w:b/>
          <w:color w:val="auto"/>
          <w:sz w:val="36"/>
          <w:szCs w:val="20"/>
          <w:highlight w:val="none"/>
        </w:rPr>
      </w:pPr>
    </w:p>
    <w:p>
      <w:pPr>
        <w:pageBreakBefore/>
        <w:snapToGrid w:val="0"/>
        <w:spacing w:line="360" w:lineRule="auto"/>
        <w:jc w:val="center"/>
        <w:rPr>
          <w:rFonts w:ascii="仿宋_GB2312" w:hAnsi="仿宋_GB2312" w:eastAsia="仿宋_GB2312" w:cs="仿宋_GB2312"/>
          <w:b/>
          <w:color w:val="auto"/>
          <w:sz w:val="36"/>
          <w:szCs w:val="20"/>
          <w:highlight w:val="none"/>
        </w:rPr>
      </w:pPr>
      <w:r>
        <w:rPr>
          <w:rFonts w:hint="eastAsia" w:ascii="仿宋_GB2312" w:hAnsi="仿宋_GB2312" w:eastAsia="仿宋_GB2312" w:cs="仿宋_GB2312"/>
          <w:b/>
          <w:color w:val="auto"/>
          <w:sz w:val="36"/>
          <w:szCs w:val="20"/>
          <w:highlight w:val="none"/>
        </w:rPr>
        <w:t xml:space="preserve">第六部分   </w:t>
      </w:r>
      <w:r>
        <w:rPr>
          <w:rFonts w:hint="eastAsia" w:ascii="仿宋_GB2312" w:hAnsi="仿宋" w:eastAsia="仿宋_GB2312" w:cs="仿宋"/>
          <w:b/>
          <w:color w:val="auto"/>
          <w:sz w:val="36"/>
          <w:szCs w:val="20"/>
          <w:highlight w:val="none"/>
        </w:rPr>
        <w:t>投标文件及其附件格式</w:t>
      </w:r>
    </w:p>
    <w:p>
      <w:pPr>
        <w:spacing w:line="360" w:lineRule="auto"/>
        <w:ind w:firstLine="480" w:firstLineChars="200"/>
        <w:outlineLvl w:val="0"/>
        <w:rPr>
          <w:rFonts w:ascii="仿宋_GB2312" w:hAnsi="仿宋_GB2312" w:eastAsia="仿宋_GB2312" w:cs="仿宋_GB2312"/>
          <w:color w:val="auto"/>
          <w:sz w:val="24"/>
          <w:highlight w:val="none"/>
        </w:rPr>
      </w:pP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资格文件部分</w:t>
      </w:r>
    </w:p>
    <w:p>
      <w:pPr>
        <w:adjustRightInd w:val="0"/>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adjustRightInd w:val="0"/>
        <w:spacing w:line="360" w:lineRule="auto"/>
        <w:jc w:val="center"/>
        <w:outlineLvl w:val="0"/>
        <w:rPr>
          <w:rFonts w:ascii="仿宋_GB2312" w:hAnsi="仿宋" w:eastAsia="仿宋_GB2312" w:cs="仿宋"/>
          <w:b/>
          <w:color w:val="auto"/>
          <w:kern w:val="0"/>
          <w:sz w:val="36"/>
          <w:szCs w:val="36"/>
          <w:highlight w:val="none"/>
        </w:rPr>
      </w:pP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（1）符合参加政府采购活动应当具备的一般条件的承诺函……………（页码）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snapToGrid w:val="0"/>
          <w:color w:val="auto"/>
          <w:kern w:val="28"/>
          <w:sz w:val="24"/>
          <w:szCs w:val="20"/>
          <w:highlight w:val="none"/>
        </w:rPr>
        <w:t>（2）联合协议</w:t>
      </w:r>
      <w:r>
        <w:rPr>
          <w:rFonts w:hint="eastAsia" w:ascii="仿宋_GB2312" w:hAnsi="仿宋" w:eastAsia="仿宋_GB2312" w:cs="仿宋"/>
          <w:color w:val="auto"/>
          <w:sz w:val="24"/>
          <w:highlight w:val="none"/>
        </w:rPr>
        <w:t>………………………………………………………………（页码）</w:t>
      </w:r>
    </w:p>
    <w:p>
      <w:pPr>
        <w:autoSpaceDE w:val="0"/>
        <w:autoSpaceDN w:val="0"/>
        <w:adjustRightInd w:val="0"/>
        <w:spacing w:line="360" w:lineRule="auto"/>
        <w:rPr>
          <w:rFonts w:ascii="仿宋_GB2312" w:hAnsi="仿宋" w:eastAsia="仿宋_GB2312" w:cs="仿宋"/>
          <w:snapToGrid w:val="0"/>
          <w:color w:val="auto"/>
          <w:sz w:val="24"/>
          <w:szCs w:val="21"/>
          <w:highlight w:val="none"/>
          <w:lang w:val="zh-CN"/>
        </w:rPr>
      </w:pPr>
      <w:r>
        <w:rPr>
          <w:rFonts w:hint="eastAsia" w:ascii="仿宋_GB2312" w:hAnsi="仿宋" w:eastAsia="仿宋_GB2312" w:cs="仿宋"/>
          <w:snapToGrid w:val="0"/>
          <w:color w:val="auto"/>
          <w:sz w:val="24"/>
          <w:szCs w:val="21"/>
          <w:highlight w:val="none"/>
          <w:lang w:val="zh-CN"/>
        </w:rPr>
        <w:t>（3）分包协议………………………………………………………………（页码）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（4）落实政府采购政策需满足的资格要求………………………………（页码）</w:t>
      </w:r>
    </w:p>
    <w:p>
      <w:pPr>
        <w:adjustRightInd w:val="0"/>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（5）本项目的特定资格要求………………………………………………（页码）</w:t>
      </w:r>
    </w:p>
    <w:p>
      <w:pPr>
        <w:spacing w:line="360" w:lineRule="auto"/>
        <w:ind w:firstLine="480" w:firstLineChars="200"/>
        <w:outlineLvl w:val="0"/>
        <w:rPr>
          <w:rFonts w:ascii="仿宋_GB2312" w:hAnsi="仿宋_GB2312" w:eastAsia="仿宋_GB2312" w:cs="仿宋_GB2312"/>
          <w:color w:val="auto"/>
          <w:sz w:val="24"/>
          <w:highlight w:val="none"/>
        </w:rPr>
      </w:pPr>
    </w:p>
    <w:p>
      <w:pPr>
        <w:pStyle w:val="24"/>
        <w:spacing w:line="800" w:lineRule="atLeast"/>
        <w:ind w:left="0" w:leftChars="0"/>
        <w:rPr>
          <w:rFonts w:ascii="仿宋_GB2312" w:hAnsi="宋体" w:eastAsia="仿宋_GB2312"/>
          <w:b/>
          <w:color w:val="auto"/>
          <w:sz w:val="36"/>
          <w:szCs w:val="36"/>
          <w:highlight w:val="none"/>
        </w:rPr>
      </w:pPr>
    </w:p>
    <w:p>
      <w:pPr>
        <w:pStyle w:val="24"/>
        <w:spacing w:line="800" w:lineRule="atLeast"/>
        <w:ind w:left="0" w:leftChars="0"/>
        <w:rPr>
          <w:rFonts w:ascii="仿宋_GB2312" w:hAnsi="宋体" w:eastAsia="仿宋_GB2312"/>
          <w:b/>
          <w:color w:val="auto"/>
          <w:sz w:val="36"/>
          <w:szCs w:val="36"/>
          <w:highlight w:val="none"/>
        </w:rPr>
      </w:pPr>
    </w:p>
    <w:p>
      <w:pPr>
        <w:rPr>
          <w:rFonts w:ascii="仿宋_GB2312" w:hAnsi="宋体" w:eastAsia="仿宋_GB2312"/>
          <w:b/>
          <w:color w:val="auto"/>
          <w:sz w:val="30"/>
          <w:szCs w:val="30"/>
          <w:highlight w:val="none"/>
        </w:rPr>
      </w:pPr>
    </w:p>
    <w:p>
      <w:pPr>
        <w:rPr>
          <w:rFonts w:ascii="仿宋_GB2312" w:hAnsi="宋体" w:eastAsia="仿宋_GB2312"/>
          <w:b/>
          <w:color w:val="auto"/>
          <w:sz w:val="30"/>
          <w:szCs w:val="30"/>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r>
        <w:rPr>
          <w:rFonts w:hint="eastAsia" w:ascii="仿宋_GB2312" w:hAnsi="仿宋" w:eastAsia="仿宋_GB2312" w:cs="仿宋"/>
          <w:b/>
          <w:color w:val="auto"/>
          <w:kern w:val="0"/>
          <w:sz w:val="32"/>
          <w:szCs w:val="32"/>
          <w:highlight w:val="none"/>
        </w:rPr>
        <w:t>一、 符合参加政府采购活动应当具备的一般条件的承诺函</w:t>
      </w:r>
    </w:p>
    <w:p>
      <w:pPr>
        <w:snapToGrid w:val="0"/>
        <w:spacing w:line="440" w:lineRule="exact"/>
        <w:rPr>
          <w:rFonts w:ascii="仿宋_GB2312" w:hAnsi="仿宋_GB2312" w:eastAsia="仿宋_GB2312" w:cs="仿宋_GB2312"/>
          <w:color w:val="auto"/>
          <w:sz w:val="24"/>
          <w:highlight w:val="none"/>
        </w:rPr>
      </w:pP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lang w:eastAsia="zh-CN"/>
        </w:rPr>
        <w:t>绍兴市强制医疗所</w:t>
      </w:r>
      <w:r>
        <w:rPr>
          <w:rFonts w:hint="eastAsia" w:ascii="仿宋_GB2312" w:hAnsi="仿宋" w:eastAsia="仿宋_GB2312" w:cs="仿宋"/>
          <w:color w:val="auto"/>
          <w:sz w:val="24"/>
          <w:highlight w:val="none"/>
        </w:rPr>
        <w:t>、绍兴市公共资源交易中心：</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我方参与</w:t>
      </w:r>
      <w:r>
        <w:rPr>
          <w:rFonts w:hint="eastAsia" w:ascii="仿宋_GB2312" w:hAnsi="仿宋" w:eastAsia="仿宋_GB2312" w:cs="仿宋"/>
          <w:color w:val="auto"/>
          <w:sz w:val="24"/>
          <w:highlight w:val="none"/>
          <w:lang w:eastAsia="zh-CN"/>
        </w:rPr>
        <w:t>绍兴市强制医疗所2025年度物业管理服务项目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2024-11-0132</w:t>
      </w:r>
      <w:r>
        <w:rPr>
          <w:rFonts w:hint="eastAsia" w:ascii="仿宋_GB2312" w:hAnsi="仿宋" w:eastAsia="仿宋_GB2312" w:cs="仿宋"/>
          <w:color w:val="auto"/>
          <w:sz w:val="24"/>
          <w:highlight w:val="none"/>
        </w:rPr>
        <w:t>）政府采购活动，郑重承诺：</w:t>
      </w:r>
    </w:p>
    <w:p>
      <w:pPr>
        <w:snapToGrid w:val="0"/>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（一）具备《中华人民共和国政府采购法》第二十二条第一款规定的条件：</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2、具有良好的商业信誉和健全的财务会计制度； </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3、具有履行合同所必需的设备和专业技术能力；</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4、有依法缴纳税收和社会保障资金的良好记录；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5、参加政府采购活动前三年内，在经营活动中没有重大违法记录；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6、具有法律、行政法规规定的其他条件。</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（三）不存在以下情况：</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投标人名称(电子签名)：</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 xml:space="preserve">                        </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 xml:space="preserve">：  年  </w:t>
      </w:r>
      <w:r>
        <w:rPr>
          <w:rFonts w:hint="eastAsia" w:ascii="仿宋_GB2312" w:hAnsi="仿宋" w:eastAsia="仿宋_GB2312" w:cs="仿宋"/>
          <w:color w:val="auto"/>
          <w:kern w:val="0"/>
          <w:sz w:val="24"/>
          <w:highlight w:val="none"/>
          <w:lang w:val="zh-CN"/>
        </w:rPr>
        <w:t>月</w:t>
      </w:r>
      <w:r>
        <w:rPr>
          <w:rFonts w:hint="eastAsia" w:ascii="仿宋_GB2312" w:hAnsi="仿宋" w:eastAsia="仿宋_GB2312" w:cs="仿宋"/>
          <w:color w:val="auto"/>
          <w:kern w:val="0"/>
          <w:sz w:val="24"/>
          <w:highlight w:val="none"/>
        </w:rPr>
        <w:t xml:space="preserve">   </w:t>
      </w:r>
      <w:r>
        <w:rPr>
          <w:rFonts w:hint="eastAsia" w:ascii="仿宋_GB2312" w:hAnsi="仿宋" w:eastAsia="仿宋_GB2312" w:cs="仿宋"/>
          <w:color w:val="auto"/>
          <w:kern w:val="0"/>
          <w:sz w:val="24"/>
          <w:highlight w:val="none"/>
          <w:lang w:val="zh-CN"/>
        </w:rPr>
        <w:t>日</w:t>
      </w:r>
    </w:p>
    <w:p>
      <w:pPr>
        <w:snapToGrid w:val="0"/>
        <w:spacing w:line="440" w:lineRule="exact"/>
        <w:rPr>
          <w:rFonts w:ascii="仿宋_GB2312" w:hAnsi="仿宋_GB2312" w:eastAsia="仿宋_GB2312" w:cs="仿宋_GB2312"/>
          <w:color w:val="auto"/>
          <w:sz w:val="24"/>
          <w:highlight w:val="none"/>
        </w:rPr>
      </w:pPr>
    </w:p>
    <w:p>
      <w:pPr>
        <w:snapToGrid w:val="0"/>
        <w:spacing w:line="440" w:lineRule="exact"/>
        <w:rPr>
          <w:rFonts w:ascii="仿宋_GB2312" w:hAnsi="仿宋_GB2312" w:eastAsia="仿宋_GB2312" w:cs="仿宋_GB2312"/>
          <w:color w:val="auto"/>
          <w:sz w:val="24"/>
          <w:highlight w:val="none"/>
        </w:rPr>
      </w:pPr>
    </w:p>
    <w:p>
      <w:pPr>
        <w:pageBreakBefore/>
        <w:widowControl/>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二、联合协议（如果有）</w:t>
      </w:r>
    </w:p>
    <w:p>
      <w:pPr>
        <w:widowControl/>
        <w:spacing w:line="360" w:lineRule="auto"/>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[以联合体形式投标的，提供联合协议（附件5）；本项目不接受联合体投标或者投标人不以联合体形式投标的，则不需要提供]</w:t>
      </w:r>
    </w:p>
    <w:p>
      <w:pPr>
        <w:pStyle w:val="140"/>
        <w:rPr>
          <w:color w:val="auto"/>
          <w:highlight w:val="none"/>
        </w:rPr>
      </w:pPr>
    </w:p>
    <w:p>
      <w:pPr>
        <w:snapToGrid w:val="0"/>
        <w:spacing w:line="360" w:lineRule="auto"/>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三、分包意向协议（如果有）</w:t>
      </w:r>
    </w:p>
    <w:p>
      <w:pPr>
        <w:widowControl/>
        <w:spacing w:line="360" w:lineRule="auto"/>
        <w:ind w:firstLine="361" w:firstLineChars="1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四、落实政府采购政策需满足的资格要求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A</w:t>
      </w:r>
      <w:r>
        <w:rPr>
          <w:rFonts w:hint="eastAsia" w:ascii="仿宋_GB2312" w:hAnsi="仿宋" w:eastAsia="仿宋_GB2312" w:cs="仿宋"/>
          <w:color w:val="auto"/>
          <w:sz w:val="24"/>
          <w:highlight w:val="none"/>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B.</w:t>
      </w:r>
      <w:r>
        <w:rPr>
          <w:rFonts w:hint="eastAsia" w:ascii="仿宋_GB2312" w:hAnsi="仿宋" w:eastAsia="仿宋_GB2312"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视同符合了资格条件，无需再与其他中小企业组成联合体参加政府采购活动，无需提供联合协议。</w:t>
      </w:r>
      <w:r>
        <w:rPr>
          <w:rFonts w:hint="eastAsia" w:ascii="仿宋_GB2312" w:hAnsi="仿宋" w:eastAsia="仿宋_GB2312" w:cs="仿宋"/>
          <w:b/>
          <w:color w:val="auto"/>
          <w:sz w:val="24"/>
          <w:highlight w:val="none"/>
        </w:rPr>
        <w:t xml:space="preserve">    </w:t>
      </w:r>
    </w:p>
    <w:p>
      <w:pPr>
        <w:spacing w:line="360" w:lineRule="auto"/>
        <w:ind w:firstLine="482" w:firstLineChars="200"/>
        <w:rPr>
          <w:rFonts w:ascii="仿宋_GB2312" w:hAnsi="仿宋" w:eastAsia="仿宋_GB2312" w:cs="仿宋"/>
          <w:color w:val="auto"/>
          <w:sz w:val="24"/>
          <w:highlight w:val="none"/>
        </w:rPr>
      </w:pPr>
      <w:r>
        <w:rPr>
          <w:rFonts w:hint="eastAsia" w:ascii="仿宋_GB2312" w:hAnsi="仿宋" w:eastAsia="仿宋_GB2312" w:cs="仿宋"/>
          <w:b/>
          <w:color w:val="auto"/>
          <w:sz w:val="24"/>
          <w:highlight w:val="none"/>
        </w:rPr>
        <w:t>C、</w:t>
      </w:r>
      <w:r>
        <w:rPr>
          <w:rFonts w:hint="eastAsia" w:ascii="仿宋_GB2312" w:hAnsi="仿宋" w:eastAsia="仿宋_GB2312"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auto"/>
          <w:spacing w:val="8"/>
          <w:kern w:val="0"/>
          <w:sz w:val="24"/>
          <w:highlight w:val="none"/>
        </w:rPr>
        <w:t>并相应达到了前述比例要求，</w:t>
      </w:r>
      <w:r>
        <w:rPr>
          <w:rFonts w:hint="eastAsia" w:ascii="仿宋_GB2312" w:hAnsi="仿宋" w:eastAsia="仿宋_GB2312" w:cs="仿宋"/>
          <w:color w:val="auto"/>
          <w:sz w:val="24"/>
          <w:highlight w:val="none"/>
        </w:rPr>
        <w:t>视同符合了资格条件，无需再向中小企业分包，无需提供分包意向协议。</w:t>
      </w:r>
    </w:p>
    <w:p>
      <w:pPr>
        <w:widowControl/>
        <w:spacing w:line="360" w:lineRule="auto"/>
        <w:ind w:left="150"/>
        <w:jc w:val="center"/>
        <w:rPr>
          <w:rFonts w:ascii="仿宋_GB2312" w:hAnsi="仿宋" w:eastAsia="仿宋_GB2312" w:cs="仿宋"/>
          <w:b/>
          <w:color w:val="auto"/>
          <w:kern w:val="0"/>
          <w:sz w:val="32"/>
          <w:szCs w:val="32"/>
          <w:highlight w:val="none"/>
        </w:rPr>
      </w:pPr>
    </w:p>
    <w:p>
      <w:pPr>
        <w:widowControl/>
        <w:spacing w:line="360" w:lineRule="auto"/>
        <w:ind w:left="15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五、本项目的特定资格要求</w:t>
      </w:r>
    </w:p>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（根据招标公告本项目的特定资格要求提供相应的材料；未要求的，无需提供）</w:t>
      </w: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p>
    <w:p>
      <w:pPr>
        <w:spacing w:line="336" w:lineRule="auto"/>
        <w:jc w:val="center"/>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商务技术文件部分</w:t>
      </w:r>
    </w:p>
    <w:p>
      <w:pPr>
        <w:spacing w:line="336" w:lineRule="auto"/>
        <w:jc w:val="center"/>
        <w:outlineLvl w:val="0"/>
        <w:rPr>
          <w:rFonts w:ascii="仿宋_GB2312" w:hAnsi="仿宋" w:eastAsia="仿宋_GB2312" w:cs="仿宋"/>
          <w:b/>
          <w:color w:val="auto"/>
          <w:kern w:val="0"/>
          <w:sz w:val="24"/>
          <w:highlight w:val="none"/>
        </w:rPr>
      </w:pPr>
    </w:p>
    <w:p>
      <w:pPr>
        <w:spacing w:line="336" w:lineRule="auto"/>
        <w:jc w:val="center"/>
        <w:outlineLvl w:val="0"/>
        <w:rPr>
          <w:rFonts w:ascii="仿宋_GB2312" w:hAnsi="仿宋" w:eastAsia="仿宋_GB2312" w:cs="仿宋"/>
          <w:b/>
          <w:color w:val="auto"/>
          <w:kern w:val="0"/>
          <w:sz w:val="28"/>
          <w:szCs w:val="28"/>
          <w:highlight w:val="none"/>
        </w:rPr>
      </w:pPr>
      <w:r>
        <w:rPr>
          <w:rFonts w:hint="eastAsia" w:ascii="仿宋_GB2312" w:hAnsi="仿宋" w:eastAsia="仿宋_GB2312" w:cs="仿宋"/>
          <w:b/>
          <w:color w:val="auto"/>
          <w:kern w:val="0"/>
          <w:sz w:val="28"/>
          <w:szCs w:val="28"/>
          <w:highlight w:val="none"/>
        </w:rPr>
        <w:t>目录</w:t>
      </w:r>
    </w:p>
    <w:p>
      <w:pPr>
        <w:pStyle w:val="221"/>
        <w:spacing w:line="336" w:lineRule="auto"/>
        <w:ind w:left="0" w:firstLine="0" w:firstLineChars="0"/>
        <w:rPr>
          <w:rFonts w:cs="仿宋"/>
          <w:color w:val="auto"/>
          <w:highlight w:val="none"/>
        </w:rPr>
      </w:pPr>
      <w:r>
        <w:rPr>
          <w:rFonts w:hint="eastAsia" w:cs="仿宋"/>
          <w:color w:val="auto"/>
          <w:highlight w:val="none"/>
          <w:lang w:val="zh-CN"/>
        </w:rPr>
        <w:t>（1）</w:t>
      </w:r>
      <w:r>
        <w:rPr>
          <w:rFonts w:hint="eastAsia" w:cs="仿宋"/>
          <w:color w:val="auto"/>
          <w:highlight w:val="none"/>
        </w:rPr>
        <w:t>投标函</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（2）</w:t>
      </w:r>
      <w:r>
        <w:rPr>
          <w:rFonts w:hint="eastAsia" w:cs="仿宋"/>
          <w:color w:val="auto"/>
          <w:highlight w:val="none"/>
        </w:rPr>
        <w:t>法定代表人授权书……………………………………</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221"/>
        <w:spacing w:line="336" w:lineRule="auto"/>
        <w:ind w:left="0" w:firstLine="0" w:firstLineChars="0"/>
        <w:rPr>
          <w:rFonts w:cs="仿宋"/>
          <w:color w:val="auto"/>
          <w:highlight w:val="none"/>
        </w:rPr>
      </w:pPr>
      <w:r>
        <w:rPr>
          <w:rFonts w:hint="eastAsia" w:cs="仿宋"/>
          <w:color w:val="auto"/>
          <w:highlight w:val="none"/>
          <w:lang w:val="zh-CN"/>
        </w:rPr>
        <w:t>（5）</w:t>
      </w:r>
      <w:r>
        <w:rPr>
          <w:rFonts w:hint="eastAsia" w:cs="仿宋"/>
          <w:color w:val="auto"/>
          <w:highlight w:val="none"/>
        </w:rPr>
        <w:t>法定代表人身份证明书……………………………………………………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（6）</w:t>
      </w:r>
      <w:r>
        <w:rPr>
          <w:rFonts w:hint="eastAsia" w:cs="仿宋"/>
          <w:color w:val="auto"/>
          <w:highlight w:val="none"/>
        </w:rPr>
        <w:t>商务技术偏离表…………………………………………………………… （页码）</w:t>
      </w:r>
    </w:p>
    <w:p>
      <w:pPr>
        <w:pStyle w:val="221"/>
        <w:spacing w:line="336" w:lineRule="auto"/>
        <w:ind w:left="0" w:firstLine="0" w:firstLineChars="0"/>
        <w:rPr>
          <w:rFonts w:cs="仿宋"/>
          <w:color w:val="auto"/>
          <w:highlight w:val="none"/>
        </w:rPr>
      </w:pPr>
      <w:r>
        <w:rPr>
          <w:rFonts w:hint="eastAsia" w:cs="仿宋"/>
          <w:color w:val="auto"/>
          <w:highlight w:val="none"/>
          <w:lang w:val="zh-CN"/>
        </w:rPr>
        <w:t>（7）政府采购供应商廉洁自律承诺书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kern w:val="0"/>
          <w:sz w:val="32"/>
          <w:szCs w:val="32"/>
          <w:highlight w:val="none"/>
        </w:rPr>
      </w:pPr>
    </w:p>
    <w:p>
      <w:pPr>
        <w:snapToGrid w:val="0"/>
        <w:spacing w:line="360" w:lineRule="auto"/>
        <w:ind w:firstLine="3855" w:firstLineChars="1200"/>
        <w:outlineLvl w:val="0"/>
        <w:rPr>
          <w:rFonts w:ascii="仿宋_GB2312" w:hAnsi="仿宋" w:eastAsia="仿宋_GB2312" w:cs="仿宋"/>
          <w:b/>
          <w:color w:val="auto"/>
          <w:sz w:val="32"/>
          <w:szCs w:val="32"/>
          <w:highlight w:val="none"/>
        </w:rPr>
      </w:pPr>
      <w:r>
        <w:rPr>
          <w:rFonts w:hint="eastAsia" w:ascii="仿宋_GB2312" w:hAnsi="仿宋" w:eastAsia="仿宋_GB2312" w:cs="仿宋"/>
          <w:b/>
          <w:color w:val="auto"/>
          <w:kern w:val="0"/>
          <w:sz w:val="32"/>
          <w:szCs w:val="32"/>
          <w:highlight w:val="none"/>
        </w:rPr>
        <w:t>一、投标</w:t>
      </w:r>
      <w:r>
        <w:rPr>
          <w:rFonts w:hint="eastAsia" w:ascii="仿宋_GB2312" w:hAnsi="仿宋" w:eastAsia="仿宋_GB2312" w:cs="仿宋"/>
          <w:b/>
          <w:color w:val="auto"/>
          <w:sz w:val="32"/>
          <w:szCs w:val="32"/>
          <w:highlight w:val="none"/>
        </w:rPr>
        <w:t>函</w:t>
      </w:r>
    </w:p>
    <w:p>
      <w:pPr>
        <w:pStyle w:val="97"/>
        <w:spacing w:after="120" w:line="336" w:lineRule="auto"/>
        <w:ind w:firstLine="0" w:firstLineChars="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致：</w:t>
      </w:r>
      <w:r>
        <w:rPr>
          <w:rFonts w:hint="eastAsia" w:ascii="仿宋_GB2312" w:hAnsi="仿宋" w:eastAsia="仿宋_GB2312" w:cs="仿宋"/>
          <w:color w:val="auto"/>
          <w:szCs w:val="24"/>
          <w:highlight w:val="none"/>
          <w:u w:val="single"/>
          <w:lang w:eastAsia="zh-CN"/>
        </w:rPr>
        <w:t>绍兴市强制医疗所</w:t>
      </w:r>
      <w:r>
        <w:rPr>
          <w:rFonts w:hint="eastAsia" w:ascii="仿宋_GB2312" w:hAnsi="仿宋" w:eastAsia="仿宋_GB2312" w:cs="仿宋"/>
          <w:color w:val="auto"/>
          <w:szCs w:val="24"/>
          <w:highlight w:val="none"/>
          <w:u w:val="single"/>
        </w:rPr>
        <w:t>、绍兴市公共资源交易中心</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根据贵方招标文件（</w:t>
      </w:r>
      <w:r>
        <w:rPr>
          <w:rFonts w:hint="eastAsia" w:ascii="仿宋_GB2312" w:hAnsi="仿宋" w:eastAsia="仿宋_GB2312" w:cs="仿宋"/>
          <w:b/>
          <w:color w:val="auto"/>
          <w:szCs w:val="24"/>
          <w:highlight w:val="none"/>
          <w:u w:val="single"/>
        </w:rPr>
        <w:t>填写招标编号：</w:t>
      </w:r>
      <w:r>
        <w:rPr>
          <w:rFonts w:hint="eastAsia" w:ascii="仿宋_GB2312" w:hAnsi="仿宋" w:eastAsia="仿宋_GB2312" w:cs="仿宋"/>
          <w:color w:val="auto"/>
          <w:szCs w:val="24"/>
          <w:highlight w:val="none"/>
        </w:rPr>
        <w:t>）的要求，正式授权</w:t>
      </w:r>
      <w:r>
        <w:rPr>
          <w:rFonts w:hint="eastAsia" w:ascii="仿宋_GB2312" w:hAnsi="仿宋" w:eastAsia="仿宋_GB2312" w:cs="仿宋"/>
          <w:b/>
          <w:color w:val="auto"/>
          <w:szCs w:val="24"/>
          <w:highlight w:val="none"/>
          <w:u w:val="single"/>
        </w:rPr>
        <w:t>（全权代表姓名    、单位    、职务   ）</w:t>
      </w:r>
      <w:r>
        <w:rPr>
          <w:rFonts w:hint="eastAsia" w:ascii="仿宋_GB2312" w:hAnsi="仿宋" w:eastAsia="仿宋_GB2312" w:cs="仿宋"/>
          <w:color w:val="auto"/>
          <w:szCs w:val="24"/>
          <w:highlight w:val="none"/>
        </w:rPr>
        <w:t>代表投标人</w:t>
      </w:r>
      <w:r>
        <w:rPr>
          <w:rFonts w:hint="eastAsia" w:ascii="仿宋_GB2312" w:hAnsi="仿宋" w:eastAsia="仿宋_GB2312" w:cs="仿宋"/>
          <w:color w:val="auto"/>
          <w:szCs w:val="24"/>
          <w:highlight w:val="none"/>
          <w:u w:val="single"/>
        </w:rPr>
        <w:t>（</w:t>
      </w:r>
      <w:r>
        <w:rPr>
          <w:rFonts w:hint="eastAsia" w:ascii="仿宋_GB2312" w:hAnsi="仿宋" w:eastAsia="仿宋_GB2312" w:cs="仿宋"/>
          <w:b/>
          <w:color w:val="auto"/>
          <w:szCs w:val="24"/>
          <w:highlight w:val="none"/>
          <w:u w:val="single"/>
        </w:rPr>
        <w:t xml:space="preserve">填写单位    、地址   </w:t>
      </w:r>
      <w:r>
        <w:rPr>
          <w:rFonts w:hint="eastAsia" w:ascii="仿宋_GB2312" w:hAnsi="仿宋" w:eastAsia="仿宋_GB2312" w:cs="仿宋"/>
          <w:color w:val="auto"/>
          <w:szCs w:val="24"/>
          <w:highlight w:val="none"/>
          <w:u w:val="single"/>
        </w:rPr>
        <w:t>）</w:t>
      </w:r>
      <w:r>
        <w:rPr>
          <w:rFonts w:hint="eastAsia" w:ascii="仿宋_GB2312" w:hAnsi="仿宋" w:eastAsia="仿宋_GB2312" w:cs="仿宋"/>
          <w:color w:val="auto"/>
          <w:szCs w:val="24"/>
          <w:highlight w:val="none"/>
        </w:rPr>
        <w:t>提交投标文件。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1.我方同意在投标人</w:t>
      </w:r>
      <w:r>
        <w:rPr>
          <w:rFonts w:hint="eastAsia" w:ascii="仿宋_GB2312" w:hAnsi="仿宋" w:eastAsia="仿宋_GB2312" w:cs="仿宋"/>
          <w:color w:val="auto"/>
          <w:kern w:val="44"/>
          <w:szCs w:val="24"/>
          <w:highlight w:val="none"/>
        </w:rPr>
        <w:t>须知</w:t>
      </w:r>
      <w:r>
        <w:rPr>
          <w:rFonts w:hint="eastAsia" w:ascii="仿宋_GB2312" w:hAnsi="仿宋" w:eastAsia="仿宋_GB2312" w:cs="仿宋"/>
          <w:color w:val="auto"/>
          <w:szCs w:val="24"/>
          <w:highlight w:val="none"/>
        </w:rPr>
        <w:t>规定的开标日期起遵守本投标文件中的承诺且在投标有效期满之前均具有约束力。</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2.我方承诺已经具备《中华人民共和国政府采购法》中规定的参加政府采购活动的供应商应当具备的条件。</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5.本投标自开标之日（投标截止之日）起90天内有效。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a)提供虚假材料谋取中标、成交的；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b)采取不正当手段诋毁、排挤其他供应商的；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c)与采购人、其它供应商或者采购代理机构恶意串通的；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d)向采购人、采购代理机构行贿或者提供其他不正当利益的；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e)在招标采购过程中与采购人进行协商谈判的；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f)拒绝有关部门监督检查或提供虚假情况的。</w:t>
      </w:r>
    </w:p>
    <w:p>
      <w:pPr>
        <w:snapToGrid w:val="0"/>
        <w:spacing w:line="336"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供应商有前款第a)至e)项情形之一的，中标、成交无效。</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地址：　　　　　　　　　　　　　　　邮政编码：</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电话：                              传真：</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开户银行：                          帐号：</w:t>
      </w:r>
    </w:p>
    <w:p>
      <w:pPr>
        <w:pStyle w:val="97"/>
        <w:spacing w:after="120" w:line="336" w:lineRule="auto"/>
        <w:ind w:firstLine="480"/>
        <w:rPr>
          <w:rFonts w:ascii="仿宋_GB2312" w:hAnsi="仿宋" w:eastAsia="仿宋_GB2312" w:cs="仿宋"/>
          <w:color w:val="auto"/>
          <w:szCs w:val="24"/>
          <w:highlight w:val="none"/>
        </w:rPr>
      </w:pPr>
      <w:r>
        <w:rPr>
          <w:rFonts w:hint="eastAsia" w:ascii="仿宋_GB2312" w:hAnsi="仿宋" w:eastAsia="仿宋_GB2312" w:cs="仿宋"/>
          <w:color w:val="auto"/>
          <w:szCs w:val="24"/>
          <w:highlight w:val="none"/>
        </w:rPr>
        <w:t>法定代表人或其授权代表(签字或盖章)：</w:t>
      </w:r>
    </w:p>
    <w:p>
      <w:pPr>
        <w:snapToGrid w:val="0"/>
        <w:spacing w:line="336" w:lineRule="auto"/>
        <w:ind w:firstLine="480" w:firstLineChars="200"/>
        <w:jc w:val="left"/>
        <w:rPr>
          <w:rFonts w:ascii="仿宋_GB2312" w:hAnsi="仿宋" w:eastAsia="仿宋_GB2312" w:cs="仿宋"/>
          <w:color w:val="auto"/>
          <w:sz w:val="24"/>
          <w:highlight w:val="none"/>
        </w:rPr>
      </w:pPr>
    </w:p>
    <w:p>
      <w:pPr>
        <w:snapToGrid w:val="0"/>
        <w:spacing w:line="336" w:lineRule="auto"/>
        <w:ind w:firstLine="480" w:firstLineChars="200"/>
        <w:jc w:val="left"/>
        <w:rPr>
          <w:rFonts w:ascii="仿宋_GB2312" w:hAnsi="仿宋" w:eastAsia="仿宋_GB2312" w:cs="仿宋"/>
          <w:b/>
          <w:color w:val="auto"/>
          <w:kern w:val="0"/>
          <w:sz w:val="32"/>
          <w:szCs w:val="32"/>
          <w:highlight w:val="none"/>
        </w:rPr>
      </w:pPr>
      <w:r>
        <w:rPr>
          <w:rFonts w:hint="eastAsia" w:ascii="仿宋_GB2312" w:hAnsi="仿宋" w:eastAsia="仿宋_GB2312" w:cs="仿宋"/>
          <w:color w:val="auto"/>
          <w:sz w:val="24"/>
          <w:highlight w:val="none"/>
        </w:rPr>
        <w:t xml:space="preserve">投标人(电子签章)：　　　　　　　　　日期：  </w:t>
      </w:r>
    </w:p>
    <w:p>
      <w:pPr>
        <w:snapToGrid w:val="0"/>
        <w:spacing w:line="360" w:lineRule="auto"/>
        <w:jc w:val="center"/>
        <w:rPr>
          <w:rFonts w:ascii="仿宋_GB2312" w:hAnsi="仿宋" w:eastAsia="仿宋_GB2312" w:cs="仿宋"/>
          <w:b/>
          <w:color w:val="auto"/>
          <w:kern w:val="0"/>
          <w:sz w:val="32"/>
          <w:szCs w:val="32"/>
          <w:highlight w:val="none"/>
        </w:rPr>
      </w:pPr>
    </w:p>
    <w:p>
      <w:pPr>
        <w:spacing w:line="360" w:lineRule="auto"/>
        <w:jc w:val="center"/>
        <w:rPr>
          <w:rFonts w:ascii="仿宋_GB2312" w:hAnsi="仿宋_GB2312" w:eastAsia="仿宋_GB2312" w:cs="仿宋_GB2312"/>
          <w:b/>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widowControl/>
        <w:jc w:val="center"/>
        <w:rPr>
          <w:rFonts w:ascii="仿宋_GB2312" w:hAnsi="仿宋" w:eastAsia="仿宋_GB2312" w:cs="仿宋"/>
          <w:b/>
          <w:color w:val="auto"/>
          <w:sz w:val="30"/>
          <w:szCs w:val="30"/>
          <w:highlight w:val="none"/>
        </w:rPr>
      </w:pPr>
    </w:p>
    <w:p>
      <w:pPr>
        <w:pageBreakBefore/>
        <w:widowControl/>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二、法定代表人授权委托书（格式） </w:t>
      </w:r>
      <w:r>
        <w:rPr>
          <w:rFonts w:hint="eastAsia" w:ascii="仿宋_GB2312" w:hAnsi="仿宋" w:eastAsia="仿宋_GB2312" w:cs="仿宋"/>
          <w:b/>
          <w:color w:val="auto"/>
          <w:kern w:val="0"/>
          <w:sz w:val="32"/>
          <w:szCs w:val="32"/>
          <w:highlight w:val="none"/>
          <w:lang w:val="zh-CN"/>
        </w:rPr>
        <w:t>（适用于非联合体投标）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本授权委托书声明：我</w:t>
      </w:r>
      <w:r>
        <w:rPr>
          <w:rFonts w:hint="eastAsia" w:ascii="仿宋_GB2312" w:hAnsi="仿宋" w:eastAsia="仿宋_GB2312" w:cs="仿宋"/>
          <w:color w:val="auto"/>
          <w:sz w:val="24"/>
          <w:highlight w:val="none"/>
          <w:u w:val="single"/>
        </w:rPr>
        <w:t xml:space="preserve">         (填写姓名)</w:t>
      </w: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（填写投标人单位全称）</w:t>
      </w:r>
      <w:r>
        <w:rPr>
          <w:rFonts w:hint="eastAsia" w:ascii="仿宋_GB2312" w:hAnsi="仿宋" w:eastAsia="仿宋_GB2312" w:cs="仿宋"/>
          <w:color w:val="auto"/>
          <w:sz w:val="24"/>
          <w:highlight w:val="none"/>
        </w:rPr>
        <w:t>的法定代表人，现授权委托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的（填写姓名）为我公司授权代表，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。以本公司的名义参加</w:t>
      </w:r>
      <w:r>
        <w:rPr>
          <w:rFonts w:hint="eastAsia" w:ascii="仿宋_GB2312" w:hAnsi="仿宋" w:eastAsia="仿宋_GB2312" w:cs="仿宋"/>
          <w:color w:val="auto"/>
          <w:sz w:val="24"/>
          <w:highlight w:val="none"/>
          <w:u w:val="single"/>
          <w:lang w:eastAsia="zh-CN"/>
        </w:rPr>
        <w:t>绍兴市强制医疗所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绍兴市强制医疗所2025年度物业管理服务项目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2024-11-0132</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投标人（电子签章）：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法定代表人（签字或盖章）：</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ind w:firstLine="5280" w:firstLineChars="2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日期：    年   月   日</w:t>
      </w:r>
    </w:p>
    <w:p>
      <w:pPr>
        <w:ind w:firstLine="4920" w:firstLineChars="2050"/>
        <w:jc w:val="left"/>
        <w:rPr>
          <w:rFonts w:ascii="仿宋_GB2312" w:hAnsi="仿宋" w:eastAsia="仿宋_GB2312" w:cs="仿宋"/>
          <w:color w:val="auto"/>
          <w:sz w:val="24"/>
          <w:highlight w:val="none"/>
        </w:rPr>
      </w:pPr>
    </w:p>
    <w:p>
      <w:pPr>
        <w:spacing w:line="800" w:lineRule="exact"/>
        <w:rPr>
          <w:rFonts w:ascii="仿宋_GB2312" w:hAnsi="仿宋" w:eastAsia="仿宋_GB2312" w:cs="仿宋"/>
          <w:b/>
          <w:color w:val="auto"/>
          <w:sz w:val="24"/>
          <w:highlight w:val="none"/>
        </w:rPr>
      </w:pP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 xml:space="preserve">法定代表人授权委托书（格式） </w:t>
      </w:r>
      <w:r>
        <w:rPr>
          <w:rFonts w:hint="eastAsia" w:ascii="仿宋_GB2312" w:hAnsi="仿宋" w:eastAsia="仿宋_GB2312" w:cs="仿宋"/>
          <w:b/>
          <w:color w:val="auto"/>
          <w:kern w:val="0"/>
          <w:sz w:val="32"/>
          <w:szCs w:val="32"/>
          <w:highlight w:val="none"/>
          <w:lang w:val="zh-CN"/>
        </w:rPr>
        <w:t>（适用于联合体投标）</w:t>
      </w:r>
    </w:p>
    <w:p>
      <w:pPr>
        <w:jc w:val="center"/>
        <w:rPr>
          <w:rFonts w:ascii="仿宋_GB2312" w:hAnsi="仿宋" w:eastAsia="仿宋_GB2312" w:cs="仿宋"/>
          <w:b/>
          <w:color w:val="auto"/>
          <w:sz w:val="24"/>
          <w:highlight w:val="none"/>
        </w:rPr>
      </w:pP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本授权委托书声明：</w:t>
      </w:r>
    </w:p>
    <w:p>
      <w:pPr>
        <w:snapToGrid w:val="0"/>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现授权委托</w:t>
      </w:r>
      <w:r>
        <w:rPr>
          <w:rFonts w:hint="eastAsia" w:ascii="仿宋_GB2312" w:hAnsi="仿宋" w:eastAsia="仿宋_GB2312" w:cs="仿宋"/>
          <w:color w:val="auto"/>
          <w:sz w:val="24"/>
          <w:highlight w:val="none"/>
          <w:u w:val="single"/>
        </w:rPr>
        <w:t xml:space="preserve">                  （填写单位全称）</w:t>
      </w:r>
      <w:r>
        <w:rPr>
          <w:rFonts w:hint="eastAsia" w:ascii="仿宋_GB2312" w:hAnsi="仿宋" w:eastAsia="仿宋_GB2312" w:cs="仿宋"/>
          <w:color w:val="auto"/>
          <w:sz w:val="24"/>
          <w:highlight w:val="none"/>
        </w:rPr>
        <w:t>的（填写姓名）为我方授权代表，</w:t>
      </w:r>
      <w:r>
        <w:rPr>
          <w:rFonts w:hint="eastAsia" w:ascii="仿宋_GB2312" w:hAnsi="仿宋" w:eastAsia="仿宋_GB2312" w:cs="仿宋"/>
          <w:color w:val="auto"/>
          <w:sz w:val="24"/>
          <w:highlight w:val="none"/>
          <w:u w:val="single"/>
        </w:rPr>
        <w:t>（填写身份证号码：                       ）</w:t>
      </w:r>
      <w:r>
        <w:rPr>
          <w:rFonts w:hint="eastAsia" w:ascii="仿宋_GB2312" w:hAnsi="仿宋" w:eastAsia="仿宋_GB2312" w:cs="仿宋"/>
          <w:color w:val="auto"/>
          <w:sz w:val="24"/>
          <w:highlight w:val="none"/>
        </w:rPr>
        <w:t>。以我方的名义参加</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single"/>
          <w:lang w:eastAsia="zh-CN"/>
        </w:rPr>
        <w:t>绍兴市强制医疗所</w:t>
      </w:r>
      <w:r>
        <w:rPr>
          <w:rFonts w:hint="eastAsia" w:ascii="仿宋_GB2312" w:hAnsi="仿宋" w:eastAsia="仿宋_GB2312" w:cs="仿宋"/>
          <w:color w:val="auto"/>
          <w:sz w:val="24"/>
          <w:highlight w:val="none"/>
          <w:u w:val="single"/>
        </w:rPr>
        <w:t>、绍兴市公共资源交易中心</w:t>
      </w:r>
      <w:r>
        <w:rPr>
          <w:rFonts w:hint="eastAsia" w:ascii="仿宋_GB2312" w:hAnsi="仿宋" w:eastAsia="仿宋_GB2312" w:cs="仿宋"/>
          <w:color w:val="auto"/>
          <w:sz w:val="24"/>
          <w:highlight w:val="none"/>
        </w:rPr>
        <w:t>组织的</w:t>
      </w:r>
      <w:r>
        <w:rPr>
          <w:rFonts w:hint="eastAsia" w:ascii="仿宋_GB2312" w:hAnsi="仿宋" w:eastAsia="仿宋_GB2312" w:cs="仿宋"/>
          <w:color w:val="auto"/>
          <w:sz w:val="24"/>
          <w:highlight w:val="none"/>
          <w:u w:val="single"/>
          <w:lang w:eastAsia="zh-CN"/>
        </w:rPr>
        <w:t>绍兴市强制医疗所2025年度物业管理服务项目</w:t>
      </w:r>
      <w:r>
        <w:rPr>
          <w:rFonts w:hint="eastAsia" w:ascii="仿宋_GB2312" w:hAnsi="仿宋" w:eastAsia="仿宋_GB2312" w:cs="仿宋"/>
          <w:color w:val="auto"/>
          <w:sz w:val="24"/>
          <w:highlight w:val="none"/>
          <w:u w:val="single"/>
        </w:rPr>
        <w:t>（招标编号:</w:t>
      </w:r>
      <w:r>
        <w:rPr>
          <w:rFonts w:hint="eastAsia" w:ascii="仿宋_GB2312" w:hAnsi="仿宋" w:eastAsia="仿宋_GB2312" w:cs="仿宋"/>
          <w:color w:val="auto"/>
          <w:sz w:val="24"/>
          <w:highlight w:val="none"/>
          <w:u w:val="single"/>
          <w:lang w:eastAsia="zh-CN"/>
        </w:rPr>
        <w:t>2024-11-0132</w:t>
      </w:r>
      <w:r>
        <w:rPr>
          <w:rFonts w:hint="eastAsia" w:ascii="仿宋_GB2312" w:hAnsi="仿宋" w:eastAsia="仿宋_GB2312" w:cs="仿宋"/>
          <w:color w:val="auto"/>
          <w:sz w:val="24"/>
          <w:highlight w:val="none"/>
          <w:u w:val="single"/>
        </w:rPr>
        <w:t>）</w:t>
      </w:r>
      <w:r>
        <w:rPr>
          <w:rFonts w:hint="eastAsia" w:ascii="仿宋_GB2312" w:hAnsi="仿宋" w:eastAsia="仿宋_GB2312"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授权代表无转委托权。特此委托。</w:t>
      </w:r>
    </w:p>
    <w:p>
      <w:pPr>
        <w:snapToGrid w:val="0"/>
        <w:spacing w:line="600" w:lineRule="exact"/>
        <w:jc w:val="lef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授权代表姓名：              性别：               年龄：</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单位：                      部门：               职务：</w:t>
      </w:r>
    </w:p>
    <w:p>
      <w:pPr>
        <w:spacing w:line="360" w:lineRule="exact"/>
        <w:rPr>
          <w:rFonts w:ascii="仿宋_GB2312" w:hAnsi="仿宋" w:eastAsia="仿宋_GB2312" w:cs="仿宋"/>
          <w:color w:val="auto"/>
          <w:sz w:val="24"/>
          <w:highlight w:val="none"/>
        </w:rPr>
      </w:pPr>
    </w:p>
    <w:p>
      <w:pPr>
        <w:widowControl/>
        <w:snapToGrid w:val="0"/>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rPr>
        <w:t>办公地址：                  联系电话：           传真：</w:t>
      </w:r>
    </w:p>
    <w:p>
      <w:pPr>
        <w:spacing w:line="360" w:lineRule="exact"/>
        <w:rPr>
          <w:rFonts w:ascii="仿宋_GB2312" w:hAnsi="仿宋" w:eastAsia="仿宋_GB2312" w:cs="仿宋"/>
          <w:color w:val="auto"/>
          <w:sz w:val="24"/>
          <w:highlight w:val="none"/>
        </w:rPr>
      </w:pPr>
    </w:p>
    <w:p>
      <w:pPr>
        <w:spacing w:line="360" w:lineRule="exact"/>
        <w:rPr>
          <w:rFonts w:ascii="仿宋_GB2312" w:hAnsi="仿宋" w:eastAsia="仿宋_GB2312" w:cs="仿宋"/>
          <w:color w:val="auto"/>
          <w:sz w:val="24"/>
          <w:highlight w:val="none"/>
        </w:rPr>
      </w:pPr>
    </w:p>
    <w:p>
      <w:pPr>
        <w:jc w:val="center"/>
        <w:rPr>
          <w:rFonts w:ascii="仿宋_GB2312" w:hAnsi="仿宋" w:eastAsia="仿宋_GB2312" w:cs="仿宋"/>
          <w:b/>
          <w:color w:val="auto"/>
          <w:kern w:val="0"/>
          <w:sz w:val="32"/>
          <w:szCs w:val="32"/>
          <w:highlight w:val="none"/>
        </w:rPr>
      </w:pPr>
    </w:p>
    <w:p>
      <w:pPr>
        <w:rPr>
          <w:rFonts w:ascii="仿宋_GB2312" w:hAnsi="仿宋" w:eastAsia="仿宋_GB2312" w:cs="仿宋"/>
          <w:color w:val="auto"/>
          <w:highlight w:val="none"/>
        </w:rPr>
      </w:pP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napToGrid w:val="0"/>
        <w:spacing w:line="360" w:lineRule="auto"/>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autoSpaceDE w:val="0"/>
        <w:autoSpaceDN w:val="0"/>
        <w:spacing w:line="360" w:lineRule="auto"/>
        <w:jc w:val="center"/>
        <w:rPr>
          <w:rFonts w:ascii="仿宋_GB2312" w:hAnsi="仿宋" w:eastAsia="仿宋_GB2312" w:cs="仿宋"/>
          <w:b/>
          <w:color w:val="auto"/>
          <w:kern w:val="0"/>
          <w:sz w:val="32"/>
          <w:szCs w:val="32"/>
          <w:highlight w:val="none"/>
          <w:lang w:val="zh-CN"/>
        </w:rPr>
      </w:pPr>
    </w:p>
    <w:p>
      <w:pPr>
        <w:pageBreakBefore/>
        <w:spacing w:line="800" w:lineRule="exact"/>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四、法定代表人及其授权代表身份证复印件（正反面）</w:t>
      </w:r>
    </w:p>
    <w:p>
      <w:pPr>
        <w:spacing w:line="800" w:lineRule="exact"/>
        <w:rPr>
          <w:rFonts w:ascii="仿宋_GB2312" w:hAnsi="仿宋" w:eastAsia="仿宋_GB2312" w:cs="仿宋"/>
          <w:b/>
          <w:color w:val="auto"/>
          <w:sz w:val="24"/>
          <w:highlight w:val="none"/>
        </w:rPr>
      </w:pPr>
    </w:p>
    <w:p>
      <w:pPr>
        <w:spacing w:line="800" w:lineRule="exact"/>
        <w:rPr>
          <w:rFonts w:ascii="仿宋_GB2312" w:hAnsi="仿宋" w:eastAsia="仿宋_GB2312" w:cs="仿宋"/>
          <w:b/>
          <w:color w:val="auto"/>
          <w:sz w:val="24"/>
          <w:highlight w:val="none"/>
        </w:rPr>
      </w:pPr>
    </w:p>
    <w:p>
      <w:pPr>
        <w:spacing w:line="800" w:lineRule="exact"/>
        <w:jc w:val="center"/>
        <w:rPr>
          <w:rFonts w:ascii="仿宋_GB2312" w:hAnsi="仿宋" w:eastAsia="仿宋_GB2312" w:cs="仿宋"/>
          <w:b/>
          <w:color w:val="auto"/>
          <w:sz w:val="30"/>
          <w:szCs w:val="30"/>
          <w:highlight w:val="none"/>
        </w:rPr>
      </w:pPr>
      <w:r>
        <w:rPr>
          <w:rFonts w:hint="eastAsia" w:ascii="仿宋_GB2312" w:hAnsi="仿宋" w:eastAsia="仿宋_GB2312" w:cs="仿宋"/>
          <w:b/>
          <w:color w:val="auto"/>
          <w:sz w:val="30"/>
          <w:szCs w:val="30"/>
          <w:highlight w:val="none"/>
        </w:rPr>
        <w:t>五、法定代表人身份证明书(格式)</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 标 人：</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姓    名：</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身份证号码：</w:t>
      </w:r>
      <w:r>
        <w:rPr>
          <w:rFonts w:hint="eastAsia" w:ascii="仿宋_GB2312" w:hAnsi="仿宋" w:eastAsia="仿宋_GB2312" w:cs="仿宋"/>
          <w:color w:val="auto"/>
          <w:sz w:val="24"/>
          <w:highlight w:val="none"/>
          <w:u w:val="single"/>
        </w:rPr>
        <w:t xml:space="preserve">                        </w:t>
      </w:r>
    </w:p>
    <w:p>
      <w:pPr>
        <w:spacing w:line="440" w:lineRule="exact"/>
        <w:ind w:right="281" w:rightChars="134"/>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职   务：</w:t>
      </w:r>
      <w:r>
        <w:rPr>
          <w:rFonts w:hint="eastAsia" w:ascii="仿宋_GB2312" w:hAnsi="仿宋" w:eastAsia="仿宋_GB2312" w:cs="仿宋"/>
          <w:color w:val="auto"/>
          <w:sz w:val="24"/>
          <w:highlight w:val="none"/>
          <w:u w:val="single"/>
        </w:rPr>
        <w:t xml:space="preserve">                           </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系</w:t>
      </w:r>
      <w:r>
        <w:rPr>
          <w:rFonts w:hint="eastAsia" w:ascii="仿宋_GB2312" w:hAnsi="仿宋" w:eastAsia="仿宋_GB2312" w:cs="仿宋"/>
          <w:color w:val="auto"/>
          <w:sz w:val="24"/>
          <w:highlight w:val="none"/>
          <w:u w:val="single"/>
        </w:rPr>
        <w:t xml:space="preserve">                           （填写投标人名称）</w:t>
      </w:r>
      <w:r>
        <w:rPr>
          <w:rFonts w:hint="eastAsia" w:ascii="仿宋_GB2312" w:hAnsi="仿宋" w:eastAsia="仿宋_GB2312" w:cs="仿宋"/>
          <w:color w:val="auto"/>
          <w:sz w:val="24"/>
          <w:highlight w:val="none"/>
        </w:rPr>
        <w:t>的法定代表人。</w:t>
      </w: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特此证明。</w:t>
      </w:r>
    </w:p>
    <w:p>
      <w:pPr>
        <w:spacing w:line="440" w:lineRule="exact"/>
        <w:rPr>
          <w:rFonts w:ascii="仿宋_GB2312" w:hAnsi="仿宋" w:eastAsia="仿宋_GB2312" w:cs="仿宋"/>
          <w:color w:val="auto"/>
          <w:sz w:val="24"/>
          <w:highlight w:val="none"/>
        </w:rPr>
      </w:pPr>
    </w:p>
    <w:p>
      <w:pPr>
        <w:spacing w:line="440" w:lineRule="exac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                             （电子签章）</w:t>
      </w:r>
    </w:p>
    <w:p>
      <w:pPr>
        <w:spacing w:line="440" w:lineRule="exact"/>
        <w:ind w:right="480"/>
        <w:rPr>
          <w:rFonts w:ascii="仿宋_GB2312" w:hAnsi="仿宋" w:eastAsia="仿宋_GB2312" w:cs="仿宋"/>
          <w:color w:val="auto"/>
          <w:sz w:val="24"/>
          <w:highlight w:val="none"/>
        </w:rPr>
      </w:pPr>
    </w:p>
    <w:p>
      <w:pPr>
        <w:spacing w:line="440" w:lineRule="exact"/>
        <w:ind w:right="72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年   月   日</w:t>
      </w:r>
    </w:p>
    <w:p>
      <w:pPr>
        <w:jc w:val="center"/>
        <w:rPr>
          <w:rFonts w:ascii="仿宋_GB2312" w:hAnsi="仿宋" w:eastAsia="仿宋_GB2312" w:cs="仿宋"/>
          <w:b/>
          <w:color w:val="auto"/>
          <w:kern w:val="0"/>
          <w:sz w:val="32"/>
          <w:szCs w:val="32"/>
          <w:highlight w:val="none"/>
        </w:rPr>
      </w:pPr>
    </w:p>
    <w:p>
      <w:pPr>
        <w:rPr>
          <w:rFonts w:ascii="仿宋_GB2312" w:eastAsia="仿宋_GB2312"/>
          <w:color w:val="auto"/>
          <w:highlight w:val="none"/>
        </w:rPr>
      </w:pPr>
    </w:p>
    <w:p>
      <w:pPr>
        <w:jc w:val="center"/>
        <w:rPr>
          <w:rFonts w:ascii="仿宋_GB2312" w:hAnsi="仿宋" w:eastAsia="仿宋_GB2312" w:cs="仿宋"/>
          <w:b/>
          <w:color w:val="auto"/>
          <w:kern w:val="0"/>
          <w:sz w:val="32"/>
          <w:szCs w:val="32"/>
          <w:highlight w:val="none"/>
        </w:rPr>
      </w:pPr>
    </w:p>
    <w:p>
      <w:pPr>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六、商务技术偏离表</w:t>
      </w:r>
    </w:p>
    <w:p>
      <w:pPr>
        <w:jc w:val="center"/>
        <w:rPr>
          <w:rFonts w:ascii="仿宋_GB2312" w:hAnsi="仿宋" w:eastAsia="仿宋_GB2312"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序号</w:t>
            </w:r>
          </w:p>
        </w:tc>
        <w:tc>
          <w:tcPr>
            <w:tcW w:w="36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招标文件章节及具体内容</w:t>
            </w:r>
          </w:p>
        </w:tc>
        <w:tc>
          <w:tcPr>
            <w:tcW w:w="3514"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投标文件章节及具体内容</w:t>
            </w:r>
          </w:p>
        </w:tc>
        <w:tc>
          <w:tcPr>
            <w:tcW w:w="1265"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1</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2</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auto"/>
                <w:highlight w:val="none"/>
              </w:rPr>
            </w:pPr>
            <w:r>
              <w:rPr>
                <w:rFonts w:hint="eastAsia" w:ascii="仿宋_GB2312" w:eastAsia="仿宋_GB2312"/>
                <w:b/>
                <w:color w:val="auto"/>
                <w:highlight w:val="none"/>
              </w:rPr>
              <w:t>……</w:t>
            </w:r>
          </w:p>
        </w:tc>
        <w:tc>
          <w:tcPr>
            <w:tcW w:w="3650" w:type="dxa"/>
            <w:vAlign w:val="center"/>
          </w:tcPr>
          <w:p>
            <w:pPr>
              <w:jc w:val="center"/>
              <w:rPr>
                <w:rFonts w:ascii="仿宋_GB2312" w:eastAsia="仿宋_GB2312"/>
                <w:b/>
                <w:color w:val="auto"/>
                <w:highlight w:val="none"/>
              </w:rPr>
            </w:pPr>
          </w:p>
        </w:tc>
        <w:tc>
          <w:tcPr>
            <w:tcW w:w="3514" w:type="dxa"/>
            <w:vAlign w:val="center"/>
          </w:tcPr>
          <w:p>
            <w:pPr>
              <w:jc w:val="center"/>
              <w:rPr>
                <w:rFonts w:ascii="仿宋_GB2312" w:eastAsia="仿宋_GB2312"/>
                <w:b/>
                <w:color w:val="auto"/>
                <w:highlight w:val="none"/>
              </w:rPr>
            </w:pPr>
          </w:p>
        </w:tc>
        <w:tc>
          <w:tcPr>
            <w:tcW w:w="1265" w:type="dxa"/>
            <w:vAlign w:val="center"/>
          </w:tcPr>
          <w:p>
            <w:pPr>
              <w:jc w:val="center"/>
              <w:rPr>
                <w:rFonts w:ascii="仿宋_GB2312" w:eastAsia="仿宋_GB2312"/>
                <w:b/>
                <w:color w:val="auto"/>
                <w:highlight w:val="none"/>
              </w:rPr>
            </w:pPr>
          </w:p>
        </w:tc>
      </w:tr>
    </w:tbl>
    <w:p>
      <w:pPr>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投标人保证：除商务技术偏离表列出的偏离外，投标人响应招标文件的全部要求</w:t>
      </w:r>
    </w:p>
    <w:p>
      <w:pPr>
        <w:jc w:val="center"/>
        <w:rPr>
          <w:rFonts w:ascii="仿宋_GB2312" w:hAnsi="仿宋" w:eastAsia="仿宋_GB2312" w:cs="仿宋"/>
          <w:b/>
          <w:color w:val="auto"/>
          <w:kern w:val="0"/>
          <w:sz w:val="32"/>
          <w:szCs w:val="32"/>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ind w:firstLine="1911" w:firstLineChars="595"/>
        <w:rPr>
          <w:rFonts w:ascii="仿宋_GB2312" w:hAnsi="仿宋" w:eastAsia="仿宋_GB2312" w:cs="仿宋"/>
          <w:b/>
          <w:bCs/>
          <w:color w:val="auto"/>
          <w:sz w:val="32"/>
          <w:szCs w:val="32"/>
          <w:highlight w:val="none"/>
        </w:rPr>
      </w:pPr>
    </w:p>
    <w:p>
      <w:pPr>
        <w:widowControl/>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bCs/>
          <w:color w:val="auto"/>
          <w:sz w:val="32"/>
          <w:szCs w:val="32"/>
          <w:highlight w:val="none"/>
        </w:rPr>
        <w:t>七</w:t>
      </w:r>
      <w:r>
        <w:rPr>
          <w:rFonts w:hint="eastAsia" w:ascii="仿宋_GB2312" w:hAnsi="仿宋" w:eastAsia="仿宋_GB2312" w:cs="仿宋"/>
          <w:b/>
          <w:color w:val="auto"/>
          <w:kern w:val="0"/>
          <w:sz w:val="32"/>
          <w:szCs w:val="32"/>
          <w:highlight w:val="none"/>
        </w:rPr>
        <w:t>、</w:t>
      </w:r>
      <w:r>
        <w:rPr>
          <w:rFonts w:hint="eastAsia" w:ascii="仿宋_GB2312" w:hAnsi="仿宋" w:eastAsia="仿宋_GB2312" w:cs="仿宋"/>
          <w:b/>
          <w:color w:val="auto"/>
          <w:kern w:val="0"/>
          <w:sz w:val="32"/>
          <w:szCs w:val="32"/>
          <w:highlight w:val="none"/>
          <w:lang w:val="zh-CN"/>
        </w:rPr>
        <w:t>政府采购供应商廉洁自律承诺书</w:t>
      </w:r>
    </w:p>
    <w:p>
      <w:pPr>
        <w:snapToGrid w:val="0"/>
        <w:spacing w:line="360" w:lineRule="auto"/>
        <w:rPr>
          <w:rFonts w:ascii="仿宋_GB2312" w:hAnsi="仿宋" w:eastAsia="仿宋_GB2312" w:cs="仿宋"/>
          <w:color w:val="auto"/>
          <w:sz w:val="24"/>
          <w:highlight w:val="none"/>
        </w:rPr>
      </w:pP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绍兴市强制医疗所</w:t>
      </w:r>
      <w:r>
        <w:rPr>
          <w:rFonts w:hint="eastAsia" w:ascii="仿宋_GB2312" w:hAnsi="仿宋" w:eastAsia="仿宋_GB2312" w:cs="仿宋"/>
          <w:color w:val="auto"/>
          <w:sz w:val="24"/>
          <w:highlight w:val="none"/>
        </w:rPr>
        <w:t>、绍兴市公</w:t>
      </w:r>
      <w:r>
        <w:rPr>
          <w:rFonts w:ascii="仿宋_GB2312" w:hAnsi="仿宋" w:eastAsia="仿宋_GB2312" w:cs="仿宋"/>
          <w:color w:val="auto"/>
          <w:sz w:val="24"/>
          <w:highlight w:val="none"/>
        </w:rPr>
        <w:t>共</w:t>
      </w:r>
      <w:r>
        <w:rPr>
          <w:rFonts w:hint="eastAsia" w:ascii="仿宋_GB2312" w:hAnsi="仿宋" w:eastAsia="仿宋_GB2312" w:cs="仿宋"/>
          <w:color w:val="auto"/>
          <w:sz w:val="24"/>
          <w:highlight w:val="none"/>
        </w:rPr>
        <w:t>资源交易中心</w:t>
      </w:r>
      <w:r>
        <w:rPr>
          <w:rFonts w:hint="eastAsia" w:ascii="仿宋_GB2312" w:hAnsi="仿宋" w:eastAsia="仿宋_GB2312" w:cs="仿宋"/>
          <w:color w:val="auto"/>
          <w:kern w:val="0"/>
          <w:sz w:val="24"/>
          <w:highlight w:val="none"/>
          <w:lang w:val="zh-CN"/>
        </w:rPr>
        <w:t>：</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我单位响应你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好处；</w:t>
      </w:r>
    </w:p>
    <w:p>
      <w:pPr>
        <w:autoSpaceDE w:val="0"/>
        <w:autoSpaceDN w:val="0"/>
        <w:spacing w:line="360" w:lineRule="auto"/>
        <w:ind w:left="481" w:leftChars="229"/>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六、严格遵守《</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政府采购法》《</w:t>
      </w:r>
      <w:r>
        <w:rPr>
          <w:rFonts w:hint="eastAsia" w:ascii="仿宋_GB2312" w:hAnsi="仿宋" w:eastAsia="仿宋_GB2312" w:cs="仿宋"/>
          <w:color w:val="auto"/>
          <w:sz w:val="24"/>
          <w:highlight w:val="none"/>
          <w:lang w:val="zh-CN"/>
        </w:rPr>
        <w:t>中华人民共和国</w:t>
      </w:r>
      <w:r>
        <w:rPr>
          <w:rFonts w:hint="eastAsia" w:ascii="仿宋_GB2312" w:hAnsi="仿宋" w:eastAsia="仿宋_GB2312" w:cs="仿宋"/>
          <w:color w:val="auto"/>
          <w:kern w:val="0"/>
          <w:sz w:val="24"/>
          <w:highlight w:val="none"/>
          <w:lang w:val="zh-CN"/>
        </w:rPr>
        <w:t>招标投标</w:t>
      </w:r>
    </w:p>
    <w:p>
      <w:pPr>
        <w:autoSpaceDE w:val="0"/>
        <w:autoSpaceDN w:val="0"/>
        <w:spacing w:line="360" w:lineRule="auto"/>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法》</w:t>
      </w:r>
      <w:r>
        <w:rPr>
          <w:rFonts w:hint="eastAsia" w:ascii="仿宋_GB2312" w:hAnsi="仿宋" w:eastAsia="仿宋_GB2312" w:cs="仿宋"/>
          <w:color w:val="auto"/>
          <w:sz w:val="24"/>
          <w:highlight w:val="none"/>
          <w:lang w:val="zh-CN"/>
        </w:rPr>
        <w:t>《中华人民共和国民法典》</w:t>
      </w:r>
      <w:r>
        <w:rPr>
          <w:rFonts w:hint="eastAsia" w:ascii="仿宋_GB2312" w:hAnsi="仿宋" w:eastAsia="仿宋_GB2312"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如违反上述承诺，你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有权立即取消我单位投标、中标或在建项目的建设资格，有权拒绝我单位在一定时期内进入你</w:t>
      </w:r>
      <w:r>
        <w:rPr>
          <w:rFonts w:hint="eastAsia" w:ascii="仿宋_GB2312" w:hAnsi="仿宋" w:eastAsia="仿宋_GB2312" w:cs="仿宋"/>
          <w:color w:val="auto"/>
          <w:sz w:val="24"/>
          <w:highlight w:val="none"/>
        </w:rPr>
        <w:t>单位</w:t>
      </w:r>
      <w:r>
        <w:rPr>
          <w:rFonts w:hint="eastAsia" w:ascii="仿宋_GB2312" w:hAnsi="仿宋" w:eastAsia="仿宋_GB2312"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jc w:val="left"/>
        <w:rPr>
          <w:rFonts w:ascii="仿宋_GB2312" w:hAnsi="仿宋" w:eastAsia="仿宋_GB2312"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投标人名称（</w:t>
      </w:r>
      <w:r>
        <w:rPr>
          <w:rFonts w:hint="eastAsia" w:ascii="仿宋_GB2312" w:hAnsi="仿宋" w:eastAsia="仿宋_GB2312" w:cs="仿宋"/>
          <w:color w:val="auto"/>
          <w:sz w:val="24"/>
          <w:highlight w:val="none"/>
        </w:rPr>
        <w:t>电子签名</w:t>
      </w:r>
      <w:r>
        <w:rPr>
          <w:rFonts w:hint="eastAsia" w:ascii="仿宋_GB2312" w:hAnsi="仿宋" w:eastAsia="仿宋_GB2312" w:cs="仿宋"/>
          <w:color w:val="auto"/>
          <w:kern w:val="0"/>
          <w:sz w:val="24"/>
          <w:highlight w:val="none"/>
          <w:lang w:val="zh-CN"/>
        </w:rPr>
        <w:t xml:space="preserve">）：                                                                                                                                                                                                               </w:t>
      </w:r>
    </w:p>
    <w:p>
      <w:pPr>
        <w:spacing w:line="360" w:lineRule="auto"/>
        <w:ind w:left="4620" w:leftChars="2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日期</w:t>
      </w:r>
      <w:r>
        <w:rPr>
          <w:rFonts w:hint="eastAsia" w:ascii="仿宋_GB2312" w:hAnsi="仿宋" w:eastAsia="仿宋_GB2312" w:cs="仿宋"/>
          <w:color w:val="auto"/>
          <w:kern w:val="0"/>
          <w:sz w:val="24"/>
          <w:highlight w:val="none"/>
        </w:rPr>
        <w:t>：</w:t>
      </w:r>
      <w:r>
        <w:rPr>
          <w:rFonts w:hint="eastAsia" w:ascii="仿宋_GB2312" w:hAnsi="仿宋" w:eastAsia="仿宋_GB2312" w:cs="仿宋"/>
          <w:color w:val="auto"/>
          <w:kern w:val="0"/>
          <w:sz w:val="24"/>
          <w:highlight w:val="none"/>
          <w:lang w:val="zh-CN"/>
        </w:rPr>
        <w:t xml:space="preserve">   年   月   日</w:t>
      </w:r>
    </w:p>
    <w:p>
      <w:pPr>
        <w:spacing w:line="360" w:lineRule="auto"/>
        <w:jc w:val="center"/>
        <w:rPr>
          <w:rFonts w:ascii="仿宋_GB2312" w:hAnsi="仿宋" w:eastAsia="仿宋_GB2312" w:cs="仿宋"/>
          <w:b/>
          <w:bCs/>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222"/>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hint="eastAsia"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_GB2312" w:hAnsi="仿宋" w:eastAsia="仿宋_GB2312" w:cs="仿宋"/>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pStyle w:val="140"/>
        <w:rPr>
          <w:color w:val="auto"/>
          <w:highlight w:val="none"/>
        </w:rPr>
      </w:pP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pStyle w:val="140"/>
        <w:rPr>
          <w:color w:val="auto"/>
          <w:highlight w:val="none"/>
        </w:rPr>
      </w:pP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投标人名称（电子签名）：</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pStyle w:val="140"/>
        <w:rPr>
          <w:color w:val="auto"/>
          <w:highlight w:val="none"/>
        </w:rPr>
      </w:pPr>
    </w:p>
    <w:p>
      <w:pPr>
        <w:spacing w:line="336" w:lineRule="auto"/>
        <w:ind w:firstLine="3600" w:firstLineChars="15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投标人名称（电子签名）：                          </w:t>
      </w:r>
    </w:p>
    <w:p>
      <w:pPr>
        <w:spacing w:line="336"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315"/>
        <w:rPr>
          <w:rFonts w:ascii="仿宋_GB2312" w:eastAsia="仿宋_GB2312"/>
          <w:color w:val="auto"/>
          <w:highlight w:val="none"/>
        </w:rPr>
        <w:sectPr>
          <w:footerReference r:id="rId6" w:type="first"/>
          <w:footerReference r:id="rId5" w:type="default"/>
          <w:pgSz w:w="11906" w:h="16838"/>
          <w:pgMar w:top="1560" w:right="1474" w:bottom="1814" w:left="1474" w:header="851" w:footer="992" w:gutter="0"/>
          <w:cols w:space="720" w:num="1"/>
          <w:docGrid w:linePitch="312" w:charSpace="0"/>
        </w:sectPr>
      </w:pP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报价文件部分</w:t>
      </w:r>
    </w:p>
    <w:p>
      <w:pPr>
        <w:spacing w:line="360" w:lineRule="auto"/>
        <w:jc w:val="center"/>
        <w:outlineLvl w:val="0"/>
        <w:rPr>
          <w:rFonts w:ascii="仿宋_GB2312" w:hAnsi="仿宋" w:eastAsia="仿宋_GB2312" w:cs="仿宋"/>
          <w:b/>
          <w:color w:val="auto"/>
          <w:kern w:val="0"/>
          <w:sz w:val="36"/>
          <w:szCs w:val="36"/>
          <w:highlight w:val="none"/>
        </w:rPr>
      </w:pPr>
      <w:r>
        <w:rPr>
          <w:rFonts w:hint="eastAsia" w:ascii="仿宋_GB2312" w:hAnsi="仿宋" w:eastAsia="仿宋_GB2312" w:cs="仿宋"/>
          <w:b/>
          <w:color w:val="auto"/>
          <w:kern w:val="0"/>
          <w:sz w:val="36"/>
          <w:szCs w:val="36"/>
          <w:highlight w:val="none"/>
        </w:rPr>
        <w:t>目录</w:t>
      </w:r>
    </w:p>
    <w:p>
      <w:pPr>
        <w:spacing w:line="360" w:lineRule="auto"/>
        <w:jc w:val="center"/>
        <w:outlineLvl w:val="0"/>
        <w:rPr>
          <w:rFonts w:ascii="仿宋_GB2312" w:hAnsi="仿宋" w:eastAsia="仿宋_GB2312" w:cs="仿宋"/>
          <w:b/>
          <w:color w:val="auto"/>
          <w:kern w:val="0"/>
          <w:sz w:val="36"/>
          <w:szCs w:val="36"/>
          <w:highlight w:val="none"/>
        </w:rPr>
      </w:pP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（1）开标一览表（报价表）………………………………………………………（页码）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（2）中小企业声明函………………………………………………………………（页码）</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（3）残疾人福利性单位声明函……………………………………………………（页码）</w:t>
      </w: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jc w:val="center"/>
        <w:rPr>
          <w:rFonts w:ascii="仿宋_GB2312" w:hAnsi="仿宋" w:eastAsia="仿宋_GB2312" w:cs="仿宋"/>
          <w:b/>
          <w:color w:val="auto"/>
          <w:kern w:val="0"/>
          <w:sz w:val="32"/>
          <w:szCs w:val="32"/>
          <w:highlight w:val="none"/>
        </w:rPr>
      </w:pPr>
    </w:p>
    <w:p>
      <w:pPr>
        <w:snapToGrid w:val="0"/>
        <w:spacing w:line="360" w:lineRule="auto"/>
        <w:ind w:right="480"/>
        <w:rPr>
          <w:rFonts w:ascii="仿宋_GB2312" w:hAnsi="仿宋" w:eastAsia="仿宋_GB2312" w:cs="仿宋"/>
          <w:b/>
          <w:color w:val="auto"/>
          <w:kern w:val="0"/>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r>
        <w:rPr>
          <w:rFonts w:hint="eastAsia" w:ascii="仿宋_GB2312" w:hAnsi="仿宋" w:eastAsia="仿宋_GB2312" w:cs="仿宋"/>
          <w:color w:val="auto"/>
          <w:kern w:val="2"/>
          <w:sz w:val="32"/>
          <w:szCs w:val="32"/>
          <w:highlight w:val="none"/>
        </w:rPr>
        <w:t>一、开标一览表（报价表）</w:t>
      </w:r>
    </w:p>
    <w:p>
      <w:pPr>
        <w:snapToGrid w:val="0"/>
        <w:spacing w:line="360" w:lineRule="auto"/>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lang w:eastAsia="zh-CN"/>
        </w:rPr>
        <w:t>绍兴市强制医疗所</w:t>
      </w:r>
      <w:r>
        <w:rPr>
          <w:rFonts w:hint="eastAsia" w:ascii="仿宋_GB2312" w:hAnsi="仿宋" w:eastAsia="仿宋_GB2312" w:cs="仿宋"/>
          <w:color w:val="auto"/>
          <w:sz w:val="24"/>
          <w:highlight w:val="none"/>
        </w:rPr>
        <w:t>、绍兴市公共资源交易中心</w:t>
      </w:r>
      <w:r>
        <w:rPr>
          <w:rFonts w:hint="eastAsia" w:ascii="仿宋_GB2312" w:hAnsi="仿宋" w:eastAsia="仿宋_GB2312" w:cs="仿宋"/>
          <w:color w:val="auto"/>
          <w:kern w:val="0"/>
          <w:sz w:val="24"/>
          <w:highlight w:val="none"/>
          <w:lang w:val="zh-CN"/>
        </w:rPr>
        <w:t>：</w:t>
      </w:r>
    </w:p>
    <w:p>
      <w:pPr>
        <w:snapToGrid w:val="0"/>
        <w:spacing w:line="360" w:lineRule="auto"/>
        <w:ind w:firstLine="482"/>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auto"/>
          <w:sz w:val="24"/>
          <w:highlight w:val="none"/>
          <w:lang w:eastAsia="zh-CN"/>
        </w:rPr>
        <w:t>绍兴市强制医疗所2025年度物业管理服务项目</w:t>
      </w:r>
      <w:r>
        <w:rPr>
          <w:rFonts w:hint="eastAsia" w:ascii="仿宋_GB2312" w:hAnsi="仿宋" w:eastAsia="仿宋_GB2312" w:cs="仿宋"/>
          <w:color w:val="auto"/>
          <w:sz w:val="24"/>
          <w:highlight w:val="none"/>
        </w:rPr>
        <w:t>（招标编号:</w:t>
      </w:r>
      <w:r>
        <w:rPr>
          <w:rFonts w:hint="eastAsia" w:ascii="仿宋_GB2312" w:hAnsi="仿宋" w:eastAsia="仿宋_GB2312" w:cs="仿宋"/>
          <w:color w:val="auto"/>
          <w:sz w:val="24"/>
          <w:highlight w:val="none"/>
          <w:lang w:eastAsia="zh-CN"/>
        </w:rPr>
        <w:t>2024-11-0132</w:t>
      </w:r>
      <w:r>
        <w:rPr>
          <w:rFonts w:hint="eastAsia" w:ascii="仿宋_GB2312" w:hAnsi="仿宋" w:eastAsia="仿宋_GB2312" w:cs="仿宋"/>
          <w:color w:val="auto"/>
          <w:sz w:val="24"/>
          <w:highlight w:val="none"/>
        </w:rPr>
        <w:t>）的实施</w:t>
      </w: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序号</w:t>
            </w:r>
          </w:p>
        </w:tc>
        <w:tc>
          <w:tcPr>
            <w:tcW w:w="1417"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名称</w:t>
            </w:r>
          </w:p>
        </w:tc>
        <w:tc>
          <w:tcPr>
            <w:tcW w:w="1843"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服务范围</w:t>
            </w:r>
          </w:p>
        </w:tc>
        <w:tc>
          <w:tcPr>
            <w:tcW w:w="269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服务要求</w:t>
            </w:r>
          </w:p>
        </w:tc>
        <w:tc>
          <w:tcPr>
            <w:tcW w:w="2410"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服务时间</w:t>
            </w:r>
          </w:p>
        </w:tc>
        <w:tc>
          <w:tcPr>
            <w:tcW w:w="1843" w:type="dxa"/>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服务标准</w:t>
            </w:r>
          </w:p>
        </w:tc>
        <w:tc>
          <w:tcPr>
            <w:tcW w:w="1701" w:type="dxa"/>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服务人数</w:t>
            </w:r>
          </w:p>
        </w:tc>
        <w:tc>
          <w:tcPr>
            <w:tcW w:w="2126" w:type="dxa"/>
            <w:vAlign w:val="center"/>
          </w:tcPr>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备注（如果有）</w:t>
            </w:r>
          </w:p>
          <w:p>
            <w:pPr>
              <w:spacing w:line="360" w:lineRule="auto"/>
              <w:jc w:val="center"/>
              <w:rPr>
                <w:rFonts w:ascii="仿宋_GB2312" w:hAnsi="仿宋" w:eastAsia="仿宋_GB2312"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p>
        </w:tc>
        <w:tc>
          <w:tcPr>
            <w:tcW w:w="1417" w:type="dxa"/>
            <w:vAlign w:val="center"/>
          </w:tcPr>
          <w:p>
            <w:pPr>
              <w:snapToGrid w:val="0"/>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XX</w:t>
            </w: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vAlign w:val="center"/>
          </w:tcPr>
          <w:p>
            <w:pPr>
              <w:spacing w:line="360" w:lineRule="auto"/>
              <w:jc w:val="center"/>
              <w:rPr>
                <w:rFonts w:ascii="仿宋_GB2312" w:hAnsi="仿宋" w:eastAsia="仿宋_GB2312" w:cs="仿宋"/>
                <w:color w:val="auto"/>
                <w:sz w:val="24"/>
                <w:highlight w:val="none"/>
              </w:rPr>
            </w:pPr>
          </w:p>
        </w:tc>
        <w:tc>
          <w:tcPr>
            <w:tcW w:w="1417"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napToGrid w:val="0"/>
              <w:spacing w:line="360" w:lineRule="auto"/>
              <w:jc w:val="center"/>
              <w:rPr>
                <w:rFonts w:ascii="仿宋_GB2312" w:hAnsi="仿宋" w:eastAsia="仿宋_GB2312" w:cs="仿宋"/>
                <w:color w:val="auto"/>
                <w:sz w:val="24"/>
                <w:highlight w:val="none"/>
              </w:rPr>
            </w:pPr>
          </w:p>
        </w:tc>
        <w:tc>
          <w:tcPr>
            <w:tcW w:w="2693" w:type="dxa"/>
            <w:vAlign w:val="center"/>
          </w:tcPr>
          <w:p>
            <w:pPr>
              <w:snapToGrid w:val="0"/>
              <w:spacing w:line="360" w:lineRule="auto"/>
              <w:jc w:val="center"/>
              <w:rPr>
                <w:rFonts w:ascii="仿宋_GB2312" w:hAnsi="仿宋" w:eastAsia="仿宋_GB2312" w:cs="仿宋"/>
                <w:color w:val="auto"/>
                <w:sz w:val="24"/>
                <w:highlight w:val="none"/>
              </w:rPr>
            </w:pPr>
          </w:p>
        </w:tc>
        <w:tc>
          <w:tcPr>
            <w:tcW w:w="2410" w:type="dxa"/>
            <w:vAlign w:val="center"/>
          </w:tcPr>
          <w:p>
            <w:pPr>
              <w:snapToGrid w:val="0"/>
              <w:spacing w:line="360" w:lineRule="auto"/>
              <w:jc w:val="center"/>
              <w:rPr>
                <w:rFonts w:ascii="仿宋_GB2312" w:hAnsi="仿宋" w:eastAsia="仿宋_GB2312" w:cs="仿宋"/>
                <w:color w:val="auto"/>
                <w:sz w:val="24"/>
                <w:highlight w:val="none"/>
              </w:rPr>
            </w:pPr>
          </w:p>
        </w:tc>
        <w:tc>
          <w:tcPr>
            <w:tcW w:w="1843" w:type="dxa"/>
            <w:vAlign w:val="center"/>
          </w:tcPr>
          <w:p>
            <w:pPr>
              <w:spacing w:line="360" w:lineRule="auto"/>
              <w:jc w:val="center"/>
              <w:rPr>
                <w:rFonts w:ascii="仿宋_GB2312" w:hAnsi="仿宋" w:eastAsia="仿宋_GB2312" w:cs="仿宋"/>
                <w:color w:val="auto"/>
                <w:sz w:val="24"/>
                <w:highlight w:val="none"/>
              </w:rPr>
            </w:pPr>
          </w:p>
        </w:tc>
        <w:tc>
          <w:tcPr>
            <w:tcW w:w="1701" w:type="dxa"/>
            <w:vAlign w:val="center"/>
          </w:tcPr>
          <w:p>
            <w:pPr>
              <w:spacing w:line="360" w:lineRule="auto"/>
              <w:jc w:val="center"/>
              <w:rPr>
                <w:rFonts w:ascii="仿宋_GB2312" w:hAnsi="仿宋" w:eastAsia="仿宋_GB2312" w:cs="仿宋"/>
                <w:color w:val="auto"/>
                <w:sz w:val="24"/>
                <w:highlight w:val="none"/>
              </w:rPr>
            </w:pPr>
          </w:p>
        </w:tc>
        <w:tc>
          <w:tcPr>
            <w:tcW w:w="2126" w:type="dxa"/>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投标报价（小写）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vAlign w:val="center"/>
          </w:tcPr>
          <w:p>
            <w:pPr>
              <w:spacing w:line="360" w:lineRule="auto"/>
              <w:jc w:val="center"/>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投标报价（大写）</w:t>
            </w:r>
          </w:p>
        </w:tc>
        <w:tc>
          <w:tcPr>
            <w:tcW w:w="8080" w:type="dxa"/>
            <w:gridSpan w:val="4"/>
            <w:vAlign w:val="center"/>
          </w:tcPr>
          <w:p>
            <w:pPr>
              <w:spacing w:line="360" w:lineRule="auto"/>
              <w:jc w:val="center"/>
              <w:rPr>
                <w:rFonts w:ascii="仿宋_GB2312" w:hAnsi="仿宋" w:eastAsia="仿宋_GB2312" w:cs="仿宋"/>
                <w:color w:val="auto"/>
                <w:sz w:val="24"/>
                <w:highlight w:val="none"/>
              </w:rPr>
            </w:pPr>
          </w:p>
        </w:tc>
      </w:tr>
    </w:tbl>
    <w:p>
      <w:pPr>
        <w:snapToGrid w:val="0"/>
        <w:spacing w:line="360" w:lineRule="auto"/>
        <w:ind w:left="480"/>
        <w:rPr>
          <w:rFonts w:ascii="仿宋_GB2312" w:hAnsi="仿宋" w:eastAsia="仿宋_GB2312" w:cs="仿宋"/>
          <w:b/>
          <w:color w:val="auto"/>
          <w:kern w:val="0"/>
          <w:sz w:val="24"/>
          <w:highlight w:val="none"/>
          <w:lang w:val="zh-CN"/>
        </w:rPr>
      </w:pPr>
      <w:r>
        <w:rPr>
          <w:rFonts w:hint="eastAsia" w:ascii="仿宋_GB2312" w:hAnsi="仿宋" w:eastAsia="仿宋_GB2312" w:cs="仿宋"/>
          <w:b/>
          <w:color w:val="auto"/>
          <w:kern w:val="0"/>
          <w:sz w:val="24"/>
          <w:highlight w:val="none"/>
          <w:lang w:val="zh-CN"/>
        </w:rPr>
        <w:t>注：</w:t>
      </w:r>
    </w:p>
    <w:p>
      <w:pPr>
        <w:spacing w:line="360" w:lineRule="auto"/>
        <w:ind w:left="-2" w:leftChars="-1" w:firstLine="480" w:firstLineChars="2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1、投标人需按本表格式填写</w:t>
      </w:r>
      <w:r>
        <w:rPr>
          <w:rFonts w:hint="eastAsia" w:ascii="仿宋_GB2312" w:hAnsi="仿宋" w:eastAsia="仿宋_GB2312" w:cs="仿宋"/>
          <w:b/>
          <w:color w:val="auto"/>
          <w:kern w:val="0"/>
          <w:sz w:val="24"/>
          <w:highlight w:val="none"/>
          <w:lang w:val="zh-CN"/>
        </w:rPr>
        <w:t>，</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color w:val="auto"/>
          <w:kern w:val="0"/>
          <w:sz w:val="24"/>
          <w:highlight w:val="none"/>
          <w:lang w:val="zh-CN"/>
        </w:rPr>
        <w:t>。</w:t>
      </w:r>
    </w:p>
    <w:p>
      <w:pPr>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lang w:val="zh-CN"/>
        </w:rPr>
        <w:t>2、有关本项目实施所涉及的一切费用均计入报价。</w:t>
      </w:r>
      <w:r>
        <w:rPr>
          <w:rFonts w:hint="eastAsia" w:ascii="仿宋_GB2312" w:hAnsi="仿宋" w:eastAsia="仿宋_GB2312" w:cs="仿宋"/>
          <w:b/>
          <w:color w:val="auto"/>
          <w:kern w:val="0"/>
          <w:sz w:val="24"/>
          <w:highlight w:val="none"/>
          <w:lang w:val="zh-CN"/>
        </w:rPr>
        <w:t>采购人将以合同形式有偿取得货物或服务，不接受投标人给予的赠品、回扣或者与采购无关的其他商品、服务</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不得出现“0元”“免费赠送”等形式的无偿报价，</w:t>
      </w:r>
      <w:r>
        <w:rPr>
          <w:rFonts w:hint="eastAsia" w:ascii="仿宋_GB2312" w:hAnsi="仿宋" w:eastAsia="仿宋_GB2312" w:cs="仿宋"/>
          <w:b/>
          <w:color w:val="auto"/>
          <w:kern w:val="0"/>
          <w:sz w:val="24"/>
          <w:highlight w:val="none"/>
        </w:rPr>
        <w:t>否则视为</w:t>
      </w:r>
      <w:r>
        <w:rPr>
          <w:rFonts w:hint="eastAsia" w:ascii="仿宋_GB2312" w:hAnsi="仿宋" w:eastAsia="仿宋_GB2312" w:cs="仿宋"/>
          <w:b/>
          <w:color w:val="auto"/>
          <w:sz w:val="24"/>
          <w:highlight w:val="none"/>
        </w:rPr>
        <w:t>投标文件含有采购人不能接受的附加条件，投标无效</w:t>
      </w:r>
      <w:r>
        <w:rPr>
          <w:rFonts w:hint="eastAsia" w:ascii="仿宋_GB2312" w:hAnsi="仿宋" w:eastAsia="仿宋_GB2312" w:cs="仿宋"/>
          <w:b/>
          <w:color w:val="auto"/>
          <w:kern w:val="0"/>
          <w:sz w:val="24"/>
          <w:highlight w:val="none"/>
          <w:lang w:val="zh-CN"/>
        </w:rPr>
        <w:t>；采购内容未包含在《开标一览表（报价表）》名称栏中，投标人不能作出合理解释的，</w:t>
      </w:r>
      <w:r>
        <w:rPr>
          <w:rFonts w:hint="eastAsia" w:ascii="仿宋_GB2312" w:hAnsi="仿宋" w:eastAsia="仿宋_GB2312" w:cs="仿宋"/>
          <w:b/>
          <w:color w:val="auto"/>
          <w:kern w:val="0"/>
          <w:sz w:val="24"/>
          <w:highlight w:val="none"/>
        </w:rPr>
        <w:t>视为</w:t>
      </w:r>
      <w:r>
        <w:rPr>
          <w:rFonts w:hint="eastAsia" w:ascii="仿宋_GB2312" w:hAnsi="仿宋" w:eastAsia="仿宋_GB2312"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szCs w:val="22"/>
          <w:highlight w:val="none"/>
          <w:lang w:val="zh-CN"/>
        </w:rPr>
        <w:t>4、</w:t>
      </w:r>
      <w:r>
        <w:rPr>
          <w:rFonts w:hint="eastAsia" w:ascii="仿宋_GB2312" w:hAnsi="仿宋" w:eastAsia="仿宋_GB2312"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cs="仿宋"/>
          <w:b/>
          <w:color w:val="auto"/>
          <w:kern w:val="0"/>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pPr>
        <w:pStyle w:val="218"/>
        <w:keepNext w:val="0"/>
        <w:tabs>
          <w:tab w:val="clear" w:pos="720"/>
        </w:tabs>
        <w:snapToGrid w:val="0"/>
        <w:spacing w:before="120" w:after="120"/>
        <w:ind w:firstLine="641"/>
        <w:outlineLvl w:val="9"/>
        <w:rPr>
          <w:rFonts w:ascii="仿宋_GB2312" w:hAnsi="仿宋" w:eastAsia="仿宋_GB2312" w:cs="仿宋"/>
          <w:color w:val="auto"/>
          <w:sz w:val="32"/>
          <w:szCs w:val="32"/>
          <w:highlight w:val="none"/>
        </w:rPr>
      </w:pPr>
      <w:r>
        <w:rPr>
          <w:rFonts w:hint="eastAsia" w:ascii="仿宋_GB2312" w:hAnsi="仿宋" w:eastAsia="仿宋_GB2312" w:cs="仿宋"/>
          <w:color w:val="auto"/>
          <w:kern w:val="2"/>
          <w:sz w:val="32"/>
          <w:szCs w:val="32"/>
          <w:highlight w:val="none"/>
        </w:rPr>
        <w:t>二、</w:t>
      </w:r>
      <w:r>
        <w:rPr>
          <w:rFonts w:hint="eastAsia" w:ascii="仿宋_GB2312" w:hAnsi="仿宋" w:eastAsia="仿宋_GB2312" w:cs="仿宋"/>
          <w:color w:val="auto"/>
          <w:sz w:val="32"/>
          <w:szCs w:val="32"/>
          <w:highlight w:val="none"/>
        </w:rPr>
        <w:t>中小企业声明函</w:t>
      </w:r>
      <w:bookmarkStart w:id="131" w:name="_Hlk101259491"/>
      <w:r>
        <w:rPr>
          <w:rFonts w:hint="eastAsia" w:ascii="仿宋_GB2312" w:hAnsi="仿宋" w:eastAsia="仿宋_GB2312" w:cs="仿宋"/>
          <w:color w:val="auto"/>
          <w:sz w:val="32"/>
          <w:szCs w:val="32"/>
          <w:highlight w:val="none"/>
        </w:rPr>
        <w:t>（如果有）</w:t>
      </w:r>
      <w:bookmarkEnd w:id="131"/>
    </w:p>
    <w:p>
      <w:pPr>
        <w:widowControl/>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40"/>
        <w:rPr>
          <w:rFonts w:hAnsi="仿宋" w:cs="仿宋"/>
          <w:b/>
          <w:color w:val="auto"/>
          <w:highlight w:val="none"/>
        </w:rPr>
      </w:pPr>
    </w:p>
    <w:p>
      <w:pPr>
        <w:pStyle w:val="315"/>
        <w:rPr>
          <w:rFonts w:ascii="仿宋_GB2312" w:hAnsi="仿宋" w:eastAsia="仿宋_GB2312" w:cs="仿宋"/>
          <w:b/>
          <w:color w:val="auto"/>
          <w:sz w:val="24"/>
          <w:highlight w:val="none"/>
        </w:rPr>
      </w:pPr>
    </w:p>
    <w:p>
      <w:pPr>
        <w:rPr>
          <w:rFonts w:ascii="仿宋_GB2312" w:hAnsi="仿宋" w:eastAsia="仿宋_GB2312" w:cs="仿宋"/>
          <w:b/>
          <w:color w:val="auto"/>
          <w:sz w:val="24"/>
          <w:highlight w:val="none"/>
        </w:rPr>
      </w:pPr>
    </w:p>
    <w:p>
      <w:pPr>
        <w:pStyle w:val="140"/>
        <w:rPr>
          <w:rFonts w:hAnsi="仿宋" w:cs="仿宋"/>
          <w:b/>
          <w:color w:val="auto"/>
          <w:highlight w:val="none"/>
        </w:rPr>
      </w:pPr>
    </w:p>
    <w:p>
      <w:pPr>
        <w:pStyle w:val="315"/>
        <w:rPr>
          <w:rFonts w:ascii="仿宋_GB2312" w:eastAsia="仿宋_GB2312"/>
          <w:color w:val="auto"/>
          <w:highlight w:val="none"/>
        </w:rPr>
      </w:pPr>
    </w:p>
    <w:p>
      <w:pPr>
        <w:pStyle w:val="315"/>
        <w:rPr>
          <w:rFonts w:ascii="仿宋_GB2312" w:eastAsia="仿宋_GB2312"/>
          <w:color w:val="auto"/>
          <w:highlight w:val="none"/>
        </w:rPr>
      </w:pPr>
    </w:p>
    <w:p>
      <w:pPr>
        <w:widowControl/>
        <w:spacing w:line="360" w:lineRule="auto"/>
        <w:ind w:firstLine="161" w:firstLineChars="50"/>
        <w:jc w:val="center"/>
        <w:rPr>
          <w:rFonts w:ascii="仿宋_GB2312" w:hAnsi="仿宋" w:eastAsia="仿宋_GB2312" w:cs="仿宋"/>
          <w:b/>
          <w:color w:val="auto"/>
          <w:sz w:val="24"/>
          <w:highlight w:val="none"/>
        </w:rPr>
      </w:pPr>
      <w:r>
        <w:rPr>
          <w:rFonts w:hint="eastAsia" w:ascii="仿宋_GB2312" w:hAnsi="仿宋" w:eastAsia="仿宋_GB2312" w:cs="仿宋"/>
          <w:b/>
          <w:bCs/>
          <w:color w:val="auto"/>
          <w:sz w:val="32"/>
          <w:szCs w:val="32"/>
          <w:highlight w:val="none"/>
        </w:rPr>
        <w:t>三、残疾人福利性单位声明函（如果有）</w:t>
      </w:r>
    </w:p>
    <w:p>
      <w:pPr>
        <w:widowControl/>
        <w:autoSpaceDE w:val="0"/>
        <w:autoSpaceDN w:val="0"/>
        <w:spacing w:line="360" w:lineRule="auto"/>
        <w:ind w:firstLine="120" w:firstLineChars="50"/>
        <w:jc w:val="left"/>
        <w:rPr>
          <w:rFonts w:ascii="仿宋_GB2312" w:hAnsi="仿宋" w:eastAsia="仿宋_GB2312" w:cs="仿宋"/>
          <w:b/>
          <w:color w:val="auto"/>
          <w:sz w:val="24"/>
          <w:highlight w:val="none"/>
        </w:rPr>
      </w:pPr>
      <w:r>
        <w:rPr>
          <w:rFonts w:hint="eastAsia" w:ascii="仿宋_GB2312" w:hAnsi="仿宋" w:eastAsia="仿宋_GB2312" w:cs="仿宋"/>
          <w:b/>
          <w:bCs/>
          <w:snapToGrid w:val="0"/>
          <w:color w:val="auto"/>
          <w:sz w:val="24"/>
          <w:szCs w:val="21"/>
          <w:highlight w:val="none"/>
          <w:lang w:val="zh-CN"/>
        </w:rPr>
        <w:t>[符合条件的残疾人福利性单位，提供残疾人福利性单位声明函(附件</w:t>
      </w:r>
      <w:r>
        <w:rPr>
          <w:rFonts w:hint="eastAsia" w:ascii="仿宋_GB2312" w:hAnsi="仿宋" w:eastAsia="仿宋_GB2312" w:cs="仿宋"/>
          <w:b/>
          <w:bCs/>
          <w:snapToGrid w:val="0"/>
          <w:color w:val="auto"/>
          <w:sz w:val="24"/>
          <w:szCs w:val="21"/>
          <w:highlight w:val="none"/>
        </w:rPr>
        <w:t>6</w:t>
      </w:r>
      <w:r>
        <w:rPr>
          <w:rFonts w:hint="eastAsia" w:ascii="仿宋_GB2312" w:hAnsi="仿宋" w:eastAsia="仿宋_GB2312" w:cs="仿宋"/>
          <w:b/>
          <w:bCs/>
          <w:snapToGrid w:val="0"/>
          <w:color w:val="auto"/>
          <w:sz w:val="24"/>
          <w:szCs w:val="21"/>
          <w:highlight w:val="none"/>
          <w:lang w:val="zh-CN"/>
        </w:rPr>
        <w:t>)，否则不需要提供。]</w:t>
      </w:r>
    </w:p>
    <w:p>
      <w:pPr>
        <w:pStyle w:val="140"/>
        <w:widowControl/>
        <w:spacing w:line="360" w:lineRule="auto"/>
        <w:ind w:firstLine="120" w:firstLineChars="50"/>
        <w:rPr>
          <w:rFonts w:hAnsi="仿宋" w:cs="仿宋"/>
          <w:b/>
          <w:color w:val="auto"/>
          <w:highlight w:val="none"/>
        </w:rPr>
      </w:pPr>
    </w:p>
    <w:p>
      <w:pPr>
        <w:pStyle w:val="315"/>
        <w:spacing w:line="360" w:lineRule="auto"/>
        <w:ind w:left="0" w:firstLine="120" w:firstLineChars="50"/>
        <w:jc w:val="left"/>
        <w:rPr>
          <w:rFonts w:ascii="仿宋_GB2312" w:hAnsi="仿宋" w:eastAsia="仿宋_GB2312" w:cs="仿宋"/>
          <w:b/>
          <w:color w:val="auto"/>
          <w:sz w:val="24"/>
          <w:highlight w:val="none"/>
        </w:rPr>
      </w:pPr>
    </w:p>
    <w:p>
      <w:pPr>
        <w:pStyle w:val="218"/>
        <w:keepNext w:val="0"/>
        <w:pageBreakBefore w:val="0"/>
        <w:tabs>
          <w:tab w:val="clear" w:pos="720"/>
        </w:tabs>
        <w:snapToGrid w:val="0"/>
        <w:spacing w:before="120" w:after="120"/>
        <w:ind w:firstLine="643"/>
        <w:outlineLvl w:val="9"/>
        <w:rPr>
          <w:rFonts w:ascii="仿宋_GB2312" w:hAnsi="仿宋" w:eastAsia="仿宋_GB2312" w:cs="仿宋"/>
          <w:b w:val="0"/>
          <w:color w:val="auto"/>
          <w:sz w:val="32"/>
          <w:szCs w:val="32"/>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spacing w:line="360" w:lineRule="auto"/>
        <w:ind w:right="420" w:firstLine="3614" w:firstLineChars="1000"/>
        <w:rPr>
          <w:rFonts w:ascii="仿宋_GB2312" w:hAnsi="仿宋" w:eastAsia="仿宋_GB2312" w:cs="仿宋"/>
          <w:b/>
          <w:color w:val="auto"/>
          <w:kern w:val="0"/>
          <w:sz w:val="36"/>
          <w:szCs w:val="36"/>
          <w:highlight w:val="none"/>
        </w:rPr>
      </w:pPr>
    </w:p>
    <w:p>
      <w:pPr>
        <w:pStyle w:val="4"/>
        <w:keepNext w:val="0"/>
        <w:keepLines w:val="0"/>
        <w:pageBreakBefore/>
        <w:widowControl/>
        <w:numPr>
          <w:ilvl w:val="0"/>
          <w:numId w:val="0"/>
        </w:numPr>
        <w:spacing w:before="100" w:beforeAutospacing="1" w:after="100" w:afterAutospacing="1" w:line="360" w:lineRule="auto"/>
        <w:ind w:left="4382"/>
        <w:rPr>
          <w:rFonts w:ascii="仿宋_GB2312" w:hAnsi="仿宋" w:cs="仿宋"/>
          <w:color w:val="auto"/>
          <w:highlight w:val="none"/>
        </w:rPr>
      </w:pPr>
      <w:bookmarkStart w:id="132" w:name="_Toc465665161"/>
      <w:r>
        <w:rPr>
          <w:rFonts w:hint="eastAsia" w:ascii="仿宋_GB2312" w:hAnsi="仿宋" w:cs="仿宋"/>
          <w:color w:val="auto"/>
          <w:highlight w:val="none"/>
        </w:rPr>
        <w:t>附件</w:t>
      </w:r>
      <w:bookmarkEnd w:id="132"/>
    </w:p>
    <w:p>
      <w:pPr>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附件1：质疑函范本及制作说明</w:t>
      </w: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质疑函范本</w:t>
      </w:r>
    </w:p>
    <w:p>
      <w:pPr>
        <w:snapToGrid w:val="0"/>
        <w:spacing w:beforeLines="100"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一、质疑供应商基本信息</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质疑供应商：</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地址：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地址： </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二、质疑项目基本情况</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质疑项目的编号：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采购文件获取日期：</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三、质疑事项具体内容</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质疑事项1：</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质疑事项2</w:t>
      </w:r>
    </w:p>
    <w:p>
      <w:pPr>
        <w:snapToGrid w:val="0"/>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napToGrid w:val="0"/>
        <w:spacing w:line="360" w:lineRule="auto"/>
        <w:rPr>
          <w:rFonts w:ascii="仿宋_GB2312" w:hAnsi="仿宋" w:eastAsia="仿宋_GB2312" w:cs="仿宋"/>
          <w:bCs/>
          <w:color w:val="auto"/>
          <w:sz w:val="24"/>
          <w:highlight w:val="none"/>
        </w:rPr>
      </w:pPr>
      <w:r>
        <w:rPr>
          <w:rFonts w:hint="eastAsia" w:ascii="仿宋_GB2312" w:hAnsi="仿宋" w:eastAsia="仿宋_GB2312" w:cs="仿宋"/>
          <w:bCs/>
          <w:color w:val="auto"/>
          <w:sz w:val="24"/>
          <w:highlight w:val="none"/>
        </w:rPr>
        <w:t>四、与质疑事项相关的质疑请求</w:t>
      </w:r>
    </w:p>
    <w:p>
      <w:pPr>
        <w:snapToGrid w:val="0"/>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jc w:val="center"/>
        <w:rPr>
          <w:rFonts w:ascii="仿宋_GB2312" w:hAnsi="仿宋" w:eastAsia="仿宋_GB2312" w:cs="仿宋"/>
          <w:b/>
          <w:bCs/>
          <w:color w:val="auto"/>
          <w:sz w:val="24"/>
          <w:highlight w:val="none"/>
        </w:rPr>
      </w:pP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质疑函制作说明：</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1.供应商提出质疑时，应提交质疑函和必要的证明材料。</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2.质疑供应商若委托代理人进行质疑的，质疑函应按要求列明“授权代表”的有关内容，并在附件中提交由质疑</w:t>
      </w:r>
      <w:r>
        <w:rPr>
          <w:rFonts w:hint="eastAsia" w:ascii="仿宋_GB2312" w:hAnsi="仿宋" w:eastAsia="仿宋_GB2312"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5.质疑函的质疑请求应与质疑事项相关。</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cs="仿宋"/>
          <w:color w:val="auto"/>
          <w:sz w:val="30"/>
          <w:szCs w:val="30"/>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center"/>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spacing w:line="360" w:lineRule="auto"/>
        <w:jc w:val="left"/>
        <w:rPr>
          <w:rFonts w:ascii="仿宋_GB2312" w:hAnsi="仿宋" w:eastAsia="仿宋_GB2312" w:cs="仿宋"/>
          <w:b/>
          <w:color w:val="auto"/>
          <w:spacing w:val="6"/>
          <w:sz w:val="32"/>
          <w:szCs w:val="32"/>
          <w:highlight w:val="none"/>
        </w:rPr>
      </w:pPr>
    </w:p>
    <w:p>
      <w:pPr>
        <w:pageBreakBefore/>
        <w:spacing w:line="360" w:lineRule="auto"/>
        <w:jc w:val="left"/>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附件2：投诉书范本及制作说明</w:t>
      </w:r>
    </w:p>
    <w:p>
      <w:pPr>
        <w:spacing w:line="360" w:lineRule="auto"/>
        <w:jc w:val="center"/>
        <w:rPr>
          <w:rFonts w:ascii="仿宋_GB2312" w:hAnsi="仿宋" w:eastAsia="仿宋_GB2312" w:cs="仿宋"/>
          <w:b/>
          <w:color w:val="auto"/>
          <w:sz w:val="24"/>
          <w:highlight w:val="none"/>
        </w:rPr>
      </w:pPr>
    </w:p>
    <w:p>
      <w:pPr>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投诉书范本</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一、投诉相关主体基本情况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tabs>
          <w:tab w:val="left" w:pos="6510"/>
        </w:tabs>
        <w:spacing w:line="360" w:lineRule="auto"/>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法定代表人/主要负责人：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tabs>
          <w:tab w:val="left" w:pos="6510"/>
        </w:tabs>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授权代表：</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被投诉人1：</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被投诉人2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相关供应商：</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地     址：</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邮编：</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联系人：</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联系电话：</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二、投诉项目基本情况</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采购项目名称：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采购项目编号：</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包号：</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采购人名称：</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u w:val="singl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代理机构名称：</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采购文件公告: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采购结果公告:</w:t>
      </w:r>
      <w:r>
        <w:rPr>
          <w:rFonts w:hint="eastAsia" w:ascii="仿宋_GB2312" w:hAnsi="仿宋" w:eastAsia="仿宋_GB2312" w:cs="仿宋"/>
          <w:color w:val="auto"/>
          <w:sz w:val="24"/>
          <w:highlight w:val="none"/>
          <w:u w:val="dotted"/>
        </w:rPr>
        <w:t xml:space="preserve">是/否 </w:t>
      </w:r>
      <w:r>
        <w:rPr>
          <w:rFonts w:hint="eastAsia" w:ascii="仿宋_GB2312" w:hAnsi="仿宋" w:eastAsia="仿宋_GB2312" w:cs="仿宋"/>
          <w:color w:val="auto"/>
          <w:sz w:val="24"/>
          <w:highlight w:val="none"/>
        </w:rPr>
        <w:t>公告期限：</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三、质疑基本情况</w:t>
      </w:r>
    </w:p>
    <w:p>
      <w:pPr>
        <w:spacing w:line="360" w:lineRule="auto"/>
        <w:ind w:firstLine="480" w:firstLineChars="200"/>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投诉人于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日,向</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提出质疑，质疑事项为：</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ind w:firstLine="360" w:firstLineChars="1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dotted"/>
        </w:rPr>
        <w:t>采购人/代理机构</w:t>
      </w:r>
      <w:r>
        <w:rPr>
          <w:rFonts w:hint="eastAsia" w:ascii="仿宋_GB2312" w:hAnsi="仿宋" w:eastAsia="仿宋_GB2312" w:cs="仿宋"/>
          <w:color w:val="auto"/>
          <w:sz w:val="24"/>
          <w:highlight w:val="none"/>
        </w:rPr>
        <w:t>于</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年</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月</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日,就质疑事项作出了答复/没有在法定期限内作出答复。</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四、投诉事项具体内容</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投诉事项 1：</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事实依据：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法律依据：</w:t>
      </w: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u w:val="dotted"/>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投诉事项2</w:t>
      </w:r>
    </w:p>
    <w:p>
      <w:pPr>
        <w:spacing w:line="360" w:lineRule="auto"/>
        <w:rPr>
          <w:rFonts w:ascii="仿宋_GB2312" w:hAnsi="仿宋" w:eastAsia="仿宋_GB2312" w:cs="仿宋"/>
          <w:color w:val="auto"/>
          <w:sz w:val="24"/>
          <w:highlight w:val="none"/>
          <w:u w:val="dotted"/>
        </w:rPr>
      </w:pPr>
      <w:r>
        <w:rPr>
          <w:rFonts w:hint="eastAsia" w:ascii="仿宋_GB2312" w:hAnsi="仿宋" w:eastAsia="仿宋_GB2312" w:cs="仿宋"/>
          <w:color w:val="auto"/>
          <w:sz w:val="24"/>
          <w:highlight w:val="none"/>
        </w:rPr>
        <w:t>……</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五、与投诉事项相关的投诉请求</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请求：</w:t>
      </w:r>
      <w:r>
        <w:rPr>
          <w:rFonts w:hint="eastAsia" w:ascii="仿宋_GB2312" w:hAnsi="仿宋" w:eastAsia="仿宋_GB2312" w:cs="仿宋"/>
          <w:color w:val="auto"/>
          <w:sz w:val="24"/>
          <w:highlight w:val="none"/>
          <w:u w:val="dotted"/>
        </w:rPr>
        <w:t xml:space="preserve">                                              </w:t>
      </w: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u w:val="single"/>
        </w:rPr>
      </w:pPr>
      <w:r>
        <w:rPr>
          <w:rFonts w:hint="eastAsia" w:ascii="仿宋_GB2312" w:hAnsi="仿宋" w:eastAsia="仿宋_GB2312" w:cs="仿宋"/>
          <w:color w:val="auto"/>
          <w:sz w:val="24"/>
          <w:highlight w:val="none"/>
        </w:rPr>
        <w:t xml:space="preserve">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签字(签章)：                   公章：                      </w:t>
      </w: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日期：    </w:t>
      </w:r>
    </w:p>
    <w:p>
      <w:pPr>
        <w:spacing w:line="360" w:lineRule="auto"/>
        <w:rPr>
          <w:rFonts w:ascii="仿宋_GB2312" w:hAnsi="仿宋" w:eastAsia="仿宋_GB2312" w:cs="仿宋"/>
          <w:b/>
          <w:color w:val="auto"/>
          <w:sz w:val="24"/>
          <w:highlight w:val="none"/>
        </w:rPr>
      </w:pPr>
    </w:p>
    <w:p>
      <w:pPr>
        <w:spacing w:line="360" w:lineRule="auto"/>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投诉书制作说明：</w:t>
      </w:r>
    </w:p>
    <w:p>
      <w:pPr>
        <w:widowControl/>
        <w:spacing w:line="360" w:lineRule="auto"/>
        <w:ind w:firstLine="480" w:firstLineChars="200"/>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2.投诉人若委托代理人进行投诉的，投诉书应按照要求列明“授权代表”的有关内容，并在附件中提交由</w:t>
      </w:r>
      <w:r>
        <w:rPr>
          <w:rFonts w:hint="eastAsia" w:ascii="仿宋_GB2312" w:hAnsi="仿宋" w:eastAsia="仿宋_GB2312"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6.投诉书的投诉请求应与投诉事项相关。</w:t>
      </w:r>
    </w:p>
    <w:p>
      <w:pPr>
        <w:widowControl/>
        <w:spacing w:line="360" w:lineRule="auto"/>
        <w:ind w:firstLine="480" w:firstLineChars="200"/>
        <w:jc w:val="left"/>
        <w:rPr>
          <w:rFonts w:ascii="仿宋_GB2312" w:hAnsi="仿宋" w:eastAsia="仿宋_GB2312" w:cs="仿宋"/>
          <w:color w:val="auto"/>
          <w:kern w:val="0"/>
          <w:sz w:val="24"/>
          <w:highlight w:val="none"/>
        </w:rPr>
      </w:pPr>
      <w:r>
        <w:rPr>
          <w:rFonts w:hint="eastAsia" w:ascii="仿宋_GB2312" w:hAnsi="仿宋" w:eastAsia="仿宋_GB2312" w:cs="仿宋"/>
          <w:color w:val="auto"/>
          <w:sz w:val="24"/>
          <w:highlight w:val="none"/>
        </w:rPr>
        <w:t>7.投诉人为自然人的，投诉书应当由本人签字；投诉人为法人或者其他组织的，投诉书应当由法定代表人、主要负责人，或者其授权代表签字或者盖章，并加盖公章。</w:t>
      </w:r>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附件3：业务专用章使用说明函</w:t>
      </w:r>
    </w:p>
    <w:p>
      <w:pPr>
        <w:spacing w:line="360" w:lineRule="auto"/>
        <w:rPr>
          <w:rFonts w:ascii="仿宋_GB2312" w:hAnsi="仿宋" w:eastAsia="仿宋_GB2312" w:cs="仿宋"/>
          <w:color w:val="auto"/>
          <w:sz w:val="24"/>
          <w:highlight w:val="none"/>
          <w:u w:val="single"/>
        </w:rPr>
      </w:pPr>
    </w:p>
    <w:p>
      <w:pPr>
        <w:spacing w:line="360" w:lineRule="auto"/>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u w:val="single"/>
        </w:rPr>
        <w:t>（采购人）、（采购代理机构）：</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kern w:val="0"/>
          <w:sz w:val="24"/>
          <w:highlight w:val="none"/>
          <w:lang w:val="zh-CN"/>
        </w:rPr>
        <w:t>我方</w:t>
      </w:r>
      <w:r>
        <w:rPr>
          <w:rFonts w:hint="eastAsia" w:ascii="仿宋_GB2312" w:hAnsi="仿宋" w:eastAsia="仿宋_GB2312" w:cs="仿宋"/>
          <w:color w:val="auto"/>
          <w:kern w:val="0"/>
          <w:sz w:val="24"/>
          <w:highlight w:val="none"/>
          <w:u w:val="single"/>
          <w:lang w:val="zh-CN"/>
        </w:rPr>
        <w:t xml:space="preserve">                         </w:t>
      </w:r>
      <w:r>
        <w:rPr>
          <w:rFonts w:hint="eastAsia" w:ascii="仿宋_GB2312" w:hAnsi="仿宋" w:eastAsia="仿宋_GB2312" w:cs="仿宋"/>
          <w:color w:val="auto"/>
          <w:sz w:val="24"/>
          <w:highlight w:val="none"/>
        </w:rPr>
        <w:t>(投标人全称)是中华人民共和国依法登记注册的合法企业，</w:t>
      </w:r>
      <w:r>
        <w:rPr>
          <w:rFonts w:hint="eastAsia" w:ascii="仿宋_GB2312" w:hAnsi="仿宋" w:eastAsia="仿宋_GB2312" w:cs="仿宋"/>
          <w:bCs/>
          <w:color w:val="auto"/>
          <w:sz w:val="24"/>
          <w:highlight w:val="none"/>
        </w:rPr>
        <w:t>在参加</w:t>
      </w:r>
      <w:r>
        <w:rPr>
          <w:rFonts w:hint="eastAsia" w:ascii="仿宋_GB2312" w:hAnsi="仿宋" w:eastAsia="仿宋_GB2312" w:cs="仿宋"/>
          <w:color w:val="auto"/>
          <w:sz w:val="24"/>
          <w:highlight w:val="none"/>
        </w:rPr>
        <w:t>你方组织的（项目名称）【招标编号：（采购编号）】</w:t>
      </w:r>
      <w:r>
        <w:rPr>
          <w:rFonts w:hint="eastAsia" w:ascii="仿宋_GB2312" w:hAnsi="仿宋" w:eastAsia="仿宋_GB2312" w:cs="仿宋"/>
          <w:bCs/>
          <w:color w:val="auto"/>
          <w:sz w:val="24"/>
          <w:highlight w:val="none"/>
        </w:rPr>
        <w:t>投标活动中作如下说明：</w:t>
      </w:r>
      <w:r>
        <w:rPr>
          <w:rFonts w:hint="eastAsia" w:ascii="仿宋_GB2312" w:hAnsi="仿宋" w:eastAsia="仿宋_GB2312"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特此说明。</w:t>
      </w: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firstLine="494"/>
        <w:rPr>
          <w:rFonts w:ascii="仿宋_GB2312" w:hAnsi="仿宋" w:eastAsia="仿宋_GB2312" w:cs="仿宋"/>
          <w:color w:val="auto"/>
          <w:sz w:val="24"/>
          <w:highlight w:val="none"/>
        </w:rPr>
      </w:pPr>
    </w:p>
    <w:p>
      <w:pPr>
        <w:spacing w:line="360" w:lineRule="auto"/>
        <w:ind w:right="480" w:firstLine="4080" w:firstLineChars="17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投标单位（法定名称章）：</w:t>
      </w:r>
    </w:p>
    <w:p>
      <w:pPr>
        <w:ind w:right="1440" w:firstLine="494"/>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日期：       年     月     日</w:t>
      </w:r>
    </w:p>
    <w:p>
      <w:pPr>
        <w:pStyle w:val="140"/>
        <w:rPr>
          <w:color w:val="auto"/>
          <w:highlight w:val="none"/>
        </w:rPr>
      </w:pPr>
    </w:p>
    <w:p>
      <w:pPr>
        <w:rPr>
          <w:rFonts w:ascii="仿宋_GB2312" w:hAnsi="仿宋" w:eastAsia="仿宋_GB2312" w:cs="仿宋"/>
          <w:color w:val="auto"/>
          <w:sz w:val="24"/>
          <w:highlight w:val="none"/>
        </w:rPr>
      </w:pPr>
      <w:r>
        <w:rPr>
          <w:rFonts w:hint="eastAsia" w:ascii="仿宋_GB2312" w:hAnsi="仿宋" w:eastAsia="仿宋_GB2312" w:cs="仿宋"/>
          <w:b/>
          <w:bCs/>
          <w:color w:val="auto"/>
          <w:sz w:val="24"/>
          <w:highlight w:val="none"/>
        </w:rPr>
        <w:t>附：</w:t>
      </w:r>
    </w:p>
    <w:p>
      <w:pPr>
        <w:spacing w:line="360" w:lineRule="auto"/>
        <w:rPr>
          <w:rFonts w:ascii="仿宋_GB2312" w:hAnsi="仿宋" w:eastAsia="仿宋_GB2312" w:cs="仿宋"/>
          <w:bCs/>
          <w:color w:val="auto"/>
          <w:sz w:val="24"/>
          <w:highlight w:val="none"/>
        </w:rPr>
      </w:pPr>
      <w:r>
        <w:rPr>
          <w:rFonts w:ascii="仿宋_GB2312" w:hAnsi="仿宋" w:eastAsia="仿宋_GB2312"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auto"/>
          <w:sz w:val="24"/>
          <w:highlight w:val="none"/>
        </w:rPr>
        <w:t>投标单位法定名称章（印模）                投标单位“XX专用章”（印模）</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adjustRightInd w:val="0"/>
        <w:jc w:val="center"/>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附件4：联合协议</w:t>
      </w:r>
    </w:p>
    <w:p>
      <w:pPr>
        <w:widowControl/>
        <w:spacing w:line="420" w:lineRule="exact"/>
        <w:ind w:firstLine="482" w:firstLineChars="200"/>
        <w:jc w:val="left"/>
        <w:rPr>
          <w:rFonts w:ascii="仿宋_GB2312" w:hAnsi="仿宋" w:eastAsia="仿宋_GB2312" w:cs="仿宋"/>
          <w:b/>
          <w:color w:val="auto"/>
          <w:sz w:val="24"/>
          <w:highlight w:val="none"/>
        </w:rPr>
      </w:pPr>
      <w:r>
        <w:rPr>
          <w:rFonts w:hint="eastAsia" w:ascii="仿宋_GB2312" w:hAnsi="仿宋" w:eastAsia="仿宋_GB2312" w:cs="仿宋"/>
          <w:b/>
          <w:color w:val="auto"/>
          <w:sz w:val="24"/>
          <w:highlight w:val="none"/>
        </w:rPr>
        <w:t>（以联合体形式投标的，提供联合协议；本项目不接受联合体投标或者投标人不以联合体形式投标的，则不需要提供）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（联合体所有成员名称）</w:t>
      </w:r>
      <w:r>
        <w:rPr>
          <w:rFonts w:hint="eastAsia" w:ascii="仿宋_GB2312" w:hAnsi="仿宋" w:eastAsia="仿宋_GB2312" w:cs="仿宋"/>
          <w:color w:val="auto"/>
          <w:kern w:val="0"/>
          <w:sz w:val="24"/>
          <w:highlight w:val="none"/>
        </w:rPr>
        <w:t>自愿</w:t>
      </w:r>
      <w:r>
        <w:rPr>
          <w:rFonts w:hint="eastAsia" w:ascii="仿宋_GB2312" w:hAnsi="仿宋" w:eastAsia="仿宋_GB2312" w:cs="仿宋"/>
          <w:color w:val="auto"/>
          <w:kern w:val="0"/>
          <w:sz w:val="24"/>
          <w:highlight w:val="none"/>
          <w:lang w:val="zh-CN"/>
        </w:rPr>
        <w:t>组成一个联合体，以一个投标人的身份</w:t>
      </w:r>
      <w:r>
        <w:rPr>
          <w:rFonts w:hint="eastAsia" w:ascii="仿宋_GB2312" w:hAnsi="仿宋" w:eastAsia="仿宋_GB2312" w:cs="仿宋"/>
          <w:color w:val="auto"/>
          <w:kern w:val="0"/>
          <w:sz w:val="24"/>
          <w:highlight w:val="none"/>
        </w:rPr>
        <w:t>参加</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 xml:space="preserve">投标。 </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一、各方一致决定，</w:t>
      </w:r>
      <w:r>
        <w:rPr>
          <w:rFonts w:hint="eastAsia" w:ascii="仿宋_GB2312" w:hAnsi="仿宋" w:eastAsia="仿宋_GB2312" w:cs="仿宋"/>
          <w:color w:val="auto"/>
          <w:kern w:val="0"/>
          <w:sz w:val="24"/>
          <w:highlight w:val="none"/>
          <w:u w:val="single"/>
        </w:rPr>
        <w:t>（某联合体成员名称）</w:t>
      </w:r>
      <w:r>
        <w:rPr>
          <w:rFonts w:hint="eastAsia" w:ascii="仿宋_GB2312" w:hAnsi="仿宋" w:eastAsia="仿宋_GB2312" w:cs="仿宋"/>
          <w:color w:val="auto"/>
          <w:kern w:val="0"/>
          <w:sz w:val="24"/>
          <w:highlight w:val="none"/>
        </w:rPr>
        <w:t>为联合体</w:t>
      </w:r>
      <w:r>
        <w:rPr>
          <w:rFonts w:hint="eastAsia" w:ascii="仿宋_GB2312" w:hAnsi="仿宋" w:eastAsia="仿宋_GB2312" w:cs="仿宋"/>
          <w:color w:val="auto"/>
          <w:kern w:val="0"/>
          <w:sz w:val="24"/>
          <w:highlight w:val="none"/>
          <w:lang w:val="zh-CN"/>
        </w:rPr>
        <w:t>牵头人</w:t>
      </w:r>
      <w:r>
        <w:rPr>
          <w:rFonts w:hint="eastAsia" w:ascii="仿宋_GB2312" w:hAnsi="仿宋" w:eastAsia="仿宋_GB2312" w:cs="仿宋"/>
          <w:color w:val="auto"/>
          <w:sz w:val="24"/>
          <w:highlight w:val="none"/>
        </w:rPr>
        <w:t>，代表所有联合体成员负责投标和合同实施阶段的主办、协调工作</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w:t>
      </w:r>
      <w:r>
        <w:rPr>
          <w:rFonts w:hint="eastAsia" w:ascii="仿宋_GB2312" w:hAnsi="仿宋" w:eastAsia="仿宋_GB2312" w:cs="仿宋"/>
          <w:color w:val="auto"/>
          <w:sz w:val="24"/>
          <w:highlight w:val="none"/>
        </w:rPr>
        <w:t>所有联合体成员各方签署授权书，授权书载明的</w:t>
      </w:r>
      <w:r>
        <w:rPr>
          <w:rFonts w:hint="eastAsia" w:ascii="仿宋_GB2312" w:hAnsi="仿宋" w:eastAsia="仿宋_GB2312"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三、本次联合投标中，分工如下：</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（联合体成员1）</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（联合体成员2）</w:t>
      </w:r>
      <w:r>
        <w:rPr>
          <w:rFonts w:hint="eastAsia" w:ascii="仿宋_GB2312" w:hAnsi="仿宋" w:eastAsia="仿宋_GB2312" w:cs="仿宋"/>
          <w:color w:val="auto"/>
          <w:kern w:val="0"/>
          <w:sz w:val="24"/>
          <w:highlight w:val="none"/>
          <w:lang w:val="zh-CN"/>
        </w:rPr>
        <w:t>承担的工作和义务为：</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四、联合体成员中小企业合同份额。</w:t>
      </w:r>
    </w:p>
    <w:p>
      <w:pPr>
        <w:snapToGrid w:val="0"/>
        <w:spacing w:line="42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lang w:val="zh-CN"/>
        </w:rPr>
        <w:t>1、</w:t>
      </w:r>
      <w:r>
        <w:rPr>
          <w:rFonts w:hint="eastAsia" w:ascii="仿宋_GB2312" w:hAnsi="仿宋" w:eastAsia="仿宋_GB2312" w:cs="仿宋"/>
          <w:color w:val="auto"/>
          <w:kern w:val="0"/>
          <w:sz w:val="24"/>
          <w:highlight w:val="none"/>
          <w:u w:val="single"/>
        </w:rPr>
        <w:t>（</w:t>
      </w:r>
      <w:bookmarkStart w:id="133" w:name="_Hlk101131882"/>
      <w:r>
        <w:rPr>
          <w:rFonts w:hint="eastAsia" w:ascii="仿宋_GB2312" w:hAnsi="仿宋" w:eastAsia="仿宋_GB2312" w:cs="仿宋"/>
          <w:color w:val="auto"/>
          <w:kern w:val="0"/>
          <w:sz w:val="24"/>
          <w:highlight w:val="none"/>
          <w:u w:val="single"/>
        </w:rPr>
        <w:t>联合体成员X,……</w:t>
      </w:r>
      <w:bookmarkEnd w:id="133"/>
      <w:r>
        <w:rPr>
          <w:rFonts w:hint="eastAsia" w:ascii="仿宋_GB2312" w:hAnsi="仿宋" w:eastAsia="仿宋_GB2312" w:cs="仿宋"/>
          <w:color w:val="auto"/>
          <w:kern w:val="0"/>
          <w:sz w:val="24"/>
          <w:highlight w:val="none"/>
          <w:u w:val="single"/>
        </w:rPr>
        <w:t>）</w:t>
      </w:r>
      <w:r>
        <w:rPr>
          <w:rFonts w:hint="eastAsia" w:ascii="仿宋_GB2312" w:hAnsi="仿宋" w:eastAsia="仿宋_GB2312" w:cs="仿宋"/>
          <w:color w:val="auto"/>
          <w:kern w:val="0"/>
          <w:sz w:val="24"/>
          <w:highlight w:val="none"/>
        </w:rPr>
        <w:t>提供的服务由小微企业承接，其合同份额占到合同总金额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color w:val="auto"/>
          <w:kern w:val="0"/>
          <w:sz w:val="24"/>
          <w:highlight w:val="none"/>
          <w:lang w:val="zh-CN"/>
        </w:rPr>
        <w:t>（</w:t>
      </w:r>
      <w:bookmarkStart w:id="134" w:name="_Hlk101133598"/>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auto"/>
          <w:sz w:val="24"/>
          <w:highlight w:val="none"/>
        </w:rPr>
        <w:t>拟享受以上价格扣除政策的，填写有关内容。</w:t>
      </w:r>
      <w:bookmarkEnd w:id="134"/>
      <w:r>
        <w:rPr>
          <w:rFonts w:hint="eastAsia" w:ascii="仿宋_GB2312" w:hAnsi="仿宋" w:eastAsia="仿宋_GB2312" w:cs="仿宋"/>
          <w:b/>
          <w:color w:val="auto"/>
          <w:kern w:val="0"/>
          <w:sz w:val="24"/>
          <w:highlight w:val="none"/>
          <w:lang w:val="zh-CN"/>
        </w:rPr>
        <w:t>）</w:t>
      </w:r>
    </w:p>
    <w:p>
      <w:pPr>
        <w:spacing w:line="42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五、如果中标，</w:t>
      </w:r>
      <w:r>
        <w:rPr>
          <w:rFonts w:hint="eastAsia" w:ascii="仿宋_GB2312" w:hAnsi="仿宋" w:eastAsia="仿宋_GB2312" w:cs="仿宋"/>
          <w:color w:val="auto"/>
          <w:sz w:val="24"/>
          <w:highlight w:val="none"/>
        </w:rPr>
        <w:t>联合体各成员方共同与采购人签订合同，并就采购合同约定的事项对采购人承担连带责任。</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六、有关本次联合投标的其他事宜：</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1、联合体各方不再单独参加或者与其他供应商另外组成联合体参加同一合同项下的政府采购活动。</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2、联合体中有同类资质的各方按照联合体分工承担相同工作的，按照资质等级较低的供应商确定资质等级。</w:t>
      </w:r>
    </w:p>
    <w:p>
      <w:pPr>
        <w:snapToGrid w:val="0"/>
        <w:spacing w:line="42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firstLine="5040" w:firstLine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联合体成员名称(电子签名/公章)：</w:t>
      </w:r>
    </w:p>
    <w:p>
      <w:pPr>
        <w:snapToGrid w:val="0"/>
        <w:spacing w:line="360" w:lineRule="auto"/>
        <w:ind w:right="960"/>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snapToGrid w:val="0"/>
        <w:spacing w:line="360" w:lineRule="auto"/>
        <w:jc w:val="center"/>
        <w:outlineLvl w:val="0"/>
        <w:rPr>
          <w:rFonts w:ascii="仿宋_GB2312" w:hAnsi="仿宋" w:eastAsia="仿宋_GB2312" w:cs="仿宋"/>
          <w:b/>
          <w:color w:val="auto"/>
          <w:kern w:val="0"/>
          <w:sz w:val="32"/>
          <w:szCs w:val="32"/>
          <w:highlight w:val="none"/>
        </w:rPr>
      </w:pPr>
    </w:p>
    <w:p>
      <w:pPr>
        <w:pageBreakBefore/>
        <w:snapToGrid w:val="0"/>
        <w:spacing w:line="360" w:lineRule="auto"/>
        <w:jc w:val="center"/>
        <w:outlineLvl w:val="0"/>
        <w:rPr>
          <w:rFonts w:ascii="仿宋_GB2312" w:hAnsi="仿宋" w:eastAsia="仿宋_GB2312" w:cs="仿宋"/>
          <w:b/>
          <w:color w:val="auto"/>
          <w:kern w:val="0"/>
          <w:sz w:val="32"/>
          <w:szCs w:val="32"/>
          <w:highlight w:val="none"/>
        </w:rPr>
      </w:pPr>
      <w:r>
        <w:rPr>
          <w:rFonts w:hint="eastAsia" w:ascii="仿宋_GB2312" w:hAnsi="仿宋" w:eastAsia="仿宋_GB2312" w:cs="仿宋"/>
          <w:b/>
          <w:color w:val="auto"/>
          <w:kern w:val="0"/>
          <w:sz w:val="32"/>
          <w:szCs w:val="32"/>
          <w:highlight w:val="none"/>
        </w:rPr>
        <w:t>附件5：分包意向协议</w:t>
      </w:r>
    </w:p>
    <w:p>
      <w:pPr>
        <w:widowControl/>
        <w:spacing w:line="440" w:lineRule="exact"/>
        <w:ind w:firstLine="120" w:firstLineChars="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r>
        <w:rPr>
          <w:rFonts w:hint="eastAsia" w:ascii="仿宋_GB2312" w:hAnsi="仿宋" w:eastAsia="仿宋_GB2312" w:cs="仿宋"/>
          <w:b/>
          <w:color w:val="auto"/>
          <w:sz w:val="24"/>
          <w:highlight w:val="none"/>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auto"/>
          <w:sz w:val="24"/>
          <w:highlight w:val="none"/>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若成为</w:t>
      </w:r>
      <w:r>
        <w:rPr>
          <w:rFonts w:hint="eastAsia" w:ascii="仿宋_GB2312" w:hAnsi="仿宋" w:eastAsia="仿宋_GB2312" w:cs="仿宋"/>
          <w:color w:val="auto"/>
          <w:sz w:val="24"/>
          <w:highlight w:val="none"/>
        </w:rPr>
        <w:t>（项目名称）【招标编号：（采购编号）】</w:t>
      </w:r>
      <w:r>
        <w:rPr>
          <w:rFonts w:hint="eastAsia" w:ascii="仿宋_GB2312" w:hAnsi="仿宋" w:eastAsia="仿宋_GB2312" w:cs="仿宋"/>
          <w:color w:val="auto"/>
          <w:kern w:val="0"/>
          <w:sz w:val="24"/>
          <w:highlight w:val="none"/>
          <w:lang w:val="zh-CN"/>
        </w:rPr>
        <w:t>的中标供应商，将依法采取分包方式履行合同。</w:t>
      </w: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rPr>
        <w:t>与</w:t>
      </w:r>
      <w:r>
        <w:rPr>
          <w:rFonts w:hint="eastAsia" w:ascii="仿宋_GB2312" w:hAnsi="仿宋" w:eastAsia="仿宋_GB2312" w:cs="仿宋"/>
          <w:color w:val="auto"/>
          <w:kern w:val="0"/>
          <w:sz w:val="24"/>
          <w:highlight w:val="none"/>
          <w:u w:val="single"/>
        </w:rPr>
        <w:t>（所有分包供应商名称）</w:t>
      </w:r>
      <w:r>
        <w:rPr>
          <w:rFonts w:hint="eastAsia" w:ascii="仿宋_GB2312" w:hAnsi="仿宋" w:eastAsia="仿宋_GB2312" w:cs="仿宋"/>
          <w:color w:val="auto"/>
          <w:kern w:val="0"/>
          <w:sz w:val="24"/>
          <w:highlight w:val="none"/>
        </w:rPr>
        <w:t>达成分包意向协议</w:t>
      </w:r>
      <w:r>
        <w:rPr>
          <w:rFonts w:hint="eastAsia" w:ascii="仿宋_GB2312" w:hAnsi="仿宋" w:eastAsia="仿宋_GB2312" w:cs="仿宋"/>
          <w:color w:val="auto"/>
          <w:kern w:val="0"/>
          <w:sz w:val="24"/>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一、分包标的及数量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u w:val="single"/>
        </w:rPr>
        <w:t>（投标人名称）</w:t>
      </w:r>
      <w:r>
        <w:rPr>
          <w:rFonts w:hint="eastAsia" w:ascii="仿宋_GB2312" w:hAnsi="仿宋" w:eastAsia="仿宋_GB2312" w:cs="仿宋"/>
          <w:color w:val="auto"/>
          <w:kern w:val="0"/>
          <w:sz w:val="24"/>
          <w:highlight w:val="none"/>
          <w:lang w:val="zh-CN"/>
        </w:rPr>
        <w:t>将</w:t>
      </w:r>
      <w:r>
        <w:rPr>
          <w:rFonts w:hint="eastAsia" w:ascii="仿宋_GB2312" w:hAnsi="仿宋" w:eastAsia="仿宋_GB2312" w:cs="仿宋"/>
          <w:color w:val="auto"/>
          <w:highlight w:val="none"/>
          <w:u w:val="single"/>
        </w:rPr>
        <w:t xml:space="preserve">  </w:t>
      </w:r>
      <w:r>
        <w:rPr>
          <w:rFonts w:hint="eastAsia" w:ascii="仿宋_GB2312" w:hAnsi="仿宋" w:eastAsia="仿宋_GB2312" w:cs="仿宋"/>
          <w:color w:val="auto"/>
          <w:kern w:val="0"/>
          <w:sz w:val="24"/>
          <w:highlight w:val="none"/>
          <w:u w:val="single"/>
        </w:rPr>
        <w:t xml:space="preserve"> XX工作内容   </w:t>
      </w:r>
      <w:r>
        <w:rPr>
          <w:rFonts w:hint="eastAsia" w:ascii="仿宋_GB2312" w:hAnsi="仿宋" w:eastAsia="仿宋_GB2312" w:cs="仿宋"/>
          <w:color w:val="auto"/>
          <w:sz w:val="24"/>
          <w:highlight w:val="none"/>
        </w:rPr>
        <w:t>分包给</w:t>
      </w:r>
      <w:r>
        <w:rPr>
          <w:rFonts w:hint="eastAsia" w:ascii="仿宋_GB2312" w:hAnsi="仿宋" w:eastAsia="仿宋_GB2312" w:cs="仿宋"/>
          <w:color w:val="auto"/>
          <w:kern w:val="0"/>
          <w:sz w:val="24"/>
          <w:highlight w:val="none"/>
          <w:u w:val="single"/>
        </w:rPr>
        <w:t>（分包供应商1名称）</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color w:val="auto"/>
          <w:kern w:val="0"/>
          <w:sz w:val="24"/>
          <w:highlight w:val="none"/>
          <w:u w:val="single"/>
        </w:rPr>
        <w:t>（分包供应商2名称），</w:t>
      </w:r>
      <w:r>
        <w:rPr>
          <w:rFonts w:hint="eastAsia" w:ascii="仿宋_GB2312" w:hAnsi="仿宋" w:eastAsia="仿宋_GB2312" w:cs="仿宋"/>
          <w:color w:val="auto"/>
          <w:kern w:val="0"/>
          <w:sz w:val="24"/>
          <w:highlight w:val="none"/>
          <w:lang w:val="zh-CN"/>
        </w:rPr>
        <w:t>具备承</w:t>
      </w:r>
      <w:r>
        <w:rPr>
          <w:rFonts w:hint="eastAsia" w:ascii="仿宋_GB2312" w:hAnsi="仿宋" w:eastAsia="仿宋_GB2312" w:cs="仿宋"/>
          <w:color w:val="auto"/>
          <w:kern w:val="0"/>
          <w:sz w:val="24"/>
          <w:highlight w:val="none"/>
        </w:rPr>
        <w:t>担</w:t>
      </w:r>
      <w:r>
        <w:rPr>
          <w:rFonts w:hint="eastAsia" w:ascii="仿宋_GB2312" w:hAnsi="仿宋" w:eastAsia="仿宋_GB2312" w:cs="仿宋"/>
          <w:color w:val="auto"/>
          <w:kern w:val="0"/>
          <w:sz w:val="24"/>
          <w:highlight w:val="none"/>
          <w:u w:val="single"/>
          <w:lang w:val="zh-CN"/>
        </w:rPr>
        <w:t>XX工作内容</w:t>
      </w:r>
      <w:r>
        <w:rPr>
          <w:rFonts w:hint="eastAsia" w:ascii="仿宋_GB2312" w:hAnsi="仿宋" w:eastAsia="仿宋_GB2312" w:cs="仿宋"/>
          <w:color w:val="auto"/>
          <w:kern w:val="0"/>
          <w:sz w:val="24"/>
          <w:highlight w:val="none"/>
          <w:lang w:val="zh-CN"/>
        </w:rPr>
        <w:t>相应资质条件且不得再次分包；</w:t>
      </w:r>
    </w:p>
    <w:p>
      <w:pPr>
        <w:snapToGrid w:val="0"/>
        <w:spacing w:line="440" w:lineRule="exact"/>
        <w:ind w:firstLine="576"/>
        <w:rPr>
          <w:rFonts w:cs="仿宋"/>
          <w:color w:val="auto"/>
          <w:kern w:val="0"/>
          <w:sz w:val="24"/>
          <w:highlight w:val="none"/>
        </w:rPr>
      </w:pPr>
      <w:r>
        <w:rPr>
          <w:rFonts w:hint="eastAsia" w:cs="仿宋"/>
          <w:color w:val="auto"/>
          <w:kern w:val="0"/>
          <w:sz w:val="24"/>
          <w:highlight w:val="none"/>
        </w:rPr>
        <w:t>……</w:t>
      </w:r>
    </w:p>
    <w:p>
      <w:pPr>
        <w:spacing w:line="440" w:lineRule="exact"/>
        <w:rPr>
          <w:rFonts w:ascii="仿宋_GB2312" w:hAnsi="仿宋" w:eastAsia="仿宋_GB2312" w:cs="仿宋"/>
          <w:color w:val="auto"/>
          <w:highlight w:val="none"/>
        </w:rPr>
      </w:pPr>
      <w:r>
        <w:rPr>
          <w:rFonts w:hint="eastAsia" w:ascii="仿宋_GB2312" w:hAnsi="仿宋" w:eastAsia="仿宋_GB2312" w:cs="仿宋"/>
          <w:color w:val="auto"/>
          <w:highlight w:val="none"/>
          <w:lang w:val="zh-CN"/>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二、分包供应商中小企业合同份额</w:t>
      </w:r>
    </w:p>
    <w:p>
      <w:pPr>
        <w:snapToGrid w:val="0"/>
        <w:spacing w:line="440" w:lineRule="exact"/>
        <w:ind w:firstLine="576"/>
        <w:rPr>
          <w:rFonts w:ascii="仿宋_GB2312" w:hAnsi="仿宋" w:eastAsia="仿宋_GB2312" w:cs="仿宋"/>
          <w:b/>
          <w:color w:val="auto"/>
          <w:kern w:val="0"/>
          <w:sz w:val="24"/>
          <w:highlight w:val="none"/>
          <w:lang w:val="zh-CN"/>
        </w:rPr>
      </w:pPr>
      <w:r>
        <w:rPr>
          <w:rFonts w:hint="eastAsia" w:ascii="仿宋_GB2312" w:hAnsi="仿宋" w:eastAsia="仿宋_GB2312" w:cs="仿宋"/>
          <w:color w:val="auto"/>
          <w:kern w:val="0"/>
          <w:sz w:val="24"/>
          <w:highlight w:val="none"/>
        </w:rPr>
        <w:t>1、</w:t>
      </w:r>
      <w:r>
        <w:rPr>
          <w:rFonts w:hint="eastAsia" w:ascii="仿宋_GB2312" w:hAnsi="仿宋" w:eastAsia="仿宋_GB2312" w:cs="仿宋"/>
          <w:color w:val="auto"/>
          <w:kern w:val="0"/>
          <w:sz w:val="24"/>
          <w:highlight w:val="none"/>
          <w:u w:val="single"/>
        </w:rPr>
        <w:t>（分包供应商X,……）提供的服务全部由小微企业承接，</w:t>
      </w:r>
      <w:r>
        <w:rPr>
          <w:rFonts w:hint="eastAsia" w:ascii="仿宋_GB2312" w:hAnsi="仿宋" w:eastAsia="仿宋_GB2312" w:cs="仿宋"/>
          <w:color w:val="auto"/>
          <w:kern w:val="0"/>
          <w:sz w:val="24"/>
          <w:highlight w:val="none"/>
        </w:rPr>
        <w:t>其合同份额占到合同总金额</w:t>
      </w:r>
      <w:r>
        <w:rPr>
          <w:rFonts w:hint="eastAsia" w:ascii="仿宋_GB2312" w:hAnsi="仿宋" w:eastAsia="仿宋_GB2312" w:cs="仿宋"/>
          <w:color w:val="auto"/>
          <w:kern w:val="0"/>
          <w:sz w:val="24"/>
          <w:highlight w:val="none"/>
          <w:u w:val="single"/>
        </w:rPr>
        <w:t xml:space="preserve">     </w:t>
      </w:r>
      <w:r>
        <w:rPr>
          <w:rFonts w:hint="eastAsia" w:ascii="仿宋_GB2312" w:hAnsi="仿宋" w:eastAsia="仿宋_GB2312" w:cs="仿宋"/>
          <w:color w:val="auto"/>
          <w:kern w:val="0"/>
          <w:sz w:val="24"/>
          <w:highlight w:val="none"/>
        </w:rPr>
        <w:t>%以上</w:t>
      </w:r>
      <w:r>
        <w:rPr>
          <w:rFonts w:hint="eastAsia" w:ascii="仿宋_GB2312" w:hAnsi="仿宋" w:eastAsia="仿宋_GB2312" w:cs="仿宋"/>
          <w:color w:val="auto"/>
          <w:highlight w:val="none"/>
        </w:rPr>
        <w:t>。</w:t>
      </w:r>
      <w:r>
        <w:rPr>
          <w:rFonts w:hint="eastAsia" w:ascii="仿宋_GB2312" w:hAnsi="仿宋" w:eastAsia="仿宋_GB2312"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auto"/>
          <w:sz w:val="24"/>
          <w:highlight w:val="none"/>
        </w:rPr>
        <w:t>拟享受以上价格扣除政策的，填写有关内容。</w:t>
      </w:r>
      <w:r>
        <w:rPr>
          <w:rFonts w:hint="eastAsia" w:ascii="仿宋_GB2312" w:hAnsi="仿宋" w:eastAsia="仿宋_GB2312" w:cs="仿宋"/>
          <w:b/>
          <w:color w:val="auto"/>
          <w:kern w:val="0"/>
          <w:sz w:val="24"/>
          <w:highlight w:val="none"/>
          <w:lang w:val="zh-CN"/>
        </w:rPr>
        <w:t>）</w:t>
      </w:r>
    </w:p>
    <w:p>
      <w:pPr>
        <w:spacing w:line="440" w:lineRule="exact"/>
        <w:ind w:firstLine="480" w:firstLineChars="200"/>
        <w:rPr>
          <w:rFonts w:ascii="仿宋_GB2312" w:hAnsi="仿宋" w:eastAsia="仿宋_GB2312" w:cs="仿宋"/>
          <w:b/>
          <w:bCs/>
          <w:color w:val="auto"/>
          <w:kern w:val="0"/>
          <w:sz w:val="24"/>
          <w:highlight w:val="none"/>
          <w:lang w:val="zh-CN"/>
        </w:rPr>
      </w:pPr>
      <w:r>
        <w:rPr>
          <w:rFonts w:hint="eastAsia" w:ascii="仿宋_GB2312" w:hAnsi="仿宋" w:eastAsia="仿宋_GB2312" w:cs="仿宋"/>
          <w:color w:val="auto"/>
          <w:sz w:val="24"/>
          <w:highlight w:val="none"/>
        </w:rPr>
        <w:t>2、中小企业合同金额达到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w:t>
      </w:r>
      <w:r>
        <w:rPr>
          <w:rFonts w:hint="eastAsia" w:ascii="仿宋_GB2312" w:hAnsi="仿宋" w:eastAsia="仿宋_GB2312" w:cs="仿宋"/>
          <w:b/>
          <w:bCs/>
          <w:color w:val="auto"/>
          <w:kern w:val="0"/>
          <w:sz w:val="24"/>
          <w:highlight w:val="none"/>
          <w:lang w:val="zh-CN"/>
        </w:rPr>
        <w:t>（</w:t>
      </w:r>
      <w:r>
        <w:rPr>
          <w:rFonts w:hint="eastAsia" w:ascii="仿宋_GB2312" w:hAnsi="仿宋" w:eastAsia="仿宋_GB2312" w:cs="仿宋"/>
          <w:b/>
          <w:bCs/>
          <w:color w:val="auto"/>
          <w:sz w:val="24"/>
          <w:highlight w:val="none"/>
        </w:rPr>
        <w:t>要求合同分包形式参加的项目或采购包，供应商按招标文件第一部分招标公告申请人的资格要求中规定的</w:t>
      </w:r>
      <w:r>
        <w:rPr>
          <w:rFonts w:hint="eastAsia" w:ascii="仿宋_GB2312" w:hAnsi="仿宋" w:eastAsia="仿宋_GB2312" w:cs="仿宋"/>
          <w:b/>
          <w:color w:val="auto"/>
          <w:kern w:val="0"/>
          <w:sz w:val="24"/>
          <w:highlight w:val="none"/>
          <w:lang w:val="zh-CN"/>
        </w:rPr>
        <w:t>分包意向协议</w:t>
      </w:r>
      <w:r>
        <w:rPr>
          <w:rFonts w:hint="eastAsia" w:ascii="仿宋_GB2312" w:hAnsi="仿宋" w:eastAsia="仿宋_GB2312" w:cs="仿宋"/>
          <w:b/>
          <w:bCs/>
          <w:color w:val="auto"/>
          <w:sz w:val="24"/>
          <w:highlight w:val="none"/>
        </w:rPr>
        <w:t>中中小企业、小微企业合同金额应当达到的比例要求填写。</w:t>
      </w:r>
      <w:r>
        <w:rPr>
          <w:rFonts w:hint="eastAsia" w:ascii="仿宋_GB2312" w:hAnsi="仿宋" w:eastAsia="仿宋_GB2312" w:cs="仿宋"/>
          <w:b/>
          <w:bCs/>
          <w:color w:val="auto"/>
          <w:kern w:val="0"/>
          <w:sz w:val="24"/>
          <w:highlight w:val="none"/>
          <w:lang w:val="zh-CN"/>
        </w:rPr>
        <w:t>）</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三、分包工作履行期限、地点、方式</w:t>
      </w:r>
    </w:p>
    <w:p>
      <w:pPr>
        <w:snapToGrid w:val="0"/>
        <w:spacing w:line="440" w:lineRule="exact"/>
        <w:ind w:firstLine="576"/>
        <w:rPr>
          <w:rFonts w:ascii="仿宋_GB2312" w:hAnsi="仿宋" w:eastAsia="仿宋_GB2312" w:cs="仿宋"/>
          <w:color w:val="auto"/>
          <w:highlight w:val="none"/>
          <w:u w:val="single"/>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四、质量</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五、价款或者报酬</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六、违约责任</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七、争议解决的办法</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highlight w:val="none"/>
          <w:u w:val="single"/>
        </w:rPr>
        <w:t xml:space="preserve">                                                                                  </w:t>
      </w:r>
    </w:p>
    <w:p>
      <w:pPr>
        <w:snapToGrid w:val="0"/>
        <w:spacing w:line="440" w:lineRule="exact"/>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八、其他</w:t>
      </w:r>
    </w:p>
    <w:p>
      <w:pPr>
        <w:snapToGrid w:val="0"/>
        <w:spacing w:line="360" w:lineRule="auto"/>
        <w:ind w:firstLine="576"/>
        <w:rPr>
          <w:rFonts w:ascii="仿宋_GB2312" w:hAnsi="仿宋" w:eastAsia="仿宋_GB2312" w:cs="仿宋"/>
          <w:color w:val="auto"/>
          <w:kern w:val="0"/>
          <w:sz w:val="24"/>
          <w:highlight w:val="none"/>
          <w:lang w:val="zh-CN"/>
        </w:rPr>
      </w:pPr>
      <w:r>
        <w:rPr>
          <w:rFonts w:hint="eastAsia" w:ascii="仿宋_GB2312" w:hAnsi="仿宋" w:eastAsia="仿宋_GB2312" w:cs="仿宋"/>
          <w:color w:val="auto"/>
          <w:sz w:val="24"/>
          <w:highlight w:val="none"/>
        </w:rPr>
        <w:t>中小企业合同金额达到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%，小微企业合同金额达到</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w:t>
      </w:r>
      <w:r>
        <w:rPr>
          <w:rFonts w:hint="eastAsia" w:ascii="仿宋_GB2312" w:hAnsi="仿宋" w:eastAsia="仿宋_GB2312" w:cs="仿宋"/>
          <w:color w:val="auto"/>
          <w:kern w:val="0"/>
          <w:sz w:val="24"/>
          <w:highlight w:val="none"/>
          <w:lang w:val="zh-CN"/>
        </w:rPr>
        <w:t xml:space="preserve">  。 </w:t>
      </w:r>
    </w:p>
    <w:p>
      <w:pPr>
        <w:snapToGrid w:val="0"/>
        <w:spacing w:line="360" w:lineRule="auto"/>
        <w:ind w:left="5758" w:leftChars="342" w:hanging="5040" w:hangingChars="2100"/>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w:t>
      </w:r>
    </w:p>
    <w:p>
      <w:pPr>
        <w:wordWrap w:val="0"/>
        <w:snapToGrid w:val="0"/>
        <w:spacing w:line="360" w:lineRule="auto"/>
        <w:ind w:left="5758" w:leftChars="342" w:hanging="5040" w:hangingChars="2100"/>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投标人名称(电子签名)：        </w:t>
      </w:r>
    </w:p>
    <w:p>
      <w:pPr>
        <w:snapToGrid w:val="0"/>
        <w:spacing w:line="360" w:lineRule="auto"/>
        <w:jc w:val="right"/>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分包供应商名称(电子签名/公章)：</w:t>
      </w:r>
    </w:p>
    <w:p>
      <w:pPr>
        <w:snapToGrid w:val="0"/>
        <w:spacing w:line="360" w:lineRule="auto"/>
        <w:ind w:firstLine="5760" w:firstLineChars="2400"/>
        <w:rPr>
          <w:rFonts w:ascii="仿宋_GB2312" w:hAnsi="仿宋" w:eastAsia="仿宋_GB2312" w:cs="仿宋"/>
          <w:color w:val="auto"/>
          <w:highlight w:val="none"/>
        </w:rPr>
      </w:pPr>
      <w:r>
        <w:rPr>
          <w:rFonts w:hint="eastAsia" w:ascii="仿宋_GB2312" w:hAnsi="仿宋" w:eastAsia="仿宋_GB2312" w:cs="仿宋"/>
          <w:color w:val="auto"/>
          <w:kern w:val="0"/>
          <w:sz w:val="24"/>
          <w:highlight w:val="none"/>
          <w:lang w:val="zh-CN"/>
        </w:rPr>
        <w:t>……</w:t>
      </w:r>
    </w:p>
    <w:p>
      <w:pPr>
        <w:spacing w:line="360" w:lineRule="auto"/>
        <w:jc w:val="center"/>
        <w:rPr>
          <w:rFonts w:ascii="仿宋_GB2312" w:hAnsi="仿宋" w:eastAsia="仿宋_GB2312" w:cs="仿宋"/>
          <w:color w:val="auto"/>
          <w:kern w:val="0"/>
          <w:sz w:val="24"/>
          <w:highlight w:val="none"/>
          <w:lang w:val="zh-CN"/>
        </w:rPr>
      </w:pPr>
      <w:r>
        <w:rPr>
          <w:rFonts w:hint="eastAsia" w:ascii="仿宋_GB2312" w:hAnsi="仿宋" w:eastAsia="仿宋_GB2312" w:cs="仿宋"/>
          <w:color w:val="auto"/>
          <w:kern w:val="0"/>
          <w:sz w:val="24"/>
          <w:highlight w:val="none"/>
          <w:lang w:val="zh-CN"/>
        </w:rPr>
        <w:t xml:space="preserve">                                        日期：  年  月   日</w:t>
      </w: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注：按本格式和要求提供。</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hAnsi="仿宋" w:eastAsia="仿宋_GB2312" w:cs="仿宋"/>
          <w:b/>
          <w:color w:val="auto"/>
          <w:spacing w:val="6"/>
          <w:sz w:val="32"/>
          <w:szCs w:val="32"/>
          <w:highlight w:val="none"/>
        </w:rPr>
      </w:pPr>
    </w:p>
    <w:p>
      <w:pPr>
        <w:rPr>
          <w:rFonts w:ascii="仿宋_GB2312" w:hAnsi="仿宋" w:eastAsia="仿宋_GB2312" w:cs="仿宋"/>
          <w:b/>
          <w:color w:val="auto"/>
          <w:spacing w:val="6"/>
          <w:sz w:val="32"/>
          <w:szCs w:val="32"/>
          <w:highlight w:val="none"/>
        </w:rPr>
      </w:pPr>
    </w:p>
    <w:p>
      <w:pPr>
        <w:pStyle w:val="140"/>
        <w:rPr>
          <w:rFonts w:hAnsi="仿宋" w:cs="仿宋"/>
          <w:b/>
          <w:color w:val="auto"/>
          <w:spacing w:val="6"/>
          <w:sz w:val="32"/>
          <w:szCs w:val="32"/>
          <w:highlight w:val="none"/>
        </w:rPr>
      </w:pPr>
    </w:p>
    <w:p>
      <w:pPr>
        <w:pStyle w:val="315"/>
        <w:rPr>
          <w:rFonts w:ascii="仿宋_GB2312" w:eastAsia="仿宋_GB2312"/>
          <w:color w:val="auto"/>
          <w:highlight w:val="none"/>
        </w:rPr>
      </w:pPr>
    </w:p>
    <w:p>
      <w:pPr>
        <w:spacing w:line="360" w:lineRule="auto"/>
        <w:rPr>
          <w:rFonts w:ascii="仿宋_GB2312" w:hAnsi="仿宋" w:eastAsia="仿宋_GB2312" w:cs="仿宋"/>
          <w:b/>
          <w:color w:val="auto"/>
          <w:spacing w:val="6"/>
          <w:sz w:val="32"/>
          <w:szCs w:val="32"/>
          <w:highlight w:val="none"/>
        </w:rPr>
      </w:pPr>
      <w:bookmarkStart w:id="135" w:name="OLE_LINK14"/>
      <w:bookmarkStart w:id="136" w:name="OLE_LINK13"/>
    </w:p>
    <w:p>
      <w:pPr>
        <w:pageBreakBefore/>
        <w:spacing w:line="360" w:lineRule="auto"/>
        <w:jc w:val="center"/>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附件6：残疾人福利性单位声明函</w:t>
      </w:r>
    </w:p>
    <w:bookmarkEnd w:id="135"/>
    <w:bookmarkEnd w:id="136"/>
    <w:p>
      <w:pPr>
        <w:spacing w:line="360" w:lineRule="auto"/>
        <w:rPr>
          <w:rFonts w:ascii="仿宋_GB2312" w:hAnsi="仿宋" w:eastAsia="仿宋_GB2312" w:cs="仿宋"/>
          <w:b/>
          <w:color w:val="auto"/>
          <w:spacing w:val="6"/>
          <w:sz w:val="30"/>
          <w:szCs w:val="30"/>
          <w:highlight w:val="none"/>
        </w:rPr>
      </w:pP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auto"/>
          <w:sz w:val="24"/>
          <w:highlight w:val="none"/>
          <w:u w:val="single"/>
        </w:rPr>
        <w:t>（采购人）</w:t>
      </w:r>
      <w:r>
        <w:rPr>
          <w:rFonts w:hint="eastAsia" w:ascii="仿宋_GB2312" w:hAnsi="仿宋" w:eastAsia="仿宋_GB2312" w:cs="仿宋"/>
          <w:color w:val="auto"/>
          <w:sz w:val="24"/>
          <w:highlight w:val="none"/>
        </w:rPr>
        <w:t>_单位的_</w:t>
      </w:r>
      <w:r>
        <w:rPr>
          <w:rFonts w:hint="eastAsia" w:ascii="仿宋_GB2312" w:hAnsi="仿宋" w:eastAsia="仿宋_GB2312" w:cs="仿宋"/>
          <w:color w:val="auto"/>
          <w:sz w:val="24"/>
          <w:highlight w:val="none"/>
          <w:u w:val="single"/>
        </w:rPr>
        <w:t>（项目名称）</w:t>
      </w:r>
      <w:r>
        <w:rPr>
          <w:rFonts w:hint="eastAsia" w:ascii="仿宋_GB2312" w:hAnsi="仿宋" w:eastAsia="仿宋_GB2312"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本单位对上述声明的真实性负责。如有虚假，将依法承担相应责任。</w:t>
      </w:r>
    </w:p>
    <w:p>
      <w:pPr>
        <w:spacing w:line="360" w:lineRule="auto"/>
        <w:ind w:firstLine="480" w:firstLineChars="200"/>
        <w:rPr>
          <w:rFonts w:ascii="仿宋_GB2312" w:hAnsi="仿宋" w:eastAsia="仿宋_GB2312" w:cs="仿宋"/>
          <w:color w:val="auto"/>
          <w:sz w:val="24"/>
          <w:highlight w:val="none"/>
        </w:rPr>
      </w:pPr>
    </w:p>
    <w:p>
      <w:pPr>
        <w:spacing w:line="360" w:lineRule="auto"/>
        <w:ind w:firstLine="480" w:firstLineChars="200"/>
        <w:rPr>
          <w:rFonts w:ascii="仿宋_GB2312" w:hAnsi="仿宋" w:eastAsia="仿宋_GB2312" w:cs="仿宋"/>
          <w:color w:val="auto"/>
          <w:sz w:val="24"/>
          <w:highlight w:val="none"/>
        </w:rPr>
      </w:pP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w:t>
      </w:r>
      <w:r>
        <w:rPr>
          <w:rFonts w:hint="eastAsia" w:ascii="仿宋_GB2312" w:hAnsi="仿宋" w:eastAsia="仿宋_GB2312" w:cs="仿宋"/>
          <w:color w:val="auto"/>
          <w:kern w:val="0"/>
          <w:sz w:val="24"/>
          <w:highlight w:val="none"/>
          <w:lang w:val="zh-CN"/>
        </w:rPr>
        <w:t>投标人名称（电子签名）</w:t>
      </w:r>
      <w:r>
        <w:rPr>
          <w:rFonts w:hint="eastAsia" w:ascii="仿宋_GB2312" w:hAnsi="仿宋" w:eastAsia="仿宋_GB2312" w:cs="仿宋"/>
          <w:color w:val="auto"/>
          <w:sz w:val="24"/>
          <w:highlight w:val="none"/>
        </w:rPr>
        <w:t>：</w:t>
      </w:r>
    </w:p>
    <w:p>
      <w:pPr>
        <w:tabs>
          <w:tab w:val="left" w:pos="4860"/>
        </w:tabs>
        <w:spacing w:line="360" w:lineRule="auto"/>
        <w:ind w:right="1560" w:firstLine="480" w:firstLineChars="200"/>
        <w:jc w:val="center"/>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日  期：</w:t>
      </w: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autoSpaceDE w:val="0"/>
        <w:autoSpaceDN w:val="0"/>
        <w:jc w:val="center"/>
        <w:rPr>
          <w:rFonts w:ascii="仿宋_GB2312" w:hAnsi="仿宋" w:eastAsia="仿宋_GB2312" w:cs="仿宋"/>
          <w:b/>
          <w:color w:val="auto"/>
          <w:spacing w:val="6"/>
          <w:sz w:val="32"/>
          <w:szCs w:val="32"/>
          <w:highlight w:val="none"/>
        </w:rPr>
      </w:pPr>
    </w:p>
    <w:p>
      <w:pPr>
        <w:pageBreakBefore/>
        <w:spacing w:line="360" w:lineRule="auto"/>
        <w:rPr>
          <w:rFonts w:ascii="仿宋_GB2312" w:hAnsi="仿宋" w:eastAsia="仿宋_GB2312" w:cs="仿宋"/>
          <w:b/>
          <w:color w:val="auto"/>
          <w:spacing w:val="6"/>
          <w:sz w:val="32"/>
          <w:szCs w:val="32"/>
          <w:highlight w:val="none"/>
        </w:rPr>
      </w:pPr>
      <w:r>
        <w:rPr>
          <w:rFonts w:hint="eastAsia" w:ascii="仿宋_GB2312" w:hAnsi="仿宋" w:eastAsia="仿宋_GB2312" w:cs="仿宋"/>
          <w:b/>
          <w:color w:val="auto"/>
          <w:spacing w:val="6"/>
          <w:sz w:val="32"/>
          <w:szCs w:val="32"/>
          <w:highlight w:val="none"/>
        </w:rPr>
        <w:t>附件7：</w:t>
      </w:r>
      <w:r>
        <w:rPr>
          <w:rFonts w:hint="eastAsia" w:ascii="仿宋_GB2312" w:hAnsi="仿宋" w:eastAsia="仿宋_GB2312" w:cs="仿宋"/>
          <w:b/>
          <w:color w:val="auto"/>
          <w:kern w:val="0"/>
          <w:sz w:val="32"/>
          <w:szCs w:val="32"/>
          <w:highlight w:val="none"/>
        </w:rPr>
        <w:t>中小企业声明函</w:t>
      </w:r>
    </w:p>
    <w:p>
      <w:pPr>
        <w:spacing w:line="360" w:lineRule="auto"/>
        <w:jc w:val="center"/>
        <w:rPr>
          <w:rFonts w:ascii="仿宋_GB2312" w:hAnsi="仿宋" w:eastAsia="仿宋_GB2312" w:cs="仿宋"/>
          <w:color w:val="auto"/>
          <w:sz w:val="24"/>
          <w:highlight w:val="none"/>
          <w:u w:val="single"/>
        </w:rPr>
      </w:pPr>
    </w:p>
    <w:p>
      <w:pPr>
        <w:spacing w:line="360" w:lineRule="auto"/>
        <w:jc w:val="center"/>
        <w:rPr>
          <w:rFonts w:ascii="仿宋_GB2312" w:hAnsi="仿宋" w:eastAsia="仿宋_GB2312" w:cs="仿宋"/>
          <w:b/>
          <w:color w:val="auto"/>
          <w:sz w:val="32"/>
          <w:szCs w:val="32"/>
          <w:highlight w:val="none"/>
        </w:rPr>
      </w:pPr>
      <w:r>
        <w:rPr>
          <w:rFonts w:hint="eastAsia" w:ascii="仿宋_GB2312" w:hAnsi="仿宋" w:eastAsia="仿宋_GB2312" w:cs="仿宋"/>
          <w:b/>
          <w:color w:val="auto"/>
          <w:sz w:val="32"/>
          <w:szCs w:val="32"/>
          <w:highlight w:val="none"/>
        </w:rPr>
        <w:t>中小企业声明函（服务）</w:t>
      </w:r>
    </w:p>
    <w:p>
      <w:pPr>
        <w:spacing w:line="360" w:lineRule="auto"/>
        <w:ind w:firstLine="360" w:firstLineChars="15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本公司（联合体）郑重声明，根据《政府采购促进中小企业发展管理办法》（财库</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2020</w:t>
      </w:r>
      <w:r>
        <w:rPr>
          <w:rFonts w:hint="eastAsia" w:ascii="仿宋_GB2312" w:hAnsi="仿宋" w:eastAsia="仿宋" w:cs="仿宋"/>
          <w:color w:val="auto"/>
          <w:sz w:val="24"/>
          <w:highlight w:val="none"/>
        </w:rPr>
        <w:t>﹞</w:t>
      </w:r>
      <w:r>
        <w:rPr>
          <w:rFonts w:hint="eastAsia" w:ascii="仿宋_GB2312" w:hAnsi="仿宋" w:eastAsia="仿宋_GB2312" w:cs="仿宋"/>
          <w:color w:val="auto"/>
          <w:sz w:val="24"/>
          <w:highlight w:val="none"/>
        </w:rPr>
        <w:t xml:space="preserve">46 号）的规定，本公司（联合体）参加 </w:t>
      </w:r>
      <w:r>
        <w:rPr>
          <w:rFonts w:hint="eastAsia" w:ascii="仿宋_GB2312" w:hAnsi="仿宋" w:eastAsia="仿宋_GB2312" w:cs="仿宋"/>
          <w:color w:val="auto"/>
          <w:sz w:val="24"/>
          <w:highlight w:val="none"/>
          <w:u w:val="single"/>
        </w:rPr>
        <w:t xml:space="preserve">（采购人） </w:t>
      </w:r>
      <w:r>
        <w:rPr>
          <w:rFonts w:hint="eastAsia" w:ascii="仿宋_GB2312" w:hAnsi="仿宋" w:eastAsia="仿宋_GB2312" w:cs="仿宋"/>
          <w:color w:val="auto"/>
          <w:sz w:val="24"/>
          <w:highlight w:val="none"/>
        </w:rPr>
        <w:t>的</w:t>
      </w:r>
      <w:r>
        <w:rPr>
          <w:rFonts w:hint="eastAsia" w:ascii="仿宋_GB2312" w:hAnsi="仿宋" w:eastAsia="仿宋_GB2312" w:cs="仿宋"/>
          <w:color w:val="auto"/>
          <w:sz w:val="24"/>
          <w:highlight w:val="none"/>
          <w:u w:val="single"/>
        </w:rPr>
        <w:t xml:space="preserve"> （项目名称） </w:t>
      </w:r>
      <w:r>
        <w:rPr>
          <w:rFonts w:hint="eastAsia" w:ascii="仿宋_GB2312" w:hAnsi="仿宋" w:eastAsia="仿宋_GB2312"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w:t>
      </w:r>
      <w:r>
        <w:rPr>
          <w:rFonts w:hint="eastAsia" w:ascii="仿宋_GB2312" w:hAnsi="仿宋" w:eastAsia="仿宋_GB2312" w:cs="仿宋"/>
          <w:color w:val="auto"/>
          <w:highlight w:val="none"/>
        </w:rPr>
        <w:t xml:space="preserve"> </w:t>
      </w:r>
      <w:r>
        <w:rPr>
          <w:rFonts w:hint="eastAsia" w:ascii="仿宋_GB2312" w:hAnsi="仿宋" w:eastAsia="仿宋_GB2312" w:cs="仿宋"/>
          <w:color w:val="auto"/>
          <w:sz w:val="24"/>
          <w:highlight w:val="none"/>
          <w:u w:val="single"/>
        </w:rPr>
        <w:t>（标的名称）</w:t>
      </w:r>
      <w:r>
        <w:rPr>
          <w:rFonts w:hint="eastAsia" w:ascii="仿宋_GB2312" w:hAnsi="仿宋" w:eastAsia="仿宋_GB2312" w:cs="仿宋"/>
          <w:color w:val="auto"/>
          <w:sz w:val="24"/>
          <w:highlight w:val="none"/>
        </w:rPr>
        <w:t>，属于</w:t>
      </w:r>
      <w:r>
        <w:rPr>
          <w:rFonts w:hint="eastAsia" w:ascii="仿宋_GB2312" w:hAnsi="仿宋" w:eastAsia="仿宋_GB2312" w:cs="仿宋"/>
          <w:color w:val="auto"/>
          <w:sz w:val="24"/>
          <w:highlight w:val="none"/>
          <w:u w:val="single"/>
        </w:rPr>
        <w:t xml:space="preserve"> （采购文件中明确的所属行业）</w:t>
      </w:r>
      <w:r>
        <w:rPr>
          <w:rFonts w:hint="eastAsia" w:ascii="仿宋_GB2312" w:hAnsi="仿宋" w:eastAsia="仿宋_GB2312" w:cs="仿宋"/>
          <w:color w:val="auto"/>
          <w:sz w:val="24"/>
          <w:highlight w:val="none"/>
        </w:rPr>
        <w:t xml:space="preserve"> ；承建（承接）企业为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w:t>
      </w:r>
      <w:r>
        <w:rPr>
          <w:rFonts w:hint="eastAsia" w:ascii="仿宋_GB2312" w:hAnsi="仿宋" w:eastAsia="仿宋_GB2312" w:cs="仿宋"/>
          <w:color w:val="auto"/>
          <w:sz w:val="24"/>
          <w:highlight w:val="none"/>
          <w:u w:val="single"/>
        </w:rPr>
        <w:t xml:space="preserve"> （标的名称），</w:t>
      </w:r>
      <w:r>
        <w:rPr>
          <w:rFonts w:hint="eastAsia" w:ascii="仿宋_GB2312" w:hAnsi="仿宋" w:eastAsia="仿宋_GB2312" w:cs="仿宋"/>
          <w:color w:val="auto"/>
          <w:sz w:val="24"/>
          <w:highlight w:val="none"/>
        </w:rPr>
        <w:t xml:space="preserve">属于 </w:t>
      </w:r>
      <w:r>
        <w:rPr>
          <w:rFonts w:hint="eastAsia" w:ascii="仿宋_GB2312" w:hAnsi="仿宋" w:eastAsia="仿宋_GB2312" w:cs="仿宋"/>
          <w:color w:val="auto"/>
          <w:sz w:val="24"/>
          <w:highlight w:val="none"/>
          <w:u w:val="single"/>
        </w:rPr>
        <w:t xml:space="preserve">（采购文件中明确的所属行业） </w:t>
      </w:r>
      <w:r>
        <w:rPr>
          <w:rFonts w:hint="eastAsia" w:ascii="仿宋_GB2312" w:hAnsi="仿宋" w:eastAsia="仿宋_GB2312" w:cs="仿宋"/>
          <w:color w:val="auto"/>
          <w:sz w:val="24"/>
          <w:highlight w:val="none"/>
        </w:rPr>
        <w:t xml:space="preserve">；承建（承接）企业为 </w:t>
      </w:r>
      <w:r>
        <w:rPr>
          <w:rFonts w:hint="eastAsia" w:ascii="仿宋_GB2312" w:hAnsi="仿宋" w:eastAsia="仿宋_GB2312" w:cs="仿宋"/>
          <w:color w:val="auto"/>
          <w:sz w:val="24"/>
          <w:highlight w:val="none"/>
          <w:u w:val="single"/>
        </w:rPr>
        <w:t>（企业名称）</w:t>
      </w:r>
      <w:r>
        <w:rPr>
          <w:rFonts w:hint="eastAsia" w:ascii="仿宋_GB2312" w:hAnsi="仿宋" w:eastAsia="仿宋_GB2312" w:cs="仿宋"/>
          <w:color w:val="auto"/>
          <w:sz w:val="24"/>
          <w:highlight w:val="none"/>
        </w:rPr>
        <w:t xml:space="preserve"> ，从业人员</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人，营业收入为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万元，资产总额为</w:t>
      </w:r>
      <w:r>
        <w:rPr>
          <w:rFonts w:hint="eastAsia" w:ascii="仿宋_GB2312" w:hAnsi="仿宋" w:eastAsia="仿宋_GB2312" w:cs="仿宋"/>
          <w:color w:val="auto"/>
          <w:sz w:val="24"/>
          <w:highlight w:val="none"/>
          <w:u w:val="single"/>
        </w:rPr>
        <w:t xml:space="preserve">   </w:t>
      </w:r>
      <w:r>
        <w:rPr>
          <w:rFonts w:hint="eastAsia" w:ascii="仿宋_GB2312" w:hAnsi="仿宋" w:eastAsia="仿宋_GB2312" w:cs="仿宋"/>
          <w:color w:val="auto"/>
          <w:sz w:val="24"/>
          <w:highlight w:val="none"/>
        </w:rPr>
        <w:t>万元属于</w:t>
      </w:r>
      <w:r>
        <w:rPr>
          <w:rFonts w:hint="eastAsia" w:ascii="仿宋_GB2312" w:hAnsi="仿宋" w:eastAsia="仿宋_GB2312" w:cs="仿宋"/>
          <w:color w:val="auto"/>
          <w:sz w:val="24"/>
          <w:highlight w:val="none"/>
          <w:u w:val="single"/>
        </w:rPr>
        <w:t xml:space="preserve"> （中型企业、小型企业、微型企业） </w:t>
      </w: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本企业对上述声明内容的真实性负责。如有虚假，将依法承担相应责任。</w:t>
      </w:r>
    </w:p>
    <w:p>
      <w:pPr>
        <w:spacing w:line="360" w:lineRule="auto"/>
        <w:ind w:right="1760"/>
        <w:jc w:val="right"/>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投标人名称（电子签名）：</w:t>
      </w:r>
    </w:p>
    <w:p>
      <w:pPr>
        <w:spacing w:line="360" w:lineRule="auto"/>
        <w:ind w:right="1120" w:firstLine="4680" w:firstLineChars="195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日 期：</w:t>
      </w:r>
    </w:p>
    <w:p>
      <w:pPr>
        <w:spacing w:line="360" w:lineRule="auto"/>
        <w:ind w:firstLine="310" w:firstLineChars="147"/>
        <w:jc w:val="left"/>
        <w:rPr>
          <w:rFonts w:ascii="仿宋_GB2312" w:hAnsi="仿宋" w:eastAsia="仿宋_GB2312" w:cs="仿宋"/>
          <w:b/>
          <w:color w:val="auto"/>
          <w:szCs w:val="21"/>
          <w:highlight w:val="none"/>
        </w:rPr>
      </w:pPr>
    </w:p>
    <w:p>
      <w:pPr>
        <w:spacing w:line="360" w:lineRule="auto"/>
        <w:ind w:firstLine="310" w:firstLineChars="147"/>
        <w:jc w:val="left"/>
        <w:rPr>
          <w:rFonts w:ascii="仿宋_GB2312" w:hAnsi="仿宋" w:eastAsia="仿宋_GB2312" w:cs="仿宋"/>
          <w:b/>
          <w:color w:val="auto"/>
          <w:szCs w:val="21"/>
          <w:highlight w:val="none"/>
        </w:rPr>
      </w:pPr>
      <w:r>
        <w:rPr>
          <w:rFonts w:hint="eastAsia" w:ascii="仿宋_GB2312" w:hAnsi="仿宋" w:eastAsia="仿宋_GB2312" w:cs="仿宋"/>
          <w:b/>
          <w:color w:val="auto"/>
          <w:szCs w:val="21"/>
          <w:highlight w:val="none"/>
        </w:rPr>
        <w:t>从业人员、营业收入、资产总额填报上一年度数据，无上一年度数据的新成立企业可不填报。</w:t>
      </w:r>
    </w:p>
    <w:p>
      <w:pPr>
        <w:spacing w:line="360" w:lineRule="auto"/>
        <w:ind w:right="420"/>
        <w:rPr>
          <w:rFonts w:ascii="仿宋_GB2312" w:hAnsi="仿宋" w:eastAsia="仿宋_GB2312" w:cs="仿宋"/>
          <w:color w:val="auto"/>
          <w:sz w:val="24"/>
          <w:highlight w:val="none"/>
        </w:rPr>
      </w:pPr>
    </w:p>
    <w:p>
      <w:pPr>
        <w:spacing w:line="360" w:lineRule="auto"/>
        <w:ind w:right="42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 xml:space="preserve">   注：</w:t>
      </w:r>
    </w:p>
    <w:p>
      <w:pPr>
        <w:spacing w:line="360" w:lineRule="auto"/>
        <w:ind w:right="420" w:firstLine="480" w:firstLineChars="2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_GB2312" w:hAnsi="仿宋" w:eastAsia="仿宋_GB2312" w:cs="仿宋"/>
          <w:color w:val="auto"/>
          <w:sz w:val="24"/>
          <w:highlight w:val="none"/>
        </w:rPr>
      </w:pPr>
      <w:r>
        <w:rPr>
          <w:rFonts w:hint="eastAsia" w:ascii="仿宋_GB2312" w:hAnsi="仿宋" w:eastAsia="仿宋_GB2312"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仿宋" w:eastAsia="仿宋_GB2312" w:cs="仿宋"/>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spacing w:line="360" w:lineRule="auto"/>
        <w:jc w:val="center"/>
        <w:rPr>
          <w:rFonts w:ascii="仿宋_GB2312" w:hAnsi="宋体" w:eastAsia="仿宋_GB2312" w:cs="宋体"/>
          <w:b/>
          <w:color w:val="auto"/>
          <w:sz w:val="32"/>
          <w:szCs w:val="32"/>
          <w:highlight w:val="none"/>
        </w:rPr>
      </w:pPr>
    </w:p>
    <w:p>
      <w:pPr>
        <w:pageBreakBefore/>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2017年12月28日</w:t>
      </w:r>
    </w:p>
    <w:p>
      <w:pPr>
        <w:pStyle w:val="23"/>
        <w:spacing w:line="240" w:lineRule="auto"/>
        <w:rPr>
          <w:rFonts w:ascii="仿宋_GB2312"/>
          <w:color w:val="auto"/>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五、企业划分由政府综合统计部门根据统计年报每年确定一次，定报统计原则上不进行调整。</w:t>
      </w:r>
    </w:p>
    <w:p>
      <w:pPr>
        <w:widowControl/>
        <w:shd w:val="clear" w:color="auto" w:fill="FFFFFF"/>
        <w:spacing w:line="44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附表：统计上大中小微型企业划分标准</w:t>
      </w: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农、林、牧、渔业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工业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建筑业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6000≤Y＜80000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300≤Y＜6000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Z≥80000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5000≤Z＜80000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批发业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5≤X＜20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Y≥40000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5000≤Y＜40000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零售业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10≤X＜50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100≤Y＜500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交通运输业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200≤Y＜3000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仓储业*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邮政业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Y≥30000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2000≤Y＜30000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住宿业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餐饮业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100≤Y＜2000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信息传输业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X≥2000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100≤X＜2000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软件和信息技术服务业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房地产开发经营</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Y≥200000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1000≤Y＜200000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5000≤Z＜10000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2000≤Z＜5000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物业管理</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300≤X＜1000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营业收入(Y)</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1000≤Y＜5000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500≤Y＜1000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租赁和商务服务业</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_GB2312" w:hAnsi="仿宋" w:eastAsia="仿宋_GB2312" w:cs="仿宋"/>
                <w:color w:val="auto"/>
                <w:kern w:val="0"/>
                <w:sz w:val="24"/>
                <w:highlight w:val="none"/>
              </w:rPr>
            </w:pP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资产总额(Z)</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万元</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Z≥120000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8000≤Z＜120000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100≤Z＜8000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其他未列明行业 *</w:t>
            </w:r>
          </w:p>
        </w:tc>
        <w:tc>
          <w:tcPr>
            <w:tcW w:w="156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从业人员(X)</w:t>
            </w:r>
          </w:p>
        </w:tc>
        <w:tc>
          <w:tcPr>
            <w:tcW w:w="67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人</w:t>
            </w:r>
          </w:p>
        </w:tc>
        <w:tc>
          <w:tcPr>
            <w:tcW w:w="123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X≥300</w:t>
            </w:r>
          </w:p>
        </w:tc>
        <w:tc>
          <w:tcPr>
            <w:tcW w:w="1891"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100≤X＜300</w:t>
            </w:r>
          </w:p>
        </w:tc>
        <w:tc>
          <w:tcPr>
            <w:tcW w:w="1730"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10≤X＜100</w:t>
            </w:r>
          </w:p>
        </w:tc>
        <w:tc>
          <w:tcPr>
            <w:tcW w:w="1203"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X＜10</w:t>
            </w:r>
          </w:p>
        </w:tc>
      </w:tr>
    </w:tbl>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说明：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（3）资产总额，采用资产总计代替。</w:t>
      </w:r>
    </w:p>
    <w:p>
      <w:pPr>
        <w:widowControl/>
        <w:jc w:val="left"/>
        <w:rPr>
          <w:rFonts w:ascii="仿宋_GB2312" w:hAnsi="仿宋" w:eastAsia="仿宋_GB2312" w:cs="仿宋"/>
          <w:color w:val="auto"/>
          <w:kern w:val="0"/>
          <w:sz w:val="24"/>
          <w:highlight w:val="none"/>
        </w:rPr>
      </w:pPr>
    </w:p>
    <w:p>
      <w:pPr>
        <w:widowControl/>
        <w:jc w:val="left"/>
        <w:rPr>
          <w:rFonts w:ascii="仿宋_GB2312" w:hAnsi="仿宋" w:eastAsia="仿宋_GB2312" w:cs="仿宋"/>
          <w:color w:val="auto"/>
          <w:kern w:val="0"/>
          <w:sz w:val="24"/>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仿宋" w:eastAsia="仿宋_GB2312" w:cs="仿宋"/>
          <w:b/>
          <w:bCs/>
          <w:color w:val="auto"/>
          <w:kern w:val="0"/>
          <w:sz w:val="27"/>
          <w:szCs w:val="27"/>
          <w:highlight w:val="none"/>
        </w:rPr>
      </w:pPr>
      <w:r>
        <w:rPr>
          <w:rFonts w:hint="eastAsia" w:ascii="仿宋_GB2312" w:hAnsi="仿宋" w:eastAsia="仿宋_GB2312"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jc w:val="left"/>
        <w:rPr>
          <w:rFonts w:ascii="仿宋_GB2312" w:hAnsi="仿宋" w:eastAsia="仿宋_GB2312" w:cs="仿宋"/>
          <w:color w:val="auto"/>
          <w:kern w:val="0"/>
          <w:sz w:val="18"/>
          <w:szCs w:val="18"/>
          <w:highlight w:val="none"/>
        </w:rPr>
      </w:pP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七、 标准值的评估和调整。金融业企业划型标准工作组</w:t>
      </w:r>
      <w:r>
        <w:rPr>
          <w:rFonts w:hint="eastAsia" w:ascii="仿宋_GB2312" w:hAnsi="仿宋" w:eastAsia="仿宋" w:cs="仿宋"/>
          <w:color w:val="auto"/>
          <w:kern w:val="0"/>
          <w:szCs w:val="21"/>
          <w:highlight w:val="none"/>
        </w:rPr>
        <w:t>毎</w:t>
      </w:r>
      <w:r>
        <w:rPr>
          <w:rFonts w:hint="eastAsia" w:ascii="仿宋_GB2312" w:hAnsi="仿宋" w:eastAsia="仿宋_GB2312" w:cs="仿宋"/>
          <w:color w:val="auto"/>
          <w:kern w:val="0"/>
          <w:szCs w:val="21"/>
          <w:highlight w:val="none"/>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_GB2312" w:hAnsi="仿宋" w:eastAsia="仿宋_GB2312" w:cs="仿宋"/>
          <w:color w:val="auto"/>
          <w:kern w:val="0"/>
          <w:szCs w:val="21"/>
          <w:highlight w:val="none"/>
        </w:rPr>
      </w:pPr>
      <w:r>
        <w:rPr>
          <w:rFonts w:hint="eastAsia" w:ascii="仿宋_GB2312" w:hAnsi="仿宋" w:eastAsia="仿宋_GB2312"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_GB2312" w:hAnsi="仿宋" w:eastAsia="仿宋_GB2312" w:cs="仿宋"/>
          <w:b/>
          <w:bCs/>
          <w:color w:val="auto"/>
          <w:kern w:val="0"/>
          <w:sz w:val="36"/>
          <w:szCs w:val="36"/>
          <w:highlight w:val="none"/>
        </w:rPr>
      </w:pPr>
      <w:r>
        <w:rPr>
          <w:rFonts w:hint="eastAsia" w:ascii="仿宋_GB2312" w:hAnsi="仿宋" w:eastAsia="仿宋_GB2312"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_GB2312" w:hAnsi="仿宋" w:eastAsia="仿宋_GB2312" w:cs="仿宋"/>
                <w:b/>
                <w:bCs/>
                <w:color w:val="auto"/>
                <w:kern w:val="0"/>
                <w:szCs w:val="21"/>
                <w:highlight w:val="none"/>
              </w:rPr>
            </w:pPr>
            <w:r>
              <w:rPr>
                <w:rFonts w:hint="eastAsia" w:ascii="仿宋_GB2312" w:hAnsi="仿宋" w:eastAsia="仿宋_GB2312"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货币金融服务</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非货币银行服务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银行业非存款类金融机构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贷款公司、小额贷款公司及典当行</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资本市场服务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证券业金融机构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保险业金融机构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其他金融业</w:t>
            </w: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金融信托与管理服务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信托公司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控股公司服务</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金融控股公司</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其他未包括的金融业</w:t>
            </w:r>
          </w:p>
        </w:tc>
        <w:tc>
          <w:tcPr>
            <w:tcW w:w="2836" w:type="dxa"/>
            <w:vMerge w:val="restart"/>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除贷款公司、小额贷款公司及典当行以外的其他金融机构</w:t>
            </w: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中型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小型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_GB2312" w:hAnsi="仿宋" w:eastAsia="仿宋_GB2312" w:cs="仿宋"/>
                <w:color w:val="auto"/>
                <w:kern w:val="0"/>
                <w:sz w:val="24"/>
                <w:highlight w:val="none"/>
              </w:rPr>
            </w:pPr>
          </w:p>
        </w:tc>
        <w:tc>
          <w:tcPr>
            <w:tcW w:w="1025" w:type="dxa"/>
            <w:vMerge w:val="continue"/>
            <w:vAlign w:val="center"/>
          </w:tcPr>
          <w:p>
            <w:pPr>
              <w:widowControl/>
              <w:jc w:val="left"/>
              <w:rPr>
                <w:rFonts w:ascii="仿宋_GB2312" w:hAnsi="仿宋" w:eastAsia="仿宋_GB2312" w:cs="仿宋"/>
                <w:color w:val="auto"/>
                <w:kern w:val="0"/>
                <w:sz w:val="24"/>
                <w:highlight w:val="none"/>
              </w:rPr>
            </w:pPr>
          </w:p>
        </w:tc>
        <w:tc>
          <w:tcPr>
            <w:tcW w:w="2836" w:type="dxa"/>
            <w:vMerge w:val="continue"/>
            <w:vAlign w:val="center"/>
          </w:tcPr>
          <w:p>
            <w:pPr>
              <w:widowControl/>
              <w:jc w:val="left"/>
              <w:rPr>
                <w:rFonts w:ascii="仿宋_GB2312" w:hAnsi="仿宋" w:eastAsia="仿宋_GB2312" w:cs="仿宋"/>
                <w:color w:val="auto"/>
                <w:kern w:val="0"/>
                <w:sz w:val="24"/>
                <w:highlight w:val="none"/>
              </w:rPr>
            </w:pPr>
          </w:p>
        </w:tc>
        <w:tc>
          <w:tcPr>
            <w:tcW w:w="60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微型</w:t>
            </w:r>
          </w:p>
        </w:tc>
        <w:tc>
          <w:tcPr>
            <w:tcW w:w="3326" w:type="dxa"/>
            <w:vAlign w:val="center"/>
          </w:tcPr>
          <w:p>
            <w:pPr>
              <w:widowControl/>
              <w:jc w:val="left"/>
              <w:rPr>
                <w:rFonts w:ascii="仿宋_GB2312" w:hAnsi="仿宋" w:eastAsia="仿宋_GB2312" w:cs="仿宋"/>
                <w:color w:val="auto"/>
                <w:kern w:val="0"/>
                <w:sz w:val="24"/>
                <w:highlight w:val="none"/>
              </w:rPr>
            </w:pPr>
            <w:r>
              <w:rPr>
                <w:rFonts w:hint="eastAsia" w:ascii="仿宋_GB2312" w:hAnsi="仿宋" w:eastAsia="仿宋_GB2312" w:cs="仿宋"/>
                <w:color w:val="auto"/>
                <w:kern w:val="0"/>
                <w:sz w:val="24"/>
                <w:highlight w:val="none"/>
              </w:rPr>
              <w:t>50亿元以下</w:t>
            </w:r>
          </w:p>
        </w:tc>
      </w:tr>
    </w:tbl>
    <w:p>
      <w:pPr>
        <w:spacing w:line="360" w:lineRule="auto"/>
        <w:rPr>
          <w:rFonts w:ascii="仿宋_GB2312" w:hAnsi="仿宋" w:eastAsia="仿宋_GB2312" w:cs="仿宋"/>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both"/>
      <w:rPr>
        <w:rFonts w:hint="eastAsia" w:eastAsia="宋体"/>
        <w:lang w:eastAsia="zh-CN"/>
      </w:rPr>
    </w:pPr>
    <w:r>
      <w:rPr>
        <w:rFonts w:hint="eastAsia"/>
      </w:rPr>
      <w:t>绍兴市公共资源交易中心                                            招标文件招标编号:</w:t>
    </w:r>
    <w:r>
      <w:rPr>
        <w:rFonts w:hint="eastAsia"/>
        <w:lang w:eastAsia="zh-CN"/>
      </w:rPr>
      <w:t>2024-11-0132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5DB4C7C"/>
    <w:rsid w:val="1059279E"/>
    <w:rsid w:val="1F6D6CE1"/>
    <w:rsid w:val="3FD9443D"/>
    <w:rsid w:val="42F713BF"/>
    <w:rsid w:val="4A2757C3"/>
    <w:rsid w:val="4A523CB1"/>
    <w:rsid w:val="56D92837"/>
    <w:rsid w:val="57DB7F47"/>
    <w:rsid w:val="5B952728"/>
    <w:rsid w:val="6B676631"/>
    <w:rsid w:val="72E87C49"/>
    <w:rsid w:val="75165DFB"/>
    <w:rsid w:val="7DFBB8BB"/>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80"/>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3"/>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3"/>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3"/>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3"/>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8"/>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7"/>
    <w:qFormat/>
    <w:uiPriority w:val="0"/>
    <w:pPr>
      <w:shd w:val="clear" w:color="auto" w:fill="000080"/>
    </w:pPr>
  </w:style>
  <w:style w:type="paragraph" w:styleId="19">
    <w:name w:val="annotation text"/>
    <w:basedOn w:val="1"/>
    <w:link w:val="99"/>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2"/>
    <w:qFormat/>
    <w:uiPriority w:val="0"/>
    <w:pPr>
      <w:spacing w:line="360" w:lineRule="auto"/>
    </w:pPr>
    <w:rPr>
      <w:rFonts w:eastAsia="仿宋_GB2312"/>
      <w:sz w:val="28"/>
    </w:rPr>
  </w:style>
  <w:style w:type="paragraph" w:styleId="24">
    <w:name w:val="Body Text Indent"/>
    <w:basedOn w:val="1"/>
    <w:link w:val="93"/>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1"/>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4"/>
    <w:qFormat/>
    <w:uiPriority w:val="0"/>
    <w:rPr>
      <w:rFonts w:ascii="楷体_GB2312" w:eastAsia="楷体_GB2312"/>
      <w:b/>
      <w:sz w:val="28"/>
      <w:szCs w:val="20"/>
    </w:rPr>
  </w:style>
  <w:style w:type="paragraph" w:styleId="36">
    <w:name w:val="Body Text Indent 2"/>
    <w:basedOn w:val="1"/>
    <w:link w:val="108"/>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6"/>
    <w:qFormat/>
    <w:uiPriority w:val="0"/>
    <w:rPr>
      <w:sz w:val="18"/>
      <w:szCs w:val="18"/>
    </w:rPr>
  </w:style>
  <w:style w:type="paragraph" w:styleId="39">
    <w:name w:val="footer"/>
    <w:basedOn w:val="1"/>
    <w:link w:val="96"/>
    <w:qFormat/>
    <w:uiPriority w:val="99"/>
    <w:pPr>
      <w:tabs>
        <w:tab w:val="center" w:pos="4153"/>
        <w:tab w:val="right" w:pos="8306"/>
      </w:tabs>
      <w:snapToGrid w:val="0"/>
      <w:jc w:val="left"/>
    </w:pPr>
    <w:rPr>
      <w:sz w:val="18"/>
      <w:szCs w:val="18"/>
    </w:rPr>
  </w:style>
  <w:style w:type="paragraph" w:styleId="40">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3"/>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7"/>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2"/>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29"/>
    <w:qFormat/>
    <w:uiPriority w:val="0"/>
    <w:pPr>
      <w:widowControl/>
      <w:spacing w:afterLines="50"/>
    </w:pPr>
    <w:rPr>
      <w:b/>
      <w:bCs/>
      <w:kern w:val="0"/>
      <w:sz w:val="24"/>
      <w:szCs w:val="20"/>
    </w:rPr>
  </w:style>
  <w:style w:type="paragraph" w:styleId="61">
    <w:name w:val="Body Text First Indent"/>
    <w:basedOn w:val="23"/>
    <w:link w:val="230"/>
    <w:qFormat/>
    <w:uiPriority w:val="0"/>
    <w:pPr>
      <w:spacing w:after="120" w:line="240" w:lineRule="auto"/>
      <w:ind w:firstLine="420" w:firstLineChars="100"/>
    </w:pPr>
    <w:rPr>
      <w:rFonts w:eastAsia="宋体"/>
      <w:sz w:val="21"/>
    </w:rPr>
  </w:style>
  <w:style w:type="paragraph" w:styleId="62">
    <w:name w:val="Body Text First Indent 2"/>
    <w:basedOn w:val="24"/>
    <w:link w:val="231"/>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character" w:customStyle="1" w:styleId="80">
    <w:name w:val="标题 1 Char"/>
    <w:link w:val="4"/>
    <w:qFormat/>
    <w:uiPriority w:val="0"/>
    <w:rPr>
      <w:rFonts w:eastAsia="仿宋_GB2312"/>
      <w:b/>
      <w:kern w:val="44"/>
      <w:sz w:val="44"/>
      <w:lang w:val="en-US" w:eastAsia="zh-CN" w:bidi="ar-SA"/>
    </w:rPr>
  </w:style>
  <w:style w:type="character" w:customStyle="1" w:styleId="81">
    <w:name w:val="正文缩进 Char"/>
    <w:link w:val="3"/>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Char"/>
    <w:link w:val="5"/>
    <w:qFormat/>
    <w:uiPriority w:val="0"/>
    <w:rPr>
      <w:rFonts w:ascii="Arial" w:hAnsi="Arial" w:eastAsia="黑体"/>
      <w:b/>
      <w:kern w:val="2"/>
      <w:sz w:val="32"/>
      <w:lang w:val="en-US" w:eastAsia="zh-CN" w:bidi="ar-SA"/>
    </w:rPr>
  </w:style>
  <w:style w:type="character" w:customStyle="1" w:styleId="84">
    <w:name w:val="标题 3 Char"/>
    <w:link w:val="2"/>
    <w:qFormat/>
    <w:uiPriority w:val="0"/>
    <w:rPr>
      <w:rFonts w:eastAsia="仿宋_GB2312"/>
      <w:b/>
      <w:kern w:val="2"/>
      <w:sz w:val="32"/>
      <w:lang w:val="en-US" w:eastAsia="zh-CN" w:bidi="ar-SA"/>
    </w:rPr>
  </w:style>
  <w:style w:type="character" w:customStyle="1" w:styleId="85">
    <w:name w:val="标题 4 Char1"/>
    <w:link w:val="6"/>
    <w:qFormat/>
    <w:uiPriority w:val="0"/>
    <w:rPr>
      <w:rFonts w:ascii="Arial" w:hAnsi="Arial" w:eastAsia="黑体"/>
      <w:b/>
      <w:kern w:val="2"/>
      <w:sz w:val="28"/>
      <w:lang w:val="en-US" w:eastAsia="zh-CN" w:bidi="ar-SA"/>
    </w:rPr>
  </w:style>
  <w:style w:type="character" w:customStyle="1" w:styleId="86">
    <w:name w:val="标题 5 Char1"/>
    <w:link w:val="7"/>
    <w:qFormat/>
    <w:uiPriority w:val="0"/>
    <w:rPr>
      <w:rFonts w:eastAsia="宋体"/>
      <w:sz w:val="24"/>
      <w:lang w:val="en-US" w:eastAsia="zh-CN" w:bidi="ar-SA"/>
    </w:rPr>
  </w:style>
  <w:style w:type="character" w:customStyle="1" w:styleId="87">
    <w:name w:val="标题 6 Char1"/>
    <w:link w:val="8"/>
    <w:qFormat/>
    <w:uiPriority w:val="0"/>
    <w:rPr>
      <w:rFonts w:ascii="宋体" w:hAnsi="Arial" w:eastAsia="宋体"/>
      <w:sz w:val="24"/>
      <w:lang w:val="en-US" w:eastAsia="zh-CN" w:bidi="ar-SA"/>
    </w:rPr>
  </w:style>
  <w:style w:type="character" w:customStyle="1" w:styleId="88">
    <w:name w:val="标题 7 Char1"/>
    <w:link w:val="9"/>
    <w:qFormat/>
    <w:uiPriority w:val="0"/>
    <w:rPr>
      <w:rFonts w:ascii="宋体" w:hAnsi="Arial" w:eastAsia="宋体"/>
      <w:b/>
      <w:sz w:val="24"/>
      <w:lang w:val="en-US" w:eastAsia="zh-CN" w:bidi="ar-SA"/>
    </w:rPr>
  </w:style>
  <w:style w:type="character" w:customStyle="1" w:styleId="89">
    <w:name w:val="标题 8 Char1"/>
    <w:link w:val="10"/>
    <w:qFormat/>
    <w:uiPriority w:val="0"/>
    <w:rPr>
      <w:rFonts w:ascii="Arial" w:hAnsi="Arial" w:eastAsia="黑体"/>
      <w:sz w:val="24"/>
      <w:lang w:val="en-US" w:eastAsia="zh-CN" w:bidi="ar-SA"/>
    </w:rPr>
  </w:style>
  <w:style w:type="character" w:customStyle="1" w:styleId="90">
    <w:name w:val="标题 9 Char1"/>
    <w:link w:val="11"/>
    <w:qFormat/>
    <w:uiPriority w:val="0"/>
    <w:rPr>
      <w:rFonts w:ascii="Arial" w:hAnsi="Arial" w:eastAsia="黑体"/>
      <w:sz w:val="24"/>
      <w:lang w:val="en-US" w:eastAsia="zh-CN" w:bidi="ar-SA"/>
    </w:rPr>
  </w:style>
  <w:style w:type="character" w:customStyle="1" w:styleId="91">
    <w:name w:val="纯文本 Char"/>
    <w:link w:val="32"/>
    <w:qFormat/>
    <w:uiPriority w:val="0"/>
    <w:rPr>
      <w:rFonts w:ascii="宋体" w:hAnsi="Courier New" w:eastAsia="宋体"/>
      <w:kern w:val="2"/>
      <w:sz w:val="21"/>
      <w:lang w:val="en-US" w:eastAsia="zh-CN" w:bidi="ar-SA"/>
    </w:rPr>
  </w:style>
  <w:style w:type="paragraph" w:customStyle="1" w:styleId="92">
    <w:name w:val="表正文"/>
    <w:basedOn w:val="1"/>
    <w:next w:val="32"/>
    <w:qFormat/>
    <w:uiPriority w:val="0"/>
    <w:rPr>
      <w:rFonts w:ascii="宋体" w:hAnsi="Courier New"/>
      <w:szCs w:val="20"/>
    </w:rPr>
  </w:style>
  <w:style w:type="character" w:customStyle="1" w:styleId="93">
    <w:name w:val="正文文本缩进 Char"/>
    <w:link w:val="24"/>
    <w:qFormat/>
    <w:uiPriority w:val="0"/>
    <w:rPr>
      <w:rFonts w:eastAsia="宋体"/>
      <w:kern w:val="2"/>
      <w:sz w:val="21"/>
      <w:szCs w:val="24"/>
      <w:lang w:val="en-US" w:eastAsia="zh-CN" w:bidi="ar-SA"/>
    </w:rPr>
  </w:style>
  <w:style w:type="character" w:customStyle="1" w:styleId="94">
    <w:name w:val="日期 Char2"/>
    <w:link w:val="35"/>
    <w:qFormat/>
    <w:uiPriority w:val="0"/>
    <w:rPr>
      <w:rFonts w:ascii="楷体_GB2312" w:eastAsia="楷体_GB2312"/>
      <w:b/>
      <w:kern w:val="2"/>
      <w:sz w:val="28"/>
      <w:lang w:val="en-US" w:eastAsia="zh-CN" w:bidi="ar-SA"/>
    </w:rPr>
  </w:style>
  <w:style w:type="character" w:customStyle="1" w:styleId="95">
    <w:name w:val="页眉 Char1"/>
    <w:link w:val="40"/>
    <w:qFormat/>
    <w:uiPriority w:val="0"/>
    <w:rPr>
      <w:rFonts w:eastAsia="宋体"/>
      <w:kern w:val="2"/>
      <w:sz w:val="18"/>
      <w:szCs w:val="18"/>
      <w:lang w:val="en-US" w:eastAsia="zh-CN" w:bidi="ar-SA"/>
    </w:rPr>
  </w:style>
  <w:style w:type="character" w:customStyle="1" w:styleId="96">
    <w:name w:val="页脚 Char"/>
    <w:link w:val="39"/>
    <w:qFormat/>
    <w:locked/>
    <w:uiPriority w:val="99"/>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Char1"/>
    <w:link w:val="19"/>
    <w:qFormat/>
    <w:uiPriority w:val="0"/>
    <w:rPr>
      <w:rFonts w:eastAsia="宋体"/>
      <w:kern w:val="2"/>
      <w:sz w:val="21"/>
      <w:szCs w:val="24"/>
      <w:lang w:val="en-US" w:eastAsia="zh-CN" w:bidi="ar-SA"/>
    </w:rPr>
  </w:style>
  <w:style w:type="character" w:customStyle="1" w:styleId="100">
    <w:name w:val="正文文本 2 Char1"/>
    <w:link w:val="55"/>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08">
    <w:name w:val="正文文本缩进 2 Char1"/>
    <w:link w:val="36"/>
    <w:qFormat/>
    <w:locked/>
    <w:uiPriority w:val="0"/>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Char1"/>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link w:val="314"/>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自定义正文"/>
    <w:basedOn w:val="1"/>
    <w:link w:val="142"/>
    <w:qFormat/>
    <w:uiPriority w:val="0"/>
    <w:pPr>
      <w:spacing w:line="480" w:lineRule="exact"/>
      <w:ind w:firstLine="200" w:firstLineChars="200"/>
      <w:jc w:val="left"/>
    </w:pPr>
    <w:rPr>
      <w:rFonts w:ascii="仿宋_GB2312" w:eastAsia="仿宋_GB2312"/>
      <w:sz w:val="28"/>
    </w:rPr>
  </w:style>
  <w:style w:type="character" w:customStyle="1" w:styleId="142">
    <w:name w:val="自定义正文 Char"/>
    <w:link w:val="141"/>
    <w:qFormat/>
    <w:uiPriority w:val="0"/>
    <w:rPr>
      <w:rFonts w:ascii="仿宋_GB2312" w:eastAsia="仿宋_GB2312"/>
      <w:kern w:val="2"/>
      <w:sz w:val="28"/>
      <w:szCs w:val="24"/>
      <w:lang w:val="en-US" w:eastAsia="zh-CN" w:bidi="ar-SA"/>
    </w:rPr>
  </w:style>
  <w:style w:type="paragraph" w:customStyle="1" w:styleId="14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4">
    <w:name w:val="自定义表格文字"/>
    <w:basedOn w:val="1"/>
    <w:qFormat/>
    <w:uiPriority w:val="0"/>
    <w:pPr>
      <w:spacing w:before="60" w:after="60" w:line="320" w:lineRule="exact"/>
      <w:jc w:val="left"/>
    </w:pPr>
    <w:rPr>
      <w:rFonts w:ascii="宋体" w:eastAsia="楷体_GB2312"/>
    </w:rPr>
  </w:style>
  <w:style w:type="paragraph" w:customStyle="1" w:styleId="145">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6">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文档结构图 Char"/>
    <w:link w:val="18"/>
    <w:qFormat/>
    <w:uiPriority w:val="0"/>
    <w:rPr>
      <w:rFonts w:eastAsia="宋体"/>
      <w:kern w:val="2"/>
      <w:sz w:val="21"/>
      <w:szCs w:val="24"/>
      <w:lang w:val="en-US" w:eastAsia="zh-CN" w:bidi="ar-SA"/>
    </w:rPr>
  </w:style>
  <w:style w:type="character" w:customStyle="1" w:styleId="148">
    <w:name w:val="Char Char12"/>
    <w:qFormat/>
    <w:uiPriority w:val="0"/>
    <w:rPr>
      <w:rFonts w:ascii="宋体" w:hAnsi="Courier New" w:eastAsia="宋体"/>
      <w:kern w:val="2"/>
      <w:sz w:val="21"/>
      <w:lang w:val="en-US" w:eastAsia="zh-CN" w:bidi="ar-SA"/>
    </w:rPr>
  </w:style>
  <w:style w:type="character" w:customStyle="1" w:styleId="149">
    <w:name w:val="H4 Char"/>
    <w:qFormat/>
    <w:uiPriority w:val="0"/>
    <w:rPr>
      <w:rFonts w:ascii="宋体" w:hAnsi="宋体" w:eastAsia="黑体"/>
      <w:b/>
      <w:bCs/>
      <w:color w:val="000000"/>
      <w:spacing w:val="-4"/>
      <w:kern w:val="2"/>
      <w:sz w:val="24"/>
      <w:szCs w:val="30"/>
      <w:lang w:val="en-US" w:eastAsia="zh-CN" w:bidi="ar-SA"/>
    </w:rPr>
  </w:style>
  <w:style w:type="character" w:customStyle="1" w:styleId="150">
    <w:name w:val="H5 Char"/>
    <w:qFormat/>
    <w:uiPriority w:val="0"/>
    <w:rPr>
      <w:rFonts w:ascii="Arial" w:hAnsi="Arial" w:eastAsia="宋体"/>
      <w:sz w:val="24"/>
      <w:lang w:val="en-US" w:eastAsia="zh-CN" w:bidi="ar-SA"/>
    </w:rPr>
  </w:style>
  <w:style w:type="character" w:customStyle="1" w:styleId="151">
    <w:name w:val="Char Char8"/>
    <w:qFormat/>
    <w:uiPriority w:val="0"/>
    <w:rPr>
      <w:rFonts w:ascii="宋体" w:eastAsia="宋体"/>
      <w:kern w:val="2"/>
      <w:sz w:val="28"/>
      <w:lang w:val="en-US" w:eastAsia="zh-CN" w:bidi="ar-SA"/>
    </w:rPr>
  </w:style>
  <w:style w:type="character" w:customStyle="1" w:styleId="152">
    <w:name w:val="Char Char7"/>
    <w:qFormat/>
    <w:uiPriority w:val="0"/>
    <w:rPr>
      <w:rFonts w:eastAsia="仿宋_GB2312"/>
      <w:kern w:val="2"/>
      <w:sz w:val="24"/>
      <w:szCs w:val="24"/>
      <w:lang w:val="en-US" w:eastAsia="zh-CN" w:bidi="ar-SA"/>
    </w:rPr>
  </w:style>
  <w:style w:type="paragraph" w:customStyle="1" w:styleId="153">
    <w:name w:val="表内文字"/>
    <w:basedOn w:val="1"/>
    <w:qFormat/>
    <w:uiPriority w:val="0"/>
    <w:pPr>
      <w:jc w:val="center"/>
    </w:pPr>
    <w:rPr>
      <w:color w:val="FF0000"/>
      <w:kern w:val="0"/>
      <w:sz w:val="24"/>
    </w:rPr>
  </w:style>
  <w:style w:type="character" w:customStyle="1" w:styleId="154">
    <w:name w:val="Char Char3"/>
    <w:qFormat/>
    <w:uiPriority w:val="0"/>
    <w:rPr>
      <w:rFonts w:eastAsia="仿宋_GB2312"/>
      <w:kern w:val="2"/>
      <w:sz w:val="28"/>
      <w:szCs w:val="24"/>
      <w:lang w:val="en-US" w:eastAsia="zh-CN" w:bidi="ar-SA"/>
    </w:rPr>
  </w:style>
  <w:style w:type="paragraph" w:customStyle="1" w:styleId="155">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6">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7">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8">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59">
    <w:name w:val="项目1"/>
    <w:basedOn w:val="1"/>
    <w:qFormat/>
    <w:uiPriority w:val="0"/>
    <w:pPr>
      <w:tabs>
        <w:tab w:val="left" w:pos="840"/>
      </w:tabs>
      <w:spacing w:after="60"/>
      <w:ind w:left="840" w:hanging="420"/>
    </w:pPr>
    <w:rPr>
      <w:rFonts w:ascii="宋体"/>
      <w:spacing w:val="4"/>
      <w:szCs w:val="20"/>
    </w:rPr>
  </w:style>
  <w:style w:type="paragraph" w:customStyle="1" w:styleId="160">
    <w:name w:val="编10号"/>
    <w:basedOn w:val="1"/>
    <w:qFormat/>
    <w:uiPriority w:val="0"/>
    <w:pPr>
      <w:tabs>
        <w:tab w:val="left" w:pos="1620"/>
      </w:tabs>
      <w:ind w:left="1620" w:hanging="360"/>
    </w:pPr>
  </w:style>
  <w:style w:type="paragraph" w:customStyle="1" w:styleId="161">
    <w:name w:val="段"/>
    <w:basedOn w:val="1"/>
    <w:qFormat/>
    <w:uiPriority w:val="0"/>
    <w:pPr>
      <w:ind w:firstLine="425"/>
    </w:pPr>
    <w:rPr>
      <w:rFonts w:ascii="宋体"/>
      <w:szCs w:val="20"/>
    </w:rPr>
  </w:style>
  <w:style w:type="paragraph" w:customStyle="1" w:styleId="162">
    <w:name w:val="Char Char Char Char"/>
    <w:basedOn w:val="1"/>
    <w:qFormat/>
    <w:uiPriority w:val="0"/>
    <w:pPr>
      <w:widowControl/>
      <w:spacing w:after="160" w:line="240" w:lineRule="exact"/>
      <w:jc w:val="left"/>
    </w:pPr>
    <w:rPr>
      <w:kern w:val="0"/>
      <w:sz w:val="24"/>
    </w:rPr>
  </w:style>
  <w:style w:type="paragraph" w:customStyle="1" w:styleId="163">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4">
    <w:name w:val="bulletintext1"/>
    <w:qFormat/>
    <w:uiPriority w:val="0"/>
    <w:rPr>
      <w:rFonts w:hint="eastAsia" w:ascii="宋体" w:hAnsi="宋体" w:eastAsia="宋体"/>
      <w:sz w:val="18"/>
      <w:szCs w:val="18"/>
    </w:rPr>
  </w:style>
  <w:style w:type="paragraph" w:customStyle="1" w:styleId="165">
    <w:name w:val="Char1 Char Char Char Char Char Char"/>
    <w:basedOn w:val="1"/>
    <w:qFormat/>
    <w:uiPriority w:val="0"/>
    <w:rPr>
      <w:rFonts w:ascii="Tahoma" w:hAnsi="Tahoma"/>
      <w:sz w:val="24"/>
      <w:szCs w:val="20"/>
    </w:rPr>
  </w:style>
  <w:style w:type="paragraph" w:customStyle="1" w:styleId="166">
    <w:name w:val="Char Char2 Char Char Char Char"/>
    <w:basedOn w:val="18"/>
    <w:qFormat/>
    <w:uiPriority w:val="0"/>
    <w:rPr>
      <w:rFonts w:ascii="Tahoma" w:hAnsi="Tahoma"/>
      <w:sz w:val="24"/>
    </w:rPr>
  </w:style>
  <w:style w:type="paragraph" w:customStyle="1" w:styleId="167">
    <w:name w:val="Char Char Char"/>
    <w:basedOn w:val="18"/>
    <w:qFormat/>
    <w:uiPriority w:val="0"/>
    <w:rPr>
      <w:rFonts w:ascii="Tahoma" w:hAnsi="Tahoma"/>
      <w:sz w:val="24"/>
    </w:rPr>
  </w:style>
  <w:style w:type="paragraph" w:customStyle="1" w:styleId="168">
    <w:name w:val="正文缩进 New"/>
    <w:basedOn w:val="1"/>
    <w:qFormat/>
    <w:uiPriority w:val="0"/>
    <w:pPr>
      <w:ind w:firstLine="420" w:firstLineChars="200"/>
    </w:pPr>
    <w:rPr>
      <w:szCs w:val="20"/>
    </w:rPr>
  </w:style>
  <w:style w:type="paragraph" w:customStyle="1" w:styleId="169">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0">
    <w:name w:val="tpc_content1"/>
    <w:qFormat/>
    <w:uiPriority w:val="0"/>
    <w:rPr>
      <w:sz w:val="20"/>
      <w:szCs w:val="20"/>
    </w:rPr>
  </w:style>
  <w:style w:type="character" w:customStyle="1" w:styleId="171">
    <w:name w:val="Char Char11"/>
    <w:qFormat/>
    <w:uiPriority w:val="0"/>
    <w:rPr>
      <w:b/>
      <w:kern w:val="44"/>
      <w:sz w:val="44"/>
    </w:rPr>
  </w:style>
  <w:style w:type="character" w:customStyle="1" w:styleId="172">
    <w:name w:val="Char Char10"/>
    <w:qFormat/>
    <w:uiPriority w:val="0"/>
    <w:rPr>
      <w:b/>
      <w:kern w:val="2"/>
      <w:sz w:val="28"/>
      <w:szCs w:val="28"/>
    </w:rPr>
  </w:style>
  <w:style w:type="character" w:customStyle="1" w:styleId="173">
    <w:name w:val="Char Char9"/>
    <w:qFormat/>
    <w:uiPriority w:val="0"/>
    <w:rPr>
      <w:b/>
      <w:kern w:val="2"/>
      <w:sz w:val="24"/>
      <w:szCs w:val="24"/>
    </w:rPr>
  </w:style>
  <w:style w:type="paragraph" w:customStyle="1" w:styleId="174">
    <w:name w:val="Char Char Char 字元 字元"/>
    <w:basedOn w:val="1"/>
    <w:qFormat/>
    <w:uiPriority w:val="0"/>
    <w:pPr>
      <w:spacing w:line="360" w:lineRule="auto"/>
      <w:ind w:firstLine="200" w:firstLineChars="200"/>
    </w:pPr>
    <w:rPr>
      <w:szCs w:val="20"/>
    </w:rPr>
  </w:style>
  <w:style w:type="paragraph" w:customStyle="1" w:styleId="175">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6">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7">
    <w:name w:val="style11"/>
    <w:qFormat/>
    <w:uiPriority w:val="0"/>
    <w:rPr>
      <w:b/>
      <w:bCs/>
      <w:color w:val="FF0000"/>
    </w:rPr>
  </w:style>
  <w:style w:type="character" w:customStyle="1" w:styleId="178">
    <w:name w:val="info"/>
    <w:basedOn w:val="70"/>
    <w:qFormat/>
    <w:uiPriority w:val="0"/>
  </w:style>
  <w:style w:type="paragraph" w:customStyle="1" w:styleId="179">
    <w:name w:val="样式 正文缩进 + 首行缩进:  2 字符"/>
    <w:basedOn w:val="3"/>
    <w:link w:val="180"/>
    <w:qFormat/>
    <w:uiPriority w:val="0"/>
    <w:pPr>
      <w:spacing w:line="360" w:lineRule="auto"/>
      <w:ind w:firstLine="480"/>
    </w:pPr>
    <w:rPr>
      <w:rFonts w:ascii="宋体" w:hAnsi="宋体"/>
      <w:color w:val="000000"/>
      <w:kern w:val="0"/>
      <w:sz w:val="24"/>
      <w:szCs w:val="20"/>
    </w:rPr>
  </w:style>
  <w:style w:type="character" w:customStyle="1" w:styleId="180">
    <w:name w:val="样式 正文缩进 + 首行缩进:  2 字符 Char"/>
    <w:link w:val="179"/>
    <w:qFormat/>
    <w:locked/>
    <w:uiPriority w:val="0"/>
    <w:rPr>
      <w:rFonts w:ascii="宋体" w:hAnsi="宋体" w:eastAsia="宋体"/>
      <w:color w:val="000000"/>
      <w:sz w:val="24"/>
      <w:lang w:bidi="ar-SA"/>
    </w:rPr>
  </w:style>
  <w:style w:type="paragraph" w:customStyle="1" w:styleId="181">
    <w:name w:val="正文2"/>
    <w:basedOn w:val="1"/>
    <w:link w:val="182"/>
    <w:qFormat/>
    <w:uiPriority w:val="0"/>
    <w:pPr>
      <w:spacing w:before="156" w:line="360" w:lineRule="auto"/>
      <w:ind w:firstLine="510" w:firstLineChars="200"/>
    </w:pPr>
    <w:rPr>
      <w:sz w:val="24"/>
      <w:szCs w:val="20"/>
    </w:rPr>
  </w:style>
  <w:style w:type="character" w:customStyle="1" w:styleId="182">
    <w:name w:val="正文2 Char"/>
    <w:link w:val="181"/>
    <w:qFormat/>
    <w:uiPriority w:val="0"/>
    <w:rPr>
      <w:rFonts w:eastAsia="宋体"/>
      <w:kern w:val="2"/>
      <w:sz w:val="24"/>
      <w:lang w:val="en-US" w:eastAsia="zh-CN" w:bidi="ar-SA"/>
    </w:rPr>
  </w:style>
  <w:style w:type="paragraph" w:customStyle="1" w:styleId="183">
    <w:name w:val="p0"/>
    <w:basedOn w:val="1"/>
    <w:qFormat/>
    <w:uiPriority w:val="0"/>
    <w:pPr>
      <w:widowControl/>
    </w:pPr>
    <w:rPr>
      <w:kern w:val="0"/>
      <w:szCs w:val="21"/>
    </w:rPr>
  </w:style>
  <w:style w:type="character" w:customStyle="1" w:styleId="184">
    <w:name w:val="param-name"/>
    <w:basedOn w:val="70"/>
    <w:qFormat/>
    <w:uiPriority w:val="0"/>
  </w:style>
  <w:style w:type="character" w:customStyle="1" w:styleId="185">
    <w:name w:val="日期 Char"/>
    <w:qFormat/>
    <w:uiPriority w:val="0"/>
    <w:rPr>
      <w:rFonts w:ascii="楷体_GB2312" w:eastAsia="楷体_GB2312"/>
      <w:b/>
      <w:kern w:val="2"/>
      <w:sz w:val="28"/>
      <w:lang w:val="en-US" w:eastAsia="zh-CN" w:bidi="ar-SA"/>
    </w:rPr>
  </w:style>
  <w:style w:type="character" w:customStyle="1" w:styleId="186">
    <w:name w:val="标题 4 Char"/>
    <w:qFormat/>
    <w:uiPriority w:val="0"/>
    <w:rPr>
      <w:rFonts w:ascii="Arial" w:hAnsi="Arial" w:eastAsia="黑体"/>
      <w:b/>
      <w:kern w:val="2"/>
      <w:sz w:val="28"/>
      <w:lang w:val="en-US" w:eastAsia="zh-CN" w:bidi="ar-SA"/>
    </w:rPr>
  </w:style>
  <w:style w:type="character" w:customStyle="1" w:styleId="187">
    <w:name w:val="标题 6 Char"/>
    <w:qFormat/>
    <w:uiPriority w:val="0"/>
    <w:rPr>
      <w:rFonts w:ascii="宋体" w:hAnsi="Arial" w:eastAsia="宋体"/>
      <w:sz w:val="24"/>
      <w:lang w:val="en-US" w:eastAsia="zh-CN" w:bidi="ar-SA"/>
    </w:rPr>
  </w:style>
  <w:style w:type="character" w:customStyle="1" w:styleId="188">
    <w:name w:val="标题 8 Char"/>
    <w:qFormat/>
    <w:uiPriority w:val="0"/>
    <w:rPr>
      <w:rFonts w:ascii="Arial" w:hAnsi="Arial" w:eastAsia="黑体"/>
      <w:sz w:val="24"/>
      <w:lang w:val="en-US" w:eastAsia="zh-CN" w:bidi="ar-SA"/>
    </w:rPr>
  </w:style>
  <w:style w:type="character" w:customStyle="1" w:styleId="189">
    <w:name w:val="标题 9 Char"/>
    <w:qFormat/>
    <w:uiPriority w:val="0"/>
    <w:rPr>
      <w:rFonts w:ascii="Arial" w:hAnsi="Arial" w:eastAsia="黑体"/>
      <w:sz w:val="24"/>
      <w:lang w:val="en-US" w:eastAsia="zh-CN" w:bidi="ar-SA"/>
    </w:rPr>
  </w:style>
  <w:style w:type="character" w:customStyle="1" w:styleId="190">
    <w:name w:val="标题 5 Char"/>
    <w:qFormat/>
    <w:uiPriority w:val="0"/>
    <w:rPr>
      <w:rFonts w:eastAsia="宋体"/>
      <w:sz w:val="24"/>
      <w:lang w:val="en-US" w:eastAsia="zh-CN" w:bidi="ar-SA"/>
    </w:rPr>
  </w:style>
  <w:style w:type="character" w:customStyle="1" w:styleId="191">
    <w:name w:val="正文文本 Char"/>
    <w:qFormat/>
    <w:locked/>
    <w:uiPriority w:val="0"/>
    <w:rPr>
      <w:rFonts w:eastAsia="仿宋_GB2312"/>
      <w:kern w:val="2"/>
      <w:sz w:val="28"/>
      <w:szCs w:val="24"/>
      <w:lang w:val="en-US" w:eastAsia="zh-CN" w:bidi="ar-SA"/>
    </w:rPr>
  </w:style>
  <w:style w:type="character" w:customStyle="1" w:styleId="192">
    <w:name w:val="正文文本缩进 2 Char"/>
    <w:qFormat/>
    <w:locked/>
    <w:uiPriority w:val="0"/>
    <w:rPr>
      <w:rFonts w:eastAsia="宋体"/>
      <w:kern w:val="2"/>
      <w:sz w:val="21"/>
      <w:szCs w:val="24"/>
      <w:lang w:val="en-US" w:eastAsia="zh-CN" w:bidi="ar-SA"/>
    </w:rPr>
  </w:style>
  <w:style w:type="character" w:customStyle="1" w:styleId="193">
    <w:name w:val="正文文本 2 Char"/>
    <w:qFormat/>
    <w:uiPriority w:val="0"/>
    <w:rPr>
      <w:rFonts w:ascii="隶书" w:eastAsia="隶书"/>
      <w:bCs/>
      <w:sz w:val="72"/>
      <w:szCs w:val="84"/>
      <w:lang w:val="en-US" w:eastAsia="zh-CN" w:bidi="ar-SA"/>
    </w:rPr>
  </w:style>
  <w:style w:type="character" w:customStyle="1" w:styleId="194">
    <w:name w:val="标题 7 Char"/>
    <w:qFormat/>
    <w:uiPriority w:val="0"/>
    <w:rPr>
      <w:rFonts w:ascii="宋体" w:hAnsi="Arial" w:eastAsia="宋体"/>
      <w:b/>
      <w:sz w:val="24"/>
      <w:lang w:val="en-US" w:eastAsia="zh-CN" w:bidi="ar-SA"/>
    </w:rPr>
  </w:style>
  <w:style w:type="character" w:customStyle="1" w:styleId="195">
    <w:name w:val="页眉 Char"/>
    <w:qFormat/>
    <w:uiPriority w:val="99"/>
    <w:rPr>
      <w:rFonts w:eastAsia="宋体"/>
      <w:kern w:val="2"/>
      <w:sz w:val="18"/>
      <w:szCs w:val="18"/>
      <w:lang w:val="en-US" w:eastAsia="zh-CN" w:bidi="ar-SA"/>
    </w:rPr>
  </w:style>
  <w:style w:type="character" w:customStyle="1" w:styleId="196">
    <w:name w:val="批注文字 Char"/>
    <w:qFormat/>
    <w:uiPriority w:val="0"/>
    <w:rPr>
      <w:rFonts w:eastAsia="宋体"/>
      <w:kern w:val="2"/>
      <w:sz w:val="21"/>
      <w:szCs w:val="24"/>
      <w:lang w:val="en-US" w:eastAsia="zh-CN" w:bidi="ar-SA"/>
    </w:rPr>
  </w:style>
  <w:style w:type="character" w:customStyle="1" w:styleId="197">
    <w:name w:val="汇视源正文 Char"/>
    <w:link w:val="198"/>
    <w:qFormat/>
    <w:uiPriority w:val="0"/>
    <w:rPr>
      <w:rFonts w:cs="宋体"/>
      <w:kern w:val="2"/>
      <w:sz w:val="24"/>
      <w:lang w:val="en-US" w:eastAsia="zh-CN" w:bidi="ar-SA"/>
    </w:rPr>
  </w:style>
  <w:style w:type="paragraph" w:customStyle="1" w:styleId="198">
    <w:name w:val="汇视源正文"/>
    <w:link w:val="197"/>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99">
    <w:name w:val="样式 列表编号 + 段后: 0.5 行"/>
    <w:basedOn w:val="15"/>
    <w:qFormat/>
    <w:uiPriority w:val="0"/>
    <w:pPr>
      <w:tabs>
        <w:tab w:val="left" w:pos="840"/>
      </w:tabs>
      <w:spacing w:afterLines="0"/>
      <w:ind w:left="425" w:hanging="425"/>
    </w:pPr>
    <w:rPr>
      <w:rFonts w:cs="宋体"/>
    </w:rPr>
  </w:style>
  <w:style w:type="paragraph" w:customStyle="1" w:styleId="200">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1">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2">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3">
    <w:name w:val="Date Char"/>
    <w:qFormat/>
    <w:locked/>
    <w:uiPriority w:val="0"/>
    <w:rPr>
      <w:rFonts w:ascii="宋体"/>
      <w:sz w:val="21"/>
      <w:lang w:val="zh-CN"/>
    </w:rPr>
  </w:style>
  <w:style w:type="character" w:customStyle="1" w:styleId="204">
    <w:name w:val="Normal Indent Char"/>
    <w:qFormat/>
    <w:locked/>
    <w:uiPriority w:val="0"/>
    <w:rPr>
      <w:rFonts w:ascii="宋体" w:eastAsia="宋体"/>
      <w:snapToGrid w:val="0"/>
      <w:color w:val="000000"/>
      <w:kern w:val="28"/>
      <w:sz w:val="28"/>
    </w:rPr>
  </w:style>
  <w:style w:type="character" w:customStyle="1" w:styleId="205">
    <w:name w:val="Plain Text Char"/>
    <w:qFormat/>
    <w:locked/>
    <w:uiPriority w:val="0"/>
    <w:rPr>
      <w:rFonts w:ascii="宋体" w:hAnsi="Courier New" w:eastAsia="宋体"/>
      <w:snapToGrid w:val="0"/>
      <w:sz w:val="21"/>
    </w:rPr>
  </w:style>
  <w:style w:type="character" w:customStyle="1" w:styleId="206">
    <w:name w:val="日期 Char1"/>
    <w:qFormat/>
    <w:uiPriority w:val="0"/>
    <w:rPr>
      <w:rFonts w:ascii="Times New Roman" w:hAnsi="Times New Roman" w:eastAsia="宋体" w:cs="Times New Roman"/>
      <w:sz w:val="24"/>
      <w:szCs w:val="24"/>
    </w:rPr>
  </w:style>
  <w:style w:type="character" w:customStyle="1" w:styleId="207">
    <w:name w:val="纯文本 Char1"/>
    <w:link w:val="208"/>
    <w:qFormat/>
    <w:uiPriority w:val="0"/>
    <w:rPr>
      <w:rFonts w:ascii="宋体" w:hAnsi="Courier New" w:eastAsia="宋体" w:cs="Courier New"/>
      <w:sz w:val="21"/>
      <w:szCs w:val="21"/>
    </w:rPr>
  </w:style>
  <w:style w:type="paragraph" w:customStyle="1" w:styleId="208">
    <w:name w:val="纯文本1"/>
    <w:basedOn w:val="1"/>
    <w:link w:val="207"/>
    <w:qFormat/>
    <w:uiPriority w:val="0"/>
    <w:rPr>
      <w:rFonts w:ascii="宋体" w:hAnsi="Courier New" w:cs="Courier New"/>
      <w:kern w:val="0"/>
      <w:szCs w:val="21"/>
    </w:rPr>
  </w:style>
  <w:style w:type="paragraph" w:customStyle="1" w:styleId="20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0">
    <w:name w:val="列出段落112"/>
    <w:basedOn w:val="1"/>
    <w:link w:val="234"/>
    <w:qFormat/>
    <w:uiPriority w:val="0"/>
    <w:pPr>
      <w:adjustRightInd w:val="0"/>
      <w:spacing w:line="360" w:lineRule="auto"/>
      <w:ind w:firstLine="200" w:firstLineChars="200"/>
    </w:pPr>
    <w:rPr>
      <w:rFonts w:eastAsia="楷体_GB2312" w:cs="Lucida Sans"/>
      <w:sz w:val="24"/>
    </w:rPr>
  </w:style>
  <w:style w:type="paragraph" w:customStyle="1" w:styleId="211">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2">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3">
    <w:name w:val="Header Char"/>
    <w:qFormat/>
    <w:locked/>
    <w:uiPriority w:val="0"/>
    <w:rPr>
      <w:rFonts w:ascii="Times New Roman" w:hAnsi="Times New Roman" w:eastAsia="宋体" w:cs="Times New Roman"/>
      <w:sz w:val="18"/>
      <w:szCs w:val="18"/>
    </w:rPr>
  </w:style>
  <w:style w:type="paragraph" w:customStyle="1" w:styleId="21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5">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6">
    <w:name w:val="Comment Text Char"/>
    <w:qFormat/>
    <w:locked/>
    <w:uiPriority w:val="0"/>
    <w:rPr>
      <w:rFonts w:ascii="Times New Roman" w:hAnsi="Times New Roman" w:eastAsia="宋体" w:cs="Times New Roman"/>
      <w:kern w:val="0"/>
      <w:sz w:val="24"/>
      <w:szCs w:val="24"/>
      <w:lang w:val="zh-CN" w:eastAsia="zh-CN"/>
    </w:rPr>
  </w:style>
  <w:style w:type="paragraph" w:customStyle="1" w:styleId="217">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8">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19">
    <w:name w:val="Char Char Char Char1"/>
    <w:basedOn w:val="1"/>
    <w:qFormat/>
    <w:uiPriority w:val="0"/>
    <w:rPr>
      <w:rFonts w:ascii="Tahoma" w:hAnsi="Tahoma"/>
      <w:sz w:val="24"/>
      <w:szCs w:val="20"/>
    </w:rPr>
  </w:style>
  <w:style w:type="paragraph" w:customStyle="1" w:styleId="220">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2">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3">
    <w:name w:val="正文2 Char Char"/>
    <w:qFormat/>
    <w:uiPriority w:val="0"/>
    <w:rPr>
      <w:kern w:val="2"/>
      <w:sz w:val="24"/>
    </w:rPr>
  </w:style>
  <w:style w:type="character" w:customStyle="1" w:styleId="224">
    <w:name w:val="普通文字 Char Char3"/>
    <w:qFormat/>
    <w:uiPriority w:val="0"/>
    <w:rPr>
      <w:rFonts w:ascii="宋体" w:hAnsi="Courier New"/>
      <w:kern w:val="2"/>
      <w:sz w:val="24"/>
      <w:szCs w:val="24"/>
    </w:rPr>
  </w:style>
  <w:style w:type="character" w:customStyle="1" w:styleId="225">
    <w:name w:val="特点 Char2"/>
    <w:qFormat/>
    <w:uiPriority w:val="0"/>
    <w:rPr>
      <w:rFonts w:ascii="Times New Roman" w:hAnsi="Times New Roman" w:eastAsia="宋体" w:cs="Times New Roman"/>
      <w:szCs w:val="24"/>
    </w:rPr>
  </w:style>
  <w:style w:type="character" w:customStyle="1" w:styleId="226">
    <w:name w:val="批注框文本 Char"/>
    <w:basedOn w:val="70"/>
    <w:link w:val="38"/>
    <w:qFormat/>
    <w:uiPriority w:val="0"/>
    <w:rPr>
      <w:kern w:val="2"/>
      <w:sz w:val="18"/>
      <w:szCs w:val="18"/>
    </w:rPr>
  </w:style>
  <w:style w:type="character" w:customStyle="1" w:styleId="227">
    <w:name w:val="正文文本缩进 3 Char"/>
    <w:basedOn w:val="70"/>
    <w:link w:val="52"/>
    <w:qFormat/>
    <w:uiPriority w:val="0"/>
    <w:rPr>
      <w:kern w:val="2"/>
      <w:sz w:val="16"/>
      <w:szCs w:val="16"/>
    </w:rPr>
  </w:style>
  <w:style w:type="character" w:customStyle="1" w:styleId="228">
    <w:name w:val="HTML 预设格式 Char"/>
    <w:basedOn w:val="70"/>
    <w:link w:val="57"/>
    <w:qFormat/>
    <w:uiPriority w:val="0"/>
    <w:rPr>
      <w:rFonts w:ascii="黑体" w:hAnsi="Courier New" w:eastAsia="黑体" w:cs="Courier New"/>
    </w:rPr>
  </w:style>
  <w:style w:type="character" w:customStyle="1" w:styleId="229">
    <w:name w:val="批注主题 Char"/>
    <w:basedOn w:val="196"/>
    <w:link w:val="60"/>
    <w:qFormat/>
    <w:uiPriority w:val="0"/>
    <w:rPr>
      <w:rFonts w:eastAsia="宋体"/>
      <w:b/>
      <w:bCs/>
      <w:kern w:val="2"/>
      <w:sz w:val="24"/>
      <w:szCs w:val="24"/>
      <w:lang w:val="en-US" w:eastAsia="zh-CN" w:bidi="ar-SA"/>
    </w:rPr>
  </w:style>
  <w:style w:type="character" w:customStyle="1" w:styleId="230">
    <w:name w:val="正文首行缩进 Char"/>
    <w:basedOn w:val="191"/>
    <w:link w:val="61"/>
    <w:qFormat/>
    <w:uiPriority w:val="0"/>
    <w:rPr>
      <w:rFonts w:eastAsia="仿宋_GB2312"/>
      <w:kern w:val="2"/>
      <w:sz w:val="21"/>
      <w:szCs w:val="24"/>
      <w:lang w:val="en-US" w:eastAsia="zh-CN" w:bidi="ar-SA"/>
    </w:rPr>
  </w:style>
  <w:style w:type="character" w:customStyle="1" w:styleId="231">
    <w:name w:val="正文首行缩进 2 Char"/>
    <w:basedOn w:val="93"/>
    <w:link w:val="62"/>
    <w:qFormat/>
    <w:uiPriority w:val="0"/>
    <w:rPr>
      <w:rFonts w:eastAsia="宋体"/>
      <w:kern w:val="2"/>
      <w:sz w:val="21"/>
      <w:szCs w:val="24"/>
      <w:lang w:val="en-US" w:eastAsia="zh-CN" w:bidi="ar-SA"/>
    </w:rPr>
  </w:style>
  <w:style w:type="paragraph" w:customStyle="1" w:styleId="232">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3">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4">
    <w:name w:val="列出段落 Char"/>
    <w:link w:val="210"/>
    <w:qFormat/>
    <w:uiPriority w:val="0"/>
    <w:rPr>
      <w:rFonts w:eastAsia="楷体_GB2312" w:cs="Lucida Sans"/>
      <w:kern w:val="2"/>
      <w:sz w:val="24"/>
      <w:szCs w:val="24"/>
    </w:rPr>
  </w:style>
  <w:style w:type="paragraph" w:customStyle="1" w:styleId="235">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6">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7">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8">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39">
    <w:name w:val="正文缩进2格"/>
    <w:basedOn w:val="1"/>
    <w:link w:val="240"/>
    <w:qFormat/>
    <w:uiPriority w:val="0"/>
    <w:pPr>
      <w:spacing w:line="600" w:lineRule="exact"/>
      <w:ind w:firstLine="639" w:firstLineChars="206"/>
    </w:pPr>
    <w:rPr>
      <w:rFonts w:ascii="仿宋_GB2312" w:hAnsi="宋体" w:eastAsia="仿宋_GB2312"/>
      <w:kern w:val="0"/>
      <w:sz w:val="31"/>
      <w:szCs w:val="20"/>
    </w:rPr>
  </w:style>
  <w:style w:type="character" w:customStyle="1" w:styleId="240">
    <w:name w:val="正文缩进2格 Char"/>
    <w:link w:val="239"/>
    <w:qFormat/>
    <w:uiPriority w:val="0"/>
    <w:rPr>
      <w:rFonts w:ascii="仿宋_GB2312" w:hAnsi="宋体" w:eastAsia="仿宋_GB2312"/>
      <w:sz w:val="31"/>
    </w:rPr>
  </w:style>
  <w:style w:type="paragraph" w:customStyle="1" w:styleId="241">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2">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3">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4">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0">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1">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5">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0">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4">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7">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69">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0">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6">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正文1级"/>
    <w:link w:val="280"/>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0">
    <w:name w:val="正文1级 Char Char"/>
    <w:link w:val="279"/>
    <w:qFormat/>
    <w:uiPriority w:val="0"/>
    <w:rPr>
      <w:bCs/>
      <w:kern w:val="44"/>
      <w:sz w:val="24"/>
      <w:szCs w:val="44"/>
    </w:rPr>
  </w:style>
  <w:style w:type="character" w:customStyle="1" w:styleId="281">
    <w:name w:val="Char Char1"/>
    <w:qFormat/>
    <w:uiPriority w:val="0"/>
    <w:rPr>
      <w:rFonts w:ascii="宋体" w:hAnsi="Courier New" w:eastAsia="宋体"/>
      <w:kern w:val="2"/>
      <w:sz w:val="21"/>
      <w:lang w:val="en-US" w:eastAsia="zh-CN" w:bidi="ar-SA"/>
    </w:rPr>
  </w:style>
  <w:style w:type="paragraph" w:customStyle="1" w:styleId="282">
    <w:name w:val="列出段落2"/>
    <w:basedOn w:val="1"/>
    <w:qFormat/>
    <w:uiPriority w:val="34"/>
    <w:pPr>
      <w:spacing w:line="440" w:lineRule="exact"/>
      <w:ind w:firstLine="420" w:firstLineChars="200"/>
    </w:pPr>
    <w:rPr>
      <w:rFonts w:eastAsia="仿宋_GB2312"/>
      <w:sz w:val="24"/>
    </w:rPr>
  </w:style>
  <w:style w:type="paragraph" w:customStyle="1" w:styleId="283">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4">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5">
    <w:name w:val="列出段落21"/>
    <w:basedOn w:val="1"/>
    <w:qFormat/>
    <w:uiPriority w:val="0"/>
    <w:pPr>
      <w:ind w:firstLine="420" w:firstLineChars="200"/>
    </w:pPr>
    <w:rPr>
      <w:rFonts w:ascii="Calibri" w:hAnsi="Calibri"/>
      <w:szCs w:val="22"/>
    </w:rPr>
  </w:style>
  <w:style w:type="paragraph" w:customStyle="1" w:styleId="286">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7">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8">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89">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_Style 151"/>
    <w:basedOn w:val="1"/>
    <w:qFormat/>
    <w:uiPriority w:val="0"/>
    <w:rPr>
      <w:rFonts w:ascii="Tahoma" w:hAnsi="Tahoma"/>
      <w:sz w:val="24"/>
      <w:szCs w:val="20"/>
    </w:rPr>
  </w:style>
  <w:style w:type="paragraph" w:customStyle="1" w:styleId="292">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3">
    <w:name w:val="font01"/>
    <w:basedOn w:val="70"/>
    <w:qFormat/>
    <w:uiPriority w:val="0"/>
    <w:rPr>
      <w:rFonts w:hint="eastAsia" w:ascii="宋体" w:hAnsi="宋体" w:eastAsia="宋体" w:cs="宋体"/>
      <w:color w:val="000000"/>
      <w:sz w:val="22"/>
      <w:szCs w:val="22"/>
      <w:u w:val="none"/>
    </w:rPr>
  </w:style>
  <w:style w:type="character" w:customStyle="1" w:styleId="294">
    <w:name w:val="font11"/>
    <w:basedOn w:val="70"/>
    <w:qFormat/>
    <w:uiPriority w:val="0"/>
    <w:rPr>
      <w:rFonts w:hint="eastAsia" w:ascii="宋体" w:hAnsi="宋体" w:eastAsia="宋体" w:cs="宋体"/>
      <w:color w:val="FF0000"/>
      <w:sz w:val="22"/>
      <w:szCs w:val="22"/>
      <w:u w:val="none"/>
    </w:rPr>
  </w:style>
  <w:style w:type="character" w:customStyle="1" w:styleId="295">
    <w:name w:val="font41"/>
    <w:basedOn w:val="70"/>
    <w:qFormat/>
    <w:uiPriority w:val="0"/>
    <w:rPr>
      <w:rFonts w:hint="default" w:ascii="等线" w:hAnsi="等线" w:eastAsia="等线" w:cs="等线"/>
      <w:color w:val="FF0000"/>
      <w:sz w:val="22"/>
      <w:szCs w:val="22"/>
      <w:u w:val="none"/>
    </w:rPr>
  </w:style>
  <w:style w:type="character" w:customStyle="1" w:styleId="296">
    <w:name w:val="font21"/>
    <w:basedOn w:val="70"/>
    <w:qFormat/>
    <w:uiPriority w:val="0"/>
    <w:rPr>
      <w:rFonts w:hint="default" w:ascii="等线" w:hAnsi="等线" w:eastAsia="等线" w:cs="等线"/>
      <w:color w:val="000000"/>
      <w:sz w:val="22"/>
      <w:szCs w:val="22"/>
      <w:u w:val="none"/>
    </w:rPr>
  </w:style>
  <w:style w:type="character" w:customStyle="1" w:styleId="297">
    <w:name w:val="font51"/>
    <w:basedOn w:val="70"/>
    <w:qFormat/>
    <w:uiPriority w:val="0"/>
    <w:rPr>
      <w:rFonts w:hint="default" w:ascii="等线" w:hAnsi="等线" w:eastAsia="等线" w:cs="等线"/>
      <w:color w:val="FF0000"/>
      <w:sz w:val="22"/>
      <w:szCs w:val="22"/>
      <w:u w:val="none"/>
    </w:rPr>
  </w:style>
  <w:style w:type="character" w:customStyle="1" w:styleId="298">
    <w:name w:val="font61"/>
    <w:basedOn w:val="70"/>
    <w:qFormat/>
    <w:uiPriority w:val="0"/>
    <w:rPr>
      <w:rFonts w:hint="default" w:ascii="等线" w:hAnsi="等线" w:eastAsia="等线" w:cs="等线"/>
      <w:color w:val="000000"/>
      <w:sz w:val="22"/>
      <w:szCs w:val="22"/>
      <w:u w:val="none"/>
    </w:rPr>
  </w:style>
  <w:style w:type="paragraph" w:customStyle="1" w:styleId="299">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4">
    <w:name w:val="未处理的提及1"/>
    <w:basedOn w:val="70"/>
    <w:unhideWhenUsed/>
    <w:qFormat/>
    <w:uiPriority w:val="99"/>
    <w:rPr>
      <w:color w:val="605E5C"/>
      <w:shd w:val="clear" w:color="auto" w:fill="E1DFDD"/>
    </w:rPr>
  </w:style>
  <w:style w:type="paragraph" w:customStyle="1" w:styleId="305">
    <w:name w:val="p15"/>
    <w:basedOn w:val="1"/>
    <w:qFormat/>
    <w:uiPriority w:val="0"/>
    <w:pPr>
      <w:widowControl/>
      <w:adjustRightInd w:val="0"/>
    </w:pPr>
    <w:rPr>
      <w:rFonts w:ascii="宋体" w:hAnsi="宋体" w:cs="宋体"/>
      <w:kern w:val="0"/>
      <w:sz w:val="20"/>
      <w:szCs w:val="20"/>
    </w:rPr>
  </w:style>
  <w:style w:type="character" w:customStyle="1" w:styleId="306">
    <w:name w:val="bookmark-item"/>
    <w:basedOn w:val="70"/>
    <w:qFormat/>
    <w:uiPriority w:val="0"/>
  </w:style>
  <w:style w:type="paragraph" w:customStyle="1" w:styleId="307">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8">
    <w:name w:val="题注 Char"/>
    <w:link w:val="16"/>
    <w:qFormat/>
    <w:uiPriority w:val="0"/>
    <w:rPr>
      <w:rFonts w:ascii="Calibri" w:hAnsi="Calibri"/>
      <w:kern w:val="2"/>
    </w:rPr>
  </w:style>
  <w:style w:type="paragraph" w:customStyle="1" w:styleId="309">
    <w:name w:val="索引 11"/>
    <w:basedOn w:val="1"/>
    <w:next w:val="1"/>
    <w:qFormat/>
    <w:uiPriority w:val="99"/>
    <w:pPr>
      <w:spacing w:line="360" w:lineRule="auto"/>
    </w:pPr>
    <w:rPr>
      <w:rFonts w:ascii="仿宋_GB2312" w:eastAsia="仿宋_GB2312"/>
      <w:sz w:val="24"/>
      <w:szCs w:val="20"/>
    </w:rPr>
  </w:style>
  <w:style w:type="paragraph" w:customStyle="1" w:styleId="310">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1">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2">
    <w:name w:val="页脚 Char2"/>
    <w:qFormat/>
    <w:locked/>
    <w:uiPriority w:val="99"/>
    <w:rPr>
      <w:kern w:val="2"/>
      <w:sz w:val="18"/>
      <w:szCs w:val="18"/>
    </w:rPr>
  </w:style>
  <w:style w:type="character" w:customStyle="1" w:styleId="313">
    <w:name w:val="页眉 Char2"/>
    <w:qFormat/>
    <w:uiPriority w:val="99"/>
    <w:rPr>
      <w:kern w:val="2"/>
      <w:sz w:val="18"/>
      <w:szCs w:val="18"/>
    </w:rPr>
  </w:style>
  <w:style w:type="character" w:customStyle="1" w:styleId="314">
    <w:name w:val="Default Char"/>
    <w:link w:val="140"/>
    <w:qFormat/>
    <w:uiPriority w:val="0"/>
    <w:rPr>
      <w:color w:val="000000"/>
      <w:sz w:val="24"/>
      <w:szCs w:val="24"/>
    </w:rPr>
  </w:style>
  <w:style w:type="paragraph" w:customStyle="1" w:styleId="31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5"/>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5"/>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5"/>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5"/>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1"/>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5"/>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3"/>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4"/>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5"/>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3"/>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5"/>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5"/>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4"/>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5"/>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5"/>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2"/>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1"/>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1"/>
    <w:qFormat/>
    <w:uiPriority w:val="0"/>
    <w:pPr>
      <w:tabs>
        <w:tab w:val="left" w:pos="1260"/>
        <w:tab w:val="left" w:pos="1680"/>
        <w:tab w:val="left" w:pos="2100"/>
      </w:tabs>
      <w:ind w:left="0"/>
      <w:outlineLvl w:val="3"/>
    </w:pPr>
  </w:style>
  <w:style w:type="paragraph" w:customStyle="1" w:styleId="785">
    <w:name w:val="一级条标题"/>
    <w:basedOn w:val="786"/>
    <w:next w:val="161"/>
    <w:qFormat/>
    <w:uiPriority w:val="0"/>
    <w:pPr>
      <w:tabs>
        <w:tab w:val="left" w:pos="1260"/>
        <w:tab w:val="left" w:pos="1680"/>
      </w:tabs>
      <w:ind w:left="1680"/>
      <w:outlineLvl w:val="2"/>
    </w:pPr>
  </w:style>
  <w:style w:type="paragraph" w:customStyle="1" w:styleId="786">
    <w:name w:val="章标题"/>
    <w:next w:val="16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5"/>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4"/>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4"/>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5"/>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3"/>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4"/>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1"/>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1"/>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4"/>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5"/>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Pages>
  <Words>7960</Words>
  <Characters>45378</Characters>
  <Lines>378</Lines>
  <Paragraphs>106</Paragraphs>
  <TotalTime>0</TotalTime>
  <ScaleCrop>false</ScaleCrop>
  <LinksUpToDate>false</LinksUpToDate>
  <CharactersWithSpaces>53232</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2023-07-29T04:15:00Z</dcterms:created>
  <dc:creator>USER</dc:creator>
  <cp:lastModifiedBy>amin</cp:lastModifiedBy>
  <cp:lastPrinted>2023-07-27T03:40:00Z</cp:lastPrinted>
  <dcterms:modified xsi:type="dcterms:W3CDTF">2024-12-02T00:44:46Z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