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仿宋_GB2312" w:hAnsi="仿宋_GB2312" w:eastAsia="仿宋_GB2312" w:cs="仿宋_GB2312"/>
          <w:b/>
          <w:color w:val="auto"/>
          <w:spacing w:val="-12"/>
          <w:sz w:val="48"/>
          <w:szCs w:val="48"/>
          <w:highlight w:val="none"/>
          <w:lang w:eastAsia="zh-CN"/>
        </w:rPr>
      </w:pPr>
      <w:r>
        <w:rPr>
          <w:rFonts w:hint="eastAsia" w:ascii="仿宋_GB2312" w:hAnsi="仿宋_GB2312" w:eastAsia="仿宋_GB2312" w:cs="仿宋_GB2312"/>
          <w:b/>
          <w:color w:val="auto"/>
          <w:spacing w:val="-12"/>
          <w:sz w:val="48"/>
          <w:szCs w:val="48"/>
          <w:highlight w:val="none"/>
          <w:lang w:eastAsia="zh-CN"/>
        </w:rPr>
        <w:t>绍兴市人民医院</w:t>
      </w:r>
    </w:p>
    <w:p>
      <w:pPr>
        <w:jc w:val="center"/>
        <w:outlineLvl w:val="0"/>
        <w:rPr>
          <w:rFonts w:hint="eastAsia" w:ascii="仿宋_GB2312" w:hAnsi="仿宋_GB2312" w:eastAsia="仿宋_GB2312" w:cs="仿宋_GB2312"/>
          <w:b/>
          <w:color w:val="auto"/>
          <w:spacing w:val="-12"/>
          <w:sz w:val="48"/>
          <w:szCs w:val="48"/>
          <w:highlight w:val="none"/>
          <w:lang w:eastAsia="zh-CN"/>
        </w:rPr>
      </w:pPr>
      <w:r>
        <w:rPr>
          <w:rFonts w:hint="eastAsia" w:ascii="仿宋_GB2312" w:hAnsi="仿宋_GB2312" w:eastAsia="仿宋_GB2312" w:cs="仿宋_GB2312"/>
          <w:b/>
          <w:color w:val="auto"/>
          <w:spacing w:val="-12"/>
          <w:sz w:val="48"/>
          <w:szCs w:val="48"/>
          <w:highlight w:val="none"/>
          <w:lang w:eastAsia="zh-CN"/>
        </w:rPr>
        <w:t>镜湖总院医技专用计算机采购项目</w:t>
      </w:r>
    </w:p>
    <w:p>
      <w:pPr>
        <w:outlineLvl w:val="0"/>
        <w:rPr>
          <w:rFonts w:hint="eastAsia" w:ascii="仿宋_GB2312" w:hAnsi="仿宋_GB2312" w:eastAsia="仿宋_GB2312" w:cs="仿宋_GB2312"/>
          <w:color w:val="auto"/>
          <w:sz w:val="44"/>
          <w:highlight w:val="none"/>
        </w:rPr>
      </w:pPr>
    </w:p>
    <w:p>
      <w:pPr>
        <w:outlineLvl w:val="0"/>
        <w:rPr>
          <w:rFonts w:hint="eastAsia" w:ascii="仿宋_GB2312" w:hAnsi="仿宋_GB2312" w:eastAsia="仿宋_GB2312" w:cs="仿宋_GB2312"/>
          <w:color w:val="auto"/>
          <w:sz w:val="44"/>
          <w:highlight w:val="none"/>
        </w:rPr>
      </w:pPr>
    </w:p>
    <w:p>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color w:val="auto"/>
          <w:sz w:val="44"/>
          <w:highlight w:val="none"/>
        </w:rPr>
        <w:t>（电子招投标）</w:t>
      </w:r>
    </w:p>
    <w:p>
      <w:pPr>
        <w:jc w:val="center"/>
        <w:outlineLvl w:val="0"/>
        <w:rPr>
          <w:rFonts w:hint="eastAsia" w:ascii="仿宋_GB2312" w:hAnsi="仿宋_GB2312" w:eastAsia="仿宋_GB2312" w:cs="仿宋_GB2312"/>
          <w:color w:val="auto"/>
          <w:sz w:val="44"/>
          <w:highlight w:val="none"/>
        </w:rPr>
      </w:pPr>
    </w:p>
    <w:p>
      <w:pPr>
        <w:jc w:val="center"/>
        <w:outlineLvl w:val="0"/>
        <w:rPr>
          <w:rFonts w:hint="eastAsia" w:ascii="仿宋_GB2312" w:hAnsi="仿宋_GB2312" w:eastAsia="仿宋_GB2312" w:cs="仿宋_GB2312"/>
          <w:color w:val="auto"/>
          <w:sz w:val="44"/>
          <w:highlight w:val="none"/>
        </w:rPr>
      </w:pPr>
    </w:p>
    <w:p>
      <w:pPr>
        <w:jc w:val="center"/>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rPr>
        <w:t>招标编号:</w:t>
      </w:r>
      <w:r>
        <w:rPr>
          <w:rFonts w:hint="eastAsia" w:ascii="仿宋_GB2312" w:hAnsi="仿宋_GB2312" w:eastAsia="仿宋_GB2312" w:cs="仿宋_GB2312"/>
          <w:b/>
          <w:color w:val="auto"/>
          <w:sz w:val="28"/>
          <w:szCs w:val="28"/>
          <w:highlight w:val="none"/>
          <w:lang w:eastAsia="zh-CN"/>
        </w:rPr>
        <w:t>2024-07-0080</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
              </w:rPr>
              <w:t>采购代理机构</w:t>
            </w:r>
            <w:r>
              <w:rPr>
                <w:rFonts w:hint="eastAsia" w:ascii="仿宋_GB2312" w:hAnsi="仿宋_GB2312" w:eastAsia="仿宋_GB2312" w:cs="仿宋_GB2312"/>
                <w:color w:val="auto"/>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2"/>
              </w:rPr>
              <w:t>监督单</w:t>
            </w:r>
            <w:r>
              <w:rPr>
                <w:rFonts w:hint="eastAsia" w:ascii="仿宋_GB2312" w:hAnsi="仿宋_GB2312" w:eastAsia="仿宋_GB2312" w:cs="仿宋_GB2312"/>
                <w:color w:val="auto"/>
                <w:spacing w:val="1"/>
                <w:kern w:val="0"/>
                <w:sz w:val="28"/>
                <w:szCs w:val="28"/>
                <w:highlight w:val="none"/>
                <w:fitText w:val="1680" w:id="2"/>
              </w:rPr>
              <w:t>位</w:t>
            </w:r>
            <w:r>
              <w:rPr>
                <w:rFonts w:hint="eastAsia" w:ascii="仿宋_GB2312" w:hAnsi="仿宋_GB2312" w:eastAsia="仿宋_GB2312" w:cs="仿宋_GB2312"/>
                <w:color w:val="auto"/>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hint="eastAsia" w:ascii="仿宋_GB2312" w:hAnsi="仿宋_GB2312" w:eastAsia="仿宋_GB2312" w:cs="仿宋_GB2312"/>
                <w:color w:val="auto"/>
                <w:sz w:val="28"/>
                <w:szCs w:val="28"/>
                <w:highlight w:val="none"/>
              </w:rPr>
            </w:pPr>
          </w:p>
        </w:tc>
        <w:tc>
          <w:tcPr>
            <w:tcW w:w="5445" w:type="dxa"/>
          </w:tcPr>
          <w:p>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四</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绍兴市人民医院镜湖总院医技专用计算机采购项目</w:t>
                  </w:r>
                  <w:r>
                    <w:rPr>
                      <w:rFonts w:hint="eastAsia" w:ascii="仿宋_GB2312" w:hAnsi="新宋体" w:eastAsia="仿宋_GB2312"/>
                      <w:color w:val="auto"/>
                      <w:szCs w:val="24"/>
                      <w:highlight w:val="none"/>
                    </w:rPr>
                    <w:t>招标项目的潜在投标人应在政采云平台（https://www.zcygov.cn/）获取（下载）招标文件，并于</w:t>
                  </w:r>
                  <w:r>
                    <w:rPr>
                      <w:rFonts w:hint="eastAsia" w:ascii="仿宋_GB2312" w:hAnsi="新宋体" w:eastAsia="仿宋_GB2312"/>
                      <w:color w:val="auto"/>
                      <w:szCs w:val="24"/>
                      <w:highlight w:val="none"/>
                      <w:lang w:val="en-US" w:eastAsia="zh-CN"/>
                    </w:rPr>
                    <w:t>2024</w:t>
                  </w:r>
                  <w:r>
                    <w:rPr>
                      <w:rFonts w:hint="eastAsia" w:ascii="仿宋_GB2312" w:hAnsi="新宋体" w:eastAsia="仿宋_GB2312"/>
                      <w:color w:val="auto"/>
                      <w:szCs w:val="24"/>
                      <w:highlight w:val="none"/>
                    </w:rPr>
                    <w:t>年</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 xml:space="preserve"> 日9点00分00秒（北京时间）前递交（上传）投标文件。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2024-07-0080</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绍兴市人民医院镜湖总院医技专用计算机采购项目</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2705500</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2705500</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镜湖总院医技专用计算机采购项目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color w:val="auto"/>
                <w:szCs w:val="24"/>
                <w:highlight w:val="none"/>
                <w:lang w:val="en-US" w:eastAsia="zh-CN"/>
              </w:rPr>
              <w:t>2705500</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新宋体" w:eastAsia="仿宋_GB2312"/>
                <w:b/>
                <w:color w:val="auto"/>
                <w:szCs w:val="24"/>
                <w:highlight w:val="none"/>
              </w:rPr>
              <w:t>是，</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 xml:space="preserve"> 月 </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 xml:space="preserve"> 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 xml:space="preserve"> 日</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 xml:space="preserve"> 点</w:t>
            </w:r>
            <w:r>
              <w:rPr>
                <w:rFonts w:hint="eastAsia" w:ascii="仿宋_GB2312" w:hAnsi="仿宋" w:eastAsia="仿宋_GB2312" w:cs="仿宋"/>
                <w:color w:val="auto"/>
                <w:sz w:val="24"/>
                <w:highlight w:val="none"/>
                <w:u w:val="single"/>
                <w:lang w:val="en-US" w:eastAsia="zh-CN"/>
              </w:rPr>
              <w:t>00</w:t>
            </w:r>
            <w:r>
              <w:rPr>
                <w:rFonts w:hint="eastAsia" w:ascii="仿宋_GB2312" w:hAnsi="仿宋" w:eastAsia="仿宋_GB2312" w:cs="仿宋"/>
                <w:color w:val="auto"/>
                <w:sz w:val="24"/>
                <w:highlight w:val="none"/>
                <w:u w:val="single"/>
              </w:rPr>
              <w:t xml:space="preserve">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 xml:space="preserve"> 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 xml:space="preserve">日 </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点</w:t>
            </w:r>
            <w:r>
              <w:rPr>
                <w:rFonts w:hint="eastAsia" w:ascii="仿宋_GB2312" w:hAnsi="仿宋" w:eastAsia="仿宋_GB2312" w:cs="仿宋"/>
                <w:color w:val="auto"/>
                <w:sz w:val="24"/>
                <w:highlight w:val="none"/>
                <w:u w:val="single"/>
                <w:lang w:val="en-US" w:eastAsia="zh-CN"/>
              </w:rPr>
              <w:t>00</w:t>
            </w:r>
            <w:r>
              <w:rPr>
                <w:rFonts w:hint="eastAsia" w:ascii="仿宋_GB2312" w:hAnsi="仿宋" w:eastAsia="仿宋_GB2312" w:cs="仿宋"/>
                <w:color w:val="auto"/>
                <w:sz w:val="24"/>
                <w:highlight w:val="none"/>
                <w:u w:val="single"/>
              </w:rPr>
              <w:t xml:space="preserve"> 分00秒</w:t>
            </w:r>
            <w:r>
              <w:rPr>
                <w:rFonts w:hint="eastAsia" w:ascii="仿宋_GB2312" w:hAnsi="仿宋" w:eastAsia="仿宋_GB2312" w:cs="仿宋"/>
                <w:bCs/>
                <w:color w:val="auto"/>
                <w:sz w:val="24"/>
                <w:highlight w:val="none"/>
                <w:u w:val="single"/>
              </w:rPr>
              <w:t xml:space="preserve">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绍兴市人民医院</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地址：绍兴市中兴北路568号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传真：0575-88558842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项目联系人（询问）：钱国良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项目联系方式（询问）：0575-88558842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质疑联系人：马雪峰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质疑联系方式：0575-88558842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w:t>
            </w:r>
            <w:r>
              <w:rPr>
                <w:rFonts w:hint="eastAsia" w:ascii="仿宋_GB2312" w:hAnsi="仿宋" w:eastAsia="仿宋_GB2312" w:cs="仿宋"/>
                <w:color w:val="auto"/>
                <w:sz w:val="24"/>
                <w:highlight w:val="none"/>
              </w:rPr>
              <w:t>A无方案讲解演示。</w:t>
            </w:r>
          </w:p>
          <w:p>
            <w:pPr>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lang w:eastAsia="zh-CN"/>
              </w:rPr>
              <w:t>□</w:t>
            </w:r>
            <w:r>
              <w:rPr>
                <w:rFonts w:hint="eastAsia" w:ascii="仿宋_GB2312" w:hAnsi="仿宋" w:eastAsia="仿宋_GB2312" w:cs="仿宋"/>
                <w:color w:val="auto"/>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15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放射专用显示器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p>
            <w:pPr>
              <w:snapToGrid w:val="0"/>
              <w:spacing w:line="360" w:lineRule="auto"/>
              <w:rPr>
                <w:color w:val="auto"/>
                <w:highlight w:val="none"/>
              </w:rPr>
            </w:pPr>
            <w:r>
              <w:rPr>
                <w:rFonts w:hint="eastAsia" w:ascii="仿宋_GB2312" w:hAnsi="仿宋" w:eastAsia="仿宋_GB2312" w:cs="Arial"/>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870" w:type="dxa"/>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b/>
          <w:color w:val="auto"/>
          <w:sz w:val="36"/>
          <w:szCs w:val="36"/>
          <w:highlight w:val="none"/>
        </w:rPr>
      </w:pPr>
    </w:p>
    <w:p>
      <w:pPr>
        <w:snapToGrid w:val="0"/>
        <w:spacing w:beforeLines="50" w:afterLines="50"/>
        <w:jc w:val="center"/>
        <w:rPr>
          <w:rFonts w:ascii="仿宋_GB2312" w:hAnsi="宋体" w:eastAsia="仿宋_GB2312"/>
          <w:b/>
          <w:color w:val="auto"/>
          <w:sz w:val="36"/>
          <w:szCs w:val="36"/>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776"/>
      <w:bookmarkStart w:id="3" w:name="_Toc81372953"/>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bookmarkStart w:id="4" w:name="_Toc151354173"/>
      <w:bookmarkStart w:id="5" w:name="_Toc80157775"/>
      <w:bookmarkStart w:id="6" w:name="_Toc84325981"/>
      <w:bookmarkStart w:id="7" w:name="_Toc81372787"/>
      <w:bookmarkStart w:id="8" w:name="_Toc81372964"/>
      <w:r>
        <w:rPr>
          <w:rFonts w:hint="eastAsia" w:ascii="仿宋_GB2312" w:hAnsi="新宋体" w:eastAsia="仿宋_GB2312" w:cs="Arial"/>
          <w:b/>
          <w:bCs/>
          <w:color w:val="auto"/>
          <w:sz w:val="24"/>
          <w:highlight w:val="none"/>
          <w:bdr w:val="single" w:color="auto" w:sz="4" w:space="0"/>
        </w:rPr>
        <w:t>01标</w:t>
      </w:r>
      <w:bookmarkStart w:id="9" w:name="_Toc32678"/>
      <w:bookmarkStart w:id="10" w:name="_Toc7206"/>
      <w:r>
        <w:rPr>
          <w:rFonts w:hint="eastAsia" w:ascii="仿宋_GB2312" w:hAnsi="新宋体" w:eastAsia="仿宋_GB2312" w:cs="Arial"/>
          <w:b/>
          <w:bCs/>
          <w:color w:val="auto"/>
          <w:sz w:val="24"/>
          <w:highlight w:val="none"/>
          <w:lang w:eastAsia="zh-CN"/>
        </w:rPr>
        <w:t>镜湖总院医技专用计算机采购项目</w:t>
      </w:r>
    </w:p>
    <w:bookmarkEnd w:id="9"/>
    <w:bookmarkEnd w:id="10"/>
    <w:p>
      <w:pPr>
        <w:numPr>
          <w:ilvl w:val="0"/>
          <w:numId w:val="6"/>
        </w:numPr>
        <w:spacing w:line="560" w:lineRule="exact"/>
        <w:ind w:left="210" w:right="420"/>
        <w:rPr>
          <w:rFonts w:ascii="仿宋_GB2312" w:hAnsi="仿宋" w:eastAsia="仿宋_GB2312" w:cs="Arial"/>
          <w:b/>
          <w:bCs/>
          <w:sz w:val="24"/>
        </w:rPr>
      </w:pPr>
      <w:r>
        <w:rPr>
          <w:rFonts w:hint="eastAsia" w:ascii="仿宋_GB2312" w:hAnsi="仿宋" w:eastAsia="仿宋_GB2312" w:cs="Arial"/>
          <w:b/>
          <w:bCs/>
          <w:sz w:val="24"/>
        </w:rPr>
        <w:t>项目概述</w:t>
      </w:r>
    </w:p>
    <w:p>
      <w:pPr>
        <w:spacing w:line="440" w:lineRule="exact"/>
        <w:ind w:firstLine="480" w:firstLineChars="200"/>
        <w:rPr>
          <w:rFonts w:ascii="仿宋" w:hAnsi="仿宋" w:eastAsia="仿宋" w:cs="仿宋"/>
          <w:sz w:val="24"/>
          <w:szCs w:val="28"/>
        </w:rPr>
      </w:pPr>
      <w:r>
        <w:rPr>
          <w:rFonts w:hint="eastAsia" w:ascii="仿宋" w:hAnsi="仿宋" w:eastAsia="仿宋" w:cs="仿宋"/>
          <w:sz w:val="24"/>
          <w:szCs w:val="28"/>
        </w:rPr>
        <w:t>该项目是由放射科、手术室、超声科和行政科室所需计算机构成，放射专用计算机30套，手术室专用一体机74套，超声专用计算机37套，行政科室使用的计算机和笔记本共66套。</w:t>
      </w:r>
    </w:p>
    <w:p>
      <w:pPr>
        <w:numPr>
          <w:ilvl w:val="0"/>
          <w:numId w:val="6"/>
        </w:numPr>
        <w:spacing w:line="560" w:lineRule="exact"/>
        <w:ind w:left="210" w:right="420"/>
        <w:rPr>
          <w:rFonts w:ascii="仿宋_GB2312" w:hAnsi="仿宋" w:eastAsia="仿宋_GB2312" w:cs="Arial"/>
          <w:b/>
          <w:bCs/>
          <w:sz w:val="24"/>
        </w:rPr>
      </w:pPr>
      <w:r>
        <w:rPr>
          <w:rFonts w:hint="eastAsia" w:ascii="仿宋_GB2312" w:hAnsi="仿宋" w:eastAsia="仿宋_GB2312" w:cs="Arial"/>
          <w:b/>
          <w:bCs/>
          <w:sz w:val="24"/>
        </w:rPr>
        <w:t>设备清单</w:t>
      </w:r>
    </w:p>
    <w:tbl>
      <w:tblPr>
        <w:tblStyle w:val="6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4164"/>
        <w:gridCol w:w="2839"/>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rPr>
                <w:rFonts w:ascii="仿宋_GB2312" w:hAnsi="仿宋" w:eastAsia="仿宋_GB2312"/>
                <w:sz w:val="24"/>
                <w:szCs w:val="24"/>
              </w:rPr>
            </w:pPr>
            <w:r>
              <w:rPr>
                <w:rFonts w:hint="eastAsia" w:ascii="仿宋_GB2312" w:hAnsi="仿宋" w:eastAsia="仿宋_GB2312" w:cs="仿宋_GB2312"/>
                <w:b/>
                <w:bCs/>
                <w:sz w:val="24"/>
                <w:szCs w:val="24"/>
              </w:rPr>
              <w:t>序号</w:t>
            </w:r>
          </w:p>
        </w:tc>
        <w:tc>
          <w:tcPr>
            <w:tcW w:w="2269" w:type="pct"/>
            <w:vAlign w:val="center"/>
          </w:tcPr>
          <w:p>
            <w:pPr>
              <w:rPr>
                <w:rFonts w:ascii="仿宋_GB2312" w:hAnsi="仿宋" w:eastAsia="仿宋_GB2312"/>
                <w:sz w:val="24"/>
                <w:szCs w:val="24"/>
              </w:rPr>
            </w:pPr>
            <w:r>
              <w:rPr>
                <w:rFonts w:hint="eastAsia" w:ascii="仿宋_GB2312" w:hAnsi="仿宋" w:eastAsia="仿宋_GB2312" w:cs="仿宋_GB2312"/>
                <w:b/>
                <w:bCs/>
                <w:sz w:val="24"/>
                <w:szCs w:val="24"/>
              </w:rPr>
              <w:t>项目名称</w:t>
            </w:r>
          </w:p>
        </w:tc>
        <w:tc>
          <w:tcPr>
            <w:tcW w:w="1547" w:type="pct"/>
            <w:vAlign w:val="center"/>
          </w:tcPr>
          <w:p>
            <w:pPr>
              <w:rPr>
                <w:rFonts w:ascii="仿宋_GB2312" w:hAnsi="仿宋" w:eastAsia="仿宋_GB2312"/>
                <w:sz w:val="24"/>
                <w:szCs w:val="24"/>
              </w:rPr>
            </w:pPr>
            <w:r>
              <w:rPr>
                <w:rFonts w:hint="eastAsia" w:ascii="仿宋_GB2312" w:hAnsi="仿宋" w:eastAsia="仿宋_GB2312" w:cs="仿宋_GB2312"/>
                <w:b/>
                <w:bCs/>
                <w:sz w:val="24"/>
                <w:szCs w:val="24"/>
              </w:rPr>
              <w:t>简要技术要求</w:t>
            </w:r>
          </w:p>
        </w:tc>
        <w:tc>
          <w:tcPr>
            <w:tcW w:w="814" w:type="pct"/>
            <w:vAlign w:val="center"/>
          </w:tcPr>
          <w:p>
            <w:pPr>
              <w:rPr>
                <w:rFonts w:ascii="仿宋_GB2312" w:hAnsi="仿宋" w:eastAsia="仿宋_GB2312"/>
                <w:sz w:val="24"/>
                <w:szCs w:val="24"/>
              </w:rPr>
            </w:pPr>
            <w:r>
              <w:rPr>
                <w:rFonts w:hint="eastAsia" w:ascii="仿宋_GB2312" w:hAnsi="仿宋" w:eastAsia="仿宋_GB2312" w:cs="仿宋_GB2312"/>
                <w:b/>
                <w:bCs/>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rPr>
                <w:rFonts w:ascii="仿宋_GB2312" w:hAnsi="仿宋" w:eastAsia="仿宋_GB2312"/>
                <w:sz w:val="24"/>
                <w:szCs w:val="24"/>
              </w:rPr>
            </w:pPr>
            <w:r>
              <w:rPr>
                <w:rFonts w:hint="eastAsia" w:ascii="仿宋_GB2312" w:hAnsi="仿宋" w:eastAsia="仿宋_GB2312" w:cs="仿宋_GB2312"/>
                <w:sz w:val="24"/>
                <w:szCs w:val="24"/>
              </w:rPr>
              <w:t>1</w:t>
            </w:r>
          </w:p>
        </w:tc>
        <w:tc>
          <w:tcPr>
            <w:tcW w:w="2269" w:type="pct"/>
            <w:vAlign w:val="center"/>
          </w:tcPr>
          <w:p>
            <w:pPr>
              <w:jc w:val="left"/>
              <w:rPr>
                <w:rFonts w:ascii="仿宋_GB2312" w:hAnsi="仿宋" w:eastAsia="仿宋_GB2312" w:cs="仿宋_GB2312"/>
                <w:sz w:val="24"/>
                <w:szCs w:val="24"/>
              </w:rPr>
            </w:pPr>
            <w:r>
              <w:rPr>
                <w:rFonts w:hint="eastAsia" w:ascii="仿宋_GB2312" w:hAnsi="仿宋" w:eastAsia="仿宋_GB2312" w:cs="仿宋_GB2312"/>
                <w:sz w:val="24"/>
                <w:szCs w:val="24"/>
              </w:rPr>
              <w:t>放射专用工作站</w:t>
            </w:r>
          </w:p>
        </w:tc>
        <w:tc>
          <w:tcPr>
            <w:tcW w:w="1547" w:type="pct"/>
            <w:vAlign w:val="center"/>
          </w:tcPr>
          <w:p>
            <w:pPr>
              <w:rPr>
                <w:rFonts w:ascii="仿宋_GB2312" w:hAnsi="仿宋" w:eastAsia="仿宋_GB2312"/>
                <w:sz w:val="24"/>
                <w:szCs w:val="24"/>
              </w:rPr>
            </w:pPr>
            <w:r>
              <w:rPr>
                <w:rFonts w:hint="eastAsia" w:ascii="仿宋_GB2312" w:hAnsi="仿宋" w:eastAsia="仿宋_GB2312"/>
                <w:sz w:val="24"/>
                <w:szCs w:val="24"/>
              </w:rPr>
              <w:t>详细技术参数</w:t>
            </w:r>
          </w:p>
        </w:tc>
        <w:tc>
          <w:tcPr>
            <w:tcW w:w="814" w:type="pct"/>
            <w:vAlign w:val="center"/>
          </w:tcPr>
          <w:p>
            <w:pPr>
              <w:rPr>
                <w:rFonts w:ascii="仿宋_GB2312" w:hAnsi="仿宋" w:eastAsia="仿宋_GB2312"/>
                <w:sz w:val="24"/>
                <w:szCs w:val="24"/>
              </w:rPr>
            </w:pPr>
            <w:r>
              <w:rPr>
                <w:rFonts w:hint="eastAsia" w:ascii="仿宋_GB2312" w:hAnsi="仿宋" w:eastAsia="仿宋_GB2312"/>
                <w:sz w:val="24"/>
                <w:szCs w:val="24"/>
              </w:rPr>
              <w:t>30套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tcPr>
          <w:p>
            <w:pPr>
              <w:rPr>
                <w:rFonts w:ascii="仿宋_GB2312" w:hAnsi="仿宋" w:eastAsia="仿宋_GB2312"/>
                <w:sz w:val="24"/>
                <w:szCs w:val="24"/>
              </w:rPr>
            </w:pPr>
            <w:r>
              <w:rPr>
                <w:rFonts w:hint="eastAsia" w:ascii="仿宋_GB2312" w:hAnsi="仿宋" w:eastAsia="仿宋_GB2312"/>
                <w:sz w:val="24"/>
                <w:szCs w:val="24"/>
              </w:rPr>
              <w:t>2</w:t>
            </w:r>
          </w:p>
        </w:tc>
        <w:tc>
          <w:tcPr>
            <w:tcW w:w="22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_GB2312" w:hAnsi="仿宋" w:eastAsia="仿宋_GB2312"/>
                <w:sz w:val="24"/>
                <w:szCs w:val="24"/>
              </w:rPr>
            </w:pPr>
            <w:r>
              <w:rPr>
                <w:rFonts w:hint="eastAsia" w:ascii="仿宋_GB2312" w:hAnsi="仿宋" w:eastAsia="仿宋_GB2312"/>
                <w:color w:val="000000"/>
                <w:sz w:val="24"/>
                <w:szCs w:val="24"/>
              </w:rPr>
              <w:t>放射专用显示器（核心产品）</w:t>
            </w:r>
          </w:p>
        </w:tc>
        <w:tc>
          <w:tcPr>
            <w:tcW w:w="1547" w:type="pct"/>
          </w:tcPr>
          <w:p>
            <w:pPr>
              <w:rPr>
                <w:rFonts w:ascii="仿宋_GB2312" w:hAnsi="仿宋" w:eastAsia="仿宋_GB2312"/>
                <w:sz w:val="24"/>
                <w:szCs w:val="24"/>
              </w:rPr>
            </w:pPr>
            <w:r>
              <w:rPr>
                <w:rFonts w:hint="eastAsia" w:ascii="仿宋_GB2312" w:hAnsi="仿宋" w:eastAsia="仿宋_GB2312" w:cs="仿宋_GB2312"/>
                <w:sz w:val="24"/>
                <w:szCs w:val="24"/>
              </w:rPr>
              <w:t>详见技术</w:t>
            </w:r>
            <w:r>
              <w:rPr>
                <w:rFonts w:hint="eastAsia" w:ascii="仿宋_GB2312" w:hAnsi="仿宋" w:eastAsia="仿宋_GB2312"/>
                <w:sz w:val="24"/>
                <w:szCs w:val="24"/>
              </w:rPr>
              <w:t>参数</w:t>
            </w:r>
          </w:p>
        </w:tc>
        <w:tc>
          <w:tcPr>
            <w:tcW w:w="814" w:type="pct"/>
          </w:tcPr>
          <w:p>
            <w:pPr>
              <w:rPr>
                <w:rFonts w:ascii="仿宋_GB2312" w:hAnsi="仿宋" w:eastAsia="仿宋_GB2312"/>
                <w:sz w:val="24"/>
                <w:szCs w:val="24"/>
              </w:rPr>
            </w:pPr>
            <w:r>
              <w:rPr>
                <w:rFonts w:hint="eastAsia" w:ascii="仿宋_GB2312" w:hAnsi="仿宋" w:eastAsia="仿宋_GB2312"/>
                <w:sz w:val="24"/>
                <w:szCs w:val="24"/>
              </w:rPr>
              <w:t>30台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tcPr>
          <w:p>
            <w:pPr>
              <w:rPr>
                <w:rFonts w:ascii="仿宋_GB2312" w:hAnsi="仿宋" w:eastAsia="仿宋_GB2312"/>
                <w:sz w:val="24"/>
                <w:szCs w:val="24"/>
              </w:rPr>
            </w:pPr>
            <w:r>
              <w:rPr>
                <w:rFonts w:hint="eastAsia" w:ascii="仿宋_GB2312" w:hAnsi="仿宋" w:eastAsia="仿宋_GB2312"/>
                <w:sz w:val="24"/>
                <w:szCs w:val="24"/>
              </w:rPr>
              <w:t>3</w:t>
            </w:r>
          </w:p>
        </w:tc>
        <w:tc>
          <w:tcPr>
            <w:tcW w:w="22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_GB2312" w:hAnsi="仿宋" w:eastAsia="仿宋_GB2312"/>
                <w:sz w:val="24"/>
                <w:szCs w:val="24"/>
              </w:rPr>
            </w:pPr>
            <w:r>
              <w:rPr>
                <w:rFonts w:hint="eastAsia" w:ascii="仿宋_GB2312" w:hAnsi="仿宋" w:eastAsia="仿宋_GB2312"/>
                <w:color w:val="000000"/>
                <w:sz w:val="24"/>
                <w:szCs w:val="24"/>
              </w:rPr>
              <w:t>放射一体机</w:t>
            </w:r>
          </w:p>
        </w:tc>
        <w:tc>
          <w:tcPr>
            <w:tcW w:w="1547" w:type="pct"/>
          </w:tcPr>
          <w:p>
            <w:pPr>
              <w:rPr>
                <w:rFonts w:ascii="仿宋_GB2312" w:hAnsi="仿宋" w:eastAsia="仿宋_GB2312"/>
                <w:sz w:val="24"/>
                <w:szCs w:val="24"/>
              </w:rPr>
            </w:pPr>
            <w:r>
              <w:rPr>
                <w:rFonts w:hint="eastAsia" w:ascii="仿宋_GB2312" w:hAnsi="仿宋" w:eastAsia="仿宋_GB2312" w:cs="仿宋_GB2312"/>
                <w:sz w:val="24"/>
                <w:szCs w:val="24"/>
              </w:rPr>
              <w:t>详见技术</w:t>
            </w:r>
            <w:r>
              <w:rPr>
                <w:rFonts w:hint="eastAsia" w:ascii="仿宋_GB2312" w:hAnsi="仿宋" w:eastAsia="仿宋_GB2312"/>
                <w:sz w:val="24"/>
                <w:szCs w:val="24"/>
              </w:rPr>
              <w:t>参数</w:t>
            </w:r>
          </w:p>
        </w:tc>
        <w:tc>
          <w:tcPr>
            <w:tcW w:w="814" w:type="pct"/>
          </w:tcPr>
          <w:p>
            <w:pPr>
              <w:rPr>
                <w:rFonts w:ascii="仿宋_GB2312" w:hAnsi="仿宋" w:eastAsia="仿宋_GB2312"/>
                <w:sz w:val="24"/>
                <w:szCs w:val="24"/>
              </w:rPr>
            </w:pPr>
            <w:r>
              <w:rPr>
                <w:rFonts w:hint="eastAsia" w:ascii="仿宋_GB2312" w:hAnsi="仿宋" w:eastAsia="仿宋_GB2312"/>
                <w:sz w:val="24"/>
                <w:szCs w:val="24"/>
              </w:rPr>
              <w:t>20套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tcPr>
          <w:p>
            <w:pPr>
              <w:rPr>
                <w:rFonts w:ascii="仿宋_GB2312" w:hAnsi="仿宋" w:eastAsia="仿宋_GB2312"/>
                <w:sz w:val="24"/>
                <w:szCs w:val="24"/>
              </w:rPr>
            </w:pPr>
            <w:r>
              <w:rPr>
                <w:rFonts w:hint="eastAsia" w:ascii="仿宋_GB2312" w:hAnsi="仿宋" w:eastAsia="仿宋_GB2312"/>
                <w:sz w:val="24"/>
                <w:szCs w:val="24"/>
              </w:rPr>
              <w:t>4</w:t>
            </w:r>
          </w:p>
        </w:tc>
        <w:tc>
          <w:tcPr>
            <w:tcW w:w="22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_GB2312" w:hAnsi="仿宋" w:eastAsia="仿宋_GB2312"/>
                <w:color w:val="000000"/>
                <w:sz w:val="24"/>
                <w:szCs w:val="24"/>
              </w:rPr>
            </w:pPr>
            <w:r>
              <w:rPr>
                <w:rFonts w:hint="eastAsia" w:ascii="仿宋_GB2312" w:hAnsi="仿宋" w:eastAsia="仿宋_GB2312"/>
                <w:color w:val="000000"/>
                <w:sz w:val="24"/>
                <w:szCs w:val="24"/>
              </w:rPr>
              <w:t>手术一体机</w:t>
            </w:r>
          </w:p>
        </w:tc>
        <w:tc>
          <w:tcPr>
            <w:tcW w:w="1547" w:type="pct"/>
          </w:tcPr>
          <w:p>
            <w:pPr>
              <w:rPr>
                <w:rFonts w:ascii="仿宋_GB2312" w:hAnsi="仿宋" w:eastAsia="仿宋_GB2312" w:cs="仿宋_GB2312"/>
                <w:sz w:val="24"/>
                <w:szCs w:val="24"/>
              </w:rPr>
            </w:pPr>
            <w:r>
              <w:rPr>
                <w:rFonts w:hint="eastAsia" w:ascii="仿宋_GB2312" w:hAnsi="仿宋" w:eastAsia="仿宋_GB2312" w:cs="仿宋_GB2312"/>
                <w:sz w:val="24"/>
                <w:szCs w:val="24"/>
              </w:rPr>
              <w:t>详见技术</w:t>
            </w:r>
            <w:r>
              <w:rPr>
                <w:rFonts w:hint="eastAsia" w:ascii="仿宋_GB2312" w:hAnsi="仿宋" w:eastAsia="仿宋_GB2312"/>
                <w:sz w:val="24"/>
                <w:szCs w:val="24"/>
              </w:rPr>
              <w:t>参数</w:t>
            </w:r>
          </w:p>
        </w:tc>
        <w:tc>
          <w:tcPr>
            <w:tcW w:w="814" w:type="pct"/>
          </w:tcPr>
          <w:p>
            <w:pPr>
              <w:rPr>
                <w:rFonts w:ascii="仿宋_GB2312" w:hAnsi="仿宋" w:eastAsia="仿宋_GB2312"/>
                <w:sz w:val="24"/>
                <w:szCs w:val="24"/>
              </w:rPr>
            </w:pPr>
            <w:r>
              <w:rPr>
                <w:rFonts w:hint="eastAsia" w:ascii="仿宋_GB2312" w:hAnsi="仿宋" w:eastAsia="仿宋_GB2312"/>
                <w:sz w:val="24"/>
                <w:szCs w:val="24"/>
              </w:rPr>
              <w:t>37套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tcPr>
          <w:p>
            <w:pPr>
              <w:rPr>
                <w:rFonts w:ascii="仿宋_GB2312" w:hAnsi="仿宋" w:eastAsia="仿宋_GB2312"/>
                <w:sz w:val="24"/>
                <w:szCs w:val="24"/>
              </w:rPr>
            </w:pPr>
            <w:r>
              <w:rPr>
                <w:rFonts w:hint="eastAsia" w:ascii="仿宋_GB2312" w:hAnsi="仿宋" w:eastAsia="仿宋_GB2312"/>
                <w:sz w:val="24"/>
                <w:szCs w:val="24"/>
              </w:rPr>
              <w:t>5</w:t>
            </w:r>
          </w:p>
        </w:tc>
        <w:tc>
          <w:tcPr>
            <w:tcW w:w="22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_GB2312" w:hAnsi="仿宋" w:eastAsia="仿宋_GB2312"/>
                <w:color w:val="000000"/>
                <w:sz w:val="24"/>
                <w:szCs w:val="24"/>
              </w:rPr>
            </w:pPr>
            <w:r>
              <w:rPr>
                <w:rFonts w:hint="eastAsia" w:ascii="仿宋_GB2312" w:hAnsi="仿宋" w:eastAsia="仿宋_GB2312"/>
                <w:color w:val="000000"/>
                <w:sz w:val="24"/>
                <w:szCs w:val="24"/>
              </w:rPr>
              <w:t>手术嵌入一体机（27英寸）</w:t>
            </w:r>
          </w:p>
        </w:tc>
        <w:tc>
          <w:tcPr>
            <w:tcW w:w="1547" w:type="pct"/>
          </w:tcPr>
          <w:p>
            <w:pPr>
              <w:rPr>
                <w:rFonts w:ascii="仿宋_GB2312" w:hAnsi="仿宋" w:eastAsia="仿宋_GB2312" w:cs="仿宋_GB2312"/>
                <w:sz w:val="24"/>
                <w:szCs w:val="24"/>
              </w:rPr>
            </w:pPr>
            <w:r>
              <w:rPr>
                <w:rFonts w:hint="eastAsia" w:ascii="仿宋_GB2312" w:hAnsi="仿宋" w:eastAsia="仿宋_GB2312" w:cs="仿宋_GB2312"/>
                <w:sz w:val="24"/>
                <w:szCs w:val="24"/>
              </w:rPr>
              <w:t>详见技术</w:t>
            </w:r>
            <w:r>
              <w:rPr>
                <w:rFonts w:hint="eastAsia" w:ascii="仿宋_GB2312" w:hAnsi="仿宋" w:eastAsia="仿宋_GB2312"/>
                <w:sz w:val="24"/>
                <w:szCs w:val="24"/>
              </w:rPr>
              <w:t>参数</w:t>
            </w:r>
          </w:p>
        </w:tc>
        <w:tc>
          <w:tcPr>
            <w:tcW w:w="814" w:type="pct"/>
          </w:tcPr>
          <w:p>
            <w:pPr>
              <w:rPr>
                <w:rFonts w:ascii="仿宋_GB2312" w:hAnsi="仿宋" w:eastAsia="仿宋_GB2312"/>
                <w:sz w:val="24"/>
                <w:szCs w:val="24"/>
              </w:rPr>
            </w:pPr>
            <w:r>
              <w:rPr>
                <w:rFonts w:hint="eastAsia" w:ascii="仿宋_GB2312" w:hAnsi="仿宋" w:eastAsia="仿宋_GB2312"/>
                <w:sz w:val="24"/>
                <w:szCs w:val="24"/>
              </w:rPr>
              <w:t>25套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tcPr>
          <w:p>
            <w:pPr>
              <w:rPr>
                <w:rFonts w:ascii="仿宋_GB2312" w:hAnsi="仿宋" w:eastAsia="仿宋_GB2312"/>
                <w:sz w:val="24"/>
                <w:szCs w:val="24"/>
              </w:rPr>
            </w:pPr>
            <w:r>
              <w:rPr>
                <w:rFonts w:hint="eastAsia" w:ascii="仿宋_GB2312" w:hAnsi="仿宋" w:eastAsia="仿宋_GB2312"/>
                <w:sz w:val="24"/>
                <w:szCs w:val="24"/>
              </w:rPr>
              <w:t>6</w:t>
            </w:r>
          </w:p>
        </w:tc>
        <w:tc>
          <w:tcPr>
            <w:tcW w:w="22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_GB2312" w:hAnsi="仿宋" w:eastAsia="仿宋_GB2312"/>
                <w:color w:val="000000"/>
                <w:sz w:val="24"/>
                <w:szCs w:val="24"/>
              </w:rPr>
            </w:pPr>
            <w:r>
              <w:rPr>
                <w:rFonts w:hint="eastAsia" w:ascii="仿宋_GB2312" w:hAnsi="仿宋" w:eastAsia="仿宋_GB2312"/>
                <w:color w:val="000000"/>
                <w:sz w:val="24"/>
                <w:szCs w:val="24"/>
              </w:rPr>
              <w:t>手术嵌入一体机（43英寸）</w:t>
            </w:r>
          </w:p>
        </w:tc>
        <w:tc>
          <w:tcPr>
            <w:tcW w:w="1547" w:type="pct"/>
          </w:tcPr>
          <w:p>
            <w:pPr>
              <w:rPr>
                <w:rFonts w:ascii="仿宋_GB2312" w:hAnsi="仿宋" w:eastAsia="仿宋_GB2312" w:cs="仿宋_GB2312"/>
                <w:sz w:val="24"/>
                <w:szCs w:val="24"/>
              </w:rPr>
            </w:pPr>
            <w:r>
              <w:rPr>
                <w:rFonts w:hint="eastAsia" w:ascii="仿宋_GB2312" w:hAnsi="仿宋" w:eastAsia="仿宋_GB2312" w:cs="仿宋_GB2312"/>
                <w:sz w:val="24"/>
                <w:szCs w:val="24"/>
              </w:rPr>
              <w:t>详见技术</w:t>
            </w:r>
            <w:r>
              <w:rPr>
                <w:rFonts w:hint="eastAsia" w:ascii="仿宋_GB2312" w:hAnsi="仿宋" w:eastAsia="仿宋_GB2312"/>
                <w:sz w:val="24"/>
                <w:szCs w:val="24"/>
              </w:rPr>
              <w:t>参数</w:t>
            </w:r>
          </w:p>
        </w:tc>
        <w:tc>
          <w:tcPr>
            <w:tcW w:w="814" w:type="pct"/>
          </w:tcPr>
          <w:p>
            <w:pPr>
              <w:rPr>
                <w:rFonts w:ascii="仿宋_GB2312" w:hAnsi="仿宋" w:eastAsia="仿宋_GB2312"/>
                <w:sz w:val="24"/>
                <w:szCs w:val="24"/>
              </w:rPr>
            </w:pPr>
            <w:r>
              <w:rPr>
                <w:rFonts w:hint="eastAsia" w:ascii="仿宋_GB2312" w:hAnsi="仿宋" w:eastAsia="仿宋_GB2312"/>
                <w:sz w:val="24"/>
                <w:szCs w:val="24"/>
              </w:rPr>
              <w:t>12套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tcPr>
          <w:p>
            <w:pPr>
              <w:rPr>
                <w:rFonts w:ascii="仿宋_GB2312" w:hAnsi="仿宋" w:eastAsia="仿宋_GB2312"/>
                <w:sz w:val="24"/>
                <w:szCs w:val="24"/>
              </w:rPr>
            </w:pPr>
            <w:r>
              <w:rPr>
                <w:rFonts w:hint="eastAsia" w:ascii="仿宋_GB2312" w:hAnsi="仿宋" w:eastAsia="仿宋_GB2312"/>
                <w:sz w:val="24"/>
                <w:szCs w:val="24"/>
              </w:rPr>
              <w:t>7</w:t>
            </w:r>
          </w:p>
        </w:tc>
        <w:tc>
          <w:tcPr>
            <w:tcW w:w="22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_GB2312" w:hAnsi="仿宋" w:eastAsia="仿宋_GB2312"/>
                <w:sz w:val="24"/>
                <w:szCs w:val="24"/>
              </w:rPr>
            </w:pPr>
            <w:r>
              <w:rPr>
                <w:rFonts w:hint="eastAsia" w:ascii="仿宋_GB2312" w:hAnsi="仿宋" w:eastAsia="仿宋_GB2312"/>
                <w:color w:val="000000"/>
                <w:sz w:val="24"/>
                <w:szCs w:val="24"/>
              </w:rPr>
              <w:t>超声专用计算机</w:t>
            </w:r>
          </w:p>
        </w:tc>
        <w:tc>
          <w:tcPr>
            <w:tcW w:w="1547" w:type="pct"/>
          </w:tcPr>
          <w:p>
            <w:pPr>
              <w:rPr>
                <w:rFonts w:ascii="仿宋_GB2312" w:hAnsi="仿宋" w:eastAsia="仿宋_GB2312"/>
                <w:sz w:val="24"/>
                <w:szCs w:val="24"/>
              </w:rPr>
            </w:pPr>
            <w:r>
              <w:rPr>
                <w:rFonts w:hint="eastAsia" w:ascii="仿宋_GB2312" w:hAnsi="仿宋" w:eastAsia="仿宋_GB2312" w:cs="仿宋_GB2312"/>
                <w:sz w:val="24"/>
                <w:szCs w:val="24"/>
              </w:rPr>
              <w:t>详见技术</w:t>
            </w:r>
            <w:r>
              <w:rPr>
                <w:rFonts w:hint="eastAsia" w:ascii="仿宋_GB2312" w:hAnsi="仿宋" w:eastAsia="仿宋_GB2312"/>
                <w:sz w:val="24"/>
                <w:szCs w:val="24"/>
              </w:rPr>
              <w:t>参数</w:t>
            </w:r>
          </w:p>
        </w:tc>
        <w:tc>
          <w:tcPr>
            <w:tcW w:w="814" w:type="pct"/>
          </w:tcPr>
          <w:p>
            <w:pPr>
              <w:rPr>
                <w:rFonts w:ascii="仿宋_GB2312" w:hAnsi="仿宋" w:eastAsia="仿宋_GB2312"/>
                <w:sz w:val="24"/>
                <w:szCs w:val="24"/>
              </w:rPr>
            </w:pPr>
            <w:r>
              <w:rPr>
                <w:rFonts w:hint="eastAsia" w:ascii="仿宋_GB2312" w:hAnsi="仿宋" w:eastAsia="仿宋_GB2312"/>
                <w:sz w:val="24"/>
                <w:szCs w:val="24"/>
              </w:rPr>
              <w:t>37套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tcPr>
          <w:p>
            <w:pPr>
              <w:rPr>
                <w:rFonts w:ascii="仿宋_GB2312" w:hAnsi="仿宋" w:eastAsia="仿宋_GB2312"/>
                <w:sz w:val="24"/>
                <w:szCs w:val="24"/>
              </w:rPr>
            </w:pPr>
            <w:r>
              <w:rPr>
                <w:rFonts w:hint="eastAsia" w:ascii="仿宋_GB2312" w:hAnsi="仿宋" w:eastAsia="仿宋_GB2312"/>
                <w:sz w:val="24"/>
                <w:szCs w:val="24"/>
              </w:rPr>
              <w:t>8</w:t>
            </w:r>
          </w:p>
        </w:tc>
        <w:tc>
          <w:tcPr>
            <w:tcW w:w="22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_GB2312" w:hAnsi="仿宋" w:eastAsia="仿宋_GB2312"/>
                <w:color w:val="000000"/>
                <w:sz w:val="24"/>
                <w:szCs w:val="24"/>
              </w:rPr>
            </w:pPr>
            <w:r>
              <w:rPr>
                <w:rFonts w:hint="eastAsia" w:ascii="仿宋_GB2312" w:hAnsi="仿宋" w:eastAsia="仿宋_GB2312" w:cs="仿宋_GB2312"/>
                <w:sz w:val="24"/>
                <w:szCs w:val="24"/>
              </w:rPr>
              <w:t>计算机</w:t>
            </w:r>
          </w:p>
        </w:tc>
        <w:tc>
          <w:tcPr>
            <w:tcW w:w="1547" w:type="pct"/>
            <w:vAlign w:val="center"/>
          </w:tcPr>
          <w:p>
            <w:pPr>
              <w:rPr>
                <w:rFonts w:ascii="仿宋_GB2312" w:hAnsi="仿宋" w:eastAsia="仿宋_GB2312" w:cs="仿宋_GB2312"/>
                <w:sz w:val="24"/>
                <w:szCs w:val="24"/>
              </w:rPr>
            </w:pPr>
            <w:r>
              <w:rPr>
                <w:rFonts w:hint="eastAsia" w:ascii="仿宋_GB2312" w:hAnsi="仿宋" w:eastAsia="仿宋_GB2312" w:cs="仿宋_GB2312"/>
                <w:sz w:val="24"/>
                <w:szCs w:val="24"/>
              </w:rPr>
              <w:t>详见技术</w:t>
            </w:r>
            <w:r>
              <w:rPr>
                <w:rFonts w:hint="eastAsia" w:ascii="仿宋_GB2312" w:hAnsi="仿宋" w:eastAsia="仿宋_GB2312"/>
                <w:sz w:val="24"/>
                <w:szCs w:val="24"/>
              </w:rPr>
              <w:t>参数</w:t>
            </w:r>
          </w:p>
        </w:tc>
        <w:tc>
          <w:tcPr>
            <w:tcW w:w="814" w:type="pct"/>
            <w:vAlign w:val="center"/>
          </w:tcPr>
          <w:p>
            <w:pPr>
              <w:rPr>
                <w:rFonts w:ascii="仿宋_GB2312" w:hAnsi="仿宋" w:eastAsia="仿宋_GB2312"/>
                <w:sz w:val="24"/>
                <w:szCs w:val="24"/>
              </w:rPr>
            </w:pPr>
            <w:r>
              <w:rPr>
                <w:rFonts w:hint="eastAsia" w:ascii="仿宋_GB2312" w:hAnsi="仿宋" w:eastAsia="仿宋_GB2312"/>
                <w:sz w:val="24"/>
                <w:szCs w:val="24"/>
              </w:rPr>
              <w:t>46套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tcPr>
          <w:p>
            <w:pPr>
              <w:rPr>
                <w:rFonts w:ascii="仿宋_GB2312" w:hAnsi="仿宋" w:eastAsia="仿宋_GB2312"/>
                <w:sz w:val="24"/>
                <w:szCs w:val="24"/>
              </w:rPr>
            </w:pPr>
            <w:r>
              <w:rPr>
                <w:rFonts w:hint="eastAsia" w:ascii="仿宋_GB2312" w:hAnsi="仿宋" w:eastAsia="仿宋_GB2312"/>
                <w:sz w:val="24"/>
                <w:szCs w:val="24"/>
              </w:rPr>
              <w:t>9</w:t>
            </w:r>
          </w:p>
        </w:tc>
        <w:tc>
          <w:tcPr>
            <w:tcW w:w="22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_GB2312" w:hAnsi="仿宋" w:eastAsia="仿宋_GB2312"/>
                <w:color w:val="000000"/>
                <w:sz w:val="24"/>
                <w:szCs w:val="24"/>
              </w:rPr>
            </w:pPr>
            <w:r>
              <w:rPr>
                <w:rFonts w:hint="eastAsia" w:ascii="仿宋_GB2312" w:hAnsi="仿宋" w:eastAsia="仿宋_GB2312" w:cs="仿宋_GB2312"/>
                <w:sz w:val="24"/>
                <w:szCs w:val="24"/>
              </w:rPr>
              <w:t>笔记本</w:t>
            </w:r>
          </w:p>
        </w:tc>
        <w:tc>
          <w:tcPr>
            <w:tcW w:w="1547" w:type="pct"/>
            <w:vAlign w:val="center"/>
          </w:tcPr>
          <w:p>
            <w:pPr>
              <w:rPr>
                <w:rFonts w:ascii="仿宋_GB2312" w:hAnsi="仿宋" w:eastAsia="仿宋_GB2312" w:cs="仿宋_GB2312"/>
                <w:sz w:val="24"/>
                <w:szCs w:val="24"/>
              </w:rPr>
            </w:pPr>
            <w:r>
              <w:rPr>
                <w:rFonts w:hint="eastAsia" w:ascii="仿宋_GB2312" w:hAnsi="仿宋" w:eastAsia="仿宋_GB2312" w:cs="仿宋_GB2312"/>
                <w:sz w:val="24"/>
                <w:szCs w:val="24"/>
              </w:rPr>
              <w:t>详见技术</w:t>
            </w:r>
            <w:r>
              <w:rPr>
                <w:rFonts w:hint="eastAsia" w:ascii="仿宋_GB2312" w:hAnsi="仿宋" w:eastAsia="仿宋_GB2312"/>
                <w:sz w:val="24"/>
                <w:szCs w:val="24"/>
              </w:rPr>
              <w:t>参数</w:t>
            </w:r>
          </w:p>
        </w:tc>
        <w:tc>
          <w:tcPr>
            <w:tcW w:w="814" w:type="pct"/>
            <w:vAlign w:val="center"/>
          </w:tcPr>
          <w:p>
            <w:pPr>
              <w:rPr>
                <w:rFonts w:ascii="仿宋_GB2312" w:hAnsi="仿宋" w:eastAsia="仿宋_GB2312"/>
                <w:sz w:val="24"/>
                <w:szCs w:val="24"/>
              </w:rPr>
            </w:pPr>
            <w:r>
              <w:rPr>
                <w:rFonts w:hint="eastAsia" w:ascii="仿宋_GB2312" w:hAnsi="仿宋" w:eastAsia="仿宋_GB2312"/>
                <w:sz w:val="24"/>
                <w:szCs w:val="24"/>
              </w:rPr>
              <w:t>20套</w:t>
            </w:r>
          </w:p>
        </w:tc>
      </w:tr>
    </w:tbl>
    <w:p>
      <w:pPr>
        <w:numPr>
          <w:ilvl w:val="0"/>
          <w:numId w:val="6"/>
        </w:numPr>
        <w:spacing w:line="560" w:lineRule="exact"/>
        <w:ind w:left="210" w:right="420"/>
        <w:rPr>
          <w:rFonts w:ascii="仿宋_GB2312" w:hAnsi="仿宋" w:eastAsia="仿宋_GB2312" w:cs="Arial"/>
          <w:b/>
          <w:bCs/>
          <w:sz w:val="24"/>
        </w:rPr>
      </w:pPr>
      <w:r>
        <w:rPr>
          <w:rFonts w:hint="eastAsia" w:ascii="仿宋_GB2312" w:hAnsi="仿宋" w:eastAsia="仿宋_GB2312" w:cs="Arial"/>
          <w:b/>
          <w:bCs/>
          <w:sz w:val="24"/>
        </w:rPr>
        <w:t>详细技术参数</w:t>
      </w:r>
    </w:p>
    <w:p>
      <w:pPr>
        <w:pStyle w:val="6"/>
        <w:numPr>
          <w:ilvl w:val="0"/>
          <w:numId w:val="7"/>
        </w:numPr>
        <w:tabs>
          <w:tab w:val="clear" w:pos="1984"/>
        </w:tabs>
        <w:spacing w:before="0" w:after="0" w:line="440" w:lineRule="exact"/>
        <w:jc w:val="left"/>
        <w:rPr>
          <w:rFonts w:ascii="仿宋_GB2312" w:hAnsi="仿宋" w:eastAsia="仿宋_GB2312" w:cs="仿宋_GB2312"/>
          <w:sz w:val="24"/>
          <w:szCs w:val="24"/>
        </w:rPr>
      </w:pPr>
      <w:r>
        <w:rPr>
          <w:rFonts w:hint="eastAsia" w:ascii="仿宋_GB2312" w:hAnsi="仿宋" w:eastAsia="仿宋_GB2312" w:cs="仿宋_GB2312"/>
          <w:sz w:val="24"/>
          <w:szCs w:val="24"/>
        </w:rPr>
        <w:t>放射专用工作站：</w:t>
      </w:r>
    </w:p>
    <w:tbl>
      <w:tblPr>
        <w:tblStyle w:val="63"/>
        <w:tblW w:w="47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89"/>
        <w:gridCol w:w="1555"/>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24" w:type="dxa"/>
            <w:tcBorders>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序号</w:t>
            </w:r>
          </w:p>
        </w:tc>
        <w:tc>
          <w:tcPr>
            <w:tcW w:w="1400"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一级指标</w:t>
            </w:r>
          </w:p>
        </w:tc>
        <w:tc>
          <w:tcPr>
            <w:tcW w:w="1688" w:type="dxa"/>
            <w:tcBorders>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二级指标</w:t>
            </w:r>
          </w:p>
        </w:tc>
        <w:tc>
          <w:tcPr>
            <w:tcW w:w="5498"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w:t>
            </w:r>
          </w:p>
        </w:tc>
        <w:tc>
          <w:tcPr>
            <w:tcW w:w="1400" w:type="dxa"/>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★CPU信息</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CPU性能不低于≥Intel i7-13700，主频2.1GHz，16核心/24线程/30M未级缓存，TDP功耗≤65W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w:t>
            </w:r>
          </w:p>
        </w:tc>
        <w:tc>
          <w:tcPr>
            <w:tcW w:w="1400" w:type="dxa"/>
            <w:vMerge w:val="restart"/>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★内存配置容量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w:t>
            </w:r>
          </w:p>
        </w:tc>
        <w:tc>
          <w:tcPr>
            <w:tcW w:w="1400"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★内存类型</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支持DDR5 4400 MT/s及以上内存类型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w:t>
            </w:r>
          </w:p>
        </w:tc>
        <w:tc>
          <w:tcPr>
            <w:tcW w:w="1400"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★内存条配置数量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color w:val="000000" w:themeColor="text1"/>
                <w:sz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w:t>
            </w:r>
          </w:p>
        </w:tc>
        <w:tc>
          <w:tcPr>
            <w:tcW w:w="1400" w:type="dxa"/>
            <w:vMerge w:val="restart"/>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★主板集成模块</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集成资源扩展模块、计算处理模块、音频扩展模块等，主板的互联拓扑可通过处理器或交换电路实现。主板集成模块内芯片组性能不低于Intel</w:t>
            </w:r>
            <w:r>
              <w:rPr>
                <w:rFonts w:ascii="仿宋_GB2312" w:hAnsi="仿宋" w:eastAsia="仿宋_GB2312" w:cs="仿宋_GB2312"/>
                <w:color w:val="000000" w:themeColor="text1"/>
                <w:sz w:val="24"/>
                <w14:textFill>
                  <w14:solidFill>
                    <w14:schemeClr w14:val="tx1"/>
                  </w14:solidFill>
                </w14:textFill>
              </w:rPr>
              <w:t xml:space="preserve"> </w:t>
            </w:r>
            <w:r>
              <w:rPr>
                <w:rFonts w:hint="eastAsia" w:ascii="仿宋_GB2312" w:hAnsi="仿宋" w:eastAsia="仿宋_GB2312" w:cs="仿宋_GB2312"/>
                <w:color w:val="000000" w:themeColor="text1"/>
                <w:sz w:val="24"/>
                <w14:textFill>
                  <w14:solidFill>
                    <w14:schemeClr w14:val="tx1"/>
                  </w14:solidFill>
                </w14:textFill>
              </w:rPr>
              <w:t>W680芯片组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w:t>
            </w:r>
          </w:p>
        </w:tc>
        <w:tc>
          <w:tcPr>
            <w:tcW w:w="1400"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★主板支持的CPU和内存情况</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sz w:val="24"/>
              </w:rPr>
              <w:t>主板支持所投CPU型号，内存支持≥32G DDR5 4400 MT/s, 系统最大支持128G及以上。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w:t>
            </w:r>
          </w:p>
        </w:tc>
        <w:tc>
          <w:tcPr>
            <w:tcW w:w="1400"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_GB2312" w:hAnsi="仿宋" w:eastAsia="仿宋_GB2312" w:cs="仿宋_GB2312"/>
                <w:color w:val="000000" w:themeColor="text1"/>
                <w:sz w:val="24"/>
                <w14:textFill>
                  <w14:solidFill>
                    <w14:schemeClr w14:val="tx1"/>
                  </w14:solidFill>
                </w14:textFill>
              </w:rPr>
              <w:t>主板内置PCle插槽数量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支持PCle插槽数量不少于3个，≥1*PCIe 16x，≥2*PCIe 4x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w:t>
            </w:r>
          </w:p>
        </w:tc>
        <w:tc>
          <w:tcPr>
            <w:tcW w:w="1400"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★主板其他内置接口</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SATA接口≥3、M.2接口≥1、USB 接口≥9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★单内存插槽最大可支持容量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★内存插槽满配置时提供的最高内存总容量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≥128G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★固态盘数量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★固态存储容量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★固态存储接口协议</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UFS/NVMe接口协议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★固态存储形态</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采用插卡形态，插卡形态选用符合M.2 NVMe标准的插卡形态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★存储设备其他参数要求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固态盘应符合 SJ/T 11654 相关规定，更换硬盘后，原硬盘不返还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16</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★显卡类型</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独立显卡，显卡芯片组性能不低于GeForce RTX 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sz w:val="24"/>
              </w:rPr>
              <w:t>独立显</w:t>
            </w:r>
            <w:r>
              <w:rPr>
                <w:rFonts w:hint="eastAsia" w:ascii="仿宋_GB2312" w:hAnsi="仿宋" w:eastAsia="仿宋_GB2312"/>
                <w:spacing w:val="-1"/>
                <w:sz w:val="24"/>
              </w:rPr>
              <w:t>卡显存类</w:t>
            </w:r>
            <w:r>
              <w:rPr>
                <w:rFonts w:hint="eastAsia" w:ascii="仿宋_GB2312" w:hAnsi="仿宋" w:eastAsia="仿宋_GB2312"/>
                <w:sz w:val="24"/>
              </w:rPr>
              <w:t>型</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显存类型应为GDDR6及以上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sz w:val="24"/>
              </w:rPr>
              <w:t>独立显</w:t>
            </w:r>
            <w:r>
              <w:rPr>
                <w:rFonts w:hint="eastAsia" w:ascii="仿宋_GB2312" w:hAnsi="仿宋" w:eastAsia="仿宋_GB2312"/>
                <w:spacing w:val="-1"/>
                <w:sz w:val="24"/>
              </w:rPr>
              <w:t>卡显存位</w:t>
            </w:r>
            <w:r>
              <w:rPr>
                <w:rFonts w:hint="eastAsia" w:ascii="仿宋_GB2312" w:hAnsi="仿宋" w:eastAsia="仿宋_GB2312"/>
                <w:sz w:val="24"/>
              </w:rPr>
              <w:t>宽</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spacing w:val="-1"/>
                <w:sz w:val="24"/>
              </w:rPr>
              <w:t>显存位宽</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sz w:val="24"/>
              </w:rPr>
              <w:t>128</w:t>
            </w:r>
            <w:r>
              <w:rPr>
                <w:rFonts w:hint="eastAsia" w:ascii="仿宋_GB2312" w:hAnsi="仿宋" w:eastAsia="仿宋_GB2312"/>
                <w:spacing w:val="-22"/>
                <w:sz w:val="24"/>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sz w:val="24"/>
              </w:rPr>
              <w:t>独立显</w:t>
            </w:r>
            <w:r>
              <w:rPr>
                <w:rFonts w:hint="eastAsia" w:ascii="仿宋_GB2312" w:hAnsi="仿宋" w:eastAsia="仿宋_GB2312"/>
                <w:spacing w:val="-1"/>
                <w:sz w:val="24"/>
              </w:rPr>
              <w:t>卡显存容</w:t>
            </w:r>
            <w:r>
              <w:rPr>
                <w:rFonts w:hint="eastAsia" w:ascii="仿宋_GB2312" w:hAnsi="仿宋" w:eastAsia="仿宋_GB2312"/>
                <w:sz w:val="24"/>
              </w:rPr>
              <w:t>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spacing w:val="-1"/>
                <w:sz w:val="24"/>
              </w:rPr>
              <w:t>显存容量</w:t>
            </w:r>
            <w:r>
              <w:rPr>
                <w:rFonts w:hint="eastAsia" w:ascii="仿宋_GB2312" w:hAnsi="仿宋" w:eastAsia="仿宋_GB2312" w:cs="仿宋_GB2312"/>
                <w:color w:val="000000" w:themeColor="text1"/>
                <w:sz w:val="24"/>
                <w14:textFill>
                  <w14:solidFill>
                    <w14:schemeClr w14:val="tx1"/>
                  </w14:solidFill>
                </w14:textFill>
              </w:rPr>
              <w:t>≥8</w:t>
            </w:r>
            <w:r>
              <w:rPr>
                <w:rFonts w:hint="eastAsia" w:ascii="仿宋_GB2312" w:hAnsi="仿宋" w:eastAsia="仿宋_GB2312"/>
                <w:sz w:val="24"/>
              </w:rPr>
              <w:t>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spacing w:val="-1"/>
                <w:sz w:val="24"/>
              </w:rPr>
              <w:t>独立显卡接口协议</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产品支持 PCIe 协议版本大于等于4.0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21</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★显示屏屏占比</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★显示屏分辨率</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★显示屏尺寸</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≥23.8英寸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★显示屏屏幕比例</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★显示器外观颜色</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黑色/白色/银色等商务色系，与主机同一色系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▲显示屏可视角度</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水平≥170°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防蓝光</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支持防蓝光模式，蓝光加权辐射亮度比应≤0.0012W/(·cd·sr)(瓦每坎特拉每球面度)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低频闪</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显示屏应支持低频闪≤-35dB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防炫目</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显示屏镜面反射率≤10%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30</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★鼠标数量</w:t>
            </w:r>
          </w:p>
        </w:tc>
        <w:tc>
          <w:tcPr>
            <w:tcW w:w="5498"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★键盘数量</w:t>
            </w:r>
          </w:p>
        </w:tc>
        <w:tc>
          <w:tcPr>
            <w:tcW w:w="5498"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键数目</w:t>
            </w:r>
          </w:p>
        </w:tc>
        <w:tc>
          <w:tcPr>
            <w:tcW w:w="5498"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104键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★键盘连接方式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★键盘键程</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2.3mm-4.0mm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★键盘按键压力</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按键压力应在 0.54 N 士0.14N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★有线键盘连接线</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color w:val="000000" w:themeColor="text1"/>
                <w:sz w:val="24"/>
                <w14:textFill>
                  <w14:solidFill>
                    <w14:schemeClr w14:val="tx1"/>
                  </w14:solidFill>
                </w14:textFill>
              </w:rPr>
              <w:t>1</w:t>
            </w:r>
            <w:r>
              <w:rPr>
                <w:rFonts w:hint="eastAsia" w:ascii="仿宋_GB2312" w:hAnsi="仿宋" w:eastAsia="仿宋_GB2312" w:cs="仿宋_GB2312"/>
                <w:color w:val="000000" w:themeColor="text1"/>
                <w:sz w:val="24"/>
                <w14:textFill>
                  <w14:solidFill>
                    <w14:schemeClr w14:val="tx1"/>
                  </w14:solidFill>
                </w14:textFill>
              </w:rPr>
              <w:t>.5米(额外</w:t>
            </w:r>
            <w:r>
              <w:rPr>
                <w:rFonts w:ascii="仿宋_GB2312" w:hAnsi="仿宋" w:eastAsia="仿宋_GB2312" w:cs="仿宋_GB2312"/>
                <w:color w:val="000000" w:themeColor="text1"/>
                <w:sz w:val="24"/>
                <w14:textFill>
                  <w14:solidFill>
                    <w14:schemeClr w14:val="tx1"/>
                  </w14:solidFill>
                </w14:textFill>
              </w:rPr>
              <w:t>提供</w:t>
            </w:r>
            <w:r>
              <w:rPr>
                <w:rFonts w:hint="eastAsia" w:ascii="仿宋_GB2312" w:hAnsi="仿宋" w:eastAsia="仿宋_GB2312" w:cs="仿宋_GB2312"/>
                <w:color w:val="000000" w:themeColor="text1"/>
                <w:sz w:val="24"/>
                <w14:textFill>
                  <w14:solidFill>
                    <w14:schemeClr w14:val="tx1"/>
                  </w14:solidFill>
                </w14:textFill>
              </w:rPr>
              <w:t>2米USB延长</w:t>
            </w:r>
            <w:r>
              <w:rPr>
                <w:rFonts w:ascii="仿宋_GB2312" w:hAnsi="仿宋" w:eastAsia="仿宋_GB2312" w:cs="仿宋_GB2312"/>
                <w:color w:val="000000" w:themeColor="text1"/>
                <w:sz w:val="24"/>
                <w14:textFill>
                  <w14:solidFill>
                    <w14:schemeClr w14:val="tx1"/>
                  </w14:solidFill>
                </w14:textFill>
              </w:rPr>
              <w:t>线</w:t>
            </w:r>
            <w:r>
              <w:rPr>
                <w:rFonts w:hint="eastAsia" w:ascii="仿宋_GB2312" w:hAnsi="仿宋"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★键盘颜色</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黑色/白色/银色等商务色系，与鼠标为同一色系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★键盘其他要求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键盘外观结构、连接方式， 主要功能、安全、电磁兼容性、可靠性应符合 GB/T 14081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★鼠标连接方式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★有线鼠标连接线</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color w:val="000000" w:themeColor="text1"/>
                <w:sz w:val="24"/>
                <w14:textFill>
                  <w14:solidFill>
                    <w14:schemeClr w14:val="tx1"/>
                  </w14:solidFill>
                </w14:textFill>
              </w:rPr>
              <w:t>1</w:t>
            </w:r>
            <w:r>
              <w:rPr>
                <w:rFonts w:hint="eastAsia" w:ascii="仿宋_GB2312" w:hAnsi="仿宋" w:eastAsia="仿宋_GB2312" w:cs="仿宋_GB2312"/>
                <w:color w:val="000000" w:themeColor="text1"/>
                <w:sz w:val="24"/>
                <w14:textFill>
                  <w14:solidFill>
                    <w14:schemeClr w14:val="tx1"/>
                  </w14:solidFill>
                </w14:textFill>
              </w:rPr>
              <w:t>.5米(额外</w:t>
            </w:r>
            <w:r>
              <w:rPr>
                <w:rFonts w:ascii="仿宋_GB2312" w:hAnsi="仿宋" w:eastAsia="仿宋_GB2312" w:cs="仿宋_GB2312"/>
                <w:color w:val="000000" w:themeColor="text1"/>
                <w:sz w:val="24"/>
                <w14:textFill>
                  <w14:solidFill>
                    <w14:schemeClr w14:val="tx1"/>
                  </w14:solidFill>
                </w14:textFill>
              </w:rPr>
              <w:t>提供</w:t>
            </w:r>
            <w:r>
              <w:rPr>
                <w:rFonts w:hint="eastAsia" w:ascii="仿宋_GB2312" w:hAnsi="仿宋" w:eastAsia="仿宋_GB2312" w:cs="仿宋_GB2312"/>
                <w:color w:val="000000" w:themeColor="text1"/>
                <w:sz w:val="24"/>
                <w14:textFill>
                  <w14:solidFill>
                    <w14:schemeClr w14:val="tx1"/>
                  </w14:solidFill>
                </w14:textFill>
              </w:rPr>
              <w:t>2米USB延长</w:t>
            </w:r>
            <w:r>
              <w:rPr>
                <w:rFonts w:ascii="仿宋_GB2312" w:hAnsi="仿宋" w:eastAsia="仿宋_GB2312" w:cs="仿宋_GB2312"/>
                <w:color w:val="000000" w:themeColor="text1"/>
                <w:sz w:val="24"/>
                <w14:textFill>
                  <w14:solidFill>
                    <w14:schemeClr w14:val="tx1"/>
                  </w14:solidFill>
                </w14:textFill>
              </w:rPr>
              <w:t>线</w:t>
            </w:r>
            <w:r>
              <w:rPr>
                <w:rFonts w:hint="eastAsia" w:ascii="仿宋_GB2312" w:hAnsi="仿宋"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★鼠标DPI分辨率</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★鼠标颜色</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黑色/白色/银色等商务色系，与键盘为同一色系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★鼠标其他要求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其它参数应符合 GB/T 26245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44</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★有线网卡数量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45</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外部接口规格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★USB接口数量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机箱前面板应提供不少于4个USB 接 口（含2 个 USB3.0 及以上接口），主板直连USB接口≥9个USB口。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★USB母座接口要求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机箱前面板额外预留2个专用USB母座接口孔位和1个通用A型USB母座接口孔位，采用横向排列中心间距应不小于27mm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★视频接口数量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≥2个DP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★音频接口数量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≥2个 3.5mm 孔径 3 段式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49</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整机基础规格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★整机外观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产品表面不应有凹痕、划伤、裂缝、变形和污染等。表面涂层均匀，不应起泡、龟裂、脱落和磨损，金属零部件无锈蚀及其它机械损伤；</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产品表面说明功能的文字、符号、标志，应清晰、端正、牢固；</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宜在产品显著位置提供运行状态指示功能，并由生产厂商提供详细参数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★状态指示灯</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在产品显著位置提供状态指示功能，如运行状态等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★整机结构</w:t>
            </w:r>
          </w:p>
        </w:tc>
        <w:tc>
          <w:tcPr>
            <w:tcW w:w="5498" w:type="dxa"/>
            <w:tcBorders>
              <w:tl2br w:val="nil"/>
              <w:tr2bl w:val="nil"/>
            </w:tcBorders>
            <w:shd w:val="clear" w:color="auto" w:fill="auto"/>
            <w:vAlign w:val="center"/>
          </w:tcPr>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机箱应符合 GB/T 4208、GB/T 26246 的相关规定；</w:t>
            </w:r>
          </w:p>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产品内部结构应符合通用部件的安装需要；</w:t>
            </w:r>
          </w:p>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所有输入输出接口应符合相关国家或行业标准；</w:t>
            </w:r>
          </w:p>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产品零部件应紧固无松动，可插拔部件应可靠连接，开关、按钮和其它控制部件应灵活可靠，布局应方便使用；</w:t>
            </w:r>
          </w:p>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所有 I/O 连接器及需插接线缆的部位应预留用户操作空间，方便插拔解锁与插拔线缆；</w:t>
            </w:r>
          </w:p>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可插拔板卡插槽部位应预留安装、拆卸或更换板卡空间；</w:t>
            </w:r>
          </w:p>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拆装可能接触到的金属剪口或金属尖角部位应做防划伤处理，以保证安全；</w:t>
            </w:r>
          </w:p>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整机内部走线应规整，固线结构和位置要合理可靠并做防割线处理，需便于理线和插拔操作，走线应不影响系统各主要部件组装和拆卸；</w:t>
            </w:r>
          </w:p>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如需通过孔走线，过线孔应做防割线处理；</w:t>
            </w:r>
          </w:p>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各插头位置和插拔方向应合理，应做到插拔无障碍设计，具备防呆设计， 有效避免误操作；</w:t>
            </w:r>
          </w:p>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各主要部件拆装无障碍，使用常规工具拆装，无特殊拆装工具需求；</w:t>
            </w:r>
          </w:p>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各主要部件拆装步骤要少，各自拆装需避免相互干扰；</w:t>
            </w:r>
          </w:p>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对于整机或零部件外表面为高亮面的，应粘贴保护膜，保护膜需粘贴牢固， 运输、组装等过程不易脱落，撕下无残留；</w:t>
            </w:r>
          </w:p>
          <w:p>
            <w:pPr>
              <w:numPr>
                <w:ilvl w:val="0"/>
                <w:numId w:val="8"/>
              </w:num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其它要求应符合 GB/T 9813.1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★机箱防护要求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机箱应符合GB/T 4208 中 IP20 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★整机噪音</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产品工作在空闲状态下，产品的噪声声功率级</w:t>
            </w:r>
            <w:r>
              <w:rPr>
                <w:rFonts w:hint="eastAsia" w:ascii="仿宋_GB2312" w:hAnsi="仿宋" w:eastAsia="仿宋_GB2312" w:cs="仿宋_GB2312"/>
                <w:color w:val="000000" w:themeColor="text1"/>
                <w:sz w:val="24"/>
                <w:lang w:eastAsia="zh-CN"/>
                <w14:textFill>
                  <w14:solidFill>
                    <w14:schemeClr w14:val="tx1"/>
                  </w14:solidFill>
                </w14:textFill>
              </w:rPr>
              <w:t>应不超过</w:t>
            </w:r>
            <w:r>
              <w:rPr>
                <w:rFonts w:hint="eastAsia" w:ascii="仿宋_GB2312" w:hAnsi="仿宋" w:eastAsia="仿宋_GB2312" w:cs="仿宋_GB2312"/>
                <w:color w:val="000000" w:themeColor="text1"/>
                <w:sz w:val="24"/>
                <w14:textFill>
                  <w14:solidFill>
                    <w14:schemeClr w14:val="tx1"/>
                  </w14:solidFill>
                </w14:textFill>
              </w:rPr>
              <w:t>4.5 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★整机散热</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在环境温度 25℃及处理器满载情况下，产品表面温度应符合如下要求：</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a)出风口在机箱后面板情况下，出风口温度不高于55°C;</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b)可触及面温度不高于 45℃;</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C)显示器表面温度：显示屏不高于38℃, 显示屏上下灯带位置温度（如涉及）不高于 40°C, 出风口温度不高</w:t>
            </w:r>
            <w:r>
              <w:rPr>
                <w:rFonts w:hint="eastAsia" w:ascii="仿宋_GB2312" w:hAnsi="仿宋" w:eastAsia="仿宋_GB2312" w:cs="仿宋_GB2312"/>
                <w:color w:val="000000" w:themeColor="text1"/>
                <w:sz w:val="24"/>
                <w:lang w:eastAsia="zh-CN"/>
                <w14:textFill>
                  <w14:solidFill>
                    <w14:schemeClr w14:val="tx1"/>
                  </w14:solidFill>
                </w14:textFill>
              </w:rPr>
              <w:t>于</w:t>
            </w:r>
            <w:r>
              <w:rPr>
                <w:rFonts w:hint="eastAsia" w:ascii="仿宋_GB2312" w:hAnsi="仿宋" w:eastAsia="仿宋_GB2312" w:cs="仿宋_GB2312"/>
                <w:color w:val="000000" w:themeColor="text1"/>
                <w:sz w:val="24"/>
                <w14:textFill>
                  <w14:solidFill>
                    <w14:schemeClr w14:val="tx1"/>
                  </w14:solidFill>
                </w14:textFill>
              </w:rPr>
              <w:t>45°C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★整机能效限定值</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产品能效限定值应达到GB 28380-2012标准中能效等级 2 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★机身材质</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塑料/金属等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★机身颜色</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灰色/黑色等商务色系，与显示器同一色系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★机箱尺寸容量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机箱体积</w:t>
            </w:r>
            <w:r>
              <w:rPr>
                <w:rFonts w:hint="eastAsia" w:ascii="仿宋_GB2312" w:hAnsi="仿宋" w:eastAsia="仿宋_GB2312" w:cs="仿宋_GB2312"/>
                <w:sz w:val="24"/>
              </w:rPr>
              <w:t>应≥20L,最大&lt;40L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59</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 性能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 物理核数</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 主频</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≥2.1GHz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★CPU末级缓存容量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≥30MB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★CPU支持的内存最高速率</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≥5600MT/s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63</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内存性能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★内存读写速率</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≥4400MT/s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64</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显卡性能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★显示分辨率</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★显卡显示芯片核心频率</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≥1750MHz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★显存等效频率</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≥5000MT/s</w:t>
            </w:r>
            <w:r>
              <w:rPr>
                <w:rFonts w:hint="eastAsia" w:ascii="仿宋_GB2312" w:eastAsia="仿宋_GB231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★显卡可支持多屏同时显示数量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显卡应支持2块屏幕同时显示，分辨率应不低于1920×1080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68</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显示设备性能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★显示屏刷新率</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★显示屏位深</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★显示屏色域</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≥99%sRGB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★显示屏色准</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★显示屏响应时间</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≥250尼特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★显示屏亮度一致性</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★显示屏对比度</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★显示屏其他参数</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其它参数应符合SJ/T11292的相关规定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77</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网络设备性能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★有线网卡速率</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最高速率应不低于2500Mbps,应支持100Mbps、1000Mbps、2500Mbps速率自适应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78</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★内存扩展接口 (板载内存不涉及)</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★主板USB 瞬间过流保护</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★主板防  静电保护</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★I/O接口功能</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提供基于标准 USB 接口外设连接功能、基于音频输入输出接口的音频扩展功 能、基于 PCIe 接口板卡扩展功能、基于 HDMI/VGA/Type-C/DVI/DP 等接口外接显示器扩展功能、基于存储接口对产品进行增容功能等。工作站 I/O 接口应具备外接标准 USB 设备、显示器、音频设备等内外部设备能力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82</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★显卡外 接显示接口</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显卡至少支持VGA、HDMI、DP3种显示接口，并与显示器接口相匹配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olor w:val="000000"/>
                <w:sz w:val="22"/>
                <w:szCs w:val="22"/>
              </w:rPr>
            </w:pPr>
            <w:r>
              <w:rPr>
                <w:rFonts w:hint="eastAsia" w:ascii="仿宋_GB2312" w:hAnsi="等线" w:eastAsia="仿宋_GB2312"/>
                <w:color w:val="000000"/>
              </w:rPr>
              <w:t>83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★独立显卡数量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84</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★显示器接口</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显示器应与显卡外接显示接口匹配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★显示器支架</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显示器应提供显示器支架</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根据采购人需求支持屏幕旋转、升降等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★显示器参数调节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a)提供OSD选单按钮用于调节色彩、模式等 ；</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b)支持色温、亮度、对比度调节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87</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通过SATA固态存储/PCle固态存储/UFS固态存储/SATA硬磁盘等存储部件提供存储功能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88</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★网络功能</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a)支持网络连接、网络开启/关闭功能；b)支持访问网络和数据交换功能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★数据传输</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★有线网卡接口类型</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★网络设备拆装</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网络设备支持物理拆装，包括无线网卡和蓝牙模块等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92</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接口功能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★音频接口类型</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 3.5mm 孔径 3 段式或 4 段式接口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★视频接口类型</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至少支持 VGA、HDMI、DP、Type-C中 3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★HDMI、DP、Type-C 显示接口要求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若提供 HDMI 或 DP 或 Type-C 作为显示接口，应支持音频和视频同步输出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95</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★电源线适配能力</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电源适配器电线组件应符合GB/T 15934的要求。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★电源功率</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≥500W内置电源，≥90%转换率节能电源。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97</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操作系统及软件功能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★中文信息处理要求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 18030的相关规定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★操作系统备份及还原功能</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支持操作系统备份及还原功能、支持操作系统重装（重装系统版本需按医院实际需求）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★固件备份还原能力</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支持备份及还原固件的功能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★操作系统及驱动升级</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★固件升级</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★BI0S支  持关闭通讯接口</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支持BIOS关闭以太网及USB接口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★固件查看信息</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支持查看固件版本、内存信息、主板信息、处理器信息和系统时间信息等功能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★固件设置启动顺序</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支持设置启动顺序功能，并按照设置的启动顺序启动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★固件设置口令</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支持设置口令、修改口令、验证口令功能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★固件设置网络引导</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支持网络引导启动和关闭功能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107</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存储设备可靠性</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寿命</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TBW≥350TB(条件：1T硬盘容量)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108</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可靠性</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★显示屏屏幕失效点</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109</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外设可靠性</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★键盘按键寿命</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★鼠标按键寿命</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★键盘鼠标线材寿命</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键盘鼠标所用线材经士60°弯折不低于3000次，功能、外观完好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★风扇寿命</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113</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整机可靠性要求</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★电磁兼容性要求的抗扰度</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★环境条件要求的气候环境适应性</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★环境条件要求的振动适应性</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★环境条件要求的冲击适应性</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★环境条件要求的碰撞适应性</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★环境条件要求的运输包装件跌落适应性</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★MTBF测试</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MTBF(m1)≥100万小时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120</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兼容要求</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常用软件兼容</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支持流式软件、版式软件、浏览器、 邮件采购人端、解压软件、多媒体， 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数据库兼容</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中间件兼容</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平台软件兼容</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124</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包装及运输要求</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★标志、包装、运输和贮存</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125</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服务要求</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★配置检查工具</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供应商提供经自检测试工具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★服务响应</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a）提供产品原厂商至少五年维保及上门服务；服务周期内提供产品的维修、换件和升级服务</w:t>
            </w:r>
            <w:r>
              <w:rPr>
                <w:rFonts w:hint="eastAsia" w:ascii="仿宋_GB2312" w:hAnsi="仿宋" w:eastAsia="仿宋_GB2312" w:cs="仿宋_GB2312"/>
                <w:color w:val="000000" w:themeColor="text1"/>
                <w:sz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lang w:eastAsia="zh-CN"/>
                <w14:textFill>
                  <w14:solidFill>
                    <w14:schemeClr w14:val="tx1"/>
                  </w14:solidFill>
                </w14:textFill>
              </w:rPr>
              <w:t>供应商</w:t>
            </w:r>
            <w:r>
              <w:rPr>
                <w:rFonts w:hint="eastAsia"/>
                <w:lang w:val="en-US" w:eastAsia="zh-CN"/>
              </w:rPr>
              <w:t>提供电话、电子邮件、远程链接等多种形式服务</w:t>
            </w:r>
            <w:r>
              <w:rPr>
                <w:rFonts w:hint="eastAsia" w:ascii="仿宋_GB2312" w:hAnsi="仿宋_GB2312" w:eastAsia="仿宋_GB2312" w:cs="仿宋_GB2312"/>
                <w:color w:val="000000" w:themeColor="text1"/>
                <w:sz w:val="24"/>
                <w:szCs w:val="24"/>
                <w14:textFill>
                  <w14:solidFill>
                    <w14:schemeClr w14:val="tx1"/>
                  </w14:solidFill>
                </w14:textFill>
              </w:rPr>
              <w:t>；</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b）提供政企专线 7*24 在线服务；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c）现场保障技术服务团队员，国内上门服务地级市覆盖率达100%;</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d）供应商提供电话、电子邮件、远程连接等多种形式服务；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e)供应商提供同城10分钟技术响应服务，1个工作日解决问题，对于未能解决的问题和故障应提供可行的升级方案，并提供周转设备或更换设备；</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f)建立全国技术服务体系和服务团体，符合专业服务体系标准要求，提供原厂中文服务；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g)设备厂商需提供闪修保修服务；闪修服务保修时效：当日下午4点前报修，下一自然日24点前修复，若没有完成修复，则为客户免费赠送延迟日数对应的月度延保服务；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★服务周期</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支持产品延保≥3年提供每年延保服务报价;</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提供备件服务能力≥</w:t>
            </w:r>
            <w:r>
              <w:rPr>
                <w:rFonts w:ascii="仿宋_GB2312" w:hAnsi="仿宋" w:eastAsia="仿宋_GB2312" w:cs="仿宋_GB2312"/>
                <w:color w:val="000000" w:themeColor="text1"/>
                <w:sz w:val="24"/>
                <w14:textFill>
                  <w14:solidFill>
                    <w14:schemeClr w14:val="tx1"/>
                  </w14:solidFill>
                </w14:textFill>
              </w:rPr>
              <w:t>8</w:t>
            </w:r>
            <w:r>
              <w:rPr>
                <w:rFonts w:hint="eastAsia" w:ascii="仿宋_GB2312" w:hAnsi="仿宋" w:eastAsia="仿宋_GB2312" w:cs="仿宋_GB2312"/>
                <w:color w:val="000000" w:themeColor="text1"/>
                <w:sz w:val="24"/>
                <w14:textFill>
                  <w14:solidFill>
                    <w14:schemeClr w14:val="tx1"/>
                  </w14:solidFill>
                </w14:textFill>
              </w:rPr>
              <w:t>年（自购买之日起）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★预装操作系统</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预装符合桌面操作系统政府采购需求标准的正版操作系统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★培训服务</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★典型问题解决手册</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★厂家升级软件与扩容服务</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★整机质量服务要求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免费服务周期（含换件和维修）不小于五年。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★合格证书要求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★开箱组装/使用指导要求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★驱动下载服务要求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★兼容适配软件下载服务要求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137</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供应链合 规性</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★产品部件</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保障</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供应商保障产品主要部件，提供</w:t>
            </w:r>
            <w:r>
              <w:rPr>
                <w:rFonts w:ascii="仿宋_GB2312" w:hAnsi="仿宋" w:eastAsia="仿宋_GB2312" w:cs="仿宋_GB2312"/>
                <w:color w:val="000000" w:themeColor="text1"/>
                <w:sz w:val="24"/>
                <w14:textFill>
                  <w14:solidFill>
                    <w14:schemeClr w14:val="tx1"/>
                  </w14:solidFill>
                </w14:textFill>
              </w:rPr>
              <w:t>8</w:t>
            </w:r>
            <w:r>
              <w:rPr>
                <w:rFonts w:hint="eastAsia" w:ascii="仿宋_GB2312" w:hAnsi="仿宋" w:eastAsia="仿宋_GB2312" w:cs="仿宋_GB2312"/>
                <w:color w:val="000000" w:themeColor="text1"/>
                <w:sz w:val="24"/>
                <w14:textFill>
                  <w14:solidFill>
                    <w14:schemeClr w14:val="tx1"/>
                  </w14:solidFill>
                </w14:textFill>
              </w:rPr>
              <w:t>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138</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供应链质量</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★抗干扰性</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★供应能力证明</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供应商提供供应链稳定承诺书，确保产品的部件在产品服务周期内稳定供货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tc>
        <w:tc>
          <w:tcPr>
            <w:tcW w:w="1400" w:type="dxa"/>
            <w:tcBorders>
              <w:tl2br w:val="nil"/>
              <w:tr2bl w:val="nil"/>
            </w:tcBorders>
            <w:vAlign w:val="center"/>
          </w:tcPr>
          <w:p/>
        </w:tc>
        <w:tc>
          <w:tcPr>
            <w:tcW w:w="1688" w:type="dxa"/>
            <w:tcBorders>
              <w:tl2br w:val="nil"/>
              <w:tr2bl w:val="nil"/>
            </w:tcBorders>
            <w:vAlign w:val="center"/>
          </w:tcPr>
          <w:p/>
        </w:tc>
        <w:tc>
          <w:tcPr>
            <w:tcW w:w="5498" w:type="dxa"/>
            <w:tcBorders>
              <w:tl2br w:val="nil"/>
              <w:tr2bl w:val="nil"/>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14</w:t>
            </w:r>
            <w:r>
              <w:rPr>
                <w:rFonts w:hint="eastAsia" w:ascii="仿宋_GB2312" w:hAnsi="等线" w:eastAsia="仿宋_GB2312"/>
                <w:color w:val="000000"/>
                <w:lang w:val="en-US" w:eastAsia="zh-CN"/>
              </w:rPr>
              <w:t>0</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整机安全性要求</w:t>
            </w:r>
          </w:p>
        </w:tc>
        <w:tc>
          <w:tcPr>
            <w:tcW w:w="1688" w:type="dxa"/>
            <w:tcBorders>
              <w:tl2br w:val="nil"/>
              <w:tr2bl w:val="nil"/>
            </w:tcBorders>
            <w:vAlign w:val="center"/>
          </w:tcPr>
          <w:p>
            <w:pPr>
              <w:jc w:val="center"/>
              <w:rPr>
                <w:rFonts w:ascii="仿宋_GB2312" w:hAnsi="仿宋"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★USB端口管控</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支持USB端口管控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tc>
        <w:tc>
          <w:tcPr>
            <w:tcW w:w="1400" w:type="dxa"/>
            <w:vMerge w:val="continue"/>
            <w:tcBorders>
              <w:tl2br w:val="nil"/>
              <w:tr2bl w:val="nil"/>
            </w:tcBorders>
            <w:vAlign w:val="center"/>
          </w:tcPr>
          <w:p/>
        </w:tc>
        <w:tc>
          <w:tcPr>
            <w:tcW w:w="1688" w:type="dxa"/>
            <w:tcBorders>
              <w:tl2br w:val="nil"/>
              <w:tr2bl w:val="nil"/>
            </w:tcBorders>
            <w:vAlign w:val="center"/>
          </w:tcPr>
          <w:p/>
        </w:tc>
        <w:tc>
          <w:tcPr>
            <w:tcW w:w="5498" w:type="dxa"/>
            <w:tcBorders>
              <w:tl2br w:val="nil"/>
              <w:tr2bl w:val="nil"/>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tc>
        <w:tc>
          <w:tcPr>
            <w:tcW w:w="1400" w:type="dxa"/>
            <w:vMerge w:val="continue"/>
            <w:tcBorders>
              <w:tl2br w:val="nil"/>
              <w:tr2bl w:val="nil"/>
            </w:tcBorders>
            <w:vAlign w:val="center"/>
          </w:tcPr>
          <w:p/>
        </w:tc>
        <w:tc>
          <w:tcPr>
            <w:tcW w:w="1688" w:type="dxa"/>
            <w:tcBorders>
              <w:tl2br w:val="nil"/>
              <w:tr2bl w:val="nil"/>
            </w:tcBorders>
            <w:vAlign w:val="center"/>
          </w:tcPr>
          <w:p/>
        </w:tc>
        <w:tc>
          <w:tcPr>
            <w:tcW w:w="5498" w:type="dxa"/>
            <w:tcBorders>
              <w:tl2br w:val="nil"/>
              <w:tr2bl w:val="nil"/>
            </w:tcBorders>
            <w:shd w:val="clear" w:color="auto" w:fill="auto"/>
            <w:vAlign w:val="center"/>
          </w:tcPr>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tc>
        <w:tc>
          <w:tcPr>
            <w:tcW w:w="1400" w:type="dxa"/>
            <w:vMerge w:val="continue"/>
            <w:tcBorders>
              <w:tl2br w:val="nil"/>
              <w:tr2bl w:val="nil"/>
            </w:tcBorders>
            <w:vAlign w:val="center"/>
          </w:tcPr>
          <w:p/>
        </w:tc>
        <w:tc>
          <w:tcPr>
            <w:tcW w:w="1688" w:type="dxa"/>
            <w:tcBorders>
              <w:tl2br w:val="nil"/>
              <w:tr2bl w:val="nil"/>
            </w:tcBorders>
            <w:vAlign w:val="center"/>
          </w:tcPr>
          <w:p/>
        </w:tc>
        <w:tc>
          <w:tcPr>
            <w:tcW w:w="5498" w:type="dxa"/>
            <w:tcBorders>
              <w:tl2br w:val="nil"/>
              <w:tr2bl w:val="nil"/>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hint="eastAsia" w:ascii="仿宋_GB2312" w:hAnsi="仿宋" w:eastAsia="仿宋_GB2312" w:cs="仿宋_GB2312"/>
                <w:color w:val="000000" w:themeColor="text1"/>
                <w:sz w:val="24"/>
                <w:lang w:eastAsia="zh-CN"/>
                <w14:textFill>
                  <w14:solidFill>
                    <w14:schemeClr w14:val="tx1"/>
                  </w14:solidFill>
                </w14:textFill>
              </w:rPr>
            </w:pPr>
            <w:r>
              <w:rPr>
                <w:rFonts w:hint="eastAsia" w:ascii="仿宋_GB2312" w:hAnsi="等线" w:eastAsia="仿宋_GB2312"/>
                <w:color w:val="000000"/>
              </w:rPr>
              <w:t>14</w:t>
            </w:r>
            <w:r>
              <w:rPr>
                <w:rFonts w:hint="eastAsia" w:ascii="仿宋_GB2312" w:hAnsi="等线" w:eastAsia="仿宋_GB2312"/>
                <w:color w:val="000000"/>
                <w:lang w:val="en-US" w:eastAsia="zh-CN"/>
              </w:rPr>
              <w:t>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★限用物质的限量要求</w:t>
            </w:r>
          </w:p>
        </w:tc>
        <w:tc>
          <w:tcPr>
            <w:tcW w:w="549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26572中规定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vAlign w:val="center"/>
          </w:tcPr>
          <w:p>
            <w:pPr>
              <w:jc w:val="center"/>
              <w:rPr>
                <w:rFonts w:hint="eastAsia" w:ascii="仿宋_GB2312" w:hAnsi="仿宋" w:eastAsia="仿宋_GB2312" w:cs="仿宋_GB2312"/>
                <w:color w:val="000000" w:themeColor="text1"/>
                <w:sz w:val="24"/>
                <w:lang w:eastAsia="zh-CN"/>
                <w14:textFill>
                  <w14:solidFill>
                    <w14:schemeClr w14:val="tx1"/>
                  </w14:solidFill>
                </w14:textFill>
              </w:rPr>
            </w:pPr>
            <w:r>
              <w:rPr>
                <w:rFonts w:hint="eastAsia" w:ascii="仿宋_GB2312" w:hAnsi="等线" w:eastAsia="仿宋_GB2312"/>
                <w:color w:val="000000"/>
              </w:rPr>
              <w:t>14</w:t>
            </w:r>
            <w:r>
              <w:rPr>
                <w:rFonts w:hint="eastAsia" w:ascii="仿宋_GB2312" w:hAnsi="等线" w:eastAsia="仿宋_GB2312"/>
                <w:color w:val="000000"/>
                <w:lang w:val="en-US" w:eastAsia="zh-CN"/>
              </w:rPr>
              <w:t>2</w:t>
            </w:r>
          </w:p>
        </w:tc>
        <w:tc>
          <w:tcPr>
            <w:tcW w:w="8586" w:type="dxa"/>
            <w:gridSpan w:val="3"/>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★提供节能产品认证证书。</w:t>
            </w:r>
          </w:p>
        </w:tc>
      </w:tr>
    </w:tbl>
    <w:p>
      <w:pPr>
        <w:pStyle w:val="6"/>
        <w:numPr>
          <w:ilvl w:val="0"/>
          <w:numId w:val="7"/>
        </w:numPr>
        <w:tabs>
          <w:tab w:val="clear" w:pos="1984"/>
        </w:tabs>
        <w:spacing w:before="0" w:after="0" w:line="440" w:lineRule="exact"/>
        <w:jc w:val="left"/>
        <w:rPr>
          <w:rFonts w:ascii="仿宋_GB2312" w:hAnsi="仿宋" w:eastAsia="仿宋_GB2312" w:cs="仿宋_GB2312"/>
          <w:sz w:val="24"/>
          <w:szCs w:val="24"/>
        </w:rPr>
      </w:pPr>
      <w:r>
        <w:rPr>
          <w:rFonts w:hint="eastAsia" w:ascii="仿宋_GB2312" w:hAnsi="仿宋" w:eastAsia="仿宋_GB2312" w:cs="仿宋_GB2312"/>
          <w:sz w:val="24"/>
          <w:szCs w:val="24"/>
        </w:rPr>
        <w:t>放射专用显示器：</w:t>
      </w:r>
    </w:p>
    <w:tbl>
      <w:tblPr>
        <w:tblStyle w:val="63"/>
        <w:tblW w:w="47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89"/>
        <w:gridCol w:w="1437"/>
        <w:gridCol w:w="5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05" w:type="dxa"/>
            <w:tcBorders>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bookmarkStart w:id="11" w:name="_Hlk169809705"/>
            <w:r>
              <w:rPr>
                <w:rFonts w:hint="eastAsia" w:ascii="仿宋_GB2312" w:hAnsi="仿宋" w:eastAsia="仿宋_GB2312" w:cs="仿宋_GB2312"/>
                <w:b/>
                <w:bCs/>
                <w:color w:val="000000" w:themeColor="text1"/>
                <w:sz w:val="24"/>
                <w14:textFill>
                  <w14:solidFill>
                    <w14:schemeClr w14:val="tx1"/>
                  </w14:solidFill>
                </w14:textFill>
              </w:rPr>
              <w:t>序号</w:t>
            </w:r>
          </w:p>
        </w:tc>
        <w:tc>
          <w:tcPr>
            <w:tcW w:w="1368"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一级指标</w:t>
            </w:r>
          </w:p>
        </w:tc>
        <w:tc>
          <w:tcPr>
            <w:tcW w:w="1525" w:type="dxa"/>
            <w:tcBorders>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二级指标</w:t>
            </w:r>
          </w:p>
        </w:tc>
        <w:tc>
          <w:tcPr>
            <w:tcW w:w="5501"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c>
          <w:tcPr>
            <w:tcW w:w="1368" w:type="dxa"/>
            <w:vMerge w:val="restart"/>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放射专用显示器</w:t>
            </w:r>
            <w:r>
              <w:rPr>
                <w:rFonts w:hint="eastAsia" w:ascii="仿宋_GB2312" w:hAnsi="仿宋" w:eastAsia="仿宋_GB2312"/>
                <w:color w:val="000000"/>
                <w:sz w:val="24"/>
              </w:rPr>
              <w:t>（核心产品）</w:t>
            </w:r>
          </w:p>
        </w:tc>
        <w:tc>
          <w:tcPr>
            <w:tcW w:w="1525" w:type="dxa"/>
            <w:tcBorders>
              <w:tl2br w:val="nil"/>
              <w:tr2bl w:val="nil"/>
            </w:tcBorders>
            <w:vAlign w:val="center"/>
          </w:tcPr>
          <w:p>
            <w:pPr>
              <w:jc w:val="center"/>
              <w:rPr>
                <w:rFonts w:ascii="仿宋_GB2312" w:hAnsi="仿宋" w:eastAsia="仿宋_GB2312" w:cs="仿宋"/>
                <w:kern w:val="0"/>
                <w:sz w:val="24"/>
              </w:rPr>
            </w:pPr>
            <w:r>
              <w:rPr>
                <w:rFonts w:hint="eastAsia" w:ascii="仿宋_GB2312" w:hAnsi="Microsoft Sans Serif" w:eastAsia="仿宋_GB2312"/>
                <w:color w:val="000000"/>
                <w:sz w:val="24"/>
              </w:rPr>
              <w:t>医疗影像标准</w:t>
            </w:r>
          </w:p>
        </w:tc>
        <w:tc>
          <w:tcPr>
            <w:tcW w:w="5501" w:type="dxa"/>
            <w:tcBorders>
              <w:tl2br w:val="nil"/>
              <w:tr2bl w:val="nil"/>
            </w:tcBorders>
            <w:shd w:val="clear" w:color="auto" w:fill="auto"/>
            <w:vAlign w:val="center"/>
          </w:tcPr>
          <w:p>
            <w:pPr>
              <w:wordWrap w:val="0"/>
              <w:rPr>
                <w:rFonts w:ascii="仿宋_GB2312" w:hAnsi="Microsoft Sans Serif" w:eastAsia="仿宋_GB2312"/>
                <w:color w:val="000000"/>
                <w:sz w:val="24"/>
              </w:rPr>
            </w:pPr>
            <w:r>
              <w:rPr>
                <w:rFonts w:hint="eastAsia" w:ascii="仿宋_GB2312" w:hAnsi="Microsoft Sans Serif" w:eastAsia="仿宋_GB2312"/>
                <w:color w:val="000000"/>
                <w:sz w:val="24"/>
              </w:rPr>
              <w:t>显示器完全符合DICOM3.14标准。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2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kern w:val="0"/>
                <w:sz w:val="24"/>
              </w:rPr>
              <w:t>自动校准亮度曲线</w:t>
            </w:r>
          </w:p>
        </w:tc>
        <w:tc>
          <w:tcPr>
            <w:tcW w:w="5501" w:type="dxa"/>
            <w:tcBorders>
              <w:tl2br w:val="nil"/>
              <w:tr2bl w:val="nil"/>
            </w:tcBorders>
            <w:shd w:val="clear" w:color="auto" w:fill="auto"/>
            <w:vAlign w:val="center"/>
          </w:tcPr>
          <w:p>
            <w:pPr>
              <w:rPr>
                <w:rFonts w:ascii="仿宋_GB2312" w:hAnsi="仿宋" w:eastAsia="仿宋_GB2312" w:cs="仿宋"/>
                <w:color w:val="000000"/>
                <w:kern w:val="0"/>
                <w:sz w:val="24"/>
              </w:rPr>
            </w:pPr>
            <w:r>
              <w:rPr>
                <w:rFonts w:hint="eastAsia" w:ascii="仿宋_GB2312" w:hAnsi="仿宋" w:eastAsia="仿宋_GB2312" w:cs="仿宋"/>
                <w:color w:val="000000"/>
                <w:kern w:val="0"/>
                <w:sz w:val="24"/>
              </w:rPr>
              <w:t>1.▲显示器</w:t>
            </w:r>
            <w:r>
              <w:rPr>
                <w:rFonts w:hint="eastAsia" w:ascii="仿宋_GB2312" w:hAnsi="Microsoft Sans Serif" w:eastAsia="仿宋_GB2312"/>
                <w:color w:val="000000"/>
                <w:sz w:val="24"/>
              </w:rPr>
              <w:t>内置Gamma校正软件，</w:t>
            </w:r>
            <w:r>
              <w:rPr>
                <w:rFonts w:hint="eastAsia" w:ascii="仿宋_GB2312" w:hAnsi="仿宋" w:eastAsia="仿宋_GB2312" w:cs="仿宋"/>
                <w:color w:val="000000"/>
                <w:kern w:val="0"/>
                <w:sz w:val="24"/>
              </w:rPr>
              <w:t>可以自动校准</w:t>
            </w:r>
            <w:r>
              <w:rPr>
                <w:rFonts w:hint="eastAsia" w:ascii="仿宋_GB2312" w:hAnsi="Microsoft Sans Serif" w:eastAsia="仿宋_GB2312"/>
                <w:color w:val="000000"/>
                <w:sz w:val="24"/>
              </w:rPr>
              <w:t>Gamma</w:t>
            </w:r>
            <w:r>
              <w:rPr>
                <w:rFonts w:hint="eastAsia" w:ascii="仿宋_GB2312" w:hAnsi="仿宋" w:eastAsia="仿宋_GB2312" w:cs="仿宋"/>
                <w:color w:val="000000"/>
                <w:kern w:val="0"/>
                <w:sz w:val="24"/>
              </w:rPr>
              <w:t>曲线，完全符合dicom3.14标准。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color w:val="000000"/>
                <w:kern w:val="0"/>
                <w:sz w:val="24"/>
                <w:highlight w:val="none"/>
              </w:rPr>
              <w:t>2.</w:t>
            </w:r>
            <w:r>
              <w:rPr>
                <w:rFonts w:hint="eastAsia" w:ascii="仿宋_GB2312" w:hAnsi="Microsoft Sans Serif" w:eastAsia="仿宋_GB2312"/>
                <w:color w:val="000000"/>
                <w:sz w:val="24"/>
                <w:highlight w:val="none"/>
              </w:rPr>
              <w:t>提供</w:t>
            </w:r>
            <w:r>
              <w:rPr>
                <w:rFonts w:hint="eastAsia" w:ascii="仿宋_GB2312" w:hAnsi="Microsoft Sans Serif" w:eastAsia="仿宋_GB2312"/>
                <w:color w:val="000000"/>
                <w:sz w:val="24"/>
                <w:highlight w:val="none"/>
                <w:lang w:val="en-US" w:eastAsia="zh-CN"/>
              </w:rPr>
              <w:t>所投</w:t>
            </w:r>
            <w:r>
              <w:rPr>
                <w:rFonts w:hint="eastAsia" w:ascii="仿宋_GB2312" w:hAnsi="Microsoft Sans Serif" w:eastAsia="仿宋_GB2312"/>
                <w:color w:val="000000"/>
                <w:sz w:val="24"/>
                <w:highlight w:val="none"/>
              </w:rPr>
              <w:t>校正软件功能相关</w:t>
            </w:r>
            <w:r>
              <w:rPr>
                <w:rFonts w:hint="eastAsia" w:ascii="仿宋_GB2312" w:hAnsi="Microsoft Sans Serif" w:eastAsia="仿宋_GB2312"/>
                <w:color w:val="000000"/>
                <w:sz w:val="24"/>
                <w:highlight w:val="none"/>
                <w:lang w:val="en-US" w:eastAsia="zh-CN"/>
              </w:rPr>
              <w:t>的</w:t>
            </w:r>
            <w:r>
              <w:rPr>
                <w:rFonts w:hint="eastAsia" w:ascii="仿宋_GB2312" w:hAnsi="Microsoft Sans Serif" w:eastAsia="仿宋_GB2312"/>
                <w:color w:val="000000"/>
                <w:sz w:val="24"/>
                <w:highlight w:val="none"/>
              </w:rPr>
              <w:t>软件著作权证书复印件加盖投标人公章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2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kern w:val="0"/>
                <w:sz w:val="24"/>
              </w:rPr>
              <w:t>基本参数</w:t>
            </w:r>
          </w:p>
        </w:tc>
        <w:tc>
          <w:tcPr>
            <w:tcW w:w="5501"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s="仿宋"/>
                <w:color w:val="000000"/>
                <w:kern w:val="0"/>
                <w:sz w:val="24"/>
              </w:rPr>
              <w:t>≥</w:t>
            </w:r>
            <w:r>
              <w:rPr>
                <w:rFonts w:hint="eastAsia" w:ascii="仿宋_GB2312" w:hAnsi="仿宋" w:eastAsia="仿宋_GB2312" w:cs="仿宋"/>
                <w:kern w:val="0"/>
                <w:sz w:val="24"/>
              </w:rPr>
              <w:t>27英寸，分辨率</w:t>
            </w:r>
            <w:r>
              <w:rPr>
                <w:rFonts w:hint="eastAsia" w:ascii="仿宋_GB2312" w:hAnsi="仿宋" w:eastAsia="仿宋_GB2312" w:cs="仿宋"/>
                <w:color w:val="000000"/>
                <w:kern w:val="0"/>
                <w:sz w:val="24"/>
              </w:rPr>
              <w:t>≥</w:t>
            </w:r>
            <w:r>
              <w:rPr>
                <w:rFonts w:hint="eastAsia" w:ascii="仿宋_GB2312" w:hAnsi="仿宋" w:eastAsia="仿宋_GB2312" w:cs="仿宋"/>
                <w:kern w:val="0"/>
                <w:sz w:val="24"/>
              </w:rPr>
              <w:t>2560×1440，点距</w:t>
            </w:r>
            <w:r>
              <w:rPr>
                <w:rFonts w:hint="eastAsia" w:ascii="仿宋_GB2312" w:hAnsi="仿宋" w:eastAsia="仿宋_GB2312" w:cs="仿宋"/>
                <w:sz w:val="24"/>
              </w:rPr>
              <w:t>≤</w:t>
            </w:r>
            <w:r>
              <w:rPr>
                <w:rFonts w:hint="eastAsia" w:ascii="仿宋_GB2312" w:hAnsi="仿宋" w:eastAsia="仿宋_GB2312" w:cs="仿宋"/>
                <w:kern w:val="0"/>
                <w:sz w:val="24"/>
              </w:rPr>
              <w:t>0.2331* 0.2331mm，色彩</w:t>
            </w:r>
            <w:r>
              <w:rPr>
                <w:rFonts w:hint="eastAsia" w:ascii="仿宋_GB2312" w:hAnsi="仿宋" w:eastAsia="仿宋_GB2312" w:cs="仿宋"/>
                <w:color w:val="000000"/>
                <w:kern w:val="0"/>
                <w:sz w:val="24"/>
              </w:rPr>
              <w:t>≥10.7亿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2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kern w:val="0"/>
                <w:sz w:val="24"/>
              </w:rPr>
              <w:t>性能参数</w:t>
            </w:r>
          </w:p>
        </w:tc>
        <w:tc>
          <w:tcPr>
            <w:tcW w:w="5501" w:type="dxa"/>
            <w:tcBorders>
              <w:tl2br w:val="nil"/>
              <w:tr2bl w:val="nil"/>
            </w:tcBorders>
            <w:shd w:val="clear" w:color="auto" w:fill="auto"/>
            <w:vAlign w:val="center"/>
          </w:tcPr>
          <w:p>
            <w:pPr>
              <w:jc w:val="left"/>
              <w:rPr>
                <w:rFonts w:ascii="仿宋_GB2312" w:hAnsi="仿宋" w:eastAsia="仿宋_GB2312" w:cs="仿宋"/>
                <w:color w:val="000000"/>
                <w:kern w:val="0"/>
                <w:sz w:val="24"/>
              </w:rPr>
            </w:pPr>
            <w:r>
              <w:rPr>
                <w:rFonts w:hint="eastAsia" w:ascii="仿宋_GB2312" w:hAnsi="仿宋" w:eastAsia="仿宋_GB2312" w:cs="仿宋"/>
                <w:color w:val="000000"/>
                <w:kern w:val="0"/>
                <w:sz w:val="24"/>
              </w:rPr>
              <w:t>最大亮度≥550cd/m</w:t>
            </w:r>
            <w:r>
              <w:rPr>
                <w:rFonts w:ascii="Calibri" w:hAnsi="Calibri" w:eastAsia="仿宋_GB2312" w:cs="Calibri"/>
                <w:color w:val="000000"/>
                <w:kern w:val="0"/>
                <w:sz w:val="24"/>
              </w:rPr>
              <w:t>²</w:t>
            </w:r>
            <w:r>
              <w:rPr>
                <w:rFonts w:hint="eastAsia" w:ascii="仿宋_GB2312" w:hAnsi="仿宋" w:eastAsia="仿宋_GB2312" w:cs="仿宋_GB2312"/>
                <w:color w:val="000000"/>
                <w:kern w:val="0"/>
                <w:sz w:val="24"/>
              </w:rPr>
              <w:t>，对比度≥</w:t>
            </w:r>
            <w:r>
              <w:rPr>
                <w:rFonts w:hint="eastAsia" w:ascii="仿宋_GB2312" w:hAnsi="仿宋" w:eastAsia="仿宋_GB2312" w:cs="仿宋"/>
                <w:color w:val="000000"/>
                <w:kern w:val="0"/>
                <w:sz w:val="24"/>
              </w:rPr>
              <w:t>1000：1，响应时间≤8ms，可视角度≥178°。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25" w:type="dxa"/>
            <w:tcBorders>
              <w:tl2br w:val="nil"/>
              <w:tr2bl w:val="nil"/>
            </w:tcBorders>
            <w:vAlign w:val="center"/>
          </w:tcPr>
          <w:p>
            <w:pPr>
              <w:jc w:val="center"/>
              <w:rPr>
                <w:rFonts w:ascii="仿宋_GB2312" w:hAnsi="仿宋" w:eastAsia="仿宋_GB2312" w:cs="仿宋"/>
                <w:kern w:val="0"/>
                <w:sz w:val="24"/>
              </w:rPr>
            </w:pPr>
            <w:r>
              <w:rPr>
                <w:rFonts w:hint="eastAsia" w:ascii="仿宋_GB2312" w:hAnsi="仿宋" w:eastAsia="仿宋_GB2312" w:cs="仿宋"/>
                <w:kern w:val="0"/>
                <w:sz w:val="24"/>
              </w:rPr>
              <w:t>持续亮度监测技术</w:t>
            </w:r>
          </w:p>
        </w:tc>
        <w:tc>
          <w:tcPr>
            <w:tcW w:w="5501" w:type="dxa"/>
            <w:tcBorders>
              <w:tl2br w:val="nil"/>
              <w:tr2bl w:val="nil"/>
            </w:tcBorders>
            <w:shd w:val="clear" w:color="auto" w:fill="auto"/>
            <w:vAlign w:val="center"/>
          </w:tcPr>
          <w:p>
            <w:pPr>
              <w:jc w:val="left"/>
              <w:rPr>
                <w:rFonts w:ascii="仿宋_GB2312" w:hAnsi="仿宋" w:eastAsia="仿宋_GB2312" w:cs="仿宋"/>
                <w:color w:val="000000"/>
                <w:kern w:val="0"/>
                <w:sz w:val="24"/>
              </w:rPr>
            </w:pPr>
            <w:r>
              <w:rPr>
                <w:rFonts w:hint="eastAsia" w:ascii="仿宋_GB2312" w:hAnsi="仿宋" w:eastAsia="仿宋_GB2312" w:cs="仿宋"/>
                <w:color w:val="000000"/>
                <w:kern w:val="0"/>
                <w:sz w:val="24"/>
              </w:rPr>
              <w:t>▲前置集成传感器，对显示系统持续自动进行质量检测.提供</w:t>
            </w:r>
            <w:r>
              <w:rPr>
                <w:rFonts w:hint="eastAsia" w:ascii="仿宋_GB2312" w:hAnsi="仿宋" w:eastAsia="仿宋_GB2312" w:cs="仿宋"/>
                <w:color w:val="000000"/>
                <w:kern w:val="0"/>
                <w:sz w:val="24"/>
                <w:lang w:val="en-US" w:eastAsia="zh-CN"/>
              </w:rPr>
              <w:t>带有</w:t>
            </w:r>
            <w:r>
              <w:rPr>
                <w:rFonts w:hint="eastAsia" w:ascii="仿宋_GB2312" w:hAnsi="仿宋" w:eastAsia="仿宋_GB2312" w:cs="仿宋"/>
                <w:color w:val="000000"/>
                <w:kern w:val="0"/>
                <w:sz w:val="24"/>
              </w:rPr>
              <w:t>CMA或CNAS</w:t>
            </w:r>
            <w:r>
              <w:rPr>
                <w:rFonts w:hint="eastAsia" w:ascii="仿宋_GB2312" w:hAnsi="仿宋" w:eastAsia="仿宋_GB2312" w:cs="仿宋"/>
                <w:color w:val="000000"/>
                <w:kern w:val="0"/>
                <w:sz w:val="24"/>
                <w:lang w:val="en-US" w:eastAsia="zh-CN"/>
              </w:rPr>
              <w:t>标识的第三方</w:t>
            </w:r>
            <w:r>
              <w:rPr>
                <w:rFonts w:hint="eastAsia" w:ascii="仿宋_GB2312" w:hAnsi="仿宋" w:eastAsia="仿宋_GB2312" w:cs="仿宋"/>
                <w:color w:val="000000"/>
                <w:kern w:val="0"/>
                <w:sz w:val="24"/>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6</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25" w:type="dxa"/>
            <w:tcBorders>
              <w:tl2br w:val="nil"/>
              <w:tr2bl w:val="nil"/>
            </w:tcBorders>
            <w:vAlign w:val="center"/>
          </w:tcPr>
          <w:p>
            <w:pPr>
              <w:jc w:val="center"/>
              <w:rPr>
                <w:rFonts w:ascii="仿宋_GB2312" w:hAnsi="仿宋" w:eastAsia="仿宋_GB2312" w:cs="仿宋"/>
                <w:kern w:val="0"/>
                <w:sz w:val="24"/>
              </w:rPr>
            </w:pPr>
            <w:r>
              <w:rPr>
                <w:rFonts w:hint="eastAsia" w:ascii="仿宋_GB2312" w:hAnsi="仿宋" w:eastAsia="仿宋_GB2312" w:cs="仿宋"/>
                <w:kern w:val="0"/>
                <w:sz w:val="24"/>
              </w:rPr>
              <w:t>曲线切换</w:t>
            </w:r>
          </w:p>
        </w:tc>
        <w:tc>
          <w:tcPr>
            <w:tcW w:w="5501" w:type="dxa"/>
            <w:tcBorders>
              <w:tl2br w:val="nil"/>
              <w:tr2bl w:val="nil"/>
            </w:tcBorders>
            <w:shd w:val="clear" w:color="auto" w:fill="auto"/>
            <w:vAlign w:val="center"/>
          </w:tcPr>
          <w:p>
            <w:pPr>
              <w:jc w:val="left"/>
              <w:rPr>
                <w:rFonts w:ascii="仿宋_GB2312" w:hAnsi="仿宋" w:eastAsia="仿宋_GB2312" w:cs="仿宋"/>
                <w:color w:val="000000"/>
                <w:kern w:val="0"/>
                <w:sz w:val="24"/>
              </w:rPr>
            </w:pPr>
            <w:r>
              <w:rPr>
                <w:rFonts w:hint="eastAsia" w:ascii="仿宋_GB2312" w:hAnsi="仿宋" w:eastAsia="仿宋_GB2312" w:cs="仿宋"/>
                <w:color w:val="000000"/>
                <w:kern w:val="0"/>
                <w:sz w:val="24"/>
              </w:rPr>
              <w:t>支持一键快捷切换Gamma2.2与Dicom切换，以方便临床诊断过程中一键进行切换，便于医生对影像病灶进行精准阅读，需提供</w:t>
            </w:r>
            <w:r>
              <w:rPr>
                <w:rFonts w:hint="eastAsia" w:ascii="仿宋_GB2312" w:hAnsi="仿宋" w:eastAsia="仿宋_GB2312" w:cs="仿宋"/>
                <w:color w:val="000000"/>
                <w:kern w:val="0"/>
                <w:sz w:val="24"/>
                <w:lang w:val="en-US" w:eastAsia="zh-CN"/>
              </w:rPr>
              <w:t>所投</w:t>
            </w:r>
            <w:r>
              <w:rPr>
                <w:rFonts w:hint="eastAsia" w:ascii="仿宋_GB2312" w:hAnsi="仿宋" w:eastAsia="仿宋_GB2312" w:cs="仿宋"/>
                <w:color w:val="000000"/>
                <w:kern w:val="0"/>
                <w:sz w:val="24"/>
              </w:rPr>
              <w:t>产品的内置操作功能菜单的截图界面照片证明及产品手册或说明书资料。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2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kern w:val="0"/>
                <w:sz w:val="24"/>
              </w:rPr>
              <w:t>同屏互联</w:t>
            </w:r>
          </w:p>
        </w:tc>
        <w:tc>
          <w:tcPr>
            <w:tcW w:w="5501" w:type="dxa"/>
            <w:tcBorders>
              <w:tl2br w:val="nil"/>
              <w:tr2bl w:val="nil"/>
            </w:tcBorders>
            <w:shd w:val="clear" w:color="auto" w:fill="auto"/>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color w:val="000000"/>
                <w:kern w:val="0"/>
                <w:sz w:val="24"/>
              </w:rPr>
              <w:t>1.▲具备同屏互联模块，具备USB接口，支持手机平板等移动设备同时充电及图像投屏到屏幕显示.提供</w:t>
            </w:r>
            <w:r>
              <w:rPr>
                <w:rFonts w:hint="eastAsia" w:ascii="仿宋_GB2312" w:hAnsi="仿宋" w:eastAsia="仿宋_GB2312" w:cs="仿宋"/>
                <w:color w:val="000000"/>
                <w:kern w:val="0"/>
                <w:sz w:val="24"/>
                <w:lang w:val="en-US" w:eastAsia="zh-CN"/>
              </w:rPr>
              <w:t>带有</w:t>
            </w:r>
            <w:r>
              <w:rPr>
                <w:rFonts w:hint="eastAsia" w:ascii="仿宋_GB2312" w:hAnsi="仿宋" w:eastAsia="仿宋_GB2312" w:cs="仿宋"/>
                <w:color w:val="000000"/>
                <w:kern w:val="0"/>
                <w:sz w:val="24"/>
              </w:rPr>
              <w:t>CMA或CNAS</w:t>
            </w:r>
            <w:r>
              <w:rPr>
                <w:rFonts w:hint="eastAsia" w:ascii="仿宋_GB2312" w:hAnsi="仿宋" w:eastAsia="仿宋_GB2312" w:cs="仿宋"/>
                <w:color w:val="000000"/>
                <w:kern w:val="0"/>
                <w:sz w:val="24"/>
                <w:lang w:val="en-US" w:eastAsia="zh-CN"/>
              </w:rPr>
              <w:t>标识的第三方</w:t>
            </w:r>
            <w:r>
              <w:rPr>
                <w:rFonts w:hint="eastAsia" w:ascii="仿宋_GB2312" w:hAnsi="仿宋" w:eastAsia="仿宋_GB2312" w:cs="仿宋"/>
                <w:color w:val="000000"/>
                <w:kern w:val="0"/>
                <w:sz w:val="24"/>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25" w:type="dxa"/>
            <w:tcBorders>
              <w:tl2br w:val="nil"/>
              <w:tr2bl w:val="nil"/>
            </w:tcBorders>
            <w:vAlign w:val="center"/>
          </w:tcPr>
          <w:p>
            <w:pPr>
              <w:jc w:val="center"/>
              <w:rPr>
                <w:rFonts w:ascii="仿宋_GB2312" w:hAnsi="仿宋" w:eastAsia="仿宋_GB2312" w:cs="仿宋"/>
                <w:color w:val="000000"/>
                <w:kern w:val="0"/>
                <w:sz w:val="24"/>
              </w:rPr>
            </w:pPr>
            <w:r>
              <w:rPr>
                <w:rFonts w:hint="eastAsia" w:ascii="仿宋_GB2312" w:hAnsi="仿宋" w:eastAsia="仿宋_GB2312" w:cs="仿宋"/>
                <w:color w:val="000000"/>
                <w:kern w:val="0"/>
                <w:sz w:val="24"/>
              </w:rPr>
              <w:t>低蓝光</w:t>
            </w:r>
          </w:p>
        </w:tc>
        <w:tc>
          <w:tcPr>
            <w:tcW w:w="5501" w:type="dxa"/>
            <w:tcBorders>
              <w:tl2br w:val="nil"/>
              <w:tr2bl w:val="nil"/>
            </w:tcBorders>
            <w:shd w:val="clear" w:color="auto" w:fill="auto"/>
          </w:tcPr>
          <w:p>
            <w:pPr>
              <w:rPr>
                <w:rFonts w:ascii="仿宋_GB2312" w:hAnsi="仿宋" w:eastAsia="仿宋_GB2312" w:cs="仿宋"/>
                <w:color w:val="000000"/>
                <w:kern w:val="0"/>
                <w:sz w:val="24"/>
              </w:rPr>
            </w:pPr>
            <w:r>
              <w:rPr>
                <w:rFonts w:hint="eastAsia" w:ascii="仿宋_GB2312" w:hAnsi="仿宋" w:eastAsia="仿宋_GB2312" w:cs="仿宋"/>
                <w:color w:val="000000"/>
                <w:kern w:val="0"/>
                <w:sz w:val="24"/>
              </w:rPr>
              <w:t>▲投标产品具备低蓝光技术。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9</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2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kern w:val="0"/>
                <w:sz w:val="24"/>
              </w:rPr>
              <w:t>健康提醒功能</w:t>
            </w:r>
          </w:p>
        </w:tc>
        <w:tc>
          <w:tcPr>
            <w:tcW w:w="5501"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color w:val="000000"/>
                <w:kern w:val="0"/>
                <w:sz w:val="24"/>
              </w:rPr>
              <w:t>具有自动屏幕显示提醒功能，可通过产品显示控制菜单进行开关控制。</w:t>
            </w:r>
            <w:r>
              <w:rPr>
                <w:rFonts w:ascii="仿宋_GB2312" w:hAnsi="仿宋" w:eastAsia="仿宋_GB2312" w:cs="仿宋_GB2312"/>
                <w:color w:val="000000" w:themeColor="text1"/>
                <w:sz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2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kern w:val="0"/>
                <w:sz w:val="24"/>
              </w:rPr>
              <w:t>视频端口</w:t>
            </w:r>
          </w:p>
        </w:tc>
        <w:tc>
          <w:tcPr>
            <w:tcW w:w="5501" w:type="dxa"/>
            <w:tcBorders>
              <w:tl2br w:val="nil"/>
              <w:tr2bl w:val="nil"/>
            </w:tcBorders>
            <w:shd w:val="clear" w:color="auto" w:fill="auto"/>
            <w:vAlign w:val="center"/>
          </w:tcPr>
          <w:p>
            <w:pPr>
              <w:jc w:val="left"/>
              <w:rPr>
                <w:rFonts w:ascii="仿宋_GB2312" w:hAnsi="仿宋" w:eastAsia="仿宋_GB2312" w:cs="仿宋"/>
                <w:color w:val="000000"/>
                <w:kern w:val="0"/>
                <w:sz w:val="24"/>
              </w:rPr>
            </w:pPr>
            <w:r>
              <w:rPr>
                <w:rFonts w:hint="eastAsia" w:ascii="仿宋_GB2312" w:hAnsi="仿宋" w:eastAsia="仿宋_GB2312" w:cs="仿宋"/>
                <w:color w:val="000000"/>
                <w:kern w:val="0"/>
                <w:sz w:val="24"/>
              </w:rPr>
              <w:t>1.输入端口：具备2个DVI-D接口及2个DP接口，输出端口：具备1个DP接口，支持设置菊花链或者克隆输出显示模式。</w:t>
            </w:r>
          </w:p>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color w:val="000000"/>
                <w:kern w:val="0"/>
                <w:sz w:val="24"/>
              </w:rPr>
              <w:t>2. 提供第1项参数</w:t>
            </w:r>
            <w:r>
              <w:rPr>
                <w:rFonts w:hint="eastAsia" w:ascii="仿宋_GB2312" w:hAnsi="仿宋" w:eastAsia="仿宋_GB2312" w:cs="仿宋"/>
                <w:color w:val="000000"/>
                <w:kern w:val="0"/>
                <w:sz w:val="24"/>
                <w:lang w:val="en-US" w:eastAsia="zh-CN"/>
              </w:rPr>
              <w:t>的带有</w:t>
            </w:r>
            <w:r>
              <w:rPr>
                <w:rFonts w:hint="eastAsia" w:ascii="仿宋_GB2312" w:hAnsi="仿宋" w:eastAsia="仿宋_GB2312" w:cs="仿宋"/>
                <w:color w:val="000000"/>
                <w:kern w:val="0"/>
                <w:sz w:val="24"/>
              </w:rPr>
              <w:t>CMA或CNAS</w:t>
            </w:r>
            <w:r>
              <w:rPr>
                <w:rFonts w:hint="eastAsia" w:ascii="仿宋_GB2312" w:hAnsi="仿宋" w:eastAsia="仿宋_GB2312" w:cs="仿宋"/>
                <w:color w:val="000000"/>
                <w:kern w:val="0"/>
                <w:sz w:val="24"/>
                <w:lang w:val="en-US" w:eastAsia="zh-CN"/>
              </w:rPr>
              <w:t>标识的第三方</w:t>
            </w:r>
            <w:r>
              <w:rPr>
                <w:rFonts w:hint="eastAsia" w:ascii="仿宋_GB2312" w:hAnsi="仿宋" w:eastAsia="仿宋_GB2312" w:cs="仿宋"/>
                <w:color w:val="000000"/>
                <w:kern w:val="0"/>
                <w:sz w:val="24"/>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11</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2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kern w:val="0"/>
                <w:sz w:val="24"/>
              </w:rPr>
              <w:t>显卡</w:t>
            </w:r>
          </w:p>
        </w:tc>
        <w:tc>
          <w:tcPr>
            <w:tcW w:w="5501"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color w:val="000000"/>
                <w:kern w:val="0"/>
                <w:sz w:val="24"/>
              </w:rPr>
              <w:t>配置NVIDIA或者AMD专业芯片组显卡（非游戏类显卡），至少具备DP及DVI-I信号输出接口，显存≥2G。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12</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2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kern w:val="0"/>
                <w:sz w:val="24"/>
              </w:rPr>
              <w:t>阅片灯功能</w:t>
            </w:r>
          </w:p>
        </w:tc>
        <w:tc>
          <w:tcPr>
            <w:tcW w:w="5501"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color w:val="000000"/>
                <w:kern w:val="0"/>
                <w:sz w:val="24"/>
              </w:rPr>
              <w:t>显示器具有自动切换阅片灯模式的功能。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13</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2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kern w:val="0"/>
                <w:sz w:val="24"/>
              </w:rPr>
              <w:t>产品认证</w:t>
            </w:r>
          </w:p>
        </w:tc>
        <w:tc>
          <w:tcPr>
            <w:tcW w:w="5501"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color w:val="000000"/>
                <w:kern w:val="0"/>
                <w:sz w:val="24"/>
              </w:rPr>
              <w:t>产品通过3C认证（提供认证证书复印件加盖投标人公章）。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14</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2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
                <w:kern w:val="0"/>
                <w:sz w:val="24"/>
              </w:rPr>
              <w:t>原厂生产</w:t>
            </w:r>
          </w:p>
        </w:tc>
        <w:tc>
          <w:tcPr>
            <w:tcW w:w="5501" w:type="dxa"/>
            <w:tcBorders>
              <w:tl2br w:val="nil"/>
              <w:tr2bl w:val="nil"/>
            </w:tcBorders>
            <w:shd w:val="clear" w:color="auto" w:fill="auto"/>
            <w:vAlign w:val="center"/>
          </w:tcPr>
          <w:p>
            <w:pPr>
              <w:rPr>
                <w:rFonts w:hint="eastAsia" w:ascii="仿宋_GB2312" w:hAnsi="仿宋" w:eastAsia="仿宋_GB2312" w:cs="仿宋_GB2312"/>
                <w:color w:val="000000" w:themeColor="text1"/>
                <w:sz w:val="24"/>
                <w:lang w:eastAsia="zh-CN"/>
                <w14:textFill>
                  <w14:solidFill>
                    <w14:schemeClr w14:val="tx1"/>
                  </w14:solidFill>
                </w14:textFill>
              </w:rPr>
            </w:pPr>
            <w:r>
              <w:rPr>
                <w:rFonts w:hint="eastAsia" w:ascii="仿宋_GB2312" w:hAnsi="仿宋" w:eastAsia="仿宋_GB2312" w:cs="仿宋"/>
                <w:color w:val="000000"/>
                <w:kern w:val="0"/>
                <w:sz w:val="24"/>
              </w:rPr>
              <w:t>投标产品为原厂生产，非OEM产品</w:t>
            </w:r>
            <w:r>
              <w:rPr>
                <w:rFonts w:hint="eastAsia" w:ascii="仿宋_GB2312" w:hAnsi="仿宋" w:eastAsia="仿宋_GB2312" w:cs="仿宋"/>
                <w:color w:val="000000"/>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r>
              <w:rPr>
                <w:rFonts w:ascii="仿宋_GB2312" w:hAnsi="仿宋" w:eastAsia="仿宋_GB2312" w:cs="仿宋_GB2312"/>
                <w:color w:val="000000" w:themeColor="text1"/>
                <w:sz w:val="24"/>
                <w14:textFill>
                  <w14:solidFill>
                    <w14:schemeClr w14:val="tx1"/>
                  </w14:solidFill>
                </w14:textFill>
              </w:rPr>
              <w:t>5</w:t>
            </w:r>
          </w:p>
        </w:tc>
        <w:tc>
          <w:tcPr>
            <w:tcW w:w="8394" w:type="dxa"/>
            <w:gridSpan w:val="3"/>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★提供节能产品认证证书。</w:t>
            </w:r>
          </w:p>
        </w:tc>
      </w:tr>
      <w:bookmarkEnd w:id="11"/>
    </w:tbl>
    <w:p>
      <w:pPr>
        <w:pStyle w:val="6"/>
        <w:numPr>
          <w:ilvl w:val="0"/>
          <w:numId w:val="7"/>
        </w:numPr>
        <w:tabs>
          <w:tab w:val="clear" w:pos="1984"/>
        </w:tabs>
        <w:spacing w:before="0" w:after="0" w:line="440" w:lineRule="exact"/>
        <w:jc w:val="left"/>
        <w:rPr>
          <w:rFonts w:ascii="仿宋_GB2312" w:hAnsi="仿宋" w:eastAsia="仿宋_GB2312" w:cs="仿宋_GB2312"/>
          <w:sz w:val="24"/>
          <w:szCs w:val="24"/>
        </w:rPr>
      </w:pPr>
      <w:r>
        <w:rPr>
          <w:rFonts w:hint="eastAsia" w:ascii="仿宋_GB2312" w:hAnsi="仿宋" w:eastAsia="仿宋_GB2312" w:cs="仿宋_GB2312"/>
          <w:sz w:val="24"/>
          <w:szCs w:val="24"/>
        </w:rPr>
        <w:t>放射一体机：</w:t>
      </w:r>
    </w:p>
    <w:tbl>
      <w:tblPr>
        <w:tblStyle w:val="63"/>
        <w:tblW w:w="47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89"/>
        <w:gridCol w:w="1687"/>
        <w:gridCol w:w="4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59" w:type="dxa"/>
            <w:tcBorders>
              <w:bottom w:val="single" w:color="auto" w:sz="4" w:space="0"/>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bookmarkStart w:id="12" w:name="_Hlk169726973"/>
            <w:r>
              <w:rPr>
                <w:rFonts w:hint="eastAsia" w:ascii="仿宋_GB2312" w:hAnsi="仿宋" w:eastAsia="仿宋_GB2312" w:cs="仿宋_GB2312"/>
                <w:b/>
                <w:bCs/>
                <w:color w:val="000000" w:themeColor="text1"/>
                <w:sz w:val="24"/>
                <w14:textFill>
                  <w14:solidFill>
                    <w14:schemeClr w14:val="tx1"/>
                  </w14:solidFill>
                </w14:textFill>
              </w:rPr>
              <w:t>序号</w:t>
            </w:r>
          </w:p>
        </w:tc>
        <w:tc>
          <w:tcPr>
            <w:tcW w:w="1289"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一级指标</w:t>
            </w:r>
          </w:p>
        </w:tc>
        <w:tc>
          <w:tcPr>
            <w:tcW w:w="1687" w:type="dxa"/>
            <w:tcBorders>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二级指标</w:t>
            </w:r>
          </w:p>
        </w:tc>
        <w:tc>
          <w:tcPr>
            <w:tcW w:w="4924"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w:t>
            </w:r>
          </w:p>
        </w:tc>
        <w:tc>
          <w:tcPr>
            <w:tcW w:w="1289" w:type="dxa"/>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★CPU信息</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sz w:val="24"/>
              </w:rPr>
              <w:t>CPU性能不低于≥Intel i5-12500，主频3.0GHz，6核心/12线程/18M缓存，TDP功耗</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sz w:val="24"/>
              </w:rPr>
              <w:t xml:space="preserve">65W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w:t>
            </w:r>
          </w:p>
        </w:tc>
        <w:tc>
          <w:tcPr>
            <w:tcW w:w="1289" w:type="dxa"/>
            <w:vMerge w:val="restart"/>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★内存配置容量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w:t>
            </w:r>
          </w:p>
        </w:tc>
        <w:tc>
          <w:tcPr>
            <w:tcW w:w="1289" w:type="dxa"/>
            <w:vMerge w:val="continue"/>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★内存类型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支持DDR4 3200 MT/s及以上内存类型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w:t>
            </w:r>
          </w:p>
        </w:tc>
        <w:tc>
          <w:tcPr>
            <w:tcW w:w="1289" w:type="dxa"/>
            <w:vMerge w:val="continue"/>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★内存条配置数量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w:t>
            </w:r>
          </w:p>
        </w:tc>
        <w:tc>
          <w:tcPr>
            <w:tcW w:w="1289" w:type="dxa"/>
            <w:vMerge w:val="restart"/>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★主板集成模块</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集成资源扩展模块、计算处理模块、音频扩展模块等，主板的互联拓扑可通过处理器或交换电路实现。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w:t>
            </w:r>
          </w:p>
        </w:tc>
        <w:tc>
          <w:tcPr>
            <w:tcW w:w="1289" w:type="dxa"/>
            <w:vMerge w:val="continue"/>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★主板支持的CPU和内存情况</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sz w:val="24"/>
              </w:rPr>
              <w:t>主板支持所投CPU型号，内存支持≥16G DDR4 3200 MT/s, 系统最大支持64G及以上。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★单内存插槽最大可支持容量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★内存插槽满配置时提供的最高内存总容量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≥64G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color w:val="000000" w:themeColor="text1"/>
                <w:sz w:val="24"/>
                <w14:textFill>
                  <w14:solidFill>
                    <w14:schemeClr w14:val="tx1"/>
                  </w14:solidFill>
                </w14:textFill>
              </w:rPr>
              <w:t>1</w:t>
            </w:r>
            <w:r>
              <w:rPr>
                <w:rFonts w:hint="eastAsia" w:ascii="仿宋_GB2312" w:hAnsi="仿宋" w:eastAsia="仿宋_GB2312" w:cs="仿宋_GB2312"/>
                <w:color w:val="000000" w:themeColor="text1"/>
                <w:sz w:val="24"/>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★固态存储容量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★固态存储接口协议</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SATA/NVMe接口协议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★固态存储形态</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采用插卡形态，选用符合M.2 NVMe标准的插卡形态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★存储设备其他参数要求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固态盘应符合 SJ/T 11654 相关规定，更换硬盘后，原硬盘不返还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14</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★显卡类型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15</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★显示屏屏占比</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★显示屏分辨率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★显示屏尺寸</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≥23.6英寸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★显示屏屏幕比例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★显示器边框颜色</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★显示屏可视角度</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水平≥170°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★显示屏防蓝光</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支持防蓝光模式，蓝光加权辐射亮度比应≤0.0012W/(·cd·sr)(瓦每坎特拉每球面度)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★显示屏低频闪</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显示屏应支持低频闪≤-35dB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★显示屏防炫目</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显示屏镜面反射率≤10%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24</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★扬声器数量</w:t>
            </w:r>
          </w:p>
        </w:tc>
        <w:tc>
          <w:tcPr>
            <w:tcW w:w="4924"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sz w:val="24"/>
              </w:rPr>
              <w:t>25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★鼠标数量</w:t>
            </w:r>
          </w:p>
        </w:tc>
        <w:tc>
          <w:tcPr>
            <w:tcW w:w="4924"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★键盘数量</w:t>
            </w:r>
          </w:p>
        </w:tc>
        <w:tc>
          <w:tcPr>
            <w:tcW w:w="4924"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★键盘按键数目</w:t>
            </w:r>
          </w:p>
        </w:tc>
        <w:tc>
          <w:tcPr>
            <w:tcW w:w="4924"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104键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sz w:val="24"/>
              </w:rPr>
              <w:t>28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★内置扬声器功率</w:t>
            </w:r>
          </w:p>
        </w:tc>
        <w:tc>
          <w:tcPr>
            <w:tcW w:w="4924"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≥1瓦/个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sz w:val="24"/>
              </w:rPr>
              <w:t>29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★内置扬声器频率范围</w:t>
            </w:r>
          </w:p>
        </w:tc>
        <w:tc>
          <w:tcPr>
            <w:tcW w:w="4924"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100Hz-20kHz，其中 100Hz-200Hz：35dB 及以上；200Hz-12kHz：55dB 及以上，12kHz-18kHz：35dB 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sz w:val="24"/>
              </w:rPr>
              <w:t>30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★内置扬声器总谐波失真</w:t>
            </w:r>
          </w:p>
        </w:tc>
        <w:tc>
          <w:tcPr>
            <w:tcW w:w="4924"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总谐波失真在300Hz-7kHz 频率范围内宜不高于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sz w:val="24"/>
              </w:rPr>
              <w:t>31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★内置扬声器最大声压级</w:t>
            </w:r>
          </w:p>
        </w:tc>
        <w:tc>
          <w:tcPr>
            <w:tcW w:w="4924"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最大声压级在粉红噪声播放场景下，工作距离处声压级宜不低于70dB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★键盘连接方式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★键盘键程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2.3mm-4.0mm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★键盘按键压力</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按键压力应在 0.54 N 士0.14N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★有线键盘连接线</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★键盘颜色</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黑色/白色/银色等商务色系，与鼠标为同一色系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★键盘其他要求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键盘外观结构、连接方式、主要功能、安全、电磁兼容性、可靠性应符合 GB/T 14081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★鼠标连接方式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★有线鼠标连接线</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★鼠标DPI分辨率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★鼠标颜色</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黑色/白色/银色等商务色系，与键盘为同一色系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★鼠标其他要求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其它参数应符合 GB/T 26245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43</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sz w:val="24"/>
              </w:rPr>
              <w:t>44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★无线网卡及天线数量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≥1，英特尔WIFI 5双天线无线网卡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45</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外部接口规格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★USB接口数量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 接口数量不少于4个，至少包含 2 个USB3.2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≥1个HDMI接口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48</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整机基础规格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★整机外观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 产品表面不应有凹痕、划伤、裂缝、变形和污染等。表面涂层均匀，不应起泡、龟裂、脱落和磨损，金属零部件无锈蚀及其它机械损伤；</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产品表面说明功能的文字、符号、标志，应清晰、端正、牢固;</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 宜在产品显著位置提供运行状态指示功能，并由生产厂商提供详细参数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★整机结构</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机箱应符合 GB/T 4208、GB/T 26246 的相关规定；</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产品内部结构应符合通用部件的安装需要；</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所有输入输出接口应符合相关国家或行业标准；</w:t>
            </w:r>
          </w:p>
          <w:p>
            <w:r>
              <w:rPr>
                <w:rFonts w:hint="eastAsia" w:ascii="仿宋_GB2312" w:hAnsi="仿宋" w:eastAsia="仿宋_GB2312" w:cs="仿宋_GB2312"/>
                <w:color w:val="000000" w:themeColor="text1"/>
                <w:sz w:val="24"/>
                <w14:textFill>
                  <w14:solidFill>
                    <w14:schemeClr w14:val="tx1"/>
                  </w14:solidFill>
                </w14:textFill>
              </w:rPr>
              <w:t>d)</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产品零部件应紧固无松动，可插拔部件应可靠连接，开关、按钮和其它控制部件应灵活可靠，布局</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应方便使用；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所有 I/O 连接器及需插接线缆的部位应预留用户操作空间，方便插拔解锁与插拔线缆；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f)</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可插拔板卡插槽部位应预留安装、拆卸或更换板卡空间；</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g)</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拆装可能接触到的金属剪口或金属尖角部位应做防划伤处理，以保证安全；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整机内部走线应规整，固线结构和位置要合理可靠并做防割线处理，需便于理线和插拔操作，走线应不影响系统各主要部件组装和拆卸；</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如需通过孔走线，过线孔应做防割线处理；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j)</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各插头位置和插拔方向应合理，应做到插拔无障碍设计，具备防呆设计，有效避免误操作；</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k)</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各主要部件拆装无障碍，使用常规工具拆装，无特殊拆装工具需求；</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l)</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各主要部件拆装步骤要少，各自拆装需避免相互干扰；</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对于整机或零部件外表面为高亮面的，应粘贴保护膜，保护膜需粘贴牢固，运输、组装等过程不易脱落，撕下无残留；</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n)</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其它要求应符合  GB/T 9813.1的相关规定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★机箱防护要求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机箱应符合GB/T 4208 中IP20 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★整机噪音</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产品工作在空闲状态下，产品的声功率级应不超过4.5Bel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★整机散热</w:t>
            </w:r>
          </w:p>
        </w:tc>
        <w:tc>
          <w:tcPr>
            <w:tcW w:w="4924" w:type="dxa"/>
            <w:tcBorders>
              <w:tl2br w:val="nil"/>
              <w:tr2bl w:val="nil"/>
            </w:tcBorders>
            <w:shd w:val="clear" w:color="auto" w:fill="auto"/>
            <w:vAlign w:val="center"/>
          </w:tcPr>
          <w:p>
            <w:pPr>
              <w:pStyle w:val="1032"/>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在环境温度为 25℃及处理器满载情况下，产品表面温度应符合如下要求：</w:t>
            </w:r>
          </w:p>
          <w:p>
            <w:pPr>
              <w:pStyle w:val="1032"/>
              <w:numPr>
                <w:ilvl w:val="0"/>
                <w:numId w:val="9"/>
              </w:numPr>
              <w:tabs>
                <w:tab w:val="left" w:pos="378"/>
              </w:tabs>
              <w:ind w:left="0" w:firstLine="0"/>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可触及面温度范围内小于45℃；</w:t>
            </w:r>
          </w:p>
          <w:p>
            <w:pPr>
              <w:pStyle w:val="1032"/>
              <w:numPr>
                <w:ilvl w:val="0"/>
                <w:numId w:val="9"/>
              </w:numPr>
              <w:tabs>
                <w:tab w:val="left" w:pos="378"/>
              </w:tabs>
              <w:ind w:left="0" w:firstLine="0"/>
              <w:rPr>
                <w:rFonts w:ascii="仿宋_GB2312" w:hAnsi="仿宋" w:eastAsia="仿宋_GB2312" w:cs="仿宋_GB2312"/>
                <w:color w:val="000000" w:themeColor="text1"/>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显示器表面温度：显示屏温度不高于38℃，显示屏上下灯带位置温度（如涉及）不高于40℃，出风</w:t>
            </w:r>
            <w:r>
              <w:rPr>
                <w:rFonts w:hint="eastAsia" w:ascii="仿宋_GB2312" w:hAnsi="仿宋" w:eastAsia="仿宋_GB2312" w:cs="仿宋_GB2312"/>
                <w:color w:val="000000" w:themeColor="text1"/>
                <w:sz w:val="24"/>
                <w:szCs w:val="24"/>
                <w:lang w:eastAsia="zh-CN"/>
                <w14:textFill>
                  <w14:solidFill>
                    <w14:schemeClr w14:val="tx1"/>
                  </w14:solidFill>
                </w14:textFill>
              </w:rPr>
              <w:t>口温度不高于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★整机能效限定值</w:t>
            </w:r>
          </w:p>
        </w:tc>
        <w:tc>
          <w:tcPr>
            <w:tcW w:w="4924" w:type="dxa"/>
            <w:vAlign w:val="center"/>
          </w:tcPr>
          <w:p>
            <w:pPr>
              <w:pStyle w:val="1032"/>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产品能效限定值应达到GB28380-2012 标准中能效等级2级及以上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★机身材质</w:t>
            </w:r>
          </w:p>
        </w:tc>
        <w:tc>
          <w:tcPr>
            <w:tcW w:w="4924" w:type="dxa"/>
            <w:vAlign w:val="center"/>
          </w:tcPr>
          <w:p>
            <w:pPr>
              <w:pStyle w:val="1032"/>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塑料/金属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★机身颜色</w:t>
            </w:r>
          </w:p>
        </w:tc>
        <w:tc>
          <w:tcPr>
            <w:tcW w:w="4924" w:type="dxa"/>
            <w:vAlign w:val="center"/>
          </w:tcPr>
          <w:p>
            <w:pPr>
              <w:pStyle w:val="1032"/>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选用灰色/黑色等商务色系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56</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 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 物理核数</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 主频</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★CPU末级缓存容量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≥18MB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★CPU支持的内存最高速率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color w:val="000000" w:themeColor="text1"/>
                <w:sz w:val="24"/>
                <w14:textFill>
                  <w14:solidFill>
                    <w14:schemeClr w14:val="tx1"/>
                  </w14:solidFill>
                </w14:textFill>
              </w:rPr>
              <w:t>32</w:t>
            </w:r>
            <w:r>
              <w:rPr>
                <w:rFonts w:hint="eastAsia" w:ascii="仿宋_GB2312" w:hAnsi="仿宋" w:eastAsia="仿宋_GB2312" w:cs="仿宋_GB2312"/>
                <w:color w:val="000000" w:themeColor="text1"/>
                <w:sz w:val="24"/>
                <w14:textFill>
                  <w14:solidFill>
                    <w14:schemeClr w14:val="tx1"/>
                  </w14:solidFill>
                </w14:textFill>
              </w:rPr>
              <w:t>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60</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★内存读写速率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61</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★显示分辨率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★显卡显示芯片核心频率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★显存等效频率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★显卡可支持多屏同时显示数量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显卡应支持2块屏幕同时显示，分辨率不低于1920x1080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65</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★显示屏刷新率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★显示屏位深</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★显示屏色域</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≥99%sRGB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★显示屏色准</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★显示屏响应时间</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≥250尼特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★显示屏亮度一致性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★显示屏对比度</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 其他参数</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其它参数应符合SJ/T11292的相关规定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74</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 卡速率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最高速率应不低于1000Mbps,应支持100Mbps、1000Mbps速率自适应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sz w:val="24"/>
              </w:rPr>
              <w:t>75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★支持无线网络通信技术协议</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 WAPI 或 WiFi5.0 及以上协议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sz w:val="24"/>
              </w:rPr>
              <w:t>76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★无线网卡频宽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sz w:val="24"/>
              </w:rPr>
              <w:t>77</w:t>
            </w:r>
          </w:p>
        </w:tc>
        <w:tc>
          <w:tcPr>
            <w:tcW w:w="1289" w:type="dxa"/>
            <w:tcBorders>
              <w:left w:val="single" w:color="auto" w:sz="4" w:space="0"/>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电源适配器性能</w:t>
            </w: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★电源适配器电源效率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在 20%/50%/100%负载下效率均应不低于 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78</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★内存扩展接口(板载内存不涉及)</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★主板USB 瞬间过流保护</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★主板防静电保护</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★I/O接口功能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内置或通过扩展坞支持数据传输接口、视频接口、音频接口、网络接口、电源接口等各类标准接口， 应具备接入键盘、鼠标、写字板等外设的能力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82</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★显卡外接显示接口</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显卡至少支持VGA、HDMI、DVI、DP、Type-C 中 1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83</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★显示器支架</w:t>
            </w:r>
          </w:p>
        </w:tc>
        <w:tc>
          <w:tcPr>
            <w:tcW w:w="4924" w:type="dxa"/>
            <w:tcBorders>
              <w:tl2br w:val="nil"/>
              <w:tr2bl w:val="nil"/>
            </w:tcBorders>
            <w:shd w:val="clear" w:color="auto" w:fill="auto"/>
            <w:vAlign w:val="center"/>
          </w:tcPr>
          <w:p>
            <w:pPr>
              <w:rPr>
                <w:rFonts w:hint="eastAsia" w:ascii="仿宋_GB2312" w:hAnsi="仿宋" w:eastAsia="仿宋_GB2312" w:cs="仿宋_GB2312"/>
                <w:color w:val="000000" w:themeColor="text1"/>
                <w:sz w:val="24"/>
                <w:lang w:eastAsia="zh-CN"/>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显示器应提供显示器支架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★显示器参数调节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支持色温、亮度、对比度等显示参数调节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85</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支持信息存储功能，包括支持易失性存储功能和非易失性存储功能。为提升存储性能和降低存储功耗，非易失性存储宜支持固态存储设备，如SSD/UFS。</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产品应支持外出接口可以与独立的存储设备进行数据交互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86</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★网络功能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a)支持网络连接、网络开启/关闭功能；</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sz w:val="24"/>
              </w:rPr>
              <w:t>87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★无线网卡频段</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支持双频段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★数据传输</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★蓝牙协议</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若支持蓝牙模块，蓝牙协议不低于5.0 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★有线网卡接口类型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配备有线网络通信模块，支持RJ45接口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sz w:val="24"/>
              </w:rPr>
              <w:t>91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★无线网卡标准</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配备无线网卡，产品应符合GB 15629.11 所有部分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★网络设备拆装</w:t>
            </w:r>
          </w:p>
        </w:tc>
        <w:tc>
          <w:tcPr>
            <w:tcW w:w="4924" w:type="dxa"/>
            <w:tcBorders>
              <w:tl2br w:val="nil"/>
              <w:tr2bl w:val="nil"/>
            </w:tcBorders>
            <w:shd w:val="clear" w:color="auto" w:fill="auto"/>
            <w:vAlign w:val="center"/>
          </w:tcPr>
          <w:p>
            <w:pPr>
              <w:rPr>
                <w:rFonts w:hint="eastAsia" w:ascii="仿宋_GB2312" w:hAnsi="仿宋" w:eastAsia="仿宋_GB2312" w:cs="仿宋_GB2312"/>
                <w:color w:val="000000" w:themeColor="text1"/>
                <w:sz w:val="24"/>
                <w:lang w:val="en-US" w:eastAsia="zh-CN"/>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网络设备支持物理拆装，包括无线网卡和蓝牙模块等</w:t>
            </w:r>
            <w:r>
              <w:rPr>
                <w:rFonts w:hint="eastAsia" w:ascii="仿宋_GB2312" w:hAnsi="仿宋" w:eastAsia="仿宋_GB2312" w:cs="仿宋_GB2312"/>
                <w:color w:val="000000" w:themeColor="text1"/>
                <w:sz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93</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接口功能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★音频接口类型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≥1个，支持 3.5mm 孔径 3 段式或 4 段式接口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★视频接口类型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至少支持 VGA、HDMI、DP、Type-C中 3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★HDMI、DP、Type-C 显示接口要求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若提供 HDMI 或 DP 或 Type-C 作为显示接口，应支持音频和视频同步输出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96</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★电源线适配能力</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 15934-2008对于可拆线插头GB15934 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sz w:val="24"/>
              </w:rPr>
              <w:t>97</w:t>
            </w:r>
          </w:p>
        </w:tc>
        <w:tc>
          <w:tcPr>
            <w:tcW w:w="1289" w:type="dxa"/>
            <w:tcBorders>
              <w:left w:val="single" w:color="auto" w:sz="4" w:space="0"/>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中文信息处理</w:t>
            </w: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★中文信息处理要求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 18030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98</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操作系统及软件功能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★操作系统备份及还原功能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支持操作系统备份及还原功能、支持操作系统重装（重装系统版本需按医院实际需求）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★固件备份还原能力</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支持备份及还原固件的功能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★操作系统及驱动升级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★固件升级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★BI0S支持关闭通讯接口</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支持BIOS关闭以太网及USB接口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★固件查看信息</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支持查看固件版本、内存信息、主板信息、处理器信息和系统时间信息等功能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★固件设置启动顺序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支持设置启动顺序功能，并按照设置的启动顺序启动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★固件设置口令</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支持设置口令、修改口令、验证口令功能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★固件设置网络引导</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支持网络引导启动和关闭功能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107</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存储设备可靠性</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固态存储寿命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TBW ≥80TB(条件：256GB硬盘容量)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108</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可靠性</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★显示屏屏幕失效点</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109</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外设可靠性</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★键盘按键寿命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★鼠标按键寿命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★键盘鼠标线材寿命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键盘鼠标所用线材经±60°弯折不低于3000次，功能、外观完好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★风扇寿命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113</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整机可靠性要求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★电磁兼容性要求的抗扰度</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★环境条件要求的气候环境适应性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★环境条件要求的振动适应性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★环境条件要求的冲击适应性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★环境条件要求的碰撞适应性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★环境条件要求的运输包装件跌落适应性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★MTBF测试</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MTBF(m1)≥6万小时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120</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常用软件兼容</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支持流式软件、版式软件、浏览器、 邮件采购人端、解压软件、多媒体， 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数据库兼容</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中间件兼容</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平台软件兼容</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124</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包装及运输要求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★标志、包装、运输和贮存</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125</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★配置检查工具</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★服务响应</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a）提供产品原厂商至少五年维保及上门服务；服务周期内提供产品的维修、换件和升级服务</w:t>
            </w:r>
            <w:r>
              <w:rPr>
                <w:rFonts w:hint="eastAsia" w:ascii="仿宋_GB2312" w:hAnsi="仿宋" w:eastAsia="仿宋_GB2312" w:cs="仿宋_GB2312"/>
                <w:color w:val="000000" w:themeColor="text1"/>
                <w:sz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lang w:eastAsia="zh-CN"/>
                <w14:textFill>
                  <w14:solidFill>
                    <w14:schemeClr w14:val="tx1"/>
                  </w14:solidFill>
                </w14:textFill>
              </w:rPr>
              <w:t>供应商</w:t>
            </w:r>
            <w:r>
              <w:rPr>
                <w:rFonts w:hint="eastAsia"/>
                <w:lang w:val="en-US" w:eastAsia="zh-CN"/>
              </w:rPr>
              <w:t>提供电话、电子邮件、远程链接等多种形式服务</w:t>
            </w:r>
            <w:r>
              <w:rPr>
                <w:rFonts w:hint="eastAsia" w:ascii="仿宋_GB2312" w:hAnsi="仿宋_GB2312" w:eastAsia="仿宋_GB2312" w:cs="仿宋_GB2312"/>
                <w:color w:val="000000" w:themeColor="text1"/>
                <w:sz w:val="24"/>
                <w:szCs w:val="24"/>
                <w14:textFill>
                  <w14:solidFill>
                    <w14:schemeClr w14:val="tx1"/>
                  </w14:solidFill>
                </w14:textFill>
              </w:rPr>
              <w:t>；</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b）提供政企专线 7*24 在线服务；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c）现场保障技术服务团队员，国内上门服务地级市覆盖率达100%;</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d）供应商提供电话、电子邮件、远程连接等多种形式服务；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e)供应商提供同城10分钟技术响应服务，1个工作日解决问题，对于未能解决的问题和故障应提供可行的升级方案，并提供周转设备或更换设备；</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f)建立全国技术服务体系和服务团体，符合专业服务体系标准要求，提供原厂中文服务；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g)设备厂商需提供闪修保修服务；闪修服务保修时效：当日下午4点前报修，下一自然日24点前修复，若没有完成修复，则为客户免费赠送延迟日数对应的月度延保服务；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★服务周期</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 设备停产后应继续提供质量保障服务（含备品备件），服务终止时间与最后一批设备交付时间间隔不低于</w:t>
            </w:r>
            <w:r>
              <w:rPr>
                <w:rFonts w:ascii="仿宋_GB2312" w:hAnsi="仿宋" w:eastAsia="仿宋_GB2312" w:cs="仿宋_GB2312"/>
                <w:color w:val="000000" w:themeColor="text1"/>
                <w:sz w:val="24"/>
                <w14:textFill>
                  <w14:solidFill>
                    <w14:schemeClr w14:val="tx1"/>
                  </w14:solidFill>
                </w14:textFill>
              </w:rPr>
              <w:t>8</w:t>
            </w:r>
            <w:r>
              <w:rPr>
                <w:rFonts w:hint="eastAsia" w:ascii="仿宋_GB2312" w:hAnsi="仿宋" w:eastAsia="仿宋_GB2312" w:cs="仿宋_GB2312"/>
                <w:color w:val="000000" w:themeColor="text1"/>
                <w:sz w:val="24"/>
                <w14:textFill>
                  <w14:solidFill>
                    <w14:schemeClr w14:val="tx1"/>
                  </w14:solidFill>
                </w14:textFill>
              </w:rPr>
              <w:t>年；</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产品停止服务时间应提前1年告知；</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 应明确产品发布日期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★预装操作系统</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预装符合桌面操作系统政府采购需求标准的正版操作系统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★培训服务</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★典型问题解决手册</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★厂家升级软件与扩容服务</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★整机质量服务要求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免费服务周期（含换件和维修）不小于五年。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★合格证书要求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★开箱组装/使用指导要求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★驱动下载服务要求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★兼容适配软件下载服务要求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137</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供应链合 规性</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★产品部件保障</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供应商保障产品主要部件，提供</w:t>
            </w:r>
            <w:r>
              <w:rPr>
                <w:rFonts w:ascii="仿宋_GB2312" w:hAnsi="仿宋" w:eastAsia="仿宋_GB2312" w:cs="仿宋_GB2312"/>
                <w:color w:val="000000" w:themeColor="text1"/>
                <w:sz w:val="24"/>
                <w14:textFill>
                  <w14:solidFill>
                    <w14:schemeClr w14:val="tx1"/>
                  </w14:solidFill>
                </w14:textFill>
              </w:rPr>
              <w:t>8</w:t>
            </w:r>
            <w:r>
              <w:rPr>
                <w:rFonts w:hint="eastAsia" w:ascii="仿宋_GB2312" w:hAnsi="仿宋" w:eastAsia="仿宋_GB2312" w:cs="仿宋_GB2312"/>
                <w:color w:val="000000" w:themeColor="text1"/>
                <w:sz w:val="24"/>
                <w14:textFill>
                  <w14:solidFill>
                    <w14:schemeClr w14:val="tx1"/>
                  </w14:solidFill>
                </w14:textFill>
              </w:rPr>
              <w:t>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138</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供应链质量</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★抗干扰性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★供应能力证明</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提供供应链稳定承诺书，确保产品的部件在产品服务周期内稳定供货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759" w:type="dxa"/>
            <w:tcBorders>
              <w:top w:val="single" w:color="auto" w:sz="4" w:space="0"/>
              <w:left w:val="single" w:color="auto" w:sz="4" w:space="0"/>
              <w:right w:val="single" w:color="auto" w:sz="4" w:space="0"/>
            </w:tcBorders>
            <w:shd w:val="clear" w:color="auto" w:fill="auto"/>
            <w:vAlign w:val="center"/>
          </w:tcPr>
          <w:p>
            <w:pPr>
              <w:jc w:val="center"/>
              <w:rPr>
                <w:rFonts w:hint="eastAsia" w:ascii="仿宋_GB2312" w:hAnsi="仿宋" w:eastAsia="仿宋_GB2312" w:cs="仿宋_GB2312"/>
                <w:color w:val="000000" w:themeColor="text1"/>
                <w:sz w:val="24"/>
                <w:lang w:eastAsia="zh-CN"/>
                <w14:textFill>
                  <w14:solidFill>
                    <w14:schemeClr w14:val="tx1"/>
                  </w14:solidFill>
                </w14:textFill>
              </w:rPr>
            </w:pPr>
            <w:r>
              <w:rPr>
                <w:rFonts w:hint="eastAsia" w:ascii="仿宋_GB2312" w:hAnsi="等线" w:eastAsia="仿宋_GB2312"/>
                <w:color w:val="000000"/>
                <w:sz w:val="24"/>
              </w:rPr>
              <w:t>14</w:t>
            </w:r>
            <w:r>
              <w:rPr>
                <w:rFonts w:hint="eastAsia" w:ascii="仿宋_GB2312" w:hAnsi="等线" w:eastAsia="仿宋_GB2312"/>
                <w:color w:val="000000"/>
                <w:sz w:val="24"/>
                <w:lang w:val="en-US" w:eastAsia="zh-CN"/>
              </w:rPr>
              <w:t>0</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整机安全性要求</w:t>
            </w:r>
          </w:p>
        </w:tc>
        <w:tc>
          <w:tcPr>
            <w:tcW w:w="1687" w:type="dxa"/>
            <w:tcBorders>
              <w:tl2br w:val="nil"/>
              <w:tr2bl w:val="nil"/>
            </w:tcBorders>
            <w:vAlign w:val="center"/>
          </w:tcPr>
          <w:p>
            <w:pPr>
              <w:jc w:val="center"/>
              <w:rPr>
                <w:rFonts w:ascii="仿宋_GB2312" w:hAnsi="仿宋"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★限用物质的限量要求</w:t>
            </w:r>
          </w:p>
        </w:tc>
        <w:tc>
          <w:tcPr>
            <w:tcW w:w="4924" w:type="dxa"/>
            <w:tcBorders>
              <w:tl2br w:val="nil"/>
              <w:tr2bl w:val="nil"/>
            </w:tcBorders>
            <w:shd w:val="clear" w:color="auto" w:fill="auto"/>
            <w:vAlign w:val="center"/>
          </w:tcPr>
          <w:p>
            <w:r>
              <w:rPr>
                <w:rFonts w:hint="eastAsia" w:ascii="仿宋_GB2312" w:hAnsi="仿宋" w:eastAsia="仿宋_GB2312" w:cs="仿宋_GB2312"/>
                <w:color w:val="000000" w:themeColor="text1"/>
                <w:sz w:val="24"/>
                <w14:textFill>
                  <w14:solidFill>
                    <w14:schemeClr w14:val="tx1"/>
                  </w14:solidFill>
                </w14:textFill>
              </w:rPr>
              <w:t>符合GB/T 26572中规定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 w:val="24"/>
                <w:lang w:eastAsia="zh-CN"/>
              </w:rPr>
            </w:pPr>
            <w:r>
              <w:rPr>
                <w:rFonts w:hint="eastAsia" w:ascii="仿宋_GB2312" w:hAnsi="等线" w:eastAsia="仿宋_GB2312"/>
                <w:color w:val="000000"/>
                <w:sz w:val="24"/>
              </w:rPr>
              <w:t>14</w:t>
            </w:r>
            <w:r>
              <w:rPr>
                <w:rFonts w:hint="eastAsia" w:ascii="仿宋_GB2312" w:hAnsi="等线" w:eastAsia="仿宋_GB2312"/>
                <w:color w:val="000000"/>
                <w:sz w:val="24"/>
                <w:lang w:val="en-US" w:eastAsia="zh-CN"/>
              </w:rPr>
              <w:t>1</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安装支架</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★安装支架</w:t>
            </w:r>
            <w:r>
              <w:rPr>
                <w:rFonts w:hint="eastAsia" w:ascii="仿宋_GB2312" w:hAnsi="仿宋" w:eastAsia="仿宋_GB2312" w:cs="仿宋_GB2312"/>
                <w:color w:val="000000" w:themeColor="text1"/>
                <w:sz w:val="24"/>
                <w14:textFill>
                  <w14:solidFill>
                    <w14:schemeClr w14:val="tx1"/>
                  </w14:solidFill>
                </w14:textFill>
              </w:rPr>
              <w:tab/>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需提供安装配套的壁挂支架，支架要求支持10-40CM伸缩，支架左或右旋转90度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 w:eastAsia="仿宋_GB2312" w:cs="仿宋_GB2312"/>
                <w:color w:val="000000" w:themeColor="text1"/>
                <w:sz w:val="24"/>
                <w:lang w:eastAsia="zh-CN"/>
                <w14:textFill>
                  <w14:solidFill>
                    <w14:schemeClr w14:val="tx1"/>
                  </w14:solidFill>
                </w14:textFill>
              </w:rPr>
            </w:pPr>
            <w:r>
              <w:rPr>
                <w:rFonts w:hint="eastAsia" w:ascii="仿宋_GB2312" w:hAnsi="等线" w:eastAsia="仿宋_GB2312"/>
                <w:color w:val="000000"/>
                <w:sz w:val="24"/>
              </w:rPr>
              <w:t>14</w:t>
            </w:r>
            <w:r>
              <w:rPr>
                <w:rFonts w:hint="eastAsia" w:ascii="仿宋_GB2312" w:hAnsi="等线" w:eastAsia="仿宋_GB2312"/>
                <w:color w:val="000000"/>
                <w:sz w:val="24"/>
                <w:lang w:val="en-US" w:eastAsia="zh-CN"/>
              </w:rPr>
              <w:t>2</w:t>
            </w:r>
          </w:p>
        </w:tc>
        <w:tc>
          <w:tcPr>
            <w:tcW w:w="7900" w:type="dxa"/>
            <w:gridSpan w:val="3"/>
            <w:tcBorders>
              <w:left w:val="single" w:color="auto" w:sz="4" w:space="0"/>
            </w:tcBorders>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★提供节能产品认证证书。</w:t>
            </w:r>
          </w:p>
        </w:tc>
      </w:tr>
      <w:bookmarkEnd w:id="12"/>
    </w:tbl>
    <w:p>
      <w:pPr>
        <w:pStyle w:val="6"/>
        <w:numPr>
          <w:ilvl w:val="0"/>
          <w:numId w:val="7"/>
        </w:numPr>
        <w:tabs>
          <w:tab w:val="clear" w:pos="1984"/>
        </w:tabs>
        <w:spacing w:before="0" w:after="0" w:line="440" w:lineRule="exact"/>
        <w:jc w:val="left"/>
        <w:rPr>
          <w:rFonts w:ascii="仿宋_GB2312" w:hAnsi="仿宋" w:eastAsia="仿宋_GB2312" w:cs="仿宋_GB2312"/>
          <w:sz w:val="24"/>
          <w:szCs w:val="24"/>
        </w:rPr>
      </w:pPr>
      <w:r>
        <w:rPr>
          <w:rFonts w:hint="eastAsia" w:ascii="仿宋_GB2312" w:hAnsi="仿宋" w:eastAsia="仿宋_GB2312" w:cs="仿宋_GB2312"/>
          <w:sz w:val="24"/>
          <w:szCs w:val="24"/>
        </w:rPr>
        <w:t>手术一体机：</w:t>
      </w:r>
    </w:p>
    <w:tbl>
      <w:tblPr>
        <w:tblStyle w:val="63"/>
        <w:tblW w:w="47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89"/>
        <w:gridCol w:w="1555"/>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59" w:type="dxa"/>
            <w:tcBorders>
              <w:bottom w:val="single" w:color="auto" w:sz="4" w:space="0"/>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序号</w:t>
            </w:r>
          </w:p>
        </w:tc>
        <w:tc>
          <w:tcPr>
            <w:tcW w:w="1289"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一级指标</w:t>
            </w:r>
          </w:p>
        </w:tc>
        <w:tc>
          <w:tcPr>
            <w:tcW w:w="1555" w:type="dxa"/>
            <w:tcBorders>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二级指标</w:t>
            </w:r>
          </w:p>
        </w:tc>
        <w:tc>
          <w:tcPr>
            <w:tcW w:w="5062"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w:t>
            </w:r>
          </w:p>
        </w:tc>
        <w:tc>
          <w:tcPr>
            <w:tcW w:w="1289" w:type="dxa"/>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CPU规格</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★CPU信息</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sz w:val="24"/>
              </w:rPr>
              <w:t>CPU性能不低于Intel i5-1135G7，主频2.4GHz，4核心/8线程/8M缓存，</w:t>
            </w:r>
            <w:r>
              <w:rPr>
                <w:rFonts w:hint="eastAsia" w:ascii="仿宋_GB2312" w:hAnsi="仿宋" w:eastAsia="仿宋_GB2312" w:cs="仿宋_GB2312"/>
                <w:color w:val="000000" w:themeColor="text1"/>
                <w:sz w:val="24"/>
                <w14:textFill>
                  <w14:solidFill>
                    <w14:schemeClr w14:val="tx1"/>
                  </w14:solidFill>
                </w14:textFill>
              </w:rPr>
              <w:t>TDP功耗≤15W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w:t>
            </w:r>
          </w:p>
        </w:tc>
        <w:tc>
          <w:tcPr>
            <w:tcW w:w="1289" w:type="dxa"/>
            <w:vMerge w:val="restart"/>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内存规格</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★内存配置容量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w:t>
            </w:r>
          </w:p>
        </w:tc>
        <w:tc>
          <w:tcPr>
            <w:tcW w:w="1289" w:type="dxa"/>
            <w:vMerge w:val="continue"/>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★内存类型</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支持DDR4 3200 MT/s及以上内存类型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w:t>
            </w:r>
          </w:p>
        </w:tc>
        <w:tc>
          <w:tcPr>
            <w:tcW w:w="1289" w:type="dxa"/>
            <w:vMerge w:val="continue"/>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★内存条配置数量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w:t>
            </w:r>
          </w:p>
        </w:tc>
        <w:tc>
          <w:tcPr>
            <w:tcW w:w="1289" w:type="dxa"/>
            <w:vMerge w:val="restart"/>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主板规格</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★主板集成模块</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集成资源扩展模块、计算处理模块、音频扩展模块等，主板的互联拓扑可通过处理器或交换电路实现。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w:t>
            </w:r>
          </w:p>
        </w:tc>
        <w:tc>
          <w:tcPr>
            <w:tcW w:w="1289" w:type="dxa"/>
            <w:vMerge w:val="continue"/>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★主板支持的CPU和内存情况</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sz w:val="24"/>
              </w:rPr>
              <w:t>主板支持所投CPU型号，内存支持≥16G DDR4 3200 MT/s, 系统最大支持64G及以上。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★单内存插槽最大可支持容量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★内存插槽满配置时提供的最高内存总容量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≥64G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存储设备规格</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★固态盘数量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★固态存储容量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≥512GB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★固态存储接口协议</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SATA/NVMe接口协议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★固态存储形态</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采用插卡形态，选用符合M.2 NVMe标准的插卡形态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★存储设备其他参数要求</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固态盘应符合 SJ/T 11654 相关规定，更换硬盘后，原硬盘不返还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14</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显卡规格</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★显卡类型</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15</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显示设备规格</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★显示屏屏占比</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★显示屏分辨率</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★显示屏尺寸</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≥21.5英寸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★显示屏屏幕比例</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★显示器边框颜色</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★显示屏可视角度</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水平≥170°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★显示屏防蓝光</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支持防蓝光模式，蓝光加权辐射亮度比应≤0.0012W/(·cd·sr)(瓦每坎特拉每球面度)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★显示屏低频闪</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显示屏应支持低频闪≤-35dB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★显示屏防炫目</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显示屏镜面反射率≤10%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24</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外设规格</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★扬声器数量</w:t>
            </w:r>
          </w:p>
        </w:tc>
        <w:tc>
          <w:tcPr>
            <w:tcW w:w="5062"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25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★鼠标数量</w:t>
            </w:r>
          </w:p>
        </w:tc>
        <w:tc>
          <w:tcPr>
            <w:tcW w:w="5062"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★键盘数量</w:t>
            </w:r>
          </w:p>
        </w:tc>
        <w:tc>
          <w:tcPr>
            <w:tcW w:w="5062"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★键盘按键数目</w:t>
            </w:r>
          </w:p>
        </w:tc>
        <w:tc>
          <w:tcPr>
            <w:tcW w:w="5062"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104键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28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★内置扬声器功率</w:t>
            </w:r>
          </w:p>
        </w:tc>
        <w:tc>
          <w:tcPr>
            <w:tcW w:w="5062"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≥1瓦/个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29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★内置扬声器频率范围</w:t>
            </w:r>
          </w:p>
        </w:tc>
        <w:tc>
          <w:tcPr>
            <w:tcW w:w="5062"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100Hz-20kHz，其中 100Hz-200Hz：35dB 及以上；200Hz-12kHz：55dB 及以上，12kHz-18kHz：35dB 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30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★内置扬声器总谐波失真</w:t>
            </w:r>
          </w:p>
        </w:tc>
        <w:tc>
          <w:tcPr>
            <w:tcW w:w="5062"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总谐波失真在300Hz-7kHz 频率范围内宜不高于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31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★内置扬声器最大声压级</w:t>
            </w:r>
          </w:p>
        </w:tc>
        <w:tc>
          <w:tcPr>
            <w:tcW w:w="5062"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最大声压级在粉红噪声播放场景下，工作距离处声压级宜不低于70dB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★键盘连接方式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有线，U</w:t>
            </w:r>
            <w:r>
              <w:rPr>
                <w:rFonts w:ascii="仿宋_GB2312" w:hAnsi="仿宋" w:eastAsia="仿宋_GB2312" w:cs="仿宋_GB2312"/>
                <w:color w:val="000000" w:themeColor="text1"/>
                <w:sz w:val="24"/>
                <w14:textFill>
                  <w14:solidFill>
                    <w14:schemeClr w14:val="tx1"/>
                  </w14:solidFill>
                </w14:textFill>
              </w:rPr>
              <w:t>SB</w:t>
            </w:r>
            <w:r>
              <w:rPr>
                <w:rFonts w:hint="eastAsia" w:ascii="仿宋_GB2312" w:hAnsi="仿宋" w:eastAsia="仿宋_GB2312" w:cs="仿宋_GB2312"/>
                <w:color w:val="000000" w:themeColor="text1"/>
                <w:sz w:val="24"/>
                <w14:textFill>
                  <w14:solidFill>
                    <w14:schemeClr w14:val="tx1"/>
                  </w14:solidFill>
                </w14:textFill>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★键盘键程</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2.3mm-4.0mm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★键盘按键压力</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按键压力应在 0.54 N 士0.14N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★有线键盘连接线</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★键盘颜色</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黑色/白色/银色等商务色系，与鼠标为同一色系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★键盘其他要求</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键盘外观结构、连接方式、主要功能、安全、电磁兼容性、可靠性应符合 GB/T 14081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pStyle w:val="19"/>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★鼠标连接方式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pStyle w:val="19"/>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★有线鼠标连接线</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pStyle w:val="19"/>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★鼠标DPI分辨率</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★鼠标颜色</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黑色/白色/银色等商务色系，与键盘为同一色系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★鼠标其他要求</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其它参数应符合 GB/T 26245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43</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网络设备规格</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★有线网卡数量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44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★无线网卡及天线数量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≥1，英特尔WIFI 5双天线无线网卡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45</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外部接口规格</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★USB接口数量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 接口数量不少于8个，至少包含 3个USB3.2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★视频接口数量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≥1个HDMI接口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★音频接口数量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48</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整机基础规格</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★整机外观</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 产品表面不应有凹痕、划伤、裂缝、变形和污染等。表面涂层均匀，不应起泡、龟裂、脱落和磨损，金属零部件无锈蚀及其它机械损伤；</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产品表面说明功能的文字、符号、标志，应清晰、端正、牢固;</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 宜在产品显著位置提供运行状态指示功能，并由生产厂商提供详细参数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★整机结构</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机箱应符合 GB/T 4208、GB/T 26246 的相关规定；</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产品内部结构应符合通用部件的安装需要；</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所有输入输出接口应符合相关国家或行业标准；</w:t>
            </w:r>
          </w:p>
          <w:p>
            <w:r>
              <w:rPr>
                <w:rFonts w:hint="eastAsia" w:ascii="仿宋_GB2312" w:hAnsi="仿宋" w:eastAsia="仿宋_GB2312" w:cs="仿宋_GB2312"/>
                <w:color w:val="000000" w:themeColor="text1"/>
                <w:sz w:val="24"/>
                <w14:textFill>
                  <w14:solidFill>
                    <w14:schemeClr w14:val="tx1"/>
                  </w14:solidFill>
                </w14:textFill>
              </w:rPr>
              <w:t>d)</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产品零部件应紧固无松动，可插拔部件应可靠连接，开关、按钮和其它控制部件应灵活可靠，布局</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应方便使用；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所有 I/</w:t>
            </w:r>
            <w:r>
              <w:rPr>
                <w:rFonts w:hint="eastAsia" w:ascii="仿宋_GB2312" w:hAnsi="仿宋" w:eastAsia="仿宋_GB2312" w:cs="仿宋_GB2312"/>
                <w:color w:val="000000" w:themeColor="text1"/>
                <w:sz w:val="24"/>
                <w:lang w:val="en-US" w:eastAsia="zh-CN"/>
                <w14:textFill>
                  <w14:solidFill>
                    <w14:schemeClr w14:val="tx1"/>
                  </w14:solidFill>
                </w14:textFill>
              </w:rPr>
              <w:t>O</w:t>
            </w:r>
            <w:r>
              <w:rPr>
                <w:rFonts w:hint="eastAsia" w:ascii="仿宋_GB2312" w:hAnsi="仿宋" w:eastAsia="仿宋_GB2312" w:cs="仿宋_GB2312"/>
                <w:color w:val="000000" w:themeColor="text1"/>
                <w:sz w:val="24"/>
                <w14:textFill>
                  <w14:solidFill>
                    <w14:schemeClr w14:val="tx1"/>
                  </w14:solidFill>
                </w14:textFill>
              </w:rPr>
              <w:t xml:space="preserve"> 连接器及需插接线缆的部位应预留用户操作空间，方便插拔解锁与插拔线缆；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f)</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可插拔板卡插槽部位应预留安装、拆卸或更换板卡空间；</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g)</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拆装可能接触到的金属剪口或金属尖角部位应做防划伤处理，以保证安全；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整机内部走线应规整，固线结构和位置要合理可靠并做防割线处理，需便于理线和插拔操作，走线应不影响系统各主要部件组装和拆卸；</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如需通过孔走线，过线孔应做防割线处理；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j)</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各插头位置和插拔方向应合 理，应做到插拔无障碍设计，具备防呆设计，有效避免误操作；</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k)</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各主要部件拆装无障碍，使用常规工具拆装，无特殊拆装工具需求；</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l)</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各主要部件拆装步骤要少，各自拆装需避免相互干扰；</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对于整机或零部件外表面为高亮面的，应粘贴保护膜，保护膜需粘贴牢固，运输、组装等过程不易脱落，撕下无残留；</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n)</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其它要求应符合GB/T 9813.1的相关规定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★机箱防护要求</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机箱应符合GB/T 4208 中IP20 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★整机噪音</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产品工作在空闲状态下，产品的声功率级应不超过4.5Bel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★整机散热</w:t>
            </w:r>
          </w:p>
        </w:tc>
        <w:tc>
          <w:tcPr>
            <w:tcW w:w="5062" w:type="dxa"/>
            <w:tcBorders>
              <w:tl2br w:val="nil"/>
              <w:tr2bl w:val="nil"/>
            </w:tcBorders>
            <w:shd w:val="clear" w:color="auto" w:fill="auto"/>
            <w:vAlign w:val="center"/>
          </w:tcPr>
          <w:p>
            <w:pPr>
              <w:pStyle w:val="1032"/>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在环境温度为 25℃及处理器满载情况下，产品表面温度应符合如下要求：</w:t>
            </w:r>
          </w:p>
          <w:p>
            <w:pPr>
              <w:pStyle w:val="1032"/>
              <w:numPr>
                <w:ilvl w:val="0"/>
                <w:numId w:val="10"/>
              </w:numPr>
              <w:tabs>
                <w:tab w:val="left" w:pos="378"/>
              </w:tabs>
              <w:ind w:hanging="86"/>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可触及面温度范围内小于45℃；</w:t>
            </w:r>
          </w:p>
          <w:p>
            <w:pPr>
              <w:pStyle w:val="1032"/>
              <w:numPr>
                <w:ilvl w:val="0"/>
                <w:numId w:val="10"/>
              </w:numPr>
              <w:tabs>
                <w:tab w:val="left" w:pos="378"/>
              </w:tabs>
              <w:ind w:left="0" w:firstLine="0"/>
              <w:rPr>
                <w:rFonts w:ascii="仿宋_GB2312" w:hAnsi="仿宋" w:eastAsia="仿宋_GB2312" w:cs="仿宋_GB2312"/>
                <w:color w:val="000000" w:themeColor="text1"/>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显示器表面温度：显示屏温度不高于 38℃，显示屏上下灯带位置温度（如涉及）不高于40℃，出风</w:t>
            </w:r>
            <w:r>
              <w:rPr>
                <w:rFonts w:hint="eastAsia" w:ascii="仿宋_GB2312" w:hAnsi="仿宋" w:eastAsia="仿宋_GB2312" w:cs="仿宋_GB2312"/>
                <w:color w:val="000000" w:themeColor="text1"/>
                <w:sz w:val="24"/>
                <w:lang w:eastAsia="zh-CN"/>
                <w14:textFill>
                  <w14:solidFill>
                    <w14:schemeClr w14:val="tx1"/>
                  </w14:solidFill>
                </w14:textFill>
              </w:rPr>
              <w:t>口温度不高于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★整机能效限定值</w:t>
            </w:r>
          </w:p>
        </w:tc>
        <w:tc>
          <w:tcPr>
            <w:tcW w:w="5062" w:type="dxa"/>
            <w:vAlign w:val="center"/>
          </w:tcPr>
          <w:p>
            <w:pPr>
              <w:pStyle w:val="1032"/>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产品能效限定值应达到GB28380-2012 标准中能效等级2级及以上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★机身材质</w:t>
            </w:r>
          </w:p>
        </w:tc>
        <w:tc>
          <w:tcPr>
            <w:tcW w:w="5062" w:type="dxa"/>
            <w:vAlign w:val="center"/>
          </w:tcPr>
          <w:p>
            <w:pPr>
              <w:pStyle w:val="1032"/>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塑料/金属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★机身颜色</w:t>
            </w:r>
          </w:p>
        </w:tc>
        <w:tc>
          <w:tcPr>
            <w:tcW w:w="5062" w:type="dxa"/>
            <w:vAlign w:val="center"/>
          </w:tcPr>
          <w:p>
            <w:pPr>
              <w:pStyle w:val="1032"/>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选用灰色/黑色等商务色系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56</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 性能</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★CPU物理核数</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★CPU主频</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★CPU末级缓存容量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★CPU支持的内存最高速率</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60</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内存性能</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★内存读写速率</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61</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显卡性能</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★显示分辨率</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★显卡显示芯片核心频率</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★显存等效频率</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★显卡可支持多屏同时显示数量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显卡应支持2块屏幕同时显示，分辨率不低于1920x1080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65</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显示设备性能</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★显示屏刷新率</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★显示屏位深</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★显示屏色域</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≥99%sRGB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★显示屏色准</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★显示屏响应时间</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≥250尼特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★显示屏亮度一致性</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★显示屏对比度</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★显示屏其他参数</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其它参数应符合SJ/T11292的相关规定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74</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网络设备性能</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★有线网卡速率</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最高速率应不低于1000Mbps,应支持100Mbps、1000Mbps速率自适应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75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★支持无线网络通信技术协议</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 WAPI 或 WiFi5.0 及以上协议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76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★无线网卡频宽</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77</w:t>
            </w:r>
          </w:p>
        </w:tc>
        <w:tc>
          <w:tcPr>
            <w:tcW w:w="1289" w:type="dxa"/>
            <w:tcBorders>
              <w:left w:val="single" w:color="auto" w:sz="4" w:space="0"/>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电源适配器性能</w:t>
            </w:r>
          </w:p>
        </w:tc>
        <w:tc>
          <w:tcPr>
            <w:tcW w:w="1555"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★电源适配器电源效率</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在 20%/50%/100%负载下效率均应不低于 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78</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主板功能</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★内存扩展接口(板载内存不涉及)</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★主板USB 瞬间过流保护</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★主板防  静电保护</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★I/O接口功能</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内置或通过扩展坞支持数据传输接口、视频接口、音频接口、网络接口、电源接口等各类标准接口， 应具备接入键盘、鼠标、写字板等外设的能力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82</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显卡功能</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★显卡外接显示接口</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显卡至少支持VGA、HDMI、DVI、DP、Type-C 中 1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83</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显示设备功能</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★显示器支架</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显示器提供显示</w:t>
            </w:r>
            <w:r>
              <w:rPr>
                <w:rFonts w:hint="eastAsia" w:ascii="仿宋_GB2312" w:hAnsi="仿宋" w:eastAsia="仿宋_GB2312" w:cs="仿宋_GB2312"/>
                <w:b w:val="0"/>
                <w:bCs w:val="0"/>
                <w:color w:val="000000" w:themeColor="text1"/>
                <w:sz w:val="24"/>
                <w14:textFill>
                  <w14:solidFill>
                    <w14:schemeClr w14:val="tx1"/>
                  </w14:solidFill>
                </w14:textFill>
              </w:rPr>
              <w:t>器支架,支架支持显示器左右各90度旋转、上下升降调节、具备标准VESA壁挂孔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★显示器参数调节</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支持色温、亮度、对比度等显示参数调节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85</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支持信息存储功能，包括支持易失性存储功能和非易失性存储功能。为提升存储性能和降低存储功耗，非易失性存储宜支持固态存储设备，如SSD/UFS。</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产品应支持外出接口可以与独立的存储设备进行数据交互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86</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网络设备功能</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★网络功能</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a)支持网络连接、网络开启/关闭功能；</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87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★无线网卡频段</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支持双频段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★数据传输</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★蓝牙协议</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若支持蓝牙模块，蓝牙协议不低于5.0 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★有线网卡接口类型</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配备有线网络通信模块，支持RJ45接口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91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★无线网卡标准</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配备无线网卡，产品应符合GB 15629.11 所有部分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★网络设备拆装</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网络设备支持物理拆装，包括无线网卡和蓝牙模块等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93</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接口功能</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★音频接口类型</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≥1个，支持 3.5mm 孔径 3 段式或 4 段式接口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★视频接口类型</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至少支持 VGA、HDMI、DP、Type-C中 3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★HDMI、DP、Type-C 显示接口要求</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若提供 HDMI 或 DP 或 Type-C 作为显示接口，应支持音频和视频同步输出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 w:val="24"/>
              </w:rPr>
            </w:pPr>
            <w:r>
              <w:rPr>
                <w:rFonts w:hint="eastAsia" w:ascii="仿宋_GB2312" w:hAnsi="等线" w:eastAsia="仿宋_GB2312"/>
                <w:color w:val="000000"/>
              </w:rPr>
              <w:t>96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★其他接口</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提供2个串行接口，可实现GB/T 6107的功能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97</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电源功能</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★电源线适配能力</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 15934-2008对于可拆线插头GB15934 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98</w:t>
            </w:r>
          </w:p>
        </w:tc>
        <w:tc>
          <w:tcPr>
            <w:tcW w:w="1289" w:type="dxa"/>
            <w:tcBorders>
              <w:left w:val="single" w:color="auto" w:sz="4" w:space="0"/>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中文信息处理</w:t>
            </w:r>
          </w:p>
        </w:tc>
        <w:tc>
          <w:tcPr>
            <w:tcW w:w="1555"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★中文信息处理要求</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 18030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99</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操作系统及软件功能</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★操作系统备份及还原功能</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支持操作系统备份及还原功能、支持操作系统重装（重装系统版本需按医院实际需求）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★固件备份还原能力</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支持备份及还原固件的功能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★操作系统及驱动升级</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★固件升级</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★BI0S支持关闭通讯接口</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支持BIOS关闭以太网及USB接口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★固件查看信息</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支持查看固件版本、内存信息、主板信息、处理器信息和系统时间信息等功能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★固件设置启动顺序</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支持设置启动顺序功能，并按照设置的启动顺序启动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★固件设置口令</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支持设置口令、修改口令、验证口令功能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★固件设置网络引导</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支持网络引导启动和关闭功能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108</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存储设备可靠性</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固态存储寿命</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TBW ≥80TB(条件：256GB硬盘容量)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109</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可靠性</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★显示屏屏幕失效点</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110</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外设可靠性</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★键盘按键寿命</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★鼠标按键寿命</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★键盘鼠标线材寿命</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键盘鼠标所用线材经±60°弯折不低于3000次，功能、外观完好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★风扇寿命</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114</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整机可靠性要求</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★电磁兼容性要求的抗扰度</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★环境条件要求的气候环境适应性</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★环境条件要求的振动适应性</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★环境条件要求的冲击适应性</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★环境条件要求的碰撞适应性</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★环境条件要求的运输包装件跌落适应性</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★MTBF测试</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MTBF(m1)≥6万小时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121</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兼容要求</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常用软件兼容</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支持流式软件、版式软件、浏览器、 邮件采购人端、解压软件、多媒体， 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数据库兼容</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中间件兼容</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平台软件兼容</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125</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包装及运输要求</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★标志、包装、运输和贮存</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126</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服务要求</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★配置检查工具</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★服务响应</w:t>
            </w:r>
          </w:p>
        </w:tc>
        <w:tc>
          <w:tcPr>
            <w:tcW w:w="5062" w:type="dxa"/>
            <w:tcBorders>
              <w:tl2br w:val="nil"/>
              <w:tr2bl w:val="nil"/>
            </w:tcBorders>
            <w:shd w:val="clear" w:color="auto" w:fill="auto"/>
            <w:vAlign w:val="center"/>
          </w:tcPr>
          <w:p>
            <w:r>
              <w:rPr>
                <w:rFonts w:hint="eastAsia" w:ascii="仿宋_GB2312" w:hAnsi="仿宋" w:eastAsia="仿宋_GB2312" w:cs="仿宋_GB2312"/>
                <w:color w:val="000000" w:themeColor="text1"/>
                <w:sz w:val="24"/>
                <w14:textFill>
                  <w14:solidFill>
                    <w14:schemeClr w14:val="tx1"/>
                  </w14:solidFill>
                </w14:textFill>
              </w:rPr>
              <w:t>a）提供产品原厂商至少五年维保及上门服务；服务周期内提供产品的维修、换件和升级服务</w:t>
            </w:r>
            <w:r>
              <w:rPr>
                <w:rFonts w:hint="eastAsia" w:ascii="仿宋_GB2312" w:hAnsi="仿宋_GB2312" w:eastAsia="仿宋_GB2312" w:cs="仿宋_GB2312"/>
                <w:color w:val="000000" w:themeColor="text1"/>
                <w:sz w:val="24"/>
                <w:szCs w:val="24"/>
                <w:lang w:eastAsia="zh-CN"/>
                <w14:textFill>
                  <w14:solidFill>
                    <w14:schemeClr w14:val="tx1"/>
                  </w14:solidFill>
                </w14:textFill>
              </w:rPr>
              <w:t>，供应商</w:t>
            </w:r>
            <w:r>
              <w:rPr>
                <w:rFonts w:hint="eastAsia"/>
                <w:lang w:val="en-US" w:eastAsia="zh-CN"/>
              </w:rPr>
              <w:t>提供电话、电子邮件、远程链接等多种形式服务</w:t>
            </w:r>
            <w:r>
              <w:rPr>
                <w:rFonts w:hint="eastAsia" w:ascii="仿宋_GB2312" w:hAnsi="仿宋_GB2312" w:eastAsia="仿宋_GB2312" w:cs="仿宋_GB2312"/>
                <w:color w:val="000000" w:themeColor="text1"/>
                <w:sz w:val="24"/>
                <w:szCs w:val="24"/>
                <w14:textFill>
                  <w14:solidFill>
                    <w14:schemeClr w14:val="tx1"/>
                  </w14:solidFill>
                </w14:textFill>
              </w:rPr>
              <w:t>；</w:t>
            </w:r>
          </w:p>
          <w:p>
            <w:pPr>
              <w:rPr>
                <w:rFonts w:hint="eastAsia" w:ascii="仿宋_GB2312" w:hAnsi="仿宋" w:eastAsia="仿宋_GB2312" w:cs="仿宋_GB2312"/>
                <w:color w:val="000000" w:themeColor="text1"/>
                <w:sz w:val="24"/>
                <w14:textFill>
                  <w14:solidFill>
                    <w14:schemeClr w14:val="tx1"/>
                  </w14:solidFill>
                </w14:textFill>
              </w:rPr>
            </w:pP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b）提供政企专线 7*24 在线服务；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c）现场保障技术服务团队员，国内上门服务地级市覆盖率达100%;</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d）供应商提供电话、电子邮件、远程连接等多种形式服务；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e)供应商提供同城10分钟技术响应服务，1个工作日解决问题，对于未能解决的问题和故障应提供可行的升级方案，并提供周转设备或更换设备；</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f)建立全国技术服务体系和服务团体，符合专业服务体系标准要求，提供原厂中文服务；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g)设备厂商需提供闪修保修服务；闪修服务保修时效：当日下午4点前报修，下一自然日24点前修复，若没有完成修复，则为客户免费赠送延迟日数对应的月度延保服务；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★服务周期</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 设备停产后应继续提供质量保障服务（含备品备件），服务终止时间与最后一批设备交付时间间隔不低于8年；</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产品停止服务时间应提前1年告知；</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 应明确产品发布日期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★预装操作系统</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预装符合桌面操作系统政府采购需求标准的正版操作系统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★培训服务</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★典型问题解决手册</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★厂家升级软件与扩容服务</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★整机质量服务要求</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免费服务周期（含换件和维修）不小于五年。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★合格证书要求</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★开箱组装/使用指导要求</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★驱动下载服务要求</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★兼容适配软件下载服务要求</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138</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供应链合规性</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产品部件保障</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供应商保障产品主要部件，提供8年的备件服务能力(自购买之日起),或提供可兼容原设备的升级换代产品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139</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质量</w:t>
            </w: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★抗干扰性</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140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555"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★供应能力证明</w:t>
            </w:r>
          </w:p>
        </w:tc>
        <w:tc>
          <w:tcPr>
            <w:tcW w:w="5062"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提供供应链稳定承诺书，确保产品的部件在产品服务周期内稳定供货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14</w:t>
            </w:r>
            <w:r>
              <w:rPr>
                <w:rFonts w:hint="eastAsia" w:ascii="仿宋_GB2312" w:hAnsi="等线" w:eastAsia="仿宋_GB2312"/>
                <w:color w:val="000000"/>
                <w:lang w:val="en-US" w:eastAsia="zh-CN"/>
              </w:rPr>
              <w:t>1</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整机安全性要求</w:t>
            </w:r>
          </w:p>
        </w:tc>
        <w:tc>
          <w:tcPr>
            <w:tcW w:w="1555" w:type="dxa"/>
            <w:vMerge w:val="restart"/>
            <w:tcBorders>
              <w:tl2br w:val="nil"/>
              <w:tr2bl w:val="nil"/>
            </w:tcBorders>
            <w:vAlign w:val="center"/>
          </w:tcPr>
          <w:p>
            <w:pPr>
              <w:jc w:val="center"/>
              <w:rPr>
                <w:rFonts w:ascii="仿宋_GB2312" w:hAnsi="仿宋"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★限用物质的限量要求</w:t>
            </w:r>
          </w:p>
        </w:tc>
        <w:tc>
          <w:tcPr>
            <w:tcW w:w="5062" w:type="dxa"/>
            <w:vMerge w:val="restart"/>
            <w:tcBorders>
              <w:tl2br w:val="nil"/>
              <w:tr2bl w:val="nil"/>
            </w:tcBorders>
            <w:shd w:val="clear" w:color="auto" w:fill="auto"/>
            <w:vAlign w:val="center"/>
          </w:tcPr>
          <w:p>
            <w:r>
              <w:rPr>
                <w:rFonts w:hint="eastAsia" w:ascii="仿宋_GB2312" w:hAnsi="仿宋" w:eastAsia="仿宋_GB2312" w:cs="仿宋_GB2312"/>
                <w:color w:val="000000" w:themeColor="text1"/>
                <w:sz w:val="24"/>
                <w14:textFill>
                  <w14:solidFill>
                    <w14:schemeClr w14:val="tx1"/>
                  </w14:solidFill>
                </w14:textFill>
              </w:rPr>
              <w:t>符合GB/T 26572中规定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9" w:type="dxa"/>
            <w:tcBorders>
              <w:top w:val="single" w:color="auto" w:sz="4" w:space="0"/>
              <w:left w:val="single" w:color="auto" w:sz="4" w:space="0"/>
              <w:right w:val="single" w:color="auto" w:sz="4" w:space="0"/>
            </w:tcBorders>
            <w:shd w:val="clear" w:color="auto" w:fill="auto"/>
            <w:vAlign w:val="center"/>
          </w:tcPr>
          <w:p/>
        </w:tc>
        <w:tc>
          <w:tcPr>
            <w:tcW w:w="1289" w:type="dxa"/>
            <w:vMerge w:val="continue"/>
            <w:tcBorders>
              <w:left w:val="single" w:color="auto" w:sz="4" w:space="0"/>
              <w:tl2br w:val="nil"/>
              <w:tr2bl w:val="nil"/>
            </w:tcBorders>
            <w:vAlign w:val="center"/>
          </w:tcPr>
          <w:p/>
        </w:tc>
        <w:tc>
          <w:tcPr>
            <w:tcW w:w="1555" w:type="dxa"/>
            <w:vMerge w:val="continue"/>
            <w:tcBorders>
              <w:tl2br w:val="nil"/>
              <w:tr2bl w:val="nil"/>
            </w:tcBorders>
            <w:vAlign w:val="center"/>
          </w:tcPr>
          <w:p/>
        </w:tc>
        <w:tc>
          <w:tcPr>
            <w:tcW w:w="5062" w:type="dxa"/>
            <w:vMerge w:val="continue"/>
            <w:tcBorders>
              <w:tl2br w:val="nil"/>
              <w:tr2bl w:val="nil"/>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14</w:t>
            </w:r>
            <w:r>
              <w:rPr>
                <w:rFonts w:hint="eastAsia" w:ascii="仿宋_GB2312" w:hAnsi="等线" w:eastAsia="仿宋_GB2312"/>
                <w:color w:val="000000"/>
                <w:lang w:val="en-US" w:eastAsia="zh-CN"/>
              </w:rPr>
              <w:t>2</w:t>
            </w:r>
          </w:p>
        </w:tc>
        <w:tc>
          <w:tcPr>
            <w:tcW w:w="7906" w:type="dxa"/>
            <w:gridSpan w:val="3"/>
            <w:tcBorders>
              <w:left w:val="single" w:color="auto" w:sz="4" w:space="0"/>
            </w:tcBorders>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★提供节能产品认证证书。</w:t>
            </w:r>
          </w:p>
        </w:tc>
      </w:tr>
    </w:tbl>
    <w:p>
      <w:pPr>
        <w:pStyle w:val="6"/>
        <w:numPr>
          <w:ilvl w:val="0"/>
          <w:numId w:val="7"/>
        </w:numPr>
        <w:tabs>
          <w:tab w:val="clear" w:pos="1984"/>
        </w:tabs>
        <w:spacing w:before="0" w:after="0" w:line="440" w:lineRule="exact"/>
        <w:jc w:val="left"/>
        <w:rPr>
          <w:rFonts w:ascii="仿宋_GB2312" w:hAnsi="仿宋" w:eastAsia="仿宋_GB2312" w:cs="仿宋_GB2312"/>
          <w:sz w:val="24"/>
          <w:szCs w:val="24"/>
        </w:rPr>
      </w:pPr>
      <w:r>
        <w:rPr>
          <w:rFonts w:hint="eastAsia" w:ascii="仿宋_GB2312" w:hAnsi="仿宋" w:eastAsia="仿宋_GB2312" w:cs="仿宋_GB2312"/>
          <w:sz w:val="24"/>
          <w:szCs w:val="24"/>
        </w:rPr>
        <w:t>手术嵌入一体机（27</w:t>
      </w:r>
      <w:r>
        <w:rPr>
          <w:rFonts w:hint="eastAsia" w:ascii="仿宋_GB2312" w:hAnsi="仿宋" w:eastAsia="仿宋_GB2312" w:cs="仿宋_GB2312"/>
          <w:sz w:val="24"/>
          <w:szCs w:val="24"/>
          <w:lang w:eastAsia="zh-CN"/>
        </w:rPr>
        <w:t>英寸</w:t>
      </w:r>
      <w:r>
        <w:rPr>
          <w:rFonts w:hint="eastAsia" w:ascii="仿宋_GB2312" w:hAnsi="仿宋" w:eastAsia="仿宋_GB2312" w:cs="仿宋_GB2312"/>
          <w:sz w:val="24"/>
          <w:szCs w:val="24"/>
        </w:rPr>
        <w:t>）：</w:t>
      </w:r>
    </w:p>
    <w:tbl>
      <w:tblPr>
        <w:tblStyle w:val="63"/>
        <w:tblW w:w="47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89"/>
        <w:gridCol w:w="1687"/>
        <w:gridCol w:w="4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59" w:type="dxa"/>
            <w:tcBorders>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bookmarkStart w:id="13" w:name="_Hlk169774728"/>
            <w:r>
              <w:rPr>
                <w:rFonts w:hint="eastAsia" w:ascii="仿宋_GB2312" w:hAnsi="仿宋" w:eastAsia="仿宋_GB2312" w:cs="仿宋_GB2312"/>
                <w:b/>
                <w:bCs/>
                <w:color w:val="000000" w:themeColor="text1"/>
                <w:sz w:val="24"/>
                <w14:textFill>
                  <w14:solidFill>
                    <w14:schemeClr w14:val="tx1"/>
                  </w14:solidFill>
                </w14:textFill>
              </w:rPr>
              <w:t>序号</w:t>
            </w:r>
          </w:p>
        </w:tc>
        <w:tc>
          <w:tcPr>
            <w:tcW w:w="1289"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一级指标</w:t>
            </w:r>
          </w:p>
        </w:tc>
        <w:tc>
          <w:tcPr>
            <w:tcW w:w="1687" w:type="dxa"/>
            <w:tcBorders>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二级指标</w:t>
            </w:r>
          </w:p>
        </w:tc>
        <w:tc>
          <w:tcPr>
            <w:tcW w:w="4930"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w:t>
            </w:r>
          </w:p>
        </w:tc>
        <w:tc>
          <w:tcPr>
            <w:tcW w:w="1289" w:type="dxa"/>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★CPU信息</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 xml:space="preserve">CPU性能不低于≥Intel i5-13500，主频2.5GHz，14核心/20线程/24M缓存，TDP功耗65W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w:t>
            </w:r>
          </w:p>
        </w:tc>
        <w:tc>
          <w:tcPr>
            <w:tcW w:w="1289" w:type="dxa"/>
            <w:vMerge w:val="restart"/>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★内存配置容量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w:t>
            </w:r>
          </w:p>
        </w:tc>
        <w:tc>
          <w:tcPr>
            <w:tcW w:w="1289"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★内存类型</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支持DDR4 3200 MT/s及以上内存类型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w:t>
            </w:r>
          </w:p>
        </w:tc>
        <w:tc>
          <w:tcPr>
            <w:tcW w:w="1289"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★内存条配置数量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w:t>
            </w:r>
          </w:p>
        </w:tc>
        <w:tc>
          <w:tcPr>
            <w:tcW w:w="1289" w:type="dxa"/>
            <w:vMerge w:val="restart"/>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★主板集成模块</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集成资源扩展模块、计算处理模块、音频扩展模块等，主板的互联拓扑可通过处理器或交换电路实现。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w:t>
            </w:r>
          </w:p>
        </w:tc>
        <w:tc>
          <w:tcPr>
            <w:tcW w:w="1289"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★主板支持的CPU和内存情况</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sz w:val="24"/>
              </w:rPr>
              <w:t>主板支持所投CPU型号，内存支持≥16G DDR4 3200 MT/s, 系统最大支持64G及以上。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★单内存插槽最大可支持容量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★内存插槽满配置时提供的最高内存总容量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≥64G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★固态盘数量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★固态存储容量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≥512GB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★固态存储接口协议</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SATA/NVMe接口协议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★固态存储形态</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采用插卡形态，选用符合M.2 NVMe标准的插卡形态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★存储设备其他参数要求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固态盘应符合 SJ/T 11654 相关规定，更换硬盘后，原硬盘不返还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14</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★显卡类型</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15</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▲显示屏屏占比</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★显示屏分辨率</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≥2560x1440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★显示屏尺寸</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≥27英寸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★显示屏屏幕比例</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★显示器边框颜色</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★显示屏可视角度</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水平≥170°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★显示屏防蓝光</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支持防蓝光模式，蓝光加权辐射亮度比应≤0.0012W/(·cd·sr)(瓦每坎特拉每球面度)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★显示屏低频闪</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显示屏应支持低频闪≤-35dB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★显示屏防炫目</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显示屏镜面反射率≤10%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24</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★扬声器数量</w:t>
            </w:r>
          </w:p>
        </w:tc>
        <w:tc>
          <w:tcPr>
            <w:tcW w:w="4930"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25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★鼠标数量</w:t>
            </w:r>
          </w:p>
        </w:tc>
        <w:tc>
          <w:tcPr>
            <w:tcW w:w="4930"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★键盘数量</w:t>
            </w:r>
          </w:p>
        </w:tc>
        <w:tc>
          <w:tcPr>
            <w:tcW w:w="4930"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27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★摄像头数量</w:t>
            </w:r>
          </w:p>
        </w:tc>
        <w:tc>
          <w:tcPr>
            <w:tcW w:w="4930"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★键盘按键数目</w:t>
            </w:r>
          </w:p>
        </w:tc>
        <w:tc>
          <w:tcPr>
            <w:tcW w:w="4930"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104键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29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★摄像头像素</w:t>
            </w:r>
          </w:p>
        </w:tc>
        <w:tc>
          <w:tcPr>
            <w:tcW w:w="4930"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≥500 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30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★摄像头分辨率</w:t>
            </w:r>
          </w:p>
        </w:tc>
        <w:tc>
          <w:tcPr>
            <w:tcW w:w="4930"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31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★内置扬声器功率</w:t>
            </w:r>
          </w:p>
        </w:tc>
        <w:tc>
          <w:tcPr>
            <w:tcW w:w="4930"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 瓦/个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32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★内置扬声器频率范围</w:t>
            </w:r>
          </w:p>
        </w:tc>
        <w:tc>
          <w:tcPr>
            <w:tcW w:w="4930"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100Hz-20kHz，其中 100Hz-200Hz：35dB 及以上；200Hz-12kHz：55dB 及以上，12kHz-18kHz：35dB 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33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★内置扬声器总谐波失真</w:t>
            </w:r>
          </w:p>
        </w:tc>
        <w:tc>
          <w:tcPr>
            <w:tcW w:w="4930"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总谐波失真在300Hz-7kHz 频率范围内宜不高于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34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★内置扬声器最大声压级</w:t>
            </w:r>
          </w:p>
        </w:tc>
        <w:tc>
          <w:tcPr>
            <w:tcW w:w="4930"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最大声压级在粉红噪声播放场景下，工作距离处声压级宜不低于70dB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★键盘连接方式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★键盘键程</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2.3mm-4.0mm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★键盘按键压力</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按键压力应在 0.54 N 士0.14N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★键盘颜色</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黑色/白色/银色等商务色系，与鼠标为同一色系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★键盘其他要求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键盘外观结构、连接方式， 主要功能、安全、电磁兼容性、可靠性应符合 GB/T 14081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pStyle w:val="19"/>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★鼠标连接方式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pStyle w:val="19"/>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★鼠标DPI分辨率</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★鼠标颜色</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黑色/白色/银色等商务色系，与键盘为同一色系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★鼠标其他要求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其它参数应符合 GB/T 26245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44</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★有线网卡数量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45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★无线网卡及天线数量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≥1，英特尔WIFI6双天线无线网卡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46</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外部接口规格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★USB接口数量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USB接口数量应不少于4 个，至少包含2 个USB3.2 及以上标准接口。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★视频接口数量</w:t>
            </w:r>
          </w:p>
        </w:tc>
        <w:tc>
          <w:tcPr>
            <w:tcW w:w="4930" w:type="dxa"/>
            <w:tcBorders>
              <w:tl2br w:val="nil"/>
              <w:tr2bl w:val="nil"/>
            </w:tcBorders>
            <w:shd w:val="clear" w:color="auto" w:fill="auto"/>
            <w:vAlign w:val="center"/>
          </w:tcPr>
          <w:p>
            <w:pPr>
              <w:rPr>
                <w:rFonts w:hint="eastAsia" w:ascii="仿宋_GB2312" w:hAnsi="仿宋" w:eastAsia="仿宋_GB2312" w:cs="仿宋_GB2312"/>
                <w:color w:val="000000" w:themeColor="text1"/>
                <w:sz w:val="24"/>
                <w:lang w:val="en-US" w:eastAsia="zh-CN"/>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≥1个HDM</w:t>
            </w:r>
            <w:r>
              <w:rPr>
                <w:rFonts w:hint="eastAsia" w:ascii="仿宋_GB2312" w:hAnsi="仿宋" w:eastAsia="仿宋_GB2312" w:cs="仿宋_GB2312"/>
                <w:color w:val="000000" w:themeColor="text1"/>
                <w:sz w:val="24"/>
                <w:lang w:val="en-US" w:eastAsia="zh-CN"/>
                <w14:textFill>
                  <w14:solidFill>
                    <w14:schemeClr w14:val="tx1"/>
                  </w14:solidFill>
                </w14:textFill>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★音频接口数量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49</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整机基础规格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★整机外观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 产品表面不应有凹痕、划伤、裂缝、变形和污染等。表面涂层均匀，不应起泡、龟裂、脱落和磨损，金属零部件无锈蚀及其它机械损伤；</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产品表面说明功能的文字、符号、标志，应清晰、端正、牢固;</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 宜在产品显著位置提供运行状态指示功能，并由生产厂商提供详细参数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★整机结构</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机箱应符合 GB/T 4208、GB/T 26246 的相关规定；</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产品内部结构应符合通用部件的安装需要；</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所有输入输出接口应符合相关国家或行业标准；</w:t>
            </w:r>
          </w:p>
          <w:p>
            <w:r>
              <w:rPr>
                <w:rFonts w:hint="eastAsia" w:ascii="仿宋_GB2312" w:hAnsi="仿宋" w:eastAsia="仿宋_GB2312" w:cs="仿宋_GB2312"/>
                <w:color w:val="000000" w:themeColor="text1"/>
                <w:sz w:val="24"/>
                <w14:textFill>
                  <w14:solidFill>
                    <w14:schemeClr w14:val="tx1"/>
                  </w14:solidFill>
                </w14:textFill>
              </w:rPr>
              <w:t>d)</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产品零部件应紧固无松动，可插拔部件应可靠连接，开关、按钮和其它控制部件应灵活可靠，布局</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应方便使用；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所有 I/O 连接器及需插接线缆的部位应预留用户操作空间，方便插拔解锁与插拔线缆；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f)</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可插拔板卡插槽部位应预留安装、拆卸或更换板卡空间；</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g)</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拆装可能接触到的金属剪口或金属尖角部位应做防划伤处理，以保证安全；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整机内部走线应规整，固线结构和位置要合理可靠并做防割线处理，需便于理线和插拔操作，走线应不影响系统各主要部件组装和拆卸；</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如需通过孔走线，过线孔应做防割线处理；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j)</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各插头位置和插拔方向应合 理，应做到插拔无障碍设计，具备防呆设计，有效避免误操作；</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k)</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各主要部件拆装无障碍，使用常规工具拆装，无特殊拆装工具需求；</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l)</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各主要部件拆装步骤要少，各自拆装需避免相互干扰；</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对于整机或零部件外表面为高亮面的，应粘贴保护膜，保护膜需粘贴牢固，运输、组装等过程不易脱落，撕下无残留；</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n)</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其它要求应符合  GB/T 9813.1的相关规定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★机箱防护要求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机箱应符合GB/T 4208 中IP20 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★整机噪音</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产品工作在空闲状态下，产品的声功率级应不超过 4.5 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★整机散热</w:t>
            </w:r>
          </w:p>
        </w:tc>
        <w:tc>
          <w:tcPr>
            <w:tcW w:w="4930" w:type="dxa"/>
            <w:tcBorders>
              <w:tl2br w:val="nil"/>
              <w:tr2bl w:val="nil"/>
            </w:tcBorders>
            <w:shd w:val="clear" w:color="auto" w:fill="auto"/>
            <w:vAlign w:val="center"/>
          </w:tcPr>
          <w:p>
            <w:pPr>
              <w:pStyle w:val="1032"/>
              <w:spacing w:before="13" w:line="249" w:lineRule="auto"/>
              <w:ind w:left="108" w:right="95"/>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在环境温度为 25℃及处理器满载情况下，产品表面温度应符合如下要求：</w:t>
            </w:r>
          </w:p>
          <w:p>
            <w:pPr>
              <w:pStyle w:val="1032"/>
              <w:numPr>
                <w:ilvl w:val="0"/>
                <w:numId w:val="10"/>
              </w:numPr>
              <w:tabs>
                <w:tab w:val="left" w:pos="378"/>
              </w:tabs>
              <w:spacing w:before="1" w:line="249" w:lineRule="auto"/>
              <w:ind w:right="534" w:firstLine="0"/>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可触及面温度范围内小于45℃；</w:t>
            </w:r>
          </w:p>
          <w:p>
            <w:pPr>
              <w:pStyle w:val="1032"/>
              <w:numPr>
                <w:ilvl w:val="0"/>
                <w:numId w:val="10"/>
              </w:numPr>
              <w:tabs>
                <w:tab w:val="left" w:pos="378"/>
              </w:tabs>
              <w:spacing w:line="249" w:lineRule="auto"/>
              <w:ind w:right="95" w:firstLine="0"/>
              <w:rPr>
                <w:rFonts w:ascii="仿宋_GB2312" w:hAnsi="仿宋" w:eastAsia="仿宋_GB2312" w:cs="仿宋_GB2312"/>
                <w:color w:val="000000" w:themeColor="text1"/>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显示器表面温度：显示屏温度不高于 38℃，显示屏上下灯带位置温度（如涉及）不高于40℃，出风</w:t>
            </w:r>
            <w:r>
              <w:rPr>
                <w:rFonts w:hint="eastAsia" w:ascii="仿宋_GB2312" w:hAnsi="仿宋" w:eastAsia="仿宋_GB2312" w:cs="仿宋_GB2312"/>
                <w:color w:val="000000" w:themeColor="text1"/>
                <w:sz w:val="24"/>
                <w:lang w:eastAsia="zh-CN"/>
                <w14:textFill>
                  <w14:solidFill>
                    <w14:schemeClr w14:val="tx1"/>
                  </w14:solidFill>
                </w14:textFill>
              </w:rPr>
              <w:t>口温度不高于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★整机能效限定值</w:t>
            </w:r>
          </w:p>
        </w:tc>
        <w:tc>
          <w:tcPr>
            <w:tcW w:w="4930" w:type="dxa"/>
            <w:vAlign w:val="center"/>
          </w:tcPr>
          <w:p>
            <w:pPr>
              <w:pStyle w:val="1032"/>
              <w:spacing w:before="13" w:line="249" w:lineRule="auto"/>
              <w:ind w:left="108" w:right="95"/>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产品能效限定值应达到GB28380-2012 标准中能效等级2 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★机身材质</w:t>
            </w:r>
          </w:p>
        </w:tc>
        <w:tc>
          <w:tcPr>
            <w:tcW w:w="4930" w:type="dxa"/>
            <w:vAlign w:val="center"/>
          </w:tcPr>
          <w:p>
            <w:pPr>
              <w:pStyle w:val="1032"/>
              <w:spacing w:before="13" w:line="249" w:lineRule="auto"/>
              <w:ind w:left="108" w:right="95"/>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塑料/金属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★机身颜色</w:t>
            </w:r>
          </w:p>
        </w:tc>
        <w:tc>
          <w:tcPr>
            <w:tcW w:w="4930" w:type="dxa"/>
            <w:vAlign w:val="center"/>
          </w:tcPr>
          <w:p>
            <w:pPr>
              <w:pStyle w:val="1032"/>
              <w:spacing w:before="13" w:line="249" w:lineRule="auto"/>
              <w:ind w:left="108" w:right="95"/>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选用灰色/黑色等商务色系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57</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 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★CPU物理核数</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★CPU主频</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★CPU末级缓存容量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≥24MB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★CPU支持的内存最高速率</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≥4800MT/s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61</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★内存读写速率</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62</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★显示分辨率</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≥2560x1440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★显卡显示芯片核心频率</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★显存等效频率</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★显卡可支持多屏同时显示数量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显卡应支持2块屏幕同时显示，分辨率应不低于2560x1440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66</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★显示屏刷新率</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★显示屏位深</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★显示屏色域</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≥99%sRGB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★显示屏色准</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★显示屏响应时间</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≥250尼特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★显示屏亮度一致性</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★显示屏对比度</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★显示屏其他参数</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其它参数应符合SJ/T11292的相关规定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75</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★有线网卡速率</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最高速率应不低于1000Mbps,应支持100Mbps、1000Mbps速率自适应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76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★支持无线网络通信技术协议</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 WAPI 或 WiFi6.0 及以上协议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77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★无线网卡频宽</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78</w:t>
            </w:r>
          </w:p>
        </w:tc>
        <w:tc>
          <w:tcPr>
            <w:tcW w:w="1289"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电源适配器性能</w:t>
            </w: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★电源适配器电源效率</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在 20%/50%/100%负载下效率均应不低于 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79</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★内存扩展接口(板载内存不涉及)</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★主板USB 瞬间过流 保护</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★主板防静电保护</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★I/O接口功能</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内置或通过扩展坞支持数据传输 口、视频接口、音频接口、网络接口、电源接口等各类标准接口， 应具备接入键盘、鼠标、写字板等外设的能力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83</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★显卡外接显示接口</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显卡至少支持VGA、HDMI、DVI、DP、Type-C 中 1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84</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★显示器支架</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显示器应提供显示器支架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★显示器参数调节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支持色温、亮度、对比度等显示参数调节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86</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★摄像头物理隐私保护开关</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支持物理隐私保护开关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87</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支持信息存储功能，包括支持易失性存储功能和非易失性存储功能。为提升存储性能和降低存储功耗，非易失性存储宜支持固态存储设备，如SSD/UFS。</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产品应支持外出接口可以与独立的存储设备进行数据交互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88</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★网络功能</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a)支持网络连接、网络开启/关闭功能；</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89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★无线网卡频段</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支持双频段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★数据传输</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★蓝牙协议</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若支持蓝牙模块，蓝牙协议不低于5.0 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★有线网卡接口类型</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配备有线网络通信模块，支持RJ45接口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93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★无线网卡标准</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配备无线网卡，产品应符合GB 15629.11 所有部分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★网络设备拆装</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网络设备支持物理拆装，包括无线网卡和蓝牙模块等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95</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接口功能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★音频接口类型</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≥1个，支持 3.5mm 孔径 3 段式或 4 段式接口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★视频接口类型</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至少支持 VGA、HDMI、DP、Type-C中 3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★HDMI、DP、Type-C 显示接口要求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若提供 HDMI 或 DP 或 Type-C 作为显示接口，应支持音频和视频同步输出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98</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★电源线适配能力</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 15934-2008对于可拆线插头GB15934 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olor w:val="000000"/>
                <w:sz w:val="24"/>
              </w:rPr>
            </w:pPr>
            <w:r>
              <w:rPr>
                <w:rFonts w:hint="eastAsia" w:ascii="仿宋_GB2312" w:hAnsi="等线" w:eastAsia="仿宋_GB2312"/>
                <w:color w:val="000000"/>
              </w:rPr>
              <w:t>99</w:t>
            </w:r>
          </w:p>
        </w:tc>
        <w:tc>
          <w:tcPr>
            <w:tcW w:w="1289"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中文信息处理</w:t>
            </w: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★中文信息处理要求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 18030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100</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操作系统及软件功能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★操作系统备份及还原功能</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支持操作系统备份及还原功能、支持操作系统重装（重装系统版本需按医院实际需求）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★固件备份还原能力</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支持备份及还原固件的功能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★操作系统及驱动升级</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★固件升级</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★BI0S支持关闭通讯接口</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支持BIOS关闭以太网及USB接口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★固件查看信息</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支持查看固件版本、内存信息、主板信息、处理器信息和系统时间信息等功能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★固件设置启动顺序</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支持设置启动顺序功能，并按照设置的启动顺序启动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★固件设置口令</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支持设置口令、修改口令、验证口令功能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★固件设置网络引导</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支持网络引导启动和关闭功能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109</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存储设备可靠性</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固态存储寿命</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TBW ≥150TB(条件：512GB硬盘容量)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110</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可靠性</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★显示屏屏幕失效点</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111</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外设可靠性</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★键盘按键寿命</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★鼠标按键寿命</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★键盘鼠标线材寿命</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键盘鼠标所用线材经±60°弯折不低于3000次，功能、外观完好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★风扇寿命</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115</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整机可靠性要求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★电磁兼容性要求的抗扰度</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★环境条件要求的气候环境适应性</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★环境条件要求的振动适应性</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★环境条件要求的冲击适应性</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★环境条件要求的碰撞适应性</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★环境条件要求的运输包装件跌落适应性</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★MTBF测试</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MTBF(m1)≥100万小时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122</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常用软件兼容</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支持流式软件、版式软件、浏览器、 邮件采购人端、解压软件、多媒体， 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数据库兼容</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中间件兼容</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平台软件兼容</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126</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包装及运输要求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★标志、包装、运输和贮存</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127</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★配置检查工具</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★服务响应</w:t>
            </w:r>
          </w:p>
        </w:tc>
        <w:tc>
          <w:tcPr>
            <w:tcW w:w="4930" w:type="dxa"/>
            <w:tcBorders>
              <w:tl2br w:val="nil"/>
              <w:tr2bl w:val="nil"/>
            </w:tcBorders>
            <w:shd w:val="clear" w:color="auto" w:fill="auto"/>
            <w:vAlign w:val="center"/>
          </w:tcPr>
          <w:p>
            <w:pPr>
              <w:rPr>
                <w:rFonts w:hint="eastAsia" w:ascii="仿宋_GB2312" w:hAnsi="仿宋" w:eastAsia="仿宋_GB2312" w:cs="仿宋_GB2312"/>
                <w:color w:val="000000" w:themeColor="text1"/>
                <w:sz w:val="24"/>
                <w:lang w:val="en-US" w:eastAsia="zh-CN"/>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a）提供产品原厂商至少五年维保及上门服务；服务周期内提供产品的维修、换件和升级服务</w:t>
            </w:r>
            <w:r>
              <w:rPr>
                <w:rFonts w:hint="eastAsia" w:ascii="仿宋_GB2312" w:hAnsi="仿宋" w:eastAsia="仿宋_GB2312" w:cs="仿宋_GB2312"/>
                <w:color w:val="000000" w:themeColor="text1"/>
                <w:sz w:val="24"/>
                <w:szCs w:val="24"/>
                <w:lang w:eastAsia="zh-CN"/>
                <w14:textFill>
                  <w14:solidFill>
                    <w14:schemeClr w14:val="tx1"/>
                  </w14:solidFill>
                </w14:textFill>
              </w:rPr>
              <w:t>，供应商</w:t>
            </w:r>
            <w:r>
              <w:rPr>
                <w:rFonts w:hint="eastAsia" w:ascii="仿宋_GB2312" w:hAnsi="仿宋" w:eastAsia="仿宋_GB2312" w:cs="仿宋_GB2312"/>
                <w:color w:val="000000" w:themeColor="text1"/>
                <w:sz w:val="24"/>
                <w:lang w:val="en-US" w:eastAsia="zh-CN"/>
                <w14:textFill>
                  <w14:solidFill>
                    <w14:schemeClr w14:val="tx1"/>
                  </w14:solidFill>
                </w14:textFill>
              </w:rPr>
              <w:t>提供电话、电子邮件、远程链接等多种形式服务;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b）提供政企专线 7*24 在线服务；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c）现场保障技术服务团队员，国内上门服务地级市覆盖率达100%;</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d）供应商提供电话、电子邮件、远程连接等多种形式服务；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e)供应商提供同城10分钟技术响应服务，1个工作日解决问题，对于未能解决的问题和故障应提供可行的升级方案，并提供周转设备或更换设备；</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f)建立全国技术服务体系和服务团体，符合专业服务体系标准要求，提供原厂中文服务；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g)设备厂商需提供闪修保修服务；闪修服务保修时效：当日下午4点前报修，下一自然日24点前修复，若没有完成修复，则为客户免费赠送延迟日数对应的月度延保服务；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★服务周期</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 设备停产后应继续提供质量保障服务（含备品备件），服务终止时间与最后一批设备交付时间间隔不低于8年；</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产品停止服务时间应提前1年告知；</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 应明确产品发布日期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★预装操作系统</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预装符合桌面操作系统政府采购需求标准的正版操作系统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★培训服务</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★典型问题解决手册</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★厂家升级软件与扩容服务</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★整机质量服务要求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免费服务周期（含换件和维修）不小于五年。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★合格证书要求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★开箱组装/使用指导要求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★驱动下载服务要求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★兼容适配软件下载服务要求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139</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供应链合 规性</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产品部件保障</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供应商保障产品主要部件，提供8年的备件服务能力(自购买之日起),或提供可兼容原设备的升级换代产品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140</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质量</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★抗干扰性</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141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★供应能力证明</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提供供应链稳定承诺书，确保产品的部件在产品服务周期内稳定供货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9" w:type="dxa"/>
            <w:tcBorders>
              <w:tl2br w:val="nil"/>
              <w:tr2bl w:val="nil"/>
            </w:tcBorders>
            <w:vAlign w:val="center"/>
          </w:tcPr>
          <w:p>
            <w:pPr>
              <w:jc w:val="center"/>
              <w:rPr>
                <w:rFonts w:hint="eastAsia" w:ascii="仿宋_GB2312" w:hAnsi="仿宋" w:eastAsia="仿宋_GB2312" w:cs="仿宋_GB2312"/>
                <w:color w:val="000000" w:themeColor="text1"/>
                <w:sz w:val="24"/>
                <w:lang w:eastAsia="zh-CN"/>
                <w14:textFill>
                  <w14:solidFill>
                    <w14:schemeClr w14:val="tx1"/>
                  </w14:solidFill>
                </w14:textFill>
              </w:rPr>
            </w:pPr>
            <w:r>
              <w:rPr>
                <w:rFonts w:hint="eastAsia" w:ascii="仿宋_GB2312" w:hAnsi="等线" w:eastAsia="仿宋_GB2312"/>
                <w:color w:val="000000"/>
              </w:rPr>
              <w:t>14</w:t>
            </w:r>
            <w:r>
              <w:rPr>
                <w:rFonts w:hint="eastAsia" w:ascii="仿宋_GB2312" w:hAnsi="等线" w:eastAsia="仿宋_GB2312"/>
                <w:color w:val="000000"/>
                <w:lang w:val="en-US" w:eastAsia="zh-CN"/>
              </w:rPr>
              <w:t>2</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整机安全性要求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★USB端口管控</w:t>
            </w:r>
          </w:p>
        </w:tc>
        <w:tc>
          <w:tcPr>
            <w:tcW w:w="4930" w:type="dxa"/>
            <w:tcBorders>
              <w:tl2br w:val="nil"/>
              <w:tr2bl w:val="nil"/>
            </w:tcBorders>
            <w:shd w:val="clear" w:color="auto" w:fill="auto"/>
            <w:vAlign w:val="center"/>
          </w:tcPr>
          <w:p>
            <w:r>
              <w:rPr>
                <w:rFonts w:hint="eastAsia" w:ascii="仿宋_GB2312" w:hAnsi="仿宋" w:eastAsia="仿宋_GB2312" w:cs="仿宋_GB2312"/>
                <w:color w:val="000000" w:themeColor="text1"/>
                <w:sz w:val="24"/>
                <w14:textFill>
                  <w14:solidFill>
                    <w14:schemeClr w14:val="tx1"/>
                  </w14:solidFill>
                </w14:textFill>
              </w:rPr>
              <w:t>支持USB端口管控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hint="eastAsia" w:ascii="仿宋_GB2312" w:hAnsi="仿宋" w:eastAsia="仿宋_GB2312" w:cs="仿宋_GB2312"/>
                <w:color w:val="000000" w:themeColor="text1"/>
                <w:sz w:val="24"/>
                <w:lang w:eastAsia="zh-CN"/>
                <w14:textFill>
                  <w14:solidFill>
                    <w14:schemeClr w14:val="tx1"/>
                  </w14:solidFill>
                </w14:textFill>
              </w:rPr>
            </w:pPr>
            <w:r>
              <w:rPr>
                <w:rFonts w:hint="eastAsia" w:ascii="仿宋_GB2312" w:hAnsi="等线" w:eastAsia="仿宋_GB2312"/>
                <w:color w:val="000000"/>
              </w:rPr>
              <w:t>14</w:t>
            </w:r>
            <w:r>
              <w:rPr>
                <w:rFonts w:hint="eastAsia" w:ascii="仿宋_GB2312" w:hAnsi="等线" w:eastAsia="仿宋_GB2312"/>
                <w:color w:val="000000"/>
                <w:lang w:val="en-US" w:eastAsia="zh-CN"/>
              </w:rPr>
              <w:t>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★限用物质的限量要求</w:t>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26572中规定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l2br w:val="nil"/>
              <w:tr2bl w:val="nil"/>
            </w:tcBorders>
            <w:vAlign w:val="center"/>
          </w:tcPr>
          <w:p>
            <w:pPr>
              <w:jc w:val="center"/>
              <w:rPr>
                <w:rFonts w:hint="eastAsia" w:ascii="仿宋_GB2312" w:hAnsi="等线" w:eastAsia="仿宋_GB2312"/>
                <w:color w:val="000000"/>
                <w:sz w:val="24"/>
                <w:lang w:eastAsia="zh-CN"/>
              </w:rPr>
            </w:pPr>
            <w:r>
              <w:rPr>
                <w:rFonts w:hint="eastAsia" w:ascii="仿宋_GB2312" w:hAnsi="等线" w:eastAsia="仿宋_GB2312"/>
                <w:color w:val="000000"/>
              </w:rPr>
              <w:t>14</w:t>
            </w:r>
            <w:r>
              <w:rPr>
                <w:rFonts w:hint="eastAsia" w:ascii="仿宋_GB2312" w:hAnsi="等线" w:eastAsia="仿宋_GB2312"/>
                <w:color w:val="000000"/>
                <w:lang w:val="en-US" w:eastAsia="zh-CN"/>
              </w:rPr>
              <w:t>4</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安装支架</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★安装支架</w:t>
            </w:r>
            <w:r>
              <w:rPr>
                <w:rFonts w:hint="eastAsia" w:ascii="仿宋_GB2312" w:hAnsi="仿宋" w:eastAsia="仿宋_GB2312" w:cs="仿宋_GB2312"/>
                <w:color w:val="000000" w:themeColor="text1"/>
                <w:sz w:val="24"/>
                <w14:textFill>
                  <w14:solidFill>
                    <w14:schemeClr w14:val="tx1"/>
                  </w14:solidFill>
                </w14:textFill>
              </w:rPr>
              <w:tab/>
            </w:r>
          </w:p>
        </w:tc>
        <w:tc>
          <w:tcPr>
            <w:tcW w:w="4930"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需提供安装配套的壁挂支架，支架要求支持10-40CM伸缩，支架左或右旋转90度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rPr>
                <w:rFonts w:hint="eastAsia" w:ascii="仿宋_GB2312" w:hAnsi="仿宋" w:eastAsia="仿宋_GB2312" w:cs="仿宋_GB2312"/>
                <w:color w:val="000000" w:themeColor="text1"/>
                <w:sz w:val="24"/>
                <w:lang w:eastAsia="zh-CN"/>
                <w14:textFill>
                  <w14:solidFill>
                    <w14:schemeClr w14:val="tx1"/>
                  </w14:solidFill>
                </w14:textFill>
              </w:rPr>
            </w:pPr>
            <w:r>
              <w:rPr>
                <w:rFonts w:hint="eastAsia" w:ascii="仿宋_GB2312" w:hAnsi="等线" w:eastAsia="仿宋_GB2312"/>
                <w:color w:val="000000"/>
              </w:rPr>
              <w:t>14</w:t>
            </w:r>
            <w:r>
              <w:rPr>
                <w:rFonts w:hint="eastAsia" w:ascii="仿宋_GB2312" w:hAnsi="等线" w:eastAsia="仿宋_GB2312"/>
                <w:color w:val="000000"/>
                <w:lang w:val="en-US" w:eastAsia="zh-CN"/>
              </w:rPr>
              <w:t>5</w:t>
            </w:r>
          </w:p>
        </w:tc>
        <w:tc>
          <w:tcPr>
            <w:tcW w:w="7906" w:type="dxa"/>
            <w:gridSpan w:val="3"/>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★提供节能产品认证证书。</w:t>
            </w:r>
          </w:p>
        </w:tc>
      </w:tr>
      <w:bookmarkEnd w:id="13"/>
    </w:tbl>
    <w:p>
      <w:pPr>
        <w:pStyle w:val="6"/>
        <w:numPr>
          <w:ilvl w:val="0"/>
          <w:numId w:val="7"/>
        </w:numPr>
        <w:tabs>
          <w:tab w:val="clear" w:pos="1984"/>
        </w:tabs>
        <w:spacing w:before="0" w:after="0" w:line="440" w:lineRule="exact"/>
        <w:jc w:val="left"/>
        <w:rPr>
          <w:rFonts w:ascii="仿宋_GB2312" w:hAnsi="仿宋" w:eastAsia="仿宋_GB2312" w:cs="仿宋_GB2312"/>
          <w:sz w:val="24"/>
          <w:szCs w:val="24"/>
        </w:rPr>
      </w:pPr>
      <w:r>
        <w:rPr>
          <w:rFonts w:hint="eastAsia" w:ascii="仿宋_GB2312" w:hAnsi="仿宋" w:eastAsia="仿宋_GB2312" w:cs="仿宋_GB2312"/>
          <w:sz w:val="24"/>
          <w:szCs w:val="24"/>
        </w:rPr>
        <w:t>手术嵌入一体机（43</w:t>
      </w:r>
      <w:r>
        <w:rPr>
          <w:rFonts w:hint="eastAsia" w:ascii="仿宋_GB2312" w:hAnsi="仿宋" w:eastAsia="仿宋_GB2312" w:cs="仿宋_GB2312"/>
          <w:sz w:val="24"/>
          <w:szCs w:val="24"/>
          <w:lang w:eastAsia="zh-CN"/>
        </w:rPr>
        <w:t>英寸</w:t>
      </w:r>
      <w:r>
        <w:rPr>
          <w:rFonts w:hint="eastAsia" w:ascii="仿宋_GB2312" w:hAnsi="仿宋" w:eastAsia="仿宋_GB2312" w:cs="仿宋_GB2312"/>
          <w:sz w:val="24"/>
          <w:szCs w:val="24"/>
        </w:rPr>
        <w:t>）：</w:t>
      </w:r>
    </w:p>
    <w:tbl>
      <w:tblPr>
        <w:tblStyle w:val="63"/>
        <w:tblW w:w="47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89"/>
        <w:gridCol w:w="1687"/>
        <w:gridCol w:w="4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59" w:type="dxa"/>
            <w:tcBorders>
              <w:bottom w:val="single" w:color="auto" w:sz="4" w:space="0"/>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序号</w:t>
            </w:r>
          </w:p>
        </w:tc>
        <w:tc>
          <w:tcPr>
            <w:tcW w:w="1289"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一级指标</w:t>
            </w:r>
          </w:p>
        </w:tc>
        <w:tc>
          <w:tcPr>
            <w:tcW w:w="1687" w:type="dxa"/>
            <w:tcBorders>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二级指标</w:t>
            </w:r>
          </w:p>
        </w:tc>
        <w:tc>
          <w:tcPr>
            <w:tcW w:w="4924"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w:t>
            </w:r>
          </w:p>
        </w:tc>
        <w:tc>
          <w:tcPr>
            <w:tcW w:w="1289" w:type="dxa"/>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★CPU信息</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sz w:val="24"/>
              </w:rPr>
              <w:t xml:space="preserve">CPU性能不低于≥Intel i5-12500，主频3.0GHz，6核心/12线程/12M缓存，TDP功耗65W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w:t>
            </w:r>
          </w:p>
        </w:tc>
        <w:tc>
          <w:tcPr>
            <w:tcW w:w="1289" w:type="dxa"/>
            <w:vMerge w:val="restart"/>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★内存配置容量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w:t>
            </w:r>
          </w:p>
        </w:tc>
        <w:tc>
          <w:tcPr>
            <w:tcW w:w="1289" w:type="dxa"/>
            <w:vMerge w:val="continue"/>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★内存类型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支持DDR4 3200 MT/s及以上内存类型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w:t>
            </w:r>
          </w:p>
        </w:tc>
        <w:tc>
          <w:tcPr>
            <w:tcW w:w="1289" w:type="dxa"/>
            <w:vMerge w:val="continue"/>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★内存条配置数量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w:t>
            </w:r>
          </w:p>
        </w:tc>
        <w:tc>
          <w:tcPr>
            <w:tcW w:w="1289" w:type="dxa"/>
            <w:vMerge w:val="restart"/>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★主板集成模块</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集成资源扩展模块、计算处理模块、音频扩展模块等，主板的互联拓扑可通过处理器或交换电路实现。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w:t>
            </w:r>
          </w:p>
        </w:tc>
        <w:tc>
          <w:tcPr>
            <w:tcW w:w="1289" w:type="dxa"/>
            <w:vMerge w:val="continue"/>
            <w:tcBorders>
              <w:left w:val="single" w:color="auto" w:sz="4" w:space="0"/>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★主板支持的CPU和内存情况</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sz w:val="24"/>
              </w:rPr>
              <w:t>主板支持所投CPU型号，内存支持≥16G DDR4 3200 MT/s, 系统最大支持64G及以上。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★单内存插槽最大可支持容量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★内存插槽满配置时提供的最高内存总容量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≥64G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★固态存储容量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≥512GB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★固态存储接口协议</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SATA/NVMe接口协议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★固态存储形态</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采用插卡形态，选用符合M.2 NVMe标准的插卡形态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★存储设备其他参数要求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固态盘应符合 SJ/T 11654 相关规定，更换硬盘后，原硬盘不返还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14</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★显卡类型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15</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▲显示屏屏占比</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★显示屏分辨率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≥3840*2160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★显示屏尺寸</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≥43英寸，5mm厚防爆全钢化玻璃屏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★显示屏屏幕比例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★显示器边框颜色</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★显示屏可视角度</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水平≥170°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★显示屏防蓝光</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支持防蓝光模式，蓝光加权辐射亮度比应≤0.0012W/(·cd·sr)(瓦每坎特拉每球面度)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★显示屏低频闪</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显示屏应支持低频闪≤-35dB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★显示屏防炫目</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 xml:space="preserve">显示屏镜面反射率≤10%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24</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★扬声器数量</w:t>
            </w:r>
          </w:p>
        </w:tc>
        <w:tc>
          <w:tcPr>
            <w:tcW w:w="4924"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25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★鼠标数量</w:t>
            </w:r>
          </w:p>
        </w:tc>
        <w:tc>
          <w:tcPr>
            <w:tcW w:w="4924"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★键盘数量</w:t>
            </w:r>
          </w:p>
        </w:tc>
        <w:tc>
          <w:tcPr>
            <w:tcW w:w="4924"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★键盘按键数目</w:t>
            </w:r>
          </w:p>
        </w:tc>
        <w:tc>
          <w:tcPr>
            <w:tcW w:w="4924"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104键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28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★内置扬声器功率</w:t>
            </w:r>
          </w:p>
        </w:tc>
        <w:tc>
          <w:tcPr>
            <w:tcW w:w="4924"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≥5瓦/个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29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★内置扬声器频率范围</w:t>
            </w:r>
          </w:p>
        </w:tc>
        <w:tc>
          <w:tcPr>
            <w:tcW w:w="4924"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100Hz-20kHz，其中 100Hz-200Hz：35dB 及以上；200Hz-12kHz：55dB 及以上，12kHz-18kHz：35dB 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30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★内置扬声器总谐波失真</w:t>
            </w:r>
          </w:p>
        </w:tc>
        <w:tc>
          <w:tcPr>
            <w:tcW w:w="4924"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总谐波失真在300Hz-7kHz 频率范围内宜不高于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31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★内置扬声器最大声压级</w:t>
            </w:r>
          </w:p>
        </w:tc>
        <w:tc>
          <w:tcPr>
            <w:tcW w:w="4924"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最大声压级在粉红噪声播放场景下，工作距离处声压级宜不低于70dB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★键盘连接方式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★键盘键程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2.3mm-4.0mm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★键盘按键压力</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按键压力应在 0.54 N 士0.14N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★键盘颜色</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黑色/白色/银色等商务色系，与鼠标为同一色系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★键盘其他要求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键盘外观结构、连接方式、主要功能、安全、电磁兼容性、可靠性应符合 GB/T 14081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pStyle w:val="19"/>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★鼠标连接方式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pStyle w:val="19"/>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★鼠标DPI分辨率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pStyle w:val="19"/>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★鼠标颜色</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黑色/白色/银色等商务色系，与键盘为同一色系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★鼠标其他要求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其它参数应符合 GB/T 26245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41</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42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★无线网卡及天线数量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≥1，英特尔WIFI 5双天线无线网卡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43</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外部接口规格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★USB接口数量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 接口数量不少于6个，至少包含 2 个USB3.2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≥1个HDMI接口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46</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整机基础规格</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★整机外观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 产品表面不应有凹痕、划伤、裂缝、变形和污染等。表面涂层均匀，不应起泡、龟裂、脱落和磨损，金属零部件无锈蚀及其它机械损伤；</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产品表面说明功能的文字、符号、标志，应清晰、端正、牢固;</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 宜在产品显著位置提供运行状态指示功能，并由生产厂商提供详细参数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★整机结构</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机箱应符合 GB/T 4208、GB/T 26246 的相关规定；</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产品内部结构应符合通用部件的安装需要；</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所有输入输出接口应符合相关国家或行业标准；</w:t>
            </w:r>
          </w:p>
          <w:p>
            <w:r>
              <w:rPr>
                <w:rFonts w:hint="eastAsia" w:ascii="仿宋_GB2312" w:hAnsi="仿宋" w:eastAsia="仿宋_GB2312" w:cs="仿宋_GB2312"/>
                <w:color w:val="000000" w:themeColor="text1"/>
                <w:sz w:val="24"/>
                <w14:textFill>
                  <w14:solidFill>
                    <w14:schemeClr w14:val="tx1"/>
                  </w14:solidFill>
                </w14:textFill>
              </w:rPr>
              <w:t>d)</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产品零部件应紧固无松动，可插拔部件应可靠连接，开关、按钮和其它控制部件应灵活可靠，布局</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应方便使用；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所有 I/O 连接器及需插接线缆的部位应预留用户操作空间，方便插拔解锁与插拔线缆；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f)</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可插拔板卡插槽部位应预留安装、拆卸或更换板卡空间；</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g)</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拆装可能接触到的金属剪口或金属尖角部位应做防划伤处理，以保证安全；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整机内部走线应规整，固线结构和位置要合理可靠并做防割线处理，需便于理线和插拔操作，走线应不影响系统各主要部件组装和拆卸；</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如需通过孔走线，过线孔应做防割线处理；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j)</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各插头位置和插拔方向应合 理，应做到插拔无障碍设计，具备防呆设计，有效避免误操作；</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k)</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各主要部件拆装无障碍，使用常规工具拆装，无特殊拆装工具需求；</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l)</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各主要部件拆装步骤要少，各自拆装需避免相互干扰；</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对于整机或零部件外表面为高亮面的，应粘贴保护膜，保护膜需粘贴牢固，运输、组装等过程不易脱落，撕下无残留；</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n)</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其它要求应符合  GB/T 9813.1的相关规定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★机箱防护要求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机箱应符合GB/T 4208 中IP20 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★整机噪音</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产品工作在空闲状态下，产品的声功率级应不超过4.5Bel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★整机散热</w:t>
            </w:r>
          </w:p>
        </w:tc>
        <w:tc>
          <w:tcPr>
            <w:tcW w:w="4924" w:type="dxa"/>
            <w:tcBorders>
              <w:tl2br w:val="nil"/>
              <w:tr2bl w:val="nil"/>
            </w:tcBorders>
            <w:shd w:val="clear" w:color="auto" w:fill="auto"/>
            <w:vAlign w:val="center"/>
          </w:tcPr>
          <w:p>
            <w:pPr>
              <w:pStyle w:val="1032"/>
              <w:spacing w:before="13" w:line="249" w:lineRule="auto"/>
              <w:ind w:left="108" w:right="95"/>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在环境温度为 25℃及处理器满载情况下，产品表面温度应符合如下要求：</w:t>
            </w:r>
          </w:p>
          <w:p>
            <w:pPr>
              <w:pStyle w:val="1032"/>
              <w:numPr>
                <w:ilvl w:val="0"/>
                <w:numId w:val="10"/>
              </w:numPr>
              <w:tabs>
                <w:tab w:val="left" w:pos="378"/>
              </w:tabs>
              <w:spacing w:before="1" w:line="249" w:lineRule="auto"/>
              <w:ind w:right="534" w:firstLine="0"/>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可触及面温度范围内小于45℃；</w:t>
            </w:r>
          </w:p>
          <w:p>
            <w:pPr>
              <w:pStyle w:val="1032"/>
              <w:numPr>
                <w:ilvl w:val="0"/>
                <w:numId w:val="10"/>
              </w:numPr>
              <w:tabs>
                <w:tab w:val="left" w:pos="378"/>
              </w:tabs>
              <w:spacing w:line="249" w:lineRule="auto"/>
              <w:ind w:right="95" w:firstLine="0"/>
              <w:rPr>
                <w:rFonts w:ascii="仿宋_GB2312" w:hAnsi="仿宋" w:eastAsia="仿宋_GB2312" w:cs="仿宋_GB2312"/>
                <w:color w:val="000000" w:themeColor="text1"/>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显示器表面温度：显示屏温度不高于 38℃，显示屏上下灯带位置温度（如涉及）不高于40℃，出风</w:t>
            </w:r>
            <w:r>
              <w:rPr>
                <w:rFonts w:hint="eastAsia" w:ascii="仿宋_GB2312" w:hAnsi="仿宋" w:eastAsia="仿宋_GB2312" w:cs="仿宋_GB2312"/>
                <w:color w:val="000000" w:themeColor="text1"/>
                <w:sz w:val="24"/>
                <w:lang w:eastAsia="zh-CN"/>
                <w14:textFill>
                  <w14:solidFill>
                    <w14:schemeClr w14:val="tx1"/>
                  </w14:solidFill>
                </w14:textFill>
              </w:rPr>
              <w:t>口温度不高于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★整机能效限定值</w:t>
            </w:r>
          </w:p>
        </w:tc>
        <w:tc>
          <w:tcPr>
            <w:tcW w:w="4924" w:type="dxa"/>
            <w:vAlign w:val="center"/>
          </w:tcPr>
          <w:p>
            <w:pPr>
              <w:pStyle w:val="1032"/>
              <w:spacing w:before="13" w:line="249" w:lineRule="auto"/>
              <w:ind w:left="108" w:right="95"/>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产品能效限定值应达到GB28380-2012 标准中能效等级2 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★机身材质</w:t>
            </w:r>
          </w:p>
        </w:tc>
        <w:tc>
          <w:tcPr>
            <w:tcW w:w="4924" w:type="dxa"/>
            <w:vAlign w:val="center"/>
          </w:tcPr>
          <w:p>
            <w:pPr>
              <w:pStyle w:val="1032"/>
              <w:spacing w:before="13" w:line="249" w:lineRule="auto"/>
              <w:ind w:left="108" w:right="95"/>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塑料/金属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★机身颜色</w:t>
            </w:r>
          </w:p>
        </w:tc>
        <w:tc>
          <w:tcPr>
            <w:tcW w:w="4924" w:type="dxa"/>
            <w:vAlign w:val="center"/>
          </w:tcPr>
          <w:p>
            <w:pPr>
              <w:pStyle w:val="1032"/>
              <w:spacing w:before="13" w:line="249" w:lineRule="auto"/>
              <w:ind w:left="108" w:right="95"/>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选用灰色/黑色等商务色系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54</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 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★CPU物理核数</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★CPU主频</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★CPU末级缓存容量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≥12MB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★CPU支持的内存最高速率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≥4800MT/s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58</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★内存读写速率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59</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★显示分辨率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≥3840*2160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★显卡显示芯片核心频率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★显存等效频率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★显卡可支持多屏同时显示数量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显卡应支持2块屏幕同时显示，分辨率不低于3840*2160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63</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★显示屏刷新率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★显示屏位深</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★显示屏色域</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≥99%sRGB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★显示屏色准</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★显示屏响应时间</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≥250尼特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★显示屏亮度一致性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★显示屏对比度</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★显示屏其他参数</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其它参数应符合SJ/T11292的相关规定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72</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网络设备性能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★有线网卡速率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最高速率应不低于1000Mbps,应支持100Mbps、1000Mbps速率自适应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73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★支持无线网络通信技术协议</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 WAPI 或 WiFi5.0 及以上协议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74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★无线网卡频宽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75</w:t>
            </w:r>
          </w:p>
        </w:tc>
        <w:tc>
          <w:tcPr>
            <w:tcW w:w="1289" w:type="dxa"/>
            <w:tcBorders>
              <w:left w:val="single" w:color="auto" w:sz="4" w:space="0"/>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电源适配器性能</w:t>
            </w: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★电源适配器电源效率</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在20%/50%/100%负载下效率均应不低于 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76</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★内存扩展接口(板载内存不涉及)</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★主板USB 瞬间过流保护</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★主板防静电保护</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★I/O接口功能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内置或通过扩展坞支持数据传输接口、视频接口、音频接口、网络接口、电源接口等各类标准接口， 应具备接入键盘、鼠标、写字板等外设的能力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80</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★显卡外接显示接口</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显卡至少支持VGA、HDMI、DVI、DP、Type-C 中 1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81</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★显示器支架</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显示器应提供显示器支架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★显示器参数调节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支持色温、亮度、对比度等显示参数调节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83</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支持信息存储功能，包括支持易失性存储功能和非易失性存储功能。为提升存储性能和降低存储功耗，非易失性存储宜支持固态存储设备，如SSD/UFS。</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产品应支持外出接口可以与独立的存储设备进行数据交互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84</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★网络功能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a)支持网络连接、网络开启/关闭功能；</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85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★无线网卡频段</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支持双频段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★数据传输</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★蓝牙协议</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若支持蓝牙模块，蓝牙协议不低于5.0 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★有线网卡接口类型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配备有线网络通信模块，支持RJ45接口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89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★无线网卡标准</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配备无线网卡，产品应符合GB 15629.11 所有部分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★网络设备拆装</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网络设备支持物理拆装，包括无线网卡和蓝牙模块等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91</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接口功能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★音频接口类型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≥1个，支持 3.5mm 孔径 3 段式或 4 段式接口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★视频接口类型</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至少支持 VGA、HDMI、DP、Type-C中 3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★HDMI、DP、Type-C 显示接口要求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若提供 HDMI 或 DP 或 Type-C 作为显示接口，应支持音频和视频同步输出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94</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★电源线适配能力</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 15934-2008对于可拆线插头GB15934 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95</w:t>
            </w:r>
          </w:p>
        </w:tc>
        <w:tc>
          <w:tcPr>
            <w:tcW w:w="1289" w:type="dxa"/>
            <w:tcBorders>
              <w:left w:val="single" w:color="auto" w:sz="4" w:space="0"/>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中文信息处理</w:t>
            </w:r>
          </w:p>
        </w:tc>
        <w:tc>
          <w:tcPr>
            <w:tcW w:w="1687"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★中文信息处理要求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 18030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96</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操作系统及软件功能</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★操作系统备份及还原功能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支持操作系统备份及还原功能、支持操作系统重装（重装系统版本需按医院实际需求）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★固件备份还原能力</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支持备份及还原固件的功能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★操作系统及驱动升级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★固件升级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★BI0S支持关闭通讯接口</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支持BIOS关闭以太网及USB接口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★固件查看信息</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支持查看固件版本、内存信息、主板信息、处理器信息和系统时间信息等功能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★固件设置启动顺序</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支持设置启动顺序功能，并按照设置的启动顺序启动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★固件设置口令</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支持设置口令、修改口令、验证口令功能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★固件设置网络引导</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支持网络引导启动和关闭功能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105</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存储设备可靠性</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固态存储寿命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TBW ≥100TB(条件：512GB硬盘容量)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106</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可靠性</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★显示屏屏幕失效点</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107</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外设可靠性</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★键盘按键寿命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★鼠标按键寿命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★键盘鼠标线材寿命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键盘鼠标所用线材经±60°弯折不低于3000次，功能、外观完好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★风扇寿命</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111</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整机可靠性要求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★电磁兼容性要求的</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抗扰度</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★环境条件要求的气候环境适应性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★环境条件要求的振动适应性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★环境条件要求的冲击适应性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★环境条件要求的碰撞适应性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★环境条件要求的运输包装件跌落适应性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★MTBF测试</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MTBF(m1)≥6万小时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118</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常用软件</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支持流式软件、版式软件、浏览器、 邮件采购人端、解压软件、多媒体， 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数据库兼容</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中间件兼容</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平台软件</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122</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包装及运输要求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★标志、包装、运输和贮存</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123</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★配置检查工具</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★服务响应</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a）提供产品原厂商至少五年维保及上门服务；服务周期内提供产品的维修、换件和升级服务</w:t>
            </w:r>
            <w:r>
              <w:rPr>
                <w:rFonts w:hint="eastAsia" w:ascii="仿宋_GB2312" w:hAnsi="仿宋" w:eastAsia="仿宋_GB2312" w:cs="仿宋_GB2312"/>
                <w:color w:val="000000" w:themeColor="text1"/>
                <w:sz w:val="24"/>
                <w:szCs w:val="24"/>
                <w:lang w:eastAsia="zh-CN"/>
                <w14:textFill>
                  <w14:solidFill>
                    <w14:schemeClr w14:val="tx1"/>
                  </w14:solidFill>
                </w14:textFill>
              </w:rPr>
              <w:t>，供应商</w:t>
            </w:r>
            <w:r>
              <w:rPr>
                <w:rFonts w:hint="eastAsia" w:ascii="仿宋_GB2312" w:hAnsi="仿宋" w:eastAsia="仿宋_GB2312" w:cs="仿宋_GB2312"/>
                <w:color w:val="000000" w:themeColor="text1"/>
                <w:sz w:val="24"/>
                <w:lang w:val="en-US" w:eastAsia="zh-CN"/>
                <w14:textFill>
                  <w14:solidFill>
                    <w14:schemeClr w14:val="tx1"/>
                  </w14:solidFill>
                </w14:textFill>
              </w:rPr>
              <w:t>提供电话、电子邮件、远程链接等多种形式服务</w:t>
            </w:r>
            <w:r>
              <w:rPr>
                <w:rFonts w:hint="eastAsia" w:ascii="仿宋_GB2312" w:hAnsi="仿宋" w:eastAsia="仿宋_GB2312" w:cs="仿宋_GB2312"/>
                <w:color w:val="000000" w:themeColor="text1"/>
                <w:sz w:val="24"/>
                <w:szCs w:val="24"/>
                <w14:textFill>
                  <w14:solidFill>
                    <w14:schemeClr w14:val="tx1"/>
                  </w14:solidFill>
                </w14:textFill>
              </w:rPr>
              <w:t>；</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b）提供政企专线 7*24 在线服务；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c）现场保障技术服务团队员，国内上门服务地级市覆盖率达100%;</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d）供应商提供电话、电子邮件、远程连接等多种形式服务；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e)供应商提供同城10分钟技术响应服务，1个工作日解决问题，对于未能解决的问题和故障应提供可行的升级方案，并提供周转设备或更换设备；</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f)建立全国技术服务体系和服务团体，符合专业服务体系标准要求，提供原厂中文服务；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g)设备厂商需提供闪修保修服务；闪修服务保修时效：当日下午4点前报修，下一自然日24点前修复，若没有完成修复，则为客户免费赠送延迟日数对应的月度延保服务；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125</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★服务周期</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 设备停产后应继续提供质量保障服务（含备品备件），服务终止时间与最后一批设备交付时间间隔不低于</w:t>
            </w:r>
            <w:r>
              <w:rPr>
                <w:rFonts w:ascii="仿宋_GB2312" w:hAnsi="仿宋" w:eastAsia="仿宋_GB2312" w:cs="仿宋_GB2312"/>
                <w:color w:val="000000" w:themeColor="text1"/>
                <w:sz w:val="24"/>
                <w14:textFill>
                  <w14:solidFill>
                    <w14:schemeClr w14:val="tx1"/>
                  </w14:solidFill>
                </w14:textFill>
              </w:rPr>
              <w:t>8</w:t>
            </w:r>
            <w:r>
              <w:rPr>
                <w:rFonts w:hint="eastAsia" w:ascii="仿宋_GB2312" w:hAnsi="仿宋" w:eastAsia="仿宋_GB2312" w:cs="仿宋_GB2312"/>
                <w:color w:val="000000" w:themeColor="text1"/>
                <w:sz w:val="24"/>
                <w14:textFill>
                  <w14:solidFill>
                    <w14:schemeClr w14:val="tx1"/>
                  </w14:solidFill>
                </w14:textFill>
              </w:rPr>
              <w:t>年；</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产品停止服务时间应提前1年告知；</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 应明确产品发布日期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126</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★预装操作系统</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预装符合桌面操作系统政府采购需求标准的正版操作系统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★培训服务</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128</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★典型问题解决手册</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129</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★厂家升级软件与扩容服务</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130</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★整机质量服务要求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免费服务周期（含换件和维修）不小于五年。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131</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★合格证书要求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132</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★开箱组装/使用指导要求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133</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★驱动下载服务要求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134</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★兼容适配软件下载服务要求</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135</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供应链合 规性</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★产品部件</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保障</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供应商保障产品主要部件，提供</w:t>
            </w:r>
            <w:r>
              <w:rPr>
                <w:rFonts w:ascii="仿宋_GB2312" w:hAnsi="仿宋" w:eastAsia="仿宋_GB2312" w:cs="仿宋_GB2312"/>
                <w:color w:val="000000" w:themeColor="text1"/>
                <w:sz w:val="24"/>
                <w14:textFill>
                  <w14:solidFill>
                    <w14:schemeClr w14:val="tx1"/>
                  </w14:solidFill>
                </w14:textFill>
              </w:rPr>
              <w:t>8</w:t>
            </w:r>
            <w:r>
              <w:rPr>
                <w:rFonts w:hint="eastAsia" w:ascii="仿宋_GB2312" w:hAnsi="仿宋" w:eastAsia="仿宋_GB2312" w:cs="仿宋_GB2312"/>
                <w:color w:val="000000" w:themeColor="text1"/>
                <w:sz w:val="24"/>
                <w14:textFill>
                  <w14:solidFill>
                    <w14:schemeClr w14:val="tx1"/>
                  </w14:solidFill>
                </w14:textFill>
              </w:rPr>
              <w:t>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136</w:t>
            </w:r>
          </w:p>
        </w:tc>
        <w:tc>
          <w:tcPr>
            <w:tcW w:w="1289" w:type="dxa"/>
            <w:vMerge w:val="restart"/>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质量</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★抗干扰性</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137</w:t>
            </w:r>
          </w:p>
        </w:tc>
        <w:tc>
          <w:tcPr>
            <w:tcW w:w="1289" w:type="dxa"/>
            <w:vMerge w:val="continue"/>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★供应能力证明</w:t>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提供供应链稳定承诺书，确保产品的部件在产品服务周期内稳定供货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59" w:type="dxa"/>
            <w:tcBorders>
              <w:top w:val="single" w:color="auto" w:sz="4" w:space="0"/>
              <w:left w:val="single" w:color="auto" w:sz="4" w:space="0"/>
              <w:right w:val="single" w:color="auto" w:sz="4" w:space="0"/>
            </w:tcBorders>
            <w:shd w:val="clear" w:color="auto" w:fill="auto"/>
            <w:vAlign w:val="center"/>
          </w:tcPr>
          <w:p>
            <w:pPr>
              <w:jc w:val="center"/>
              <w:rPr>
                <w:rFonts w:hint="eastAsia" w:ascii="仿宋_GB2312" w:hAnsi="仿宋" w:eastAsia="仿宋_GB2312" w:cs="仿宋_GB2312"/>
                <w:color w:val="000000" w:themeColor="text1"/>
                <w:sz w:val="24"/>
                <w:lang w:eastAsia="zh-CN"/>
                <w14:textFill>
                  <w14:solidFill>
                    <w14:schemeClr w14:val="tx1"/>
                  </w14:solidFill>
                </w14:textFill>
              </w:rPr>
            </w:pPr>
            <w:r>
              <w:rPr>
                <w:rFonts w:hint="eastAsia" w:ascii="仿宋_GB2312" w:hAnsi="等线" w:eastAsia="仿宋_GB2312"/>
                <w:color w:val="000000"/>
              </w:rPr>
              <w:t>13</w:t>
            </w:r>
            <w:r>
              <w:rPr>
                <w:rFonts w:hint="eastAsia" w:ascii="仿宋_GB2312" w:hAnsi="等线" w:eastAsia="仿宋_GB2312"/>
                <w:color w:val="000000"/>
                <w:lang w:val="en-US" w:eastAsia="zh-CN"/>
              </w:rPr>
              <w:t>8</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整机安全性要求</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★限用物质的限量要求</w:t>
            </w:r>
          </w:p>
        </w:tc>
        <w:tc>
          <w:tcPr>
            <w:tcW w:w="4924" w:type="dxa"/>
            <w:tcBorders>
              <w:tl2br w:val="nil"/>
              <w:tr2bl w:val="nil"/>
            </w:tcBorders>
            <w:shd w:val="clear" w:color="auto" w:fill="auto"/>
            <w:vAlign w:val="center"/>
          </w:tcPr>
          <w:p>
            <w:r>
              <w:rPr>
                <w:rFonts w:hint="eastAsia" w:ascii="仿宋_GB2312" w:hAnsi="仿宋" w:eastAsia="仿宋_GB2312" w:cs="仿宋_GB2312"/>
                <w:color w:val="000000" w:themeColor="text1"/>
                <w:sz w:val="24"/>
                <w14:textFill>
                  <w14:solidFill>
                    <w14:schemeClr w14:val="tx1"/>
                  </w14:solidFill>
                </w14:textFill>
              </w:rPr>
              <w:t>符合GB/T 26572中规定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 w:val="24"/>
                <w:lang w:val="en-US" w:eastAsia="zh-CN"/>
              </w:rPr>
            </w:pPr>
            <w:r>
              <w:rPr>
                <w:rFonts w:hint="eastAsia" w:ascii="仿宋_GB2312" w:hAnsi="等线" w:eastAsia="仿宋_GB2312"/>
                <w:color w:val="000000"/>
              </w:rPr>
              <w:t>1</w:t>
            </w:r>
            <w:r>
              <w:rPr>
                <w:rFonts w:hint="eastAsia" w:ascii="仿宋_GB2312" w:hAnsi="等线" w:eastAsia="仿宋_GB2312"/>
                <w:color w:val="000000"/>
                <w:lang w:val="en-US" w:eastAsia="zh-CN"/>
              </w:rPr>
              <w:t>39</w:t>
            </w:r>
          </w:p>
        </w:tc>
        <w:tc>
          <w:tcPr>
            <w:tcW w:w="1289" w:type="dxa"/>
            <w:tcBorders>
              <w:lef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安装支架</w:t>
            </w:r>
          </w:p>
        </w:tc>
        <w:tc>
          <w:tcPr>
            <w:tcW w:w="1687"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★安装支架</w:t>
            </w:r>
            <w:r>
              <w:rPr>
                <w:rFonts w:hint="eastAsia" w:ascii="仿宋_GB2312" w:hAnsi="仿宋" w:eastAsia="仿宋_GB2312" w:cs="仿宋_GB2312"/>
                <w:color w:val="000000" w:themeColor="text1"/>
                <w:sz w:val="24"/>
                <w14:textFill>
                  <w14:solidFill>
                    <w14:schemeClr w14:val="tx1"/>
                  </w14:solidFill>
                </w14:textFill>
              </w:rPr>
              <w:tab/>
            </w:r>
          </w:p>
        </w:tc>
        <w:tc>
          <w:tcPr>
            <w:tcW w:w="4924"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需提供安装配套的液压可伸缩式前维护支架，支架材质SPCC钢材，支架要求安装完静态厚度小于9cm。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 w:eastAsia="仿宋_GB2312" w:cs="仿宋_GB2312"/>
                <w:color w:val="000000" w:themeColor="text1"/>
                <w:sz w:val="24"/>
                <w:lang w:eastAsia="zh-CN"/>
                <w14:textFill>
                  <w14:solidFill>
                    <w14:schemeClr w14:val="tx1"/>
                  </w14:solidFill>
                </w14:textFill>
              </w:rPr>
            </w:pPr>
            <w:r>
              <w:rPr>
                <w:rFonts w:hint="eastAsia" w:ascii="仿宋_GB2312" w:hAnsi="等线" w:eastAsia="仿宋_GB2312"/>
                <w:color w:val="000000"/>
              </w:rPr>
              <w:t>14</w:t>
            </w:r>
            <w:r>
              <w:rPr>
                <w:rFonts w:hint="eastAsia" w:ascii="仿宋_GB2312" w:hAnsi="等线" w:eastAsia="仿宋_GB2312"/>
                <w:color w:val="000000"/>
                <w:lang w:val="en-US" w:eastAsia="zh-CN"/>
              </w:rPr>
              <w:t>0</w:t>
            </w:r>
          </w:p>
        </w:tc>
        <w:tc>
          <w:tcPr>
            <w:tcW w:w="7900" w:type="dxa"/>
            <w:gridSpan w:val="3"/>
            <w:tcBorders>
              <w:left w:val="single" w:color="auto" w:sz="4" w:space="0"/>
            </w:tcBorders>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★提供节能产品认证证书。</w:t>
            </w:r>
          </w:p>
        </w:tc>
      </w:tr>
    </w:tbl>
    <w:p>
      <w:pPr>
        <w:pStyle w:val="6"/>
        <w:numPr>
          <w:ilvl w:val="0"/>
          <w:numId w:val="7"/>
        </w:numPr>
        <w:tabs>
          <w:tab w:val="clear" w:pos="1984"/>
        </w:tabs>
        <w:spacing w:before="0" w:after="0" w:line="440" w:lineRule="exact"/>
        <w:jc w:val="left"/>
        <w:rPr>
          <w:rFonts w:ascii="仿宋_GB2312" w:hAnsi="仿宋" w:eastAsia="仿宋_GB2312" w:cs="仿宋_GB2312"/>
          <w:sz w:val="24"/>
          <w:szCs w:val="24"/>
        </w:rPr>
      </w:pPr>
      <w:r>
        <w:rPr>
          <w:rFonts w:hint="eastAsia" w:ascii="仿宋_GB2312" w:hAnsi="仿宋" w:eastAsia="仿宋_GB2312" w:cs="仿宋_GB2312"/>
          <w:sz w:val="24"/>
          <w:szCs w:val="24"/>
        </w:rPr>
        <w:t>超声专用计算机：</w:t>
      </w:r>
    </w:p>
    <w:tbl>
      <w:tblPr>
        <w:tblStyle w:val="63"/>
        <w:tblW w:w="46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89"/>
        <w:gridCol w:w="1688"/>
        <w:gridCol w:w="4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59" w:type="dxa"/>
            <w:tcBorders>
              <w:bottom w:val="single" w:color="auto" w:sz="4" w:space="0"/>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bookmarkStart w:id="14" w:name="_Hlk169786263"/>
            <w:r>
              <w:rPr>
                <w:rFonts w:hint="eastAsia" w:ascii="仿宋_GB2312" w:hAnsi="仿宋" w:eastAsia="仿宋_GB2312" w:cs="仿宋_GB2312"/>
                <w:b/>
                <w:bCs/>
                <w:color w:val="000000" w:themeColor="text1"/>
                <w:sz w:val="24"/>
                <w14:textFill>
                  <w14:solidFill>
                    <w14:schemeClr w14:val="tx1"/>
                  </w14:solidFill>
                </w14:textFill>
              </w:rPr>
              <w:t>序号</w:t>
            </w:r>
          </w:p>
        </w:tc>
        <w:tc>
          <w:tcPr>
            <w:tcW w:w="1289"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一级指标</w:t>
            </w:r>
          </w:p>
        </w:tc>
        <w:tc>
          <w:tcPr>
            <w:tcW w:w="1688" w:type="dxa"/>
            <w:tcBorders>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二级指标</w:t>
            </w:r>
          </w:p>
        </w:tc>
        <w:tc>
          <w:tcPr>
            <w:tcW w:w="4808"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w:t>
            </w:r>
          </w:p>
        </w:tc>
        <w:tc>
          <w:tcPr>
            <w:tcW w:w="1289" w:type="dxa"/>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★CPU信息</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CPU性能不低于≥Intel i5-13500，主频2.5GHz，14核心/20线程/24M缓存，TDP功耗65W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w:t>
            </w:r>
          </w:p>
        </w:tc>
        <w:tc>
          <w:tcPr>
            <w:tcW w:w="1289" w:type="dxa"/>
            <w:vMerge w:val="restart"/>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★内存配置容量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w:t>
            </w:r>
          </w:p>
        </w:tc>
        <w:tc>
          <w:tcPr>
            <w:tcW w:w="1289"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★内存类型</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支持DDR4 3200 MT/s及以上内存类型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w:t>
            </w:r>
          </w:p>
        </w:tc>
        <w:tc>
          <w:tcPr>
            <w:tcW w:w="1289"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★内存条配置数量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w:t>
            </w:r>
          </w:p>
        </w:tc>
        <w:tc>
          <w:tcPr>
            <w:tcW w:w="1289" w:type="dxa"/>
            <w:vMerge w:val="restart"/>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★主板集成模块</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集成资源扩展模块、计算处理模块、音频扩展模块等，主板的互联拓扑可通过处理器或交换电路实现。</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主板集成模块内芯片组性能不低于Intel Q670芯片组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w:t>
            </w:r>
          </w:p>
        </w:tc>
        <w:tc>
          <w:tcPr>
            <w:tcW w:w="1289"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★主板支持的CPU和内存情况</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sz w:val="24"/>
              </w:rPr>
              <w:t>主板支持所投CPU型号，内存支持≥32G DDR4 3200 MT/s, 系统最大支持128G及以上。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w:t>
            </w:r>
          </w:p>
        </w:tc>
        <w:tc>
          <w:tcPr>
            <w:tcW w:w="1289"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▲主板内置PCle插槽数量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支持PCle插槽数量不少于3个，≥1*PCIe 16x，≥2*PCIe 4x。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w:t>
            </w:r>
          </w:p>
        </w:tc>
        <w:tc>
          <w:tcPr>
            <w:tcW w:w="1289"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★主板其他内置接口</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SATA接口≥3、M.2接口≥1、USB 接口≥9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★单内存插槽最大可支持容量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★内存插槽满配置时提供的最高内存总容量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≥128G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★固态盘数量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★固态存储容量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≥512GB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★固态存储接口协议</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SATA/NVMe接口协议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★固态存储形态</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采用插卡形态，选用符合M.2 NVMe标准的插卡形态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★存储设备其他参数要求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固态盘应符合 SJ/T 11654 相关规定，更换硬盘后，原硬盘不返还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16</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★显卡类型</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17</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★显示屏屏占比</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★显示屏分辨率</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≥2560x1440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★显示屏尺寸</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≥27英寸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★显示屏屏幕比例</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★显示器外观颜色</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▲显示屏可视角度</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水平≥170°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★显示屏防蓝光</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支持防蓝光模式，蓝光加权辐射亮度比应≤0.0012W/(·cd·sr)(瓦每坎特拉每球面度)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★显示屏低频闪</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显示屏应支持低频闪≤-35dB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★显示屏防炫目</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显示屏镜面反射率≤10%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26</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★鼠标数量</w:t>
            </w:r>
          </w:p>
        </w:tc>
        <w:tc>
          <w:tcPr>
            <w:tcW w:w="4808"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★键盘数量</w:t>
            </w:r>
          </w:p>
        </w:tc>
        <w:tc>
          <w:tcPr>
            <w:tcW w:w="4808"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★键盘按键数目</w:t>
            </w:r>
          </w:p>
        </w:tc>
        <w:tc>
          <w:tcPr>
            <w:tcW w:w="4808"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104键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★键盘连接方式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★键盘键程</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2.3mm-4.0mm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★键盘按键压力</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按键压力应在 0.54 N 士0.14N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★有线键盘连接线</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color w:val="000000" w:themeColor="text1"/>
                <w:sz w:val="24"/>
                <w14:textFill>
                  <w14:solidFill>
                    <w14:schemeClr w14:val="tx1"/>
                  </w14:solidFill>
                </w14:textFill>
              </w:rPr>
              <w:t>1</w:t>
            </w:r>
            <w:r>
              <w:rPr>
                <w:rFonts w:hint="eastAsia" w:ascii="仿宋_GB2312" w:hAnsi="仿宋" w:eastAsia="仿宋_GB2312" w:cs="仿宋_GB2312"/>
                <w:color w:val="000000" w:themeColor="text1"/>
                <w:sz w:val="24"/>
                <w14:textFill>
                  <w14:solidFill>
                    <w14:schemeClr w14:val="tx1"/>
                  </w14:solidFill>
                </w14:textFill>
              </w:rPr>
              <w:t>.5米(额外</w:t>
            </w:r>
            <w:r>
              <w:rPr>
                <w:rFonts w:ascii="仿宋_GB2312" w:hAnsi="仿宋" w:eastAsia="仿宋_GB2312" w:cs="仿宋_GB2312"/>
                <w:color w:val="000000" w:themeColor="text1"/>
                <w:sz w:val="24"/>
                <w14:textFill>
                  <w14:solidFill>
                    <w14:schemeClr w14:val="tx1"/>
                  </w14:solidFill>
                </w14:textFill>
              </w:rPr>
              <w:t>提供</w:t>
            </w:r>
            <w:r>
              <w:rPr>
                <w:rFonts w:hint="eastAsia" w:ascii="仿宋_GB2312" w:hAnsi="仿宋" w:eastAsia="仿宋_GB2312" w:cs="仿宋_GB2312"/>
                <w:color w:val="000000" w:themeColor="text1"/>
                <w:sz w:val="24"/>
                <w14:textFill>
                  <w14:solidFill>
                    <w14:schemeClr w14:val="tx1"/>
                  </w14:solidFill>
                </w14:textFill>
              </w:rPr>
              <w:t>2米USB延长</w:t>
            </w:r>
            <w:r>
              <w:rPr>
                <w:rFonts w:ascii="仿宋_GB2312" w:hAnsi="仿宋" w:eastAsia="仿宋_GB2312" w:cs="仿宋_GB2312"/>
                <w:color w:val="000000" w:themeColor="text1"/>
                <w:sz w:val="24"/>
                <w14:textFill>
                  <w14:solidFill>
                    <w14:schemeClr w14:val="tx1"/>
                  </w14:solidFill>
                </w14:textFill>
              </w:rPr>
              <w:t>线</w:t>
            </w:r>
            <w:r>
              <w:rPr>
                <w:rFonts w:hint="eastAsia" w:ascii="仿宋_GB2312" w:hAnsi="仿宋"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★键盘颜色</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黑色/白色/银色等商务色系，与鼠标为同一色系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★键盘其他要求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键盘与主机同品牌，键盘外观结构、连接方式， 主要功能、安全、电磁兼容性、可靠性应符合 GB/T 14081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pStyle w:val="19"/>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★鼠标连接方式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pStyle w:val="19"/>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★有线鼠标连接线</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color w:val="000000" w:themeColor="text1"/>
                <w:sz w:val="24"/>
                <w14:textFill>
                  <w14:solidFill>
                    <w14:schemeClr w14:val="tx1"/>
                  </w14:solidFill>
                </w14:textFill>
              </w:rPr>
              <w:t>1</w:t>
            </w:r>
            <w:r>
              <w:rPr>
                <w:rFonts w:hint="eastAsia" w:ascii="仿宋_GB2312" w:hAnsi="仿宋" w:eastAsia="仿宋_GB2312" w:cs="仿宋_GB2312"/>
                <w:color w:val="000000" w:themeColor="text1"/>
                <w:sz w:val="24"/>
                <w14:textFill>
                  <w14:solidFill>
                    <w14:schemeClr w14:val="tx1"/>
                  </w14:solidFill>
                </w14:textFill>
              </w:rPr>
              <w:t>.5米(额外</w:t>
            </w:r>
            <w:r>
              <w:rPr>
                <w:rFonts w:ascii="仿宋_GB2312" w:hAnsi="仿宋" w:eastAsia="仿宋_GB2312" w:cs="仿宋_GB2312"/>
                <w:color w:val="000000" w:themeColor="text1"/>
                <w:sz w:val="24"/>
                <w14:textFill>
                  <w14:solidFill>
                    <w14:schemeClr w14:val="tx1"/>
                  </w14:solidFill>
                </w14:textFill>
              </w:rPr>
              <w:t>提供</w:t>
            </w:r>
            <w:r>
              <w:rPr>
                <w:rFonts w:hint="eastAsia" w:ascii="仿宋_GB2312" w:hAnsi="仿宋" w:eastAsia="仿宋_GB2312" w:cs="仿宋_GB2312"/>
                <w:color w:val="000000" w:themeColor="text1"/>
                <w:sz w:val="24"/>
                <w14:textFill>
                  <w14:solidFill>
                    <w14:schemeClr w14:val="tx1"/>
                  </w14:solidFill>
                </w14:textFill>
              </w:rPr>
              <w:t>2米USB延长</w:t>
            </w:r>
            <w:r>
              <w:rPr>
                <w:rFonts w:ascii="仿宋_GB2312" w:hAnsi="仿宋" w:eastAsia="仿宋_GB2312" w:cs="仿宋_GB2312"/>
                <w:color w:val="000000" w:themeColor="text1"/>
                <w:sz w:val="24"/>
                <w14:textFill>
                  <w14:solidFill>
                    <w14:schemeClr w14:val="tx1"/>
                  </w14:solidFill>
                </w14:textFill>
              </w:rPr>
              <w:t>线</w:t>
            </w:r>
            <w:r>
              <w:rPr>
                <w:rFonts w:hint="eastAsia" w:ascii="仿宋_GB2312" w:hAnsi="仿宋"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pStyle w:val="19"/>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★鼠标DPI分辨率</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★鼠标颜色</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黑色/白色/银色等商务色系，与键盘为同一色系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★鼠标其他要求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鼠标与主机同品牌，其它参数应符合 GB/T 26245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40</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★有线网卡数量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41</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外部接口规格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★USB接口数量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机箱前面板应提供不少于4个USB 接 口（含2 个 USB3.0 及以上接口），主板直连USB接口≥9个USB口。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★USB母座接口要求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机箱前面板额外预留2个专用USB母座接口孔位和1个通用A型USB母座接口孔位，采用横向排列中心间距应不小于27mm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★视频接口数量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≥1个VGA，1个HDMI 1.4和1个DP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★音频接口数量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≥2个 3.5mm 孔径 3 段式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45</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整机基础规格</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★整机外观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 产品表面不应有凹痕、划伤、裂缝、变形和污染等。表面涂层均匀，不应起泡、龟裂、脱落和磨损，金属零部件无锈蚀及其它机械损伤；</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产品表面说明功能的文字、符号、标志，应清晰、端正、牢固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★状态指示灯</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在产品显著位置提供状态指示功能，如运行状态等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★整机结构</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a)机箱应符合 GB/T 4208、GB/T 26246的相关规定；</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b)产品内部结构应符合通用部件的安装需求；</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c)所有输入输出接口应符合相关国家或行业标准；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d)产品零部件应紧固无松动，可插拔部件应可靠连接，开关、按钮和其它控制部件应灵活可靠，布局应方便使用；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 所有I/O连接器及需插接线缆的部位应预留采购人操作空间，方便插拔解锁与插拔线缆；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f)可插拔板卡插槽部位应预留安装、拆卸或更换板卡空间；</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g)拆装可能接触到的金属剪口或金属尖角部位应做防划伤处理，以保证安全；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 整机内部走线应规整，固线结构和位置要合理可靠并做防割线处理，需便于理线和插拔操作，走线应不影响系统各主要部件组装和拆卸；</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i)如需通过孔走线，过线孔应做放割线处理；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j）各插头位置和插拔方向应合理，应做到插拔无障碍设计，具备防呆设计，有效避免误操作；</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k）各主要部件拆装无障碍，使用常规工具拆装，无特殊拆装工具需求；</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l）各主要部件拆装步骤要少，各自拆装需避免相互干扰；</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m)对于整机或零部件外表面为高亮面的，应粘贴保护膜，保护膜需粘贴牢固，运输、组装等过程不易脱落，撕下无残留；</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n)其它要求应符合 GB/T 9813.1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★机箱防护要求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机箱应符合GB/T 4208 中 IP20 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★整机噪音</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产品工作在空闲状态下，产品的噪声声功率级</w:t>
            </w:r>
            <w:r>
              <w:rPr>
                <w:rFonts w:hint="eastAsia" w:ascii="仿宋_GB2312" w:hAnsi="仿宋" w:eastAsia="仿宋_GB2312" w:cs="仿宋_GB2312"/>
                <w:color w:val="000000" w:themeColor="text1"/>
                <w:sz w:val="24"/>
                <w:lang w:eastAsia="zh-CN"/>
                <w14:textFill>
                  <w14:solidFill>
                    <w14:schemeClr w14:val="tx1"/>
                  </w14:solidFill>
                </w14:textFill>
              </w:rPr>
              <w:t>不超过</w:t>
            </w:r>
            <w:r>
              <w:rPr>
                <w:rFonts w:hint="eastAsia" w:ascii="仿宋_GB2312" w:hAnsi="仿宋" w:eastAsia="仿宋_GB2312" w:cs="仿宋_GB2312"/>
                <w:color w:val="000000" w:themeColor="text1"/>
                <w:sz w:val="24"/>
                <w14:textFill>
                  <w14:solidFill>
                    <w14:schemeClr w14:val="tx1"/>
                  </w14:solidFill>
                </w14:textFill>
              </w:rPr>
              <w:t>4.50Bel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★整机散热</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在环境温度 25℃及处理器满载情况下，产品表面温度应符合如下要求：</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a)出风口在机箱后面板情况下，出风口温度不高于55°C;</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b)可触及面温度不高于 45℃;</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C)显示器表面温度：显示屏不高于38℃, 显示屏上下灯带位置温度（如涉及）不高于 40°C, 出风口温度不高干45°C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★整机能效限定值</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产品能效限定值应达到 GB 28380-2012标准中能效等级 2 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★机身材质</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塑料/金属等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★机身颜色</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灰色/黑色等商务色系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★机箱尺寸容量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机箱体积</w:t>
            </w:r>
            <w:r>
              <w:rPr>
                <w:rFonts w:hint="eastAsia" w:ascii="仿宋_GB2312" w:hAnsi="仿宋" w:eastAsia="仿宋_GB2312" w:cs="仿宋_GB2312"/>
                <w:sz w:val="24"/>
              </w:rPr>
              <w:t>应≥13.5L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55</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 性能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★CPU物理核数</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★CPU主频</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★CPU末级缓存容量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≥24MB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★CPU支持的内存最高速率</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59</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内存性能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★内存读写速率</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60</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显卡性能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★显示分辨率</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≥2560x1440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★显卡显示芯片核心频率</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★显存等效频率</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★显卡可支持多屏同时显示数量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显卡应支持2块屏幕同时显示，分辨率应不低于2560x1440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64</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显示设备性能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★显示屏刷新率</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★显示屏位深</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★显示屏色域</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≥99%sRGB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★显示屏色准</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★显示屏响应时间</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≥250尼特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★显示屏亮度一致性</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★显示屏对比度</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★显示屏其他参数</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显示器与主机同一品牌，同一色系，其它参数应符合SJ/T11292的相关规定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73</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网络设备性能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★有线网卡速率</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最高速率应不低于2500Mbps,应支持100Mbps、1000Mbps、2500Mbps速率自适应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74</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★内存扩展接口(板载内存不涉及)</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★主板USB 瞬间过流保护</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★主板防静电保护</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★I/O接口功能</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基于标准USB接口外设连接功能、基于音频输入输出接口的音频扩展功能、基于PCle接口板卡扩展功能、基于HDMI或VGA或Type-C或DVI或DP等接口外接显示器扩展功能、基于存储接口对产品进行增容功能等。产品I/O接口，应具备外接标准USB设备、 显示器、音频设备等内外部设备能力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78</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★显卡外接显示接口</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显卡至少支持VGA、HDMI、DP3种显示接口，并与显示器接口相匹配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79</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★显示器接口</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显示器应与显卡外接显示接口匹配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★显示器支架</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显示器应提供</w:t>
            </w:r>
            <w:r>
              <w:rPr>
                <w:rFonts w:hint="eastAsia" w:ascii="仿宋_GB2312" w:hAnsi="仿宋" w:eastAsia="仿宋_GB2312" w:cs="仿宋_GB2312"/>
                <w:b w:val="0"/>
                <w:bCs w:val="0"/>
                <w:color w:val="000000" w:themeColor="text1"/>
                <w:sz w:val="24"/>
                <w14:textFill>
                  <w14:solidFill>
                    <w14:schemeClr w14:val="tx1"/>
                  </w14:solidFill>
                </w14:textFill>
              </w:rPr>
              <w:t>显示器支架,支架支持显示器左右90度旋转、上下升降调节、具备标准VESA壁挂孔。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★显示器参数调节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a)提供OSD选单按钮用于调节色彩、模式等 ；</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b)支持色温、亮度、对比度调节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82</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通过SATA固态存储/PCle固态存储/UFS固态存储/SATA硬磁盘等存储部件提供存储功能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83</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★网络功能</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a)支持网络连接、网络开启/关闭功能；b)支持访问网络和数据交换功能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★数据传输</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★有线网卡接口类型</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★网络设备拆装</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网络设备支持物理拆装，包括无线网卡和蓝牙模块等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87</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接口功能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★音频接口类型</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 3.5mm 孔径 3 段式或 4 段式接口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★视频接口类型</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至少支持 VGA、HDMI、DP、Type-C中 3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★HDMI、DP、Type-C 显示接口要求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若提供 HDMI 或 DP 或 Type-C 作为显示接口，应支持音频和视频同步输出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90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★其他接口</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提供1个串行接口，可实现GB/T 6107的功能；提供1个并行接口，可实现GB/T 18235.1的功能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91</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★电源线适配能力</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电源适配器电线组件应符合GB/T 15934的要求。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olor w:val="000000"/>
                <w:sz w:val="24"/>
              </w:rPr>
            </w:pPr>
            <w:r>
              <w:rPr>
                <w:rFonts w:hint="eastAsia" w:ascii="仿宋_GB2312" w:hAnsi="等线" w:eastAsia="仿宋_GB2312"/>
                <w:color w:val="000000"/>
              </w:rPr>
              <w:t>92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★电源功率</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≥260W内置电源，至少90%转换率节能电源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93</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操作系统及软件功能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★中文信息处理要求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 18030的相关规定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★操作系统备份及还原功能</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支持操作系统备份及还原功能、支持操作系统重装（重装系统版本需按医院实际需求）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★固件备份还原能力</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支持备份及还原固件的功能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★操作系统及驱动升级</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★固件升级</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★BI0S支持关闭通讯接口</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支持BIOS关闭以太网及USB接口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★固件查看信息</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支持查看固件版本、内存信息、主板信息、处理器信息和系统时间信息等功能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★固件设置启动顺序</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支持设置启动顺序功能，并按照设置的启动顺序启动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★固件设置口令</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支持设置口令、修改口令、验证口令功能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★固件设置网络引导</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支持网络引导启动和关闭功能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103</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硬件加速功能</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★视频编解码加速模块</w:t>
            </w:r>
          </w:p>
        </w:tc>
        <w:tc>
          <w:tcPr>
            <w:tcW w:w="4808"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支持视频编解码加速模块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★影像处理加速模块</w:t>
            </w:r>
          </w:p>
        </w:tc>
        <w:tc>
          <w:tcPr>
            <w:tcW w:w="4808"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支持影像处理加速模块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105</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存储设备可靠性</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固态存储寿命</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TBW ≥150TB(条件：512GB硬盘容量)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106</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可靠性</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★显示屏屏幕失效点</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107</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外设可靠性</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★键盘按键寿命</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★鼠标按键寿命</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★键盘鼠标线材寿命</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键盘鼠标所用线材经士60°弯折不低于3000次，功能、外观完好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★风扇寿命</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111</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整机可靠性要求</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★电磁兼容性要求的抗扰度</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★环境条件要求的气候环境适应性</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★环境条件要求的振动适应性</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★环境条件要求的冲击适应性</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★环境条件要求的碰撞适应性</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★环境条件要求的运输包装件跌落适应性</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★MTBF测试</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MTBF(m1)≥100万小时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118</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兼容要求</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常用软件兼容</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支持流式软件、版式软件、浏览器、 邮件采购人端、解压软件、多媒体， 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数据库兼容</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中间件兼容</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平台软件兼容</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122</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包装及运输要求</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★标志、包装、运输和贮存</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123</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服务要求</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★配置检查工具</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★服务响应</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a）提供产品原厂商至少五年维保及上门服务；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b)供应商提供同城10分钟技术响应服务，1个工作日解决问题，对于未能解决的问题和故障应提供可行的升级方案，并提供周转设备或更换设备；</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c)建立全国技术服务体系和服务团体，符合专业服务体系标准要求，提供原厂中文服务；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d)服务周期内提供产品的维修、换件和升级服务；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e)设备厂商需提供闪修保修服务；闪修服务保修时效：当日下午4点前报修，下一自然日24点前修复，若没有完成修复，则为客户免费赠送延迟日数对应的月度延保服务；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125</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★服务周期</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 设备停产后应继续提供质量保障服务（含备品备件），服务终止时间与最后一批设备交付时间间隔不低于</w:t>
            </w:r>
            <w:r>
              <w:rPr>
                <w:rFonts w:ascii="仿宋_GB2312" w:hAnsi="仿宋" w:eastAsia="仿宋_GB2312" w:cs="仿宋_GB2312"/>
                <w:color w:val="000000" w:themeColor="text1"/>
                <w:sz w:val="24"/>
                <w14:textFill>
                  <w14:solidFill>
                    <w14:schemeClr w14:val="tx1"/>
                  </w14:solidFill>
                </w14:textFill>
              </w:rPr>
              <w:t>8</w:t>
            </w:r>
            <w:r>
              <w:rPr>
                <w:rFonts w:hint="eastAsia" w:ascii="仿宋_GB2312" w:hAnsi="仿宋" w:eastAsia="仿宋_GB2312" w:cs="仿宋_GB2312"/>
                <w:color w:val="000000" w:themeColor="text1"/>
                <w:sz w:val="24"/>
                <w14:textFill>
                  <w14:solidFill>
                    <w14:schemeClr w14:val="tx1"/>
                  </w14:solidFill>
                </w14:textFill>
              </w:rPr>
              <w:t>年；</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产品停止服务时间应提前1年告知；</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 应明确产品发布日期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126</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★预装操作系统</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预装符合桌面操作系统政府采购需求标准的正版操作系统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★培训服务</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128</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★典型问题解决手册</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★厂家升级软件与扩容服务</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130</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★整机质量服务要求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免费服务周期（含换件和维修）不小于五年。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131</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★合格证书要求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132</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★开箱组装/使用指导要求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133</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★驱动下载服务要求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134</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★兼容适配软件下载服务要求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135</w:t>
            </w:r>
          </w:p>
        </w:tc>
        <w:tc>
          <w:tcPr>
            <w:tcW w:w="1289"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供应链合 规性</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产品部件保障</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供应商保障产品主要部件，提供</w:t>
            </w:r>
            <w:r>
              <w:rPr>
                <w:rFonts w:ascii="仿宋_GB2312" w:hAnsi="仿宋" w:eastAsia="仿宋_GB2312" w:cs="仿宋_GB2312"/>
                <w:color w:val="000000" w:themeColor="text1"/>
                <w:sz w:val="24"/>
                <w14:textFill>
                  <w14:solidFill>
                    <w14:schemeClr w14:val="tx1"/>
                  </w14:solidFill>
                </w14:textFill>
              </w:rPr>
              <w:t>8</w:t>
            </w:r>
            <w:r>
              <w:rPr>
                <w:rFonts w:hint="eastAsia" w:ascii="仿宋_GB2312" w:hAnsi="仿宋" w:eastAsia="仿宋_GB2312" w:cs="仿宋_GB2312"/>
                <w:color w:val="000000" w:themeColor="text1"/>
                <w:sz w:val="24"/>
                <w14:textFill>
                  <w14:solidFill>
                    <w14:schemeClr w14:val="tx1"/>
                  </w14:solidFill>
                </w14:textFill>
              </w:rPr>
              <w:t>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136</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质量</w:t>
            </w: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★抗干扰性</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137</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★供应能力证明</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提供供应链稳定承诺书，确保产品的部件在产品服务周期内稳定供货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59" w:type="dxa"/>
            <w:tcBorders>
              <w:top w:val="single" w:color="auto" w:sz="4" w:space="0"/>
              <w:left w:val="single" w:color="auto" w:sz="4" w:space="0"/>
              <w:right w:val="nil"/>
            </w:tcBorders>
            <w:shd w:val="clear" w:color="auto" w:fill="auto"/>
            <w:vAlign w:val="center"/>
          </w:tcPr>
          <w:p>
            <w:pPr>
              <w:jc w:val="center"/>
              <w:rPr>
                <w:rFonts w:hint="eastAsia" w:ascii="仿宋_GB2312" w:hAnsi="仿宋" w:eastAsia="仿宋_GB2312" w:cs="仿宋_GB2312"/>
                <w:color w:val="000000" w:themeColor="text1"/>
                <w:sz w:val="24"/>
                <w:lang w:eastAsia="zh-CN"/>
                <w14:textFill>
                  <w14:solidFill>
                    <w14:schemeClr w14:val="tx1"/>
                  </w14:solidFill>
                </w14:textFill>
              </w:rPr>
            </w:pPr>
            <w:r>
              <w:rPr>
                <w:rFonts w:hint="eastAsia" w:ascii="仿宋_GB2312" w:hAnsi="等线" w:eastAsia="仿宋_GB2312"/>
                <w:color w:val="000000"/>
              </w:rPr>
              <w:t>13</w:t>
            </w:r>
            <w:r>
              <w:rPr>
                <w:rFonts w:hint="eastAsia" w:ascii="仿宋_GB2312" w:hAnsi="等线" w:eastAsia="仿宋_GB2312"/>
                <w:color w:val="000000"/>
                <w:lang w:val="en-US" w:eastAsia="zh-CN"/>
              </w:rPr>
              <w:t>8</w:t>
            </w:r>
          </w:p>
        </w:tc>
        <w:tc>
          <w:tcPr>
            <w:tcW w:w="1289"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整机安全性要求</w:t>
            </w:r>
          </w:p>
        </w:tc>
        <w:tc>
          <w:tcPr>
            <w:tcW w:w="1688" w:type="dxa"/>
            <w:tcBorders>
              <w:tl2br w:val="nil"/>
              <w:tr2bl w:val="nil"/>
            </w:tcBorders>
            <w:vAlign w:val="center"/>
          </w:tcPr>
          <w:p>
            <w:pPr>
              <w:jc w:val="center"/>
              <w:rPr>
                <w:rFonts w:ascii="仿宋_GB2312" w:hAnsi="仿宋"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★USB端口管控</w:t>
            </w:r>
          </w:p>
        </w:tc>
        <w:tc>
          <w:tcPr>
            <w:tcW w:w="4808" w:type="dxa"/>
            <w:tcBorders>
              <w:tl2br w:val="nil"/>
              <w:tr2bl w:val="nil"/>
            </w:tcBorders>
            <w:shd w:val="clear" w:color="auto" w:fill="auto"/>
            <w:vAlign w:val="center"/>
          </w:tcPr>
          <w:p>
            <w:r>
              <w:rPr>
                <w:rFonts w:hint="eastAsia" w:ascii="仿宋_GB2312" w:hAnsi="仿宋" w:eastAsia="仿宋_GB2312" w:cs="仿宋_GB2312"/>
                <w:color w:val="000000" w:themeColor="text1"/>
                <w:sz w:val="24"/>
                <w14:textFill>
                  <w14:solidFill>
                    <w14:schemeClr w14:val="tx1"/>
                  </w14:solidFill>
                </w14:textFill>
              </w:rPr>
              <w:t>支持USB端口管控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hint="default" w:ascii="仿宋_GB2312" w:hAnsi="仿宋" w:eastAsia="仿宋_GB2312" w:cs="仿宋_GB2312"/>
                <w:color w:val="000000" w:themeColor="text1"/>
                <w:sz w:val="24"/>
                <w:lang w:val="en-US" w:eastAsia="zh-CN"/>
                <w14:textFill>
                  <w14:solidFill>
                    <w14:schemeClr w14:val="tx1"/>
                  </w14:solidFill>
                </w14:textFill>
              </w:rPr>
            </w:pPr>
            <w:r>
              <w:rPr>
                <w:rFonts w:hint="eastAsia" w:ascii="仿宋_GB2312" w:hAnsi="等线" w:eastAsia="仿宋_GB2312"/>
                <w:color w:val="000000"/>
              </w:rPr>
              <w:t>1</w:t>
            </w:r>
            <w:r>
              <w:rPr>
                <w:rFonts w:hint="eastAsia" w:ascii="仿宋_GB2312" w:hAnsi="等线" w:eastAsia="仿宋_GB2312"/>
                <w:color w:val="000000"/>
                <w:lang w:val="en-US" w:eastAsia="zh-CN"/>
              </w:rPr>
              <w:t>39</w:t>
            </w:r>
          </w:p>
        </w:tc>
        <w:tc>
          <w:tcPr>
            <w:tcW w:w="1289"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68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★限用物质的限量要求</w:t>
            </w:r>
          </w:p>
        </w:tc>
        <w:tc>
          <w:tcPr>
            <w:tcW w:w="4808"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26572中规定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nil"/>
            </w:tcBorders>
            <w:shd w:val="clear" w:color="auto" w:fill="auto"/>
            <w:vAlign w:val="center"/>
          </w:tcPr>
          <w:p>
            <w:pPr>
              <w:jc w:val="center"/>
              <w:rPr>
                <w:rFonts w:hint="eastAsia" w:ascii="仿宋_GB2312" w:hAnsi="仿宋" w:eastAsia="仿宋_GB2312" w:cs="仿宋_GB2312"/>
                <w:color w:val="000000" w:themeColor="text1"/>
                <w:sz w:val="24"/>
                <w:lang w:eastAsia="zh-CN"/>
                <w14:textFill>
                  <w14:solidFill>
                    <w14:schemeClr w14:val="tx1"/>
                  </w14:solidFill>
                </w14:textFill>
              </w:rPr>
            </w:pPr>
            <w:r>
              <w:rPr>
                <w:rFonts w:hint="eastAsia" w:ascii="仿宋_GB2312" w:hAnsi="等线" w:eastAsia="仿宋_GB2312"/>
                <w:color w:val="000000"/>
              </w:rPr>
              <w:t>14</w:t>
            </w:r>
            <w:r>
              <w:rPr>
                <w:rFonts w:hint="eastAsia" w:ascii="仿宋_GB2312" w:hAnsi="等线" w:eastAsia="仿宋_GB2312"/>
                <w:color w:val="000000"/>
                <w:lang w:val="en-US" w:eastAsia="zh-CN"/>
              </w:rPr>
              <w:t>0</w:t>
            </w:r>
          </w:p>
        </w:tc>
        <w:tc>
          <w:tcPr>
            <w:tcW w:w="7785" w:type="dxa"/>
            <w:gridSpan w:val="3"/>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★提供节能产品认证证书。</w:t>
            </w:r>
          </w:p>
        </w:tc>
      </w:tr>
      <w:bookmarkEnd w:id="14"/>
    </w:tbl>
    <w:p>
      <w:pPr>
        <w:pStyle w:val="6"/>
        <w:numPr>
          <w:ilvl w:val="0"/>
          <w:numId w:val="7"/>
        </w:numPr>
        <w:tabs>
          <w:tab w:val="clear" w:pos="1984"/>
        </w:tabs>
        <w:spacing w:before="0" w:after="0" w:line="440" w:lineRule="exact"/>
        <w:jc w:val="left"/>
        <w:rPr>
          <w:rFonts w:ascii="仿宋_GB2312" w:hAnsi="仿宋" w:eastAsia="仿宋_GB2312" w:cs="仿宋_GB2312"/>
          <w:sz w:val="24"/>
          <w:szCs w:val="24"/>
        </w:rPr>
      </w:pPr>
      <w:r>
        <w:rPr>
          <w:rFonts w:hint="eastAsia" w:ascii="仿宋_GB2312" w:hAnsi="仿宋" w:eastAsia="仿宋_GB2312" w:cs="仿宋_GB2312"/>
          <w:sz w:val="24"/>
          <w:szCs w:val="24"/>
        </w:rPr>
        <w:t>计算机：</w:t>
      </w:r>
    </w:p>
    <w:tbl>
      <w:tblPr>
        <w:tblStyle w:val="63"/>
        <w:tblW w:w="47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91"/>
        <w:gridCol w:w="1687"/>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24" w:type="dxa"/>
            <w:tcBorders>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序号</w:t>
            </w:r>
          </w:p>
        </w:tc>
        <w:tc>
          <w:tcPr>
            <w:tcW w:w="1400"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一级指标</w:t>
            </w:r>
          </w:p>
        </w:tc>
        <w:tc>
          <w:tcPr>
            <w:tcW w:w="1832" w:type="dxa"/>
            <w:tcBorders>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二级指标</w:t>
            </w:r>
          </w:p>
        </w:tc>
        <w:tc>
          <w:tcPr>
            <w:tcW w:w="5356"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w:t>
            </w:r>
          </w:p>
        </w:tc>
        <w:tc>
          <w:tcPr>
            <w:tcW w:w="1400" w:type="dxa"/>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CPU规格</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★CPU信息</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非X86架构处理器架构,CPU核心数≥8核，主频≥2.4GHz，CPU末级缓存容量≥2M，热设计功耗≤25W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w:t>
            </w:r>
          </w:p>
        </w:tc>
        <w:tc>
          <w:tcPr>
            <w:tcW w:w="1400" w:type="dxa"/>
            <w:vMerge w:val="restart"/>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内存规格</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★内存配置容量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w:t>
            </w:r>
          </w:p>
        </w:tc>
        <w:tc>
          <w:tcPr>
            <w:tcW w:w="1400"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★内存类型</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支持DDR4 3200 MT/s及以上内存类型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w:t>
            </w:r>
          </w:p>
        </w:tc>
        <w:tc>
          <w:tcPr>
            <w:tcW w:w="1400"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★内存条配置数量（板载内存不涉及）</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w:t>
            </w:r>
          </w:p>
        </w:tc>
        <w:tc>
          <w:tcPr>
            <w:tcW w:w="1400" w:type="dxa"/>
            <w:vMerge w:val="restart"/>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主板规格</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★主板集成模块</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集成资源扩展模块、计算处理模块、音频扩展模块等，主板的互联拓扑可通过处理器或交换电路实现。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w:t>
            </w:r>
          </w:p>
        </w:tc>
        <w:tc>
          <w:tcPr>
            <w:tcW w:w="1400"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★主板支持的CPU和内存情况</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sz w:val="24"/>
              </w:rPr>
              <w:t>主板支持所投CPU型号，内存支持≥16G DDR4 3200 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w:t>
            </w:r>
          </w:p>
        </w:tc>
        <w:tc>
          <w:tcPr>
            <w:tcW w:w="1400"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★主板内置PCle插槽数量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sz w:val="24"/>
              </w:rPr>
              <w:t>支持PCle插槽数量不少于1个，≥</w:t>
            </w:r>
            <w:r>
              <w:rPr>
                <w:rFonts w:hint="eastAsia" w:ascii="仿宋_GB2312" w:eastAsia="仿宋_GB2312"/>
                <w:sz w:val="24"/>
              </w:rPr>
              <w:t>PCIe*1 x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w:t>
            </w:r>
          </w:p>
        </w:tc>
        <w:tc>
          <w:tcPr>
            <w:tcW w:w="1400"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★主板其他内置接口</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sz w:val="24"/>
              </w:rPr>
              <w:t>SATA接口≥1、USB 接口≥8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★单内存插槽最大可支持容量（板载内存不涉及）</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color w:val="000000" w:themeColor="text1"/>
                <w:sz w:val="24"/>
                <w14:textFill>
                  <w14:solidFill>
                    <w14:schemeClr w14:val="tx1"/>
                  </w14:solidFill>
                </w14:textFill>
              </w:rPr>
              <w:t>16</w:t>
            </w:r>
            <w:r>
              <w:rPr>
                <w:rFonts w:hint="eastAsia" w:ascii="仿宋_GB2312" w:hAnsi="仿宋" w:eastAsia="仿宋_GB2312" w:cs="仿宋_GB2312"/>
                <w:color w:val="000000" w:themeColor="text1"/>
                <w:sz w:val="24"/>
                <w14:textFill>
                  <w14:solidFill>
                    <w14:schemeClr w14:val="tx1"/>
                  </w14:solidFill>
                </w14:textFill>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★内存插槽满配置时提供的最高内存总容量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存储设备规格</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★固态盘数量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★固态存储容量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≥512GB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★固态存储接口协议</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UFS/PCIe/NVMe等类型接口协议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★固态存储形态</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采用插卡或板载等形态，可选用符合M.2或2.5 寸 SATA等标准的插卡形态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★存储设备其他参数要求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固态盘应符合 SJ/T 11654 相关规定，更换硬盘后，原硬盘不返还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16</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显卡规格</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★显卡类型</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17</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显示设备规格</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★显示屏屏占比</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★显示屏分辨率</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★显示屏尺寸</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≥23.8英寸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★显示屏屏幕比例</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★显示器外观颜色</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★显示屏可视角度</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水平≥170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★显示屏防蓝光</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支持防蓝光模式，蓝光加权辐射亮度比应≤0.0012W/(·cd·sr)(瓦每坎特拉每球面度)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★显示屏低频闪</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显示屏应支持低频闪≤-35dB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★显示屏防炫目</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显示屏镜面反射率≤10%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26</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外设规格</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★鼠标数量</w:t>
            </w:r>
          </w:p>
        </w:tc>
        <w:tc>
          <w:tcPr>
            <w:tcW w:w="5356"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★键盘数量</w:t>
            </w:r>
          </w:p>
        </w:tc>
        <w:tc>
          <w:tcPr>
            <w:tcW w:w="5356"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r>
              <w:rPr>
                <w:rFonts w:hint="eastAsia" w:ascii="仿宋_GB2312" w:hAnsi="仿宋" w:eastAsia="仿宋_GB2312" w:cs="仿宋_GB2312"/>
                <w:color w:val="000000" w:themeColor="text1"/>
                <w:sz w:val="24"/>
                <w14:textFill>
                  <w14:solidFill>
                    <w14:schemeClr w14:val="tx1"/>
                  </w14:solidFill>
                </w14:textFill>
              </w:rPr>
              <w:t>★键盘按</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键数目</w:t>
            </w:r>
          </w:p>
        </w:tc>
        <w:tc>
          <w:tcPr>
            <w:tcW w:w="5356"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104键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29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★键盘连接方式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★键盘键程</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2.3mm-4.0mm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★键盘按键压力</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按键压力应在 0.54 N 士0.14N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★有线键盘连接线</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color w:val="000000" w:themeColor="text1"/>
                <w:sz w:val="24"/>
                <w14:textFill>
                  <w14:solidFill>
                    <w14:schemeClr w14:val="tx1"/>
                  </w14:solidFill>
                </w14:textFill>
              </w:rPr>
              <w:t>1</w:t>
            </w:r>
            <w:r>
              <w:rPr>
                <w:rFonts w:hint="eastAsia" w:ascii="仿宋_GB2312" w:hAnsi="仿宋" w:eastAsia="仿宋_GB2312" w:cs="仿宋_GB2312"/>
                <w:color w:val="000000" w:themeColor="text1"/>
                <w:sz w:val="24"/>
                <w14:textFill>
                  <w14:solidFill>
                    <w14:schemeClr w14:val="tx1"/>
                  </w14:solidFill>
                </w14:textFill>
              </w:rPr>
              <w:t>.5米(额外</w:t>
            </w:r>
            <w:r>
              <w:rPr>
                <w:rFonts w:ascii="仿宋_GB2312" w:hAnsi="仿宋" w:eastAsia="仿宋_GB2312" w:cs="仿宋_GB2312"/>
                <w:color w:val="000000" w:themeColor="text1"/>
                <w:sz w:val="24"/>
                <w14:textFill>
                  <w14:solidFill>
                    <w14:schemeClr w14:val="tx1"/>
                  </w14:solidFill>
                </w14:textFill>
              </w:rPr>
              <w:t>提供</w:t>
            </w:r>
            <w:r>
              <w:rPr>
                <w:rFonts w:hint="eastAsia" w:ascii="仿宋_GB2312" w:hAnsi="仿宋" w:eastAsia="仿宋_GB2312" w:cs="仿宋_GB2312"/>
                <w:color w:val="000000" w:themeColor="text1"/>
                <w:sz w:val="24"/>
                <w14:textFill>
                  <w14:solidFill>
                    <w14:schemeClr w14:val="tx1"/>
                  </w14:solidFill>
                </w14:textFill>
              </w:rPr>
              <w:t>2米USB延长</w:t>
            </w:r>
            <w:r>
              <w:rPr>
                <w:rFonts w:ascii="仿宋_GB2312" w:hAnsi="仿宋" w:eastAsia="仿宋_GB2312" w:cs="仿宋_GB2312"/>
                <w:color w:val="000000" w:themeColor="text1"/>
                <w:sz w:val="24"/>
                <w14:textFill>
                  <w14:solidFill>
                    <w14:schemeClr w14:val="tx1"/>
                  </w14:solidFill>
                </w14:textFill>
              </w:rPr>
              <w:t>线</w:t>
            </w:r>
            <w:r>
              <w:rPr>
                <w:rFonts w:hint="eastAsia" w:ascii="仿宋_GB2312" w:hAnsi="仿宋"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★键盘颜色</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黑色/白色/银色等商务色系，与鼠标为同一色系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键盘其他要求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键盘与主机同一品牌，键盘外观结构、连接方式， 主要功能、安全、电磁兼容性、可靠性应符合 GB/T 14081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pStyle w:val="19"/>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★鼠标连接方式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★有线鼠标连接线</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color w:val="000000" w:themeColor="text1"/>
                <w:sz w:val="24"/>
                <w14:textFill>
                  <w14:solidFill>
                    <w14:schemeClr w14:val="tx1"/>
                  </w14:solidFill>
                </w14:textFill>
              </w:rPr>
              <w:t>1</w:t>
            </w:r>
            <w:r>
              <w:rPr>
                <w:rFonts w:hint="eastAsia" w:ascii="仿宋_GB2312" w:hAnsi="仿宋" w:eastAsia="仿宋_GB2312" w:cs="仿宋_GB2312"/>
                <w:color w:val="000000" w:themeColor="text1"/>
                <w:sz w:val="24"/>
                <w14:textFill>
                  <w14:solidFill>
                    <w14:schemeClr w14:val="tx1"/>
                  </w14:solidFill>
                </w14:textFill>
              </w:rPr>
              <w:t>.5米(额外</w:t>
            </w:r>
            <w:r>
              <w:rPr>
                <w:rFonts w:ascii="仿宋_GB2312" w:hAnsi="仿宋" w:eastAsia="仿宋_GB2312" w:cs="仿宋_GB2312"/>
                <w:color w:val="000000" w:themeColor="text1"/>
                <w:sz w:val="24"/>
                <w14:textFill>
                  <w14:solidFill>
                    <w14:schemeClr w14:val="tx1"/>
                  </w14:solidFill>
                </w14:textFill>
              </w:rPr>
              <w:t>提供</w:t>
            </w:r>
            <w:r>
              <w:rPr>
                <w:rFonts w:hint="eastAsia" w:ascii="仿宋_GB2312" w:hAnsi="仿宋" w:eastAsia="仿宋_GB2312" w:cs="仿宋_GB2312"/>
                <w:color w:val="000000" w:themeColor="text1"/>
                <w:sz w:val="24"/>
                <w14:textFill>
                  <w14:solidFill>
                    <w14:schemeClr w14:val="tx1"/>
                  </w14:solidFill>
                </w14:textFill>
              </w:rPr>
              <w:t>2米USB延长</w:t>
            </w:r>
            <w:r>
              <w:rPr>
                <w:rFonts w:ascii="仿宋_GB2312" w:hAnsi="仿宋" w:eastAsia="仿宋_GB2312" w:cs="仿宋_GB2312"/>
                <w:color w:val="000000" w:themeColor="text1"/>
                <w:sz w:val="24"/>
                <w14:textFill>
                  <w14:solidFill>
                    <w14:schemeClr w14:val="tx1"/>
                  </w14:solidFill>
                </w14:textFill>
              </w:rPr>
              <w:t>线</w:t>
            </w:r>
            <w:r>
              <w:rPr>
                <w:rFonts w:hint="eastAsia" w:ascii="仿宋_GB2312" w:hAnsi="仿宋"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★鼠标DPI分辨率</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★鼠标颜色</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黑色/白色/银色等商务色系，与键盘为同一色系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39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★鼠标其他要求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鼠标与主机同一品牌，其它参数应符合 GB/T 26245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40</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网络设备规格</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★有线网卡数量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41</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外部接口规格</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★USB接口数量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机箱前面板应提供不少于4个USB 接 口（含2 个 USB3.0 及以上接口），主板直连USB接口≥8个USB口。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★USB母座接口要求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机箱前面板额外预留2个专用USB母座接口孔位和1个通用A型USB母座接口孔位，采用横向排列中心间距应不小于27mm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★视频接口数量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≥1个VGA，1个HDMI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★音频接口数量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45</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整机基础规格</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★整机外观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 产品表面不应有凹痕、划伤、裂缝、变形和污染等。表面涂层均匀，不应起泡、龟裂、脱落和磨损，金属零部件无锈蚀及其它机械损伤；</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产品表面说明功能的文字、符号、标志，应清晰、端正、牢固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★状态指示灯</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在产品显著位置提供状态指示功能，如运行状态等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★整机结构</w:t>
            </w:r>
          </w:p>
        </w:tc>
        <w:tc>
          <w:tcPr>
            <w:tcW w:w="5356" w:type="dxa"/>
            <w:tcBorders>
              <w:tl2br w:val="nil"/>
              <w:tr2bl w:val="nil"/>
            </w:tcBorders>
            <w:shd w:val="clear" w:color="auto" w:fill="auto"/>
            <w:vAlign w:val="center"/>
          </w:tcPr>
          <w:p>
            <w:pPr>
              <w:pStyle w:val="6"/>
              <w:numPr>
                <w:ilvl w:val="0"/>
                <w:numId w:val="0"/>
              </w:numPr>
              <w:spacing w:before="0" w:after="0" w:line="240" w:lineRule="auto"/>
              <w:rPr>
                <w:rFonts w:ascii="仿宋_GB2312" w:hAnsi="仿宋" w:eastAsia="仿宋_GB2312" w:cs="仿宋_GB2312"/>
                <w:b w:val="0"/>
                <w:color w:val="000000" w:themeColor="text1"/>
                <w:sz w:val="24"/>
                <w:szCs w:val="24"/>
                <w14:textFill>
                  <w14:solidFill>
                    <w14:schemeClr w14:val="tx1"/>
                  </w14:solidFill>
                </w14:textFill>
              </w:rPr>
            </w:pPr>
            <w:r>
              <w:rPr>
                <w:rFonts w:hint="eastAsia" w:ascii="仿宋_GB2312" w:hAnsi="仿宋" w:eastAsia="仿宋_GB2312" w:cs="仿宋_GB2312"/>
                <w:b w:val="0"/>
                <w:color w:val="000000" w:themeColor="text1"/>
                <w:sz w:val="24"/>
                <w:szCs w:val="24"/>
                <w14:textFill>
                  <w14:solidFill>
                    <w14:schemeClr w14:val="tx1"/>
                  </w14:solidFill>
                </w14:textFill>
              </w:rPr>
              <w:t>a）机箱应符合 GB/T 4208、GB/T 26246的相关规定；</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b)产品内部结构应符合通用部件的安装需求；</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c)所有输入输出接口应符合相关国家或行业标准；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d)产品零部件应紧固无松动，可插拔部件应可靠连接，开关、按钮和其它控制部件应灵活可靠，布局应方便使用；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 所有I/O连接器及需插接线缆的部位应预留采购人操作空间，方便插拔解锁与插拔线缆；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f)可插拔板卡插槽部位应预留安装、拆卸或更换板卡空间；</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g)拆装可能接触到的金属剪口或金属尖角部位应做防划伤处理，以保证安全；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 整机内部走线应规整，固线结构和位置要合理可靠并做防割线处理，需便于理线和插拔操作，走线应不影响系统各主要部件组装和拆卸；</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i)如需通过孔走线，过线孔应做放割线处理；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j）各插头位置和插拔方向应合理，应做到插拔无障碍设计，具备防呆设计，有效避免误操作；</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k）各主要部件拆装无障碍，使用常规工具拆装，无特殊拆装工具需求；</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l）各主要部件拆装步骤要少，各自拆装需避免相互干扰；</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m)对于整机或零部件外表面为高亮面的，应粘贴保护膜，保护膜需粘贴牢固，运输、组装等过程不易脱落，撕下无残留；</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n)其它要求应符合GB/T 9813.1的相关规定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★机箱防护要求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机箱应符合GB/T 4208 中IP20 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49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★整机噪音</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产品工作在空闲状态下，产品的噪声声功率级应不超过4.5Bel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★整机散热</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在环境温度 25℃及处理器满载情况下，产品表面温度应符合如下要求：</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a)出风口在机箱后面板情况下，出风口温度不高于55°C;</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b)可触及面温度不高于45℃;</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C)显示器表面温度：显示屏不高于38℃, 显示屏上下灯带位置温度（如涉及）不高于40°C, 出风口温度不高干45°C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★整机能效限定值</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产品能效限定值应达到GB 28380-2012标准中能效等级2级及以上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★机身材质</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塑料/金属等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★机身颜色</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灰色/黑色等商务色系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★机箱尺寸容量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机箱体积应不大于9L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55</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 性能</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★CPU物理核数</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★CPU主频</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★CPU末级缓存容量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★CPU支持的内存最高速率</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59</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内存性能</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★内存读写速率</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60</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显卡性能</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★显示分辨率</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★显卡显示芯片核心频率</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★显存等效频率</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★显卡可支持多屏同时显示数量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显卡应支持2块屏幕同时显示，分辨率应不低于1920×1080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64</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显示设备性能</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★显示屏刷新率</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★显示屏位深</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★显示屏色域</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≥99%sRGB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★显示屏色准</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★显示屏响应时间</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69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≥250尼特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★显示屏亮度一致性</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★显示屏对比度</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★显示屏其他参数</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显示器与主机同一色系，其它参数应符合SJ/T11292的相关规定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73</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网络设备性能</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★有线网卡速率</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最高速率应不低于1000Mbps,应支持100Mbps、1000Mbps速率自适应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74</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主板功能</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★内存扩展接口(板载内存不涉及)</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★主板USB 瞬间过流保护</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★主板防静电保护</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★I/O接口功能</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基于标准USB接口外设连接功能、基于音频输入输出接口的音频扩展功能、基于PCle接口板卡扩展功能、基于HDMI或VGA或Type-C或DVI或DP等接口外接显示器扩展功能、基于存储接口对产品进行增容功能等。产品I/O接口，应具备外接标准USB设备、 显示器、音频设备等内外部设备能力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78</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显卡功能</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★显卡外接显示接口</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显卡至少支持VGA、HDMI、DP显示接口的其中一种，并与显示器接口相匹配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79</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显示设备功能</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★显示器接口</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显示器应与显卡外接显示接口匹配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★显示器支架</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显示器应提供显示器支架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★显示器 参数调节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a)提供OSD选单按钮用于调节色彩、模式等 ；</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b)支持色温、亮度、对比度调节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82</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通过SATA固态存储/PCle固态存储/UFS固态存储/SATA硬磁盘等存储部件提供存储功能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83</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网络设备功能</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★网络功能</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a)支持网络连接、网络开启/关闭功能；b)支持访问网络和数据交换功能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★数据传输</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★有线网卡接口类型</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★网络设备拆装</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网络设备支持物理拆装，包括无线网卡和蓝牙模块等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87</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接口功能</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★音频接口类型</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 3.5mm 孔径 3 段式或 4 段式接口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★视频接口类型</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至少支持 VGA、HDMI、DP、Type-C中 1种显示接口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89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★HDMI、DP、Type-C 显示接口要求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若提供 HDMI 或 DP 或 Type-C 作为显示接口，应支持音频和视频同步输出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90</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电源功能</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★电源线适配能力</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电源适配器电线组件应符合GB/T 15934的要求。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91</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操作系统及软件功能</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★中文信息处理要求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 18030的相关规定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★操作系统备份及还原功能</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支持操作系统备份及还原功能、支持操作系统重装（重装系统版本需按医院实际需求）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★固件备份还原能力</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支持备份及还原固件的功能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★操作系统及驱动升级</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★固件升级</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★BI0S支  持关闭通讯接口</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支持BIOS关闭以太网及USB接口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★固件查看信息</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支持查看固件版本、内存信息、主板信息、处理器信息和系统时间信息等功能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★固件设置启动顺序</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支持设置启动顺序功能，并按照设置的启动顺序启动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99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★固件设置口令</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支持设置口令、修改口令、验证口令功能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★固件设置网络引导</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支持网络引导启动和关闭功能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101</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存储设备可靠性</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固态存储寿命</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TBW ≥100TB(条件：512GB硬盘容量)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102</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可靠性</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★显示屏屏幕失效点</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103</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外设可靠性</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★键盘按键寿命</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★鼠标按键寿命</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★键盘鼠标线材寿命</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键盘鼠标所用线材经士60°弯折不低于3000次，功能、外观完好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★风扇寿命</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107</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整机可靠性要求</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★电磁兼容性要求的抗扰度</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★环境条件要求的气候环境适应性</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109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★环境条件要求的振动适应性</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★环境条件要求的冲击适应性</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★环境条件要求的碰撞适应性</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★环境条件要求的运输包装件跌落适应性</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★MTBF测试</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MTBF(m1)≥20万小时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114</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兼容要求</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常用软件兼容</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支持流式软件、版式软件、浏览器、 邮件采购人端、解压软件、多媒体， 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数据库兼容</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中间件兼容</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平台软件兼容</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118</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包装及运输要求</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★标志、包装、运输和贮存</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9813.1和商品包装政府采购需求标准的相关规定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119</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服务要求</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★配置检查工具</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★服务响应</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a）提供产品原厂商至少五年维保及上门服务</w:t>
            </w:r>
            <w:r>
              <w:rPr>
                <w:rFonts w:hint="eastAsia" w:ascii="仿宋_GB2312" w:hAnsi="仿宋_GB2312" w:eastAsia="仿宋_GB2312" w:cs="仿宋_GB2312"/>
                <w:color w:val="000000" w:themeColor="text1"/>
                <w:sz w:val="24"/>
                <w:szCs w:val="24"/>
                <w:lang w:eastAsia="zh-CN"/>
                <w14:textFill>
                  <w14:solidFill>
                    <w14:schemeClr w14:val="tx1"/>
                  </w14:solidFill>
                </w14:textFill>
              </w:rPr>
              <w:t>，供应商</w:t>
            </w:r>
            <w:r>
              <w:rPr>
                <w:rFonts w:hint="eastAsia" w:ascii="仿宋_GB2312" w:hAnsi="仿宋_GB2312" w:eastAsia="仿宋_GB2312" w:cs="仿宋_GB2312"/>
                <w:color w:val="000000" w:themeColor="text1"/>
                <w:sz w:val="24"/>
                <w:lang w:val="en-US" w:eastAsia="zh-CN"/>
                <w14:textFill>
                  <w14:solidFill>
                    <w14:schemeClr w14:val="tx1"/>
                  </w14:solidFill>
                </w14:textFill>
              </w:rPr>
              <w:t>提供电话、电子邮件、远程链接等多种形式服务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b)供应商提供同城10分钟技术响应服务，1个工作日解决问题，对于未能解决的问题和故障应提供可行的升级方案，并提供周转设备或更换设备；</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c)建立全国技术服务体系和服务团体，符合专业服务体系标准要求，提供原厂中文服务；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d)服务周期内提供产品的维修、换件和升级服务；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e)设备厂商需提供闪修保修服务；闪修服务保修时效：当日下午4点前报修，下一自然日24点前修复，若没有完成修复，则为客户免费赠送延迟日数对应的月度延保服务；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121</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★服务周期</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 设备停产后应继续提供质量保障服务（含备品备件），服务终止时间与最后一批设备交付时间间隔不低于</w:t>
            </w:r>
            <w:r>
              <w:rPr>
                <w:rFonts w:ascii="仿宋_GB2312" w:hAnsi="仿宋" w:eastAsia="仿宋_GB2312" w:cs="仿宋_GB2312"/>
                <w:color w:val="000000" w:themeColor="text1"/>
                <w:sz w:val="24"/>
                <w14:textFill>
                  <w14:solidFill>
                    <w14:schemeClr w14:val="tx1"/>
                  </w14:solidFill>
                </w14:textFill>
              </w:rPr>
              <w:t>8</w:t>
            </w:r>
            <w:r>
              <w:rPr>
                <w:rFonts w:hint="eastAsia" w:ascii="仿宋_GB2312" w:hAnsi="仿宋" w:eastAsia="仿宋_GB2312" w:cs="仿宋_GB2312"/>
                <w:color w:val="000000" w:themeColor="text1"/>
                <w:sz w:val="24"/>
                <w14:textFill>
                  <w14:solidFill>
                    <w14:schemeClr w14:val="tx1"/>
                  </w14:solidFill>
                </w14:textFill>
              </w:rPr>
              <w:t>年；</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产品停止服务时间应提前1年告知；</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 应明确产品发布日期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122</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★预装操作系统</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预装符合桌面操作系统政府采购需求标准的正版操作系统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★培训服务</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124</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★典型问题解决手册</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125</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★厂家升级软件与扩容服务</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★整机质量服务要求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 xml:space="preserve">免费服务周期（含换件和维修）不小于五年，提供整机五年质保和原厂工程师上门服务。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★合格证书要求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★开箱组装/使用指导要求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129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★驱动下载服务要求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130</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★兼容适配软件下载服务要求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131</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供应链合 规性</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产品部件保障</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供应商保障产品主要部件，提供</w:t>
            </w:r>
            <w:r>
              <w:rPr>
                <w:rFonts w:ascii="仿宋_GB2312" w:hAnsi="仿宋" w:eastAsia="仿宋_GB2312" w:cs="仿宋_GB2312"/>
                <w:color w:val="000000" w:themeColor="text1"/>
                <w:sz w:val="24"/>
                <w14:textFill>
                  <w14:solidFill>
                    <w14:schemeClr w14:val="tx1"/>
                  </w14:solidFill>
                </w14:textFill>
              </w:rPr>
              <w:t>8</w:t>
            </w:r>
            <w:r>
              <w:rPr>
                <w:rFonts w:hint="eastAsia" w:ascii="仿宋_GB2312" w:hAnsi="仿宋" w:eastAsia="仿宋_GB2312" w:cs="仿宋_GB2312"/>
                <w:color w:val="000000" w:themeColor="text1"/>
                <w:sz w:val="24"/>
                <w14:textFill>
                  <w14:solidFill>
                    <w14:schemeClr w14:val="tx1"/>
                  </w14:solidFill>
                </w14:textFill>
              </w:rPr>
              <w:t>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132</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质量</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★抗干扰性</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133</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★供应能力证明</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提供供应链稳定承诺书，确保产品的部件在产品服务周期内稳定供货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134</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关键部件 安全要求</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★关键部件安全要求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CPU和操作系统等关键部件应当符合安全可靠测评要求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135</w:t>
            </w:r>
          </w:p>
        </w:tc>
        <w:tc>
          <w:tcPr>
            <w:tcW w:w="1400"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整机安全性要求</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★密码算法实现</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CPU芯片应符合GM/T 0008的相关规定，或芯片密码模块应符合GB/T37092 或GM/T 0028的相关规定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136</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★USB端口管控</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支持USB端口管控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137</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★信息安全基本要求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a)产品应符合GB/T 39276的5.2的规定 ；</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b)生产厂商应建立漏洞跟踪表，保证产品版本涉及到的漏洞(如驱动程序等)可查看；</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o)产品不得包含已知的恶意代码或漏洞，不存在未声明的指令、功能、接口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138</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★固件安全启动</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支持固件安全启动功能，固件启动过程中只有通过启动校验才能正常启动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139</w:t>
            </w:r>
          </w:p>
        </w:tc>
        <w:tc>
          <w:tcPr>
            <w:tcW w:w="1400"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★限用物质的限量要求</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26572中规定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Borders>
              <w:tl2br w:val="nil"/>
              <w:tr2bl w:val="nil"/>
            </w:tcBorders>
            <w:vAlign w:val="center"/>
          </w:tcPr>
          <w:p>
            <w:pPr>
              <w:jc w:val="center"/>
              <w:rPr>
                <w:rFonts w:ascii="仿宋_GB2312" w:hAnsi="仿宋" w:eastAsia="仿宋_GB2312"/>
                <w:color w:val="000000"/>
                <w:sz w:val="22"/>
                <w:szCs w:val="22"/>
              </w:rPr>
            </w:pPr>
            <w:r>
              <w:rPr>
                <w:rFonts w:hint="eastAsia" w:ascii="仿宋_GB2312" w:hAnsi="等线" w:eastAsia="仿宋_GB2312"/>
                <w:color w:val="000000"/>
              </w:rPr>
              <w:t>140</w:t>
            </w:r>
          </w:p>
        </w:tc>
        <w:tc>
          <w:tcPr>
            <w:tcW w:w="1400"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预装软件</w:t>
            </w:r>
          </w:p>
        </w:tc>
        <w:tc>
          <w:tcPr>
            <w:tcW w:w="1832"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★预装软件</w:t>
            </w:r>
          </w:p>
        </w:tc>
        <w:tc>
          <w:tcPr>
            <w:tcW w:w="5356"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麒麟或统信桌面操作系统正式版，奇安信网神或360终端安全防护，上述软件含三年免费升级服务，软件授权对象同采购单位一致。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rPr>
              <w:t>141</w:t>
            </w:r>
          </w:p>
        </w:tc>
        <w:tc>
          <w:tcPr>
            <w:tcW w:w="8588" w:type="dxa"/>
            <w:gridSpan w:val="3"/>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★提供节能产品认证证书。</w:t>
            </w:r>
          </w:p>
        </w:tc>
      </w:tr>
    </w:tbl>
    <w:p>
      <w:pPr>
        <w:pStyle w:val="6"/>
        <w:numPr>
          <w:ilvl w:val="0"/>
          <w:numId w:val="7"/>
        </w:numPr>
        <w:tabs>
          <w:tab w:val="clear" w:pos="1984"/>
        </w:tabs>
        <w:spacing w:before="0" w:after="0" w:line="440" w:lineRule="exact"/>
        <w:jc w:val="left"/>
        <w:rPr>
          <w:rFonts w:ascii="仿宋_GB2312" w:hAnsi="仿宋" w:eastAsia="仿宋_GB2312" w:cs="仿宋_GB2312"/>
          <w:sz w:val="24"/>
          <w:szCs w:val="24"/>
        </w:rPr>
      </w:pPr>
      <w:r>
        <w:rPr>
          <w:rFonts w:hint="eastAsia" w:ascii="仿宋_GB2312" w:hAnsi="仿宋" w:eastAsia="仿宋_GB2312" w:cs="仿宋_GB2312"/>
          <w:sz w:val="24"/>
          <w:szCs w:val="24"/>
        </w:rPr>
        <w:t>笔记本技术指标要求：</w:t>
      </w:r>
    </w:p>
    <w:tbl>
      <w:tblPr>
        <w:tblStyle w:val="63"/>
        <w:tblW w:w="47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89"/>
        <w:gridCol w:w="1822"/>
        <w:gridCol w:w="4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05" w:type="dxa"/>
            <w:tcBorders>
              <w:bottom w:val="single" w:color="auto" w:sz="4" w:space="0"/>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序号</w:t>
            </w:r>
          </w:p>
        </w:tc>
        <w:tc>
          <w:tcPr>
            <w:tcW w:w="1368"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一级指标</w:t>
            </w:r>
          </w:p>
        </w:tc>
        <w:tc>
          <w:tcPr>
            <w:tcW w:w="1933" w:type="dxa"/>
            <w:tcBorders>
              <w:tl2br w:val="nil"/>
              <w:tr2bl w:val="nil"/>
            </w:tcBorders>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二级指标</w:t>
            </w:r>
          </w:p>
        </w:tc>
        <w:tc>
          <w:tcPr>
            <w:tcW w:w="5093" w:type="dxa"/>
            <w:tcBorders>
              <w:tl2br w:val="nil"/>
              <w:tr2bl w:val="nil"/>
            </w:tcBorders>
            <w:shd w:val="clear" w:color="auto" w:fill="auto"/>
            <w:vAlign w:val="center"/>
          </w:tcPr>
          <w:p>
            <w:pPr>
              <w:jc w:val="center"/>
              <w:rPr>
                <w:rFonts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w:t>
            </w:r>
          </w:p>
        </w:tc>
        <w:tc>
          <w:tcPr>
            <w:tcW w:w="1368" w:type="dxa"/>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CPU规格</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★CPU信息</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ARM架构处理器，物理核数≥8，主频≥2.3GHz，末级缓存容量≥2MB，支持的内存最高速率≥2666MT/s，热设计功耗≤25W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w:t>
            </w:r>
          </w:p>
        </w:tc>
        <w:tc>
          <w:tcPr>
            <w:tcW w:w="1368" w:type="dxa"/>
            <w:vMerge w:val="restart"/>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内存规格</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★内存配置容量</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★内存类型</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支持DDR4/LPDDR4/LPDDR4X及以上内存类型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等线" w:eastAsia="仿宋_GB2312"/>
                <w:color w:val="000000"/>
                <w:sz w:val="24"/>
              </w:rPr>
            </w:pPr>
            <w:r>
              <w:rPr>
                <w:rFonts w:hint="eastAsia" w:ascii="仿宋_GB2312" w:hAnsi="等线" w:eastAsia="仿宋_GB2312"/>
                <w:color w:val="000000"/>
                <w:sz w:val="24"/>
              </w:rPr>
              <w:t>4</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★内存条配置数量（板载内存不涉及）</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w:t>
            </w:r>
          </w:p>
        </w:tc>
        <w:tc>
          <w:tcPr>
            <w:tcW w:w="1368" w:type="dxa"/>
            <w:vMerge w:val="restart"/>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主板规格</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★主板集成模块</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集成资源扩展模块、计算处理模块、音频扩展模块等，主板的互联拓扑可通过处理器或交换电路实现。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w:t>
            </w:r>
          </w:p>
        </w:tc>
        <w:tc>
          <w:tcPr>
            <w:tcW w:w="1368" w:type="dxa"/>
            <w:vMerge w:val="continue"/>
            <w:tcBorders>
              <w:tl2br w:val="nil"/>
              <w:tr2bl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★主板支持的CPU和内存情况</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sz w:val="24"/>
              </w:rPr>
              <w:t>主板支持一颗ARM架构处理器CPU和DDR4及以上内存。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★单内存插槽最大可支持容量</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color w:val="000000" w:themeColor="text1"/>
                <w:sz w:val="24"/>
                <w14:textFill>
                  <w14:solidFill>
                    <w14:schemeClr w14:val="tx1"/>
                  </w14:solidFill>
                </w14:textFill>
              </w:rPr>
              <w:t>16</w:t>
            </w:r>
            <w:r>
              <w:rPr>
                <w:rFonts w:hint="eastAsia" w:ascii="仿宋_GB2312" w:hAnsi="仿宋" w:eastAsia="仿宋_GB2312" w:cs="仿宋_GB2312"/>
                <w:color w:val="000000" w:themeColor="text1"/>
                <w:sz w:val="24"/>
                <w14:textFill>
                  <w14:solidFill>
                    <w14:schemeClr w14:val="tx1"/>
                  </w14:solidFill>
                </w14:textFill>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★内存插槽满配置时提供的最高内存总容量</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存储设备规格</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★固态盘数量</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★固态存储容量</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≥512GB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★固态存储接口协议</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UFS/SATA/NVMe接口协议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★固态存储形态</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采用插卡或板载等形态，插卡形态宜符合M.2 标准尺寸和接口定义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★存储设备其他参数要求</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固态盘应符合 SJ/T 11654 相关规定，更换硬盘后，原硬盘不返还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w:t>
            </w:r>
          </w:p>
        </w:tc>
        <w:tc>
          <w:tcPr>
            <w:tcW w:w="136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显卡规格</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★显卡类型</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集成显卡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14</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显示设备规格</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★显示屏屏占比</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15</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★显示屏分辨率</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16</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尺寸</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≥14英寸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17</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★显示屏屏幕比例</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16:9/3:2/21:9等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18</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▲显示屏可视角度</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水平≥170°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19</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★显示屏防蓝光</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支持防蓝光模式，蓝光加权辐射亮度比应≤0.0012W/(·cd·sr)(瓦每坎特拉每球面度)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20</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★显示屏低频闪</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显示屏应支持低频闪≤-35dB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21</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防炫目</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显示屏镜面反射率≤10%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22</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外设规格</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★鼠标数量</w:t>
            </w:r>
          </w:p>
        </w:tc>
        <w:tc>
          <w:tcPr>
            <w:tcW w:w="5093"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23</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★键盘数量</w:t>
            </w:r>
          </w:p>
        </w:tc>
        <w:tc>
          <w:tcPr>
            <w:tcW w:w="5093"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24</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★触控板数量</w:t>
            </w:r>
          </w:p>
        </w:tc>
        <w:tc>
          <w:tcPr>
            <w:tcW w:w="5093"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25</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★摄像头数量</w:t>
            </w:r>
          </w:p>
        </w:tc>
        <w:tc>
          <w:tcPr>
            <w:tcW w:w="5093"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26</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★键盘按键数目</w:t>
            </w:r>
          </w:p>
        </w:tc>
        <w:tc>
          <w:tcPr>
            <w:tcW w:w="5093" w:type="dxa"/>
            <w:tcBorders>
              <w:tl2br w:val="nil"/>
              <w:tr2bl w:val="nil"/>
            </w:tcBorders>
            <w:shd w:val="clear" w:color="auto" w:fill="auto"/>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84键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27</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★摄像头像素</w:t>
            </w:r>
          </w:p>
        </w:tc>
        <w:tc>
          <w:tcPr>
            <w:tcW w:w="5093"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28</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★摄像头分辨率</w:t>
            </w:r>
          </w:p>
        </w:tc>
        <w:tc>
          <w:tcPr>
            <w:tcW w:w="5093"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≥1280x720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29</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★内置扬声器功率</w:t>
            </w:r>
          </w:p>
        </w:tc>
        <w:tc>
          <w:tcPr>
            <w:tcW w:w="5093"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≥1瓦/个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30</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★内置扬声器频率范围</w:t>
            </w:r>
          </w:p>
        </w:tc>
        <w:tc>
          <w:tcPr>
            <w:tcW w:w="5093" w:type="dxa"/>
            <w:vAlign w:val="center"/>
          </w:tcPr>
          <w:p>
            <w:pPr>
              <w:pStyle w:val="1032"/>
              <w:spacing w:before="5"/>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100Hz-20kHz，其中 100Hz-200Hz：35dB 及以上；200Hz-12kHz：55dB 及以上，12kHz-18kHz：35dB 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31</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★内置扬声器总谐波失真</w:t>
            </w:r>
          </w:p>
        </w:tc>
        <w:tc>
          <w:tcPr>
            <w:tcW w:w="5093"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总谐波失真在300Hz-7kHz 频率范围内宜不高于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32</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★内置扬声器最大声压级</w:t>
            </w:r>
          </w:p>
        </w:tc>
        <w:tc>
          <w:tcPr>
            <w:tcW w:w="5093" w:type="dxa"/>
            <w:vAlign w:val="center"/>
          </w:tcPr>
          <w:p>
            <w:pPr>
              <w:pStyle w:val="1032"/>
              <w:spacing w:before="6" w:line="249" w:lineRule="auto"/>
              <w:ind w:right="323"/>
              <w:rPr>
                <w:rFonts w:ascii="仿宋_GB2312" w:hAnsi="仿宋" w:eastAsia="仿宋_GB2312" w:cs="仿宋_GB2312"/>
                <w:color w:val="000000" w:themeColor="text1"/>
                <w:kern w:val="2"/>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最大声压级在粉红噪声播放场景下，工作距离处声压级宜不低于70dB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33</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★键盘键程</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0.9mm-2.3mm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34</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★键盘按键压力</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按键压力应在0.3～0.8N 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35</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★键盘颜色</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黑色/铁灰色等商务色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36</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★鼠标连接方式</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37</w:t>
            </w:r>
          </w:p>
        </w:tc>
        <w:tc>
          <w:tcPr>
            <w:tcW w:w="1368" w:type="dxa"/>
            <w:vMerge w:val="continue"/>
            <w:tcBorders>
              <w:bottom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bottom w:val="single" w:color="auto" w:sz="4" w:space="0"/>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★有线鼠标连接线</w:t>
            </w:r>
          </w:p>
        </w:tc>
        <w:tc>
          <w:tcPr>
            <w:tcW w:w="5093" w:type="dxa"/>
            <w:tcBorders>
              <w:bottom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38</w:t>
            </w:r>
          </w:p>
        </w:tc>
        <w:tc>
          <w:tcPr>
            <w:tcW w:w="13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★鼠标DPI分辨率</w:t>
            </w:r>
          </w:p>
        </w:tc>
        <w:tc>
          <w:tcPr>
            <w:tcW w:w="509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39</w:t>
            </w:r>
          </w:p>
        </w:tc>
        <w:tc>
          <w:tcPr>
            <w:tcW w:w="13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★鼠标颜色</w:t>
            </w:r>
          </w:p>
        </w:tc>
        <w:tc>
          <w:tcPr>
            <w:tcW w:w="509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黑色/铁灰色等商务色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40</w:t>
            </w:r>
          </w:p>
        </w:tc>
        <w:tc>
          <w:tcPr>
            <w:tcW w:w="13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★鼠标其他要求</w:t>
            </w:r>
          </w:p>
        </w:tc>
        <w:tc>
          <w:tcPr>
            <w:tcW w:w="509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鼠标与主机同品牌，其它参数应符合 GB/T 26245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41</w:t>
            </w:r>
          </w:p>
        </w:tc>
        <w:tc>
          <w:tcPr>
            <w:tcW w:w="13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op w:val="single" w:color="auto" w:sz="4" w:space="0"/>
              <w:left w:val="single" w:color="auto" w:sz="4" w:space="0"/>
              <w:bottom w:val="single" w:color="auto" w:sz="4" w:space="0"/>
              <w:right w:val="single" w:color="auto" w:sz="4" w:space="0"/>
            </w:tcBorders>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★触控板尺寸</w:t>
            </w:r>
          </w:p>
        </w:tc>
        <w:tc>
          <w:tcPr>
            <w:tcW w:w="5093" w:type="dxa"/>
            <w:tcBorders>
              <w:top w:val="single" w:color="auto" w:sz="4" w:space="0"/>
              <w:left w:val="single" w:color="auto" w:sz="4" w:space="0"/>
              <w:bottom w:val="single" w:color="auto" w:sz="4" w:space="0"/>
              <w:right w:val="single" w:color="auto" w:sz="4" w:space="0"/>
            </w:tcBorders>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≥70mm×50mm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42</w:t>
            </w:r>
          </w:p>
        </w:tc>
        <w:tc>
          <w:tcPr>
            <w:tcW w:w="13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op w:val="single" w:color="auto" w:sz="4" w:space="0"/>
              <w:left w:val="single" w:color="auto" w:sz="4" w:space="0"/>
              <w:bottom w:val="single" w:color="auto" w:sz="4" w:space="0"/>
              <w:right w:val="single" w:color="auto" w:sz="4" w:space="0"/>
            </w:tcBorders>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★触控板材质</w:t>
            </w:r>
          </w:p>
        </w:tc>
        <w:tc>
          <w:tcPr>
            <w:tcW w:w="5093" w:type="dxa"/>
            <w:tcBorders>
              <w:top w:val="single" w:color="auto" w:sz="4" w:space="0"/>
              <w:left w:val="single" w:color="auto" w:sz="4" w:space="0"/>
              <w:bottom w:val="single" w:color="auto" w:sz="4" w:space="0"/>
              <w:right w:val="single" w:color="auto" w:sz="4" w:space="0"/>
            </w:tcBorders>
          </w:tcPr>
          <w:p>
            <w:pPr>
              <w:pStyle w:val="19"/>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采用麦拉片或玻璃等材质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43</w:t>
            </w:r>
          </w:p>
        </w:tc>
        <w:tc>
          <w:tcPr>
            <w:tcW w:w="1368"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网络设备规格</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★有线网卡数量</w:t>
            </w:r>
          </w:p>
        </w:tc>
        <w:tc>
          <w:tcPr>
            <w:tcW w:w="509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≥1（可通过扩展坞支持）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44</w:t>
            </w:r>
          </w:p>
        </w:tc>
        <w:tc>
          <w:tcPr>
            <w:tcW w:w="13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无线网卡及天线数量</w:t>
            </w:r>
          </w:p>
        </w:tc>
        <w:tc>
          <w:tcPr>
            <w:tcW w:w="509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≥1，英特尔WIFI6无线网卡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45</w:t>
            </w:r>
          </w:p>
        </w:tc>
        <w:tc>
          <w:tcPr>
            <w:tcW w:w="1368"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外部接口规格</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★USB接口数量</w:t>
            </w:r>
          </w:p>
        </w:tc>
        <w:tc>
          <w:tcPr>
            <w:tcW w:w="509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 接口数量不少于3个（至少包含2个USB3.0及以上接口）（可通过扩展坞支持）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46</w:t>
            </w:r>
          </w:p>
        </w:tc>
        <w:tc>
          <w:tcPr>
            <w:tcW w:w="13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★视频接口数量</w:t>
            </w:r>
          </w:p>
        </w:tc>
        <w:tc>
          <w:tcPr>
            <w:tcW w:w="509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47</w:t>
            </w:r>
          </w:p>
        </w:tc>
        <w:tc>
          <w:tcPr>
            <w:tcW w:w="1368" w:type="dxa"/>
            <w:vMerge w:val="continue"/>
            <w:tcBorders>
              <w:top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op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★输入充电接口数量</w:t>
            </w:r>
          </w:p>
        </w:tc>
        <w:tc>
          <w:tcPr>
            <w:tcW w:w="5093" w:type="dxa"/>
            <w:tcBorders>
              <w:top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48</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★音频接口数量</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49</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电池规格</w:t>
            </w: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★电池额定能量</w:t>
            </w:r>
          </w:p>
        </w:tc>
        <w:tc>
          <w:tcPr>
            <w:tcW w:w="5093" w:type="dxa"/>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≥56Wh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50</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▲电池充放电次数</w:t>
            </w:r>
          </w:p>
        </w:tc>
        <w:tc>
          <w:tcPr>
            <w:tcW w:w="5093" w:type="dxa"/>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≥500 次（常温下 500 次充放电后电池容量应不低于原始容量的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51</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▲快速充电功能</w:t>
            </w:r>
          </w:p>
        </w:tc>
        <w:tc>
          <w:tcPr>
            <w:tcW w:w="5093" w:type="dxa"/>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支持快速充电功能，如 UFCS、USB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52</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★电池安全要求</w:t>
            </w:r>
          </w:p>
        </w:tc>
        <w:tc>
          <w:tcPr>
            <w:tcW w:w="5093" w:type="dxa"/>
            <w:vAlign w:val="center"/>
          </w:tcPr>
          <w:p>
            <w:pPr>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 GB 31241 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53</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整机基础规格</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★整机外观</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 产品表面不应有凹痕、划伤、裂缝、变形和污染等。表面涂层均匀，不应起泡、龟裂、脱落和磨损，金属零部件无锈蚀及其它机械损伤；</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产品表面说明功能的文字、符号、标志，应清晰、端正、牢固;</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 宜在产品显著位置提供运行状态指示功能，并由生产厂商提供详细参数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54</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★整机结构</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产品应符合 GB/T 4208 的相关规定；</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产品内部结构应符合通用部件的安装需要；</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所有输入输出接口应符合相关国家或行业标准；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d)</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产品零部件应紧固无松动，可插拔部件应可靠连接，开关、按钮和其它控制部件应灵活可靠，布局应方便使用；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所有I/O 连接器及需插接线缆的部位应预留用户操作空间，方便插拔解锁与插拔线缆；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f)</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可插拔板卡插槽部位应预留安装、拆卸或更换板卡空间；</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g)</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拆装可能接触到的金属剪口或金属尖角部位应做防划伤处理，以保证安全；</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整机内部走线应规整，固线结构和位置要合理可靠并做防割线处 理，需便于理线和插拔操作，走线应不影响系统各主要部件组装和拆卸；</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如需通过孔走线，过线孔应做防割线处理；</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j)</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各插头位置和插拔方向应合理， 应做到插拔无障碍设计，具备防呆设计，有效避免误操作；</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k)</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各主要部件拆装无障碍，使用常规工具拆装，无特殊拆装工具需求；</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l)</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各主要部件拆装步骤要少，各自拆装需避免相互干扰；</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对于整机或零部件外表面为高亮面的，应粘贴保护膜，保护膜需粘贴牢固，运输、组装等过程不易脱落，撕下无残留；</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n)</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显示屏的开合机械寿命应能承受至少 15000 次的显示屏开合，显示屏机械转轴的扭力应保持初始状态下扭力的 75%以上；</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o)</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其它要求应符合 GB/T 9813.2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55</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★整机噪音</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25摄氏度环温条件：空闲小于等于 38dBA,满载小于等于45dBA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56</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★整机散热</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产品在环境温度 25℃且运行在满载的状态下，可触及面温度范围内应不高于45℃，各表面温度应符合以下要求：</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a)键帽温度不高于38℃；</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b)键盘间隙温度不高于40℃；</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c)掌托温度不高于38℃；</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d)触控板温度不高于38℃；</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e)底壳温度不高于45℃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57</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★整机能效限定值</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产品能效限定值应达到GB 28380-2012标准中能效等级2级及以上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58</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★整机重量</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≤2.2kg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59</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★整机厚度</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≤22mm（不含脚垫）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60</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★机身材质</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61</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★机身颜色</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选用灰色/黑色等商务色系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62</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 性能</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★CPU物理核数</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63</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★CPU主频</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64</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★CPU末级缓存容量</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65</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★CPU支持的内存最高速率</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≥2666MT/s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66</w:t>
            </w:r>
          </w:p>
        </w:tc>
        <w:tc>
          <w:tcPr>
            <w:tcW w:w="136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内存性能</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★内存读写速率</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≥2666MT/s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67</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显卡性能</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★显示分辨率</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68</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★显卡显示芯片核心频率</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69</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★显存等效频率</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70</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★显卡可支持多屏同时显示数量</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显卡应支持2块屏幕同时显示，分辨率应不低于1920×1080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71</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显示设备性能</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★显示屏刷新率</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72</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★显示屏位深</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73</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★显示屏色域</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≥99%sRGB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74</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★显示屏色准</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75</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★显示屏响应时间</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76</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≥250尼特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77</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★显示屏亮度一致性</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78</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★显示屏对比度</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79</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★显示屏其他参数</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其它参数应符合SJ/T11292的相关规定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80</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网络设备性能</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★有线网卡速率</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最高速率应不低于1000Mbps,应支持100Mbps、1000Mbps速率自适应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81</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★支持无线网络通信技术协议</w:t>
            </w:r>
          </w:p>
        </w:tc>
        <w:tc>
          <w:tcPr>
            <w:tcW w:w="5093"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 WAPI 或 WiFi5.0 及以上协议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82</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★无线网卡频宽</w:t>
            </w:r>
          </w:p>
        </w:tc>
        <w:tc>
          <w:tcPr>
            <w:tcW w:w="5093"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83</w:t>
            </w:r>
          </w:p>
        </w:tc>
        <w:tc>
          <w:tcPr>
            <w:tcW w:w="136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电源适配器性能</w:t>
            </w:r>
          </w:p>
        </w:tc>
        <w:tc>
          <w:tcPr>
            <w:tcW w:w="1933" w:type="dxa"/>
            <w:tcBorders>
              <w:tl2br w:val="nil"/>
              <w:tr2bl w:val="nil"/>
            </w:tcBorders>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▲电源适配器电源效率</w:t>
            </w:r>
          </w:p>
        </w:tc>
        <w:tc>
          <w:tcPr>
            <w:tcW w:w="5093"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eastAsia="仿宋_GB2312"/>
                <w:spacing w:val="-23"/>
                <w:sz w:val="24"/>
              </w:rPr>
              <w:t xml:space="preserve">在 </w:t>
            </w:r>
            <w:r>
              <w:rPr>
                <w:rFonts w:hint="eastAsia" w:ascii="仿宋_GB2312" w:eastAsia="仿宋_GB2312"/>
                <w:spacing w:val="-1"/>
                <w:sz w:val="24"/>
              </w:rPr>
              <w:t>20%/50%/100%负载下效率均应不</w:t>
            </w:r>
            <w:r>
              <w:rPr>
                <w:rFonts w:hint="eastAsia" w:ascii="仿宋_GB2312" w:eastAsia="仿宋_GB2312"/>
                <w:spacing w:val="-16"/>
                <w:sz w:val="24"/>
              </w:rPr>
              <w:t xml:space="preserve">低于 </w:t>
            </w:r>
            <w:r>
              <w:rPr>
                <w:rFonts w:hint="eastAsia" w:ascii="仿宋_GB2312" w:eastAsia="仿宋_GB2312"/>
                <w:spacing w:val="-1"/>
                <w:sz w:val="24"/>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84</w:t>
            </w:r>
          </w:p>
        </w:tc>
        <w:tc>
          <w:tcPr>
            <w:tcW w:w="136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待机性能</w:t>
            </w:r>
          </w:p>
        </w:tc>
        <w:tc>
          <w:tcPr>
            <w:tcW w:w="1933" w:type="dxa"/>
            <w:tcBorders>
              <w:tl2br w:val="nil"/>
              <w:tr2bl w:val="nil"/>
            </w:tcBorders>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▲满载待机性能（LTP）</w:t>
            </w:r>
          </w:p>
        </w:tc>
        <w:tc>
          <w:tcPr>
            <w:tcW w:w="5093" w:type="dxa"/>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w:t>
            </w:r>
            <w:r>
              <w:rPr>
                <w:rFonts w:hint="eastAsia" w:ascii="仿宋_GB2312" w:eastAsia="仿宋_GB2312"/>
                <w:spacing w:val="-12"/>
                <w:w w:val="95"/>
                <w:sz w:val="24"/>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85</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主板功能</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★内存扩展接口  (板载内存不涉及)</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86</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★主板USB 瞬间过流保护</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87</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★主板防静电保护</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88</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★I/O接口功能</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内置或通过扩展坞支持数据传输接口、视频接口、音频接口、网络接口、电源接口等各类标准接口；</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产品应集成键盘、触控板输入部件， 同时应具备接入键盘、鼠标、写字板等外设的能力，宜支持触摸屏、语音交互、手写笔等人机交互功能。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89</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显卡功能</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★显卡外接显示接口</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显卡至少支持HDMI、DP、Type-C 中1种显示接口。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90</w:t>
            </w:r>
          </w:p>
        </w:tc>
        <w:tc>
          <w:tcPr>
            <w:tcW w:w="1368" w:type="dxa"/>
            <w:vMerge w:val="continue"/>
            <w:tcBorders>
              <w:bottom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bottom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★显示功能</w:t>
            </w:r>
          </w:p>
        </w:tc>
        <w:tc>
          <w:tcPr>
            <w:tcW w:w="5093" w:type="dxa"/>
            <w:tcBorders>
              <w:bottom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支持显示屏，同时应支持外接显示器。显示屏和外接显示器应支持多屏同时显示，显示模式应支持复制模式和扩展模式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91</w:t>
            </w:r>
          </w:p>
        </w:tc>
        <w:tc>
          <w:tcPr>
            <w:tcW w:w="1368"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外设功能</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★摄像头物理隐私保护开关</w:t>
            </w:r>
          </w:p>
        </w:tc>
        <w:tc>
          <w:tcPr>
            <w:tcW w:w="509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支持物理隐私保护开关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92</w:t>
            </w:r>
          </w:p>
        </w:tc>
        <w:tc>
          <w:tcPr>
            <w:tcW w:w="13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★音频处理功能</w:t>
            </w:r>
          </w:p>
        </w:tc>
        <w:tc>
          <w:tcPr>
            <w:tcW w:w="509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支持音频效果处理功能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93</w:t>
            </w:r>
          </w:p>
        </w:tc>
        <w:tc>
          <w:tcPr>
            <w:tcW w:w="13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★触控板多点触控</w:t>
            </w:r>
          </w:p>
        </w:tc>
        <w:tc>
          <w:tcPr>
            <w:tcW w:w="509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 2 点及以上触控功能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94</w:t>
            </w:r>
          </w:p>
        </w:tc>
        <w:tc>
          <w:tcPr>
            <w:tcW w:w="1368" w:type="dxa"/>
            <w:tcBorders>
              <w:top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1933" w:type="dxa"/>
            <w:tcBorders>
              <w:top w:val="single" w:color="auto" w:sz="4" w:space="0"/>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★存储功能</w:t>
            </w:r>
          </w:p>
        </w:tc>
        <w:tc>
          <w:tcPr>
            <w:tcW w:w="5093" w:type="dxa"/>
            <w:tcBorders>
              <w:top w:val="single" w:color="auto" w:sz="4" w:space="0"/>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支持信息存储功能，包括支持易失性存储功能和非易失性存储功能。为提升存储性能和降低存储功耗， 非易失性存储宜支持固态存储设备，如 SSD/UFS。</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产品应支持外出接口可以与独立的存储设备进行数据交互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95</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网络设备功能</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★网络功能</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a)支持网络连接、网络开启/关闭功能；b)支持访问网络和数据交换功能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96</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★无线网卡频段</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支持双频段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97</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★数据传输</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98</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★蓝牙协议</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若支持蓝牙模块，蓝牙协议不低于5.0 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99</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★有线网卡接口类型</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100</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★无线网卡标准</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 15629.11 所有部分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101</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r>
              <w:rPr>
                <w:rFonts w:hint="eastAsia" w:ascii="仿宋_GB2312" w:hAnsi="仿宋" w:eastAsia="仿宋_GB2312" w:cs="仿宋_GB2312"/>
                <w:color w:val="000000" w:themeColor="text1"/>
                <w:sz w:val="24"/>
                <w14:textFill>
                  <w14:solidFill>
                    <w14:schemeClr w14:val="tx1"/>
                  </w14:solidFill>
                </w14:textFill>
              </w:rPr>
              <w:t>★网络设</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备拆装</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网络设备支持物理拆装，包括无线网卡和蓝牙模块等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102</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外部接口功能</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★音频接口类型</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不少于1个，宜支持3.5mm孔径的3段式或4段式接口。若支持4段式接口，宜支持线序的自动识别及切换功能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103</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★视频接口类型</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至少支持 VGA、HDMI、DP、Type-C中1种显示接口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104</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★HDMI、DP、Type-C 显示接口要求</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若提供 HDMI 或 DP 或 Type-C 作为显示接口，应支持音频和视频同步输出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105</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★输入充电接口类型</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DC in 或 Type-C 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106</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电源功能</w:t>
            </w: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★电池快充</w:t>
            </w:r>
          </w:p>
        </w:tc>
        <w:tc>
          <w:tcPr>
            <w:tcW w:w="5093" w:type="dxa"/>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支持快速充电功能，如 UFCS、USB 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107</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★电源线适配能力</w:t>
            </w:r>
          </w:p>
        </w:tc>
        <w:tc>
          <w:tcPr>
            <w:tcW w:w="5093" w:type="dxa"/>
          </w:tcPr>
          <w:p>
            <w:pPr>
              <w:pStyle w:val="1032"/>
              <w:spacing w:before="5"/>
              <w:rPr>
                <w:rFonts w:ascii="仿宋_GB2312" w:hAnsi="仿宋" w:eastAsia="仿宋_GB2312" w:cs="仿宋_GB2312"/>
                <w:color w:val="000000" w:themeColor="text1"/>
                <w:sz w:val="24"/>
                <w:szCs w:val="24"/>
                <w:lang w:eastAsia="zh-CN"/>
                <w14:textFill>
                  <w14:solidFill>
                    <w14:schemeClr w14:val="tx1"/>
                  </w14:solidFill>
                </w14:textFill>
              </w:rPr>
            </w:pPr>
            <w:r>
              <w:rPr>
                <w:rFonts w:hint="eastAsia" w:ascii="仿宋_GB2312" w:hAnsi="仿宋" w:eastAsia="仿宋_GB2312" w:cs="仿宋_GB2312"/>
                <w:color w:val="000000" w:themeColor="text1"/>
                <w:kern w:val="2"/>
                <w:sz w:val="24"/>
                <w:szCs w:val="24"/>
                <w:lang w:eastAsia="zh-CN"/>
                <w14:textFill>
                  <w14:solidFill>
                    <w14:schemeClr w14:val="tx1"/>
                  </w14:solidFill>
                </w14:textFill>
              </w:rPr>
              <w:t>符合GB 15934-2008</w:t>
            </w:r>
            <w:r>
              <w:rPr>
                <w:rFonts w:hint="eastAsia" w:ascii="仿宋_GB2312" w:hAnsi="仿宋" w:eastAsia="仿宋_GB2312" w:cs="仿宋_GB2312"/>
                <w:color w:val="000000" w:themeColor="text1"/>
                <w:sz w:val="24"/>
                <w:szCs w:val="24"/>
                <w:lang w:eastAsia="zh-CN"/>
                <w14:textFill>
                  <w14:solidFill>
                    <w14:schemeClr w14:val="tx1"/>
                  </w14:solidFill>
                </w14:textFill>
              </w:rPr>
              <w:t>对于可拆线插头GB15934不做要求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108</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操作系统及软件功能</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★中文信息处理要求</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 18030的相关规定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109</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★操作系统备份及还原功能</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支持操作系统备份及还原功能、支持操作系统重装（重装系统版本需按医院实际需求）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110</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★固件备份还原能力</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支持备份及还原固件的功能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111</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★操作系统及驱动升级</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112</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★固件升级</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支持通过网络、闪存盘等方式对固件进行升级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113</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★BI0S支持关闭通讯接口</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支持BIOS关闭以太网及USB接口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114</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★固件查看信息</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支持查看固件版本、内存信息、主板信息、处理器信息和系统时间信息等功能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115</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★固件设置启动顺序</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支持设置启动顺序功能，并按照设置的启动顺序启动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116</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★固件设置口令</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支持设置口令、修改口令、验证口令功能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117</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★固件设置网络引导</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支持网络引导启动和关闭功能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118</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生物识别功能</w:t>
            </w: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★指纹识别</w:t>
            </w:r>
          </w:p>
        </w:tc>
        <w:tc>
          <w:tcPr>
            <w:tcW w:w="5093" w:type="dxa"/>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指纹识别功能符合GB/T 37742的相关规定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119</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★人脸识别</w:t>
            </w:r>
          </w:p>
        </w:tc>
        <w:tc>
          <w:tcPr>
            <w:tcW w:w="5093" w:type="dxa"/>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人脸识别功能符合GB/T 37036.3的相关规定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120</w:t>
            </w:r>
          </w:p>
        </w:tc>
        <w:tc>
          <w:tcPr>
            <w:tcW w:w="136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存储设备可靠性</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固态存储寿命</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TBW ≥150TB(条件：512GB硬盘容量)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121</w:t>
            </w:r>
          </w:p>
        </w:tc>
        <w:tc>
          <w:tcPr>
            <w:tcW w:w="136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显示设备</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可靠性</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★显示屏屏幕失效点</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122</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外设可靠性</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★键盘按键寿命</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123</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★鼠标按键寿命</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124</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★键盘鼠标线材寿命</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键盘鼠标所用线材经士60°弯折不低于3000次，功能、外观完好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125</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★风扇寿命</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126</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整机可靠性要求</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★电磁兼容性要求的抗扰度</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127</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★环境条件要求的气候环境适应性</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128</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★环境条件要求的振动适应性</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129</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★环境条件要求的冲击适应性</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130</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★环境条件要求的碰撞适应性</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131</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★环境条件要求的运输包装件跌落适应性</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132</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★MTBF测试</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MTBF(m1)≥20万小时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133</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兼容要求</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常用软件兼容</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支持流式软件、版式软件、浏览器、 邮件采购人端、解压软件、多媒体， 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134</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数据库兼容</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135</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中间件兼容</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136</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平台软件兼容</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137</w:t>
            </w:r>
          </w:p>
        </w:tc>
        <w:tc>
          <w:tcPr>
            <w:tcW w:w="136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包装及运输要求</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★标志、包装、运输和贮存</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9813.2和商品包装政府采购需求标准的相关规定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138</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服务要求</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★配置检查工具</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139</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★服务响应</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a）提供产品原厂商五年维保及上门服务（满足同城4 小时、异地12 小时响应要求）；服务周期内提供产品的维修、换件和升级服务；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b）提供政企专线 7*24 在线服务；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c）现场保障技术服务团队员，国内上门服务地级市覆盖率达 100%;</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d）供应商提供电话、电子邮件、远程连接等多种形式服务；</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e)供应商提供同城10分钟技术响应服务，1个工作日解决问题，对于未能解决的问题和故障应提供可行的升级方案，并提供周转设备或更换设备；</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f)建立全国技术服务体系和服务团体，符合专业服务体系标准要求，提供原厂中文服务；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140</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★服务周期</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支持产品延保≥3年提供每年延保服务报价;</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提供备件服务能力≥8年（自购买之日起）。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141</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★预装操作系统</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预装符合桌面操作系统政府采购需求标准的正版操作系统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142</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★培训服务</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143</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★典型问题解决手册</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144</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★厂家升级软件与扩容服务</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145</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★整机质量服务要求</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免费服务周期（含换件和维修）不小于五年。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146</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★合格证书要求</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147</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★开箱组装/使用指导要求</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148</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★驱动下载服务要求</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149</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★兼容适配软件下载服务要求</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150</w:t>
            </w:r>
          </w:p>
        </w:tc>
        <w:tc>
          <w:tcPr>
            <w:tcW w:w="136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供应链合 规性</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产品部件保障</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供应商保障产品主要部件，提供8年的备件服务能力(自购买之日起),或提供可兼容原设备的升级换代产品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151</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供应链</w:t>
            </w:r>
          </w:p>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质量</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★抗干扰性</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152</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★供应能力证明</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提供供应链稳定承诺书，确保产品的部件在产品服务周期内稳定供货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153</w:t>
            </w:r>
          </w:p>
        </w:tc>
        <w:tc>
          <w:tcPr>
            <w:tcW w:w="136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关键部件 安全要求</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★关键部件安全要求</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CPU和操作系统等关键部件应当符合安全可靠测评要求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154</w:t>
            </w:r>
          </w:p>
        </w:tc>
        <w:tc>
          <w:tcPr>
            <w:tcW w:w="1368" w:type="dxa"/>
            <w:vMerge w:val="restart"/>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整机安全性要求</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★USB端口管控</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支持USB端口管控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155</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★密码算法实现</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CPU芯片应符合GM/T 0008的相关规定，或芯片密码模块应符合GB/T37092 或GM/T 0028的相关规定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156</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★信息安全基本要求</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a)产品应符合GB/T 39276的5.2的规定 ；</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b)生产厂商应建立漏洞跟踪表，保证产品版本涉及到的漏洞(如驱动程序等)可查看；</w:t>
            </w:r>
          </w:p>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lang w:val="en-US" w:eastAsia="zh-CN"/>
                <w14:textFill>
                  <w14:solidFill>
                    <w14:schemeClr w14:val="tx1"/>
                  </w14:solidFill>
                </w14:textFill>
              </w:rPr>
              <w:t>c</w:t>
            </w:r>
            <w:r>
              <w:rPr>
                <w:rFonts w:hint="eastAsia" w:ascii="仿宋_GB2312" w:hAnsi="仿宋" w:eastAsia="仿宋_GB2312" w:cs="仿宋_GB2312"/>
                <w:color w:val="000000" w:themeColor="text1"/>
                <w:sz w:val="24"/>
                <w14:textFill>
                  <w14:solidFill>
                    <w14:schemeClr w14:val="tx1"/>
                  </w14:solidFill>
                </w14:textFill>
              </w:rPr>
              <w:t>)产品不得包含已知的恶意代码或漏洞，不存在未声明的指令、功能、接口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157</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★固件安全启动</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支持固件安全启动功能，固件启动过程中只有通过启动校验才能正常启动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等线" w:eastAsia="仿宋_GB2312"/>
                <w:color w:val="000000"/>
                <w:sz w:val="24"/>
              </w:rPr>
              <w:t>158</w:t>
            </w:r>
          </w:p>
        </w:tc>
        <w:tc>
          <w:tcPr>
            <w:tcW w:w="1368" w:type="dxa"/>
            <w:vMerge w:val="continue"/>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★限用物质的限量要求</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符合GB/T 26572中规定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nil"/>
            </w:tcBorders>
            <w:shd w:val="clear" w:color="auto" w:fill="auto"/>
            <w:vAlign w:val="center"/>
          </w:tcPr>
          <w:p>
            <w:pPr>
              <w:jc w:val="center"/>
              <w:rPr>
                <w:rFonts w:ascii="仿宋_GB2312" w:hAnsi="等线" w:eastAsia="仿宋_GB2312"/>
                <w:color w:val="000000"/>
                <w:sz w:val="24"/>
              </w:rPr>
            </w:pPr>
            <w:r>
              <w:rPr>
                <w:rFonts w:hint="eastAsia" w:ascii="仿宋_GB2312" w:hAnsi="仿宋" w:eastAsia="仿宋_GB2312"/>
                <w:color w:val="000000"/>
                <w:sz w:val="24"/>
              </w:rPr>
              <w:t>159</w:t>
            </w:r>
          </w:p>
        </w:tc>
        <w:tc>
          <w:tcPr>
            <w:tcW w:w="1368"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预装软件</w:t>
            </w:r>
          </w:p>
        </w:tc>
        <w:tc>
          <w:tcPr>
            <w:tcW w:w="1933" w:type="dxa"/>
            <w:tcBorders>
              <w:tl2br w:val="nil"/>
              <w:tr2bl w:val="nil"/>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★预装软件</w:t>
            </w:r>
          </w:p>
        </w:tc>
        <w:tc>
          <w:tcPr>
            <w:tcW w:w="5093" w:type="dxa"/>
            <w:tcBorders>
              <w:tl2br w:val="nil"/>
              <w:tr2bl w:val="nil"/>
            </w:tcBorders>
            <w:shd w:val="clear" w:color="auto" w:fill="auto"/>
            <w:vAlign w:val="center"/>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麒麟或统信桌面操作系统正式版，奇安信网神或360终端安全防护，上述软件含三年免费升级服务，软件授权对象同采购单位一致。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tcBorders>
            <w:vAlign w:val="center"/>
          </w:tcPr>
          <w:p>
            <w:pPr>
              <w:jc w:val="cente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160</w:t>
            </w:r>
          </w:p>
        </w:tc>
        <w:tc>
          <w:tcPr>
            <w:tcW w:w="8394" w:type="dxa"/>
            <w:gridSpan w:val="3"/>
          </w:tcPr>
          <w:p>
            <w:pPr>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★提供节能产品认证证书。</w:t>
            </w:r>
          </w:p>
        </w:tc>
      </w:tr>
    </w:tbl>
    <w:p>
      <w:pPr>
        <w:pStyle w:val="6"/>
        <w:numPr>
          <w:ilvl w:val="0"/>
          <w:numId w:val="0"/>
        </w:numPr>
        <w:tabs>
          <w:tab w:val="clear" w:pos="1984"/>
        </w:tabs>
        <w:spacing w:before="0" w:after="0" w:line="240" w:lineRule="auto"/>
        <w:ind w:left="0" w:leftChars="0" w:firstLine="482" w:firstLineChars="200"/>
        <w:jc w:val="left"/>
        <w:rPr>
          <w:rFonts w:ascii="仿宋_GB2312" w:hAnsi="仿宋" w:eastAsia="仿宋_GB2312" w:cs="仿宋_GB2312"/>
          <w:sz w:val="24"/>
          <w:szCs w:val="24"/>
        </w:rPr>
      </w:pPr>
      <w:r>
        <w:rPr>
          <w:rFonts w:hint="eastAsia" w:ascii="仿宋_GB2312" w:hAnsi="仿宋" w:eastAsia="仿宋_GB2312" w:cs="仿宋_GB2312"/>
          <w:sz w:val="24"/>
          <w:szCs w:val="24"/>
          <w:lang w:val="en-US" w:eastAsia="zh-CN"/>
        </w:rPr>
        <w:t>四、</w:t>
      </w:r>
      <w:r>
        <w:rPr>
          <w:rFonts w:hint="eastAsia" w:ascii="仿宋_GB2312" w:hAnsi="仿宋" w:eastAsia="仿宋_GB2312" w:cs="仿宋_GB2312"/>
          <w:sz w:val="24"/>
          <w:szCs w:val="24"/>
        </w:rPr>
        <w:t>其他相关要求：</w:t>
      </w:r>
    </w:p>
    <w:p>
      <w:pPr>
        <w:numPr>
          <w:ilvl w:val="0"/>
          <w:numId w:val="11"/>
        </w:numPr>
        <w:spacing w:line="440" w:lineRule="exact"/>
        <w:ind w:firstLine="480" w:firstLineChars="200"/>
        <w:rPr>
          <w:rFonts w:ascii="仿宋_GB2312" w:hAnsi="仿宋_GB2312" w:eastAsia="仿宋_GB2312" w:cs="仿宋_GB2312"/>
          <w:sz w:val="24"/>
        </w:rPr>
      </w:pPr>
      <w:bookmarkStart w:id="15" w:name="_Hlk162099983"/>
      <w:r>
        <w:rPr>
          <w:rFonts w:hint="eastAsia" w:ascii="仿宋_GB2312" w:hAnsi="仿宋_GB2312" w:eastAsia="仿宋_GB2312" w:cs="仿宋_GB2312"/>
          <w:sz w:val="24"/>
        </w:rPr>
        <w:t>投标人必须保证所有设备为原装正规渠道行货,有原厂服务，</w:t>
      </w:r>
      <w:r>
        <w:rPr>
          <w:rFonts w:hint="eastAsia" w:ascii="仿宋_GB2312" w:hAnsi="仿宋_GB2312" w:eastAsia="仿宋_GB2312" w:cs="仿宋_GB2312"/>
          <w:sz w:val="24"/>
          <w:lang w:val="en-US" w:eastAsia="zh-CN"/>
        </w:rPr>
        <w:t>供货时</w:t>
      </w:r>
      <w:r>
        <w:rPr>
          <w:rFonts w:hint="eastAsia" w:ascii="仿宋_GB2312" w:hAnsi="仿宋_GB2312" w:eastAsia="仿宋_GB2312" w:cs="仿宋_GB2312"/>
          <w:sz w:val="24"/>
        </w:rPr>
        <w:t>所有产品均原包装到用户，当场开箱验货.同时提供该设备相关技术参数说明，如与所投产品技术要求不符,采购人有权退货并且一切后果由投标人承担。</w:t>
      </w:r>
    </w:p>
    <w:bookmarkEnd w:id="15"/>
    <w:p>
      <w:pPr>
        <w:numPr>
          <w:ilvl w:val="0"/>
          <w:numId w:val="11"/>
        </w:numPr>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lang w:val="en-US" w:eastAsia="zh-CN"/>
        </w:rPr>
        <w:t>投标人须承诺</w:t>
      </w:r>
      <w:r>
        <w:rPr>
          <w:rFonts w:hint="eastAsia" w:ascii="仿宋_GB2312" w:hAnsi="仿宋_GB2312" w:eastAsia="仿宋_GB2312" w:cs="仿宋_GB2312"/>
          <w:sz w:val="24"/>
        </w:rPr>
        <w:t>提供放射专用工作站、放射专用显示器、放射一体机、手术一体机、手术嵌入一体机（27</w:t>
      </w:r>
      <w:r>
        <w:rPr>
          <w:rFonts w:hint="eastAsia" w:ascii="仿宋_GB2312" w:hAnsi="仿宋_GB2312" w:eastAsia="仿宋_GB2312" w:cs="仿宋_GB2312"/>
          <w:sz w:val="24"/>
          <w:lang w:eastAsia="zh-CN"/>
        </w:rPr>
        <w:t>英寸</w:t>
      </w:r>
      <w:r>
        <w:rPr>
          <w:rFonts w:hint="eastAsia" w:ascii="仿宋_GB2312" w:hAnsi="仿宋_GB2312" w:eastAsia="仿宋_GB2312" w:cs="仿宋_GB2312"/>
          <w:sz w:val="24"/>
        </w:rPr>
        <w:t>）、</w:t>
      </w:r>
      <w:r>
        <w:rPr>
          <w:rFonts w:hint="eastAsia" w:ascii="仿宋_GB2312" w:hAnsi="仿宋" w:eastAsia="仿宋_GB2312" w:cs="仿宋_GB2312"/>
          <w:sz w:val="24"/>
        </w:rPr>
        <w:t>手术嵌入一体机（43</w:t>
      </w:r>
      <w:r>
        <w:rPr>
          <w:rFonts w:hint="eastAsia" w:ascii="仿宋_GB2312" w:hAnsi="仿宋" w:eastAsia="仿宋_GB2312" w:cs="仿宋_GB2312"/>
          <w:sz w:val="24"/>
          <w:lang w:eastAsia="zh-CN"/>
        </w:rPr>
        <w:t>英寸</w:t>
      </w:r>
      <w:r>
        <w:rPr>
          <w:rFonts w:hint="eastAsia" w:ascii="仿宋_GB2312" w:hAnsi="仿宋" w:eastAsia="仿宋_GB2312" w:cs="仿宋_GB2312"/>
          <w:sz w:val="24"/>
        </w:rPr>
        <w:t>）、</w:t>
      </w:r>
      <w:r>
        <w:rPr>
          <w:rFonts w:hint="eastAsia" w:ascii="仿宋_GB2312" w:hAnsi="仿宋_GB2312" w:eastAsia="仿宋_GB2312" w:cs="仿宋_GB2312"/>
          <w:sz w:val="24"/>
        </w:rPr>
        <w:t>超声专用计算机、计算机、笔记本原厂五年上门保修服务。</w:t>
      </w:r>
    </w:p>
    <w:p>
      <w:pPr>
        <w:numPr>
          <w:ilvl w:val="0"/>
          <w:numId w:val="11"/>
        </w:numPr>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安装要求:项目实施时</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须指定工程师（满足医院实际需求）到现场负责新设备安装到指定科室，拆除原有设备进行替换及原有数据备份转移等相关事宜，直至项目实施完成。</w:t>
      </w:r>
    </w:p>
    <w:p>
      <w:pPr>
        <w:numPr>
          <w:ilvl w:val="0"/>
          <w:numId w:val="11"/>
        </w:numPr>
        <w:spacing w:line="440" w:lineRule="exact"/>
        <w:ind w:firstLine="480" w:firstLineChars="200"/>
        <w:rPr>
          <w:rFonts w:ascii="仿宋_GB2312" w:hAnsi="仿宋" w:eastAsia="仿宋_GB2312" w:cs="仿宋_GB2312"/>
          <w:sz w:val="24"/>
        </w:rPr>
      </w:pPr>
      <w:r>
        <w:rPr>
          <w:rFonts w:hint="eastAsia" w:ascii="仿宋_GB2312" w:hAnsi="仿宋_GB2312" w:eastAsia="仿宋_GB2312" w:cs="仿宋_GB2312"/>
          <w:sz w:val="24"/>
        </w:rPr>
        <w:t>本项目实施过程中所产生的费用及项目包含一切所需配套线材辅料均包含在投标报价内。</w:t>
      </w:r>
    </w:p>
    <w:p>
      <w:pPr>
        <w:numPr>
          <w:ilvl w:val="0"/>
          <w:numId w:val="11"/>
        </w:numPr>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在供货</w:t>
      </w:r>
      <w:r>
        <w:rPr>
          <w:rFonts w:ascii="仿宋_GB2312" w:hAnsi="仿宋" w:eastAsia="仿宋_GB2312" w:cs="仿宋_GB2312"/>
          <w:sz w:val="24"/>
        </w:rPr>
        <w:t>时提供原厂五年上门报修服务</w:t>
      </w:r>
      <w:r>
        <w:rPr>
          <w:rFonts w:hint="eastAsia" w:ascii="仿宋_GB2312" w:hAnsi="仿宋" w:eastAsia="仿宋_GB2312" w:cs="仿宋_GB2312"/>
          <w:sz w:val="24"/>
        </w:rPr>
        <w:t>承诺</w:t>
      </w:r>
      <w:r>
        <w:rPr>
          <w:rFonts w:ascii="仿宋_GB2312" w:hAnsi="仿宋" w:eastAsia="仿宋_GB2312" w:cs="仿宋_GB2312"/>
          <w:sz w:val="24"/>
        </w:rPr>
        <w:t>函</w:t>
      </w:r>
      <w:r>
        <w:rPr>
          <w:rFonts w:hint="eastAsia" w:ascii="仿宋_GB2312" w:hAnsi="仿宋" w:eastAsia="仿宋_GB2312" w:cs="仿宋_GB2312"/>
          <w:sz w:val="24"/>
        </w:rPr>
        <w:t>原件</w:t>
      </w:r>
      <w:r>
        <w:rPr>
          <w:rFonts w:ascii="仿宋_GB2312" w:hAnsi="仿宋" w:eastAsia="仿宋_GB2312" w:cs="仿宋_GB2312"/>
          <w:sz w:val="24"/>
        </w:rPr>
        <w:t>（</w:t>
      </w:r>
      <w:r>
        <w:rPr>
          <w:rFonts w:hint="eastAsia" w:ascii="仿宋_GB2312" w:hAnsi="仿宋" w:eastAsia="仿宋_GB2312" w:cs="仿宋_GB2312"/>
          <w:sz w:val="24"/>
        </w:rPr>
        <w:t>以上</w:t>
      </w:r>
      <w:r>
        <w:rPr>
          <w:rFonts w:ascii="仿宋_GB2312" w:hAnsi="仿宋" w:eastAsia="仿宋_GB2312" w:cs="仿宋_GB2312"/>
          <w:sz w:val="24"/>
        </w:rPr>
        <w:t>服务承诺函须明确服务年限）</w:t>
      </w:r>
      <w:r>
        <w:rPr>
          <w:rFonts w:hint="eastAsia" w:ascii="仿宋_GB2312" w:hAnsi="仿宋" w:eastAsia="仿宋_GB2312" w:cs="仿宋_GB2312"/>
          <w:sz w:val="24"/>
          <w:lang w:eastAsia="zh-CN"/>
        </w:rPr>
        <w:t>。</w:t>
      </w:r>
    </w:p>
    <w:p>
      <w:pPr>
        <w:numPr>
          <w:ilvl w:val="0"/>
          <w:numId w:val="0"/>
        </w:numPr>
        <w:spacing w:line="560" w:lineRule="exact"/>
        <w:ind w:left="210" w:leftChars="0" w:right="420" w:rightChars="0" w:firstLine="241" w:firstLineChars="100"/>
        <w:rPr>
          <w:rFonts w:ascii="仿宋_GB2312" w:hAnsi="仿宋" w:eastAsia="仿宋_GB2312" w:cs="Arial"/>
          <w:b/>
          <w:bCs/>
          <w:sz w:val="24"/>
        </w:rPr>
      </w:pPr>
      <w:bookmarkStart w:id="16" w:name="_Hlk127734532"/>
      <w:r>
        <w:rPr>
          <w:rFonts w:hint="eastAsia" w:ascii="仿宋_GB2312" w:hAnsi="仿宋" w:eastAsia="仿宋_GB2312" w:cs="Arial"/>
          <w:b/>
          <w:bCs/>
          <w:sz w:val="24"/>
          <w:lang w:val="en-US" w:eastAsia="zh-CN"/>
        </w:rPr>
        <w:t>五、</w:t>
      </w:r>
      <w:r>
        <w:rPr>
          <w:rFonts w:hint="eastAsia" w:ascii="仿宋_GB2312" w:hAnsi="仿宋" w:eastAsia="仿宋_GB2312" w:cs="Arial"/>
          <w:b/>
          <w:bCs/>
          <w:sz w:val="24"/>
        </w:rPr>
        <w:t>项目实施进度要求:</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sz w:val="24"/>
        </w:rPr>
        <w:t>签订合同后60个工作日内，中标方需将全部货物送到采购人指定场所，并完成安装调试。</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安装地址：</w:t>
      </w:r>
      <w:r>
        <w:rPr>
          <w:rFonts w:hint="eastAsia" w:ascii="仿宋_GB2312" w:hAnsi="仿宋" w:eastAsia="仿宋_GB2312" w:cs="仿宋_GB2312"/>
          <w:sz w:val="24"/>
        </w:rPr>
        <w:t>按采购人指定地点进行安装调试</w:t>
      </w:r>
      <w:r>
        <w:rPr>
          <w:rFonts w:hint="eastAsia" w:ascii="仿宋_GB2312" w:hAnsi="仿宋_GB2312" w:eastAsia="仿宋_GB2312" w:cs="仿宋_GB2312"/>
          <w:sz w:val="24"/>
        </w:rPr>
        <w:t>。</w:t>
      </w:r>
      <w:bookmarkEnd w:id="16"/>
    </w:p>
    <w:p>
      <w:pPr>
        <w:spacing w:line="360" w:lineRule="auto"/>
        <w:ind w:firstLine="482" w:firstLineChars="200"/>
        <w:rPr>
          <w:rFonts w:hint="eastAsia" w:ascii="仿宋_GB2312" w:hAnsi="仿宋" w:eastAsia="仿宋_GB2312" w:cs="Arial"/>
          <w:b/>
          <w:bCs/>
          <w:sz w:val="24"/>
        </w:rPr>
      </w:pPr>
      <w:r>
        <w:rPr>
          <w:rFonts w:hint="eastAsia" w:ascii="仿宋_GB2312" w:hAnsi="仿宋_GB2312" w:eastAsia="仿宋_GB2312" w:cs="仿宋_GB2312"/>
          <w:b/>
          <w:bCs/>
          <w:sz w:val="24"/>
          <w:lang w:val="en-US" w:eastAsia="zh-CN"/>
        </w:rPr>
        <w:t>六、</w:t>
      </w:r>
      <w:r>
        <w:rPr>
          <w:rFonts w:hint="eastAsia" w:ascii="仿宋_GB2312" w:hAnsi="仿宋" w:eastAsia="仿宋_GB2312" w:cs="Arial"/>
          <w:b/>
          <w:bCs/>
          <w:sz w:val="24"/>
        </w:rPr>
        <w:t>项目培训要求:</w:t>
      </w:r>
    </w:p>
    <w:p>
      <w:pPr>
        <w:spacing w:line="360" w:lineRule="auto"/>
        <w:ind w:firstLine="480" w:firstLineChars="200"/>
        <w:rPr>
          <w:rFonts w:hint="eastAsia" w:ascii="仿宋_GB2312" w:hAnsi="仿宋_GB2312" w:eastAsia="仿宋_GB2312" w:cs="仿宋_GB2312"/>
          <w:sz w:val="24"/>
          <w:lang w:eastAsia="zh-CN"/>
        </w:rPr>
      </w:pPr>
      <w:r>
        <w:rPr>
          <w:rFonts w:hint="eastAsia" w:ascii="仿宋_GB2312" w:hAnsi="仿宋_GB2312" w:eastAsia="仿宋_GB2312" w:cs="仿宋_GB2312"/>
          <w:sz w:val="24"/>
        </w:rPr>
        <w:t>系统操作培训：主要面向使用人员，提供操作培训及文档</w:t>
      </w:r>
      <w:r>
        <w:rPr>
          <w:rFonts w:hint="eastAsia" w:ascii="仿宋_GB2312" w:hAnsi="仿宋_GB2312" w:eastAsia="仿宋_GB2312" w:cs="仿宋_GB2312"/>
          <w:sz w:val="24"/>
          <w:lang w:eastAsia="zh-CN"/>
        </w:rPr>
        <w:t>。</w:t>
      </w:r>
    </w:p>
    <w:p>
      <w:pPr>
        <w:spacing w:line="360" w:lineRule="auto"/>
        <w:ind w:firstLine="482" w:firstLineChars="200"/>
        <w:rPr>
          <w:rFonts w:ascii="仿宋_GB2312" w:hAnsi="仿宋" w:eastAsia="仿宋_GB2312" w:cs="Arial"/>
          <w:b/>
          <w:bCs/>
          <w:sz w:val="24"/>
        </w:rPr>
      </w:pPr>
      <w:r>
        <w:rPr>
          <w:rFonts w:hint="eastAsia" w:ascii="仿宋_GB2312" w:hAnsi="仿宋_GB2312" w:eastAsia="仿宋_GB2312" w:cs="仿宋_GB2312"/>
          <w:b/>
          <w:bCs/>
          <w:sz w:val="24"/>
          <w:lang w:val="en-US" w:eastAsia="zh-CN"/>
        </w:rPr>
        <w:t>七、</w:t>
      </w:r>
      <w:r>
        <w:rPr>
          <w:rFonts w:hint="eastAsia" w:ascii="仿宋_GB2312" w:hAnsi="仿宋" w:eastAsia="仿宋_GB2312" w:cs="Arial"/>
          <w:b/>
          <w:bCs/>
          <w:sz w:val="24"/>
        </w:rPr>
        <w:t>项目售后服务要求:</w:t>
      </w:r>
    </w:p>
    <w:p>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sz w:val="24"/>
        </w:rPr>
        <w:t>投标人必须根据本次招标文件所制定的目标和范围，提出相应的售后服务方案。</w:t>
      </w:r>
    </w:p>
    <w:p>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sz w:val="24"/>
        </w:rPr>
        <w:t>提供7*24小时日常服务，通过提供邮件、电话、QQ、VPN远程连接等技术支持方式，以解决日常系统出现的问题咨询和故障处理。当采购人出现紧急故障情况时，立即向</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电话报修，要求</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10分钟内响应，积极配合诊断并进行处理。</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（3）在本合同项目实施及维保期间内，投标人对合同范围内的产品免费提供更新、升级服务。</w:t>
      </w:r>
    </w:p>
    <w:p>
      <w:pPr>
        <w:spacing w:line="360" w:lineRule="auto"/>
        <w:ind w:firstLine="482" w:firstLineChars="200"/>
        <w:rPr>
          <w:rFonts w:ascii="仿宋_GB2312" w:hAnsi="仿宋" w:eastAsia="仿宋_GB2312" w:cs="Arial"/>
          <w:b/>
          <w:bCs/>
          <w:sz w:val="24"/>
        </w:rPr>
      </w:pPr>
      <w:r>
        <w:rPr>
          <w:rFonts w:hint="eastAsia" w:ascii="仿宋_GB2312" w:hAnsi="仿宋_GB2312" w:eastAsia="仿宋_GB2312" w:cs="仿宋_GB2312"/>
          <w:b/>
          <w:bCs/>
          <w:sz w:val="24"/>
          <w:lang w:val="en-US" w:eastAsia="zh-CN"/>
        </w:rPr>
        <w:t>八、</w:t>
      </w:r>
      <w:r>
        <w:rPr>
          <w:rFonts w:hint="eastAsia" w:ascii="仿宋_GB2312" w:hAnsi="仿宋" w:eastAsia="仿宋_GB2312" w:cs="Arial"/>
          <w:b/>
          <w:bCs/>
          <w:sz w:val="24"/>
        </w:rPr>
        <w:t>项目验收要求:</w:t>
      </w:r>
    </w:p>
    <w:p>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项目的工作内容及成果文档的提交应覆盖以下内容，电子文档是成果不可分割的部分。</w:t>
      </w:r>
    </w:p>
    <w:p>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(1)实施确认书；</w:t>
      </w:r>
    </w:p>
    <w:p>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(2)培训资料；</w:t>
      </w:r>
    </w:p>
    <w:p>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(3)安装维护手册；</w:t>
      </w:r>
    </w:p>
    <w:p>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(4)使用操作手册；</w:t>
      </w:r>
    </w:p>
    <w:p>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(5)硬件设备需提供原厂质保函。</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(6)项目验收报告。</w:t>
      </w:r>
    </w:p>
    <w:p>
      <w:pPr>
        <w:spacing w:line="360" w:lineRule="auto"/>
        <w:ind w:firstLine="482" w:firstLineChars="200"/>
        <w:rPr>
          <w:rFonts w:ascii="仿宋_GB2312" w:hAnsi="仿宋" w:eastAsia="仿宋_GB2312" w:cs="Arial"/>
          <w:b/>
          <w:bCs/>
          <w:sz w:val="24"/>
        </w:rPr>
      </w:pPr>
      <w:r>
        <w:rPr>
          <w:rFonts w:hint="eastAsia" w:ascii="仿宋_GB2312" w:hAnsi="仿宋_GB2312" w:eastAsia="仿宋_GB2312" w:cs="仿宋_GB2312"/>
          <w:b/>
          <w:bCs/>
          <w:sz w:val="24"/>
          <w:lang w:val="en-US" w:eastAsia="zh-CN"/>
        </w:rPr>
        <w:t>九、</w:t>
      </w:r>
      <w:r>
        <w:rPr>
          <w:rFonts w:hint="eastAsia" w:ascii="仿宋_GB2312" w:hAnsi="仿宋" w:eastAsia="仿宋_GB2312" w:cs="Arial"/>
          <w:b/>
          <w:bCs/>
          <w:sz w:val="24"/>
        </w:rPr>
        <w:t>付款方式：</w:t>
      </w:r>
    </w:p>
    <w:p>
      <w:pPr>
        <w:snapToGrid w:val="0"/>
        <w:spacing w:line="440" w:lineRule="exact"/>
        <w:ind w:firstLine="480" w:firstLineChars="20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val="zh-CN"/>
        </w:rPr>
        <w:t>按《浙江省财政厅关于进一步发挥政府采购政策 功能全力推动经济稳进提质的通知》（浙财采监〔2022〕3号）等文件要求执行，具体付款方式由双方协商后在合同中明确。</w:t>
      </w:r>
    </w:p>
    <w:p>
      <w:pPr>
        <w:tabs>
          <w:tab w:val="left" w:pos="3870"/>
          <w:tab w:val="left" w:pos="4085"/>
        </w:tabs>
        <w:autoSpaceDE w:val="0"/>
        <w:autoSpaceDN w:val="0"/>
        <w:adjustRightInd w:val="0"/>
        <w:spacing w:line="440" w:lineRule="exact"/>
        <w:jc w:val="left"/>
        <w:rPr>
          <w:rFonts w:ascii="仿宋_GB2312" w:hAnsi="宋体" w:eastAsia="仿宋_GB2312"/>
          <w:color w:val="auto"/>
          <w:sz w:val="24"/>
          <w:highlight w:val="none"/>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pPr>
        <w:pStyle w:val="310"/>
        <w:ind w:left="0" w:leftChars="0" w:firstLine="0" w:firstLineChars="0"/>
        <w:rPr>
          <w:rFonts w:ascii="仿宋_GB2312" w:hAnsi="仿宋" w:eastAsia="仿宋_GB2312" w:cs="仿宋"/>
          <w:color w:val="auto"/>
          <w:szCs w:val="24"/>
          <w:highlight w:val="none"/>
        </w:rPr>
      </w:pPr>
    </w:p>
    <w:p>
      <w:pPr>
        <w:pStyle w:val="310"/>
        <w:jc w:val="center"/>
        <w:rPr>
          <w:rFonts w:ascii="仿宋_GB2312" w:hAnsi="仿宋" w:eastAsia="仿宋_GB2312" w:cs="仿宋"/>
          <w:color w:val="auto"/>
          <w:szCs w:val="24"/>
          <w:highlight w:val="none"/>
        </w:rPr>
      </w:pP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pStyle w:val="310"/>
        <w:rPr>
          <w:rFonts w:ascii="仿宋_GB2312" w:hAnsi="仿宋" w:eastAsia="仿宋_GB2312" w:cs="仿宋"/>
          <w:color w:val="auto"/>
          <w:szCs w:val="24"/>
          <w:highlight w:val="none"/>
        </w:rPr>
      </w:pPr>
    </w:p>
    <w:p>
      <w:pPr>
        <w:pStyle w:val="310"/>
        <w:rPr>
          <w:rFonts w:ascii="仿宋_GB2312" w:hAnsi="仿宋" w:eastAsia="仿宋_GB2312" w:cs="仿宋"/>
          <w:color w:val="auto"/>
          <w:szCs w:val="24"/>
          <w:highlight w:val="none"/>
        </w:rPr>
      </w:pP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560" w:lineRule="exact"/>
        <w:ind w:firstLine="482" w:firstLineChars="200"/>
        <w:outlineLvl w:val="0"/>
        <w:rPr>
          <w:rFonts w:ascii="仿宋_GB2312" w:hAnsi="仿宋" w:eastAsia="仿宋_GB2312" w:cs="仿宋"/>
          <w:b/>
          <w:color w:val="auto"/>
          <w:sz w:val="24"/>
          <w:highlight w:val="none"/>
        </w:rPr>
      </w:pPr>
      <w:bookmarkStart w:id="17" w:name="_Toc3029"/>
      <w:bookmarkStart w:id="18" w:name="_Toc2232"/>
      <w:bookmarkStart w:id="19" w:name="_Toc24059"/>
      <w:r>
        <w:rPr>
          <w:rFonts w:hint="eastAsia" w:ascii="仿宋_GB2312" w:hAnsi="仿宋" w:eastAsia="仿宋_GB2312" w:cs="仿宋"/>
          <w:b/>
          <w:color w:val="auto"/>
          <w:sz w:val="24"/>
          <w:highlight w:val="none"/>
        </w:rPr>
        <w:t>1.1 合同组成部分</w:t>
      </w:r>
      <w:bookmarkEnd w:id="17"/>
      <w:bookmarkEnd w:id="18"/>
      <w:bookmarkEnd w:id="1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560" w:lineRule="exact"/>
        <w:ind w:firstLine="482" w:firstLineChars="200"/>
        <w:outlineLvl w:val="0"/>
        <w:rPr>
          <w:rFonts w:ascii="仿宋_GB2312" w:hAnsi="仿宋" w:eastAsia="仿宋_GB2312" w:cs="仿宋"/>
          <w:b/>
          <w:color w:val="auto"/>
          <w:sz w:val="24"/>
          <w:highlight w:val="none"/>
        </w:rPr>
      </w:pPr>
      <w:bookmarkStart w:id="20" w:name="_Toc27126"/>
      <w:bookmarkStart w:id="21" w:name="_Toc21295"/>
      <w:bookmarkStart w:id="22" w:name="_Toc24300"/>
      <w:r>
        <w:rPr>
          <w:rFonts w:hint="eastAsia" w:ascii="仿宋_GB2312" w:hAnsi="仿宋" w:eastAsia="仿宋_GB2312" w:cs="仿宋"/>
          <w:b/>
          <w:color w:val="auto"/>
          <w:sz w:val="24"/>
          <w:highlight w:val="none"/>
        </w:rPr>
        <w:t>1.2 货物</w:t>
      </w:r>
      <w:bookmarkEnd w:id="20"/>
      <w:bookmarkEnd w:id="21"/>
      <w:bookmarkEnd w:id="22"/>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pPr>
        <w:spacing w:line="560" w:lineRule="exact"/>
        <w:ind w:firstLine="482" w:firstLineChars="200"/>
        <w:outlineLvl w:val="0"/>
        <w:rPr>
          <w:rFonts w:ascii="仿宋_GB2312" w:hAnsi="仿宋" w:eastAsia="仿宋_GB2312" w:cs="仿宋"/>
          <w:b/>
          <w:color w:val="auto"/>
          <w:sz w:val="24"/>
          <w:highlight w:val="none"/>
        </w:rPr>
      </w:pPr>
      <w:bookmarkStart w:id="23" w:name="_Toc21631"/>
      <w:bookmarkStart w:id="24" w:name="_Toc23292"/>
      <w:bookmarkStart w:id="25" w:name="_Toc21551"/>
      <w:r>
        <w:rPr>
          <w:rFonts w:hint="eastAsia" w:ascii="仿宋_GB2312" w:hAnsi="仿宋" w:eastAsia="仿宋_GB2312" w:cs="仿宋"/>
          <w:b/>
          <w:color w:val="auto"/>
          <w:sz w:val="24"/>
          <w:highlight w:val="none"/>
        </w:rPr>
        <w:t>1.3 价款</w:t>
      </w:r>
      <w:bookmarkEnd w:id="23"/>
      <w:bookmarkEnd w:id="24"/>
      <w:bookmarkEnd w:id="2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bl>
    <w:p>
      <w:pPr>
        <w:pStyle w:val="311"/>
        <w:spacing w:before="0" w:beforeAutospacing="0" w:after="0" w:afterAutospacing="0" w:line="360" w:lineRule="auto"/>
        <w:ind w:firstLine="480"/>
        <w:rPr>
          <w:rFonts w:ascii="仿宋_GB2312" w:hAnsi="仿宋" w:eastAsia="仿宋_GB2312" w:cs="仿宋"/>
          <w:b/>
          <w:color w:val="auto"/>
          <w:highlight w:val="none"/>
        </w:rPr>
      </w:pPr>
      <w:bookmarkStart w:id="26" w:name="_Toc1814"/>
      <w:bookmarkStart w:id="27" w:name="_Toc22618"/>
      <w:bookmarkStart w:id="28" w:name="_Toc10340"/>
      <w:r>
        <w:rPr>
          <w:rFonts w:hint="eastAsia" w:ascii="仿宋_GB2312" w:hAnsi="仿宋" w:eastAsia="仿宋_GB2312" w:cs="仿宋"/>
          <w:b/>
          <w:color w:val="auto"/>
          <w:highlight w:val="none"/>
        </w:rPr>
        <w:t>1.4履约保证金</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6"/>
      <w:bookmarkEnd w:id="27"/>
      <w:bookmarkEnd w:id="28"/>
      <w:r>
        <w:rPr>
          <w:rFonts w:hint="eastAsia" w:ascii="仿宋_GB2312" w:hAnsi="仿宋" w:eastAsia="仿宋_GB2312" w:cs="仿宋"/>
          <w:b/>
          <w:color w:val="auto"/>
          <w:sz w:val="24"/>
          <w:highlight w:val="none"/>
        </w:rPr>
        <w:t>预付款</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9" w:name="_Toc19304"/>
      <w:bookmarkStart w:id="30" w:name="_Toc32071"/>
      <w:bookmarkStart w:id="31" w:name="_Toc2846"/>
      <w:r>
        <w:rPr>
          <w:rFonts w:hint="eastAsia" w:ascii="仿宋_GB2312" w:hAnsi="仿宋" w:eastAsia="仿宋_GB2312" w:cs="仿宋"/>
          <w:b/>
          <w:color w:val="auto"/>
          <w:sz w:val="24"/>
          <w:highlight w:val="none"/>
        </w:rPr>
        <w:t>1.7货物交付期限、地点和方式</w:t>
      </w:r>
      <w:bookmarkEnd w:id="29"/>
      <w:bookmarkEnd w:id="30"/>
      <w:bookmarkEnd w:id="31"/>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32" w:name="_Toc19554"/>
      <w:bookmarkStart w:id="33" w:name="_Toc21423"/>
      <w:bookmarkStart w:id="34" w:name="_Toc27250"/>
      <w:r>
        <w:rPr>
          <w:rFonts w:hint="eastAsia" w:ascii="仿宋_GB2312" w:hAnsi="仿宋" w:eastAsia="仿宋_GB2312" w:cs="仿宋"/>
          <w:b/>
          <w:color w:val="auto"/>
          <w:sz w:val="24"/>
          <w:highlight w:val="none"/>
        </w:rPr>
        <w:t>1.8违约责任</w:t>
      </w:r>
      <w:bookmarkEnd w:id="32"/>
      <w:bookmarkEnd w:id="33"/>
      <w:bookmarkEnd w:id="3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pPr>
        <w:spacing w:line="560" w:lineRule="exact"/>
        <w:ind w:firstLine="482" w:firstLineChars="200"/>
        <w:outlineLvl w:val="0"/>
        <w:rPr>
          <w:rFonts w:ascii="仿宋_GB2312" w:hAnsi="仿宋" w:eastAsia="仿宋_GB2312" w:cs="仿宋"/>
          <w:b/>
          <w:color w:val="auto"/>
          <w:sz w:val="24"/>
          <w:highlight w:val="none"/>
        </w:rPr>
      </w:pPr>
      <w:bookmarkStart w:id="35" w:name="_Toc15583"/>
      <w:bookmarkStart w:id="36" w:name="_Toc16021"/>
      <w:bookmarkStart w:id="37" w:name="_Toc28375"/>
      <w:r>
        <w:rPr>
          <w:rFonts w:hint="eastAsia" w:ascii="仿宋_GB2312" w:hAnsi="仿宋" w:eastAsia="仿宋_GB2312" w:cs="仿宋"/>
          <w:b/>
          <w:color w:val="auto"/>
          <w:sz w:val="24"/>
          <w:highlight w:val="none"/>
        </w:rPr>
        <w:t>1.9合同争议的解决</w:t>
      </w:r>
      <w:bookmarkEnd w:id="35"/>
      <w:bookmarkEnd w:id="36"/>
      <w:bookmarkEnd w:id="37"/>
    </w:p>
    <w:p>
      <w:pPr>
        <w:spacing w:line="560" w:lineRule="exact"/>
        <w:ind w:firstLine="480" w:firstLineChars="200"/>
        <w:outlineLvl w:val="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bookmarkStart w:id="38" w:name="_Toc11173"/>
      <w:bookmarkStart w:id="39" w:name="_Toc15322"/>
      <w:bookmarkStart w:id="40" w:name="_Toc7245"/>
      <w:r>
        <w:rPr>
          <w:rFonts w:hint="eastAsia" w:ascii="仿宋_GB2312" w:hAnsi="仿宋" w:eastAsia="仿宋_GB2312" w:cs="仿宋"/>
          <w:color w:val="auto"/>
          <w:sz w:val="24"/>
          <w:highlight w:val="none"/>
        </w:rPr>
        <w:t>本合同履行过程中发生的任何争议，双方当事人均可通过和解或者调解解决；不愿和解、调解或者和解、调解不成的，将争议提交绍兴市仲裁委员会仲裁。</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2.0 合同生效</w:t>
      </w:r>
      <w:bookmarkEnd w:id="38"/>
      <w:bookmarkEnd w:id="39"/>
      <w:bookmarkEnd w:id="40"/>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0"/>
        <w:spacing w:line="560" w:lineRule="exact"/>
        <w:ind w:firstLine="482"/>
        <w:jc w:val="center"/>
        <w:rPr>
          <w:rFonts w:ascii="仿宋_GB2312" w:hAnsi="仿宋" w:eastAsia="仿宋_GB2312" w:cs="仿宋"/>
          <w:b/>
          <w:color w:val="auto"/>
          <w:szCs w:val="24"/>
          <w:highlight w:val="none"/>
        </w:rPr>
      </w:pP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41" w:name="_Toc279701240"/>
      <w:bookmarkStart w:id="42" w:name="_Ref467378404"/>
      <w:bookmarkStart w:id="43" w:name="_Ref467379225"/>
      <w:bookmarkStart w:id="44" w:name="_Ref467379094"/>
      <w:bookmarkStart w:id="45" w:name="_Ref467379214"/>
      <w:bookmarkStart w:id="46" w:name="_Ref467379205"/>
      <w:bookmarkStart w:id="47" w:name="_Ref467379109"/>
      <w:bookmarkStart w:id="48" w:name="_Ref467379101"/>
      <w:bookmarkStart w:id="49" w:name="_Ref467378463"/>
      <w:bookmarkStart w:id="50" w:name="_Toc16917"/>
      <w:bookmarkStart w:id="51" w:name="_Toc19614"/>
      <w:bookmarkStart w:id="52" w:name="_Toc28763"/>
      <w:bookmarkStart w:id="53" w:name="_Toc259093669"/>
      <w:bookmarkStart w:id="54" w:name="_Ref467379195"/>
      <w:bookmarkStart w:id="55" w:name="_Ref467378499"/>
      <w:bookmarkStart w:id="56" w:name="_Toc487900349"/>
      <w:r>
        <w:rPr>
          <w:rFonts w:hint="eastAsia" w:ascii="仿宋_GB2312" w:hAnsi="仿宋" w:eastAsia="仿宋_GB2312" w:cs="仿宋"/>
          <w:b/>
          <w:color w:val="auto"/>
          <w:sz w:val="24"/>
          <w:highlight w:val="none"/>
        </w:rPr>
        <w:t>2.1 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highlight w:val="none"/>
        </w:rPr>
      </w:pPr>
      <w:bookmarkStart w:id="57" w:name="_Ref467378840"/>
      <w:r>
        <w:rPr>
          <w:rFonts w:hint="eastAsia" w:ascii="仿宋_GB2312" w:hAnsi="仿宋" w:eastAsia="仿宋_GB2312" w:cs="仿宋"/>
          <w:color w:val="auto"/>
          <w:sz w:val="24"/>
          <w:highlight w:val="none"/>
        </w:rPr>
        <w:t>2.1.4 “甲方”系指与中标或成交供应商签署合同的采购人</w:t>
      </w:r>
      <w:bookmarkEnd w:id="57"/>
      <w:r>
        <w:rPr>
          <w:rFonts w:hint="eastAsia" w:ascii="仿宋_GB2312" w:hAnsi="仿宋" w:eastAsia="仿宋_GB2312"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bookmarkStart w:id="58" w:name="_Ref467379400"/>
      <w:r>
        <w:rPr>
          <w:rFonts w:hint="eastAsia" w:ascii="仿宋_GB2312" w:hAnsi="仿宋" w:eastAsia="仿宋_GB2312" w:cs="仿宋"/>
          <w:color w:val="auto"/>
          <w:sz w:val="24"/>
          <w:highlight w:val="none"/>
        </w:rPr>
        <w:t>2.1.5 “乙方”系指根据合同约定交付货物的中标或成交供应商</w:t>
      </w:r>
      <w:bookmarkEnd w:id="58"/>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bookmarkStart w:id="59" w:name="_Ref467379436"/>
      <w:r>
        <w:rPr>
          <w:rFonts w:hint="eastAsia" w:ascii="仿宋_GB2312" w:hAnsi="仿宋" w:eastAsia="仿宋_GB2312" w:cs="仿宋"/>
          <w:color w:val="auto"/>
          <w:sz w:val="24"/>
          <w:highlight w:val="none"/>
        </w:rPr>
        <w:t>2.1.6 “现场”系指合同约定货物将要运至或者安装的地点。</w:t>
      </w:r>
      <w:bookmarkEnd w:id="59"/>
    </w:p>
    <w:p>
      <w:pPr>
        <w:spacing w:line="560" w:lineRule="exact"/>
        <w:ind w:firstLine="482" w:firstLineChars="200"/>
        <w:outlineLvl w:val="0"/>
        <w:rPr>
          <w:rFonts w:ascii="仿宋_GB2312" w:hAnsi="仿宋" w:eastAsia="仿宋_GB2312" w:cs="仿宋"/>
          <w:b/>
          <w:color w:val="auto"/>
          <w:sz w:val="24"/>
          <w:highlight w:val="none"/>
        </w:rPr>
      </w:pPr>
      <w:bookmarkStart w:id="60" w:name="_Toc259093670"/>
      <w:bookmarkStart w:id="61" w:name="_Toc13336"/>
      <w:bookmarkStart w:id="62" w:name="_Toc27635"/>
      <w:bookmarkStart w:id="63" w:name="_Toc32504"/>
      <w:bookmarkStart w:id="64" w:name="_Toc279701241"/>
      <w:bookmarkStart w:id="65" w:name="_Toc487900350"/>
      <w:r>
        <w:rPr>
          <w:rFonts w:hint="eastAsia" w:ascii="仿宋_GB2312" w:hAnsi="仿宋" w:eastAsia="仿宋_GB2312" w:cs="仿宋"/>
          <w:b/>
          <w:color w:val="auto"/>
          <w:sz w:val="24"/>
          <w:highlight w:val="none"/>
        </w:rPr>
        <w:t>2.2 技术规范</w:t>
      </w:r>
      <w:bookmarkEnd w:id="60"/>
      <w:bookmarkEnd w:id="61"/>
      <w:bookmarkEnd w:id="62"/>
      <w:bookmarkEnd w:id="63"/>
      <w:bookmarkEnd w:id="64"/>
      <w:bookmarkEnd w:id="6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6" w:name="_Toc259093671"/>
      <w:bookmarkStart w:id="67" w:name="_Toc27853"/>
      <w:bookmarkStart w:id="68" w:name="_Toc31634"/>
      <w:bookmarkStart w:id="69" w:name="_Toc487900351"/>
      <w:bookmarkStart w:id="70" w:name="_Toc9829"/>
      <w:bookmarkStart w:id="71" w:name="_Toc279701242"/>
      <w:r>
        <w:rPr>
          <w:rFonts w:hint="eastAsia" w:ascii="仿宋_GB2312" w:hAnsi="仿宋" w:eastAsia="仿宋_GB2312" w:cs="仿宋"/>
          <w:b/>
          <w:color w:val="auto"/>
          <w:sz w:val="24"/>
          <w:highlight w:val="none"/>
        </w:rPr>
        <w:t>2.3 知识产权</w:t>
      </w:r>
      <w:bookmarkEnd w:id="66"/>
      <w:bookmarkEnd w:id="67"/>
      <w:bookmarkEnd w:id="68"/>
      <w:bookmarkEnd w:id="69"/>
      <w:bookmarkEnd w:id="70"/>
      <w:bookmarkEnd w:id="7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2" w:name="_Toc11932"/>
      <w:bookmarkStart w:id="73" w:name="_Toc4194"/>
      <w:bookmarkStart w:id="74" w:name="_Toc29149"/>
      <w:r>
        <w:rPr>
          <w:rFonts w:hint="eastAsia" w:ascii="仿宋_GB2312" w:hAnsi="仿宋" w:eastAsia="仿宋_GB2312" w:cs="仿宋"/>
          <w:b/>
          <w:color w:val="auto"/>
          <w:sz w:val="24"/>
          <w:highlight w:val="none"/>
        </w:rPr>
        <w:t>2.4 包装和装运</w:t>
      </w:r>
      <w:bookmarkEnd w:id="72"/>
      <w:bookmarkEnd w:id="73"/>
      <w:bookmarkEnd w:id="7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5" w:name="_Ref467378591"/>
      <w:bookmarkStart w:id="76" w:name="_Toc259093674"/>
      <w:bookmarkStart w:id="77" w:name="_Ref467379527"/>
      <w:bookmarkStart w:id="78" w:name="_Toc279701245"/>
      <w:bookmarkStart w:id="79" w:name="_Ref467379542"/>
      <w:bookmarkStart w:id="80" w:name="_Ref467379536"/>
      <w:bookmarkStart w:id="81" w:name="_Ref467378541"/>
      <w:bookmarkStart w:id="82" w:name="_Toc487900354"/>
      <w:bookmarkStart w:id="83" w:name="_Toc26182"/>
      <w:bookmarkStart w:id="84" w:name="_Toc19074"/>
      <w:bookmarkStart w:id="85" w:name="_Toc30272"/>
      <w:r>
        <w:rPr>
          <w:rFonts w:hint="eastAsia" w:ascii="仿宋_GB2312" w:hAnsi="仿宋" w:eastAsia="仿宋_GB2312" w:cs="仿宋"/>
          <w:b/>
          <w:color w:val="auto"/>
          <w:sz w:val="24"/>
          <w:highlight w:val="none"/>
        </w:rPr>
        <w:t>2.</w:t>
      </w:r>
      <w:bookmarkEnd w:id="75"/>
      <w:bookmarkEnd w:id="76"/>
      <w:bookmarkEnd w:id="77"/>
      <w:bookmarkEnd w:id="78"/>
      <w:bookmarkEnd w:id="79"/>
      <w:bookmarkEnd w:id="80"/>
      <w:bookmarkEnd w:id="81"/>
      <w:bookmarkEnd w:id="82"/>
      <w:r>
        <w:rPr>
          <w:rFonts w:hint="eastAsia" w:ascii="仿宋_GB2312" w:hAnsi="仿宋" w:eastAsia="仿宋_GB2312" w:cs="仿宋"/>
          <w:b/>
          <w:color w:val="auto"/>
          <w:sz w:val="24"/>
          <w:highlight w:val="none"/>
        </w:rPr>
        <w:t>5 履约检查和问题反馈</w:t>
      </w:r>
      <w:bookmarkEnd w:id="83"/>
      <w:bookmarkEnd w:id="84"/>
      <w:bookmarkEnd w:id="85"/>
    </w:p>
    <w:p>
      <w:pPr>
        <w:spacing w:line="560" w:lineRule="exact"/>
        <w:ind w:firstLine="480" w:firstLineChars="200"/>
        <w:rPr>
          <w:rFonts w:ascii="仿宋_GB2312" w:hAnsi="仿宋" w:eastAsia="仿宋_GB2312" w:cs="仿宋"/>
          <w:color w:val="auto"/>
          <w:sz w:val="24"/>
          <w:highlight w:val="none"/>
        </w:rPr>
      </w:pPr>
      <w:bookmarkStart w:id="86" w:name="_Ref467379657"/>
      <w:r>
        <w:rPr>
          <w:rFonts w:hint="eastAsia" w:ascii="仿宋_GB2312" w:hAnsi="仿宋" w:eastAsia="仿宋_GB2312" w:cs="仿宋"/>
          <w:color w:val="auto"/>
          <w:sz w:val="24"/>
          <w:highlight w:val="none"/>
        </w:rPr>
        <w:t>2.5.1</w:t>
      </w:r>
      <w:bookmarkEnd w:id="86"/>
      <w:bookmarkStart w:id="87" w:name="_Toc186431854"/>
      <w:bookmarkStart w:id="88" w:name="_Toc279701247"/>
      <w:bookmarkStart w:id="89" w:name="_Ref467379807"/>
      <w:bookmarkStart w:id="90" w:name="_Toc487900357"/>
      <w:bookmarkStart w:id="91" w:name="_Ref467379793"/>
      <w:bookmarkStart w:id="92" w:name="_Toc259093676"/>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7"/>
      <w:bookmarkStart w:id="93" w:name="_Toc186431855"/>
      <w:r>
        <w:rPr>
          <w:rFonts w:hint="eastAsia" w:ascii="仿宋_GB2312" w:hAnsi="仿宋" w:eastAsia="仿宋_GB2312" w:cs="仿宋"/>
          <w:color w:val="auto"/>
          <w:sz w:val="24"/>
          <w:highlight w:val="none"/>
        </w:rPr>
        <w:t>。</w:t>
      </w:r>
    </w:p>
    <w:bookmarkEnd w:id="88"/>
    <w:bookmarkEnd w:id="89"/>
    <w:bookmarkEnd w:id="90"/>
    <w:bookmarkEnd w:id="91"/>
    <w:bookmarkEnd w:id="92"/>
    <w:bookmarkEnd w:id="93"/>
    <w:p>
      <w:pPr>
        <w:spacing w:line="560" w:lineRule="exact"/>
        <w:ind w:firstLine="482" w:firstLineChars="200"/>
        <w:outlineLvl w:val="0"/>
        <w:rPr>
          <w:rFonts w:ascii="仿宋_GB2312" w:hAnsi="仿宋" w:eastAsia="仿宋_GB2312" w:cs="仿宋"/>
          <w:b/>
          <w:color w:val="auto"/>
          <w:sz w:val="24"/>
          <w:highlight w:val="none"/>
        </w:rPr>
      </w:pPr>
      <w:bookmarkStart w:id="94" w:name="_Ref467379852"/>
      <w:bookmarkStart w:id="95" w:name="_Toc279701248"/>
      <w:bookmarkStart w:id="96" w:name="_Ref467379863"/>
      <w:bookmarkStart w:id="97" w:name="_Toc487900358"/>
      <w:bookmarkStart w:id="98" w:name="_Toc259093677"/>
      <w:bookmarkStart w:id="99" w:name="_Ref467379923"/>
      <w:bookmarkStart w:id="100" w:name="_Toc3225"/>
      <w:bookmarkStart w:id="101" w:name="_Toc16110"/>
      <w:bookmarkStart w:id="102" w:name="_Toc774"/>
      <w:r>
        <w:rPr>
          <w:rFonts w:hint="eastAsia" w:ascii="仿宋_GB2312" w:hAnsi="仿宋" w:eastAsia="仿宋_GB2312" w:cs="仿宋"/>
          <w:b/>
          <w:color w:val="auto"/>
          <w:sz w:val="24"/>
          <w:highlight w:val="none"/>
        </w:rPr>
        <w:t>2.6 技术资料</w:t>
      </w:r>
      <w:bookmarkEnd w:id="94"/>
      <w:bookmarkEnd w:id="95"/>
      <w:bookmarkEnd w:id="96"/>
      <w:bookmarkEnd w:id="97"/>
      <w:bookmarkEnd w:id="98"/>
      <w:bookmarkEnd w:id="99"/>
      <w:r>
        <w:rPr>
          <w:rFonts w:hint="eastAsia" w:ascii="仿宋_GB2312" w:hAnsi="仿宋" w:eastAsia="仿宋_GB2312" w:cs="仿宋"/>
          <w:b/>
          <w:color w:val="auto"/>
          <w:sz w:val="24"/>
          <w:highlight w:val="none"/>
        </w:rPr>
        <w:t>和保密义务</w:t>
      </w:r>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103" w:name="_Toc7860"/>
      <w:r>
        <w:rPr>
          <w:rFonts w:hint="eastAsia" w:ascii="仿宋_GB2312" w:hAnsi="仿宋" w:eastAsia="仿宋_GB2312" w:cs="仿宋"/>
          <w:b/>
          <w:color w:val="auto"/>
          <w:sz w:val="24"/>
          <w:highlight w:val="none"/>
        </w:rPr>
        <w:t>2.7 质量保证</w:t>
      </w:r>
      <w:bookmarkEnd w:id="10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104" w:name="_Toc17244"/>
      <w:bookmarkStart w:id="105" w:name="_Toc279701252"/>
      <w:bookmarkStart w:id="106" w:name="_Toc487900362"/>
      <w:bookmarkStart w:id="107" w:name="_Toc259093681"/>
      <w:r>
        <w:rPr>
          <w:rFonts w:hint="eastAsia" w:ascii="仿宋_GB2312" w:hAnsi="仿宋" w:eastAsia="仿宋_GB2312" w:cs="仿宋"/>
          <w:b/>
          <w:color w:val="auto"/>
          <w:sz w:val="24"/>
          <w:highlight w:val="none"/>
        </w:rPr>
        <w:t>2.8 货物的风险负担</w:t>
      </w:r>
      <w:bookmarkEnd w:id="104"/>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8" w:name="_Toc14055"/>
      <w:r>
        <w:rPr>
          <w:rFonts w:hint="eastAsia" w:ascii="仿宋_GB2312" w:hAnsi="仿宋" w:eastAsia="仿宋_GB2312" w:cs="仿宋"/>
          <w:b/>
          <w:color w:val="auto"/>
          <w:sz w:val="24"/>
          <w:highlight w:val="none"/>
        </w:rPr>
        <w:t>2.9 延迟交货</w:t>
      </w:r>
      <w:bookmarkEnd w:id="105"/>
      <w:bookmarkEnd w:id="106"/>
      <w:bookmarkEnd w:id="107"/>
      <w:bookmarkEnd w:id="10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highlight w:val="none"/>
        </w:rPr>
      </w:pPr>
      <w:bookmarkStart w:id="109" w:name="_Toc7502"/>
      <w:bookmarkStart w:id="110" w:name="_Toc259093683"/>
      <w:bookmarkStart w:id="111" w:name="_Ref467378121"/>
      <w:bookmarkStart w:id="112" w:name="_Toc279701254"/>
      <w:bookmarkStart w:id="113" w:name="_Toc487900364"/>
      <w:r>
        <w:rPr>
          <w:rFonts w:hint="eastAsia" w:ascii="仿宋_GB2312" w:hAnsi="仿宋" w:eastAsia="仿宋_GB2312" w:cs="仿宋"/>
          <w:b/>
          <w:color w:val="auto"/>
          <w:sz w:val="24"/>
          <w:highlight w:val="none"/>
        </w:rPr>
        <w:t>2.10 合同变更</w:t>
      </w:r>
      <w:bookmarkEnd w:id="10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4" w:name="_Toc279701259"/>
      <w:bookmarkStart w:id="115" w:name="_Toc259093688"/>
      <w:bookmarkStart w:id="116" w:name="_Toc487900369"/>
    </w:p>
    <w:p>
      <w:pPr>
        <w:spacing w:line="560" w:lineRule="exact"/>
        <w:ind w:firstLine="482" w:firstLineChars="200"/>
        <w:outlineLvl w:val="0"/>
        <w:rPr>
          <w:rFonts w:ascii="仿宋_GB2312" w:hAnsi="仿宋" w:eastAsia="仿宋_GB2312" w:cs="仿宋"/>
          <w:b/>
          <w:color w:val="auto"/>
          <w:sz w:val="24"/>
          <w:highlight w:val="none"/>
        </w:rPr>
      </w:pPr>
      <w:bookmarkStart w:id="117" w:name="_Toc10366"/>
      <w:bookmarkStart w:id="118" w:name="_Toc15237"/>
      <w:bookmarkStart w:id="119" w:name="_Toc22955"/>
      <w:r>
        <w:rPr>
          <w:rFonts w:hint="eastAsia" w:ascii="仿宋_GB2312" w:hAnsi="仿宋" w:eastAsia="仿宋_GB2312" w:cs="仿宋"/>
          <w:b/>
          <w:color w:val="auto"/>
          <w:sz w:val="24"/>
          <w:highlight w:val="none"/>
        </w:rPr>
        <w:t>2.11 合同转让</w:t>
      </w:r>
      <w:bookmarkEnd w:id="114"/>
      <w:bookmarkEnd w:id="115"/>
      <w:bookmarkEnd w:id="116"/>
      <w:r>
        <w:rPr>
          <w:rFonts w:hint="eastAsia" w:ascii="仿宋_GB2312" w:hAnsi="仿宋" w:eastAsia="仿宋_GB2312" w:cs="仿宋"/>
          <w:b/>
          <w:color w:val="auto"/>
          <w:sz w:val="24"/>
          <w:highlight w:val="none"/>
        </w:rPr>
        <w:t>和分包</w:t>
      </w:r>
      <w:bookmarkEnd w:id="117"/>
      <w:bookmarkEnd w:id="118"/>
      <w:bookmarkEnd w:id="11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highlight w:val="none"/>
        </w:rPr>
      </w:pPr>
      <w:bookmarkStart w:id="120" w:name="_Toc14066"/>
      <w:bookmarkStart w:id="121" w:name="_Toc13566"/>
      <w:bookmarkStart w:id="122" w:name="_Toc16508"/>
      <w:r>
        <w:rPr>
          <w:rFonts w:hint="eastAsia" w:ascii="仿宋_GB2312" w:hAnsi="仿宋" w:eastAsia="仿宋_GB2312" w:cs="仿宋"/>
          <w:b/>
          <w:color w:val="auto"/>
          <w:sz w:val="24"/>
          <w:highlight w:val="none"/>
        </w:rPr>
        <w:t>2.12 不可抗力</w:t>
      </w:r>
      <w:bookmarkEnd w:id="120"/>
      <w:bookmarkEnd w:id="121"/>
      <w:bookmarkEnd w:id="12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23" w:name="_Toc6969"/>
      <w:bookmarkStart w:id="124" w:name="_Toc30676"/>
      <w:bookmarkStart w:id="125" w:name="_Toc487900365"/>
      <w:bookmarkStart w:id="126" w:name="_Toc279701255"/>
      <w:bookmarkStart w:id="127" w:name="_Toc259093684"/>
      <w:bookmarkStart w:id="128" w:name="_Toc689"/>
      <w:r>
        <w:rPr>
          <w:rFonts w:hint="eastAsia" w:ascii="仿宋_GB2312" w:hAnsi="仿宋" w:eastAsia="仿宋_GB2312" w:cs="仿宋"/>
          <w:b/>
          <w:color w:val="auto"/>
          <w:sz w:val="24"/>
          <w:highlight w:val="none"/>
        </w:rPr>
        <w:t>2.13 税费</w:t>
      </w:r>
      <w:bookmarkEnd w:id="123"/>
      <w:bookmarkEnd w:id="124"/>
      <w:bookmarkEnd w:id="125"/>
      <w:bookmarkEnd w:id="126"/>
      <w:bookmarkEnd w:id="127"/>
      <w:bookmarkEnd w:id="1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highlight w:val="none"/>
        </w:rPr>
      </w:pPr>
      <w:bookmarkStart w:id="129" w:name="_Toc16959"/>
      <w:bookmarkStart w:id="130" w:name="_Toc7102"/>
      <w:bookmarkStart w:id="131" w:name="_Toc279701258"/>
      <w:bookmarkStart w:id="132" w:name="_Toc8298"/>
      <w:bookmarkStart w:id="133" w:name="_Toc259093687"/>
      <w:bookmarkStart w:id="134" w:name="_Toc487900368"/>
      <w:r>
        <w:rPr>
          <w:rFonts w:hint="eastAsia" w:ascii="仿宋_GB2312" w:hAnsi="仿宋" w:eastAsia="仿宋_GB2312" w:cs="仿宋"/>
          <w:b/>
          <w:color w:val="auto"/>
          <w:sz w:val="24"/>
          <w:highlight w:val="none"/>
        </w:rPr>
        <w:t>2.14乙方破产</w:t>
      </w:r>
      <w:bookmarkEnd w:id="129"/>
      <w:bookmarkEnd w:id="130"/>
      <w:bookmarkEnd w:id="131"/>
      <w:bookmarkEnd w:id="132"/>
      <w:bookmarkEnd w:id="133"/>
      <w:bookmarkEnd w:id="13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35" w:name="_Toc29333"/>
      <w:bookmarkStart w:id="136" w:name="_Toc15387"/>
      <w:bookmarkStart w:id="137" w:name="_Toc6134"/>
      <w:r>
        <w:rPr>
          <w:rFonts w:hint="eastAsia" w:ascii="仿宋_GB2312" w:hAnsi="仿宋" w:eastAsia="仿宋_GB2312" w:cs="仿宋"/>
          <w:b/>
          <w:color w:val="auto"/>
          <w:sz w:val="24"/>
          <w:highlight w:val="none"/>
        </w:rPr>
        <w:t>2.15 合同中止、终止</w:t>
      </w:r>
      <w:bookmarkEnd w:id="135"/>
      <w:bookmarkEnd w:id="136"/>
      <w:bookmarkEnd w:id="13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38" w:name="_Toc1125"/>
      <w:bookmarkStart w:id="139" w:name="_Toc14563"/>
      <w:bookmarkStart w:id="140" w:name="_Toc6596"/>
      <w:r>
        <w:rPr>
          <w:rFonts w:hint="eastAsia" w:ascii="仿宋_GB2312" w:hAnsi="仿宋" w:eastAsia="仿宋_GB2312" w:cs="仿宋"/>
          <w:b/>
          <w:color w:val="auto"/>
          <w:sz w:val="24"/>
          <w:highlight w:val="none"/>
        </w:rPr>
        <w:t>2.16检验和验收</w:t>
      </w:r>
      <w:bookmarkEnd w:id="138"/>
      <w:bookmarkEnd w:id="139"/>
      <w:bookmarkEnd w:id="140"/>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10"/>
    <w:bookmarkEnd w:id="111"/>
    <w:bookmarkEnd w:id="112"/>
    <w:bookmarkEnd w:id="113"/>
    <w:p>
      <w:pPr>
        <w:spacing w:line="560" w:lineRule="exact"/>
        <w:ind w:firstLine="482" w:firstLineChars="200"/>
        <w:outlineLvl w:val="0"/>
        <w:rPr>
          <w:rFonts w:ascii="仿宋_GB2312" w:hAnsi="仿宋" w:eastAsia="仿宋_GB2312" w:cs="仿宋"/>
          <w:b/>
          <w:color w:val="auto"/>
          <w:sz w:val="24"/>
          <w:highlight w:val="none"/>
        </w:rPr>
      </w:pPr>
      <w:bookmarkStart w:id="141" w:name="_Toc259093690"/>
      <w:bookmarkStart w:id="142" w:name="_Toc487900371"/>
      <w:bookmarkStart w:id="143" w:name="_Toc279701261"/>
      <w:bookmarkStart w:id="144" w:name="_Toc25182"/>
      <w:bookmarkStart w:id="145" w:name="_Toc11284"/>
      <w:bookmarkStart w:id="146" w:name="_Toc19604"/>
      <w:r>
        <w:rPr>
          <w:rFonts w:hint="eastAsia" w:ascii="仿宋_GB2312" w:hAnsi="仿宋" w:eastAsia="仿宋_GB2312" w:cs="仿宋"/>
          <w:b/>
          <w:color w:val="auto"/>
          <w:sz w:val="24"/>
          <w:highlight w:val="none"/>
        </w:rPr>
        <w:t>2.17 通知</w:t>
      </w:r>
      <w:bookmarkEnd w:id="141"/>
      <w:bookmarkEnd w:id="142"/>
      <w:bookmarkEnd w:id="143"/>
      <w:r>
        <w:rPr>
          <w:rFonts w:hint="eastAsia" w:ascii="仿宋_GB2312" w:hAnsi="仿宋" w:eastAsia="仿宋_GB2312" w:cs="仿宋"/>
          <w:b/>
          <w:color w:val="auto"/>
          <w:sz w:val="24"/>
          <w:highlight w:val="none"/>
        </w:rPr>
        <w:t>和送达</w:t>
      </w:r>
      <w:bookmarkEnd w:id="144"/>
      <w:bookmarkEnd w:id="145"/>
      <w:bookmarkEnd w:id="146"/>
    </w:p>
    <w:p>
      <w:pPr>
        <w:spacing w:line="560" w:lineRule="exact"/>
        <w:ind w:firstLine="480" w:firstLineChars="200"/>
        <w:rPr>
          <w:rFonts w:ascii="仿宋_GB2312" w:hAnsi="仿宋" w:eastAsia="仿宋_GB2312" w:cs="仿宋"/>
          <w:color w:val="auto"/>
          <w:sz w:val="24"/>
          <w:highlight w:val="none"/>
        </w:rPr>
      </w:pPr>
      <w:bookmarkStart w:id="147" w:name="_Toc3135"/>
      <w:bookmarkStart w:id="148" w:name="_Toc6698"/>
      <w:bookmarkStart w:id="149" w:name="_Toc259093691"/>
      <w:bookmarkStart w:id="150" w:name="_Toc279701262"/>
      <w:bookmarkStart w:id="151" w:name="_Toc487900372"/>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ascii="仿宋_GB2312" w:hAnsi="仿宋" w:eastAsia="仿宋_GB2312" w:cs="仿宋"/>
          <w:color w:val="auto"/>
          <w:sz w:val="24"/>
          <w:highlight w:val="none"/>
        </w:rPr>
      </w:pPr>
      <w:bookmarkStart w:id="152" w:name="_Toc23128"/>
      <w:bookmarkStart w:id="153" w:name="_Toc23294"/>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pPr>
        <w:spacing w:line="560" w:lineRule="exact"/>
        <w:ind w:firstLine="482" w:firstLineChars="200"/>
        <w:outlineLvl w:val="0"/>
        <w:rPr>
          <w:rFonts w:ascii="仿宋_GB2312" w:hAnsi="仿宋" w:eastAsia="仿宋_GB2312" w:cs="仿宋"/>
          <w:b/>
          <w:color w:val="auto"/>
          <w:sz w:val="24"/>
          <w:highlight w:val="none"/>
        </w:rPr>
      </w:pPr>
      <w:bookmarkStart w:id="154" w:name="_Toc4355"/>
      <w:bookmarkStart w:id="155" w:name="_Toc30599"/>
      <w:bookmarkStart w:id="156" w:name="_Toc18540"/>
      <w:r>
        <w:rPr>
          <w:rFonts w:hint="eastAsia" w:ascii="仿宋_GB2312" w:hAnsi="仿宋" w:eastAsia="仿宋_GB2312" w:cs="仿宋"/>
          <w:b/>
          <w:color w:val="auto"/>
          <w:sz w:val="24"/>
          <w:highlight w:val="none"/>
        </w:rPr>
        <w:t>2.18 计量单位</w:t>
      </w:r>
      <w:bookmarkEnd w:id="149"/>
      <w:bookmarkEnd w:id="150"/>
      <w:bookmarkEnd w:id="151"/>
      <w:bookmarkEnd w:id="154"/>
      <w:bookmarkEnd w:id="155"/>
      <w:bookmarkEnd w:id="15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57" w:name="_Toc279701263"/>
      <w:bookmarkStart w:id="158" w:name="_Toc10330"/>
      <w:bookmarkStart w:id="159" w:name="_Toc259093692"/>
      <w:bookmarkStart w:id="160" w:name="_Toc487900373"/>
      <w:bookmarkStart w:id="161" w:name="_Toc18567"/>
      <w:bookmarkStart w:id="162" w:name="_Toc12773"/>
      <w:r>
        <w:rPr>
          <w:rFonts w:hint="eastAsia" w:ascii="仿宋_GB2312" w:hAnsi="仿宋" w:eastAsia="仿宋_GB2312" w:cs="仿宋"/>
          <w:b/>
          <w:color w:val="auto"/>
          <w:sz w:val="24"/>
          <w:highlight w:val="none"/>
        </w:rPr>
        <w:t>2.19 合同使用的文字和适用的法律</w:t>
      </w:r>
      <w:bookmarkEnd w:id="157"/>
      <w:bookmarkEnd w:id="158"/>
      <w:bookmarkEnd w:id="159"/>
      <w:bookmarkEnd w:id="160"/>
      <w:bookmarkEnd w:id="161"/>
      <w:bookmarkEnd w:id="16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63" w:name="_Toc19890"/>
      <w:bookmarkStart w:id="164" w:name="_Toc6885"/>
      <w:bookmarkStart w:id="165" w:name="_Toc14001"/>
      <w:r>
        <w:rPr>
          <w:rFonts w:hint="eastAsia" w:ascii="仿宋_GB2312" w:hAnsi="仿宋" w:eastAsia="仿宋_GB2312" w:cs="仿宋"/>
          <w:b/>
          <w:color w:val="auto"/>
          <w:sz w:val="24"/>
          <w:highlight w:val="none"/>
        </w:rPr>
        <w:t>2.20 合同份数</w:t>
      </w:r>
      <w:bookmarkEnd w:id="163"/>
      <w:bookmarkEnd w:id="164"/>
      <w:bookmarkEnd w:id="16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共100分，其中商务技术分60分，价格分40分。评分依下述所列为评标打分依据，分值如下（计算分值时，按其算术平均值保留小数2位）。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2.1商务技术分（60分）</w:t>
      </w:r>
    </w:p>
    <w:tbl>
      <w:tblPr>
        <w:tblStyle w:val="63"/>
        <w:tblW w:w="5311" w:type="pct"/>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391"/>
        <w:gridCol w:w="6749"/>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44" w:type="dxa"/>
            <w:noWrap/>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lang w:val="en-US" w:eastAsia="zh-CN"/>
              </w:rPr>
            </w:pPr>
            <w:r>
              <w:rPr>
                <w:rFonts w:hint="eastAsia" w:ascii="仿宋_GB2312" w:hAnsi="仿宋" w:eastAsia="仿宋_GB2312" w:cs="仿宋"/>
                <w:b/>
                <w:bCs/>
                <w:color w:val="auto"/>
                <w:kern w:val="0"/>
                <w:sz w:val="24"/>
                <w:highlight w:val="none"/>
              </w:rPr>
              <w:t>序号</w:t>
            </w:r>
          </w:p>
        </w:tc>
        <w:tc>
          <w:tcPr>
            <w:tcW w:w="1391" w:type="dxa"/>
            <w:noWrap/>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rPr>
            </w:pPr>
            <w:r>
              <w:rPr>
                <w:rFonts w:hint="eastAsia" w:ascii="仿宋_GB2312" w:hAnsi="仿宋" w:eastAsia="仿宋_GB2312" w:cs="仿宋"/>
                <w:b/>
                <w:bCs/>
                <w:color w:val="auto"/>
                <w:kern w:val="0"/>
                <w:sz w:val="24"/>
                <w:highlight w:val="none"/>
              </w:rPr>
              <w:t>评分项</w:t>
            </w:r>
          </w:p>
        </w:tc>
        <w:tc>
          <w:tcPr>
            <w:tcW w:w="6749" w:type="dxa"/>
            <w:noWrap/>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rPr>
            </w:pPr>
            <w:r>
              <w:rPr>
                <w:rFonts w:hint="eastAsia" w:ascii="仿宋_GB2312" w:hAnsi="仿宋" w:eastAsia="仿宋_GB2312" w:cs="仿宋"/>
                <w:b/>
                <w:bCs/>
                <w:color w:val="auto"/>
                <w:kern w:val="0"/>
                <w:sz w:val="24"/>
                <w:highlight w:val="none"/>
              </w:rPr>
              <w:t>评审依据及标准</w:t>
            </w:r>
          </w:p>
        </w:tc>
        <w:tc>
          <w:tcPr>
            <w:tcW w:w="762" w:type="dxa"/>
            <w:noWrap/>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rPr>
            </w:pPr>
            <w:r>
              <w:rPr>
                <w:rFonts w:hint="eastAsia" w:ascii="仿宋_GB2312" w:hAnsi="仿宋" w:eastAsia="仿宋_GB2312" w:cs="仿宋"/>
                <w:b/>
                <w:bCs/>
                <w:color w:val="auto"/>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技术</w:t>
            </w:r>
            <w:r>
              <w:rPr>
                <w:rFonts w:hint="eastAsia" w:ascii="仿宋_GB2312" w:hAnsi="仿宋_GB2312" w:eastAsia="仿宋_GB2312" w:cs="仿宋_GB2312"/>
                <w:color w:val="auto"/>
                <w:sz w:val="24"/>
                <w:szCs w:val="24"/>
                <w:highlight w:val="none"/>
                <w:lang w:val="en-US" w:eastAsia="zh-CN"/>
              </w:rPr>
              <w:t>参数</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技术参数响应情况：对应于招标文件第三部分招标项目范围及要求——“</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rPr>
              <w:t>、详细技术参数”，完全满足指标参数得</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分。打“★”号的性能指标为实质性指标，若出现负偏离作无效标处理；打“▲”为主要性能指标，每有一项负偏离扣3分；其他指标，每有一项负偏离扣1分，扣完为止。</w:t>
            </w:r>
          </w:p>
        </w:tc>
        <w:tc>
          <w:tcPr>
            <w:tcW w:w="762" w:type="dxa"/>
            <w:noWrap/>
            <w:vAlign w:val="center"/>
          </w:tcPr>
          <w:p>
            <w:pPr>
              <w:spacing w:line="276"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w:t>
            </w:r>
          </w:p>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资质</w:t>
            </w:r>
          </w:p>
        </w:tc>
        <w:tc>
          <w:tcPr>
            <w:tcW w:w="6749" w:type="dxa"/>
            <w:noWrap/>
            <w:vAlign w:val="center"/>
          </w:tcPr>
          <w:p>
            <w:pPr>
              <w:spacing w:line="276" w:lineRule="auto"/>
              <w:rPr>
                <w:rFonts w:hint="default" w:eastAsia="仿宋_GB2312"/>
                <w:color w:val="auto"/>
                <w:highlight w:val="none"/>
                <w:lang w:val="en-US" w:eastAsia="zh-CN"/>
              </w:rPr>
            </w:pPr>
            <w:r>
              <w:rPr>
                <w:rFonts w:hint="eastAsia" w:ascii="仿宋_GB2312" w:hAnsi="仿宋_GB2312" w:eastAsia="仿宋_GB2312" w:cs="仿宋_GB2312"/>
                <w:color w:val="auto"/>
                <w:sz w:val="24"/>
                <w:szCs w:val="24"/>
                <w:highlight w:val="none"/>
              </w:rPr>
              <w:t>投标人具有质量管理体系认证证书的得 1分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需提供证书复印件加盖投标人公章</w:t>
            </w:r>
            <w:r>
              <w:rPr>
                <w:rFonts w:hint="eastAsia" w:ascii="仿宋_GB2312" w:hAnsi="仿宋_GB2312" w:eastAsia="仿宋_GB2312" w:cs="仿宋_GB2312"/>
                <w:color w:val="auto"/>
                <w:sz w:val="24"/>
                <w:szCs w:val="24"/>
                <w:highlight w:val="none"/>
              </w:rPr>
              <w:t>。</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4" w:type="dxa"/>
            <w:noWrap/>
            <w:vAlign w:val="center"/>
          </w:tcPr>
          <w:p>
            <w:pPr>
              <w:spacing w:line="276"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案例</w:t>
            </w:r>
          </w:p>
        </w:tc>
        <w:tc>
          <w:tcPr>
            <w:tcW w:w="6749" w:type="dxa"/>
            <w:noWrap/>
            <w:vAlign w:val="center"/>
          </w:tcPr>
          <w:p>
            <w:pPr>
              <w:pStyle w:val="26"/>
              <w:keepNext w:val="0"/>
              <w:keepLines w:val="0"/>
              <w:pageBreakBefore w:val="0"/>
              <w:widowControl w:val="0"/>
              <w:kinsoku/>
              <w:wordWrap/>
              <w:overflowPunct/>
              <w:topLinePunct w:val="0"/>
              <w:autoSpaceDE/>
              <w:autoSpaceDN/>
              <w:bidi w:val="0"/>
              <w:adjustRightInd/>
              <w:snapToGrid/>
              <w:spacing w:line="276" w:lineRule="auto"/>
              <w:ind w:left="0" w:leftChars="0" w:firstLine="0" w:firstLineChars="0"/>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投标人自2021年1月1日以来（以合同签订时间为准）完成的同类案例，每有1个得1分，满分4分。</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2"/>
                <w:sz w:val="24"/>
                <w:szCs w:val="24"/>
                <w:highlight w:val="none"/>
                <w:lang w:val="en-US" w:eastAsia="zh-CN" w:bidi="ar-SA"/>
              </w:rPr>
              <w:t>注：每个案例提供合同复印件加盖投标人公章。</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总体方案</w:t>
            </w:r>
          </w:p>
        </w:tc>
        <w:tc>
          <w:tcPr>
            <w:tcW w:w="6749" w:type="dxa"/>
            <w:noWrap/>
            <w:vAlign w:val="center"/>
          </w:tcPr>
          <w:p>
            <w:pPr>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w:t>
            </w:r>
            <w:r>
              <w:rPr>
                <w:rFonts w:hint="eastAsia" w:ascii="仿宋_GB2312" w:hAnsi="仿宋_GB2312" w:eastAsia="仿宋_GB2312" w:cs="仿宋_GB2312"/>
                <w:color w:val="auto"/>
                <w:sz w:val="24"/>
                <w:szCs w:val="24"/>
                <w:highlight w:val="none"/>
                <w:lang w:val="en-US" w:eastAsia="zh-CN"/>
              </w:rPr>
              <w:t>总体方案</w:t>
            </w:r>
            <w:r>
              <w:rPr>
                <w:rFonts w:hint="eastAsia" w:ascii="仿宋_GB2312" w:hAnsi="仿宋_GB2312" w:eastAsia="仿宋_GB2312" w:cs="仿宋_GB2312"/>
                <w:sz w:val="24"/>
                <w:szCs w:val="24"/>
                <w:lang w:val="en-US" w:eastAsia="zh-CN"/>
              </w:rPr>
              <w:t>进行打分，</w:t>
            </w:r>
            <w:r>
              <w:rPr>
                <w:rFonts w:hint="eastAsia" w:ascii="仿宋_GB2312" w:hAnsi="仿宋_GB2312" w:eastAsia="仿宋_GB2312" w:cs="仿宋_GB2312"/>
                <w:kern w:val="0"/>
                <w:sz w:val="24"/>
                <w:szCs w:val="24"/>
              </w:rPr>
              <w:t>包含但不仅限于</w:t>
            </w:r>
            <w:r>
              <w:rPr>
                <w:rFonts w:hint="eastAsia" w:ascii="仿宋_GB2312" w:hAnsi="仿宋_GB2312" w:eastAsia="仿宋_GB2312" w:cs="仿宋_GB2312"/>
                <w:color w:val="auto"/>
                <w:sz w:val="24"/>
                <w:szCs w:val="24"/>
                <w:highlight w:val="none"/>
              </w:rPr>
              <w:t>质量目标，质量管控和保证措施，项目风险控制手段和机制，应急方案等</w:t>
            </w:r>
            <w:r>
              <w:rPr>
                <w:rFonts w:hint="eastAsia" w:ascii="仿宋_GB2312" w:hAnsi="仿宋_GB2312" w:eastAsia="仿宋_GB2312" w:cs="仿宋_GB2312"/>
                <w:color w:val="auto"/>
                <w:sz w:val="24"/>
                <w:szCs w:val="24"/>
                <w:highlight w:val="none"/>
                <w:lang w:val="en-US" w:eastAsia="zh-CN"/>
              </w:rPr>
              <w:t>方面</w:t>
            </w:r>
            <w:r>
              <w:rPr>
                <w:rFonts w:hint="eastAsia" w:ascii="仿宋_GB2312" w:hAnsi="仿宋_GB2312" w:eastAsia="仿宋_GB2312" w:cs="仿宋_GB2312"/>
                <w:color w:val="auto"/>
                <w:sz w:val="24"/>
                <w:szCs w:val="24"/>
                <w:highlight w:val="none"/>
              </w:rPr>
              <w:t>，0-5分。</w:t>
            </w:r>
          </w:p>
        </w:tc>
        <w:tc>
          <w:tcPr>
            <w:tcW w:w="762" w:type="dxa"/>
            <w:noWrap/>
            <w:vAlign w:val="center"/>
          </w:tcPr>
          <w:p>
            <w:pPr>
              <w:spacing w:line="276"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数据迁移方案</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根据投标人提供的针对本项目不停机数据库、虚拟机的迁移和切换方案进行打分，方案需考虑到不影响采购人正常业务前提下进行数据迁移，0-5分。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1391"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sz w:val="24"/>
                <w:szCs w:val="24"/>
              </w:rPr>
              <w:t>实施方案</w:t>
            </w:r>
          </w:p>
        </w:tc>
        <w:tc>
          <w:tcPr>
            <w:tcW w:w="6749" w:type="dxa"/>
            <w:noWrap/>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w:t>
            </w:r>
            <w:r>
              <w:rPr>
                <w:rFonts w:hint="eastAsia" w:ascii="仿宋_GB2312" w:hAnsi="仿宋_GB2312" w:eastAsia="仿宋_GB2312" w:cs="仿宋_GB2312"/>
                <w:sz w:val="24"/>
                <w:szCs w:val="24"/>
              </w:rPr>
              <w:t>实施方案</w:t>
            </w:r>
            <w:r>
              <w:rPr>
                <w:rFonts w:hint="eastAsia" w:ascii="仿宋_GB2312" w:hAnsi="仿宋_GB2312" w:eastAsia="仿宋_GB2312" w:cs="仿宋_GB2312"/>
                <w:sz w:val="24"/>
                <w:szCs w:val="24"/>
                <w:lang w:val="en-US" w:eastAsia="zh-CN"/>
              </w:rPr>
              <w:t>进行打分，</w:t>
            </w:r>
            <w:r>
              <w:rPr>
                <w:rFonts w:hint="eastAsia" w:ascii="仿宋_GB2312" w:hAnsi="仿宋_GB2312" w:eastAsia="仿宋_GB2312" w:cs="仿宋_GB2312"/>
                <w:kern w:val="0"/>
                <w:sz w:val="24"/>
                <w:szCs w:val="24"/>
              </w:rPr>
              <w:t>包含但不仅限于</w:t>
            </w:r>
            <w:r>
              <w:rPr>
                <w:rFonts w:hint="eastAsia" w:ascii="仿宋_GB2312" w:hAnsi="仿宋_GB2312" w:eastAsia="仿宋_GB2312" w:cs="仿宋_GB2312"/>
                <w:sz w:val="24"/>
                <w:szCs w:val="24"/>
                <w:lang w:eastAsia="zh-CN"/>
              </w:rPr>
              <w:t>安装人员配备、设备配送、设备安装、设备调试等方面</w:t>
            </w:r>
            <w:r>
              <w:rPr>
                <w:rFonts w:hint="eastAsia" w:ascii="仿宋_GB2312" w:hAnsi="仿宋_GB2312" w:eastAsia="仿宋_GB2312" w:cs="仿宋_GB2312"/>
                <w:sz w:val="24"/>
                <w:szCs w:val="24"/>
              </w:rPr>
              <w:t>，0-5分。</w:t>
            </w:r>
          </w:p>
        </w:tc>
        <w:tc>
          <w:tcPr>
            <w:tcW w:w="762" w:type="dxa"/>
            <w:noWrap/>
            <w:vAlign w:val="center"/>
          </w:tcPr>
          <w:p>
            <w:pPr>
              <w:jc w:val="center"/>
              <w:rPr>
                <w:rFonts w:hint="eastAsia" w:ascii="仿宋_GB2312" w:hAnsi="仿宋_GB2312" w:eastAsia="仿宋_GB2312" w:cs="仿宋_GB2312"/>
                <w:color w:val="auto"/>
                <w:sz w:val="24"/>
                <w:szCs w:val="24"/>
                <w:highlight w:val="none"/>
              </w:rPr>
            </w:pPr>
            <w:r>
              <w:rPr>
                <w:rFonts w:hint="eastAsia" w:ascii="仿宋" w:hAnsi="仿宋" w:eastAsia="仿宋" w:cs="仿宋"/>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售后服务情况</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根据投标人提供的售后服务</w:t>
            </w:r>
            <w:r>
              <w:rPr>
                <w:rFonts w:hint="eastAsia" w:ascii="仿宋_GB2312" w:hAnsi="仿宋_GB2312" w:eastAsia="仿宋_GB2312" w:cs="仿宋_GB2312"/>
                <w:sz w:val="24"/>
                <w:szCs w:val="24"/>
              </w:rPr>
              <w:t>方案</w:t>
            </w:r>
            <w:r>
              <w:rPr>
                <w:rFonts w:hint="eastAsia" w:ascii="仿宋_GB2312" w:hAnsi="仿宋_GB2312" w:eastAsia="仿宋_GB2312" w:cs="仿宋_GB2312"/>
                <w:sz w:val="24"/>
                <w:szCs w:val="24"/>
                <w:lang w:val="en-US" w:eastAsia="zh-CN"/>
              </w:rPr>
              <w:t>进行打分，</w:t>
            </w:r>
            <w:r>
              <w:rPr>
                <w:rFonts w:hint="eastAsia" w:ascii="仿宋_GB2312" w:hAnsi="仿宋_GB2312" w:eastAsia="仿宋_GB2312" w:cs="仿宋_GB2312"/>
                <w:kern w:val="0"/>
                <w:sz w:val="24"/>
                <w:szCs w:val="24"/>
              </w:rPr>
              <w:t>包含但不仅限于</w:t>
            </w:r>
            <w:r>
              <w:rPr>
                <w:rFonts w:hint="eastAsia" w:ascii="仿宋_GB2312" w:hAnsi="仿宋_GB2312" w:eastAsia="仿宋_GB2312" w:cs="仿宋_GB2312"/>
                <w:color w:val="auto"/>
                <w:sz w:val="24"/>
                <w:szCs w:val="24"/>
                <w:highlight w:val="none"/>
              </w:rPr>
              <w:t>本地化服务能力，售后响应能力、响应时效等</w:t>
            </w:r>
            <w:r>
              <w:rPr>
                <w:rFonts w:hint="eastAsia" w:ascii="仿宋_GB2312" w:hAnsi="仿宋_GB2312" w:eastAsia="仿宋_GB2312" w:cs="仿宋_GB2312"/>
                <w:color w:val="auto"/>
                <w:sz w:val="24"/>
                <w:szCs w:val="24"/>
                <w:highlight w:val="none"/>
                <w:lang w:val="en-US" w:eastAsia="zh-CN"/>
              </w:rPr>
              <w:t>方面</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实质性</w:t>
            </w:r>
          </w:p>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优惠</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根据投标人提供的对项目具有实质性优惠措施（不包括价格优惠）进行打分，</w:t>
            </w:r>
            <w:r>
              <w:rPr>
                <w:rFonts w:hint="eastAsia" w:ascii="仿宋_GB2312" w:hAnsi="仿宋_GB2312" w:eastAsia="仿宋_GB2312" w:cs="仿宋_GB2312"/>
                <w:kern w:val="0"/>
                <w:sz w:val="24"/>
                <w:szCs w:val="24"/>
              </w:rPr>
              <w:t>包含但不仅限于</w:t>
            </w:r>
            <w:r>
              <w:rPr>
                <w:rFonts w:hint="eastAsia" w:ascii="仿宋_GB2312" w:hAnsi="仿宋_GB2312" w:eastAsia="仿宋_GB2312" w:cs="仿宋_GB2312"/>
                <w:color w:val="auto"/>
                <w:sz w:val="24"/>
                <w:szCs w:val="24"/>
                <w:highlight w:val="none"/>
              </w:rPr>
              <w:t>备品、备件等方面</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bookmarkStart w:id="172" w:name="_GoBack"/>
            <w:bookmarkEnd w:id="172"/>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2.2价格分（40分）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auto"/>
          <w:sz w:val="36"/>
          <w:szCs w:val="20"/>
          <w:highlight w:val="none"/>
        </w:rPr>
      </w:pPr>
      <w:r>
        <w:rPr>
          <w:rFonts w:hint="eastAsia" w:ascii="仿宋_GB2312" w:hAnsi="宋体" w:eastAsia="仿宋_GB2312"/>
          <w:bCs/>
          <w:iCs/>
          <w:color w:val="auto"/>
          <w:sz w:val="24"/>
          <w:highlight w:val="none"/>
        </w:rPr>
        <w:t>即：投标报价得分=(评标基准价／投标报价)×40</w:t>
      </w:r>
      <w:bookmarkEnd w:id="5"/>
      <w:bookmarkEnd w:id="6"/>
      <w:bookmarkEnd w:id="7"/>
      <w:bookmarkEnd w:id="8"/>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4"/>
        <w:spacing w:line="800" w:lineRule="atLeast"/>
        <w:ind w:left="0" w:leftChars="0"/>
        <w:rPr>
          <w:rFonts w:ascii="仿宋_GB2312" w:hAnsi="宋体" w:eastAsia="仿宋_GB2312"/>
          <w:b/>
          <w:color w:val="auto"/>
          <w:sz w:val="36"/>
          <w:szCs w:val="36"/>
          <w:highlight w:val="none"/>
        </w:rPr>
      </w:pPr>
    </w:p>
    <w:p>
      <w:pPr>
        <w:pStyle w:val="24"/>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绍兴市人民医院镜湖总院医技专用计算机采购项目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2024-07-0080</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绍兴市人民医院</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绍兴市人民医院镜湖总院医技专用计算机采购项目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2024-07-0080</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绍兴市人民医院镜湖总院医技专用计算机采购项目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2024-07-0080</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绍兴市人民医院镜湖总院医技专用计算机采购项目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2024-07-0080</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p>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6" w:name="_Hlk101259491"/>
      <w:r>
        <w:rPr>
          <w:rFonts w:hint="eastAsia" w:ascii="仿宋_GB2312" w:hAnsi="仿宋" w:eastAsia="仿宋_GB2312" w:cs="仿宋"/>
          <w:color w:val="auto"/>
          <w:sz w:val="32"/>
          <w:szCs w:val="32"/>
          <w:highlight w:val="none"/>
        </w:rPr>
        <w:t>（如果有）</w:t>
      </w:r>
      <w:bookmarkEnd w:id="166"/>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7" w:name="_Toc465665161"/>
      <w:r>
        <w:rPr>
          <w:rFonts w:hint="eastAsia" w:ascii="仿宋_GB2312" w:hAnsi="仿宋" w:cs="仿宋"/>
          <w:color w:val="auto"/>
          <w:highlight w:val="none"/>
        </w:rPr>
        <w:t>附件</w:t>
      </w:r>
      <w:bookmarkEnd w:id="167"/>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68"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8"/>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9"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9"/>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70" w:name="OLE_LINK14"/>
      <w:bookmarkStart w:id="171" w:name="OLE_LINK13"/>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70"/>
    <w:bookmarkEnd w:id="171"/>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Microsoft Sans Serif">
    <w:panose1 w:val="020B0604020202020204"/>
    <w:charset w:val="00"/>
    <w:family w:val="swiss"/>
    <w:pitch w:val="default"/>
    <w:sig w:usb0="E5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宋体"/>
        <w:lang w:eastAsia="zh-CN"/>
      </w:rPr>
    </w:pPr>
    <w:r>
      <w:rPr>
        <w:rFonts w:hint="eastAsia"/>
      </w:rPr>
      <w:t>绍兴市公共资源交易中心                                           招标文件招标编号:</w:t>
    </w:r>
    <w:r>
      <w:rPr>
        <w:rFonts w:hint="eastAsia"/>
        <w:lang w:eastAsia="zh-CN"/>
      </w:rPr>
      <w:t>2024-07-0080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49664C"/>
    <w:multiLevelType w:val="singleLevel"/>
    <w:tmpl w:val="B149664C"/>
    <w:lvl w:ilvl="0" w:tentative="0">
      <w:start w:val="1"/>
      <w:numFmt w:val="chineseCounting"/>
      <w:suff w:val="nothing"/>
      <w:lvlText w:val="%1、"/>
      <w:lvlJc w:val="left"/>
      <w:pPr>
        <w:ind w:left="210" w:firstLine="0"/>
      </w:pPr>
      <w:rPr>
        <w:rFonts w:hint="eastAsia"/>
      </w:rPr>
    </w:lvl>
  </w:abstractNum>
  <w:abstractNum w:abstractNumId="1">
    <w:nsid w:val="EF598E87"/>
    <w:multiLevelType w:val="singleLevel"/>
    <w:tmpl w:val="EF598E87"/>
    <w:lvl w:ilvl="0" w:tentative="0">
      <w:start w:val="1"/>
      <w:numFmt w:val="decimal"/>
      <w:suff w:val="nothing"/>
      <w:lvlText w:val="%1．"/>
      <w:lvlJc w:val="left"/>
      <w:pPr>
        <w:ind w:left="0" w:firstLine="0"/>
      </w:pPr>
      <w:rPr>
        <w:rFonts w:hint="default"/>
      </w:rPr>
    </w:lvl>
  </w:abstractNum>
  <w:abstractNum w:abstractNumId="2">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3">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4">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25A7AC85"/>
    <w:multiLevelType w:val="singleLevel"/>
    <w:tmpl w:val="25A7AC85"/>
    <w:lvl w:ilvl="0" w:tentative="0">
      <w:start w:val="1"/>
      <w:numFmt w:val="decimal"/>
      <w:suff w:val="nothing"/>
      <w:lvlText w:val="3.%1．"/>
      <w:lvlJc w:val="left"/>
      <w:pPr>
        <w:ind w:left="0" w:firstLine="0"/>
      </w:pPr>
      <w:rPr>
        <w:rFonts w:hint="default"/>
      </w:rPr>
    </w:lvl>
  </w:abstractNum>
  <w:abstractNum w:abstractNumId="7">
    <w:nsid w:val="34CB06A6"/>
    <w:multiLevelType w:val="multilevel"/>
    <w:tmpl w:val="34CB06A6"/>
    <w:lvl w:ilvl="0" w:tentative="0">
      <w:start w:val="1"/>
      <w:numFmt w:val="lowerLetter"/>
      <w:lvlText w:val="%1)"/>
      <w:lvlJc w:val="left"/>
      <w:pPr>
        <w:ind w:left="108" w:hanging="269"/>
      </w:pPr>
      <w:rPr>
        <w:rFonts w:hint="default" w:ascii="黑体" w:hAnsi="黑体" w:eastAsia="黑体" w:cs="黑体"/>
        <w:spacing w:val="-2"/>
        <w:w w:val="100"/>
        <w:sz w:val="18"/>
        <w:szCs w:val="18"/>
      </w:rPr>
    </w:lvl>
    <w:lvl w:ilvl="1" w:tentative="0">
      <w:start w:val="0"/>
      <w:numFmt w:val="bullet"/>
      <w:lvlText w:val="•"/>
      <w:lvlJc w:val="left"/>
      <w:pPr>
        <w:ind w:left="379" w:hanging="269"/>
      </w:pPr>
      <w:rPr>
        <w:rFonts w:hint="default"/>
      </w:rPr>
    </w:lvl>
    <w:lvl w:ilvl="2" w:tentative="0">
      <w:start w:val="0"/>
      <w:numFmt w:val="bullet"/>
      <w:lvlText w:val="•"/>
      <w:lvlJc w:val="left"/>
      <w:pPr>
        <w:ind w:left="658" w:hanging="269"/>
      </w:pPr>
      <w:rPr>
        <w:rFonts w:hint="default"/>
      </w:rPr>
    </w:lvl>
    <w:lvl w:ilvl="3" w:tentative="0">
      <w:start w:val="0"/>
      <w:numFmt w:val="bullet"/>
      <w:lvlText w:val="•"/>
      <w:lvlJc w:val="left"/>
      <w:pPr>
        <w:ind w:left="938" w:hanging="269"/>
      </w:pPr>
      <w:rPr>
        <w:rFonts w:hint="default"/>
      </w:rPr>
    </w:lvl>
    <w:lvl w:ilvl="4" w:tentative="0">
      <w:start w:val="0"/>
      <w:numFmt w:val="bullet"/>
      <w:lvlText w:val="•"/>
      <w:lvlJc w:val="left"/>
      <w:pPr>
        <w:ind w:left="1217" w:hanging="269"/>
      </w:pPr>
      <w:rPr>
        <w:rFonts w:hint="default"/>
      </w:rPr>
    </w:lvl>
    <w:lvl w:ilvl="5" w:tentative="0">
      <w:start w:val="0"/>
      <w:numFmt w:val="bullet"/>
      <w:lvlText w:val="•"/>
      <w:lvlJc w:val="left"/>
      <w:pPr>
        <w:ind w:left="1497" w:hanging="269"/>
      </w:pPr>
      <w:rPr>
        <w:rFonts w:hint="default"/>
      </w:rPr>
    </w:lvl>
    <w:lvl w:ilvl="6" w:tentative="0">
      <w:start w:val="0"/>
      <w:numFmt w:val="bullet"/>
      <w:lvlText w:val="•"/>
      <w:lvlJc w:val="left"/>
      <w:pPr>
        <w:ind w:left="1776" w:hanging="269"/>
      </w:pPr>
      <w:rPr>
        <w:rFonts w:hint="default"/>
      </w:rPr>
    </w:lvl>
    <w:lvl w:ilvl="7" w:tentative="0">
      <w:start w:val="0"/>
      <w:numFmt w:val="bullet"/>
      <w:lvlText w:val="•"/>
      <w:lvlJc w:val="left"/>
      <w:pPr>
        <w:ind w:left="2055" w:hanging="269"/>
      </w:pPr>
      <w:rPr>
        <w:rFonts w:hint="default"/>
      </w:rPr>
    </w:lvl>
    <w:lvl w:ilvl="8" w:tentative="0">
      <w:start w:val="0"/>
      <w:numFmt w:val="bullet"/>
      <w:lvlText w:val="•"/>
      <w:lvlJc w:val="left"/>
      <w:pPr>
        <w:ind w:left="2335" w:hanging="269"/>
      </w:pPr>
      <w:rPr>
        <w:rFonts w:hint="default"/>
      </w:rPr>
    </w:lvl>
  </w:abstractNum>
  <w:abstractNum w:abstractNumId="8">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7B8B4B7"/>
    <w:multiLevelType w:val="singleLevel"/>
    <w:tmpl w:val="67B8B4B7"/>
    <w:lvl w:ilvl="0" w:tentative="0">
      <w:start w:val="1"/>
      <w:numFmt w:val="lowerLetter"/>
      <w:suff w:val="space"/>
      <w:lvlText w:val="%1)"/>
      <w:lvlJc w:val="left"/>
    </w:lvl>
  </w:abstractNum>
  <w:abstractNum w:abstractNumId="10">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1">
    <w:nsid w:val="721B52A7"/>
    <w:multiLevelType w:val="multilevel"/>
    <w:tmpl w:val="721B52A7"/>
    <w:lvl w:ilvl="0" w:tentative="0">
      <w:start w:val="1"/>
      <w:numFmt w:val="lowerLetter"/>
      <w:lvlText w:val="%1)"/>
      <w:lvlJc w:val="left"/>
      <w:pPr>
        <w:ind w:left="108" w:hanging="269"/>
      </w:pPr>
      <w:rPr>
        <w:rFonts w:hint="eastAsia" w:ascii="仿宋_GB2312" w:hAnsi="黑体" w:eastAsia="仿宋_GB2312" w:cs="黑体"/>
        <w:spacing w:val="-2"/>
        <w:w w:val="100"/>
        <w:sz w:val="21"/>
        <w:szCs w:val="21"/>
      </w:rPr>
    </w:lvl>
    <w:lvl w:ilvl="1" w:tentative="0">
      <w:start w:val="0"/>
      <w:numFmt w:val="bullet"/>
      <w:lvlText w:val="•"/>
      <w:lvlJc w:val="left"/>
      <w:pPr>
        <w:ind w:left="379" w:hanging="269"/>
      </w:pPr>
      <w:rPr>
        <w:rFonts w:hint="default"/>
      </w:rPr>
    </w:lvl>
    <w:lvl w:ilvl="2" w:tentative="0">
      <w:start w:val="0"/>
      <w:numFmt w:val="bullet"/>
      <w:lvlText w:val="•"/>
      <w:lvlJc w:val="left"/>
      <w:pPr>
        <w:ind w:left="658" w:hanging="269"/>
      </w:pPr>
      <w:rPr>
        <w:rFonts w:hint="default"/>
      </w:rPr>
    </w:lvl>
    <w:lvl w:ilvl="3" w:tentative="0">
      <w:start w:val="0"/>
      <w:numFmt w:val="bullet"/>
      <w:lvlText w:val="•"/>
      <w:lvlJc w:val="left"/>
      <w:pPr>
        <w:ind w:left="938" w:hanging="269"/>
      </w:pPr>
      <w:rPr>
        <w:rFonts w:hint="default"/>
      </w:rPr>
    </w:lvl>
    <w:lvl w:ilvl="4" w:tentative="0">
      <w:start w:val="0"/>
      <w:numFmt w:val="bullet"/>
      <w:lvlText w:val="•"/>
      <w:lvlJc w:val="left"/>
      <w:pPr>
        <w:ind w:left="1217" w:hanging="269"/>
      </w:pPr>
      <w:rPr>
        <w:rFonts w:hint="default"/>
      </w:rPr>
    </w:lvl>
    <w:lvl w:ilvl="5" w:tentative="0">
      <w:start w:val="0"/>
      <w:numFmt w:val="bullet"/>
      <w:lvlText w:val="•"/>
      <w:lvlJc w:val="left"/>
      <w:pPr>
        <w:ind w:left="1497" w:hanging="269"/>
      </w:pPr>
      <w:rPr>
        <w:rFonts w:hint="default"/>
      </w:rPr>
    </w:lvl>
    <w:lvl w:ilvl="6" w:tentative="0">
      <w:start w:val="0"/>
      <w:numFmt w:val="bullet"/>
      <w:lvlText w:val="•"/>
      <w:lvlJc w:val="left"/>
      <w:pPr>
        <w:ind w:left="1776" w:hanging="269"/>
      </w:pPr>
      <w:rPr>
        <w:rFonts w:hint="default"/>
      </w:rPr>
    </w:lvl>
    <w:lvl w:ilvl="7" w:tentative="0">
      <w:start w:val="0"/>
      <w:numFmt w:val="bullet"/>
      <w:lvlText w:val="•"/>
      <w:lvlJc w:val="left"/>
      <w:pPr>
        <w:ind w:left="2055" w:hanging="269"/>
      </w:pPr>
      <w:rPr>
        <w:rFonts w:hint="default"/>
      </w:rPr>
    </w:lvl>
    <w:lvl w:ilvl="8" w:tentative="0">
      <w:start w:val="0"/>
      <w:numFmt w:val="bullet"/>
      <w:lvlText w:val="•"/>
      <w:lvlJc w:val="left"/>
      <w:pPr>
        <w:ind w:left="2335" w:hanging="269"/>
      </w:pPr>
      <w:rPr>
        <w:rFonts w:hint="default"/>
      </w:rPr>
    </w:lvl>
  </w:abstractNum>
  <w:num w:numId="1">
    <w:abstractNumId w:val="8"/>
  </w:num>
  <w:num w:numId="2">
    <w:abstractNumId w:val="4"/>
  </w:num>
  <w:num w:numId="3">
    <w:abstractNumId w:val="3"/>
  </w:num>
  <w:num w:numId="4">
    <w:abstractNumId w:val="10"/>
  </w:num>
  <w:num w:numId="5">
    <w:abstractNumId w:val="2"/>
  </w:num>
  <w:num w:numId="6">
    <w:abstractNumId w:val="0"/>
  </w:num>
  <w:num w:numId="7">
    <w:abstractNumId w:val="6"/>
  </w:num>
  <w:num w:numId="8">
    <w:abstractNumId w:val="9"/>
  </w:num>
  <w:num w:numId="9">
    <w:abstractNumId w:val="11"/>
  </w:num>
  <w:num w:numId="10">
    <w:abstractNumId w:val="7"/>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216FD6"/>
    <w:rsid w:val="06DD10B4"/>
    <w:rsid w:val="0C5A614F"/>
    <w:rsid w:val="0E9B1399"/>
    <w:rsid w:val="19CF064A"/>
    <w:rsid w:val="1CB95273"/>
    <w:rsid w:val="20D55CB9"/>
    <w:rsid w:val="22BE521A"/>
    <w:rsid w:val="23583EB2"/>
    <w:rsid w:val="2989420F"/>
    <w:rsid w:val="2FA54326"/>
    <w:rsid w:val="34C2088E"/>
    <w:rsid w:val="3772612D"/>
    <w:rsid w:val="44A3398C"/>
    <w:rsid w:val="58B51813"/>
    <w:rsid w:val="5CBB66D7"/>
    <w:rsid w:val="60B56BB2"/>
    <w:rsid w:val="6354267E"/>
    <w:rsid w:val="6A1C0CA6"/>
    <w:rsid w:val="6A261A93"/>
    <w:rsid w:val="6EDB63E4"/>
    <w:rsid w:val="711918CC"/>
    <w:rsid w:val="72E87C49"/>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Char"/>
    <w:link w:val="2"/>
    <w:qFormat/>
    <w:uiPriority w:val="9"/>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9"/>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7886</Words>
  <Characters>44956</Characters>
  <Lines>374</Lines>
  <Paragraphs>105</Paragraphs>
  <TotalTime>0</TotalTime>
  <ScaleCrop>false</ScaleCrop>
  <LinksUpToDate>false</LinksUpToDate>
  <CharactersWithSpaces>52737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Administrator</cp:lastModifiedBy>
  <cp:lastPrinted>2023-07-24T23:14:00Z</cp:lastPrinted>
  <dcterms:modified xsi:type="dcterms:W3CDTF">2024-07-25T03:32:51Z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