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b/>
          <w:color w:val="auto"/>
          <w:spacing w:val="-12"/>
          <w:sz w:val="48"/>
          <w:szCs w:val="48"/>
          <w:highlight w:val="none"/>
          <w:lang w:eastAsia="zh-CN"/>
        </w:rPr>
      </w:pPr>
      <w:r>
        <w:rPr>
          <w:rFonts w:hint="eastAsia" w:ascii="仿宋_GB2312" w:hAnsi="仿宋_GB2312" w:eastAsia="仿宋_GB2312" w:cs="仿宋_GB2312"/>
          <w:b/>
          <w:color w:val="auto"/>
          <w:spacing w:val="-12"/>
          <w:sz w:val="48"/>
          <w:szCs w:val="48"/>
          <w:highlight w:val="none"/>
          <w:lang w:eastAsia="zh-CN"/>
        </w:rPr>
        <w:t>浙江农业商贸职业学院</w:t>
      </w:r>
    </w:p>
    <w:p>
      <w:pPr>
        <w:jc w:val="center"/>
        <w:outlineLvl w:val="0"/>
        <w:rPr>
          <w:rFonts w:hint="eastAsia" w:ascii="仿宋_GB2312" w:hAnsi="仿宋_GB2312" w:eastAsia="仿宋_GB2312" w:cs="仿宋_GB2312"/>
          <w:b/>
          <w:color w:val="auto"/>
          <w:spacing w:val="-12"/>
          <w:sz w:val="48"/>
          <w:szCs w:val="48"/>
          <w:highlight w:val="none"/>
          <w:lang w:eastAsia="zh-CN"/>
        </w:rPr>
      </w:pPr>
      <w:r>
        <w:rPr>
          <w:rFonts w:hint="eastAsia" w:ascii="仿宋_GB2312" w:hAnsi="仿宋_GB2312" w:eastAsia="仿宋_GB2312" w:cs="仿宋_GB2312"/>
          <w:b/>
          <w:color w:val="auto"/>
          <w:spacing w:val="-12"/>
          <w:sz w:val="48"/>
          <w:szCs w:val="48"/>
          <w:highlight w:val="none"/>
          <w:lang w:eastAsia="zh-CN"/>
        </w:rPr>
        <w:t>教学环境提升改造项目</w:t>
      </w:r>
    </w:p>
    <w:p>
      <w:pPr>
        <w:outlineLvl w:val="0"/>
        <w:rPr>
          <w:rFonts w:hint="eastAsia" w:ascii="仿宋_GB2312" w:hAnsi="仿宋_GB2312" w:eastAsia="仿宋_GB2312" w:cs="仿宋_GB2312"/>
          <w:color w:val="auto"/>
          <w:sz w:val="44"/>
          <w:highlight w:val="none"/>
        </w:rPr>
      </w:pPr>
    </w:p>
    <w:p>
      <w:pPr>
        <w:outlineLvl w:val="0"/>
        <w:rPr>
          <w:rFonts w:hint="eastAsia" w:ascii="仿宋_GB2312" w:hAnsi="仿宋_GB2312" w:eastAsia="仿宋_GB2312" w:cs="仿宋_GB2312"/>
          <w:color w:val="auto"/>
          <w:sz w:val="44"/>
          <w:highlight w:val="none"/>
        </w:rPr>
      </w:pP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hint="eastAsia" w:ascii="仿宋_GB2312" w:hAnsi="仿宋_GB2312" w:eastAsia="仿宋_GB2312" w:cs="仿宋_GB2312"/>
          <w:color w:val="auto"/>
          <w:sz w:val="44"/>
          <w:highlight w:val="none"/>
        </w:rPr>
      </w:pPr>
    </w:p>
    <w:p>
      <w:pPr>
        <w:jc w:val="center"/>
        <w:outlineLvl w:val="0"/>
        <w:rPr>
          <w:rFonts w:hint="eastAsia" w:ascii="仿宋_GB2312" w:hAnsi="仿宋_GB2312" w:eastAsia="仿宋_GB2312" w:cs="仿宋_GB2312"/>
          <w:color w:val="auto"/>
          <w:sz w:val="44"/>
          <w:highlight w:val="none"/>
        </w:rPr>
      </w:pPr>
    </w:p>
    <w:p>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2024-06-0069</w:t>
      </w:r>
    </w:p>
    <w:tbl>
      <w:tblPr>
        <w:tblStyle w:val="6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浙江农业商贸职业学院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浙江省财政厅政府采购监管处</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_GB2312" w:hAnsi="仿宋_GB2312" w:eastAsia="仿宋_GB2312" w:cs="仿宋_GB2312"/>
                <w:color w:val="auto"/>
                <w:sz w:val="28"/>
                <w:szCs w:val="28"/>
                <w:highlight w:val="none"/>
              </w:rPr>
            </w:pP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w:t>
            </w:r>
            <w:r>
              <w:rPr>
                <w:rFonts w:hint="eastAsia" w:ascii="仿宋_GB2312" w:hAnsi="仿宋_GB2312" w:eastAsia="仿宋_GB2312" w:cs="仿宋_GB2312"/>
                <w:color w:val="auto"/>
                <w:sz w:val="28"/>
                <w:szCs w:val="28"/>
                <w:highlight w:val="none"/>
                <w:lang w:val="en-US" w:eastAsia="zh-CN"/>
              </w:rPr>
              <w:t>四</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六</w:t>
            </w:r>
            <w:r>
              <w:rPr>
                <w:rFonts w:hint="eastAsia" w:ascii="仿宋_GB2312" w:hAnsi="仿宋_GB2312" w:eastAsia="仿宋_GB2312" w:cs="仿宋_GB2312"/>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5"/>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100"/>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100"/>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浙江农业商贸职业学院教学环境提升改造项目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月</w:t>
                  </w:r>
                  <w:r>
                    <w:rPr>
                      <w:rFonts w:hint="eastAsia" w:ascii="仿宋_GB2312" w:hAnsi="新宋体" w:eastAsia="仿宋_GB2312"/>
                      <w:color w:val="auto"/>
                      <w:szCs w:val="24"/>
                      <w:highlight w:val="none"/>
                      <w:lang w:val="en-US" w:eastAsia="zh-CN"/>
                    </w:rPr>
                    <w:t xml:space="preserve"> </w:t>
                  </w:r>
                  <w:r>
                    <w:rPr>
                      <w:rFonts w:hint="eastAsia" w:ascii="仿宋_GB2312" w:hAnsi="新宋体" w:eastAsia="仿宋_GB2312"/>
                      <w:color w:val="auto"/>
                      <w:szCs w:val="24"/>
                      <w:highlight w:val="none"/>
                    </w:rPr>
                    <w:t xml:space="preserve"> 日9点00分00秒（北京时间）前递交（上传）投标文件。</w:t>
                  </w:r>
                </w:p>
              </w:tc>
            </w:tr>
          </w:tbl>
          <w:p>
            <w:pPr>
              <w:pStyle w:val="100"/>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100"/>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2024-06-0069</w:t>
            </w:r>
          </w:p>
          <w:p>
            <w:pPr>
              <w:pStyle w:val="100"/>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浙江农业商贸职业学院教学环境提升改造项目</w:t>
            </w:r>
          </w:p>
          <w:p>
            <w:pPr>
              <w:pStyle w:val="100"/>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100"/>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预算金额（元）：11532</w:t>
            </w:r>
            <w:r>
              <w:rPr>
                <w:rFonts w:hint="eastAsia" w:ascii="仿宋_GB2312" w:hAnsi="新宋体" w:eastAsia="仿宋_GB2312"/>
                <w:b/>
                <w:color w:val="auto"/>
                <w:szCs w:val="24"/>
                <w:highlight w:val="none"/>
                <w:lang w:val="en-US" w:eastAsia="zh-CN"/>
              </w:rPr>
              <w:t>00</w:t>
            </w:r>
          </w:p>
          <w:p>
            <w:pPr>
              <w:pStyle w:val="100"/>
              <w:spacing w:afterLines="0" w:line="440" w:lineRule="exact"/>
              <w:ind w:firstLine="482"/>
              <w:rPr>
                <w:rFonts w:ascii="仿宋_GB2312" w:hAnsi="新宋体" w:eastAsia="仿宋_GB2312"/>
                <w:b w:val="0"/>
                <w:bCs/>
                <w:color w:val="auto"/>
                <w:szCs w:val="24"/>
                <w:highlight w:val="none"/>
              </w:rPr>
            </w:pPr>
            <w:r>
              <w:rPr>
                <w:rFonts w:hint="eastAsia" w:ascii="仿宋_GB2312" w:hAnsi="新宋体" w:eastAsia="仿宋_GB2312"/>
                <w:b/>
                <w:color w:val="auto"/>
                <w:szCs w:val="24"/>
                <w:highlight w:val="none"/>
              </w:rPr>
              <w:t>最高限价（元）：11532</w:t>
            </w:r>
            <w:r>
              <w:rPr>
                <w:rFonts w:hint="eastAsia" w:ascii="仿宋_GB2312" w:hAnsi="新宋体" w:eastAsia="仿宋_GB2312"/>
                <w:b/>
                <w:color w:val="auto"/>
                <w:szCs w:val="24"/>
                <w:highlight w:val="none"/>
                <w:lang w:val="en-US" w:eastAsia="zh-CN"/>
              </w:rPr>
              <w:t>00</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00"/>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标项名称:报告厅</w:t>
            </w:r>
            <w:r>
              <w:rPr>
                <w:rFonts w:hint="eastAsia" w:ascii="仿宋_GB2312" w:hAnsi="新宋体" w:eastAsia="仿宋_GB2312"/>
                <w:color w:val="auto"/>
                <w:szCs w:val="24"/>
                <w:highlight w:val="none"/>
                <w:lang w:eastAsia="zh-CN"/>
              </w:rPr>
              <w:t>教学环境提升改造项目</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预算金额（元）:1153200</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w:t>
            </w:r>
            <w:r>
              <w:rPr>
                <w:rFonts w:hint="eastAsia" w:ascii="仿宋_GB2312" w:hAnsi="新宋体" w:eastAsia="仿宋_GB2312"/>
                <w:color w:val="auto"/>
                <w:szCs w:val="24"/>
                <w:highlight w:val="none"/>
                <w:lang w:val="en-US" w:eastAsia="zh-CN"/>
              </w:rPr>
              <w:t>:</w:t>
            </w:r>
            <w:r>
              <w:rPr>
                <w:rFonts w:hint="eastAsia" w:ascii="仿宋_GB2312" w:hAnsi="新宋体" w:eastAsia="仿宋_GB2312"/>
                <w:color w:val="auto"/>
                <w:szCs w:val="24"/>
                <w:highlight w:val="none"/>
              </w:rPr>
              <w:t>详见采购文件。</w:t>
            </w:r>
          </w:p>
          <w:p>
            <w:pPr>
              <w:pStyle w:val="100"/>
              <w:spacing w:afterLines="0" w:line="440" w:lineRule="exact"/>
              <w:ind w:firstLine="482"/>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100"/>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lang w:eastAsia="zh-CN"/>
              </w:rPr>
              <w:t>备注：无。</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00FE"/>
                </w:r>
              </w:sdtContent>
            </w:sdt>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100"/>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100"/>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 </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4</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9</w:t>
            </w:r>
            <w:r>
              <w:rPr>
                <w:rFonts w:hint="eastAsia" w:ascii="仿宋_GB2312" w:hAnsi="仿宋" w:eastAsia="仿宋_GB2312" w:cs="仿宋"/>
                <w:color w:val="auto"/>
                <w:sz w:val="24"/>
                <w:highlight w:val="none"/>
                <w:u w:val="single"/>
              </w:rPr>
              <w:t xml:space="preserve"> 点</w:t>
            </w:r>
            <w:r>
              <w:rPr>
                <w:rFonts w:hint="eastAsia" w:ascii="仿宋_GB2312" w:hAnsi="仿宋" w:eastAsia="仿宋_GB2312" w:cs="仿宋"/>
                <w:color w:val="auto"/>
                <w:sz w:val="24"/>
                <w:highlight w:val="none"/>
                <w:u w:val="single"/>
                <w:lang w:val="en-US" w:eastAsia="zh-CN"/>
              </w:rPr>
              <w:t>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100"/>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100"/>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浙江农业商贸职业学院</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地址：绍兴市世纪东街770号</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传真：0575-88173085</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项目联系人（询问）：王婷婷</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项目联系方式（询问）：0575-88173085</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质疑联系人：谢芳</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质疑联系方式：0575-88173085</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名称：浙江省财政厅政府采购监管处</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地址：浙江省杭州市西湖区环城西路37号</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传真：0571-87057615</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联系人：倪文良</w:t>
            </w:r>
          </w:p>
          <w:p>
            <w:pPr>
              <w:pStyle w:val="100"/>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监督投诉电话：0571-87057615</w:t>
            </w:r>
            <w:r>
              <w:rPr>
                <w:rFonts w:hint="eastAsia"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hint="eastAsia"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若对项目采购电子交易系统操作有疑问，可登录政采云（https://www.zcygov.cn/），点击右侧咨询小采，获取采小蜜智能服务管家帮助，或拨打政采云服务热线95763</w:t>
            </w:r>
            <w:r>
              <w:rPr>
                <w:rFonts w:hint="eastAsia" w:ascii="仿宋_GB2312" w:hAnsi="新宋体" w:eastAsia="仿宋_GB2312"/>
                <w:color w:val="auto"/>
                <w:szCs w:val="24"/>
                <w:highlight w:val="none"/>
              </w:rPr>
              <w:t>获取热线服务帮助。</w:t>
            </w:r>
          </w:p>
          <w:p>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bCs/>
                <w:color w:val="auto"/>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r>
              <w:rPr>
                <w:rFonts w:hint="eastAsia" w:ascii="仿宋_GB2312" w:hAnsi="仿宋" w:eastAsia="仿宋_GB2312" w:cs="仿宋"/>
                <w:b/>
                <w:bCs/>
                <w:color w:val="auto"/>
                <w:sz w:val="24"/>
                <w:highlight w:val="none"/>
              </w:rPr>
              <w:t>B有方案讲解演示：</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（1）在评标时安排每个供应商进行方案讲解演示。每个供应商时间不超过</w:t>
            </w:r>
            <w:r>
              <w:rPr>
                <w:rFonts w:hint="eastAsia" w:ascii="仿宋_GB2312" w:hAnsi="仿宋" w:eastAsia="仿宋_GB2312" w:cs="仿宋"/>
                <w:b/>
                <w:bCs/>
                <w:color w:val="auto"/>
                <w:sz w:val="24"/>
                <w:highlight w:val="none"/>
                <w:u w:val="single"/>
              </w:rPr>
              <w:t xml:space="preserve"> 15 </w:t>
            </w:r>
            <w:r>
              <w:rPr>
                <w:rFonts w:hint="eastAsia" w:ascii="仿宋_GB2312" w:hAnsi="仿宋" w:eastAsia="仿宋_GB2312" w:cs="仿宋"/>
                <w:b/>
                <w:bCs/>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（2）方案讲解演示可选择以下其中一种方式：</w:t>
            </w:r>
          </w:p>
          <w:p>
            <w:pPr>
              <w:spacing w:line="440" w:lineRule="exact"/>
              <w:rPr>
                <w:rFonts w:ascii="仿宋_GB2312" w:hAnsi="仿宋" w:eastAsia="仿宋_GB2312" w:cs="仿宋"/>
                <w:b/>
                <w:bCs/>
                <w:color w:val="auto"/>
                <w:sz w:val="24"/>
                <w:highlight w:val="none"/>
                <w:lang w:val="zh-CN"/>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r>
              <w:rPr>
                <w:rFonts w:hint="eastAsia" w:ascii="仿宋_GB2312" w:hAnsi="仿宋" w:eastAsia="仿宋_GB2312" w:cs="仿宋"/>
                <w:b/>
                <w:bCs/>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kern w:val="0"/>
                <w:sz w:val="24"/>
                <w:highlight w:val="none"/>
                <w:u w:val="single"/>
              </w:rPr>
              <w:t>3P柜式空调（一）</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8"/>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5"/>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6"/>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3"/>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3"/>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3"/>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7"/>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7"/>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6"/>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6"/>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6"/>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7"/>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rPr>
          <w:rFonts w:hint="eastAsia" w:ascii="仿宋_GB2312" w:hAnsi="仿宋_GB2312" w:eastAsia="仿宋_GB2312" w:cs="仿宋_GB2312"/>
          <w:b/>
          <w:bCs/>
          <w:color w:val="auto"/>
          <w:sz w:val="24"/>
          <w:szCs w:val="24"/>
          <w:highlight w:val="none"/>
          <w:shd w:val="clear" w:color="auto" w:fill="auto"/>
          <w:lang w:val="en-US" w:eastAsia="zh-CN"/>
        </w:rPr>
      </w:pPr>
      <w:bookmarkStart w:id="4" w:name="_Toc151354173"/>
      <w:bookmarkStart w:id="5" w:name="_Toc32678"/>
      <w:bookmarkStart w:id="6" w:name="_Toc7206"/>
      <w:bookmarkStart w:id="7" w:name="_Toc80157775"/>
      <w:bookmarkStart w:id="8" w:name="_Toc81372964"/>
      <w:bookmarkStart w:id="9" w:name="_Toc84325981"/>
      <w:bookmarkStart w:id="10" w:name="_Toc81372787"/>
      <w:r>
        <w:rPr>
          <w:rFonts w:hint="eastAsia" w:ascii="仿宋_GB2312" w:hAnsi="仿宋_GB2312" w:eastAsia="仿宋_GB2312" w:cs="仿宋_GB2312"/>
          <w:b/>
          <w:bCs/>
          <w:color w:val="auto"/>
          <w:sz w:val="24"/>
          <w:szCs w:val="24"/>
          <w:highlight w:val="none"/>
          <w:bdr w:val="single" w:sz="4" w:space="0"/>
          <w:shd w:val="clear" w:color="auto" w:fill="auto"/>
          <w:lang w:val="en-US" w:eastAsia="zh-CN"/>
        </w:rPr>
        <w:t>01标</w:t>
      </w:r>
      <w:r>
        <w:rPr>
          <w:rFonts w:hint="eastAsia" w:ascii="仿宋_GB2312" w:hAnsi="仿宋_GB2312" w:eastAsia="仿宋_GB2312" w:cs="仿宋_GB2312"/>
          <w:b/>
          <w:bCs/>
          <w:color w:val="auto"/>
          <w:sz w:val="24"/>
          <w:szCs w:val="24"/>
          <w:highlight w:val="none"/>
          <w:shd w:val="clear" w:color="auto" w:fill="auto"/>
          <w:lang w:val="en-US" w:eastAsia="zh-CN"/>
        </w:rPr>
        <w:t>报告厅教学环境提升改造项目</w:t>
      </w:r>
    </w:p>
    <w:p>
      <w:pPr>
        <w:spacing w:line="400" w:lineRule="exact"/>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lang w:eastAsia="zh-CN"/>
          <w14:textFill>
            <w14:solidFill>
              <w14:schemeClr w14:val="tx1"/>
            </w14:solidFill>
          </w14:textFill>
        </w:rPr>
        <w:t>一</w:t>
      </w:r>
      <w:r>
        <w:rPr>
          <w:rFonts w:hint="eastAsia" w:ascii="仿宋_GB2312" w:eastAsia="仿宋_GB2312"/>
          <w:b/>
          <w:color w:val="000000" w:themeColor="text1"/>
          <w:sz w:val="24"/>
          <w14:textFill>
            <w14:solidFill>
              <w14:schemeClr w14:val="tx1"/>
            </w14:solidFill>
          </w14:textFill>
        </w:rPr>
        <w:t>、</w:t>
      </w:r>
      <w:r>
        <w:rPr>
          <w:rFonts w:hint="eastAsia" w:ascii="仿宋_GB2312" w:eastAsia="仿宋_GB2312"/>
          <w:b/>
          <w:color w:val="000000" w:themeColor="text1"/>
          <w:sz w:val="24"/>
          <w:lang w:eastAsia="zh-CN"/>
          <w14:textFill>
            <w14:solidFill>
              <w14:schemeClr w14:val="tx1"/>
            </w14:solidFill>
          </w14:textFill>
        </w:rPr>
        <w:t>设备</w:t>
      </w:r>
      <w:r>
        <w:rPr>
          <w:rFonts w:hint="eastAsia" w:ascii="仿宋_GB2312" w:eastAsia="仿宋_GB2312"/>
          <w:b/>
          <w:color w:val="000000" w:themeColor="text1"/>
          <w:sz w:val="24"/>
          <w14:textFill>
            <w14:solidFill>
              <w14:schemeClr w14:val="tx1"/>
            </w14:solidFill>
          </w14:textFill>
        </w:rPr>
        <w:t>数量</w:t>
      </w:r>
      <w:r>
        <w:rPr>
          <w:rFonts w:hint="eastAsia" w:ascii="仿宋_GB2312" w:eastAsia="仿宋_GB2312"/>
          <w:b/>
          <w:color w:val="000000" w:themeColor="text1"/>
          <w:sz w:val="24"/>
          <w:lang w:eastAsia="zh-CN"/>
          <w14:textFill>
            <w14:solidFill>
              <w14:schemeClr w14:val="tx1"/>
            </w14:solidFill>
          </w14:textFill>
        </w:rPr>
        <w:t>及性</w:t>
      </w:r>
      <w:r>
        <w:rPr>
          <w:rFonts w:hint="eastAsia" w:ascii="仿宋_GB2312" w:eastAsia="仿宋_GB2312"/>
          <w:b/>
          <w:color w:val="000000" w:themeColor="text1"/>
          <w:sz w:val="24"/>
          <w14:textFill>
            <w14:solidFill>
              <w14:schemeClr w14:val="tx1"/>
            </w14:solidFill>
          </w14:textFill>
        </w:rPr>
        <w:t>能</w:t>
      </w:r>
      <w:r>
        <w:rPr>
          <w:rFonts w:hint="eastAsia" w:ascii="仿宋_GB2312" w:hAnsi="宋体" w:eastAsia="仿宋_GB2312" w:cs="宋体"/>
          <w:b/>
          <w:color w:val="000000" w:themeColor="text1"/>
          <w:sz w:val="24"/>
          <w14:textFill>
            <w14:solidFill>
              <w14:schemeClr w14:val="tx1"/>
            </w14:solidFill>
          </w14:textFill>
        </w:rPr>
        <w:t>参数要求</w:t>
      </w:r>
      <w:r>
        <w:rPr>
          <w:rFonts w:hint="eastAsia" w:ascii="仿宋_GB2312" w:eastAsia="仿宋_GB2312"/>
          <w:b/>
          <w:color w:val="000000" w:themeColor="text1"/>
          <w:sz w:val="24"/>
          <w14:textFill>
            <w14:solidFill>
              <w14:schemeClr w14:val="tx1"/>
            </w14:solidFill>
          </w14:textFill>
        </w:rPr>
        <w:t>：</w:t>
      </w:r>
    </w:p>
    <w:tbl>
      <w:tblPr>
        <w:tblStyle w:val="65"/>
        <w:tblW w:w="87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732"/>
        <w:gridCol w:w="1276"/>
        <w:gridCol w:w="4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7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货物名称</w:t>
            </w:r>
          </w:p>
        </w:tc>
        <w:tc>
          <w:tcPr>
            <w:tcW w:w="732"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数量</w:t>
            </w:r>
          </w:p>
        </w:tc>
        <w:tc>
          <w:tcPr>
            <w:tcW w:w="1276"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参考品牌</w:t>
            </w:r>
          </w:p>
        </w:tc>
        <w:tc>
          <w:tcPr>
            <w:tcW w:w="4932"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详细技术性能要求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17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40"/>
              <w:jc w:val="center"/>
              <w:rPr>
                <w:rFonts w:hint="eastAsia" w:ascii="仿宋_GB2312" w:hAnsi="宋体" w:eastAsia="仿宋_GB2312"/>
                <w:color w:val="000000" w:themeColor="text1"/>
                <w:sz w:val="24"/>
                <w:highlight w:val="none"/>
                <w:lang w:eastAsia="zh-CN"/>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3P柜式空调</w:t>
            </w:r>
            <w:r>
              <w:rPr>
                <w:rFonts w:hint="eastAsia" w:ascii="仿宋_GB2312" w:hAnsi="宋体" w:eastAsia="仿宋_GB2312"/>
                <w:color w:val="000000" w:themeColor="text1"/>
                <w:sz w:val="24"/>
                <w:highlight w:val="none"/>
                <w:lang w:eastAsia="zh-CN"/>
                <w14:textFill>
                  <w14:solidFill>
                    <w14:schemeClr w14:val="tx1"/>
                  </w14:solidFill>
                </w14:textFill>
              </w:rPr>
              <w:t>（一）</w:t>
            </w:r>
          </w:p>
          <w:p>
            <w:pPr>
              <w:adjustRightInd w:val="0"/>
              <w:snapToGrid w:val="0"/>
              <w:spacing w:line="400" w:lineRule="exact"/>
              <w:ind w:firstLine="240"/>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（核心产品）</w:t>
            </w:r>
          </w:p>
        </w:tc>
        <w:tc>
          <w:tcPr>
            <w:tcW w:w="732"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both"/>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152</w:t>
            </w:r>
          </w:p>
        </w:tc>
        <w:tc>
          <w:tcPr>
            <w:tcW w:w="1276" w:type="dxa"/>
            <w:tcBorders>
              <w:top w:val="single" w:color="auto" w:sz="4" w:space="0"/>
              <w:left w:val="nil"/>
              <w:bottom w:val="single" w:color="auto" w:sz="4" w:space="0"/>
              <w:right w:val="single" w:color="auto" w:sz="4" w:space="0"/>
            </w:tcBorders>
            <w:vAlign w:val="center"/>
          </w:tcPr>
          <w:p>
            <w:pPr>
              <w:spacing w:line="400" w:lineRule="exact"/>
              <w:ind w:firstLine="240"/>
              <w:jc w:val="center"/>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格力、美的、海尔</w:t>
            </w:r>
          </w:p>
        </w:tc>
        <w:tc>
          <w:tcPr>
            <w:tcW w:w="4932" w:type="dxa"/>
            <w:tcBorders>
              <w:top w:val="single" w:color="auto" w:sz="4" w:space="0"/>
              <w:left w:val="nil"/>
              <w:bottom w:val="single" w:color="auto" w:sz="4" w:space="0"/>
              <w:right w:val="single" w:color="auto" w:sz="4" w:space="0"/>
            </w:tcBorders>
            <w:vAlign w:val="center"/>
          </w:tcPr>
          <w:p>
            <w:pPr>
              <w:spacing w:line="400" w:lineRule="exact"/>
              <w:rPr>
                <w:rFonts w:ascii="仿宋_GB2312" w:hAnsi="宋体" w:eastAsia="仿宋_GB2312"/>
                <w:sz w:val="24"/>
                <w:highlight w:val="none"/>
              </w:rPr>
            </w:pPr>
            <w:r>
              <w:rPr>
                <w:rFonts w:hint="eastAsia" w:ascii="仿宋_GB2312" w:hAnsi="宋体" w:eastAsia="仿宋_GB2312"/>
                <w:color w:val="000000" w:themeColor="text1"/>
                <w:sz w:val="24"/>
                <w:highlight w:val="none"/>
                <w14:textFill>
                  <w14:solidFill>
                    <w14:schemeClr w14:val="tx1"/>
                  </w14:solidFill>
                </w14:textFill>
              </w:rPr>
              <w:t>1、★能效等级：</w:t>
            </w:r>
            <w:r>
              <w:rPr>
                <w:rFonts w:hint="eastAsia" w:ascii="仿宋_GB2312" w:hAnsi="宋体" w:eastAsia="仿宋_GB2312"/>
                <w:sz w:val="24"/>
                <w:highlight w:val="none"/>
              </w:rPr>
              <w:t>二级能效及以上</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2</w:t>
            </w:r>
            <w:r>
              <w:rPr>
                <w:rFonts w:hint="eastAsia" w:ascii="仿宋_GB2312" w:hAnsi="宋体" w:eastAsia="仿宋_GB2312"/>
                <w:color w:val="000000" w:themeColor="text1"/>
                <w:sz w:val="24"/>
                <w:highlight w:val="none"/>
                <w14:textFill>
                  <w14:solidFill>
                    <w14:schemeClr w14:val="tx1"/>
                  </w14:solidFill>
                </w14:textFill>
              </w:rPr>
              <w:t>、电源规格：380V</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3</w:t>
            </w:r>
            <w:r>
              <w:rPr>
                <w:rFonts w:hint="eastAsia" w:ascii="仿宋_GB2312" w:hAnsi="宋体" w:eastAsia="仿宋_GB2312"/>
                <w:color w:val="000000" w:themeColor="text1"/>
                <w:sz w:val="24"/>
                <w:highlight w:val="none"/>
                <w14:textFill>
                  <w14:solidFill>
                    <w14:schemeClr w14:val="tx1"/>
                  </w14:solidFill>
                </w14:textFill>
              </w:rPr>
              <w:t>、▲制冷量：≥7</w:t>
            </w:r>
            <w:r>
              <w:rPr>
                <w:rFonts w:ascii="仿宋_GB2312" w:hAnsi="宋体" w:eastAsia="仿宋_GB2312"/>
                <w:color w:val="000000" w:themeColor="text1"/>
                <w:sz w:val="24"/>
                <w:highlight w:val="none"/>
                <w14:textFill>
                  <w14:solidFill>
                    <w14:schemeClr w14:val="tx1"/>
                  </w14:solidFill>
                </w14:textFill>
              </w:rPr>
              <w:t>2</w:t>
            </w:r>
            <w:r>
              <w:rPr>
                <w:rFonts w:hint="eastAsia" w:ascii="仿宋_GB2312" w:hAnsi="宋体" w:eastAsia="仿宋_GB2312"/>
                <w:color w:val="000000" w:themeColor="text1"/>
                <w:sz w:val="24"/>
                <w:highlight w:val="none"/>
                <w14:textFill>
                  <w14:solidFill>
                    <w14:schemeClr w14:val="tx1"/>
                  </w14:solidFill>
                </w14:textFill>
              </w:rPr>
              <w:t>00W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4</w:t>
            </w:r>
            <w:r>
              <w:rPr>
                <w:rFonts w:hint="eastAsia" w:ascii="仿宋_GB2312" w:hAnsi="宋体" w:eastAsia="仿宋_GB2312"/>
                <w:color w:val="000000" w:themeColor="text1"/>
                <w:sz w:val="24"/>
                <w:highlight w:val="none"/>
                <w14:textFill>
                  <w14:solidFill>
                    <w14:schemeClr w14:val="tx1"/>
                  </w14:solidFill>
                </w14:textFill>
              </w:rPr>
              <w:t>、▲制冷功率：≤2</w:t>
            </w:r>
            <w:r>
              <w:rPr>
                <w:rFonts w:ascii="仿宋_GB2312" w:hAnsi="宋体" w:eastAsia="仿宋_GB2312"/>
                <w:color w:val="000000" w:themeColor="text1"/>
                <w:sz w:val="24"/>
                <w:highlight w:val="none"/>
                <w14:textFill>
                  <w14:solidFill>
                    <w14:schemeClr w14:val="tx1"/>
                  </w14:solidFill>
                </w14:textFill>
              </w:rPr>
              <w:t>200</w:t>
            </w:r>
            <w:r>
              <w:rPr>
                <w:rFonts w:hint="eastAsia" w:ascii="仿宋_GB2312" w:hAnsi="宋体" w:eastAsia="仿宋_GB2312"/>
                <w:color w:val="000000" w:themeColor="text1"/>
                <w:sz w:val="24"/>
                <w:highlight w:val="none"/>
                <w14:textFill>
                  <w14:solidFill>
                    <w14:schemeClr w14:val="tx1"/>
                  </w14:solidFill>
                </w14:textFill>
              </w:rPr>
              <w:t>W</w:t>
            </w:r>
          </w:p>
          <w:p>
            <w:pPr>
              <w:spacing w:line="400" w:lineRule="exact"/>
              <w:rPr>
                <w:rFonts w:ascii="仿宋_GB2312" w:hAnsi="宋体" w:eastAsia="仿宋_GB2312"/>
                <w:dstrike/>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5</w:t>
            </w:r>
            <w:r>
              <w:rPr>
                <w:rFonts w:hint="eastAsia" w:ascii="仿宋_GB2312" w:hAnsi="宋体" w:eastAsia="仿宋_GB2312"/>
                <w:color w:val="000000" w:themeColor="text1"/>
                <w:sz w:val="24"/>
                <w:highlight w:val="none"/>
                <w14:textFill>
                  <w14:solidFill>
                    <w14:schemeClr w14:val="tx1"/>
                  </w14:solidFill>
                </w14:textFill>
              </w:rPr>
              <w:t>、制热量：≥8150W</w:t>
            </w:r>
          </w:p>
          <w:p>
            <w:pPr>
              <w:spacing w:line="400" w:lineRule="exact"/>
              <w:rPr>
                <w:rFonts w:ascii="仿宋_GB2312" w:hAnsi="宋体" w:eastAsia="仿宋_GB2312"/>
                <w:dstrike/>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6</w:t>
            </w:r>
            <w:r>
              <w:rPr>
                <w:rFonts w:hint="eastAsia" w:ascii="仿宋_GB2312" w:hAnsi="宋体" w:eastAsia="仿宋_GB2312"/>
                <w:color w:val="000000" w:themeColor="text1"/>
                <w:sz w:val="24"/>
                <w:highlight w:val="none"/>
                <w14:textFill>
                  <w14:solidFill>
                    <w14:schemeClr w14:val="tx1"/>
                  </w14:solidFill>
                </w14:textFill>
              </w:rPr>
              <w:t>、制热功率：≤2</w:t>
            </w:r>
            <w:r>
              <w:rPr>
                <w:rFonts w:ascii="仿宋_GB2312" w:hAnsi="宋体" w:eastAsia="仿宋_GB2312"/>
                <w:color w:val="000000" w:themeColor="text1"/>
                <w:sz w:val="24"/>
                <w:highlight w:val="none"/>
                <w14:textFill>
                  <w14:solidFill>
                    <w14:schemeClr w14:val="tx1"/>
                  </w14:solidFill>
                </w14:textFill>
              </w:rPr>
              <w:t>5</w:t>
            </w:r>
            <w:r>
              <w:rPr>
                <w:rFonts w:hint="eastAsia" w:ascii="仿宋_GB2312" w:hAnsi="宋体" w:eastAsia="仿宋_GB2312"/>
                <w:color w:val="000000" w:themeColor="text1"/>
                <w:sz w:val="24"/>
                <w:highlight w:val="none"/>
                <w14:textFill>
                  <w14:solidFill>
                    <w14:schemeClr w14:val="tx1"/>
                  </w14:solidFill>
                </w14:textFill>
              </w:rPr>
              <w:t>00W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7</w:t>
            </w:r>
            <w:r>
              <w:rPr>
                <w:rFonts w:hint="eastAsia" w:ascii="仿宋_GB2312" w:hAnsi="宋体" w:eastAsia="仿宋_GB2312"/>
                <w:color w:val="000000" w:themeColor="text1"/>
                <w:sz w:val="24"/>
                <w:highlight w:val="none"/>
                <w14:textFill>
                  <w14:solidFill>
                    <w14:schemeClr w14:val="tx1"/>
                  </w14:solidFill>
                </w14:textFill>
              </w:rPr>
              <w:t>、循环风量（中档风量）：≥1200（m</w:t>
            </w:r>
            <w:r>
              <w:rPr>
                <w:rFonts w:ascii="Calibri" w:hAnsi="Calibri" w:eastAsia="仿宋_GB2312" w:cs="Calibri"/>
                <w:color w:val="000000" w:themeColor="text1"/>
                <w:sz w:val="24"/>
                <w:highlight w:val="none"/>
                <w14:textFill>
                  <w14:solidFill>
                    <w14:schemeClr w14:val="tx1"/>
                  </w14:solidFill>
                </w14:textFill>
              </w:rPr>
              <w:t>³</w:t>
            </w:r>
            <w:r>
              <w:rPr>
                <w:rFonts w:hint="eastAsia" w:ascii="仿宋_GB2312" w:hAnsi="宋体" w:eastAsia="仿宋_GB2312"/>
                <w:color w:val="000000" w:themeColor="text1"/>
                <w:sz w:val="24"/>
                <w:highlight w:val="none"/>
                <w14:textFill>
                  <w14:solidFill>
                    <w14:schemeClr w14:val="tx1"/>
                  </w14:solidFill>
                </w14:textFill>
              </w:rPr>
              <w:t>/h）</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8</w:t>
            </w:r>
            <w:r>
              <w:rPr>
                <w:rFonts w:hint="eastAsia" w:ascii="仿宋_GB2312" w:hAnsi="宋体" w:eastAsia="仿宋_GB2312"/>
                <w:color w:val="000000" w:themeColor="text1"/>
                <w:sz w:val="24"/>
                <w:highlight w:val="none"/>
                <w14:textFill>
                  <w14:solidFill>
                    <w14:schemeClr w14:val="tx1"/>
                  </w14:solidFill>
                </w14:textFill>
              </w:rPr>
              <w:t>、内机噪声≤</w:t>
            </w:r>
            <w:r>
              <w:rPr>
                <w:rFonts w:ascii="仿宋_GB2312" w:hAnsi="宋体" w:eastAsia="仿宋_GB2312"/>
                <w:color w:val="000000" w:themeColor="text1"/>
                <w:sz w:val="24"/>
                <w:highlight w:val="none"/>
                <w14:textFill>
                  <w14:solidFill>
                    <w14:schemeClr w14:val="tx1"/>
                  </w14:solidFill>
                </w14:textFill>
              </w:rPr>
              <w:t>50</w:t>
            </w:r>
            <w:r>
              <w:rPr>
                <w:rFonts w:hint="eastAsia" w:ascii="仿宋_GB2312" w:hAnsi="宋体" w:eastAsia="仿宋_GB2312"/>
                <w:color w:val="000000" w:themeColor="text1"/>
                <w:sz w:val="24"/>
                <w:highlight w:val="none"/>
                <w14:textFill>
                  <w14:solidFill>
                    <w14:schemeClr w14:val="tx1"/>
                  </w14:solidFill>
                </w14:textFill>
              </w:rPr>
              <w:t>dB(A)</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ascii="仿宋_GB2312" w:hAnsi="宋体" w:eastAsia="仿宋_GB2312"/>
                <w:color w:val="000000" w:themeColor="text1"/>
                <w:sz w:val="24"/>
                <w:highlight w:val="none"/>
                <w14:textFill>
                  <w14:solidFill>
                    <w14:schemeClr w14:val="tx1"/>
                  </w14:solidFill>
                </w14:textFill>
              </w:rPr>
              <w:t>9</w:t>
            </w:r>
            <w:r>
              <w:rPr>
                <w:rFonts w:hint="eastAsia" w:ascii="仿宋_GB2312" w:hAnsi="宋体" w:eastAsia="仿宋_GB2312"/>
                <w:color w:val="000000" w:themeColor="text1"/>
                <w:sz w:val="24"/>
                <w:highlight w:val="none"/>
                <w14:textFill>
                  <w14:solidFill>
                    <w14:schemeClr w14:val="tx1"/>
                  </w14:solidFill>
                </w14:textFill>
              </w:rPr>
              <w:t>、外机噪声≤57dB(A)</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0</w:t>
            </w:r>
            <w:r>
              <w:rPr>
                <w:rFonts w:hint="eastAsia" w:ascii="仿宋_GB2312" w:hAnsi="宋体" w:eastAsia="仿宋_GB2312"/>
                <w:color w:val="000000" w:themeColor="text1"/>
                <w:sz w:val="24"/>
                <w:highlight w:val="none"/>
                <w14:textFill>
                  <w14:solidFill>
                    <w14:schemeClr w14:val="tx1"/>
                  </w14:solidFill>
                </w14:textFill>
              </w:rPr>
              <w:t>、★必须提供节能产品认证证书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17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40"/>
              <w:jc w:val="center"/>
              <w:rPr>
                <w:rFonts w:hint="eastAsia" w:ascii="仿宋_GB2312" w:hAnsi="宋体" w:eastAsia="仿宋_GB2312"/>
                <w:color w:val="000000" w:themeColor="text1"/>
                <w:sz w:val="24"/>
                <w:highlight w:val="none"/>
                <w:lang w:eastAsia="zh-CN"/>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3P柜式空调</w:t>
            </w:r>
            <w:r>
              <w:rPr>
                <w:rFonts w:hint="eastAsia" w:ascii="仿宋_GB2312" w:hAnsi="宋体" w:eastAsia="仿宋_GB2312"/>
                <w:color w:val="000000" w:themeColor="text1"/>
                <w:sz w:val="24"/>
                <w:highlight w:val="none"/>
                <w:lang w:eastAsia="zh-CN"/>
                <w14:textFill>
                  <w14:solidFill>
                    <w14:schemeClr w14:val="tx1"/>
                  </w14:solidFill>
                </w14:textFill>
              </w:rPr>
              <w:t>（二）</w:t>
            </w:r>
          </w:p>
          <w:p>
            <w:pPr>
              <w:adjustRightInd w:val="0"/>
              <w:snapToGrid w:val="0"/>
              <w:spacing w:line="400" w:lineRule="exact"/>
              <w:ind w:firstLine="240"/>
              <w:jc w:val="center"/>
              <w:rPr>
                <w:rFonts w:ascii="仿宋_GB2312" w:hAnsi="宋体" w:eastAsia="仿宋_GB2312"/>
                <w:color w:val="000000" w:themeColor="text1"/>
                <w:sz w:val="24"/>
                <w:highlight w:val="none"/>
                <w14:textFill>
                  <w14:solidFill>
                    <w14:schemeClr w14:val="tx1"/>
                  </w14:solidFill>
                </w14:textFill>
              </w:rPr>
            </w:pPr>
          </w:p>
        </w:tc>
        <w:tc>
          <w:tcPr>
            <w:tcW w:w="732"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both"/>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w:t>
            </w:r>
            <w:r>
              <w:rPr>
                <w:rFonts w:ascii="仿宋_GB2312" w:hAnsi="宋体" w:eastAsia="仿宋_GB2312"/>
                <w:color w:val="000000" w:themeColor="text1"/>
                <w:sz w:val="24"/>
                <w:highlight w:val="none"/>
                <w14:textFill>
                  <w14:solidFill>
                    <w14:schemeClr w14:val="tx1"/>
                  </w14:solidFill>
                </w14:textFill>
              </w:rPr>
              <w:t>4</w:t>
            </w:r>
          </w:p>
        </w:tc>
        <w:tc>
          <w:tcPr>
            <w:tcW w:w="1276" w:type="dxa"/>
            <w:tcBorders>
              <w:top w:val="single" w:color="auto" w:sz="4" w:space="0"/>
              <w:left w:val="nil"/>
              <w:bottom w:val="single" w:color="auto" w:sz="4" w:space="0"/>
              <w:right w:val="single" w:color="auto" w:sz="4" w:space="0"/>
            </w:tcBorders>
            <w:vAlign w:val="center"/>
          </w:tcPr>
          <w:p>
            <w:pPr>
              <w:spacing w:line="400" w:lineRule="exact"/>
              <w:ind w:firstLine="240"/>
              <w:jc w:val="center"/>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格力、美的、海尔</w:t>
            </w:r>
          </w:p>
        </w:tc>
        <w:tc>
          <w:tcPr>
            <w:tcW w:w="4932" w:type="dxa"/>
            <w:tcBorders>
              <w:top w:val="single" w:color="auto" w:sz="4" w:space="0"/>
              <w:left w:val="nil"/>
              <w:bottom w:val="single" w:color="auto" w:sz="4" w:space="0"/>
              <w:right w:val="single" w:color="auto" w:sz="4" w:space="0"/>
            </w:tcBorders>
            <w:vAlign w:val="center"/>
          </w:tcPr>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1、★能效等级：二级能效及以上</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2、电源规格：</w:t>
            </w:r>
            <w:r>
              <w:rPr>
                <w:rFonts w:ascii="仿宋_GB2312" w:hAnsi="宋体" w:eastAsia="仿宋_GB2312"/>
                <w:color w:val="000000" w:themeColor="text1"/>
                <w:sz w:val="24"/>
                <w:highlight w:val="none"/>
                <w14:textFill>
                  <w14:solidFill>
                    <w14:schemeClr w14:val="tx1"/>
                  </w14:solidFill>
                </w14:textFill>
              </w:rPr>
              <w:t>220</w:t>
            </w:r>
            <w:r>
              <w:rPr>
                <w:rFonts w:hint="eastAsia" w:ascii="仿宋_GB2312" w:hAnsi="宋体" w:eastAsia="仿宋_GB2312"/>
                <w:color w:val="000000" w:themeColor="text1"/>
                <w:sz w:val="24"/>
                <w:highlight w:val="none"/>
                <w14:textFill>
                  <w14:solidFill>
                    <w14:schemeClr w14:val="tx1"/>
                  </w14:solidFill>
                </w14:textFill>
              </w:rPr>
              <w:t>V</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3、▲制冷量：≥7</w:t>
            </w:r>
            <w:r>
              <w:rPr>
                <w:rFonts w:ascii="仿宋_GB2312" w:hAnsi="宋体" w:eastAsia="仿宋_GB2312"/>
                <w:color w:val="000000" w:themeColor="text1"/>
                <w:sz w:val="24"/>
                <w:highlight w:val="none"/>
                <w14:textFill>
                  <w14:solidFill>
                    <w14:schemeClr w14:val="tx1"/>
                  </w14:solidFill>
                </w14:textFill>
              </w:rPr>
              <w:t>2</w:t>
            </w:r>
            <w:r>
              <w:rPr>
                <w:rFonts w:hint="eastAsia" w:ascii="仿宋_GB2312" w:hAnsi="宋体" w:eastAsia="仿宋_GB2312"/>
                <w:color w:val="000000" w:themeColor="text1"/>
                <w:sz w:val="24"/>
                <w:highlight w:val="none"/>
                <w14:textFill>
                  <w14:solidFill>
                    <w14:schemeClr w14:val="tx1"/>
                  </w14:solidFill>
                </w14:textFill>
              </w:rPr>
              <w:t>00W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4、▲制冷功率：≤2</w:t>
            </w:r>
            <w:r>
              <w:rPr>
                <w:rFonts w:ascii="仿宋_GB2312" w:hAnsi="宋体" w:eastAsia="仿宋_GB2312"/>
                <w:color w:val="000000" w:themeColor="text1"/>
                <w:sz w:val="24"/>
                <w:highlight w:val="none"/>
                <w14:textFill>
                  <w14:solidFill>
                    <w14:schemeClr w14:val="tx1"/>
                  </w14:solidFill>
                </w14:textFill>
              </w:rPr>
              <w:t>200</w:t>
            </w:r>
            <w:r>
              <w:rPr>
                <w:rFonts w:hint="eastAsia" w:ascii="仿宋_GB2312" w:hAnsi="宋体" w:eastAsia="仿宋_GB2312"/>
                <w:color w:val="000000" w:themeColor="text1"/>
                <w:sz w:val="24"/>
                <w:highlight w:val="none"/>
                <w14:textFill>
                  <w14:solidFill>
                    <w14:schemeClr w14:val="tx1"/>
                  </w14:solidFill>
                </w14:textFill>
              </w:rPr>
              <w:t>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5、制热量：≥8150W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6、制热功率：≤2</w:t>
            </w:r>
            <w:r>
              <w:rPr>
                <w:rFonts w:ascii="仿宋_GB2312" w:hAnsi="宋体" w:eastAsia="仿宋_GB2312"/>
                <w:color w:val="000000" w:themeColor="text1"/>
                <w:sz w:val="24"/>
                <w:highlight w:val="none"/>
                <w14:textFill>
                  <w14:solidFill>
                    <w14:schemeClr w14:val="tx1"/>
                  </w14:solidFill>
                </w14:textFill>
              </w:rPr>
              <w:t>9</w:t>
            </w:r>
            <w:r>
              <w:rPr>
                <w:rFonts w:hint="eastAsia" w:ascii="仿宋_GB2312" w:hAnsi="宋体" w:eastAsia="仿宋_GB2312"/>
                <w:color w:val="000000" w:themeColor="text1"/>
                <w:sz w:val="24"/>
                <w:highlight w:val="none"/>
                <w14:textFill>
                  <w14:solidFill>
                    <w14:schemeClr w14:val="tx1"/>
                  </w14:solidFill>
                </w14:textFill>
              </w:rPr>
              <w:t>00W</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7、循环风量（中档风量）：≥1200（m</w:t>
            </w:r>
            <w:r>
              <w:rPr>
                <w:rFonts w:ascii="Calibri" w:hAnsi="Calibri" w:eastAsia="仿宋_GB2312" w:cs="Calibri"/>
                <w:color w:val="000000" w:themeColor="text1"/>
                <w:sz w:val="24"/>
                <w:highlight w:val="none"/>
                <w14:textFill>
                  <w14:solidFill>
                    <w14:schemeClr w14:val="tx1"/>
                  </w14:solidFill>
                </w14:textFill>
              </w:rPr>
              <w:t>³</w:t>
            </w:r>
            <w:r>
              <w:rPr>
                <w:rFonts w:hint="eastAsia" w:ascii="仿宋_GB2312" w:hAnsi="宋体" w:eastAsia="仿宋_GB2312"/>
                <w:color w:val="000000" w:themeColor="text1"/>
                <w:sz w:val="24"/>
                <w:highlight w:val="none"/>
                <w14:textFill>
                  <w14:solidFill>
                    <w14:schemeClr w14:val="tx1"/>
                  </w14:solidFill>
                </w14:textFill>
              </w:rPr>
              <w:t>/h）</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8、内机噪声≤</w:t>
            </w:r>
            <w:r>
              <w:rPr>
                <w:rFonts w:ascii="仿宋_GB2312" w:hAnsi="宋体" w:eastAsia="仿宋_GB2312"/>
                <w:color w:val="000000" w:themeColor="text1"/>
                <w:sz w:val="24"/>
                <w:highlight w:val="none"/>
                <w14:textFill>
                  <w14:solidFill>
                    <w14:schemeClr w14:val="tx1"/>
                  </w14:solidFill>
                </w14:textFill>
              </w:rPr>
              <w:t>50</w:t>
            </w:r>
            <w:r>
              <w:rPr>
                <w:rFonts w:hint="eastAsia" w:ascii="仿宋_GB2312" w:hAnsi="宋体" w:eastAsia="仿宋_GB2312"/>
                <w:color w:val="000000" w:themeColor="text1"/>
                <w:sz w:val="24"/>
                <w:highlight w:val="none"/>
                <w14:textFill>
                  <w14:solidFill>
                    <w14:schemeClr w14:val="tx1"/>
                  </w14:solidFill>
                </w14:textFill>
              </w:rPr>
              <w:t>dB(A)</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9、外机噪声≤57dB(A)</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10、★必须提供节能产品认证证书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7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40"/>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集中控制系统</w:t>
            </w:r>
          </w:p>
        </w:tc>
        <w:tc>
          <w:tcPr>
            <w:tcW w:w="732" w:type="dxa"/>
            <w:tcBorders>
              <w:top w:val="single" w:color="auto" w:sz="4" w:space="0"/>
              <w:left w:val="nil"/>
              <w:bottom w:val="single" w:color="auto" w:sz="4" w:space="0"/>
              <w:right w:val="single" w:color="auto" w:sz="4" w:space="0"/>
            </w:tcBorders>
            <w:vAlign w:val="center"/>
          </w:tcPr>
          <w:p>
            <w:pPr>
              <w:adjustRightInd w:val="0"/>
              <w:snapToGrid w:val="0"/>
              <w:spacing w:line="400" w:lineRule="exact"/>
              <w:jc w:val="both"/>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1</w:t>
            </w:r>
            <w:r>
              <w:rPr>
                <w:rFonts w:ascii="仿宋_GB2312" w:hAnsi="宋体" w:eastAsia="仿宋_GB2312"/>
                <w:color w:val="000000" w:themeColor="text1"/>
                <w:sz w:val="24"/>
                <w:highlight w:val="none"/>
                <w14:textFill>
                  <w14:solidFill>
                    <w14:schemeClr w14:val="tx1"/>
                  </w14:solidFill>
                </w14:textFill>
              </w:rPr>
              <w:t>86</w:t>
            </w:r>
          </w:p>
        </w:tc>
        <w:tc>
          <w:tcPr>
            <w:tcW w:w="1276" w:type="dxa"/>
            <w:tcBorders>
              <w:top w:val="single" w:color="auto" w:sz="4" w:space="0"/>
              <w:left w:val="nil"/>
              <w:bottom w:val="single" w:color="auto" w:sz="4" w:space="0"/>
              <w:right w:val="single" w:color="auto" w:sz="4" w:space="0"/>
            </w:tcBorders>
            <w:vAlign w:val="center"/>
          </w:tcPr>
          <w:p>
            <w:pPr>
              <w:spacing w:line="400" w:lineRule="exact"/>
              <w:ind w:firstLine="240"/>
              <w:jc w:val="center"/>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w:t>
            </w:r>
          </w:p>
        </w:tc>
        <w:tc>
          <w:tcPr>
            <w:tcW w:w="4932" w:type="dxa"/>
            <w:tcBorders>
              <w:top w:val="single" w:color="auto" w:sz="4" w:space="0"/>
              <w:left w:val="nil"/>
              <w:bottom w:val="single" w:color="auto" w:sz="4" w:space="0"/>
              <w:right w:val="single" w:color="auto" w:sz="4" w:space="0"/>
            </w:tcBorders>
            <w:vAlign w:val="center"/>
          </w:tcPr>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1、</w:t>
            </w: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14:textFill>
                  <w14:solidFill>
                    <w14:schemeClr w14:val="tx1"/>
                  </w14:solidFill>
                </w14:textFill>
              </w:rPr>
              <w:t>对所有安装空调进行后台集中控制管理</w:t>
            </w:r>
          </w:p>
          <w:p>
            <w:pPr>
              <w:spacing w:line="400" w:lineRule="exact"/>
              <w:rPr>
                <w:rFonts w:hint="eastAsia" w:ascii="仿宋_GB2312" w:hAnsi="宋体" w:eastAsia="仿宋_GB2312"/>
                <w:color w:val="000000" w:themeColor="text1"/>
                <w:sz w:val="24"/>
                <w:highlight w:val="none"/>
                <w:lang w:eastAsia="zh-CN"/>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2</w:t>
            </w: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lang w:eastAsia="zh-CN"/>
                <w14:textFill>
                  <w14:solidFill>
                    <w14:schemeClr w14:val="tx1"/>
                  </w14:solidFill>
                </w14:textFill>
              </w:rPr>
              <w:t>具有</w:t>
            </w:r>
            <w:r>
              <w:rPr>
                <w:rFonts w:hint="eastAsia" w:ascii="仿宋_GB2312" w:hAnsi="宋体" w:eastAsia="仿宋_GB2312"/>
                <w:color w:val="000000" w:themeColor="text1"/>
                <w:sz w:val="24"/>
                <w:highlight w:val="none"/>
                <w14:textFill>
                  <w14:solidFill>
                    <w14:schemeClr w14:val="tx1"/>
                  </w14:solidFill>
                </w14:textFill>
              </w:rPr>
              <w:t>温度控制</w:t>
            </w:r>
            <w:r>
              <w:rPr>
                <w:rFonts w:hint="eastAsia" w:ascii="仿宋_GB2312" w:hAnsi="宋体" w:eastAsia="仿宋_GB2312"/>
                <w:color w:val="000000" w:themeColor="text1"/>
                <w:sz w:val="24"/>
                <w:highlight w:val="none"/>
                <w:lang w:eastAsia="zh-CN"/>
                <w14:textFill>
                  <w14:solidFill>
                    <w14:schemeClr w14:val="tx1"/>
                  </w14:solidFill>
                </w14:textFill>
              </w:rPr>
              <w:t>功能</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3</w:t>
            </w: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lang w:eastAsia="zh-CN"/>
                <w14:textFill>
                  <w14:solidFill>
                    <w14:schemeClr w14:val="tx1"/>
                  </w14:solidFill>
                </w14:textFill>
              </w:rPr>
              <w:t>具有</w:t>
            </w:r>
            <w:r>
              <w:rPr>
                <w:rFonts w:hint="eastAsia" w:ascii="仿宋_GB2312" w:hAnsi="宋体" w:eastAsia="仿宋_GB2312"/>
                <w:color w:val="000000" w:themeColor="text1"/>
                <w:sz w:val="24"/>
                <w:highlight w:val="none"/>
                <w14:textFill>
                  <w14:solidFill>
                    <w14:schemeClr w14:val="tx1"/>
                  </w14:solidFill>
                </w14:textFill>
              </w:rPr>
              <w:t>定时开关</w:t>
            </w:r>
          </w:p>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val="en-US" w:eastAsia="zh-CN"/>
                <w14:textFill>
                  <w14:solidFill>
                    <w14:schemeClr w14:val="tx1"/>
                  </w14:solidFill>
                </w14:textFill>
              </w:rPr>
              <w:t>4</w:t>
            </w:r>
            <w:r>
              <w:rPr>
                <w:rFonts w:hint="eastAsia" w:ascii="仿宋_GB2312" w:hAnsi="宋体" w:eastAsia="仿宋_GB2312"/>
                <w:color w:val="000000" w:themeColor="text1"/>
                <w:sz w:val="24"/>
                <w:highlight w:val="none"/>
                <w14:textFill>
                  <w14:solidFill>
                    <w14:schemeClr w14:val="tx1"/>
                  </w14:solidFill>
                </w14:textFill>
              </w:rPr>
              <w:t>、</w:t>
            </w:r>
            <w:r>
              <w:rPr>
                <w:rFonts w:hint="eastAsia" w:ascii="仿宋_GB2312" w:hAnsi="宋体" w:eastAsia="仿宋_GB2312"/>
                <w:color w:val="000000" w:themeColor="text1"/>
                <w:sz w:val="24"/>
                <w:highlight w:val="none"/>
                <w:lang w:eastAsia="zh-CN"/>
                <w14:textFill>
                  <w14:solidFill>
                    <w14:schemeClr w14:val="tx1"/>
                  </w14:solidFill>
                </w14:textFill>
              </w:rPr>
              <w:t>具有</w:t>
            </w:r>
            <w:r>
              <w:rPr>
                <w:rFonts w:hint="eastAsia" w:ascii="仿宋_GB2312" w:hAnsi="宋体" w:eastAsia="仿宋_GB2312"/>
                <w:color w:val="000000" w:themeColor="text1"/>
                <w:sz w:val="24"/>
                <w:highlight w:val="none"/>
                <w14:textFill>
                  <w14:solidFill>
                    <w14:schemeClr w14:val="tx1"/>
                  </w14:solidFill>
                </w14:textFill>
              </w:rPr>
              <w:t>单台及多台控制开关功能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8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firstLine="240"/>
              <w:jc w:val="center"/>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维护保养</w:t>
            </w:r>
          </w:p>
        </w:tc>
        <w:tc>
          <w:tcPr>
            <w:tcW w:w="6940" w:type="dxa"/>
            <w:gridSpan w:val="3"/>
            <w:tcBorders>
              <w:top w:val="single" w:color="auto" w:sz="4" w:space="0"/>
              <w:left w:val="nil"/>
              <w:bottom w:val="single" w:color="auto" w:sz="4" w:space="0"/>
              <w:right w:val="single" w:color="auto" w:sz="4" w:space="0"/>
            </w:tcBorders>
            <w:vAlign w:val="center"/>
          </w:tcPr>
          <w:p>
            <w:pPr>
              <w:spacing w:line="400" w:lineRule="exact"/>
              <w:rPr>
                <w:rFonts w:ascii="仿宋_GB2312" w:hAnsi="宋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lang w:eastAsia="zh-CN"/>
                <w14:textFill>
                  <w14:solidFill>
                    <w14:schemeClr w14:val="tx1"/>
                  </w14:solidFill>
                </w14:textFill>
              </w:rPr>
              <w:t>投标人须承诺</w:t>
            </w:r>
            <w:r>
              <w:rPr>
                <w:rFonts w:hint="eastAsia" w:ascii="仿宋_GB2312" w:hAnsi="宋体" w:eastAsia="仿宋_GB2312"/>
                <w:color w:val="000000" w:themeColor="text1"/>
                <w:sz w:val="24"/>
                <w:highlight w:val="none"/>
                <w14:textFill>
                  <w14:solidFill>
                    <w14:schemeClr w14:val="tx1"/>
                  </w14:solidFill>
                </w14:textFill>
              </w:rPr>
              <w:t>验收合格后3年内在每年5月份及</w:t>
            </w:r>
            <w:r>
              <w:rPr>
                <w:rFonts w:ascii="仿宋_GB2312" w:hAnsi="宋体" w:eastAsia="仿宋_GB2312"/>
                <w:color w:val="000000" w:themeColor="text1"/>
                <w:sz w:val="24"/>
                <w:highlight w:val="none"/>
                <w14:textFill>
                  <w14:solidFill>
                    <w14:schemeClr w14:val="tx1"/>
                  </w14:solidFill>
                </w14:textFill>
              </w:rPr>
              <w:t>10</w:t>
            </w:r>
            <w:r>
              <w:rPr>
                <w:rFonts w:hint="eastAsia" w:ascii="仿宋_GB2312" w:hAnsi="宋体" w:eastAsia="仿宋_GB2312"/>
                <w:color w:val="000000" w:themeColor="text1"/>
                <w:sz w:val="24"/>
                <w:highlight w:val="none"/>
                <w14:textFill>
                  <w14:solidFill>
                    <w14:schemeClr w14:val="tx1"/>
                  </w14:solidFill>
                </w14:textFill>
              </w:rPr>
              <w:t>月份前进行两次空调维护保养（包括添加制冷剂和清洗消毒），费用包含在投标报价内。</w:t>
            </w:r>
          </w:p>
        </w:tc>
      </w:tr>
    </w:tbl>
    <w:p>
      <w:pPr>
        <w:spacing w:line="400" w:lineRule="exact"/>
        <w:ind w:firstLine="241"/>
        <w:rPr>
          <w:rFonts w:ascii="仿宋_GB2312" w:hAnsi="仿宋" w:eastAsia="仿宋_GB2312"/>
          <w:b/>
          <w:bCs/>
          <w:color w:val="000000" w:themeColor="text1"/>
          <w:sz w:val="24"/>
          <w14:textFill>
            <w14:solidFill>
              <w14:schemeClr w14:val="tx1"/>
            </w14:solidFill>
          </w14:textFill>
        </w:rPr>
      </w:pPr>
      <w:r>
        <w:rPr>
          <w:rFonts w:hint="eastAsia" w:ascii="仿宋_GB2312" w:eastAsia="仿宋_GB2312"/>
          <w:b/>
          <w:color w:val="000000" w:themeColor="text1"/>
          <w:sz w:val="24"/>
          <w:lang w:eastAsia="zh-CN"/>
          <w14:textFill>
            <w14:solidFill>
              <w14:schemeClr w14:val="tx1"/>
            </w14:solidFill>
          </w14:textFill>
        </w:rPr>
        <w:t>二</w:t>
      </w:r>
      <w:r>
        <w:rPr>
          <w:rFonts w:hint="eastAsia" w:ascii="仿宋_GB2312" w:eastAsia="仿宋_GB2312"/>
          <w:b/>
          <w:color w:val="000000" w:themeColor="text1"/>
          <w:sz w:val="24"/>
          <w14:textFill>
            <w14:solidFill>
              <w14:schemeClr w14:val="tx1"/>
            </w14:solidFill>
          </w14:textFill>
        </w:rPr>
        <w:t>、项目要求：</w:t>
      </w:r>
    </w:p>
    <w:p>
      <w:pPr>
        <w:spacing w:line="400" w:lineRule="exact"/>
        <w:ind w:firstLine="482" w:firstLineChars="200"/>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（一）设备（材料）要求</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1．投标人提供的设备必须是厂商原装的、全新的，型号、性能及指标符合国家及招标文件提出的有关技术、质量、安全标准。</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2．所有设备在开箱检验时必须完好，无破损，配置与装箱单相符。数量、质量及性能不低于所投产品技术要求。</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3．设备外观清洁，标记编号以及盘面显示等字体清晰，明确。铭牌、使用指示、警告指示应以中文或英文及易懂的通用符号来表示；应准确无误地表明设备之型号、规格、制造厂及生产或出厂日期。</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4．对于影响设备正常工作的必要组成部分，无论在技术规范中指出与否，投标人都应提供并在投标文件中明确列出。</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5．所有货物提供出厂合格证等质量证明文件。</w:t>
      </w:r>
    </w:p>
    <w:p>
      <w:pPr>
        <w:spacing w:line="400" w:lineRule="exact"/>
        <w:ind w:firstLine="482" w:firstLineChars="200"/>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（二）安装及调试、验收</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中标人应派经采购人认可的有经验和能力、具有相应资质的技术人员，负责系统设备安装工作，在设备安装期间应充分了解设备安装进度要求，解决安装中出现的技术问题。</w:t>
      </w:r>
    </w:p>
    <w:p>
      <w:pPr>
        <w:numPr>
          <w:ilvl w:val="0"/>
          <w:numId w:val="6"/>
        </w:num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中标人负责设备的安装、调试。</w:t>
      </w:r>
      <w:r>
        <w:rPr>
          <w:rFonts w:hint="eastAsia" w:ascii="仿宋_GB2312" w:eastAsia="仿宋_GB2312"/>
          <w:color w:val="000000" w:themeColor="text1"/>
          <w:sz w:val="24"/>
          <w:lang w:eastAsia="zh-CN"/>
          <w14:textFill>
            <w14:solidFill>
              <w14:schemeClr w14:val="tx1"/>
            </w14:solidFill>
          </w14:textFill>
        </w:rPr>
        <w:t>本项目完工</w:t>
      </w:r>
      <w:r>
        <w:rPr>
          <w:rFonts w:hint="eastAsia" w:ascii="仿宋_GB2312" w:eastAsia="仿宋_GB2312"/>
          <w:color w:val="000000" w:themeColor="text1"/>
          <w:sz w:val="24"/>
          <w14:textFill>
            <w14:solidFill>
              <w14:schemeClr w14:val="tx1"/>
            </w14:solidFill>
          </w14:textFill>
        </w:rPr>
        <w:t>时间：合同签订之</w:t>
      </w:r>
      <w:r>
        <w:rPr>
          <w:rFonts w:hint="eastAsia" w:ascii="仿宋_GB2312" w:eastAsia="仿宋_GB2312"/>
          <w:color w:val="000000" w:themeColor="text1"/>
          <w:sz w:val="24"/>
          <w:highlight w:val="none"/>
          <w14:textFill>
            <w14:solidFill>
              <w14:schemeClr w14:val="tx1"/>
            </w14:solidFill>
          </w14:textFill>
        </w:rPr>
        <w:t>后，接到采购人施工指令起</w:t>
      </w:r>
      <w:r>
        <w:rPr>
          <w:rFonts w:ascii="仿宋_GB2312" w:eastAsia="仿宋_GB2312"/>
          <w:color w:val="000000" w:themeColor="text1"/>
          <w:sz w:val="24"/>
          <w:highlight w:val="none"/>
          <w14:textFill>
            <w14:solidFill>
              <w14:schemeClr w14:val="tx1"/>
            </w14:solidFill>
          </w14:textFill>
        </w:rPr>
        <w:t>30</w:t>
      </w:r>
      <w:r>
        <w:rPr>
          <w:rFonts w:hint="eastAsia" w:ascii="仿宋_GB2312" w:eastAsia="仿宋_GB2312"/>
          <w:color w:val="000000" w:themeColor="text1"/>
          <w:sz w:val="24"/>
          <w:highlight w:val="none"/>
          <w14:textFill>
            <w14:solidFill>
              <w14:schemeClr w14:val="tx1"/>
            </w14:solidFill>
          </w14:textFill>
        </w:rPr>
        <w:t>日内完工，所有空调室内机需安装到指定位置。</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2．空调安装位置由采购人指定，调试所需专用工具设施物料辅料由中标人自备、自费运到现场，完工后自费搬走。</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3．安装完成后，进行调试、验收按国家有关规范标准（国家无验收规范标准的按双方合同规定的要求）进行。本项目由采购人或委托第三方机构独立验收。</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4．设备的拆箱、通电、调试等各项工作由中标人负责，但必须在采购人指定人员的参与下进行。在实际实施前必须先经采购人同意方可进行。调试的原始记录须经各方签字后作为验收的文件之一。</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5．所有的招标设备应按照国家有关技术标准在制造厂检查和试验合格，以表明其运行性能、安全性能以及设备材料和结构在电气、机械上的完整性。</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6</w:t>
      </w:r>
      <w:r>
        <w:rPr>
          <w:rFonts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14:textFill>
            <w14:solidFill>
              <w14:schemeClr w14:val="tx1"/>
            </w14:solidFill>
          </w14:textFill>
        </w:rPr>
        <w:t>本项目空调支架要求为不锈钢材质。</w:t>
      </w:r>
    </w:p>
    <w:p>
      <w:pPr>
        <w:spacing w:line="400" w:lineRule="exact"/>
        <w:ind w:firstLine="482" w:firstLineChars="200"/>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（三）技术培训</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1．中标人须对采购人的技术人员培训。投标人须在投标文件中提供详细的培训计划，包括培训内容、培训时间、培训费用等。</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t>2</w:t>
      </w:r>
      <w:r>
        <w:rPr>
          <w:rFonts w:hint="eastAsia" w:ascii="仿宋_GB2312" w:eastAsia="仿宋_GB2312"/>
          <w:color w:val="000000" w:themeColor="text1"/>
          <w:sz w:val="24"/>
          <w14:textFill>
            <w14:solidFill>
              <w14:schemeClr w14:val="tx1"/>
            </w14:solidFill>
          </w14:textFill>
        </w:rPr>
        <w:t>．技术培训费用应包含在</w:t>
      </w:r>
      <w:r>
        <w:rPr>
          <w:rFonts w:hint="eastAsia" w:ascii="仿宋_GB2312" w:eastAsia="仿宋_GB2312"/>
          <w:color w:val="000000" w:themeColor="text1"/>
          <w:sz w:val="24"/>
          <w:highlight w:val="none"/>
          <w14:textFill>
            <w14:solidFill>
              <w14:schemeClr w14:val="tx1"/>
            </w14:solidFill>
          </w14:textFill>
        </w:rPr>
        <w:t>投标报价内。</w:t>
      </w:r>
      <w:r>
        <w:rPr>
          <w:rFonts w:hint="eastAsia" w:ascii="仿宋_GB2312" w:eastAsia="仿宋_GB2312"/>
          <w:color w:val="000000" w:themeColor="text1"/>
          <w:sz w:val="24"/>
          <w14:textFill>
            <w14:solidFill>
              <w14:schemeClr w14:val="tx1"/>
            </w14:solidFill>
          </w14:textFill>
        </w:rPr>
        <w:t xml:space="preserve">    </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t>3</w:t>
      </w:r>
      <w:r>
        <w:rPr>
          <w:rFonts w:hint="eastAsia" w:ascii="仿宋_GB2312" w:eastAsia="仿宋_GB2312"/>
          <w:color w:val="000000" w:themeColor="text1"/>
          <w:sz w:val="24"/>
          <w14:textFill>
            <w14:solidFill>
              <w14:schemeClr w14:val="tx1"/>
            </w14:solidFill>
          </w14:textFill>
        </w:rPr>
        <w:t>．技术培训至少应包括下列内容：</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（1）原理、构成和功能的描述。</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（2）常见故障的处理或排除。</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（3）各系统部件（设备）的检查、调整和维护。</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（4）对使用者关于设备基本操作技能的培训。</w:t>
      </w:r>
    </w:p>
    <w:p>
      <w:pPr>
        <w:spacing w:line="400" w:lineRule="exact"/>
        <w:ind w:firstLine="482" w:firstLineChars="200"/>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（四）安全施工</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本次项目涉及空调安装，招标价中已包括安全施工措施、工伤保险等费用。投标人应考虑报价时，应妥善考虑安全施工措施、工伤保险等费用。在施工过程中，投标人应制订安全操作规程，配备必要的安全生产设施和劳动保护用具，加强施工安全教育，保证安装工程施工的安全。在安装施工过程中，由于投标人原因在施工场地内及其毗邻地带造成的第三者人员伤亡和财产损失及在施工过程中如发生安全事故，投标人应全责承担由于自身安全措施不到位或不力造成事故的责任和因此发生的一切费用，采购人不承担事故任何责任。</w:t>
      </w:r>
    </w:p>
    <w:p>
      <w:pPr>
        <w:spacing w:line="400" w:lineRule="exact"/>
        <w:ind w:firstLine="482" w:firstLineChars="200"/>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（五）售后服务</w:t>
      </w:r>
    </w:p>
    <w:p>
      <w:pPr>
        <w:spacing w:line="400" w:lineRule="exact"/>
        <w:ind w:firstLine="480" w:firstLineChars="200"/>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投标人须提供经调试、试运行、验收合格后至少3年的整机质保期(投标人可根据自身实力作出更长时间的质保承诺)。在此期间，投标人应免费处理因质量发生的故障，并进行正常保养。在服务期内，如遇软件产品升级、改版，应免费提供更新、升级。</w:t>
      </w:r>
    </w:p>
    <w:p>
      <w:pPr>
        <w:spacing w:line="4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2．中标人必须有可靠的售后服务保障，具有本地化售后服务能力，能</w:t>
      </w:r>
      <w:r>
        <w:rPr>
          <w:rFonts w:hint="eastAsia" w:ascii="仿宋_GB2312" w:eastAsia="仿宋_GB2312"/>
          <w:color w:val="000000" w:themeColor="text1"/>
          <w:sz w:val="24"/>
          <w14:textFill>
            <w14:solidFill>
              <w14:schemeClr w14:val="tx1"/>
            </w14:solidFill>
          </w14:textFill>
        </w:rPr>
        <w:t xml:space="preserve">提供正常的技术、备品备件服务。中标人在接到招标人通知后，2小时内派人赴现场处理设备质量问题， 48小时内不能修复的，则无偿提供备机或备用零件供采购人使用。 </w:t>
      </w:r>
    </w:p>
    <w:p>
      <w:pPr>
        <w:spacing w:line="500" w:lineRule="exact"/>
        <w:ind w:firstLine="241"/>
        <w:rPr>
          <w:rFonts w:ascii="仿宋_GB2312" w:eastAsia="仿宋_GB2312"/>
          <w:b/>
          <w:color w:val="000000" w:themeColor="text1"/>
          <w:sz w:val="24"/>
          <w14:textFill>
            <w14:solidFill>
              <w14:schemeClr w14:val="tx1"/>
            </w14:solidFill>
          </w14:textFill>
        </w:rPr>
      </w:pPr>
      <w:r>
        <w:rPr>
          <w:rFonts w:hint="eastAsia" w:ascii="仿宋_GB2312" w:eastAsia="仿宋_GB2312"/>
          <w:b/>
          <w:color w:val="000000" w:themeColor="text1"/>
          <w:sz w:val="24"/>
          <w:lang w:eastAsia="zh-CN"/>
          <w14:textFill>
            <w14:solidFill>
              <w14:schemeClr w14:val="tx1"/>
            </w14:solidFill>
          </w14:textFill>
        </w:rPr>
        <w:t>三</w:t>
      </w:r>
      <w:r>
        <w:rPr>
          <w:rFonts w:hint="eastAsia" w:ascii="仿宋_GB2312" w:eastAsia="仿宋_GB2312"/>
          <w:b/>
          <w:color w:val="000000" w:themeColor="text1"/>
          <w:sz w:val="24"/>
          <w14:textFill>
            <w14:solidFill>
              <w14:schemeClr w14:val="tx1"/>
            </w14:solidFill>
          </w14:textFill>
        </w:rPr>
        <w:t>、项目实施人员费用</w:t>
      </w:r>
    </w:p>
    <w:p>
      <w:pPr>
        <w:spacing w:line="5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中标人选派专业人员的住宿、就餐和交通等费用</w:t>
      </w:r>
      <w:r>
        <w:rPr>
          <w:rFonts w:hint="eastAsia" w:ascii="仿宋_GB2312" w:eastAsia="仿宋_GB2312"/>
          <w:color w:val="000000" w:themeColor="text1"/>
          <w:sz w:val="24"/>
          <w:lang w:eastAsia="zh-CN"/>
          <w14:textFill>
            <w14:solidFill>
              <w14:schemeClr w14:val="tx1"/>
            </w14:solidFill>
          </w14:textFill>
        </w:rPr>
        <w:t>均包含在投标报价内</w:t>
      </w:r>
      <w:r>
        <w:rPr>
          <w:rFonts w:hint="eastAsia" w:ascii="仿宋_GB2312" w:eastAsia="仿宋_GB2312"/>
          <w:color w:val="000000" w:themeColor="text1"/>
          <w:sz w:val="24"/>
          <w14:textFill>
            <w14:solidFill>
              <w14:schemeClr w14:val="tx1"/>
            </w14:solidFill>
          </w14:textFill>
        </w:rPr>
        <w:t>。</w:t>
      </w:r>
    </w:p>
    <w:p>
      <w:pPr>
        <w:autoSpaceDE w:val="0"/>
        <w:autoSpaceDN w:val="0"/>
        <w:adjustRightInd w:val="0"/>
        <w:spacing w:line="400" w:lineRule="exact"/>
        <w:ind w:firstLine="241"/>
        <w:rPr>
          <w:rFonts w:ascii="仿宋_GB2312" w:hAnsi="宋体" w:eastAsia="仿宋_GB2312"/>
          <w:b/>
          <w:bCs/>
          <w:color w:val="000000" w:themeColor="text1"/>
          <w:kern w:val="0"/>
          <w:sz w:val="24"/>
          <w14:textFill>
            <w14:solidFill>
              <w14:schemeClr w14:val="tx1"/>
            </w14:solidFill>
          </w14:textFill>
        </w:rPr>
      </w:pPr>
      <w:r>
        <w:rPr>
          <w:rFonts w:hint="eastAsia" w:ascii="仿宋_GB2312" w:hAnsi="宋体" w:eastAsia="仿宋_GB2312"/>
          <w:b/>
          <w:bCs/>
          <w:color w:val="000000" w:themeColor="text1"/>
          <w:kern w:val="0"/>
          <w:sz w:val="24"/>
          <w:lang w:eastAsia="zh-CN"/>
          <w14:textFill>
            <w14:solidFill>
              <w14:schemeClr w14:val="tx1"/>
            </w14:solidFill>
          </w14:textFill>
        </w:rPr>
        <w:t>四</w:t>
      </w:r>
      <w:r>
        <w:rPr>
          <w:rFonts w:hint="eastAsia" w:ascii="仿宋_GB2312" w:hAnsi="宋体" w:eastAsia="仿宋_GB2312"/>
          <w:b/>
          <w:bCs/>
          <w:color w:val="000000" w:themeColor="text1"/>
          <w:kern w:val="0"/>
          <w:sz w:val="24"/>
          <w14:textFill>
            <w14:solidFill>
              <w14:schemeClr w14:val="tx1"/>
            </w14:solidFill>
          </w14:textFill>
        </w:rPr>
        <w:t>、设备安装设计</w:t>
      </w:r>
    </w:p>
    <w:p>
      <w:pPr>
        <w:spacing w:line="400" w:lineRule="exact"/>
        <w:ind w:firstLine="480" w:firstLineChars="200"/>
        <w:rPr>
          <w:rFonts w:hint="eastAsia" w:ascii="仿宋_GB2312" w:eastAsia="仿宋_GB2312"/>
          <w:color w:val="000000" w:themeColor="text1"/>
          <w:sz w:val="24"/>
          <w14:textFill>
            <w14:solidFill>
              <w14:schemeClr w14:val="tx1"/>
            </w14:solidFill>
          </w14:textFill>
        </w:rPr>
      </w:pPr>
      <w:r>
        <w:rPr>
          <w:rFonts w:hint="eastAsia" w:ascii="仿宋_GB2312" w:hAnsi="宋体" w:eastAsia="仿宋_GB2312"/>
          <w:color w:val="000000" w:themeColor="text1"/>
          <w:kern w:val="0"/>
          <w:sz w:val="24"/>
          <w:lang w:eastAsia="zh-CN"/>
          <w14:textFill>
            <w14:solidFill>
              <w14:schemeClr w14:val="tx1"/>
            </w14:solidFill>
          </w14:textFill>
        </w:rPr>
        <w:t>本项目中</w:t>
      </w:r>
      <w:r>
        <w:rPr>
          <w:rFonts w:hint="eastAsia" w:ascii="仿宋_GB2312" w:hAnsi="宋体" w:eastAsia="仿宋_GB2312"/>
          <w:color w:val="000000" w:themeColor="text1"/>
          <w:kern w:val="0"/>
          <w:sz w:val="24"/>
          <w14:textFill>
            <w14:solidFill>
              <w14:schemeClr w14:val="tx1"/>
            </w14:solidFill>
          </w14:textFill>
        </w:rPr>
        <w:t>一般室内机的位置属于常规，若有部分室内机位置特殊，铜管需要加长的，相应的铜管和费用由投标人承担包含</w:t>
      </w:r>
      <w:r>
        <w:rPr>
          <w:rFonts w:hint="eastAsia" w:ascii="仿宋_GB2312" w:hAnsi="宋体" w:eastAsia="仿宋_GB2312"/>
          <w:color w:val="000000" w:themeColor="text1"/>
          <w:kern w:val="0"/>
          <w:sz w:val="24"/>
          <w:highlight w:val="none"/>
          <w14:textFill>
            <w14:solidFill>
              <w14:schemeClr w14:val="tx1"/>
            </w14:solidFill>
          </w14:textFill>
        </w:rPr>
        <w:t>在投标报价内</w:t>
      </w:r>
      <w:r>
        <w:rPr>
          <w:rFonts w:hint="eastAsia" w:ascii="仿宋_GB2312" w:hAnsi="宋体" w:eastAsia="仿宋_GB2312"/>
          <w:color w:val="000000" w:themeColor="text1"/>
          <w:kern w:val="0"/>
          <w:sz w:val="24"/>
          <w14:textFill>
            <w14:solidFill>
              <w14:schemeClr w14:val="tx1"/>
            </w14:solidFill>
          </w14:textFill>
        </w:rPr>
        <w:t>。投标人不得擅自改变室内机室外机的数量、型式和布置方式，安装过程中造成墙面或其他等损坏的，由中标人负责墙面</w:t>
      </w:r>
      <w:r>
        <w:rPr>
          <w:rFonts w:hint="eastAsia" w:ascii="仿宋_GB2312" w:eastAsia="仿宋_GB2312"/>
          <w:color w:val="000000" w:themeColor="text1"/>
          <w:sz w:val="24"/>
          <w14:textFill>
            <w14:solidFill>
              <w14:schemeClr w14:val="tx1"/>
            </w14:solidFill>
          </w14:textFill>
        </w:rPr>
        <w:t>或其他等修复复原。</w:t>
      </w:r>
    </w:p>
    <w:p>
      <w:pPr>
        <w:spacing w:line="400" w:lineRule="exact"/>
        <w:ind w:firstLine="482" w:firstLineChars="200"/>
        <w:rPr>
          <w:rFonts w:hint="default" w:ascii="仿宋_GB2312" w:eastAsia="仿宋_GB2312"/>
          <w:b/>
          <w:bCs/>
          <w:color w:val="000000" w:themeColor="text1"/>
          <w:sz w:val="24"/>
          <w:lang w:val="en-US" w:eastAsia="zh-CN"/>
          <w14:textFill>
            <w14:solidFill>
              <w14:schemeClr w14:val="tx1"/>
            </w14:solidFill>
          </w14:textFill>
        </w:rPr>
      </w:pPr>
      <w:r>
        <w:rPr>
          <w:rFonts w:hint="eastAsia" w:ascii="仿宋_GB2312" w:eastAsia="仿宋_GB2312"/>
          <w:b/>
          <w:bCs/>
          <w:color w:val="000000" w:themeColor="text1"/>
          <w:sz w:val="24"/>
          <w:lang w:val="en-US" w:eastAsia="zh-CN"/>
          <w14:textFill>
            <w14:solidFill>
              <w14:schemeClr w14:val="tx1"/>
            </w14:solidFill>
          </w14:textFill>
        </w:rPr>
        <w:t>本项目允许现场踏勘，联系人：陈老师，联系方式：0575-88170799，现场踏勘截止日期：提交投标文件截止时间前一个工作日17时整前。</w:t>
      </w:r>
    </w:p>
    <w:p>
      <w:pPr>
        <w:autoSpaceDE w:val="0"/>
        <w:autoSpaceDN w:val="0"/>
        <w:adjustRightInd w:val="0"/>
        <w:spacing w:line="400" w:lineRule="exact"/>
        <w:ind w:firstLine="241"/>
        <w:rPr>
          <w:rFonts w:ascii="仿宋_GB2312" w:hAnsi="宋体" w:eastAsia="仿宋_GB2312"/>
          <w:b/>
          <w:bCs/>
          <w:color w:val="000000" w:themeColor="text1"/>
          <w:kern w:val="0"/>
          <w:sz w:val="24"/>
          <w14:textFill>
            <w14:solidFill>
              <w14:schemeClr w14:val="tx1"/>
            </w14:solidFill>
          </w14:textFill>
        </w:rPr>
      </w:pPr>
      <w:r>
        <w:rPr>
          <w:rFonts w:hint="eastAsia" w:ascii="仿宋_GB2312" w:hAnsi="宋体" w:eastAsia="仿宋_GB2312"/>
          <w:b/>
          <w:bCs/>
          <w:color w:val="000000" w:themeColor="text1"/>
          <w:kern w:val="0"/>
          <w:sz w:val="24"/>
          <w:lang w:eastAsia="zh-CN"/>
          <w14:textFill>
            <w14:solidFill>
              <w14:schemeClr w14:val="tx1"/>
            </w14:solidFill>
          </w14:textFill>
        </w:rPr>
        <w:t>五</w:t>
      </w:r>
      <w:r>
        <w:rPr>
          <w:rFonts w:hint="eastAsia" w:ascii="仿宋_GB2312" w:hAnsi="宋体" w:eastAsia="仿宋_GB2312"/>
          <w:b/>
          <w:bCs/>
          <w:color w:val="000000" w:themeColor="text1"/>
          <w:kern w:val="0"/>
          <w:sz w:val="24"/>
          <w14:textFill>
            <w14:solidFill>
              <w14:schemeClr w14:val="tx1"/>
            </w14:solidFill>
          </w14:textFill>
        </w:rPr>
        <w:t>、其他要求</w:t>
      </w:r>
    </w:p>
    <w:p>
      <w:pPr>
        <w:autoSpaceDE w:val="0"/>
        <w:autoSpaceDN w:val="0"/>
        <w:adjustRightInd w:val="0"/>
        <w:spacing w:line="400" w:lineRule="exact"/>
        <w:ind w:firstLine="480" w:firstLineChars="200"/>
        <w:rPr>
          <w:rFonts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本项目投标报价包含全施工措施、工伤保险、人工、材料、支架、设备、运费、保管、开孔、安装、税金、铜管加长、室外机安装、墙面开槽放线、增加空调插座可能需用到的等一切费用。</w:t>
      </w:r>
    </w:p>
    <w:p>
      <w:pPr>
        <w:autoSpaceDE w:val="0"/>
        <w:autoSpaceDN w:val="0"/>
        <w:adjustRightInd w:val="0"/>
        <w:spacing w:line="400" w:lineRule="exact"/>
        <w:ind w:firstLine="241"/>
        <w:rPr>
          <w:rFonts w:ascii="仿宋_GB2312" w:hAnsi="宋体" w:eastAsia="仿宋_GB2312"/>
          <w:b/>
          <w:bCs/>
          <w:color w:val="000000" w:themeColor="text1"/>
          <w:kern w:val="44"/>
          <w:sz w:val="24"/>
          <w14:textFill>
            <w14:solidFill>
              <w14:schemeClr w14:val="tx1"/>
            </w14:solidFill>
          </w14:textFill>
        </w:rPr>
      </w:pPr>
      <w:r>
        <w:rPr>
          <w:rFonts w:hint="eastAsia" w:ascii="仿宋_GB2312" w:hAnsi="宋体" w:eastAsia="仿宋_GB2312"/>
          <w:b/>
          <w:bCs/>
          <w:color w:val="000000" w:themeColor="text1"/>
          <w:kern w:val="0"/>
          <w:sz w:val="24"/>
          <w:lang w:eastAsia="zh-CN"/>
          <w14:textFill>
            <w14:solidFill>
              <w14:schemeClr w14:val="tx1"/>
            </w14:solidFill>
          </w14:textFill>
        </w:rPr>
        <w:t>六</w:t>
      </w:r>
      <w:r>
        <w:rPr>
          <w:rFonts w:hint="eastAsia" w:ascii="仿宋_GB2312" w:hAnsi="宋体" w:eastAsia="仿宋_GB2312"/>
          <w:b/>
          <w:bCs/>
          <w:color w:val="000000" w:themeColor="text1"/>
          <w:kern w:val="0"/>
          <w:sz w:val="24"/>
          <w14:textFill>
            <w14:solidFill>
              <w14:schemeClr w14:val="tx1"/>
            </w14:solidFill>
          </w14:textFill>
        </w:rPr>
        <w:t>、付款方式</w:t>
      </w:r>
    </w:p>
    <w:p>
      <w:pPr>
        <w:spacing w:line="400" w:lineRule="exact"/>
        <w:ind w:firstLine="480" w:firstLineChars="200"/>
        <w:rPr>
          <w:rFonts w:hint="eastAsia" w:ascii="仿宋_GB2312" w:hAnsi="宋体" w:eastAsia="仿宋_GB2312"/>
          <w:color w:val="000000" w:themeColor="text1"/>
          <w:kern w:val="0"/>
          <w:sz w:val="24"/>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1、按《浙江省财政厅关于进一步发挥政府采购政策 功能全力推动经济稳进提质的通知》（浙财采监〔2022〕3号）等文件要求执行，具体付款方式由双方协商后在合同中明确。</w:t>
      </w:r>
    </w:p>
    <w:p>
      <w:pPr>
        <w:spacing w:line="400" w:lineRule="exact"/>
        <w:ind w:firstLine="480" w:firstLineChars="200"/>
        <w:rPr>
          <w:rFonts w:hint="eastAsia" w:ascii="仿宋_GB2312" w:hAnsi="宋体" w:eastAsia="仿宋_GB2312"/>
          <w:color w:val="000000" w:themeColor="text1"/>
          <w:kern w:val="0"/>
          <w:sz w:val="24"/>
          <w:lang w:val="en-US" w:eastAsia="zh-CN"/>
          <w14:textFill>
            <w14:solidFill>
              <w14:schemeClr w14:val="tx1"/>
            </w14:solidFill>
          </w14:textFill>
        </w:rPr>
      </w:pPr>
      <w:r>
        <w:rPr>
          <w:rFonts w:hint="eastAsia" w:ascii="仿宋_GB2312" w:hAnsi="宋体" w:eastAsia="仿宋_GB2312"/>
          <w:color w:val="000000" w:themeColor="text1"/>
          <w:kern w:val="0"/>
          <w:sz w:val="24"/>
          <w14:textFill>
            <w14:solidFill>
              <w14:schemeClr w14:val="tx1"/>
            </w14:solidFill>
          </w14:textFill>
        </w:rPr>
        <w:t>2、结算时，中标人需提供正式的税务发票及采购人要求的相关结款所需资料。</w:t>
      </w:r>
    </w:p>
    <w:bookmarkEnd w:id="4"/>
    <w:bookmarkEnd w:id="5"/>
    <w:bookmarkEnd w:id="6"/>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2"/>
        <w:ind w:left="0" w:leftChars="0" w:firstLine="0" w:firstLineChars="0"/>
        <w:rPr>
          <w:rFonts w:ascii="仿宋_GB2312" w:hAnsi="仿宋" w:eastAsia="仿宋_GB2312" w:cs="仿宋"/>
          <w:color w:val="auto"/>
          <w:szCs w:val="24"/>
          <w:highlight w:val="none"/>
        </w:rPr>
      </w:pPr>
    </w:p>
    <w:p>
      <w:pPr>
        <w:pStyle w:val="312"/>
        <w:jc w:val="center"/>
        <w:rPr>
          <w:rFonts w:ascii="仿宋_GB2312" w:hAnsi="仿宋" w:eastAsia="仿宋_GB2312" w:cs="仿宋"/>
          <w:color w:val="auto"/>
          <w:szCs w:val="24"/>
          <w:highlight w:val="none"/>
        </w:rPr>
      </w:pPr>
    </w:p>
    <w:p>
      <w:pPr>
        <w:pStyle w:val="312"/>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2"/>
        <w:rPr>
          <w:rFonts w:ascii="仿宋_GB2312" w:hAnsi="仿宋" w:eastAsia="仿宋_GB2312" w:cs="仿宋"/>
          <w:color w:val="auto"/>
          <w:szCs w:val="24"/>
          <w:highlight w:val="none"/>
        </w:rPr>
      </w:pPr>
    </w:p>
    <w:p>
      <w:pPr>
        <w:pStyle w:val="312"/>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1"/>
        <w:spacing w:before="120" w:line="22" w:lineRule="atLeast"/>
        <w:rPr>
          <w:rFonts w:hAnsi="仿宋" w:cs="仿宋"/>
          <w:color w:val="auto"/>
          <w:szCs w:val="24"/>
          <w:highlight w:val="none"/>
        </w:rPr>
      </w:pPr>
    </w:p>
    <w:p>
      <w:pPr>
        <w:pStyle w:val="311"/>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1" w:name="_Toc3029"/>
      <w:bookmarkStart w:id="12" w:name="_Toc2232"/>
      <w:bookmarkStart w:id="13" w:name="_Toc24059"/>
      <w:r>
        <w:rPr>
          <w:rFonts w:hint="eastAsia" w:ascii="仿宋_GB2312" w:hAnsi="仿宋" w:eastAsia="仿宋_GB2312" w:cs="仿宋"/>
          <w:b/>
          <w:color w:val="auto"/>
          <w:sz w:val="24"/>
          <w:highlight w:val="none"/>
        </w:rPr>
        <w:t>1.1 合同组成部分</w:t>
      </w:r>
      <w:bookmarkEnd w:id="11"/>
      <w:bookmarkEnd w:id="12"/>
      <w:bookmarkEnd w:id="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4" w:name="_Toc21295"/>
      <w:bookmarkStart w:id="15" w:name="_Toc27126"/>
      <w:bookmarkStart w:id="16" w:name="_Toc24300"/>
      <w:r>
        <w:rPr>
          <w:rFonts w:hint="eastAsia" w:ascii="仿宋_GB2312" w:hAnsi="仿宋" w:eastAsia="仿宋_GB2312" w:cs="仿宋"/>
          <w:b/>
          <w:color w:val="auto"/>
          <w:sz w:val="24"/>
          <w:highlight w:val="none"/>
        </w:rPr>
        <w:t>1.2 货物</w:t>
      </w:r>
      <w:bookmarkEnd w:id="14"/>
      <w:bookmarkEnd w:id="15"/>
      <w:bookmarkEnd w:id="1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7" w:name="_Toc21631"/>
      <w:bookmarkStart w:id="18" w:name="_Toc23292"/>
      <w:bookmarkStart w:id="19" w:name="_Toc21551"/>
      <w:r>
        <w:rPr>
          <w:rFonts w:hint="eastAsia" w:ascii="仿宋_GB2312" w:hAnsi="仿宋" w:eastAsia="仿宋_GB2312" w:cs="仿宋"/>
          <w:b/>
          <w:color w:val="auto"/>
          <w:sz w:val="24"/>
          <w:highlight w:val="none"/>
        </w:rPr>
        <w:t>1.3 价款</w:t>
      </w:r>
      <w:bookmarkEnd w:id="17"/>
      <w:bookmarkEnd w:id="18"/>
      <w:bookmarkEnd w:id="1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_GB2312" w:hAnsi="仿宋" w:eastAsia="仿宋_GB2312" w:cs="仿宋"/>
                <w:color w:val="auto"/>
                <w:sz w:val="24"/>
                <w:szCs w:val="24"/>
                <w:highlight w:val="none"/>
              </w:rPr>
            </w:pPr>
          </w:p>
        </w:tc>
      </w:tr>
    </w:tbl>
    <w:p>
      <w:pPr>
        <w:pStyle w:val="313"/>
        <w:spacing w:before="0" w:beforeAutospacing="0" w:after="0" w:afterAutospacing="0" w:line="360" w:lineRule="auto"/>
        <w:ind w:firstLine="480"/>
        <w:rPr>
          <w:rFonts w:ascii="仿宋_GB2312" w:hAnsi="仿宋" w:eastAsia="仿宋_GB2312" w:cs="仿宋"/>
          <w:b/>
          <w:color w:val="auto"/>
          <w:highlight w:val="none"/>
        </w:rPr>
      </w:pPr>
      <w:bookmarkStart w:id="20" w:name="_Toc10340"/>
      <w:bookmarkStart w:id="21" w:name="_Toc22618"/>
      <w:bookmarkStart w:id="22" w:name="_Toc1814"/>
      <w:r>
        <w:rPr>
          <w:rFonts w:hint="eastAsia" w:ascii="仿宋_GB2312" w:hAnsi="仿宋" w:eastAsia="仿宋_GB2312" w:cs="仿宋"/>
          <w:b/>
          <w:color w:val="auto"/>
          <w:highlight w:val="none"/>
        </w:rPr>
        <w:t>1.4履约保证金</w:t>
      </w:r>
    </w:p>
    <w:p>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3"/>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3"/>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3" w:name="_Toc32071"/>
      <w:bookmarkStart w:id="24" w:name="_Toc19304"/>
      <w:bookmarkStart w:id="25" w:name="_Toc2846"/>
      <w:r>
        <w:rPr>
          <w:rFonts w:hint="eastAsia" w:ascii="仿宋_GB2312" w:hAnsi="仿宋" w:eastAsia="仿宋_GB2312" w:cs="仿宋"/>
          <w:b/>
          <w:color w:val="auto"/>
          <w:sz w:val="24"/>
          <w:highlight w:val="none"/>
        </w:rPr>
        <w:t>1.7货物交付期限、地点和方式</w:t>
      </w:r>
      <w:bookmarkEnd w:id="23"/>
      <w:bookmarkEnd w:id="24"/>
      <w:bookmarkEnd w:id="2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6" w:name="_Toc27250"/>
      <w:bookmarkStart w:id="27" w:name="_Toc19554"/>
      <w:bookmarkStart w:id="28" w:name="_Toc21423"/>
      <w:r>
        <w:rPr>
          <w:rFonts w:hint="eastAsia" w:ascii="仿宋_GB2312" w:hAnsi="仿宋" w:eastAsia="仿宋_GB2312" w:cs="仿宋"/>
          <w:b/>
          <w:color w:val="auto"/>
          <w:sz w:val="24"/>
          <w:highlight w:val="none"/>
        </w:rPr>
        <w:t>1.8违约责任</w:t>
      </w:r>
      <w:bookmarkEnd w:id="26"/>
      <w:bookmarkEnd w:id="27"/>
      <w:bookmarkEnd w:id="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sz w:val="24"/>
          <w:highlight w:val="none"/>
        </w:rPr>
      </w:pPr>
      <w:bookmarkStart w:id="29" w:name="_Toc16021"/>
      <w:bookmarkStart w:id="30" w:name="_Toc15583"/>
      <w:bookmarkStart w:id="31" w:name="_Toc28375"/>
      <w:bookmarkStart w:id="32" w:name="_Toc11173"/>
      <w:bookmarkStart w:id="33" w:name="_Toc7245"/>
      <w:bookmarkStart w:id="34" w:name="_Toc15322"/>
      <w:bookmarkStart w:id="166" w:name="_GoBack"/>
      <w:r>
        <w:rPr>
          <w:rFonts w:hint="eastAsia" w:ascii="仿宋_GB2312" w:hAnsi="仿宋" w:eastAsia="仿宋_GB2312" w:cs="仿宋"/>
          <w:b/>
          <w:sz w:val="24"/>
          <w:highlight w:val="none"/>
        </w:rPr>
        <w:t>1.9</w:t>
      </w:r>
      <w:bookmarkEnd w:id="166"/>
      <w:r>
        <w:rPr>
          <w:rFonts w:hint="eastAsia" w:ascii="仿宋_GB2312" w:hAnsi="仿宋" w:eastAsia="仿宋_GB2312" w:cs="仿宋"/>
          <w:b/>
          <w:sz w:val="24"/>
          <w:highlight w:val="none"/>
        </w:rPr>
        <w:t>合同争议的解决</w:t>
      </w:r>
      <w:bookmarkEnd w:id="29"/>
      <w:bookmarkEnd w:id="30"/>
      <w:bookmarkEnd w:id="31"/>
    </w:p>
    <w:p>
      <w:pPr>
        <w:spacing w:line="560" w:lineRule="exact"/>
        <w:ind w:left="-61" w:leftChars="-29" w:right="-420" w:rightChars="-200" w:firstLine="240" w:firstLineChars="1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本合同履行过程中发生的任何争议，双方当事人均可通过和解或者调解解决；不愿和解、调解或者和解、调解不成的，选择仲裁方式解决。</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2.0 合同生效</w:t>
      </w:r>
      <w:bookmarkEnd w:id="32"/>
      <w:bookmarkEnd w:id="33"/>
      <w:bookmarkEnd w:id="3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2"/>
        <w:spacing w:line="560" w:lineRule="exact"/>
        <w:ind w:firstLine="482"/>
        <w:jc w:val="center"/>
        <w:rPr>
          <w:rFonts w:ascii="仿宋_GB2312" w:hAnsi="仿宋" w:eastAsia="仿宋_GB2312" w:cs="仿宋"/>
          <w:b/>
          <w:color w:val="auto"/>
          <w:szCs w:val="24"/>
          <w:highlight w:val="none"/>
        </w:rPr>
      </w:pPr>
    </w:p>
    <w:p>
      <w:pPr>
        <w:pStyle w:val="312"/>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5" w:name="_Toc279701240"/>
      <w:bookmarkStart w:id="36" w:name="_Ref467379195"/>
      <w:bookmarkStart w:id="37" w:name="_Toc16917"/>
      <w:bookmarkStart w:id="38" w:name="_Ref467378404"/>
      <w:bookmarkStart w:id="39" w:name="_Ref467378463"/>
      <w:bookmarkStart w:id="40" w:name="_Ref467379214"/>
      <w:bookmarkStart w:id="41" w:name="_Ref467379101"/>
      <w:bookmarkStart w:id="42" w:name="_Ref467379109"/>
      <w:bookmarkStart w:id="43" w:name="_Toc19614"/>
      <w:bookmarkStart w:id="44" w:name="_Ref467379205"/>
      <w:bookmarkStart w:id="45" w:name="_Toc259093669"/>
      <w:bookmarkStart w:id="46" w:name="_Ref467378499"/>
      <w:bookmarkStart w:id="47" w:name="_Toc28763"/>
      <w:bookmarkStart w:id="48" w:name="_Ref467379225"/>
      <w:bookmarkStart w:id="49" w:name="_Ref467379094"/>
      <w:bookmarkStart w:id="50" w:name="_Toc487900349"/>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pPr>
        <w:spacing w:line="560" w:lineRule="exact"/>
        <w:ind w:firstLine="482" w:firstLineChars="200"/>
        <w:outlineLvl w:val="0"/>
        <w:rPr>
          <w:rFonts w:ascii="仿宋_GB2312" w:hAnsi="仿宋" w:eastAsia="仿宋_GB2312" w:cs="仿宋"/>
          <w:b/>
          <w:color w:val="auto"/>
          <w:sz w:val="24"/>
          <w:highlight w:val="none"/>
        </w:rPr>
      </w:pPr>
      <w:bookmarkStart w:id="54" w:name="_Toc13336"/>
      <w:bookmarkStart w:id="55" w:name="_Toc32504"/>
      <w:bookmarkStart w:id="56" w:name="_Toc27635"/>
      <w:bookmarkStart w:id="57" w:name="_Toc259093670"/>
      <w:bookmarkStart w:id="58" w:name="_Toc279701241"/>
      <w:bookmarkStart w:id="59" w:name="_Toc487900350"/>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0" w:name="_Toc9829"/>
      <w:bookmarkStart w:id="61" w:name="_Toc279701242"/>
      <w:bookmarkStart w:id="62" w:name="_Toc259093671"/>
      <w:bookmarkStart w:id="63" w:name="_Toc487900351"/>
      <w:bookmarkStart w:id="64" w:name="_Toc27853"/>
      <w:bookmarkStart w:id="65" w:name="_Toc31634"/>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6" w:name="_Toc4194"/>
      <w:bookmarkStart w:id="67" w:name="_Toc11932"/>
      <w:bookmarkStart w:id="68" w:name="_Toc29149"/>
      <w:r>
        <w:rPr>
          <w:rFonts w:hint="eastAsia" w:ascii="仿宋_GB2312" w:hAnsi="仿宋" w:eastAsia="仿宋_GB2312" w:cs="仿宋"/>
          <w:b/>
          <w:color w:val="auto"/>
          <w:sz w:val="24"/>
          <w:highlight w:val="none"/>
        </w:rPr>
        <w:t>2.4 包装和装运</w:t>
      </w:r>
      <w:bookmarkEnd w:id="66"/>
      <w:bookmarkEnd w:id="67"/>
      <w:bookmarkEnd w:id="6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9" w:name="_Ref467378591"/>
      <w:bookmarkStart w:id="70" w:name="_Ref467379536"/>
      <w:bookmarkStart w:id="71" w:name="_Ref467378541"/>
      <w:bookmarkStart w:id="72" w:name="_Toc487900354"/>
      <w:bookmarkStart w:id="73" w:name="_Toc259093674"/>
      <w:bookmarkStart w:id="74" w:name="_Ref467379542"/>
      <w:bookmarkStart w:id="75" w:name="_Toc279701245"/>
      <w:bookmarkStart w:id="76" w:name="_Ref467379527"/>
      <w:bookmarkStart w:id="77" w:name="_Toc26182"/>
      <w:bookmarkStart w:id="78" w:name="_Toc19074"/>
      <w:bookmarkStart w:id="79" w:name="_Toc30272"/>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59093676"/>
      <w:bookmarkStart w:id="83" w:name="_Ref467379793"/>
      <w:bookmarkStart w:id="84" w:name="_Toc487900357"/>
      <w:bookmarkStart w:id="85" w:name="_Ref467379807"/>
      <w:bookmarkStart w:id="86" w:name="_Toc27970124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pPr>
        <w:spacing w:line="560" w:lineRule="exact"/>
        <w:ind w:firstLine="482" w:firstLineChars="200"/>
        <w:outlineLvl w:val="0"/>
        <w:rPr>
          <w:rFonts w:ascii="仿宋_GB2312" w:hAnsi="仿宋" w:eastAsia="仿宋_GB2312" w:cs="仿宋"/>
          <w:b/>
          <w:color w:val="auto"/>
          <w:sz w:val="24"/>
          <w:highlight w:val="none"/>
        </w:rPr>
      </w:pPr>
      <w:bookmarkStart w:id="88" w:name="_Toc259093677"/>
      <w:bookmarkStart w:id="89" w:name="_Ref467379863"/>
      <w:bookmarkStart w:id="90" w:name="_Toc279701248"/>
      <w:bookmarkStart w:id="91" w:name="_Ref467379852"/>
      <w:bookmarkStart w:id="92" w:name="_Ref467379923"/>
      <w:bookmarkStart w:id="93" w:name="_Toc487900358"/>
      <w:bookmarkStart w:id="94" w:name="_Toc3225"/>
      <w:bookmarkStart w:id="95" w:name="_Toc774"/>
      <w:bookmarkStart w:id="96" w:name="_Toc16110"/>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79701252"/>
      <w:bookmarkStart w:id="100" w:name="_Toc487900362"/>
      <w:bookmarkStart w:id="101" w:name="_Toc259093681"/>
      <w:r>
        <w:rPr>
          <w:rFonts w:hint="eastAsia" w:ascii="仿宋_GB2312" w:hAnsi="仿宋" w:eastAsia="仿宋_GB2312" w:cs="仿宋"/>
          <w:b/>
          <w:color w:val="auto"/>
          <w:sz w:val="24"/>
          <w:highlight w:val="none"/>
        </w:rPr>
        <w:t>2.8 货物的风险负担</w:t>
      </w:r>
      <w:bookmarkEnd w:id="9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487900364"/>
      <w:bookmarkStart w:id="105" w:name="_Toc279701254"/>
      <w:bookmarkStart w:id="106" w:name="_Toc259093683"/>
      <w:bookmarkStart w:id="107" w:name="_Ref467378121"/>
      <w:r>
        <w:rPr>
          <w:rFonts w:hint="eastAsia" w:ascii="仿宋_GB2312" w:hAnsi="仿宋" w:eastAsia="仿宋_GB2312" w:cs="仿宋"/>
          <w:b/>
          <w:color w:val="auto"/>
          <w:sz w:val="24"/>
          <w:highlight w:val="none"/>
        </w:rPr>
        <w:t>2.10 合同变更</w:t>
      </w:r>
      <w:bookmarkEnd w:id="10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487900369"/>
      <w:bookmarkStart w:id="110" w:name="_Toc259093688"/>
    </w:p>
    <w:p>
      <w:pPr>
        <w:spacing w:line="560" w:lineRule="exact"/>
        <w:ind w:firstLine="482" w:firstLineChars="200"/>
        <w:outlineLvl w:val="0"/>
        <w:rPr>
          <w:rFonts w:ascii="仿宋_GB2312" w:hAnsi="仿宋" w:eastAsia="仿宋_GB2312" w:cs="仿宋"/>
          <w:b/>
          <w:color w:val="auto"/>
          <w:sz w:val="24"/>
          <w:highlight w:val="none"/>
        </w:rPr>
      </w:pPr>
      <w:bookmarkStart w:id="111" w:name="_Toc22955"/>
      <w:bookmarkStart w:id="112" w:name="_Toc10366"/>
      <w:bookmarkStart w:id="113" w:name="_Toc15237"/>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4" w:name="_Toc16508"/>
      <w:bookmarkStart w:id="115" w:name="_Toc14066"/>
      <w:bookmarkStart w:id="116" w:name="_Toc13566"/>
      <w:r>
        <w:rPr>
          <w:rFonts w:hint="eastAsia" w:ascii="仿宋_GB2312" w:hAnsi="仿宋" w:eastAsia="仿宋_GB2312" w:cs="仿宋"/>
          <w:b/>
          <w:color w:val="auto"/>
          <w:sz w:val="24"/>
          <w:highlight w:val="none"/>
        </w:rPr>
        <w:t>2.12 不可抗力</w:t>
      </w:r>
      <w:bookmarkEnd w:id="114"/>
      <w:bookmarkEnd w:id="115"/>
      <w:bookmarkEnd w:id="11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7" w:name="_Toc487900365"/>
      <w:bookmarkStart w:id="118" w:name="_Toc30676"/>
      <w:bookmarkStart w:id="119" w:name="_Toc689"/>
      <w:bookmarkStart w:id="120" w:name="_Toc6969"/>
      <w:bookmarkStart w:id="121" w:name="_Toc279701255"/>
      <w:bookmarkStart w:id="122" w:name="_Toc259093684"/>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3" w:name="_Toc7102"/>
      <w:bookmarkStart w:id="124" w:name="_Toc279701258"/>
      <w:bookmarkStart w:id="125" w:name="_Toc16959"/>
      <w:bookmarkStart w:id="126" w:name="_Toc259093687"/>
      <w:bookmarkStart w:id="127" w:name="_Toc487900368"/>
      <w:bookmarkStart w:id="128" w:name="_Toc8298"/>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29" w:name="_Toc15387"/>
      <w:bookmarkStart w:id="130" w:name="_Toc6134"/>
      <w:bookmarkStart w:id="131" w:name="_Toc29333"/>
      <w:r>
        <w:rPr>
          <w:rFonts w:hint="eastAsia" w:ascii="仿宋_GB2312" w:hAnsi="仿宋" w:eastAsia="仿宋_GB2312" w:cs="仿宋"/>
          <w:b/>
          <w:color w:val="auto"/>
          <w:sz w:val="24"/>
          <w:highlight w:val="none"/>
        </w:rPr>
        <w:t>2.15 合同中止、终止</w:t>
      </w:r>
      <w:bookmarkEnd w:id="129"/>
      <w:bookmarkEnd w:id="130"/>
      <w:bookmarkEnd w:id="13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2" w:name="_Toc1125"/>
      <w:bookmarkStart w:id="133" w:name="_Toc6596"/>
      <w:bookmarkStart w:id="134" w:name="_Toc14563"/>
      <w:r>
        <w:rPr>
          <w:rFonts w:hint="eastAsia" w:ascii="仿宋_GB2312" w:hAnsi="仿宋" w:eastAsia="仿宋_GB2312" w:cs="仿宋"/>
          <w:b/>
          <w:color w:val="auto"/>
          <w:sz w:val="24"/>
          <w:highlight w:val="none"/>
        </w:rPr>
        <w:t>2.16检验和验收</w:t>
      </w:r>
      <w:bookmarkEnd w:id="132"/>
      <w:bookmarkEnd w:id="133"/>
      <w:bookmarkEnd w:id="13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pPr>
        <w:spacing w:line="560" w:lineRule="exact"/>
        <w:ind w:firstLine="482" w:firstLineChars="200"/>
        <w:outlineLvl w:val="0"/>
        <w:rPr>
          <w:rFonts w:ascii="仿宋_GB2312" w:hAnsi="仿宋" w:eastAsia="仿宋_GB2312" w:cs="仿宋"/>
          <w:b/>
          <w:color w:val="auto"/>
          <w:sz w:val="24"/>
          <w:highlight w:val="none"/>
        </w:rPr>
      </w:pPr>
      <w:bookmarkStart w:id="135" w:name="_Toc259093690"/>
      <w:bookmarkStart w:id="136" w:name="_Toc487900371"/>
      <w:bookmarkStart w:id="137" w:name="_Toc279701261"/>
      <w:bookmarkStart w:id="138" w:name="_Toc25182"/>
      <w:bookmarkStart w:id="139" w:name="_Toc11284"/>
      <w:bookmarkStart w:id="140" w:name="_Toc1960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259093691"/>
      <w:bookmarkStart w:id="144" w:name="_Toc487900372"/>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pPr>
        <w:spacing w:line="560" w:lineRule="exact"/>
        <w:ind w:firstLine="480" w:firstLineChars="200"/>
        <w:rPr>
          <w:rFonts w:ascii="仿宋_GB2312" w:hAnsi="仿宋" w:eastAsia="仿宋_GB2312" w:cs="仿宋"/>
          <w:color w:val="auto"/>
          <w:sz w:val="24"/>
          <w:highlight w:val="none"/>
        </w:rPr>
      </w:pPr>
      <w:bookmarkStart w:id="146" w:name="_Toc23128"/>
      <w:bookmarkStart w:id="147"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pPr>
        <w:spacing w:line="560" w:lineRule="exact"/>
        <w:ind w:firstLine="482" w:firstLineChars="200"/>
        <w:outlineLvl w:val="0"/>
        <w:rPr>
          <w:rFonts w:ascii="仿宋_GB2312" w:hAnsi="仿宋" w:eastAsia="仿宋_GB2312" w:cs="仿宋"/>
          <w:b/>
          <w:color w:val="auto"/>
          <w:sz w:val="24"/>
          <w:highlight w:val="none"/>
        </w:rPr>
      </w:pPr>
      <w:bookmarkStart w:id="148" w:name="_Toc18540"/>
      <w:bookmarkStart w:id="149" w:name="_Toc4355"/>
      <w:bookmarkStart w:id="150" w:name="_Toc30599"/>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1" w:name="_Toc10330"/>
      <w:bookmarkStart w:id="152" w:name="_Toc259093692"/>
      <w:bookmarkStart w:id="153" w:name="_Toc12773"/>
      <w:bookmarkStart w:id="154" w:name="_Toc487900373"/>
      <w:bookmarkStart w:id="155" w:name="_Toc18567"/>
      <w:bookmarkStart w:id="156" w:name="_Toc27970126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7" w:name="_Toc14001"/>
      <w:bookmarkStart w:id="158" w:name="_Toc6885"/>
      <w:bookmarkStart w:id="159" w:name="_Toc19890"/>
      <w:r>
        <w:rPr>
          <w:rFonts w:hint="eastAsia" w:ascii="仿宋_GB2312" w:hAnsi="仿宋" w:eastAsia="仿宋_GB2312" w:cs="仿宋"/>
          <w:b/>
          <w:color w:val="auto"/>
          <w:sz w:val="24"/>
          <w:highlight w:val="none"/>
        </w:rPr>
        <w:t>2.20 合同份数</w:t>
      </w:r>
      <w:bookmarkEnd w:id="157"/>
      <w:bookmarkEnd w:id="158"/>
      <w:bookmarkEnd w:id="1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5"/>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6"/>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60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40</w:t>
      </w:r>
      <w:r>
        <w:rPr>
          <w:rFonts w:hint="eastAsia" w:ascii="仿宋_GB2312" w:hAnsi="宋体" w:eastAsia="仿宋_GB2312"/>
          <w:color w:val="auto"/>
          <w:sz w:val="24"/>
          <w:highlight w:val="none"/>
        </w:rPr>
        <w:t>分。评分依下述所列为评标打分依据，分值如下（计算分值时，按其算术平均值保留小数2位）。</w:t>
      </w:r>
    </w:p>
    <w:p>
      <w:pPr>
        <w:spacing w:line="440" w:lineRule="exact"/>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60</w:t>
      </w:r>
      <w:r>
        <w:rPr>
          <w:rFonts w:hint="eastAsia" w:ascii="仿宋_GB2312" w:hAnsi="宋体" w:eastAsia="仿宋_GB2312"/>
          <w:b/>
          <w:bCs/>
          <w:iCs/>
          <w:color w:val="auto"/>
          <w:sz w:val="24"/>
          <w:highlight w:val="none"/>
        </w:rPr>
        <w:t>分）</w:t>
      </w:r>
    </w:p>
    <w:tbl>
      <w:tblPr>
        <w:tblStyle w:val="65"/>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w:t>
            </w:r>
          </w:p>
        </w:tc>
        <w:tc>
          <w:tcPr>
            <w:tcW w:w="1413" w:type="dxa"/>
            <w:vAlign w:val="center"/>
          </w:tcPr>
          <w:p>
            <w:pPr>
              <w:widowControl/>
              <w:kinsoku w:val="0"/>
              <w:autoSpaceDE w:val="0"/>
              <w:autoSpaceDN w:val="0"/>
              <w:adjustRightInd w:val="0"/>
              <w:snapToGrid w:val="0"/>
              <w:spacing w:line="272" w:lineRule="auto"/>
              <w:ind w:firstLine="0" w:firstLineChars="0"/>
              <w:jc w:val="center"/>
              <w:textAlignment w:val="baseline"/>
              <w:rPr>
                <w:rFonts w:hint="eastAsia" w:ascii="仿宋_GB2312" w:hAnsi="仿宋_GB2312" w:eastAsia="仿宋_GB2312" w:cs="仿宋_GB2312"/>
                <w:b w:val="0"/>
                <w:bCs w:val="0"/>
                <w:snapToGrid w:val="0"/>
                <w:color w:val="auto"/>
                <w:kern w:val="0"/>
                <w:sz w:val="24"/>
                <w:szCs w:val="24"/>
                <w:highlight w:val="none"/>
                <w:lang w:eastAsia="en-US"/>
              </w:rPr>
            </w:pPr>
          </w:p>
          <w:p>
            <w:pPr>
              <w:pStyle w:val="105"/>
              <w:widowControl/>
              <w:spacing w:before="78" w:line="233" w:lineRule="auto"/>
              <w:ind w:left="120" w:leftChars="0" w:right="208" w:rightChars="0" w:hanging="1" w:firstLineChars="0"/>
              <w:jc w:val="center"/>
              <w:rPr>
                <w:rFonts w:hint="eastAsia" w:ascii="仿宋_GB2312" w:eastAsia="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auto"/>
                <w:spacing w:val="-5"/>
                <w:sz w:val="24"/>
                <w:szCs w:val="24"/>
                <w:highlight w:val="none"/>
              </w:rPr>
              <w:t>产品技术参数</w:t>
            </w:r>
          </w:p>
        </w:tc>
        <w:tc>
          <w:tcPr>
            <w:tcW w:w="6416" w:type="dxa"/>
            <w:vAlign w:val="center"/>
          </w:tcPr>
          <w:p>
            <w:pPr>
              <w:pStyle w:val="105"/>
              <w:widowControl/>
              <w:spacing w:before="18" w:line="223" w:lineRule="auto"/>
              <w:ind w:right="142" w:rightChars="0"/>
              <w:jc w:val="left"/>
              <w:rPr>
                <w:rFonts w:hint="eastAsia" w:ascii="仿宋_GB2312" w:eastAsia="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auto"/>
                <w:kern w:val="0"/>
                <w:sz w:val="24"/>
                <w:szCs w:val="24"/>
                <w:highlight w:val="none"/>
              </w:rPr>
              <w:t>技术指标符合度：对应于招标文件第三部分招标项目范围及要求——</w:t>
            </w:r>
            <w:r>
              <w:rPr>
                <w:rFonts w:hint="eastAsia" w:ascii="仿宋_GB2312" w:hAnsi="仿宋_GB2312" w:eastAsia="仿宋_GB2312" w:cs="仿宋_GB2312"/>
                <w:color w:val="auto"/>
                <w:kern w:val="0"/>
                <w:sz w:val="24"/>
                <w:szCs w:val="24"/>
                <w:highlight w:val="none"/>
                <w:lang w:eastAsia="zh-CN"/>
              </w:rPr>
              <w:t>“</w:t>
            </w:r>
            <w:r>
              <w:rPr>
                <w:rFonts w:hint="eastAsia" w:ascii="仿宋_GB2312" w:eastAsia="仿宋_GB2312"/>
                <w:b/>
                <w:color w:val="000000" w:themeColor="text1"/>
                <w:sz w:val="24"/>
                <w:lang w:eastAsia="zh-CN"/>
                <w14:textFill>
                  <w14:solidFill>
                    <w14:schemeClr w14:val="tx1"/>
                  </w14:solidFill>
                </w14:textFill>
              </w:rPr>
              <w:t>一</w:t>
            </w:r>
            <w:r>
              <w:rPr>
                <w:rFonts w:hint="eastAsia" w:ascii="仿宋_GB2312" w:eastAsia="仿宋_GB2312"/>
                <w:b/>
                <w:color w:val="000000" w:themeColor="text1"/>
                <w:sz w:val="24"/>
                <w14:textFill>
                  <w14:solidFill>
                    <w14:schemeClr w14:val="tx1"/>
                  </w14:solidFill>
                </w14:textFill>
              </w:rPr>
              <w:t>、</w:t>
            </w:r>
            <w:r>
              <w:rPr>
                <w:rFonts w:hint="eastAsia" w:ascii="仿宋_GB2312" w:eastAsia="仿宋_GB2312"/>
                <w:b/>
                <w:color w:val="000000" w:themeColor="text1"/>
                <w:sz w:val="24"/>
                <w:lang w:eastAsia="zh-CN"/>
                <w14:textFill>
                  <w14:solidFill>
                    <w14:schemeClr w14:val="tx1"/>
                  </w14:solidFill>
                </w14:textFill>
              </w:rPr>
              <w:t>设备</w:t>
            </w:r>
            <w:r>
              <w:rPr>
                <w:rFonts w:hint="eastAsia" w:ascii="仿宋_GB2312" w:eastAsia="仿宋_GB2312"/>
                <w:b/>
                <w:color w:val="000000" w:themeColor="text1"/>
                <w:sz w:val="24"/>
                <w14:textFill>
                  <w14:solidFill>
                    <w14:schemeClr w14:val="tx1"/>
                  </w14:solidFill>
                </w14:textFill>
              </w:rPr>
              <w:t>数量</w:t>
            </w:r>
            <w:r>
              <w:rPr>
                <w:rFonts w:hint="eastAsia" w:ascii="仿宋_GB2312" w:eastAsia="仿宋_GB2312"/>
                <w:b/>
                <w:color w:val="000000" w:themeColor="text1"/>
                <w:sz w:val="24"/>
                <w:lang w:eastAsia="zh-CN"/>
                <w14:textFill>
                  <w14:solidFill>
                    <w14:schemeClr w14:val="tx1"/>
                  </w14:solidFill>
                </w14:textFill>
              </w:rPr>
              <w:t>及性</w:t>
            </w:r>
            <w:r>
              <w:rPr>
                <w:rFonts w:hint="eastAsia" w:ascii="仿宋_GB2312" w:eastAsia="仿宋_GB2312"/>
                <w:b/>
                <w:color w:val="000000" w:themeColor="text1"/>
                <w:sz w:val="24"/>
                <w14:textFill>
                  <w14:solidFill>
                    <w14:schemeClr w14:val="tx1"/>
                  </w14:solidFill>
                </w14:textFill>
              </w:rPr>
              <w:t>能</w:t>
            </w:r>
            <w:r>
              <w:rPr>
                <w:rFonts w:hint="eastAsia" w:ascii="仿宋_GB2312" w:hAnsi="宋体" w:eastAsia="仿宋_GB2312" w:cs="宋体"/>
                <w:b/>
                <w:color w:val="000000" w:themeColor="text1"/>
                <w:sz w:val="24"/>
                <w14:textFill>
                  <w14:solidFill>
                    <w14:schemeClr w14:val="tx1"/>
                  </w14:solidFill>
                </w14:textFill>
              </w:rPr>
              <w:t>参数要求</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，完全满足指标参数得</w:t>
            </w:r>
            <w:r>
              <w:rPr>
                <w:rFonts w:hint="eastAsia" w:ascii="仿宋_GB2312" w:hAnsi="仿宋_GB2312" w:eastAsia="仿宋_GB2312" w:cs="仿宋_GB2312"/>
                <w:color w:val="auto"/>
                <w:kern w:val="0"/>
                <w:sz w:val="24"/>
                <w:szCs w:val="24"/>
                <w:highlight w:val="none"/>
                <w:lang w:val="en-US" w:eastAsia="zh-CN"/>
              </w:rPr>
              <w:t>27</w:t>
            </w:r>
            <w:r>
              <w:rPr>
                <w:rFonts w:hint="eastAsia" w:ascii="仿宋_GB2312" w:hAnsi="仿宋_GB2312" w:eastAsia="仿宋_GB2312" w:cs="仿宋_GB2312"/>
                <w:color w:val="auto"/>
                <w:kern w:val="0"/>
                <w:sz w:val="24"/>
                <w:szCs w:val="24"/>
                <w:highlight w:val="none"/>
              </w:rPr>
              <w:t>分。打“★”为实质性指标，出现负偏离作无效投标处理；打“▲”为主要性能指标，每有一项负偏离扣3 分；其他指标，每有一项负偏离扣 1 分，扣完为止。</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14:textFill>
                  <w14:solidFill>
                    <w14:schemeClr w14:val="tx1"/>
                  </w14:solidFill>
                </w14:textFill>
              </w:rPr>
            </w:pPr>
            <w:r>
              <w:rPr>
                <w:rFonts w:hint="eastAsia" w:ascii="仿宋_GB2312" w:eastAsia="仿宋_GB2312"/>
                <w:color w:val="000000" w:themeColor="text1"/>
                <w:sz w:val="24"/>
                <w:highlight w:val="none"/>
                <w:lang w:val="en-US" w:eastAsia="zh-CN"/>
                <w14:textFill>
                  <w14:solidFill>
                    <w14:schemeClr w14:val="tx1"/>
                  </w14:solidFill>
                </w14:textFill>
              </w:rPr>
              <w:t>业绩案例</w:t>
            </w:r>
          </w:p>
        </w:tc>
        <w:tc>
          <w:tcPr>
            <w:tcW w:w="6416" w:type="dxa"/>
            <w:vAlign w:val="center"/>
          </w:tcPr>
          <w:p>
            <w:pPr>
              <w:spacing w:line="320" w:lineRule="exact"/>
              <w:ind w:left="-92" w:leftChars="-44" w:right="-107" w:rightChars="-5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投标人自2021年1月1日以来（以合同签订时间为准）完成的同类案例，每有一个得2分，最高得4分。</w:t>
            </w:r>
          </w:p>
          <w:p>
            <w:pPr>
              <w:spacing w:line="320" w:lineRule="exact"/>
              <w:ind w:left="-92" w:leftChars="-44" w:right="-107" w:rightChars="-51"/>
              <w:rPr>
                <w:rFonts w:hint="eastAsia" w:ascii="仿宋_GB2312" w:eastAsia="仿宋_GB2312"/>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color w:val="auto"/>
                <w:sz w:val="24"/>
                <w:szCs w:val="24"/>
                <w:highlight w:val="none"/>
                <w:lang w:val="en-US" w:eastAsia="zh-CN"/>
              </w:rPr>
              <w:t>注：每个案例提供合同复印件加盖投标人公章。</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c>
          <w:tcPr>
            <w:tcW w:w="1413" w:type="dxa"/>
            <w:vAlign w:val="center"/>
          </w:tcPr>
          <w:p>
            <w:pPr>
              <w:keepNext w:val="0"/>
              <w:keepLines w:val="0"/>
              <w:widowControl/>
              <w:suppressLineNumbers w:val="0"/>
              <w:jc w:val="center"/>
              <w:textAlignment w:val="center"/>
              <w:rPr>
                <w:rFonts w:hint="default" w:ascii="仿宋_GB2312" w:eastAsia="仿宋_GB2312"/>
                <w:color w:val="000000" w:themeColor="text1"/>
                <w:sz w:val="24"/>
                <w:highlight w:val="none"/>
                <w:lang w:val="en-US" w:eastAsia="zh-CN"/>
                <w14:textFill>
                  <w14:solidFill>
                    <w14:schemeClr w14:val="tx1"/>
                  </w14:solidFill>
                </w14:textFill>
              </w:rPr>
            </w:pPr>
            <w:r>
              <w:rPr>
                <w:rFonts w:hint="eastAsia" w:ascii="仿宋_GB2312" w:eastAsia="仿宋_GB2312"/>
                <w:color w:val="000000" w:themeColor="text1"/>
                <w:sz w:val="24"/>
                <w:highlight w:val="none"/>
                <w:lang w:val="en-US" w:eastAsia="zh-CN"/>
                <w14:textFill>
                  <w14:solidFill>
                    <w14:schemeClr w14:val="tx1"/>
                  </w14:solidFill>
                </w14:textFill>
              </w:rPr>
              <w:t>整体方案</w:t>
            </w:r>
          </w:p>
        </w:tc>
        <w:tc>
          <w:tcPr>
            <w:tcW w:w="6416" w:type="dxa"/>
            <w:vAlign w:val="center"/>
          </w:tcPr>
          <w:p>
            <w:pPr>
              <w:spacing w:line="320" w:lineRule="exact"/>
              <w:ind w:left="-92" w:leftChars="-44" w:right="-107" w:rightChars="-51"/>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根据投标人提供的整体方案进行打分，包括但不仅限于节能效果、系统主要工作部件，外观选材等方面，0-5分。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c>
          <w:tcPr>
            <w:tcW w:w="1413" w:type="dxa"/>
            <w:vAlign w:val="center"/>
          </w:tcPr>
          <w:p>
            <w:pPr>
              <w:pageBreakBefore w:val="0"/>
              <w:kinsoku/>
              <w:wordWrap/>
              <w:overflowPunct/>
              <w:topLinePunct w:val="0"/>
              <w:autoSpaceDE/>
              <w:autoSpaceDN/>
              <w:bidi w:val="0"/>
              <w:spacing w:line="240" w:lineRule="auto"/>
              <w:jc w:val="center"/>
              <w:textAlignment w:val="auto"/>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eastAsia="仿宋_GB2312" w:cs="Times New Roman"/>
                <w:color w:val="auto"/>
                <w:kern w:val="2"/>
                <w:sz w:val="24"/>
                <w:szCs w:val="24"/>
                <w:highlight w:val="none"/>
                <w:lang w:val="en-US" w:eastAsia="zh-CN" w:bidi="ar-SA"/>
              </w:rPr>
              <w:t>项目</w:t>
            </w:r>
            <w:r>
              <w:rPr>
                <w:rFonts w:hint="eastAsia" w:ascii="仿宋_GB2312" w:hAnsi="Times New Roman" w:eastAsia="仿宋_GB2312" w:cs="Times New Roman"/>
                <w:color w:val="auto"/>
                <w:kern w:val="2"/>
                <w:sz w:val="24"/>
                <w:szCs w:val="24"/>
                <w:highlight w:val="none"/>
                <w:lang w:val="en-US" w:eastAsia="zh-CN" w:bidi="ar-SA"/>
              </w:rPr>
              <w:t>实施方案</w:t>
            </w:r>
          </w:p>
        </w:tc>
        <w:tc>
          <w:tcPr>
            <w:tcW w:w="6416" w:type="dxa"/>
            <w:vAlign w:val="center"/>
          </w:tcPr>
          <w:p>
            <w:pPr>
              <w:spacing w:line="320" w:lineRule="exact"/>
              <w:ind w:left="-92" w:leftChars="-44" w:right="-107" w:rightChars="-51"/>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根据投标人提供的项目实施方案进行打分，包括但不仅限于施工进度计划、施工组织措施、施工工艺标准、安全文明施工措施等方面，0-5分.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c>
          <w:tcPr>
            <w:tcW w:w="1413" w:type="dxa"/>
            <w:vAlign w:val="center"/>
          </w:tcPr>
          <w:p>
            <w:pPr>
              <w:widowControl/>
              <w:jc w:val="center"/>
              <w:textAlignment w:val="center"/>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售后服务</w:t>
            </w:r>
          </w:p>
        </w:tc>
        <w:tc>
          <w:tcPr>
            <w:tcW w:w="6416" w:type="dxa"/>
            <w:vAlign w:val="center"/>
          </w:tcPr>
          <w:p>
            <w:pPr>
              <w:widowControl/>
              <w:spacing w:line="240" w:lineRule="auto"/>
              <w:textAlignment w:val="center"/>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color w:val="auto"/>
                <w:sz w:val="24"/>
                <w:szCs w:val="24"/>
              </w:rPr>
              <w:t>投标人提供售后服务方案</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Cs/>
                <w:iCs/>
                <w:sz w:val="24"/>
                <w:szCs w:val="24"/>
                <w:lang w:val="en-US" w:eastAsia="zh-CN"/>
              </w:rPr>
              <w:t>包含但不限于</w:t>
            </w:r>
            <w:r>
              <w:rPr>
                <w:rFonts w:hint="eastAsia" w:ascii="仿宋_GB2312" w:hAnsi="宋体" w:eastAsia="仿宋_GB2312" w:cs="楷体"/>
                <w:color w:val="000000" w:themeColor="text1"/>
                <w:sz w:val="24"/>
                <w14:textFill>
                  <w14:solidFill>
                    <w14:schemeClr w14:val="tx1"/>
                  </w14:solidFill>
                </w14:textFill>
              </w:rPr>
              <w:t>安装维修资质能力、响应能力、维修工程师</w:t>
            </w:r>
            <w:r>
              <w:rPr>
                <w:rFonts w:hint="eastAsia" w:ascii="仿宋_GB2312" w:hAnsi="宋体" w:eastAsia="仿宋_GB2312" w:cs="楷体"/>
                <w:color w:val="000000" w:themeColor="text1"/>
                <w:sz w:val="24"/>
                <w:lang w:eastAsia="zh-CN"/>
                <w14:textFill>
                  <w14:solidFill>
                    <w14:schemeClr w14:val="tx1"/>
                  </w14:solidFill>
                </w14:textFill>
              </w:rPr>
              <w:t>能力</w:t>
            </w:r>
            <w:r>
              <w:rPr>
                <w:rFonts w:hint="eastAsia" w:ascii="仿宋_GB2312" w:hAnsi="宋体" w:eastAsia="仿宋_GB2312" w:cs="楷体"/>
                <w:color w:val="000000" w:themeColor="text1"/>
                <w:sz w:val="24"/>
                <w14:textFill>
                  <w14:solidFill>
                    <w14:schemeClr w14:val="tx1"/>
                  </w14:solidFill>
                </w14:textFill>
              </w:rPr>
              <w:t>，售后团队</w:t>
            </w:r>
            <w:r>
              <w:rPr>
                <w:rFonts w:hint="eastAsia" w:ascii="仿宋_GB2312" w:hAnsi="仿宋_GB2312" w:eastAsia="仿宋_GB2312" w:cs="仿宋_GB2312"/>
                <w:color w:val="auto"/>
                <w:sz w:val="24"/>
                <w:szCs w:val="24"/>
              </w:rPr>
              <w:t>等</w:t>
            </w:r>
            <w:r>
              <w:rPr>
                <w:rFonts w:hint="eastAsia" w:ascii="仿宋_GB2312" w:hAnsi="仿宋_GB2312" w:eastAsia="仿宋_GB2312" w:cs="仿宋_GB2312"/>
                <w:color w:val="auto"/>
                <w:sz w:val="24"/>
                <w:szCs w:val="24"/>
                <w:lang w:eastAsia="zh-CN"/>
              </w:rPr>
              <w:t>方面，</w:t>
            </w:r>
            <w:r>
              <w:rPr>
                <w:rFonts w:hint="eastAsia" w:ascii="仿宋_GB2312" w:hAnsi="仿宋_GB2312" w:eastAsia="仿宋_GB2312" w:cs="仿宋_GB2312"/>
                <w:color w:val="auto"/>
                <w:sz w:val="24"/>
                <w:szCs w:val="24"/>
                <w:lang w:val="en-US" w:eastAsia="zh-CN"/>
              </w:rPr>
              <w:t>0-5分。</w:t>
            </w:r>
          </w:p>
        </w:tc>
        <w:tc>
          <w:tcPr>
            <w:tcW w:w="786" w:type="dxa"/>
            <w:vAlign w:val="center"/>
          </w:tcPr>
          <w:p>
            <w:pPr>
              <w:keepNext w:val="0"/>
              <w:keepLines w:val="0"/>
              <w:widowControl/>
              <w:suppressLineNumbers w:val="0"/>
              <w:jc w:val="center"/>
              <w:textAlignment w:val="center"/>
              <w:rPr>
                <w:rFonts w:hint="eastAsia" w:ascii="仿宋_GB2312" w:hAnsi="Times New Roman" w:eastAsia="仿宋_GB2312" w:cs="Times New Roman"/>
                <w:color w:val="auto"/>
                <w:sz w:val="24"/>
                <w:highlight w:val="none"/>
                <w:lang w:val="en-US" w:eastAsia="zh-CN"/>
              </w:rPr>
            </w:pPr>
            <w:r>
              <w:rPr>
                <w:rFonts w:hint="eastAsia" w:ascii="仿宋_GB2312" w:hAnsi="仿宋_GB2312" w:eastAsia="仿宋_GB2312" w:cs="仿宋_GB2312"/>
                <w:i w:val="0"/>
                <w:iCs w:val="0"/>
                <w:color w:val="000000"/>
                <w:kern w:val="0"/>
                <w:sz w:val="24"/>
                <w:szCs w:val="24"/>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c>
          <w:tcPr>
            <w:tcW w:w="1413" w:type="dxa"/>
            <w:vAlign w:val="center"/>
          </w:tcPr>
          <w:p>
            <w:pPr>
              <w:pageBreakBefore w:val="0"/>
              <w:kinsoku/>
              <w:wordWrap/>
              <w:overflowPunct/>
              <w:topLinePunct w:val="0"/>
              <w:autoSpaceDE/>
              <w:autoSpaceDN/>
              <w:bidi w:val="0"/>
              <w:spacing w:line="240" w:lineRule="auto"/>
              <w:jc w:val="center"/>
              <w:textAlignment w:val="auto"/>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eastAsia="仿宋_GB2312" w:cs="Times New Roman"/>
                <w:color w:val="auto"/>
                <w:kern w:val="2"/>
                <w:sz w:val="24"/>
                <w:szCs w:val="24"/>
                <w:highlight w:val="none"/>
                <w:lang w:val="en-US" w:eastAsia="zh-CN" w:bidi="ar-SA"/>
              </w:rPr>
              <w:t>备品备件</w:t>
            </w:r>
          </w:p>
        </w:tc>
        <w:tc>
          <w:tcPr>
            <w:tcW w:w="6416" w:type="dxa"/>
            <w:vAlign w:val="center"/>
          </w:tcPr>
          <w:p>
            <w:pPr>
              <w:pageBreakBefore w:val="0"/>
              <w:kinsoku/>
              <w:wordWrap/>
              <w:overflowPunct/>
              <w:topLinePunct w:val="0"/>
              <w:autoSpaceDE/>
              <w:autoSpaceDN/>
              <w:bidi w:val="0"/>
              <w:adjustRightInd w:val="0"/>
              <w:spacing w:line="240" w:lineRule="auto"/>
              <w:jc w:val="left"/>
              <w:textAlignment w:val="auto"/>
              <w:rPr>
                <w:rFonts w:hint="default" w:ascii="仿宋_GB2312" w:hAnsi="Times New Roman" w:eastAsia="仿宋_GB2312" w:cs="Times New Roman"/>
                <w:color w:val="auto"/>
                <w:kern w:val="2"/>
                <w:sz w:val="24"/>
                <w:szCs w:val="24"/>
                <w:highlight w:val="none"/>
                <w:lang w:val="en-US" w:eastAsia="zh-CN" w:bidi="ar-SA"/>
              </w:rPr>
            </w:pPr>
            <w:r>
              <w:rPr>
                <w:rFonts w:hint="default" w:ascii="仿宋_GB2312" w:hAnsi="Times New Roman" w:eastAsia="仿宋_GB2312" w:cs="Times New Roman"/>
                <w:color w:val="auto"/>
                <w:kern w:val="2"/>
                <w:sz w:val="24"/>
                <w:szCs w:val="24"/>
                <w:highlight w:val="none"/>
                <w:lang w:val="en-US" w:eastAsia="zh-CN" w:bidi="ar-SA"/>
              </w:rPr>
              <w:t>根据投标人</w:t>
            </w:r>
            <w:r>
              <w:rPr>
                <w:rFonts w:hint="eastAsia" w:ascii="仿宋_GB2312" w:eastAsia="仿宋_GB2312" w:cs="Times New Roman"/>
                <w:color w:val="auto"/>
                <w:kern w:val="2"/>
                <w:sz w:val="24"/>
                <w:szCs w:val="24"/>
                <w:highlight w:val="none"/>
                <w:lang w:val="en-US" w:eastAsia="zh-CN" w:bidi="ar-SA"/>
              </w:rPr>
              <w:t>提供的备品备件情况进行打分，</w:t>
            </w:r>
            <w:r>
              <w:rPr>
                <w:rFonts w:hint="eastAsia" w:ascii="仿宋_GB2312" w:hAnsi="仿宋_GB2312" w:eastAsia="仿宋_GB2312" w:cs="仿宋_GB2312"/>
                <w:bCs/>
                <w:iCs/>
                <w:sz w:val="24"/>
                <w:szCs w:val="24"/>
                <w:lang w:val="en-US" w:eastAsia="zh-CN"/>
              </w:rPr>
              <w:t>包含但不限于</w:t>
            </w:r>
            <w:r>
              <w:rPr>
                <w:rFonts w:hint="default" w:ascii="仿宋_GB2312" w:hAnsi="Times New Roman" w:eastAsia="仿宋_GB2312" w:cs="Times New Roman"/>
                <w:color w:val="auto"/>
                <w:kern w:val="2"/>
                <w:sz w:val="24"/>
                <w:szCs w:val="24"/>
                <w:highlight w:val="none"/>
                <w:lang w:val="en-US" w:eastAsia="zh-CN" w:bidi="ar-SA"/>
              </w:rPr>
              <w:t>设备的原厂零配件、备件情况及保障措施情况等方面,0-4分</w:t>
            </w:r>
            <w:r>
              <w:rPr>
                <w:rFonts w:hint="eastAsia" w:ascii="仿宋_GB2312" w:eastAsia="仿宋_GB2312" w:cs="Times New Roman"/>
                <w:color w:val="auto"/>
                <w:kern w:val="2"/>
                <w:sz w:val="24"/>
                <w:szCs w:val="24"/>
                <w:highlight w:val="none"/>
                <w:lang w:val="en-US" w:eastAsia="zh-CN" w:bidi="ar-SA"/>
              </w:rPr>
              <w:t>。</w:t>
            </w:r>
          </w:p>
        </w:tc>
        <w:tc>
          <w:tcPr>
            <w:tcW w:w="786" w:type="dxa"/>
            <w:vAlign w:val="center"/>
          </w:tcPr>
          <w:p>
            <w:pPr>
              <w:keepNext w:val="0"/>
              <w:keepLines w:val="0"/>
              <w:widowControl/>
              <w:suppressLineNumbers w:val="0"/>
              <w:jc w:val="center"/>
              <w:textAlignment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7</w:t>
            </w:r>
          </w:p>
        </w:tc>
        <w:tc>
          <w:tcPr>
            <w:tcW w:w="1413" w:type="dxa"/>
            <w:vAlign w:val="center"/>
          </w:tcPr>
          <w:p>
            <w:pPr>
              <w:keepNext w:val="0"/>
              <w:keepLines w:val="0"/>
              <w:widowControl/>
              <w:suppressLineNumbers w:val="0"/>
              <w:jc w:val="center"/>
              <w:textAlignment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宋体" w:eastAsia="仿宋_GB2312" w:cs="楷体"/>
                <w:color w:val="000000" w:themeColor="text1"/>
                <w:sz w:val="24"/>
                <w14:textFill>
                  <w14:solidFill>
                    <w14:schemeClr w14:val="tx1"/>
                  </w14:solidFill>
                </w14:textFill>
              </w:rPr>
              <w:t>产品智能化水平</w:t>
            </w:r>
          </w:p>
        </w:tc>
        <w:tc>
          <w:tcPr>
            <w:tcW w:w="6416" w:type="dxa"/>
            <w:vAlign w:val="center"/>
          </w:tcPr>
          <w:p>
            <w:pPr>
              <w:keepNext w:val="0"/>
              <w:keepLines w:val="0"/>
              <w:widowControl/>
              <w:numPr>
                <w:ilvl w:val="0"/>
                <w:numId w:val="0"/>
              </w:numPr>
              <w:suppressLineNumbers w:val="0"/>
              <w:ind w:left="0" w:leftChars="0" w:firstLine="0" w:firstLineChars="0"/>
              <w:jc w:val="both"/>
              <w:textAlignment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Times New Roman" w:eastAsia="仿宋_GB2312" w:cs="Times New Roman"/>
                <w:color w:val="auto"/>
                <w:kern w:val="2"/>
                <w:sz w:val="24"/>
                <w:szCs w:val="24"/>
                <w:highlight w:val="none"/>
                <w:lang w:val="en-US" w:eastAsia="zh-CN" w:bidi="ar-SA"/>
              </w:rPr>
              <w:t>根据所投产品的智能化水平进行打分，包括但不仅限于掉电记忆功能、智能防直吹功能及其他智能化功能，</w:t>
            </w:r>
            <w:r>
              <w:rPr>
                <w:rFonts w:hint="eastAsia" w:ascii="仿宋_GB2312" w:eastAsia="仿宋_GB2312" w:cs="Times New Roman"/>
                <w:color w:val="auto"/>
                <w:kern w:val="2"/>
                <w:sz w:val="24"/>
                <w:szCs w:val="24"/>
                <w:highlight w:val="none"/>
                <w:lang w:val="en-US" w:eastAsia="zh-CN" w:bidi="ar-SA"/>
              </w:rPr>
              <w:t>每具有一个</w:t>
            </w:r>
            <w:r>
              <w:rPr>
                <w:rFonts w:hint="eastAsia" w:ascii="仿宋_GB2312" w:hAnsi="Times New Roman" w:eastAsia="仿宋_GB2312" w:cs="Times New Roman"/>
                <w:color w:val="auto"/>
                <w:kern w:val="2"/>
                <w:sz w:val="24"/>
                <w:szCs w:val="24"/>
                <w:highlight w:val="none"/>
                <w:lang w:val="en-US" w:eastAsia="zh-CN" w:bidi="ar-SA"/>
              </w:rPr>
              <w:t>智能化功能得2分，最</w:t>
            </w:r>
            <w:r>
              <w:rPr>
                <w:rFonts w:hint="eastAsia" w:ascii="仿宋_GB2312" w:eastAsia="仿宋_GB2312" w:cs="Times New Roman"/>
                <w:color w:val="auto"/>
                <w:kern w:val="2"/>
                <w:sz w:val="24"/>
                <w:szCs w:val="24"/>
                <w:highlight w:val="none"/>
                <w:lang w:val="en-US" w:eastAsia="zh-CN" w:bidi="ar-SA"/>
              </w:rPr>
              <w:t>高</w:t>
            </w:r>
            <w:r>
              <w:rPr>
                <w:rFonts w:hint="eastAsia" w:ascii="仿宋_GB2312" w:hAnsi="Times New Roman" w:eastAsia="仿宋_GB2312" w:cs="Times New Roman"/>
                <w:color w:val="auto"/>
                <w:kern w:val="2"/>
                <w:sz w:val="24"/>
                <w:szCs w:val="24"/>
                <w:highlight w:val="none"/>
                <w:lang w:val="en-US" w:eastAsia="zh-CN" w:bidi="ar-SA"/>
              </w:rPr>
              <w:t>得6分</w:t>
            </w:r>
            <w:r>
              <w:rPr>
                <w:rFonts w:hint="eastAsia" w:ascii="仿宋_GB2312" w:eastAsia="仿宋_GB2312" w:cs="Times New Roman"/>
                <w:color w:val="auto"/>
                <w:kern w:val="2"/>
                <w:sz w:val="24"/>
                <w:szCs w:val="24"/>
                <w:highlight w:val="none"/>
                <w:lang w:val="en-US" w:eastAsia="zh-CN" w:bidi="ar-SA"/>
              </w:rPr>
              <w:t>。</w:t>
            </w:r>
          </w:p>
        </w:tc>
        <w:tc>
          <w:tcPr>
            <w:tcW w:w="786" w:type="dxa"/>
            <w:vAlign w:val="center"/>
          </w:tcPr>
          <w:p>
            <w:pPr>
              <w:keepNext w:val="0"/>
              <w:keepLines w:val="0"/>
              <w:widowControl/>
              <w:suppressLineNumbers w:val="0"/>
              <w:jc w:val="center"/>
              <w:textAlignment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eastAsia="仿宋_GB2312" w:cs="Times New Roman"/>
                <w:color w:val="auto"/>
                <w:kern w:val="2"/>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8</w:t>
            </w:r>
          </w:p>
        </w:tc>
        <w:tc>
          <w:tcPr>
            <w:tcW w:w="1413" w:type="dxa"/>
            <w:vAlign w:val="center"/>
          </w:tcPr>
          <w:p>
            <w:pPr>
              <w:widowControl/>
              <w:jc w:val="center"/>
              <w:textAlignment w:val="cente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质保承诺</w:t>
            </w:r>
          </w:p>
        </w:tc>
        <w:tc>
          <w:tcPr>
            <w:tcW w:w="6416" w:type="dxa"/>
            <w:vAlign w:val="center"/>
          </w:tcPr>
          <w:p>
            <w:pPr>
              <w:rPr>
                <w:rFonts w:hint="eastAsia"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color w:val="auto"/>
                <w:sz w:val="24"/>
                <w:szCs w:val="24"/>
              </w:rPr>
              <w:t>在满足招标文件要求的基础上每增加</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年得</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延长时间不足一年的不计入得分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，最</w:t>
            </w:r>
            <w:r>
              <w:rPr>
                <w:rFonts w:hint="eastAsia" w:ascii="仿宋_GB2312" w:hAnsi="仿宋_GB2312" w:eastAsia="仿宋_GB2312" w:cs="仿宋_GB2312"/>
                <w:color w:val="auto"/>
                <w:sz w:val="24"/>
                <w:szCs w:val="24"/>
                <w:lang w:eastAsia="zh-CN"/>
              </w:rPr>
              <w:t>高</w:t>
            </w:r>
            <w:r>
              <w:rPr>
                <w:rFonts w:hint="eastAsia" w:ascii="仿宋_GB2312" w:hAnsi="仿宋_GB2312" w:eastAsia="仿宋_GB2312" w:cs="仿宋_GB2312"/>
                <w:color w:val="auto"/>
                <w:sz w:val="24"/>
                <w:szCs w:val="24"/>
              </w:rPr>
              <w:t>得</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
                <w:bCs/>
                <w:color w:val="auto"/>
                <w:sz w:val="24"/>
                <w:szCs w:val="24"/>
              </w:rPr>
              <w:t>提供相关承诺函（格式自拟）并加盖投标人公章，</w:t>
            </w:r>
            <w:r>
              <w:rPr>
                <w:rFonts w:hint="eastAsia" w:ascii="仿宋_GB2312" w:hAnsi="仿宋_GB2312" w:eastAsia="仿宋_GB2312" w:cs="仿宋_GB2312"/>
                <w:b/>
                <w:bCs/>
                <w:sz w:val="24"/>
                <w:szCs w:val="24"/>
              </w:rPr>
              <w:t>否则不得分</w:t>
            </w:r>
            <w:r>
              <w:rPr>
                <w:rFonts w:hint="eastAsia" w:ascii="仿宋_GB2312" w:hAnsi="仿宋_GB2312" w:eastAsia="仿宋_GB2312" w:cs="仿宋_GB2312"/>
                <w:b/>
                <w:bCs/>
                <w:color w:val="auto"/>
                <w:sz w:val="24"/>
                <w:szCs w:val="24"/>
                <w:lang w:val="en-US" w:eastAsia="zh-CN"/>
              </w:rPr>
              <w:t>。</w:t>
            </w:r>
          </w:p>
        </w:tc>
        <w:tc>
          <w:tcPr>
            <w:tcW w:w="786" w:type="dxa"/>
            <w:vAlign w:val="center"/>
          </w:tcPr>
          <w:p>
            <w:pPr>
              <w:keepNext w:val="0"/>
              <w:keepLines w:val="0"/>
              <w:widowControl/>
              <w:suppressLineNumbers w:val="0"/>
              <w:jc w:val="center"/>
              <w:textAlignment w:val="center"/>
              <w:rPr>
                <w:rFonts w:hint="default" w:ascii="仿宋_GB2312" w:hAnsi="Times New Roman" w:eastAsia="仿宋_GB2312" w:cs="Times New Roman"/>
                <w:color w:val="auto"/>
                <w:kern w:val="2"/>
                <w:sz w:val="24"/>
                <w:szCs w:val="24"/>
                <w:highlight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4</w:t>
            </w:r>
          </w:p>
        </w:tc>
      </w:tr>
    </w:tbl>
    <w:p>
      <w:pPr>
        <w:snapToGrid w:val="0"/>
        <w:spacing w:line="440" w:lineRule="exact"/>
        <w:rPr>
          <w:rFonts w:hint="eastAsia"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40</w:t>
      </w:r>
      <w:r>
        <w:rPr>
          <w:rFonts w:hint="eastAsia" w:ascii="仿宋_GB2312" w:hAnsi="宋体" w:eastAsia="仿宋_GB2312"/>
          <w:b/>
          <w:bCs/>
          <w:iCs/>
          <w:color w:val="auto"/>
          <w:sz w:val="24"/>
          <w:highlight w:val="none"/>
        </w:rPr>
        <w:t>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color w:val="auto"/>
          <w:sz w:val="36"/>
          <w:szCs w:val="20"/>
          <w:highlight w:val="none"/>
          <w:lang w:val="en-US"/>
        </w:rPr>
      </w:pPr>
      <w:r>
        <w:rPr>
          <w:rFonts w:hint="eastAsia" w:ascii="仿宋_GB2312" w:hAnsi="宋体" w:eastAsia="仿宋_GB2312"/>
          <w:bCs/>
          <w:iCs/>
          <w:color w:val="auto"/>
          <w:sz w:val="24"/>
          <w:highlight w:val="none"/>
        </w:rPr>
        <w:t>即：投标报价得分=(评标基准价／投标报价)×</w:t>
      </w:r>
      <w:bookmarkEnd w:id="7"/>
      <w:bookmarkEnd w:id="8"/>
      <w:bookmarkEnd w:id="9"/>
      <w:bookmarkEnd w:id="10"/>
      <w:r>
        <w:rPr>
          <w:rFonts w:hint="eastAsia" w:ascii="仿宋_GB2312" w:hAnsi="宋体" w:eastAsia="仿宋_GB2312"/>
          <w:bCs/>
          <w:iCs/>
          <w:color w:val="auto"/>
          <w:sz w:val="24"/>
          <w:highlight w:val="none"/>
          <w:lang w:val="en-US" w:eastAsia="zh-CN"/>
        </w:rPr>
        <w:t>40</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8"/>
        <w:spacing w:line="800" w:lineRule="atLeast"/>
        <w:ind w:left="0" w:leftChars="0"/>
        <w:rPr>
          <w:rFonts w:ascii="仿宋_GB2312" w:hAnsi="宋体" w:eastAsia="仿宋_GB2312"/>
          <w:b/>
          <w:color w:val="auto"/>
          <w:sz w:val="36"/>
          <w:szCs w:val="36"/>
          <w:highlight w:val="none"/>
        </w:rPr>
      </w:pPr>
    </w:p>
    <w:p>
      <w:pPr>
        <w:pStyle w:val="28"/>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浙江农业商贸职业学院</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浙江农业商贸职业学院教学环境提升改造项目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2024-06-0069</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2"/>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3"/>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100"/>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浙江农业商贸职业学院</w:t>
      </w:r>
      <w:r>
        <w:rPr>
          <w:rFonts w:hint="eastAsia" w:ascii="仿宋_GB2312" w:hAnsi="仿宋" w:eastAsia="仿宋_GB2312" w:cs="仿宋"/>
          <w:color w:val="auto"/>
          <w:szCs w:val="24"/>
          <w:highlight w:val="none"/>
          <w:u w:val="single"/>
        </w:rPr>
        <w:t>、绍兴市公共资源交易中心</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5"/>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5"/>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100"/>
        <w:spacing w:after="120" w:line="336" w:lineRule="auto"/>
        <w:ind w:firstLine="480"/>
        <w:rPr>
          <w:rFonts w:ascii="仿宋_GB2312" w:hAnsi="仿宋" w:eastAsia="仿宋_GB2312" w:cs="仿宋"/>
          <w:color w:val="auto"/>
          <w:szCs w:val="24"/>
          <w:highlight w:val="none"/>
        </w:rPr>
      </w:pPr>
    </w:p>
    <w:p>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浙江农业商贸职业学院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浙江农业商贸职业学院教学环境提升改造项目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浙江农业商贸职业学院</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浙江农业商贸职业学院教学环境提升改造项目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2024-06-0069</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浙江农业商贸职业学院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4"/>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2"/>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2"/>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2"/>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2"/>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
        <w:rPr>
          <w:rFonts w:ascii="仿宋_GB2312" w:eastAsia="仿宋_GB2312"/>
          <w:color w:val="auto"/>
          <w:highlight w:val="none"/>
        </w:rPr>
        <w:sectPr>
          <w:footerReference r:id="rId6" w:type="first"/>
          <w:footerReference r:id="rId5"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浙江农业商贸职业学院</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浙江农业商贸职业学院教学环境提升改造项目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2024-06-0069</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5"/>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投标报价（折扣率%）（小写）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投标报价（折扣率%）（大写）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firstLine="482" w:firstLineChars="20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sectPr>
          <w:pgSz w:w="16838" w:h="11906" w:orient="landscape"/>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Ansi="仿宋" w:cs="仿宋"/>
          <w:b/>
          <w:color w:val="auto"/>
          <w:highlight w:val="none"/>
        </w:rPr>
      </w:pPr>
    </w:p>
    <w:p>
      <w:pPr>
        <w:pStyle w:val="3"/>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2"/>
        <w:rPr>
          <w:rFonts w:hAnsi="仿宋" w:cs="仿宋"/>
          <w:b/>
          <w:color w:val="auto"/>
          <w:highlight w:val="none"/>
        </w:rPr>
      </w:pPr>
    </w:p>
    <w:p>
      <w:pPr>
        <w:pStyle w:val="3"/>
        <w:rPr>
          <w:rFonts w:ascii="仿宋_GB2312" w:eastAsia="仿宋_GB2312"/>
          <w:color w:val="auto"/>
          <w:highlight w:val="none"/>
        </w:rPr>
      </w:pPr>
    </w:p>
    <w:p>
      <w:pPr>
        <w:pStyle w:val="3"/>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2"/>
        <w:widowControl/>
        <w:spacing w:line="360" w:lineRule="auto"/>
        <w:ind w:firstLine="120" w:firstLineChars="50"/>
        <w:rPr>
          <w:rFonts w:hAnsi="仿宋" w:cs="仿宋"/>
          <w:b/>
          <w:color w:val="auto"/>
          <w:highlight w:val="none"/>
        </w:rPr>
      </w:pPr>
    </w:p>
    <w:p>
      <w:pPr>
        <w:pStyle w:val="3"/>
        <w:spacing w:line="360" w:lineRule="auto"/>
        <w:ind w:left="0" w:firstLine="120" w:firstLineChars="50"/>
        <w:jc w:val="left"/>
        <w:rPr>
          <w:rFonts w:ascii="仿宋_GB2312" w:hAnsi="仿宋" w:eastAsia="仿宋_GB2312" w:cs="仿宋"/>
          <w:b/>
          <w:color w:val="auto"/>
          <w:sz w:val="24"/>
          <w:highlight w:val="none"/>
        </w:rPr>
      </w:pPr>
    </w:p>
    <w:p>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2"/>
        <w:rPr>
          <w:rFonts w:hAnsi="仿宋" w:cs="仿宋"/>
          <w:b/>
          <w:color w:val="auto"/>
          <w:spacing w:val="6"/>
          <w:sz w:val="32"/>
          <w:szCs w:val="32"/>
          <w:highlight w:val="none"/>
        </w:rPr>
      </w:pPr>
    </w:p>
    <w:p>
      <w:pPr>
        <w:pStyle w:val="3"/>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2"/>
        <w:rPr>
          <w:rFonts w:hAnsi="仿宋" w:cs="仿宋"/>
          <w:b/>
          <w:color w:val="auto"/>
          <w:spacing w:val="6"/>
          <w:sz w:val="32"/>
          <w:szCs w:val="32"/>
          <w:highlight w:val="none"/>
        </w:rPr>
      </w:pPr>
    </w:p>
    <w:p>
      <w:pPr>
        <w:pStyle w:val="3"/>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4" w:name="OLE_LINK14"/>
      <w:bookmarkStart w:id="165" w:name="OLE_LINK13"/>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5"/>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hakuyoxingshu7000">
    <w:panose1 w:val="02000600000000000000"/>
    <w:charset w:val="86"/>
    <w:family w:val="auto"/>
    <w:pitch w:val="default"/>
    <w:sig w:usb0="FFFFFFFF" w:usb1="E9FFFFFF" w:usb2="0000003F" w:usb3="00000000" w:csb0="603F00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both"/>
      <w:rPr>
        <w:rFonts w:hint="eastAsia" w:eastAsia="宋体"/>
        <w:lang w:eastAsia="zh-CN"/>
      </w:rPr>
    </w:pPr>
    <w:r>
      <w:rPr>
        <w:rFonts w:hint="eastAsia"/>
      </w:rPr>
      <w:t>绍兴市公共资源交易中心                                           招标文件招标编号:</w:t>
    </w:r>
    <w:r>
      <w:rPr>
        <w:rFonts w:hint="eastAsia"/>
        <w:lang w:eastAsia="zh-CN"/>
      </w:rPr>
      <w:t>2024-06-0069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51"/>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85EFBB6"/>
    <w:multiLevelType w:val="singleLevel"/>
    <w:tmpl w:val="185EFBB6"/>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9"/>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8020E14"/>
    <w:rsid w:val="0B253438"/>
    <w:rsid w:val="10DC40EA"/>
    <w:rsid w:val="12E533D6"/>
    <w:rsid w:val="18E24FEA"/>
    <w:rsid w:val="19923DF0"/>
    <w:rsid w:val="19CF064A"/>
    <w:rsid w:val="19E41CD3"/>
    <w:rsid w:val="1F4648B6"/>
    <w:rsid w:val="20FB4C13"/>
    <w:rsid w:val="21401BF6"/>
    <w:rsid w:val="22C173DF"/>
    <w:rsid w:val="25866341"/>
    <w:rsid w:val="2989420F"/>
    <w:rsid w:val="29A83F96"/>
    <w:rsid w:val="2EDA14AE"/>
    <w:rsid w:val="2FA54326"/>
    <w:rsid w:val="30826BA6"/>
    <w:rsid w:val="368054A0"/>
    <w:rsid w:val="36F21220"/>
    <w:rsid w:val="3B517DF8"/>
    <w:rsid w:val="3C183D01"/>
    <w:rsid w:val="44DA359B"/>
    <w:rsid w:val="4D4D28DD"/>
    <w:rsid w:val="5140605E"/>
    <w:rsid w:val="51C14C15"/>
    <w:rsid w:val="55C93236"/>
    <w:rsid w:val="55EE24D3"/>
    <w:rsid w:val="56DF3CA2"/>
    <w:rsid w:val="580D25F6"/>
    <w:rsid w:val="59166000"/>
    <w:rsid w:val="5B0D544B"/>
    <w:rsid w:val="5B430CB2"/>
    <w:rsid w:val="5B6D5D3E"/>
    <w:rsid w:val="5F576F4A"/>
    <w:rsid w:val="60617BB3"/>
    <w:rsid w:val="60F7609E"/>
    <w:rsid w:val="620E34D3"/>
    <w:rsid w:val="63F5076C"/>
    <w:rsid w:val="6A261A93"/>
    <w:rsid w:val="6B321C23"/>
    <w:rsid w:val="6EDB63E4"/>
    <w:rsid w:val="701C7922"/>
    <w:rsid w:val="72CC6E6D"/>
    <w:rsid w:val="72E87C49"/>
    <w:rsid w:val="7341725F"/>
    <w:rsid w:val="73C97E65"/>
    <w:rsid w:val="76C96C40"/>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89"/>
    <w:qFormat/>
    <w:uiPriority w:val="0"/>
    <w:pPr>
      <w:keepNext/>
      <w:widowControl/>
      <w:numPr>
        <w:ilvl w:val="0"/>
        <w:numId w:val="4"/>
      </w:numPr>
      <w:jc w:val="left"/>
      <w:outlineLvl w:val="4"/>
    </w:pPr>
    <w:rPr>
      <w:kern w:val="0"/>
      <w:sz w:val="24"/>
      <w:szCs w:val="20"/>
    </w:rPr>
  </w:style>
  <w:style w:type="paragraph" w:styleId="10">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link w:val="84"/>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10"/>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9"/>
    <w:qFormat/>
    <w:uiPriority w:val="0"/>
    <w:pPr>
      <w:shd w:val="clear" w:color="auto" w:fill="000080"/>
    </w:pPr>
  </w:style>
  <w:style w:type="paragraph" w:styleId="21">
    <w:name w:val="annotation text"/>
    <w:basedOn w:val="1"/>
    <w:link w:val="102"/>
    <w:qFormat/>
    <w:uiPriority w:val="99"/>
    <w:pPr>
      <w:jc w:val="left"/>
    </w:pPr>
  </w:style>
  <w:style w:type="paragraph" w:styleId="22">
    <w:name w:val="Salutation"/>
    <w:basedOn w:val="1"/>
    <w:next w:val="1"/>
    <w:link w:val="317"/>
    <w:qFormat/>
    <w:uiPriority w:val="0"/>
    <w:pPr>
      <w:adjustRightInd w:val="0"/>
    </w:pPr>
    <w:rPr>
      <w:rFonts w:ascii="仿宋_GB2312" w:eastAsia="仿宋_GB2312"/>
      <w:sz w:val="28"/>
      <w:szCs w:val="20"/>
    </w:rPr>
  </w:style>
  <w:style w:type="paragraph" w:styleId="23">
    <w:name w:val="Body Text 3"/>
    <w:basedOn w:val="1"/>
    <w:link w:val="318"/>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next w:val="26"/>
    <w:link w:val="115"/>
    <w:qFormat/>
    <w:uiPriority w:val="0"/>
    <w:pPr>
      <w:spacing w:line="360" w:lineRule="auto"/>
    </w:pPr>
    <w:rPr>
      <w:rFonts w:eastAsia="仿宋_GB2312"/>
      <w:sz w:val="28"/>
    </w:rPr>
  </w:style>
  <w:style w:type="paragraph" w:styleId="26">
    <w:name w:val="Body Text First Indent"/>
    <w:basedOn w:val="25"/>
    <w:next w:val="27"/>
    <w:link w:val="232"/>
    <w:qFormat/>
    <w:uiPriority w:val="0"/>
    <w:pPr>
      <w:spacing w:after="120" w:line="240" w:lineRule="auto"/>
      <w:ind w:firstLine="420" w:firstLineChars="100"/>
    </w:pPr>
    <w:rPr>
      <w:rFonts w:eastAsia="宋体"/>
      <w:sz w:val="21"/>
    </w:rPr>
  </w:style>
  <w:style w:type="paragraph" w:styleId="27">
    <w:name w:val="toc 6"/>
    <w:basedOn w:val="1"/>
    <w:next w:val="1"/>
    <w:qFormat/>
    <w:uiPriority w:val="0"/>
    <w:pPr>
      <w:adjustRightInd w:val="0"/>
      <w:ind w:left="2100" w:leftChars="1000"/>
    </w:pPr>
  </w:style>
  <w:style w:type="paragraph" w:styleId="28">
    <w:name w:val="Body Text Indent"/>
    <w:basedOn w:val="1"/>
    <w:next w:val="1"/>
    <w:link w:val="96"/>
    <w:qFormat/>
    <w:uiPriority w:val="0"/>
    <w:pPr>
      <w:spacing w:after="120"/>
      <w:ind w:left="420" w:leftChars="200"/>
    </w:pPr>
  </w:style>
  <w:style w:type="paragraph" w:styleId="29">
    <w:name w:val="List Number 3"/>
    <w:basedOn w:val="1"/>
    <w:qFormat/>
    <w:uiPriority w:val="0"/>
    <w:pPr>
      <w:widowControl/>
      <w:tabs>
        <w:tab w:val="left" w:pos="482"/>
      </w:tabs>
      <w:spacing w:afterLines="50"/>
      <w:ind w:left="482" w:hanging="340"/>
      <w:jc w:val="left"/>
    </w:pPr>
    <w:rPr>
      <w:kern w:val="0"/>
      <w:sz w:val="24"/>
      <w:szCs w:val="20"/>
    </w:rPr>
  </w:style>
  <w:style w:type="paragraph" w:styleId="30">
    <w:name w:val="List 2"/>
    <w:basedOn w:val="1"/>
    <w:qFormat/>
    <w:uiPriority w:val="0"/>
    <w:pPr>
      <w:spacing w:line="360" w:lineRule="auto"/>
      <w:ind w:left="100" w:leftChars="200" w:hanging="200" w:hangingChars="200"/>
    </w:pPr>
    <w:rPr>
      <w:rFonts w:eastAsia="微软雅黑"/>
    </w:rPr>
  </w:style>
  <w:style w:type="paragraph" w:styleId="31">
    <w:name w:val="Block Text"/>
    <w:basedOn w:val="1"/>
    <w:qFormat/>
    <w:uiPriority w:val="0"/>
    <w:pPr>
      <w:spacing w:before="120" w:line="360" w:lineRule="auto"/>
      <w:ind w:left="824" w:right="202"/>
    </w:pPr>
    <w:rPr>
      <w:rFonts w:ascii="宋体" w:hAnsi="宋体"/>
      <w:sz w:val="24"/>
      <w:szCs w:val="21"/>
    </w:rPr>
  </w:style>
  <w:style w:type="paragraph" w:styleId="32">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3">
    <w:name w:val="HTML Address"/>
    <w:basedOn w:val="1"/>
    <w:link w:val="319"/>
    <w:qFormat/>
    <w:uiPriority w:val="0"/>
    <w:pPr>
      <w:widowControl/>
      <w:ind w:firstLine="200" w:firstLineChars="200"/>
      <w:jc w:val="left"/>
    </w:pPr>
    <w:rPr>
      <w:rFonts w:ascii="宋体" w:hAnsi="宋体"/>
      <w:i/>
      <w:iCs/>
      <w:kern w:val="0"/>
      <w:sz w:val="24"/>
    </w:rPr>
  </w:style>
  <w:style w:type="paragraph" w:styleId="34">
    <w:name w:val="toc 5"/>
    <w:basedOn w:val="1"/>
    <w:next w:val="1"/>
    <w:qFormat/>
    <w:uiPriority w:val="0"/>
    <w:pPr>
      <w:adjustRightInd w:val="0"/>
      <w:ind w:left="1680" w:leftChars="800"/>
    </w:pPr>
  </w:style>
  <w:style w:type="paragraph" w:styleId="35">
    <w:name w:val="toc 3"/>
    <w:basedOn w:val="1"/>
    <w:next w:val="1"/>
    <w:unhideWhenUsed/>
    <w:qFormat/>
    <w:uiPriority w:val="0"/>
    <w:pPr>
      <w:ind w:left="840" w:leftChars="400"/>
    </w:pPr>
    <w:rPr>
      <w:rFonts w:ascii="Calibri" w:hAnsi="Calibri"/>
      <w:szCs w:val="22"/>
    </w:rPr>
  </w:style>
  <w:style w:type="paragraph" w:styleId="36">
    <w:name w:val="Plain Text"/>
    <w:basedOn w:val="1"/>
    <w:link w:val="94"/>
    <w:qFormat/>
    <w:uiPriority w:val="0"/>
    <w:rPr>
      <w:rFonts w:ascii="宋体" w:hAnsi="Courier New"/>
      <w:szCs w:val="20"/>
    </w:rPr>
  </w:style>
  <w:style w:type="paragraph" w:styleId="37">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8">
    <w:name w:val="toc 8"/>
    <w:basedOn w:val="1"/>
    <w:next w:val="1"/>
    <w:qFormat/>
    <w:uiPriority w:val="0"/>
    <w:pPr>
      <w:adjustRightInd w:val="0"/>
      <w:ind w:left="2940" w:leftChars="1400"/>
    </w:pPr>
  </w:style>
  <w:style w:type="paragraph" w:styleId="39">
    <w:name w:val="Date"/>
    <w:basedOn w:val="1"/>
    <w:next w:val="1"/>
    <w:link w:val="97"/>
    <w:qFormat/>
    <w:uiPriority w:val="0"/>
    <w:rPr>
      <w:rFonts w:ascii="楷体_GB2312" w:eastAsia="楷体_GB2312"/>
      <w:b/>
      <w:sz w:val="28"/>
      <w:szCs w:val="20"/>
    </w:rPr>
  </w:style>
  <w:style w:type="paragraph" w:styleId="40">
    <w:name w:val="Body Text Indent 2"/>
    <w:basedOn w:val="1"/>
    <w:link w:val="111"/>
    <w:qFormat/>
    <w:uiPriority w:val="0"/>
    <w:pPr>
      <w:spacing w:after="120" w:line="480" w:lineRule="auto"/>
      <w:ind w:left="420" w:leftChars="200"/>
    </w:pPr>
  </w:style>
  <w:style w:type="paragraph" w:styleId="41">
    <w:name w:val="endnote text"/>
    <w:basedOn w:val="1"/>
    <w:link w:val="320"/>
    <w:qFormat/>
    <w:uiPriority w:val="0"/>
    <w:pPr>
      <w:adjustRightInd w:val="0"/>
    </w:pPr>
    <w:rPr>
      <w:lang w:val="zh-CN"/>
    </w:rPr>
  </w:style>
  <w:style w:type="paragraph" w:styleId="42">
    <w:name w:val="Balloon Text"/>
    <w:basedOn w:val="1"/>
    <w:link w:val="228"/>
    <w:qFormat/>
    <w:uiPriority w:val="0"/>
    <w:rPr>
      <w:sz w:val="18"/>
      <w:szCs w:val="18"/>
    </w:rPr>
  </w:style>
  <w:style w:type="paragraph" w:styleId="43">
    <w:name w:val="footer"/>
    <w:basedOn w:val="1"/>
    <w:link w:val="99"/>
    <w:qFormat/>
    <w:uiPriority w:val="99"/>
    <w:pPr>
      <w:tabs>
        <w:tab w:val="center" w:pos="4153"/>
        <w:tab w:val="right" w:pos="8306"/>
      </w:tabs>
      <w:snapToGrid w:val="0"/>
      <w:jc w:val="left"/>
    </w:pPr>
    <w:rPr>
      <w:sz w:val="18"/>
      <w:szCs w:val="18"/>
    </w:rPr>
  </w:style>
  <w:style w:type="paragraph" w:styleId="44">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tabs>
        <w:tab w:val="right" w:leader="dot" w:pos="8314"/>
      </w:tabs>
      <w:ind w:firstLine="588" w:firstLineChars="245"/>
    </w:pPr>
  </w:style>
  <w:style w:type="paragraph" w:styleId="48">
    <w:name w:val="index heading"/>
    <w:basedOn w:val="1"/>
    <w:next w:val="49"/>
    <w:qFormat/>
    <w:uiPriority w:val="0"/>
    <w:pPr>
      <w:ind w:firstLine="200" w:firstLineChars="200"/>
    </w:pPr>
  </w:style>
  <w:style w:type="paragraph" w:styleId="49">
    <w:name w:val="index 1"/>
    <w:basedOn w:val="1"/>
    <w:next w:val="1"/>
    <w:qFormat/>
    <w:uiPriority w:val="0"/>
    <w:pPr>
      <w:spacing w:line="320" w:lineRule="exact"/>
    </w:pPr>
    <w:rPr>
      <w:b/>
      <w:snapToGrid w:val="0"/>
      <w:color w:val="FF6600"/>
      <w:kern w:val="0"/>
      <w:sz w:val="18"/>
      <w:szCs w:val="21"/>
    </w:rPr>
  </w:style>
  <w:style w:type="paragraph" w:styleId="50">
    <w:name w:val="Subtitle"/>
    <w:basedOn w:val="1"/>
    <w:next w:val="1"/>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unhideWhenUsed/>
    <w:qFormat/>
    <w:uiPriority w:val="0"/>
    <w:pPr>
      <w:numPr>
        <w:ilvl w:val="0"/>
        <w:numId w:val="5"/>
      </w:numPr>
      <w:contextualSpacing/>
    </w:pPr>
  </w:style>
  <w:style w:type="paragraph" w:styleId="52">
    <w:name w:val="List"/>
    <w:basedOn w:val="1"/>
    <w:qFormat/>
    <w:uiPriority w:val="0"/>
    <w:pPr>
      <w:adjustRightInd w:val="0"/>
      <w:ind w:left="200" w:hanging="200" w:hangingChars="200"/>
    </w:pPr>
  </w:style>
  <w:style w:type="paragraph" w:styleId="53">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4">
    <w:name w:val="List 5"/>
    <w:basedOn w:val="1"/>
    <w:qFormat/>
    <w:uiPriority w:val="0"/>
    <w:pPr>
      <w:ind w:left="100" w:leftChars="800" w:hanging="200" w:hangingChars="200"/>
    </w:pPr>
  </w:style>
  <w:style w:type="paragraph" w:styleId="55">
    <w:name w:val="Body Text Indent 3"/>
    <w:basedOn w:val="1"/>
    <w:link w:val="229"/>
    <w:qFormat/>
    <w:uiPriority w:val="0"/>
    <w:pPr>
      <w:spacing w:after="120"/>
      <w:ind w:left="420" w:leftChars="200"/>
    </w:pPr>
    <w:rPr>
      <w:sz w:val="16"/>
      <w:szCs w:val="16"/>
    </w:rPr>
  </w:style>
  <w:style w:type="paragraph" w:styleId="56">
    <w:name w:val="toc 2"/>
    <w:basedOn w:val="1"/>
    <w:next w:val="1"/>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qFormat/>
    <w:uiPriority w:val="0"/>
    <w:pPr>
      <w:spacing w:after="120"/>
      <w:ind w:left="840" w:leftChars="400"/>
    </w:pPr>
  </w:style>
  <w:style w:type="paragraph" w:styleId="60">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3">
    <w:name w:val="annotation subject"/>
    <w:basedOn w:val="21"/>
    <w:next w:val="21"/>
    <w:link w:val="231"/>
    <w:qFormat/>
    <w:uiPriority w:val="0"/>
    <w:pPr>
      <w:widowControl/>
      <w:spacing w:afterLines="50"/>
    </w:pPr>
    <w:rPr>
      <w:b/>
      <w:bCs/>
      <w:kern w:val="0"/>
      <w:sz w:val="24"/>
      <w:szCs w:val="20"/>
    </w:rPr>
  </w:style>
  <w:style w:type="paragraph" w:styleId="64">
    <w:name w:val="Body Text First Indent 2"/>
    <w:basedOn w:val="28"/>
    <w:link w:val="233"/>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2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表格文字"/>
    <w:basedOn w:val="1"/>
    <w:next w:val="25"/>
    <w:qFormat/>
    <w:uiPriority w:val="0"/>
    <w:pPr>
      <w:ind w:firstLine="200" w:firstLineChars="200"/>
    </w:pPr>
    <w:rPr>
      <w:rFonts w:ascii="Arial" w:hAnsi="Arial"/>
      <w:spacing w:val="-5"/>
      <w:kern w:val="0"/>
      <w:sz w:val="24"/>
      <w:szCs w:val="20"/>
    </w:rPr>
  </w:style>
  <w:style w:type="character" w:customStyle="1" w:styleId="83">
    <w:name w:val="标题 1 Char"/>
    <w:link w:val="4"/>
    <w:qFormat/>
    <w:uiPriority w:val="9"/>
    <w:rPr>
      <w:rFonts w:eastAsia="仿宋_GB2312"/>
      <w:b/>
      <w:kern w:val="44"/>
      <w:sz w:val="44"/>
      <w:lang w:val="en-US" w:eastAsia="zh-CN" w:bidi="ar-SA"/>
    </w:rPr>
  </w:style>
  <w:style w:type="character" w:customStyle="1" w:styleId="84">
    <w:name w:val="正文缩进 Char"/>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5"/>
    <w:qFormat/>
    <w:uiPriority w:val="0"/>
    <w:rPr>
      <w:rFonts w:ascii="Arial" w:hAnsi="Arial" w:eastAsia="黑体"/>
      <w:b/>
      <w:kern w:val="2"/>
      <w:sz w:val="32"/>
      <w:lang w:val="en-US" w:eastAsia="zh-CN" w:bidi="ar-SA"/>
    </w:rPr>
  </w:style>
  <w:style w:type="character" w:customStyle="1" w:styleId="87">
    <w:name w:val="标题 3 Char"/>
    <w:link w:val="7"/>
    <w:qFormat/>
    <w:uiPriority w:val="0"/>
    <w:rPr>
      <w:rFonts w:eastAsia="仿宋_GB2312"/>
      <w:b/>
      <w:kern w:val="2"/>
      <w:sz w:val="32"/>
      <w:lang w:val="en-US" w:eastAsia="zh-CN" w:bidi="ar-SA"/>
    </w:rPr>
  </w:style>
  <w:style w:type="character" w:customStyle="1" w:styleId="88">
    <w:name w:val="标题 4 Char1"/>
    <w:link w:val="8"/>
    <w:qFormat/>
    <w:uiPriority w:val="9"/>
    <w:rPr>
      <w:rFonts w:ascii="Arial" w:hAnsi="Arial" w:eastAsia="黑体"/>
      <w:b/>
      <w:kern w:val="2"/>
      <w:sz w:val="28"/>
      <w:lang w:val="en-US" w:eastAsia="zh-CN" w:bidi="ar-SA"/>
    </w:rPr>
  </w:style>
  <w:style w:type="character" w:customStyle="1" w:styleId="89">
    <w:name w:val="标题 5 Char1"/>
    <w:link w:val="9"/>
    <w:qFormat/>
    <w:uiPriority w:val="0"/>
    <w:rPr>
      <w:rFonts w:eastAsia="宋体"/>
      <w:sz w:val="24"/>
      <w:lang w:val="en-US" w:eastAsia="zh-CN" w:bidi="ar-SA"/>
    </w:rPr>
  </w:style>
  <w:style w:type="character" w:customStyle="1" w:styleId="90">
    <w:name w:val="标题 6 Char1"/>
    <w:link w:val="10"/>
    <w:qFormat/>
    <w:uiPriority w:val="0"/>
    <w:rPr>
      <w:rFonts w:ascii="宋体" w:hAnsi="Arial" w:eastAsia="宋体"/>
      <w:sz w:val="24"/>
      <w:lang w:val="en-US" w:eastAsia="zh-CN" w:bidi="ar-SA"/>
    </w:rPr>
  </w:style>
  <w:style w:type="character" w:customStyle="1" w:styleId="91">
    <w:name w:val="标题 7 Char1"/>
    <w:link w:val="11"/>
    <w:qFormat/>
    <w:uiPriority w:val="0"/>
    <w:rPr>
      <w:rFonts w:ascii="宋体" w:hAnsi="Arial" w:eastAsia="宋体"/>
      <w:b/>
      <w:sz w:val="24"/>
      <w:lang w:val="en-US" w:eastAsia="zh-CN" w:bidi="ar-SA"/>
    </w:rPr>
  </w:style>
  <w:style w:type="character" w:customStyle="1" w:styleId="92">
    <w:name w:val="标题 8 Char1"/>
    <w:link w:val="12"/>
    <w:qFormat/>
    <w:uiPriority w:val="0"/>
    <w:rPr>
      <w:rFonts w:ascii="Arial" w:hAnsi="Arial" w:eastAsia="黑体"/>
      <w:sz w:val="24"/>
      <w:lang w:val="en-US" w:eastAsia="zh-CN" w:bidi="ar-SA"/>
    </w:rPr>
  </w:style>
  <w:style w:type="character" w:customStyle="1" w:styleId="93">
    <w:name w:val="标题 9 Char1"/>
    <w:link w:val="13"/>
    <w:qFormat/>
    <w:uiPriority w:val="0"/>
    <w:rPr>
      <w:rFonts w:ascii="Arial" w:hAnsi="Arial" w:eastAsia="黑体"/>
      <w:sz w:val="24"/>
      <w:lang w:val="en-US" w:eastAsia="zh-CN" w:bidi="ar-SA"/>
    </w:rPr>
  </w:style>
  <w:style w:type="character" w:customStyle="1" w:styleId="94">
    <w:name w:val="纯文本 Char"/>
    <w:link w:val="36"/>
    <w:qFormat/>
    <w:uiPriority w:val="0"/>
    <w:rPr>
      <w:rFonts w:ascii="宋体" w:hAnsi="Courier New" w:eastAsia="宋体"/>
      <w:kern w:val="2"/>
      <w:sz w:val="21"/>
      <w:lang w:val="en-US" w:eastAsia="zh-CN" w:bidi="ar-SA"/>
    </w:rPr>
  </w:style>
  <w:style w:type="paragraph" w:customStyle="1" w:styleId="95">
    <w:name w:val="表正文"/>
    <w:basedOn w:val="1"/>
    <w:next w:val="36"/>
    <w:qFormat/>
    <w:uiPriority w:val="0"/>
    <w:rPr>
      <w:rFonts w:ascii="宋体" w:hAnsi="Courier New"/>
      <w:szCs w:val="20"/>
    </w:rPr>
  </w:style>
  <w:style w:type="character" w:customStyle="1" w:styleId="96">
    <w:name w:val="正文文本缩进 Char"/>
    <w:link w:val="28"/>
    <w:qFormat/>
    <w:uiPriority w:val="0"/>
    <w:rPr>
      <w:rFonts w:eastAsia="宋体"/>
      <w:kern w:val="2"/>
      <w:sz w:val="21"/>
      <w:szCs w:val="24"/>
      <w:lang w:val="en-US" w:eastAsia="zh-CN" w:bidi="ar-SA"/>
    </w:rPr>
  </w:style>
  <w:style w:type="character" w:customStyle="1" w:styleId="97">
    <w:name w:val="日期 Char2"/>
    <w:link w:val="39"/>
    <w:qFormat/>
    <w:uiPriority w:val="0"/>
    <w:rPr>
      <w:rFonts w:ascii="楷体_GB2312" w:eastAsia="楷体_GB2312"/>
      <w:b/>
      <w:kern w:val="2"/>
      <w:sz w:val="28"/>
      <w:lang w:val="en-US" w:eastAsia="zh-CN" w:bidi="ar-SA"/>
    </w:rPr>
  </w:style>
  <w:style w:type="character" w:customStyle="1" w:styleId="98">
    <w:name w:val="页眉 Char1"/>
    <w:link w:val="44"/>
    <w:qFormat/>
    <w:uiPriority w:val="0"/>
    <w:rPr>
      <w:rFonts w:eastAsia="宋体"/>
      <w:kern w:val="2"/>
      <w:sz w:val="18"/>
      <w:szCs w:val="18"/>
      <w:lang w:val="en-US" w:eastAsia="zh-CN" w:bidi="ar-SA"/>
    </w:rPr>
  </w:style>
  <w:style w:type="character" w:customStyle="1" w:styleId="99">
    <w:name w:val="页脚 Char"/>
    <w:link w:val="43"/>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21"/>
    <w:qFormat/>
    <w:uiPriority w:val="0"/>
    <w:rPr>
      <w:rFonts w:eastAsia="宋体"/>
      <w:kern w:val="2"/>
      <w:sz w:val="21"/>
      <w:szCs w:val="24"/>
      <w:lang w:val="en-US" w:eastAsia="zh-CN" w:bidi="ar-SA"/>
    </w:rPr>
  </w:style>
  <w:style w:type="character" w:customStyle="1" w:styleId="103">
    <w:name w:val="正文文本 2 Char1"/>
    <w:link w:val="58"/>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8"/>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40"/>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5"/>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2"/>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2"/>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20"/>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0"/>
    <w:qFormat/>
    <w:uiPriority w:val="0"/>
    <w:rPr>
      <w:rFonts w:ascii="Tahoma" w:hAnsi="Tahoma"/>
      <w:sz w:val="24"/>
    </w:rPr>
  </w:style>
  <w:style w:type="paragraph" w:customStyle="1" w:styleId="169">
    <w:name w:val="Char Char Char"/>
    <w:basedOn w:val="20"/>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2"/>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2"/>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7"/>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2"/>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2"/>
    <w:link w:val="42"/>
    <w:qFormat/>
    <w:uiPriority w:val="0"/>
    <w:rPr>
      <w:kern w:val="2"/>
      <w:sz w:val="18"/>
      <w:szCs w:val="18"/>
    </w:rPr>
  </w:style>
  <w:style w:type="character" w:customStyle="1" w:styleId="229">
    <w:name w:val="正文文本缩进 3 Char"/>
    <w:basedOn w:val="72"/>
    <w:link w:val="55"/>
    <w:qFormat/>
    <w:uiPriority w:val="0"/>
    <w:rPr>
      <w:kern w:val="2"/>
      <w:sz w:val="16"/>
      <w:szCs w:val="16"/>
    </w:rPr>
  </w:style>
  <w:style w:type="character" w:customStyle="1" w:styleId="230">
    <w:name w:val="HTML 预设格式 Char"/>
    <w:basedOn w:val="72"/>
    <w:link w:val="60"/>
    <w:qFormat/>
    <w:uiPriority w:val="0"/>
    <w:rPr>
      <w:rFonts w:ascii="黑体" w:hAnsi="Courier New" w:eastAsia="黑体" w:cs="Courier New"/>
    </w:rPr>
  </w:style>
  <w:style w:type="character" w:customStyle="1" w:styleId="231">
    <w:name w:val="批注主题 Char"/>
    <w:basedOn w:val="198"/>
    <w:link w:val="63"/>
    <w:qFormat/>
    <w:uiPriority w:val="0"/>
    <w:rPr>
      <w:rFonts w:eastAsia="宋体"/>
      <w:b/>
      <w:bCs/>
      <w:kern w:val="2"/>
      <w:sz w:val="24"/>
      <w:szCs w:val="24"/>
      <w:lang w:val="en-US" w:eastAsia="zh-CN" w:bidi="ar-SA"/>
    </w:rPr>
  </w:style>
  <w:style w:type="character" w:customStyle="1" w:styleId="232">
    <w:name w:val="正文首行缩进 Char"/>
    <w:basedOn w:val="193"/>
    <w:link w:val="26"/>
    <w:qFormat/>
    <w:uiPriority w:val="0"/>
    <w:rPr>
      <w:rFonts w:eastAsia="仿宋_GB2312"/>
      <w:kern w:val="2"/>
      <w:sz w:val="21"/>
      <w:szCs w:val="24"/>
      <w:lang w:val="en-US" w:eastAsia="zh-CN" w:bidi="ar-SA"/>
    </w:rPr>
  </w:style>
  <w:style w:type="character" w:customStyle="1" w:styleId="233">
    <w:name w:val="正文首行缩进 2 Char"/>
    <w:basedOn w:val="96"/>
    <w:link w:val="64"/>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2"/>
    <w:qFormat/>
    <w:uiPriority w:val="0"/>
    <w:rPr>
      <w:rFonts w:hint="eastAsia" w:ascii="宋体" w:hAnsi="宋体" w:eastAsia="宋体" w:cs="宋体"/>
      <w:color w:val="000000"/>
      <w:sz w:val="22"/>
      <w:szCs w:val="22"/>
      <w:u w:val="none"/>
    </w:rPr>
  </w:style>
  <w:style w:type="character" w:customStyle="1" w:styleId="296">
    <w:name w:val="font11"/>
    <w:basedOn w:val="72"/>
    <w:qFormat/>
    <w:uiPriority w:val="0"/>
    <w:rPr>
      <w:rFonts w:hint="eastAsia" w:ascii="宋体" w:hAnsi="宋体" w:eastAsia="宋体" w:cs="宋体"/>
      <w:color w:val="FF0000"/>
      <w:sz w:val="22"/>
      <w:szCs w:val="22"/>
      <w:u w:val="none"/>
    </w:rPr>
  </w:style>
  <w:style w:type="character" w:customStyle="1" w:styleId="297">
    <w:name w:val="font41"/>
    <w:basedOn w:val="72"/>
    <w:qFormat/>
    <w:uiPriority w:val="0"/>
    <w:rPr>
      <w:rFonts w:hint="default" w:ascii="等线" w:hAnsi="等线" w:eastAsia="等线" w:cs="等线"/>
      <w:color w:val="FF0000"/>
      <w:sz w:val="22"/>
      <w:szCs w:val="22"/>
      <w:u w:val="none"/>
    </w:rPr>
  </w:style>
  <w:style w:type="character" w:customStyle="1" w:styleId="298">
    <w:name w:val="font21"/>
    <w:basedOn w:val="72"/>
    <w:qFormat/>
    <w:uiPriority w:val="0"/>
    <w:rPr>
      <w:rFonts w:hint="default" w:ascii="等线" w:hAnsi="等线" w:eastAsia="等线" w:cs="等线"/>
      <w:color w:val="000000"/>
      <w:sz w:val="22"/>
      <w:szCs w:val="22"/>
      <w:u w:val="none"/>
    </w:rPr>
  </w:style>
  <w:style w:type="character" w:customStyle="1" w:styleId="299">
    <w:name w:val="font51"/>
    <w:basedOn w:val="72"/>
    <w:qFormat/>
    <w:uiPriority w:val="0"/>
    <w:rPr>
      <w:rFonts w:hint="default" w:ascii="等线" w:hAnsi="等线" w:eastAsia="等线" w:cs="等线"/>
      <w:color w:val="FF0000"/>
      <w:sz w:val="22"/>
      <w:szCs w:val="22"/>
      <w:u w:val="none"/>
    </w:rPr>
  </w:style>
  <w:style w:type="character" w:customStyle="1" w:styleId="300">
    <w:name w:val="font61"/>
    <w:basedOn w:val="72"/>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2"/>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2"/>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8"/>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2"/>
    <w:qFormat/>
    <w:uiPriority w:val="0"/>
    <w:rPr>
      <w:color w:val="000000"/>
      <w:sz w:val="24"/>
      <w:szCs w:val="24"/>
    </w:rPr>
  </w:style>
  <w:style w:type="character" w:customStyle="1" w:styleId="317">
    <w:name w:val="称呼 Char"/>
    <w:basedOn w:val="72"/>
    <w:link w:val="22"/>
    <w:qFormat/>
    <w:uiPriority w:val="0"/>
    <w:rPr>
      <w:rFonts w:ascii="仿宋_GB2312" w:eastAsia="仿宋_GB2312"/>
      <w:kern w:val="2"/>
      <w:sz w:val="28"/>
    </w:rPr>
  </w:style>
  <w:style w:type="character" w:customStyle="1" w:styleId="318">
    <w:name w:val="正文文本 3 Char"/>
    <w:basedOn w:val="72"/>
    <w:link w:val="23"/>
    <w:qFormat/>
    <w:uiPriority w:val="0"/>
    <w:rPr>
      <w:kern w:val="2"/>
      <w:sz w:val="21"/>
    </w:rPr>
  </w:style>
  <w:style w:type="character" w:customStyle="1" w:styleId="319">
    <w:name w:val="HTML 地址 Char"/>
    <w:basedOn w:val="72"/>
    <w:link w:val="33"/>
    <w:qFormat/>
    <w:uiPriority w:val="0"/>
    <w:rPr>
      <w:rFonts w:ascii="宋体" w:hAnsi="宋体"/>
      <w:i/>
      <w:iCs/>
      <w:sz w:val="24"/>
      <w:szCs w:val="24"/>
    </w:rPr>
  </w:style>
  <w:style w:type="character" w:customStyle="1" w:styleId="320">
    <w:name w:val="尾注文本 Char"/>
    <w:basedOn w:val="72"/>
    <w:link w:val="41"/>
    <w:qFormat/>
    <w:uiPriority w:val="0"/>
    <w:rPr>
      <w:kern w:val="2"/>
      <w:sz w:val="21"/>
      <w:szCs w:val="24"/>
      <w:lang w:val="zh-CN"/>
    </w:rPr>
  </w:style>
  <w:style w:type="character" w:customStyle="1" w:styleId="321">
    <w:name w:val="签名 Char"/>
    <w:basedOn w:val="72"/>
    <w:link w:val="45"/>
    <w:qFormat/>
    <w:uiPriority w:val="0"/>
    <w:rPr>
      <w:rFonts w:eastAsia="仿宋_GB2312"/>
      <w:sz w:val="24"/>
    </w:rPr>
  </w:style>
  <w:style w:type="character" w:customStyle="1" w:styleId="322">
    <w:name w:val="副标题 Char"/>
    <w:basedOn w:val="72"/>
    <w:link w:val="50"/>
    <w:qFormat/>
    <w:uiPriority w:val="0"/>
    <w:rPr>
      <w:rFonts w:ascii="Arial" w:hAnsi="Arial" w:eastAsia="隶书"/>
      <w:b/>
      <w:bCs/>
      <w:kern w:val="28"/>
      <w:sz w:val="44"/>
      <w:szCs w:val="32"/>
    </w:rPr>
  </w:style>
  <w:style w:type="character" w:customStyle="1" w:styleId="323">
    <w:name w:val="脚注文本 Char"/>
    <w:basedOn w:val="72"/>
    <w:link w:val="53"/>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2"/>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5"/>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7"/>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2"/>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8"/>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8"/>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2"/>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2"/>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2"/>
    <w:qFormat/>
    <w:uiPriority w:val="0"/>
    <w:rPr>
      <w:rFonts w:ascii="Arial" w:hAnsi="Arial" w:eastAsia="黑体" w:cs="Arial"/>
      <w:snapToGrid w:val="0"/>
      <w:kern w:val="0"/>
      <w:szCs w:val="21"/>
    </w:rPr>
  </w:style>
  <w:style w:type="character" w:customStyle="1" w:styleId="594">
    <w:name w:val="hui"/>
    <w:basedOn w:val="72"/>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8"/>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8"/>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7"/>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7"/>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6"/>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8"/>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2"/>
    <w:next w:val="2"/>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2"/>
    <w:next w:val="2"/>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8"/>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6"/>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8"/>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7"/>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7"/>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8"/>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8"/>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40"/>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7"/>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2"/>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8"/>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7"/>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8"/>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40"/>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7"/>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7"/>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2"/>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rFonts w:ascii="Times New Roman" w:hAnsi="Times New Roman" w:eastAsia="宋体" w:cs="Times New Roman"/>
      <w:szCs w:val="21"/>
    </w:rPr>
  </w:style>
  <w:style w:type="character" w:customStyle="1" w:styleId="1040">
    <w:name w:val="font101"/>
    <w:basedOn w:val="72"/>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7886</Words>
  <Characters>44956</Characters>
  <Lines>374</Lines>
  <Paragraphs>105</Paragraphs>
  <TotalTime>2</TotalTime>
  <ScaleCrop>false</ScaleCrop>
  <LinksUpToDate>false</LinksUpToDate>
  <CharactersWithSpaces>52737</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Administrator</cp:lastModifiedBy>
  <cp:lastPrinted>2024-05-20T07:37:00Z</cp:lastPrinted>
  <dcterms:modified xsi:type="dcterms:W3CDTF">2024-06-24T02:11:58Z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