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绍兴市食品药品检验研究院</w:t>
      </w: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2025年物业管理服务项目</w:t>
      </w:r>
    </w:p>
    <w:p>
      <w:pPr>
        <w:jc w:val="both"/>
        <w:outlineLvl w:val="0"/>
        <w:rPr>
          <w:rFonts w:hint="eastAsia" w:ascii="仿宋_GB2312" w:hAnsi="仿宋_GB2312" w:eastAsia="仿宋_GB2312" w:cs="仿宋_GB2312"/>
          <w:b/>
          <w:sz w:val="72"/>
          <w:szCs w:val="72"/>
          <w:highlight w:val="none"/>
        </w:rPr>
      </w:pPr>
    </w:p>
    <w:p>
      <w:pPr>
        <w:pStyle w:val="3"/>
        <w:ind w:left="0" w:leftChars="0" w:firstLine="0" w:firstLineChars="0"/>
        <w:rPr>
          <w:rFonts w:hint="eastAsia" w:ascii="仿宋_GB2312" w:hAnsi="仿宋_GB2312" w:eastAsia="仿宋_GB2312" w:cs="仿宋_GB2312"/>
          <w:b/>
          <w:sz w:val="72"/>
          <w:szCs w:val="72"/>
          <w:highlight w:val="none"/>
        </w:rPr>
      </w:pPr>
    </w:p>
    <w:p>
      <w:pPr>
        <w:rPr>
          <w:rFonts w:hint="eastAsia"/>
        </w:rPr>
      </w:pPr>
    </w:p>
    <w:p>
      <w:pPr>
        <w:rPr>
          <w:rFonts w:hint="eastAsia"/>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both"/>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2024-12-0156</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绍兴市食品药品检验研究院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十二</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keepNext w:val="0"/>
        <w:keepLines w:val="0"/>
        <w:pageBreakBefore/>
        <w:widowControl w:val="0"/>
        <w:kinsoku/>
        <w:wordWrap/>
        <w:overflowPunct/>
        <w:topLinePunct w:val="0"/>
        <w:autoSpaceDE/>
        <w:autoSpaceDN/>
        <w:bidi w:val="0"/>
        <w:adjustRightInd/>
        <w:snapToGrid/>
        <w:jc w:val="both"/>
        <w:textAlignment w:val="auto"/>
        <w:rPr>
          <w:rFonts w:hint="eastAsia" w:ascii="仿宋_GB2312" w:eastAsia="仿宋_GB2312"/>
          <w:b/>
          <w:sz w:val="36"/>
          <w:szCs w:val="36"/>
          <w:highlight w:val="none"/>
        </w:rPr>
      </w:pP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3118" w:hRule="atLeast"/>
        </w:trPr>
        <w:tc>
          <w:tcPr>
            <w:tcW w:w="952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9"/>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9"/>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绍兴市食品药品检验研究院2025年物业管理服务项目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 月 日 点 分00秒（北京时间）前递交（上传）投标文件。</w:t>
                  </w:r>
                </w:p>
              </w:tc>
            </w:tr>
          </w:tbl>
          <w:p>
            <w:pPr>
              <w:pStyle w:val="99"/>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9"/>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2024-12-0156</w:t>
            </w:r>
          </w:p>
          <w:p>
            <w:pPr>
              <w:pStyle w:val="99"/>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绍兴市食品药品检验研究院2025年物业管理服务项目</w:t>
            </w:r>
          </w:p>
          <w:p>
            <w:pPr>
              <w:pStyle w:val="99"/>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szCs w:val="24"/>
                <w:highlight w:val="none"/>
                <w:lang w:val="en-US" w:eastAsia="zh-CN"/>
              </w:rPr>
              <w:t>550000</w:t>
            </w:r>
          </w:p>
          <w:p>
            <w:pPr>
              <w:pStyle w:val="99"/>
              <w:spacing w:afterLines="0" w:line="240" w:lineRule="auto"/>
              <w:ind w:firstLine="482" w:firstLineChars="200"/>
              <w:rPr>
                <w:rFonts w:hint="default"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szCs w:val="24"/>
                <w:highlight w:val="none"/>
                <w:lang w:val="en-US" w:eastAsia="zh-CN"/>
              </w:rPr>
              <w:t>550000</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9"/>
              <w:spacing w:after="120" w:line="440" w:lineRule="exact"/>
              <w:ind w:right="101" w:rightChars="48"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w:t>
            </w:r>
            <w:r>
              <w:rPr>
                <w:rFonts w:hint="eastAsia" w:ascii="仿宋_GB2312" w:hAnsi="新宋体" w:eastAsia="仿宋_GB2312"/>
                <w:szCs w:val="24"/>
                <w:highlight w:val="none"/>
                <w:lang w:eastAsia="zh-CN"/>
              </w:rPr>
              <w:t>2025年物业管理服务项目</w:t>
            </w:r>
          </w:p>
          <w:p>
            <w:pPr>
              <w:pStyle w:val="99"/>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b/>
                <w:szCs w:val="24"/>
                <w:highlight w:val="none"/>
                <w:lang w:val="en-US" w:eastAsia="zh-CN"/>
              </w:rPr>
              <w:t>550000</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 合同履约期限：</w:t>
            </w:r>
            <w:r>
              <w:rPr>
                <w:rFonts w:hint="eastAsia" w:ascii="仿宋_GB2312" w:hAnsi="新宋体" w:eastAsia="仿宋_GB2312"/>
                <w:szCs w:val="24"/>
                <w:highlight w:val="none"/>
              </w:rPr>
              <w:t>按双方合同约定条款执行。</w:t>
            </w:r>
          </w:p>
          <w:p>
            <w:pPr>
              <w:pStyle w:val="99"/>
              <w:spacing w:after="120" w:line="440" w:lineRule="exact"/>
              <w:ind w:right="101" w:rightChars="48" w:firstLine="480"/>
              <w:jc w:val="left"/>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lang w:val="en-US" w:eastAsia="zh-CN"/>
              </w:rPr>
              <w:t>备注：无。</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9"/>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9"/>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9"/>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绍兴市食品药品检验研究院</w:t>
            </w:r>
            <w:r>
              <w:rPr>
                <w:rFonts w:ascii="仿宋_GB2312" w:hAnsi="新宋体" w:eastAsia="仿宋_GB2312"/>
                <w:szCs w:val="24"/>
                <w:highlight w:val="none"/>
              </w:rPr>
              <w:t> </w:t>
            </w:r>
          </w:p>
          <w:p>
            <w:pPr>
              <w:pStyle w:val="99"/>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地址：绍兴市马山镇世纪东街286号</w:t>
            </w:r>
          </w:p>
          <w:p>
            <w:pPr>
              <w:pStyle w:val="99"/>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szCs w:val="24"/>
                <w:highlight w:val="none"/>
              </w:rPr>
              <w:t>0575-88311037</w:t>
            </w:r>
          </w:p>
          <w:p>
            <w:pPr>
              <w:pStyle w:val="99"/>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项目联系人（询问）：王彩霞</w:t>
            </w:r>
          </w:p>
          <w:p>
            <w:pPr>
              <w:pStyle w:val="99"/>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rPr>
              <w:t>项</w:t>
            </w:r>
            <w:r>
              <w:rPr>
                <w:rFonts w:hint="eastAsia" w:ascii="仿宋_GB2312" w:hAnsi="新宋体" w:eastAsia="仿宋_GB2312"/>
                <w:szCs w:val="24"/>
                <w:highlight w:val="none"/>
              </w:rPr>
              <w:t>目联系方式（询问）：0575-89101369</w:t>
            </w:r>
            <w:bookmarkStart w:id="137" w:name="_GoBack"/>
            <w:bookmarkEnd w:id="137"/>
          </w:p>
          <w:p>
            <w:pPr>
              <w:pStyle w:val="99"/>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质疑联系人：</w:t>
            </w:r>
            <w:r>
              <w:rPr>
                <w:rFonts w:hint="eastAsia" w:ascii="仿宋_GB2312" w:hAnsi="新宋体" w:eastAsia="仿宋_GB2312"/>
                <w:szCs w:val="24"/>
                <w:highlight w:val="none"/>
                <w:lang w:val="en-US" w:eastAsia="zh-CN"/>
              </w:rPr>
              <w:t xml:space="preserve"> 沈佳琪</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质疑联系方式：0575-88311037</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9"/>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9"/>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en-US" w:eastAsia="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sz w:val="24"/>
                <w:highlight w:val="none"/>
                <w:lang w:eastAsia="zh-CN"/>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r>
              <w:rPr>
                <w:rFonts w:hint="eastAsia" w:ascii="仿宋_GB2312" w:hAnsi="仿宋" w:eastAsia="仿宋_GB2312"/>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62"/>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62"/>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62"/>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2"/>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1372953"/>
      <w:bookmarkStart w:id="2" w:name="_Toc84325929"/>
      <w:bookmarkStart w:id="3" w:name="_Toc81372776"/>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sz w:val="24"/>
          <w:highlight w:val="none"/>
          <w:lang w:val="en-US" w:eastAsia="zh-CN"/>
        </w:rPr>
      </w:pPr>
      <w:r>
        <w:rPr>
          <w:rFonts w:hint="eastAsia" w:ascii="仿宋_GB2312" w:hAnsi="仿宋" w:eastAsia="仿宋_GB2312" w:cs="仿宋"/>
          <w:b/>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4</w:t>
      </w:r>
      <w:r>
        <w:rPr>
          <w:rFonts w:hint="eastAsia" w:ascii="仿宋_GB2312" w:hAnsi="仿宋" w:eastAsia="仿宋_GB2312" w:cs="仿宋"/>
          <w:b/>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5</w:t>
      </w:r>
      <w:r>
        <w:rPr>
          <w:rFonts w:hint="eastAsia" w:ascii="仿宋_GB2312" w:hAnsi="仿宋" w:eastAsia="仿宋_GB2312" w:cs="仿宋"/>
          <w:b/>
          <w:sz w:val="24"/>
          <w:highlight w:val="none"/>
        </w:rPr>
        <w:t>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6</w:t>
      </w:r>
      <w:r>
        <w:rPr>
          <w:rFonts w:hint="eastAsia" w:ascii="仿宋_GB2312" w:hAnsi="仿宋" w:eastAsia="仿宋_GB2312" w:cs="仿宋"/>
          <w:b/>
          <w:sz w:val="24"/>
          <w:highlight w:val="none"/>
        </w:rPr>
        <w:t>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sz w:val="32"/>
          <w:szCs w:val="32"/>
          <w:highlight w:val="none"/>
        </w:rPr>
      </w:pPr>
    </w:p>
    <w:p>
      <w:pPr>
        <w:pStyle w:val="34"/>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440" w:lineRule="exact"/>
        <w:ind w:firstLine="482" w:firstLineChars="200"/>
        <w:rPr>
          <w:rFonts w:hint="eastAsia" w:ascii="仿宋_GB2312" w:hAnsi="仿宋_GB2312" w:eastAsia="仿宋_GB2312" w:cs="仿宋_GB2312"/>
          <w:b/>
          <w:bCs/>
          <w:sz w:val="24"/>
          <w:szCs w:val="24"/>
          <w:highlight w:val="none"/>
          <w:lang w:eastAsia="zh-CN"/>
        </w:rPr>
      </w:pPr>
      <w:bookmarkStart w:id="4" w:name="_Toc151354173"/>
      <w:bookmarkStart w:id="5" w:name="_Toc80157775"/>
      <w:bookmarkStart w:id="6" w:name="_Toc84325981"/>
      <w:bookmarkStart w:id="7" w:name="_Toc81372787"/>
      <w:bookmarkStart w:id="8" w:name="_Toc81372964"/>
      <w:r>
        <w:rPr>
          <w:rFonts w:hint="eastAsia" w:ascii="仿宋_GB2312" w:hAnsi="仿宋_GB2312" w:eastAsia="仿宋_GB2312" w:cs="仿宋_GB2312"/>
          <w:b/>
          <w:bCs/>
          <w:sz w:val="24"/>
          <w:szCs w:val="24"/>
          <w:highlight w:val="none"/>
          <w:bdr w:val="single" w:color="auto" w:sz="4" w:space="0"/>
        </w:rPr>
        <w:t>01标</w:t>
      </w:r>
      <w:bookmarkStart w:id="9" w:name="_Toc32678"/>
      <w:bookmarkStart w:id="10" w:name="_Toc7206"/>
      <w:r>
        <w:rPr>
          <w:rFonts w:hint="eastAsia" w:ascii="仿宋_GB2312" w:hAnsi="仿宋_GB2312" w:eastAsia="仿宋_GB2312" w:cs="仿宋_GB2312"/>
          <w:b/>
          <w:bCs/>
          <w:sz w:val="24"/>
          <w:szCs w:val="24"/>
          <w:highlight w:val="none"/>
          <w:lang w:eastAsia="zh-CN"/>
        </w:rPr>
        <w:t>2025年物业管理服务项目</w:t>
      </w:r>
    </w:p>
    <w:p>
      <w:pPr>
        <w:keepNext w:val="0"/>
        <w:keepLines w:val="0"/>
        <w:pageBreakBefore w:val="0"/>
        <w:kinsoku/>
        <w:wordWrap/>
        <w:overflowPunct/>
        <w:topLinePunct w:val="0"/>
        <w:autoSpaceDE/>
        <w:autoSpaceDN/>
        <w:bidi w:val="0"/>
        <w:spacing w:line="300" w:lineRule="auto"/>
        <w:ind w:left="0" w:leftChars="0" w:right="0" w:rightChars="0"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一、</w:t>
      </w:r>
      <w:r>
        <w:rPr>
          <w:rFonts w:hint="eastAsia" w:ascii="仿宋_GB2312" w:hAnsi="仿宋_GB2312" w:eastAsia="仿宋_GB2312" w:cs="仿宋_GB2312"/>
          <w:b/>
          <w:bCs/>
          <w:color w:val="auto"/>
          <w:sz w:val="24"/>
          <w:szCs w:val="24"/>
          <w:highlight w:val="none"/>
        </w:rPr>
        <w:t>物业概况及范围</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用地面积</w:t>
      </w:r>
      <w:r>
        <w:rPr>
          <w:rFonts w:hint="eastAsia" w:ascii="仿宋_GB2312" w:hAnsi="仿宋_GB2312" w:eastAsia="仿宋_GB2312" w:cs="仿宋_GB2312"/>
          <w:color w:val="auto"/>
          <w:kern w:val="0"/>
          <w:sz w:val="24"/>
          <w:szCs w:val="24"/>
          <w:highlight w:val="none"/>
          <w:lang w:val="en-US" w:eastAsia="zh-CN"/>
        </w:rPr>
        <w:t>7728</w:t>
      </w:r>
      <w:r>
        <w:rPr>
          <w:rFonts w:hint="eastAsia" w:ascii="仿宋_GB2312" w:hAnsi="仿宋_GB2312" w:eastAsia="仿宋_GB2312" w:cs="仿宋_GB2312"/>
          <w:color w:val="auto"/>
          <w:kern w:val="0"/>
          <w:sz w:val="24"/>
          <w:szCs w:val="24"/>
          <w:highlight w:val="none"/>
        </w:rPr>
        <w:t>平</w:t>
      </w:r>
      <w:r>
        <w:rPr>
          <w:rFonts w:hint="eastAsia" w:ascii="仿宋_GB2312" w:hAnsi="仿宋_GB2312" w:eastAsia="仿宋_GB2312" w:cs="仿宋_GB2312"/>
          <w:color w:val="auto"/>
          <w:kern w:val="0"/>
          <w:sz w:val="24"/>
          <w:szCs w:val="24"/>
          <w:highlight w:val="none"/>
          <w:lang w:eastAsia="zh-CN"/>
        </w:rPr>
        <w:t>方米</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建筑面积11252.73平方米，实验用房和工作配套用房11199平方米，</w:t>
      </w:r>
      <w:r>
        <w:rPr>
          <w:rFonts w:hint="eastAsia" w:ascii="仿宋_GB2312" w:hAnsi="仿宋_GB2312" w:eastAsia="仿宋_GB2312" w:cs="仿宋_GB2312"/>
          <w:color w:val="auto"/>
          <w:kern w:val="0"/>
          <w:sz w:val="24"/>
          <w:szCs w:val="24"/>
          <w:highlight w:val="none"/>
        </w:rPr>
        <w:t>电梯</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台</w:t>
      </w:r>
      <w:r>
        <w:rPr>
          <w:rFonts w:hint="eastAsia" w:ascii="仿宋_GB2312" w:hAnsi="仿宋_GB2312" w:eastAsia="仿宋_GB2312" w:cs="仿宋_GB2312"/>
          <w:color w:val="auto"/>
          <w:kern w:val="0"/>
          <w:sz w:val="24"/>
          <w:szCs w:val="24"/>
          <w:highlight w:val="none"/>
          <w:lang w:eastAsia="zh-CN"/>
        </w:rPr>
        <w:t>。</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项目地址：绍兴市</w:t>
      </w:r>
      <w:r>
        <w:rPr>
          <w:rFonts w:hint="eastAsia" w:ascii="仿宋_GB2312" w:hAnsi="仿宋_GB2312" w:eastAsia="仿宋_GB2312" w:cs="仿宋_GB2312"/>
          <w:color w:val="auto"/>
          <w:sz w:val="24"/>
          <w:szCs w:val="24"/>
          <w:highlight w:val="none"/>
          <w:lang w:eastAsia="zh-CN"/>
        </w:rPr>
        <w:t>越城区</w:t>
      </w:r>
      <w:r>
        <w:rPr>
          <w:rFonts w:hint="eastAsia" w:ascii="仿宋_GB2312" w:hAnsi="仿宋_GB2312" w:eastAsia="仿宋_GB2312" w:cs="仿宋_GB2312"/>
          <w:color w:val="auto"/>
          <w:sz w:val="24"/>
          <w:szCs w:val="24"/>
          <w:highlight w:val="none"/>
          <w:lang w:val="en-US" w:eastAsia="zh-CN"/>
        </w:rPr>
        <w:t>马山街道世纪东街286</w:t>
      </w:r>
      <w:r>
        <w:rPr>
          <w:rFonts w:hint="eastAsia" w:ascii="仿宋_GB2312" w:hAnsi="仿宋_GB2312" w:eastAsia="仿宋_GB2312" w:cs="仿宋_GB2312"/>
          <w:color w:val="auto"/>
          <w:sz w:val="24"/>
          <w:szCs w:val="24"/>
          <w:highlight w:val="none"/>
        </w:rPr>
        <w:t>号。</w:t>
      </w:r>
    </w:p>
    <w:p>
      <w:pPr>
        <w:keepNext w:val="0"/>
        <w:keepLines w:val="0"/>
        <w:pageBreakBefore w:val="0"/>
        <w:kinsoku/>
        <w:wordWrap/>
        <w:overflowPunct/>
        <w:topLinePunct w:val="0"/>
        <w:autoSpaceDE/>
        <w:autoSpaceDN/>
        <w:bidi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二、</w:t>
      </w:r>
      <w:r>
        <w:rPr>
          <w:rFonts w:hint="eastAsia" w:ascii="仿宋_GB2312" w:hAnsi="仿宋_GB2312" w:eastAsia="仿宋_GB2312" w:cs="仿宋_GB2312"/>
          <w:b/>
          <w:bCs/>
          <w:color w:val="auto"/>
          <w:sz w:val="24"/>
          <w:szCs w:val="24"/>
          <w:highlight w:val="none"/>
        </w:rPr>
        <w:t>物业管理项目</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环境卫生管理；</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传达、保安、秩序管理；</w:t>
      </w:r>
      <w:r>
        <w:rPr>
          <w:rFonts w:hint="eastAsia" w:ascii="仿宋_GB2312" w:hAnsi="仿宋_GB2312" w:eastAsia="仿宋_GB2312" w:cs="仿宋_GB2312"/>
          <w:color w:val="auto"/>
          <w:sz w:val="24"/>
          <w:szCs w:val="24"/>
          <w:highlight w:val="none"/>
          <w:lang w:val="en-US" w:eastAsia="zh-CN"/>
        </w:rPr>
        <w:t>上下班时段，大门口的交通维护</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大院内车辆停放秩序的维持、引导；</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.风、雨、雪、冰冻等天气的提醒、防范；</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公共房屋设施日常养护维修</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绿化管理维护</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车棚、管道等的卫生、防锈；</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给排水设备</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供电设备</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弱电系统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空调系统等的卫生、巡查及紧急处理</w:t>
      </w:r>
      <w:r>
        <w:rPr>
          <w:rFonts w:hint="eastAsia" w:ascii="仿宋_GB2312" w:hAnsi="仿宋_GB2312" w:eastAsia="仿宋_GB2312" w:cs="仿宋_GB2312"/>
          <w:color w:val="auto"/>
          <w:sz w:val="24"/>
          <w:szCs w:val="24"/>
          <w:highlight w:val="none"/>
        </w:rPr>
        <w:t>；</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6.参与院组织的日常检查；根据需要组织应急演练，1年不少于1次；</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会务接待；</w:t>
      </w:r>
      <w:r>
        <w:rPr>
          <w:rFonts w:hint="eastAsia" w:ascii="仿宋_GB2312" w:hAnsi="仿宋_GB2312" w:eastAsia="仿宋_GB2312" w:cs="仿宋_GB2312"/>
          <w:color w:val="auto"/>
          <w:sz w:val="24"/>
          <w:szCs w:val="24"/>
          <w:highlight w:val="none"/>
          <w:lang w:val="en-US" w:eastAsia="zh-CN"/>
        </w:rPr>
        <w:t>国庆、春节等节假日的氛围营造；</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8.电梯、空调、消防日常养护及年检；</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采购</w:t>
      </w:r>
      <w:r>
        <w:rPr>
          <w:rFonts w:hint="eastAsia" w:ascii="仿宋_GB2312" w:hAnsi="仿宋_GB2312" w:eastAsia="仿宋_GB2312" w:cs="仿宋_GB2312"/>
          <w:color w:val="auto"/>
          <w:sz w:val="24"/>
          <w:szCs w:val="24"/>
          <w:highlight w:val="none"/>
          <w:lang w:eastAsia="zh-CN"/>
        </w:rPr>
        <w:t>人</w:t>
      </w:r>
      <w:r>
        <w:rPr>
          <w:rFonts w:hint="eastAsia" w:ascii="仿宋_GB2312" w:hAnsi="仿宋_GB2312" w:eastAsia="仿宋_GB2312" w:cs="仿宋_GB2312"/>
          <w:color w:val="auto"/>
          <w:sz w:val="24"/>
          <w:szCs w:val="24"/>
          <w:highlight w:val="none"/>
        </w:rPr>
        <w:t>交办的其他工作等。</w:t>
      </w:r>
    </w:p>
    <w:p>
      <w:pPr>
        <w:pStyle w:val="34"/>
        <w:keepNext w:val="0"/>
        <w:keepLines w:val="0"/>
        <w:pageBreakBefore w:val="0"/>
        <w:kinsoku/>
        <w:wordWrap/>
        <w:overflowPunct/>
        <w:topLinePunct w:val="0"/>
        <w:autoSpaceDE/>
        <w:autoSpaceDN/>
        <w:bidi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rPr>
        <w:t>物业管理服务内容</w:t>
      </w:r>
    </w:p>
    <w:p>
      <w:pPr>
        <w:pStyle w:val="34"/>
        <w:keepNext w:val="0"/>
        <w:keepLines w:val="0"/>
        <w:pageBreakBefore w:val="0"/>
        <w:kinsoku/>
        <w:wordWrap/>
        <w:overflowPunct/>
        <w:topLinePunct w:val="0"/>
        <w:autoSpaceDE/>
        <w:autoSpaceDN/>
        <w:bidi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（一）</w:t>
      </w:r>
      <w:r>
        <w:rPr>
          <w:rFonts w:hint="eastAsia" w:ascii="仿宋_GB2312" w:hAnsi="仿宋_GB2312" w:eastAsia="仿宋_GB2312" w:cs="仿宋_GB2312"/>
          <w:b/>
          <w:bCs/>
          <w:color w:val="auto"/>
          <w:sz w:val="24"/>
          <w:szCs w:val="24"/>
          <w:highlight w:val="none"/>
        </w:rPr>
        <w:t>环境卫生管理</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服务内容：</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楼内的楼梯（含安全通道）、大厅、走廊、屋顶平台（各楼层平台）、</w:t>
      </w:r>
      <w:r>
        <w:rPr>
          <w:rFonts w:hint="eastAsia" w:ascii="仿宋_GB2312" w:hAnsi="仿宋_GB2312" w:eastAsia="仿宋_GB2312" w:cs="仿宋_GB2312"/>
          <w:color w:val="auto"/>
          <w:sz w:val="24"/>
          <w:szCs w:val="24"/>
          <w:highlight w:val="none"/>
          <w:lang w:val="en-US" w:eastAsia="zh-CN"/>
        </w:rPr>
        <w:t>天沟、檐沟、雨棚、</w:t>
      </w:r>
      <w:r>
        <w:rPr>
          <w:rFonts w:hint="eastAsia" w:ascii="仿宋_GB2312" w:hAnsi="仿宋_GB2312" w:eastAsia="仿宋_GB2312" w:cs="仿宋_GB2312"/>
          <w:color w:val="auto"/>
          <w:sz w:val="24"/>
          <w:szCs w:val="24"/>
          <w:highlight w:val="none"/>
        </w:rPr>
        <w:t>电梯间、卫生间、花盆、会议室、办公区域、公共场所的台（地）面、明沟、墙面、门、窗、灯具、果壳箱等设施和器皿的日常保洁，以及公共场所的消毒等工作（保洁耗物料如：卫生纸、洗手液、垃圾袋等由中标单位承担）</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楼宇外墙等所有公共部位设施，园林、停车场（库）、垃圾房等所有公共场地及设施和“门前三包”区域的日常保洁保养以及垃圾分类管理、废弃物清理和灭“四害”等所有环境卫生保洁</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大楼范围内幕墙玻璃清洗</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化粪池、雨/污水井、明暗沟、排水管等的完好畅通</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落实项目范围内垃圾分类相关工作，定期进行垃圾分类培训，提供符合垃圾分类相关要求的分拣和清运服务</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落实项目范围内禁烟、节水等工作要求</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物业范围无四害</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确保本物业通过各级部门的卫生检查。</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具体如下：</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（1）公共场所日常服务内容：水泥地面、石材地面、扶手、门窗玻璃、门及门窗框、天花板、栏杆、消防楼梯区域等，及时清除各种垃圾等杂物，无积灰、印迹、污渍等。</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门厅、办公区域等特定区域保洁服务内容：地面、天花板、门窗玻璃、门及门窗框、墙壁附体、灯具、垃圾桶等公用设施表面，电梯及卫生间等严格要求做好清洁、清运及日常消杀工作，无积灰、印迹、污渍。洗手间</w:t>
      </w:r>
      <w:r>
        <w:rPr>
          <w:rFonts w:hint="eastAsia" w:ascii="仿宋_GB2312" w:hAnsi="仿宋_GB2312" w:eastAsia="仿宋_GB2312" w:cs="仿宋_GB2312"/>
          <w:color w:val="auto"/>
          <w:sz w:val="24"/>
          <w:szCs w:val="24"/>
          <w:highlight w:val="none"/>
          <w:lang w:eastAsia="zh-CN"/>
        </w:rPr>
        <w:t>无</w:t>
      </w:r>
      <w:r>
        <w:rPr>
          <w:rFonts w:hint="eastAsia" w:ascii="仿宋_GB2312" w:hAnsi="仿宋_GB2312" w:eastAsia="仿宋_GB2312" w:cs="仿宋_GB2312"/>
          <w:color w:val="auto"/>
          <w:sz w:val="24"/>
          <w:szCs w:val="24"/>
          <w:highlight w:val="none"/>
        </w:rPr>
        <w:t>流水、无异味、无污痕、无虫害，适时放置洗手液、卫生纸、卫生球、纸篓等用品，每天更换垃圾袋。白色墙面及顶面如有污渍等应及时清除。在日常垃圾清理时要注意保密，办公文件、数据资料等重要内容不能随意处理，需得到相关人员的确认。</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eastAsia="zh-CN"/>
        </w:rPr>
        <w:t>顶棚</w:t>
      </w:r>
      <w:r>
        <w:rPr>
          <w:rFonts w:hint="eastAsia" w:ascii="仿宋_GB2312" w:hAnsi="仿宋_GB2312" w:eastAsia="仿宋_GB2312" w:cs="仿宋_GB2312"/>
          <w:color w:val="auto"/>
          <w:sz w:val="24"/>
          <w:szCs w:val="24"/>
          <w:highlight w:val="none"/>
        </w:rPr>
        <w:t>等边缘区域服务内容：屋顶屋面、</w:t>
      </w:r>
      <w:r>
        <w:rPr>
          <w:rFonts w:hint="eastAsia" w:ascii="仿宋_GB2312" w:hAnsi="仿宋_GB2312" w:eastAsia="仿宋_GB2312" w:cs="仿宋_GB2312"/>
          <w:color w:val="auto"/>
          <w:sz w:val="24"/>
          <w:szCs w:val="24"/>
          <w:highlight w:val="none"/>
          <w:lang w:val="en-US" w:eastAsia="zh-CN"/>
        </w:rPr>
        <w:t>天沟、檐沟</w:t>
      </w:r>
      <w:r>
        <w:rPr>
          <w:rFonts w:hint="eastAsia" w:ascii="仿宋_GB2312" w:hAnsi="仿宋_GB2312" w:eastAsia="仿宋_GB2312" w:cs="仿宋_GB2312"/>
          <w:color w:val="auto"/>
          <w:sz w:val="24"/>
          <w:szCs w:val="24"/>
          <w:highlight w:val="none"/>
        </w:rPr>
        <w:t>、地面及边角区域，各种附体表面及时进行清洁。</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（4）水电和设备等设施类服务内容：一般机器表面清洁（有特殊规定的设备除外），消防设施、空调的过滤网洗尘与保洁。</w:t>
      </w:r>
      <w:r>
        <w:rPr>
          <w:rFonts w:hint="eastAsia" w:ascii="仿宋_GB2312" w:hAnsi="仿宋_GB2312" w:eastAsia="仿宋_GB2312" w:cs="仿宋_GB2312"/>
          <w:color w:val="auto"/>
          <w:sz w:val="24"/>
          <w:szCs w:val="24"/>
          <w:highlight w:val="none"/>
          <w:lang w:eastAsia="zh-CN"/>
        </w:rPr>
        <w:t>空调维护保养费用</w:t>
      </w:r>
      <w:r>
        <w:rPr>
          <w:rFonts w:hint="eastAsia" w:ascii="仿宋_GB2312" w:hAnsi="仿宋_GB2312" w:eastAsia="仿宋_GB2312" w:cs="仿宋_GB2312"/>
          <w:color w:val="auto"/>
          <w:sz w:val="24"/>
          <w:szCs w:val="24"/>
          <w:highlight w:val="none"/>
          <w:lang w:val="en-US" w:eastAsia="zh-CN"/>
        </w:rPr>
        <w:t>包含在投标报价内</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（5）电梯服务内容：保持电梯轿厢内外无果壳、纸屑等杂物，无污渍、无灰尘、手印、鞋印。每天对轿厢内外用油布擦拭</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次，每周用不锈钢油对轿厢内外进行轻抹保养一次。</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yellow"/>
          <w:lang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）垃圾清运（含餐厅垃圾）服务内容：做好垃圾分类管理，垃圾箱、桶的垃圾存量不超过上</w:t>
      </w:r>
      <w:r>
        <w:rPr>
          <w:rFonts w:hint="eastAsia" w:ascii="仿宋_GB2312" w:hAnsi="仿宋_GB2312" w:eastAsia="仿宋_GB2312" w:cs="仿宋_GB2312"/>
          <w:color w:val="auto"/>
          <w:sz w:val="24"/>
          <w:szCs w:val="24"/>
          <w:highlight w:val="none"/>
          <w:lang w:val="en-US" w:eastAsia="zh-CN"/>
        </w:rPr>
        <w:t>檐</w:t>
      </w:r>
      <w:r>
        <w:rPr>
          <w:rFonts w:hint="eastAsia" w:ascii="仿宋_GB2312" w:hAnsi="仿宋_GB2312" w:eastAsia="仿宋_GB2312" w:cs="仿宋_GB2312"/>
          <w:color w:val="auto"/>
          <w:sz w:val="24"/>
          <w:szCs w:val="24"/>
          <w:highlight w:val="none"/>
        </w:rPr>
        <w:t>，每日清理二次，做到日产日清，定期清洗，每周消毒一次，无明显积水，无蚊蝇飞舞。垃圾清运工具应保持清洁无破损，清运过程中不得产生二次污染。各类垃圾运到规定的垃圾房，其中公共区域、卫生间无堆积垃圾（根据实际情况增加垃圾清理次数）。垃圾袋</w:t>
      </w:r>
      <w:r>
        <w:rPr>
          <w:rFonts w:hint="eastAsia" w:ascii="仿宋_GB2312" w:hAnsi="仿宋_GB2312" w:eastAsia="仿宋_GB2312" w:cs="仿宋_GB2312"/>
          <w:color w:val="auto"/>
          <w:sz w:val="24"/>
          <w:szCs w:val="24"/>
          <w:highlight w:val="none"/>
          <w:lang w:val="en-US" w:eastAsia="zh-CN"/>
        </w:rPr>
        <w:t>按需</w:t>
      </w:r>
      <w:r>
        <w:rPr>
          <w:rFonts w:hint="eastAsia" w:ascii="仿宋_GB2312" w:hAnsi="仿宋_GB2312" w:eastAsia="仿宋_GB2312" w:cs="仿宋_GB2312"/>
          <w:color w:val="auto"/>
          <w:sz w:val="24"/>
          <w:szCs w:val="24"/>
          <w:highlight w:val="none"/>
        </w:rPr>
        <w:t>购置并更换</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产生的费用包含在投标报价内</w:t>
      </w:r>
      <w:r>
        <w:rPr>
          <w:rFonts w:hint="eastAsia" w:ascii="仿宋_GB2312" w:hAnsi="仿宋_GB2312" w:eastAsia="仿宋_GB2312" w:cs="仿宋_GB2312"/>
          <w:color w:val="auto"/>
          <w:sz w:val="24"/>
          <w:szCs w:val="24"/>
          <w:highlight w:val="none"/>
        </w:rPr>
        <w:t>；垃圾清运需符合垃圾分类要求；所有使用卫生用品需符合垃圾分类要求</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）四害消杀，每</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对垃圾桶地沟等消杀喷药一次</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）玻璃幕墙清洗：一年一次，由采购方决定清洗时间。</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）化粪池及食堂隔油池清理至少每半年一次，按需求开展。</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）对植被、花草及建筑小品进行日常养护管理。保护绿地不被侵占，绿地无裸露黄土，植被配置合理；花草树木修剪及时，无枯枝、死杈及病虫害现象； 草地平整，无斑秃。</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以上清洁工具、清洁用品、清洁材料及卫生用品</w:t>
      </w:r>
      <w:r>
        <w:rPr>
          <w:rFonts w:hint="eastAsia" w:ascii="仿宋_GB2312" w:hAnsi="仿宋_GB2312" w:eastAsia="仿宋_GB2312" w:cs="仿宋_GB2312"/>
          <w:color w:val="auto"/>
          <w:sz w:val="24"/>
          <w:szCs w:val="24"/>
          <w:highlight w:val="none"/>
          <w:lang w:eastAsia="zh-CN"/>
        </w:rPr>
        <w:t>等费用均包含在投标报价内</w:t>
      </w:r>
      <w:r>
        <w:rPr>
          <w:rFonts w:hint="eastAsia" w:ascii="仿宋_GB2312" w:hAnsi="仿宋_GB2312" w:eastAsia="仿宋_GB2312" w:cs="仿宋_GB2312"/>
          <w:color w:val="auto"/>
          <w:sz w:val="24"/>
          <w:szCs w:val="24"/>
          <w:highlight w:val="none"/>
        </w:rPr>
        <w:t>。</w:t>
      </w:r>
    </w:p>
    <w:tbl>
      <w:tblPr>
        <w:tblStyle w:val="63"/>
        <w:tblW w:w="86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730"/>
        <w:gridCol w:w="1953"/>
        <w:gridCol w:w="1620"/>
        <w:gridCol w:w="2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区域</w:t>
            </w: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项目</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工作内容</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标准</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保洁频率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体</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围</w:t>
            </w: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各出入口地面</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清扫、收集垃圾、水力冲洗</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无垃圾、烟头、杂物、明显泥沙</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循环清扫，每星期冲洗一次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明沟</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清扫、收集垃圾、刷洗、清洁堵塞物</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无垃圾、杂物、无苔藓</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每日清扫，每星期冲洗一次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大楼周边</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清扫、收集垃圾、水力冲洗</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无垃圾、积水、烟头、杂物、明显泥沙</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循环清扫，每星期冲洗一次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外露管道（2米以下）</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无积灰、污渍</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屋顶</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清扫、收集垃圾、刷洗、清洁堵塞物</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无垃圾、杂物、树叶、积水</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清扫，雨雪天气、台风季度重点清扫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标志牌</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大楼名牌</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大厅整体</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除尘、清洗</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无灰尘、污渍、洁净光亮</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每半年清洗一次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监控探头</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清抹一次，2米以上探头每季度清洁一次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厅</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及</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层</w:t>
            </w: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大厅内玻璃</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除尘、清洗</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无尘、光亮</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每周全面清尘一次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石材地面</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除尘、清洗、打蜡</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无灰尘、水迹及脚印，光亮</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循环清洁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抹灰墙面</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无积灰、无蜘蛛网</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每月清洁两次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监控探头</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清抹一次，2米以上探头每季度清洁一次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厅</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及</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层</w:t>
            </w: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踢</w:t>
            </w:r>
            <w:r>
              <w:rPr>
                <w:rFonts w:hint="eastAsia" w:ascii="仿宋_GB2312" w:hAnsi="仿宋_GB2312" w:eastAsia="仿宋_GB2312" w:cs="仿宋_GB2312"/>
                <w:color w:val="auto"/>
                <w:sz w:val="24"/>
                <w:szCs w:val="24"/>
                <w:highlight w:val="none"/>
              </w:rPr>
              <w:t>脚线</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每日保洁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标识牌（各类）</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每日保洁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各类消防设施</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废物箱</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清除垃圾、外表抹净</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无垃圾满溢</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每日及时清洗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门框</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无灰尘及手印</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7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大玻璃窗</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清洗</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无积灰及划痕，明亮</w:t>
            </w:r>
          </w:p>
        </w:tc>
        <w:tc>
          <w:tcPr>
            <w:tcW w:w="25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循环保洁，每周保洁一次</w:t>
            </w:r>
          </w:p>
        </w:tc>
      </w:tr>
    </w:tbl>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服务质量标准：围墙内的道路、停车场和“门前三包”及所有公共区域的地面，无有形垃圾和建筑垃圾、无堆积杂物、无积水和淤泥、无阻塞等。做到每日清扫两次，巡回保洁。</w:t>
      </w:r>
    </w:p>
    <w:tbl>
      <w:tblPr>
        <w:tblStyle w:val="63"/>
        <w:tblW w:w="86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1620"/>
        <w:gridCol w:w="1980"/>
        <w:gridCol w:w="1984"/>
        <w:gridCol w:w="21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区域</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项目</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工作内容</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标准</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保洁频率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强弱</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电机</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房</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室内、机柜</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9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梯</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地毯</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除尘、清洗</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无灰尘、垃圾及污渍</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循环保洁</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val="en-US" w:eastAsia="zh-CN"/>
              </w:rPr>
              <w:t>2周</w:t>
            </w:r>
            <w:r>
              <w:rPr>
                <w:rFonts w:hint="eastAsia" w:ascii="仿宋_GB2312" w:hAnsi="仿宋_GB2312" w:eastAsia="仿宋_GB2312" w:cs="仿宋_GB2312"/>
                <w:color w:val="auto"/>
                <w:sz w:val="24"/>
                <w:szCs w:val="24"/>
                <w:highlight w:val="none"/>
              </w:rPr>
              <w:t>清洗一次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墙面</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木质（除尘）铝合金（上保护剂）、镜面清洁</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无灰尘及手印、光亮</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每日保洁，每周清洁、上光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门（内外）</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抹净（上保护剂）</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无灰尘及垃圾，亮</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循环保洁，每周清洁、上光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门槽</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清除垃圾、杂物</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无灰尘及垃圾，光亮</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每日及时清除，每周清洁、上光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指示牌和按钮</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无灰尘、无手印</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灯片和风口</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每日清抹一次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洗</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手</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间</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尿斗、坐厕、面盆</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除污垢（用中性药剂）除锈斑、消毒</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无污垢及积垢，清净</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w:t>
            </w:r>
            <w:r>
              <w:rPr>
                <w:rFonts w:hint="eastAsia" w:ascii="仿宋_GB2312" w:hAnsi="仿宋_GB2312" w:eastAsia="仿宋_GB2312" w:cs="仿宋_GB2312"/>
                <w:color w:val="auto"/>
                <w:sz w:val="24"/>
                <w:szCs w:val="24"/>
                <w:highlight w:val="none"/>
                <w:lang w:val="en-US" w:eastAsia="zh-CN"/>
              </w:rPr>
              <w:t>不少于二</w:t>
            </w:r>
            <w:r>
              <w:rPr>
                <w:rFonts w:hint="eastAsia" w:ascii="仿宋_GB2312" w:hAnsi="仿宋_GB2312" w:eastAsia="仿宋_GB2312" w:cs="仿宋_GB2312"/>
                <w:color w:val="auto"/>
                <w:sz w:val="24"/>
                <w:szCs w:val="24"/>
                <w:highlight w:val="none"/>
              </w:rPr>
              <w:t>次</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畅通，无漏水、异味及污垢，垃圾袋定时更换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隔断</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除尘、除污垢</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无灰尘、涂画及污垢</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水龙头</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抹净</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无水锈、无污渍</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8" w:hRule="atLeast"/>
        </w:trPr>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镜面</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抹净</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无水迹及污渍，明亮</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地面</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清洗、消毒</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无垃圾、水迹及污渍</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墙面</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无灰尘、无污渍</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灯片、天花及风口</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每月清除一次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门和门框</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无灰尘、无污渍</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台面</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抹净</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无水迹、无污渍</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循环保洁，每天洁洗</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废物箱</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清除垃圾、外表清洁</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无垃圾满溢、无污渍</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每日及时清洗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玻璃窗</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清洗、除尘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无灰尘、无</w:t>
            </w:r>
            <w:r>
              <w:rPr>
                <w:rFonts w:hint="eastAsia" w:ascii="仿宋_GB2312" w:hAnsi="仿宋_GB2312" w:eastAsia="仿宋_GB2312" w:cs="仿宋_GB2312"/>
                <w:color w:val="auto"/>
                <w:sz w:val="24"/>
                <w:szCs w:val="24"/>
                <w:highlight w:val="none"/>
                <w:lang w:eastAsia="zh-CN"/>
              </w:rPr>
              <w:t>水渍</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洁洗一次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洗手液</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洗手液</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无短缺</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按需添加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梯</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楼级和平台</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清扫垃圾、清洗</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无垃圾、死角及积灰</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墙面</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大理石（除尘、抹净）涂料（除尘）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扶手、栏杆</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循环保洁、随时清抹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外露管道</w:t>
            </w:r>
          </w:p>
        </w:tc>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每周清洁一次</w:t>
            </w:r>
          </w:p>
        </w:tc>
      </w:tr>
    </w:tbl>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p>
    <w:tbl>
      <w:tblPr>
        <w:tblStyle w:val="63"/>
        <w:tblW w:w="86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1559"/>
        <w:gridCol w:w="1321"/>
        <w:gridCol w:w="1800"/>
        <w:gridCol w:w="2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区域</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项目</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工作内容</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标准</w:t>
            </w:r>
          </w:p>
        </w:tc>
        <w:tc>
          <w:tcPr>
            <w:tcW w:w="28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保洁频率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路面及地面停车</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地面</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清扫、除尘</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无垃圾、无杂物</w:t>
            </w:r>
          </w:p>
        </w:tc>
        <w:tc>
          <w:tcPr>
            <w:tcW w:w="28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0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他</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各类消防设施</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无积灰</w:t>
            </w:r>
          </w:p>
        </w:tc>
        <w:tc>
          <w:tcPr>
            <w:tcW w:w="28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室外绿地</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清扫</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无垃圾、无杂物</w:t>
            </w:r>
          </w:p>
        </w:tc>
        <w:tc>
          <w:tcPr>
            <w:tcW w:w="28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每天清洁二次，随时清扫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领导办公室</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8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每天清洁一次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会议、培训室</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8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每周清洁一次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其它公共区域物品</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8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循环保洁，随时清抹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人防设施</w:t>
            </w:r>
          </w:p>
        </w:tc>
        <w:tc>
          <w:tcPr>
            <w:tcW w:w="132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除尘、抹净</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无灰尘</w:t>
            </w:r>
          </w:p>
        </w:tc>
        <w:tc>
          <w:tcPr>
            <w:tcW w:w="288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按新旧程度判断油漆一次、润滑二次</w:t>
            </w:r>
          </w:p>
        </w:tc>
      </w:tr>
    </w:tbl>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未列入的且为正常保洁工作以及突发性事件造成的保洁工作的项目均包括在本次招标范围内，中标</w:t>
      </w:r>
      <w:r>
        <w:rPr>
          <w:rFonts w:hint="eastAsia" w:ascii="仿宋_GB2312" w:hAnsi="仿宋_GB2312" w:eastAsia="仿宋_GB2312" w:cs="仿宋_GB2312"/>
          <w:color w:val="auto"/>
          <w:sz w:val="24"/>
          <w:szCs w:val="24"/>
          <w:highlight w:val="none"/>
          <w:lang w:val="en-US" w:eastAsia="zh-CN"/>
        </w:rPr>
        <w:t>人应配合采购人</w:t>
      </w:r>
      <w:r>
        <w:rPr>
          <w:rFonts w:hint="eastAsia" w:ascii="仿宋_GB2312" w:hAnsi="仿宋_GB2312" w:eastAsia="仿宋_GB2312" w:cs="仿宋_GB2312"/>
          <w:color w:val="auto"/>
          <w:sz w:val="24"/>
          <w:szCs w:val="24"/>
          <w:highlight w:val="none"/>
        </w:rPr>
        <w:t>提供保洁服务。</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建立“四害”消杀工作管理制度，根据实际情况定期开展消杀工作，有效控制鼠，蟑，蝇，蚊等害虫</w:t>
      </w:r>
      <w:r>
        <w:rPr>
          <w:rFonts w:hint="eastAsia" w:ascii="仿宋_GB2312" w:hAnsi="仿宋_GB2312" w:eastAsia="仿宋_GB2312" w:cs="仿宋_GB2312"/>
          <w:color w:val="auto"/>
          <w:sz w:val="24"/>
          <w:szCs w:val="24"/>
          <w:highlight w:val="none"/>
          <w:lang w:eastAsia="zh-CN"/>
        </w:rPr>
        <w:t>滋生</w:t>
      </w:r>
      <w:r>
        <w:rPr>
          <w:rFonts w:hint="eastAsia" w:ascii="仿宋_GB2312" w:hAnsi="仿宋_GB2312" w:eastAsia="仿宋_GB2312" w:cs="仿宋_GB2312"/>
          <w:color w:val="auto"/>
          <w:sz w:val="24"/>
          <w:szCs w:val="24"/>
          <w:highlight w:val="none"/>
        </w:rPr>
        <w:t>，定期对各类病虫害进行预防控制，适时投放消杀药物和设施,“除四害”相关服务费用均包含在</w:t>
      </w:r>
      <w:r>
        <w:rPr>
          <w:rFonts w:hint="eastAsia" w:ascii="仿宋_GB2312" w:hAnsi="仿宋_GB2312" w:eastAsia="仿宋_GB2312" w:cs="仿宋_GB2312"/>
          <w:color w:val="auto"/>
          <w:sz w:val="24"/>
          <w:szCs w:val="24"/>
          <w:highlight w:val="none"/>
          <w:lang w:val="en-US" w:eastAsia="zh-CN"/>
        </w:rPr>
        <w:t>投标报价内</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（二）传达，秩序，</w:t>
      </w:r>
      <w:r>
        <w:rPr>
          <w:rFonts w:hint="eastAsia" w:ascii="仿宋_GB2312" w:hAnsi="仿宋_GB2312" w:eastAsia="仿宋_GB2312" w:cs="仿宋_GB2312"/>
          <w:b/>
          <w:bCs/>
          <w:color w:val="auto"/>
          <w:sz w:val="24"/>
          <w:szCs w:val="24"/>
          <w:highlight w:val="none"/>
          <w:lang w:eastAsia="zh-CN"/>
        </w:rPr>
        <w:t>车辆管理</w:t>
      </w:r>
      <w:r>
        <w:rPr>
          <w:rFonts w:hint="eastAsia" w:ascii="仿宋_GB2312" w:hAnsi="仿宋_GB2312" w:eastAsia="仿宋_GB2312" w:cs="仿宋_GB2312"/>
          <w:b/>
          <w:bCs/>
          <w:color w:val="auto"/>
          <w:sz w:val="24"/>
          <w:szCs w:val="24"/>
          <w:highlight w:val="none"/>
        </w:rPr>
        <w:t>和消防，监控的服务要求</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服务内容：</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熟悉周边的环境，能处理和应对公共秩序维护工作，能正确使用各类消防，物防，技防器械和设备。</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能够熟悉，掌握各类刑事，治安案件和各类灾害事故的应急预案。</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来人来访的通报，证件检验，登记，报刊信件收发，物资、车辆的进出等进行检查并需防止相关涉密内容外泄。</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门卫，守护和巡逻，维护公共秩序。</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处理治安及其他突发事件，负责</w:t>
      </w:r>
      <w:r>
        <w:rPr>
          <w:rFonts w:hint="eastAsia" w:ascii="仿宋_GB2312" w:hAnsi="仿宋_GB2312" w:eastAsia="仿宋_GB2312" w:cs="仿宋_GB2312"/>
          <w:color w:val="auto"/>
          <w:sz w:val="24"/>
          <w:szCs w:val="24"/>
          <w:highlight w:val="none"/>
          <w:lang w:val="en-US" w:eastAsia="zh-CN"/>
        </w:rPr>
        <w:t>院内</w:t>
      </w:r>
      <w:r>
        <w:rPr>
          <w:rFonts w:hint="eastAsia" w:ascii="仿宋_GB2312" w:hAnsi="仿宋_GB2312" w:eastAsia="仿宋_GB2312" w:cs="仿宋_GB2312"/>
          <w:color w:val="auto"/>
          <w:sz w:val="24"/>
          <w:szCs w:val="24"/>
          <w:highlight w:val="none"/>
        </w:rPr>
        <w:t>机动车和非机动车停放管理，负责</w:t>
      </w:r>
      <w:r>
        <w:rPr>
          <w:rFonts w:hint="eastAsia" w:ascii="仿宋_GB2312" w:hAnsi="仿宋_GB2312" w:eastAsia="仿宋_GB2312" w:cs="仿宋_GB2312"/>
          <w:color w:val="auto"/>
          <w:sz w:val="24"/>
          <w:szCs w:val="24"/>
          <w:highlight w:val="none"/>
          <w:lang w:val="en-US" w:eastAsia="zh-CN"/>
        </w:rPr>
        <w:t>巡查</w:t>
      </w:r>
      <w:r>
        <w:rPr>
          <w:rFonts w:hint="eastAsia" w:ascii="仿宋_GB2312" w:hAnsi="仿宋_GB2312" w:eastAsia="仿宋_GB2312" w:cs="仿宋_GB2312"/>
          <w:color w:val="auto"/>
          <w:sz w:val="24"/>
          <w:szCs w:val="24"/>
          <w:highlight w:val="none"/>
        </w:rPr>
        <w:t>防盗</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防火警报监控设备运行</w:t>
      </w:r>
      <w:r>
        <w:rPr>
          <w:rFonts w:hint="eastAsia" w:ascii="仿宋_GB2312" w:hAnsi="仿宋_GB2312" w:eastAsia="仿宋_GB2312" w:cs="仿宋_GB2312"/>
          <w:color w:val="auto"/>
          <w:sz w:val="24"/>
          <w:szCs w:val="24"/>
          <w:highlight w:val="none"/>
          <w:lang w:val="en-US" w:eastAsia="zh-CN"/>
        </w:rPr>
        <w:t>情况并做出应急处理</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服从对口管理部门的临时应急调度。</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建立完善的消防制度和消防工作计划，物管人员应定期接受消防培训并掌握现有消防设施设备的使用方法，并能及时处理各种火灾事故。</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明确防火责任人，制定完善的突发火灾应急方案，设置消防疏散示意图，照明设施及引路标识，保持紧急疏散通道畅通。</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（1）门卫值班</w:t>
      </w:r>
      <w:r>
        <w:rPr>
          <w:rFonts w:hint="eastAsia" w:ascii="仿宋_GB2312" w:hAnsi="仿宋_GB2312" w:eastAsia="仿宋_GB2312" w:cs="仿宋_GB2312"/>
          <w:color w:val="auto"/>
          <w:sz w:val="24"/>
          <w:szCs w:val="24"/>
          <w:highlight w:val="none"/>
          <w:lang w:val="en-US" w:eastAsia="zh-CN"/>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①上岗时佩戴统一标志，按需求穿戴统一制服，装备佩戴规范，仪容仪表规范整齐，当值时坐姿挺直，站岗时不倚不靠。</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②文明执勤，训练有素，言语规范，认真负责。</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③配备对讲装置和其他必备的安全护卫器械。</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④用语规范，礼貌待客，文明工作。严格验证，登记制度，杜绝闲杂人员进入办公区域内，维护办公区域安全以及正常的工作环境。</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⑤对物品进出实施管理，实行物品进出审验制度，杜绝危险物品进入办公区域内，防止保密物品、资料流出。</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⑥</w:t>
      </w: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应当积极响应国家保密法条例对机关、单位的规定，定期对服务人员进行保密法律法规、保密技术防范等方面的教育培训。</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（2）巡查</w:t>
      </w:r>
      <w:r>
        <w:rPr>
          <w:rFonts w:hint="eastAsia" w:ascii="仿宋_GB2312" w:hAnsi="仿宋_GB2312" w:eastAsia="仿宋_GB2312" w:cs="仿宋_GB2312"/>
          <w:color w:val="auto"/>
          <w:sz w:val="24"/>
          <w:szCs w:val="24"/>
          <w:highlight w:val="none"/>
          <w:lang w:val="en-US" w:eastAsia="zh-CN"/>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①明确巡查工作职责，规范巡视工作流程，制定固定的巡查制度，对重要区域</w:t>
      </w:r>
      <w:r>
        <w:rPr>
          <w:rFonts w:hint="eastAsia" w:ascii="仿宋_GB2312" w:hAnsi="仿宋_GB2312" w:eastAsia="仿宋_GB2312" w:cs="仿宋_GB2312"/>
          <w:color w:val="auto"/>
          <w:sz w:val="24"/>
          <w:szCs w:val="24"/>
          <w:highlight w:val="none"/>
          <w:lang w:eastAsia="zh-CN"/>
        </w:rPr>
        <w:t>部</w:t>
      </w:r>
      <w:r>
        <w:rPr>
          <w:rFonts w:hint="eastAsia" w:ascii="仿宋_GB2312" w:hAnsi="仿宋_GB2312" w:eastAsia="仿宋_GB2312" w:cs="仿宋_GB2312"/>
          <w:color w:val="auto"/>
          <w:sz w:val="24"/>
          <w:szCs w:val="24"/>
          <w:highlight w:val="none"/>
        </w:rPr>
        <w:t>位，设备机房进行重点巡视并记录巡视情况，及时发现和处理</w:t>
      </w:r>
      <w:r>
        <w:rPr>
          <w:rFonts w:hint="eastAsia" w:ascii="仿宋_GB2312" w:hAnsi="仿宋_GB2312" w:eastAsia="仿宋_GB2312" w:cs="仿宋_GB2312"/>
          <w:color w:val="auto"/>
          <w:sz w:val="24"/>
          <w:szCs w:val="24"/>
          <w:highlight w:val="none"/>
          <w:lang w:eastAsia="zh-CN"/>
        </w:rPr>
        <w:t>各种</w:t>
      </w:r>
      <w:r>
        <w:rPr>
          <w:rFonts w:hint="eastAsia" w:ascii="仿宋_GB2312" w:hAnsi="仿宋_GB2312" w:eastAsia="仿宋_GB2312" w:cs="仿宋_GB2312"/>
          <w:color w:val="auto"/>
          <w:sz w:val="24"/>
          <w:szCs w:val="24"/>
          <w:highlight w:val="none"/>
        </w:rPr>
        <w:t>安全和事故隐患。</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②在接到监控室发出的指令后，巡视人员应及时到达事发现场，采取相应措施妥善处理，如巡视中发现异常情况，应立即通知有关部门并在现场采取必要措施，随时准备启动并执行相应的应急预案。</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（3）消控</w:t>
      </w:r>
      <w:r>
        <w:rPr>
          <w:rFonts w:hint="eastAsia" w:ascii="仿宋_GB2312" w:hAnsi="仿宋_GB2312" w:eastAsia="仿宋_GB2312" w:cs="仿宋_GB2312"/>
          <w:color w:val="auto"/>
          <w:sz w:val="24"/>
          <w:szCs w:val="24"/>
          <w:highlight w:val="none"/>
          <w:lang w:val="en-US" w:eastAsia="zh-CN"/>
        </w:rPr>
        <w:t>及</w:t>
      </w:r>
      <w:r>
        <w:rPr>
          <w:rFonts w:hint="eastAsia" w:ascii="仿宋_GB2312" w:hAnsi="仿宋_GB2312" w:eastAsia="仿宋_GB2312" w:cs="仿宋_GB2312"/>
          <w:color w:val="auto"/>
          <w:sz w:val="24"/>
          <w:szCs w:val="24"/>
          <w:highlight w:val="none"/>
        </w:rPr>
        <w:t>监控室值班</w:t>
      </w:r>
      <w:r>
        <w:rPr>
          <w:rFonts w:hint="eastAsia" w:ascii="仿宋_GB2312" w:hAnsi="仿宋_GB2312" w:eastAsia="仿宋_GB2312" w:cs="仿宋_GB2312"/>
          <w:color w:val="auto"/>
          <w:sz w:val="24"/>
          <w:szCs w:val="24"/>
          <w:highlight w:val="none"/>
          <w:lang w:val="en-US" w:eastAsia="zh-CN"/>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①消控、监控设施应保持24小时开通，并保持完整的监控记录，保证对各出入口，内部重点区域的安全监控，录像及协助布警。</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②监控室收到火情，险情及其他异常情况报警信号后，应及时报警，并派专人赶到现场进行前期处理。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③确保治安电话畅通，接听及时（在铃响三声内应接听）。消控</w:t>
      </w:r>
      <w:r>
        <w:rPr>
          <w:rFonts w:hint="eastAsia" w:ascii="仿宋_GB2312" w:hAnsi="仿宋_GB2312" w:eastAsia="仿宋_GB2312" w:cs="仿宋_GB2312"/>
          <w:color w:val="auto"/>
          <w:sz w:val="24"/>
          <w:szCs w:val="24"/>
          <w:highlight w:val="none"/>
          <w:lang w:val="en-US" w:eastAsia="zh-CN"/>
        </w:rPr>
        <w:t>员</w:t>
      </w:r>
      <w:r>
        <w:rPr>
          <w:rFonts w:hint="eastAsia" w:ascii="仿宋_GB2312" w:hAnsi="仿宋_GB2312" w:eastAsia="仿宋_GB2312" w:cs="仿宋_GB2312"/>
          <w:color w:val="auto"/>
          <w:sz w:val="24"/>
          <w:szCs w:val="24"/>
          <w:highlight w:val="none"/>
        </w:rPr>
        <w:t>必须</w:t>
      </w:r>
      <w:r>
        <w:rPr>
          <w:rFonts w:hint="eastAsia" w:ascii="仿宋_GB2312" w:hAnsi="仿宋_GB2312" w:eastAsia="仿宋_GB2312" w:cs="仿宋_GB2312"/>
          <w:b w:val="0"/>
          <w:bCs w:val="0"/>
          <w:color w:val="auto"/>
          <w:sz w:val="24"/>
          <w:szCs w:val="24"/>
          <w:highlight w:val="none"/>
        </w:rPr>
        <w:t>持有人社部门颁发或认可的建（构）筑物消防员证书或消防设施操作员证书上岗</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（4）停车管理</w:t>
      </w:r>
      <w:r>
        <w:rPr>
          <w:rFonts w:hint="eastAsia" w:ascii="仿宋_GB2312" w:hAnsi="仿宋_GB2312" w:eastAsia="仿宋_GB2312" w:cs="仿宋_GB2312"/>
          <w:color w:val="auto"/>
          <w:sz w:val="24"/>
          <w:szCs w:val="24"/>
          <w:highlight w:val="none"/>
          <w:lang w:val="en-US" w:eastAsia="zh-CN"/>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①有车位的车辆，一律停放在固定车位内。</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②无固定车位的</w:t>
      </w:r>
      <w:r>
        <w:rPr>
          <w:rFonts w:hint="eastAsia" w:ascii="仿宋_GB2312" w:hAnsi="仿宋_GB2312" w:eastAsia="仿宋_GB2312" w:cs="仿宋_GB2312"/>
          <w:color w:val="auto"/>
          <w:sz w:val="24"/>
          <w:szCs w:val="24"/>
          <w:highlight w:val="none"/>
          <w:lang w:val="en-US" w:eastAsia="zh-CN"/>
        </w:rPr>
        <w:t>车辆</w:t>
      </w:r>
      <w:r>
        <w:rPr>
          <w:rFonts w:hint="eastAsia" w:ascii="仿宋_GB2312" w:hAnsi="仿宋_GB2312" w:eastAsia="仿宋_GB2312" w:cs="仿宋_GB2312"/>
          <w:color w:val="auto"/>
          <w:sz w:val="24"/>
          <w:szCs w:val="24"/>
          <w:highlight w:val="none"/>
        </w:rPr>
        <w:t>，应停放整齐，规范。</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③非机动车应实行定点停放。</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④对进出大楼的各类车辆要进行严格管理，维护交通秩序，保证车辆有序通行，有序停放。</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（5）突发事件处理</w:t>
      </w:r>
      <w:r>
        <w:rPr>
          <w:rFonts w:hint="eastAsia" w:ascii="仿宋_GB2312" w:hAnsi="仿宋_GB2312" w:eastAsia="仿宋_GB2312" w:cs="仿宋_GB2312"/>
          <w:color w:val="auto"/>
          <w:sz w:val="24"/>
          <w:szCs w:val="24"/>
          <w:highlight w:val="none"/>
          <w:lang w:val="en-US" w:eastAsia="zh-CN"/>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①按照要求制定各类突发事件应急预案，并将预案内容在物业办公室、监控室、机房等处悬挂。</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②在各楼层固定位置悬挂疏散示意图及引路标志，每年组织不少于1次的突发事件应急演</w:t>
      </w:r>
      <w:r>
        <w:rPr>
          <w:rFonts w:hint="eastAsia" w:ascii="仿宋_GB2312" w:hAnsi="仿宋_GB2312" w:eastAsia="仿宋_GB2312" w:cs="仿宋_GB2312"/>
          <w:color w:val="auto"/>
          <w:sz w:val="24"/>
          <w:szCs w:val="24"/>
          <w:highlight w:val="none"/>
          <w:lang w:val="en-US" w:eastAsia="zh-CN"/>
        </w:rPr>
        <w:t>练</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③当发生台风、暴雨等灾害性天气及其他危害公共突发事件时，应采取以下应急措施：对设备机房、停车场等露天设施进行检查和加固。</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④各岗位人员必须按规定实行岗位警戒，根据不同突发事件的现场情况进行处理，在有关部门到达现场前，确保人身安全，减少财产损失，并全力协助处理相关事宜。</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（6）消防、监控设施管理</w:t>
      </w:r>
      <w:r>
        <w:rPr>
          <w:rFonts w:hint="eastAsia" w:ascii="仿宋_GB2312" w:hAnsi="仿宋_GB2312" w:eastAsia="仿宋_GB2312" w:cs="仿宋_GB2312"/>
          <w:color w:val="auto"/>
          <w:sz w:val="24"/>
          <w:szCs w:val="24"/>
          <w:highlight w:val="none"/>
          <w:lang w:val="en-US" w:eastAsia="zh-CN"/>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①定期对消防、监控主机及各消防、监控点设备进行巡查，确保运行无故障</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②定期对室外的消防栓、消防水带、消防泵等设备进行检查，是否有埋压或损坏和失效等情况</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③定期对各楼层消防栓进行检查，设施是否安全</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④定期对各楼层喷淋头、感烟探测器、感温探测器、手动报警按钮及其他形式的消防设施、设备进行检查，是否有遮挡等情况</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⑤每月对各楼层的灭火器进行检查，是否有压力不足或缺少等情况</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⑥定期对各楼层消防通道进行检查，是否有遮挡或堵塞，各楼层的疏散指示标志是否有损坏或缺少等情况</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⑦定期对各楼层应急电源的主、备电情况进行检查。</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⑧消防泵：启动检查每月一次并记录，运行正常，设施完好、无渗漏。</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⑨消防栓：每月巡查一次，消防栓箱内各种配件完好。</w:t>
      </w:r>
    </w:p>
    <w:p>
      <w:pPr>
        <w:keepNext w:val="0"/>
        <w:keepLines w:val="0"/>
        <w:pageBreakBefore w:val="0"/>
        <w:widowControl/>
        <w:numPr>
          <w:ilvl w:val="0"/>
          <w:numId w:val="0"/>
        </w:numPr>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绿化管理</w:t>
      </w:r>
    </w:p>
    <w:p>
      <w:pPr>
        <w:keepNext w:val="0"/>
        <w:keepLines w:val="0"/>
        <w:pageBreakBefore w:val="0"/>
        <w:widowControl/>
        <w:numPr>
          <w:ilvl w:val="0"/>
          <w:numId w:val="0"/>
        </w:numPr>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服务内容：植物、花草</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进行日常养护管理；做好绿化租摆及第三方养护管理。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（1）根据采购人的要求进行调整。</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（2）建立定期除草、修剪制度，确保绿化无杂草、造型规整。</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（3）根据不同季节和气候变化，及时进行浇水、施肥，确保绿化茁壮成长。保护绿地不被侵占，绿地无裸露黄土，植被配置合理。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（4）花草树木修剪及时，无枯枝、死杈及病虫害现象。</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（5）草地平整，无斑秃。遇到灾害性气候，应及时组织人员进行抗旱浇水，抗台扶树，抗雪防冻保绿。</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（6）对台风高发季节，要求预防措施到位，抢救及时。</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（7）事先及时组织支撑、修剪等措施，事中事后及时组织应急小分队进行抢救。</w:t>
      </w:r>
    </w:p>
    <w:p>
      <w:pPr>
        <w:keepNext w:val="0"/>
        <w:keepLines w:val="0"/>
        <w:pageBreakBefore w:val="0"/>
        <w:widowControl/>
        <w:numPr>
          <w:ilvl w:val="0"/>
          <w:numId w:val="0"/>
        </w:numPr>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3.绿化租摆数量要求：大型10盆，中型20盆，小型50盆，共约80盆，有需要时，应做好会议摆花等工作。</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（四）给排水设备</w:t>
      </w:r>
      <w:r>
        <w:rPr>
          <w:rFonts w:hint="eastAsia" w:ascii="仿宋_GB2312" w:hAnsi="仿宋_GB2312" w:eastAsia="仿宋_GB2312" w:cs="仿宋_GB2312"/>
          <w:b/>
          <w:bCs/>
          <w:color w:val="auto"/>
          <w:sz w:val="24"/>
          <w:szCs w:val="24"/>
          <w:highlight w:val="none"/>
          <w:lang w:val="en-US" w:eastAsia="zh-CN"/>
        </w:rPr>
        <w:t>巡查及紧急处理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服务内容：对办公室室内外给排水系统的设备、设施，如水泵、水处理设备、消防栓、管道、管件、阀门、水嘴、卫生洁具、排水管、透气管、水封设备、室外排水管及附属构筑物等进行日常</w:t>
      </w:r>
      <w:r>
        <w:rPr>
          <w:rFonts w:hint="eastAsia" w:ascii="仿宋_GB2312" w:hAnsi="仿宋_GB2312" w:eastAsia="仿宋_GB2312" w:cs="仿宋_GB2312"/>
          <w:color w:val="auto"/>
          <w:sz w:val="24"/>
          <w:szCs w:val="24"/>
          <w:highlight w:val="none"/>
          <w:lang w:val="en-US" w:eastAsia="zh-CN"/>
        </w:rPr>
        <w:t>巡查及紧急处理，</w:t>
      </w:r>
      <w:r>
        <w:rPr>
          <w:rFonts w:hint="eastAsia" w:ascii="仿宋_GB2312" w:hAnsi="仿宋_GB2312" w:eastAsia="仿宋_GB2312" w:cs="仿宋_GB2312"/>
          <w:color w:val="auto"/>
          <w:sz w:val="24"/>
          <w:szCs w:val="24"/>
          <w:highlight w:val="none"/>
        </w:rPr>
        <w:t>保持正常运行。</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（1）每天检查一次提升泵、排水泵、阀门等，确保曝气风机、排水系统通畅，各种管道阀门完好，仪表显示正常，无跑、冒、滴、漏现象。</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）每季对楼宇排水总管进行检查，每半年对水泵、管道进行防锈处理。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（五）供电设备</w:t>
      </w:r>
      <w:r>
        <w:rPr>
          <w:rFonts w:hint="eastAsia" w:ascii="仿宋_GB2312" w:hAnsi="仿宋_GB2312" w:eastAsia="仿宋_GB2312" w:cs="仿宋_GB2312"/>
          <w:b/>
          <w:bCs/>
          <w:color w:val="auto"/>
          <w:sz w:val="24"/>
          <w:szCs w:val="24"/>
          <w:highlight w:val="none"/>
          <w:lang w:val="en-US" w:eastAsia="zh-CN"/>
        </w:rPr>
        <w:t>巡查及紧急处理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服务内容：对大楼内外的变压器、高及低压配电柜、能量管理系统、楼层配电间低压配电柜、设备机房电气控制柜、疏散指示系统、电气管线、电线电缆、电源开关、动力插座、电开水炉、水泵等低压用电设施进行日常</w:t>
      </w:r>
      <w:r>
        <w:rPr>
          <w:rFonts w:hint="eastAsia" w:ascii="仿宋_GB2312" w:hAnsi="仿宋_GB2312" w:eastAsia="仿宋_GB2312" w:cs="仿宋_GB2312"/>
          <w:color w:val="auto"/>
          <w:sz w:val="24"/>
          <w:szCs w:val="24"/>
          <w:highlight w:val="none"/>
          <w:lang w:val="en-US" w:eastAsia="zh-CN"/>
        </w:rPr>
        <w:t>巡查及紧急处理</w:t>
      </w:r>
      <w:r>
        <w:rPr>
          <w:rFonts w:hint="eastAsia" w:ascii="仿宋_GB2312" w:hAnsi="仿宋_GB2312" w:eastAsia="仿宋_GB2312" w:cs="仿宋_GB2312"/>
          <w:color w:val="auto"/>
          <w:sz w:val="24"/>
          <w:szCs w:val="24"/>
          <w:highlight w:val="none"/>
        </w:rPr>
        <w:t>，保持设施正常进行。</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服务质量标准：</w:t>
      </w:r>
      <w:r>
        <w:rPr>
          <w:rFonts w:hint="eastAsia" w:ascii="仿宋_GB2312" w:hAnsi="仿宋_GB2312" w:eastAsia="仿宋_GB2312" w:cs="仿宋_GB2312"/>
          <w:color w:val="auto"/>
          <w:sz w:val="24"/>
          <w:szCs w:val="24"/>
          <w:highlight w:val="none"/>
          <w:lang w:val="en-US" w:eastAsia="zh-CN"/>
        </w:rPr>
        <w:t>每8小时巡查1次并做好记录，若有紧急情况，采取应急处理并报采购人。</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（六）弱电系统管理维护</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服务内容：对大楼内综合布线、楼宇设备自控系统、安全防范系统、多功能会议系统、弱电机房、通信机房等进行日常</w:t>
      </w:r>
      <w:r>
        <w:rPr>
          <w:rFonts w:hint="eastAsia" w:ascii="仿宋_GB2312" w:hAnsi="仿宋_GB2312" w:eastAsia="仿宋_GB2312" w:cs="仿宋_GB2312"/>
          <w:color w:val="auto"/>
          <w:sz w:val="24"/>
          <w:szCs w:val="24"/>
          <w:highlight w:val="none"/>
          <w:lang w:val="en-US" w:eastAsia="zh-CN"/>
        </w:rPr>
        <w:t>巡查及紧急处理</w:t>
      </w:r>
      <w:r>
        <w:rPr>
          <w:rFonts w:hint="eastAsia" w:ascii="仿宋_GB2312" w:hAnsi="仿宋_GB2312" w:eastAsia="仿宋_GB2312" w:cs="仿宋_GB2312"/>
          <w:color w:val="auto"/>
          <w:sz w:val="24"/>
          <w:szCs w:val="24"/>
          <w:highlight w:val="none"/>
        </w:rPr>
        <w:t>，保持正常进行。</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服务</w:t>
      </w:r>
      <w:r>
        <w:rPr>
          <w:rFonts w:hint="eastAsia" w:ascii="仿宋_GB2312" w:hAnsi="仿宋_GB2312" w:eastAsia="仿宋_GB2312" w:cs="仿宋_GB2312"/>
          <w:color w:val="auto"/>
          <w:sz w:val="24"/>
          <w:szCs w:val="24"/>
          <w:highlight w:val="none"/>
          <w:lang w:eastAsia="zh-CN"/>
        </w:rPr>
        <w:t>质量</w:t>
      </w:r>
      <w:r>
        <w:rPr>
          <w:rFonts w:hint="eastAsia" w:ascii="仿宋_GB2312" w:hAnsi="仿宋_GB2312" w:eastAsia="仿宋_GB2312" w:cs="仿宋_GB2312"/>
          <w:color w:val="auto"/>
          <w:sz w:val="24"/>
          <w:szCs w:val="24"/>
          <w:highlight w:val="none"/>
        </w:rPr>
        <w:t>标准：</w:t>
      </w:r>
      <w:r>
        <w:rPr>
          <w:rFonts w:hint="eastAsia" w:ascii="仿宋_GB2312" w:hAnsi="仿宋_GB2312" w:eastAsia="仿宋_GB2312" w:cs="仿宋_GB2312"/>
          <w:color w:val="auto"/>
          <w:sz w:val="24"/>
          <w:szCs w:val="24"/>
          <w:highlight w:val="none"/>
          <w:lang w:val="en-US" w:eastAsia="zh-CN"/>
        </w:rPr>
        <w:t>每8小时巡查1次并做好记录，若有紧急情况，采取应急处理并报采购人。</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（七）房屋设施日常</w:t>
      </w:r>
      <w:r>
        <w:rPr>
          <w:rFonts w:hint="eastAsia" w:ascii="仿宋_GB2312" w:hAnsi="仿宋_GB2312" w:eastAsia="仿宋_GB2312" w:cs="仿宋_GB2312"/>
          <w:b/>
          <w:bCs/>
          <w:color w:val="auto"/>
          <w:sz w:val="24"/>
          <w:szCs w:val="24"/>
          <w:highlight w:val="none"/>
          <w:lang w:val="en-US" w:eastAsia="zh-CN"/>
        </w:rPr>
        <w:t>维护</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服务内容：办公楼（区）房屋地面、墙、台面及吊顶、门窗、楼梯、通风道、</w:t>
      </w:r>
      <w:r>
        <w:rPr>
          <w:rFonts w:hint="eastAsia" w:ascii="仿宋_GB2312" w:hAnsi="仿宋_GB2312" w:eastAsia="仿宋_GB2312" w:cs="仿宋_GB2312"/>
          <w:color w:val="auto"/>
          <w:sz w:val="24"/>
          <w:szCs w:val="24"/>
          <w:highlight w:val="none"/>
          <w:lang w:val="en-US" w:eastAsia="zh-CN"/>
        </w:rPr>
        <w:t>雨棚（</w:t>
      </w:r>
      <w:r>
        <w:rPr>
          <w:rFonts w:hint="eastAsia" w:ascii="仿宋_GB2312" w:hAnsi="仿宋_GB2312" w:eastAsia="仿宋_GB2312" w:cs="仿宋_GB2312"/>
          <w:color w:val="auto"/>
          <w:sz w:val="24"/>
          <w:szCs w:val="24"/>
          <w:highlight w:val="none"/>
        </w:rPr>
        <w:t>玻璃顶</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等的日常巡查和</w:t>
      </w:r>
      <w:r>
        <w:rPr>
          <w:rFonts w:hint="eastAsia" w:ascii="仿宋_GB2312" w:hAnsi="仿宋_GB2312" w:eastAsia="仿宋_GB2312" w:cs="仿宋_GB2312"/>
          <w:color w:val="auto"/>
          <w:sz w:val="24"/>
          <w:szCs w:val="24"/>
          <w:highlight w:val="none"/>
          <w:lang w:val="en-US" w:eastAsia="zh-CN"/>
        </w:rPr>
        <w:t>维护</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服务质量标准：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（1）确保大楼（区）房屋及设施的完好和正常使用。</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（2）玻璃无破裂，五金配件完好，门窗开闭灵活、密封性好、无异常声响。否则应</w:t>
      </w:r>
      <w:r>
        <w:rPr>
          <w:rFonts w:hint="eastAsia" w:ascii="仿宋_GB2312" w:hAnsi="仿宋_GB2312" w:eastAsia="仿宋_GB2312" w:cs="仿宋_GB2312"/>
          <w:color w:val="auto"/>
          <w:sz w:val="24"/>
          <w:szCs w:val="24"/>
          <w:highlight w:val="none"/>
          <w:lang w:val="en-US" w:eastAsia="zh-CN"/>
        </w:rPr>
        <w:t>立即报告采购人</w:t>
      </w:r>
      <w:r>
        <w:rPr>
          <w:rFonts w:hint="eastAsia" w:ascii="仿宋_GB2312" w:hAnsi="仿宋_GB2312" w:eastAsia="仿宋_GB2312" w:cs="仿宋_GB2312"/>
          <w:color w:val="auto"/>
          <w:sz w:val="24"/>
          <w:szCs w:val="24"/>
          <w:highlight w:val="none"/>
        </w:rPr>
        <w:t>，不能立即修复的涉及安全性的应采取措施消除安全隐患。</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（3）粉刷无明显剥落开裂，墙面砖、地坪、地砖、地板平整不起壳、无遗缺，否则</w:t>
      </w:r>
      <w:r>
        <w:rPr>
          <w:rFonts w:hint="eastAsia" w:ascii="仿宋_GB2312" w:hAnsi="仿宋_GB2312" w:eastAsia="仿宋_GB2312" w:cs="仿宋_GB2312"/>
          <w:color w:val="auto"/>
          <w:sz w:val="24"/>
          <w:szCs w:val="24"/>
          <w:highlight w:val="none"/>
          <w:lang w:eastAsia="zh-CN"/>
        </w:rPr>
        <w:t>立即</w:t>
      </w:r>
      <w:r>
        <w:rPr>
          <w:rFonts w:hint="eastAsia" w:ascii="仿宋_GB2312" w:hAnsi="仿宋_GB2312" w:eastAsia="仿宋_GB2312" w:cs="仿宋_GB2312"/>
          <w:color w:val="auto"/>
          <w:sz w:val="24"/>
          <w:szCs w:val="24"/>
          <w:highlight w:val="none"/>
          <w:lang w:val="en-US" w:eastAsia="zh-CN"/>
        </w:rPr>
        <w:t>报告采购人</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（4）屋面排水沟、室内室外排水管保障通畅</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雨前及时巡查，排除隐患。</w:t>
      </w:r>
      <w:r>
        <w:rPr>
          <w:rFonts w:hint="eastAsia" w:ascii="仿宋_GB2312" w:hAnsi="仿宋_GB2312" w:eastAsia="仿宋_GB2312" w:cs="仿宋_GB2312"/>
          <w:color w:val="auto"/>
          <w:sz w:val="24"/>
          <w:szCs w:val="24"/>
          <w:highlight w:val="none"/>
          <w:lang w:val="en-US" w:eastAsia="zh-CN"/>
        </w:rPr>
        <w:t>如</w:t>
      </w:r>
      <w:r>
        <w:rPr>
          <w:rFonts w:hint="eastAsia" w:ascii="仿宋_GB2312" w:hAnsi="仿宋_GB2312" w:eastAsia="仿宋_GB2312" w:cs="仿宋_GB2312"/>
          <w:color w:val="auto"/>
          <w:sz w:val="24"/>
          <w:szCs w:val="24"/>
          <w:highlight w:val="none"/>
        </w:rPr>
        <w:t>发现过滤网及管道破损</w:t>
      </w:r>
      <w:r>
        <w:rPr>
          <w:rFonts w:hint="eastAsia" w:ascii="仿宋_GB2312" w:hAnsi="仿宋_GB2312" w:eastAsia="仿宋_GB2312" w:cs="仿宋_GB2312"/>
          <w:color w:val="auto"/>
          <w:sz w:val="24"/>
          <w:szCs w:val="24"/>
          <w:highlight w:val="none"/>
          <w:lang w:eastAsia="zh-CN"/>
        </w:rPr>
        <w:t>立即</w:t>
      </w:r>
      <w:r>
        <w:rPr>
          <w:rFonts w:hint="eastAsia" w:ascii="仿宋_GB2312" w:hAnsi="仿宋_GB2312" w:eastAsia="仿宋_GB2312" w:cs="仿宋_GB2312"/>
          <w:color w:val="auto"/>
          <w:sz w:val="24"/>
          <w:szCs w:val="24"/>
          <w:highlight w:val="none"/>
          <w:lang w:val="en-US" w:eastAsia="zh-CN"/>
        </w:rPr>
        <w:t>报告采购人</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（5）发现屋面或其他防水层有气鼓、破裂，隔热板有断裂、缺损的，屋面、墙面有渗漏的，</w:t>
      </w:r>
      <w:r>
        <w:rPr>
          <w:rFonts w:hint="eastAsia" w:ascii="仿宋_GB2312" w:hAnsi="仿宋_GB2312" w:eastAsia="仿宋_GB2312" w:cs="仿宋_GB2312"/>
          <w:color w:val="auto"/>
          <w:sz w:val="24"/>
          <w:szCs w:val="24"/>
          <w:highlight w:val="none"/>
          <w:lang w:eastAsia="zh-CN"/>
        </w:rPr>
        <w:t>应立即</w:t>
      </w:r>
      <w:r>
        <w:rPr>
          <w:rFonts w:hint="eastAsia" w:ascii="仿宋_GB2312" w:hAnsi="仿宋_GB2312" w:eastAsia="仿宋_GB2312" w:cs="仿宋_GB2312"/>
          <w:color w:val="auto"/>
          <w:sz w:val="24"/>
          <w:szCs w:val="24"/>
          <w:highlight w:val="none"/>
          <w:lang w:val="en-US" w:eastAsia="zh-CN"/>
        </w:rPr>
        <w:t>报告采购人</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（八）电梯管理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服务内容：电梯日常管理。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服务质量标准：</w:t>
      </w:r>
    </w:p>
    <w:p>
      <w:pPr>
        <w:pStyle w:val="283"/>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（1）电梯的清洁保养，包括每日保洁，每周清洁、上光等。</w:t>
      </w:r>
    </w:p>
    <w:p>
      <w:pPr>
        <w:pStyle w:val="283"/>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（2）电梯发生一般故障时，应立即通知专业维保单位。发生电梯困人或其他重大事件时，应立即通知专业维保单位并在第一时间赶到现场，协助专业维保单位做好现场的应急处理工作。</w:t>
      </w:r>
    </w:p>
    <w:p>
      <w:pPr>
        <w:pStyle w:val="283"/>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做好电梯日常养护及年检工作，</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台电梯的年保养费用及年检费用</w:t>
      </w:r>
      <w:r>
        <w:rPr>
          <w:rFonts w:hint="eastAsia" w:ascii="仿宋_GB2312" w:hAnsi="仿宋_GB2312" w:eastAsia="仿宋_GB2312" w:cs="仿宋_GB2312"/>
          <w:color w:val="auto"/>
          <w:sz w:val="24"/>
          <w:szCs w:val="24"/>
          <w:highlight w:val="none"/>
          <w:lang w:val="en-US" w:eastAsia="zh-CN"/>
        </w:rPr>
        <w:t>包含在投标报价内</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（九）会务接待</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1.服务内容及相关要求：</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（1）协助</w:t>
      </w:r>
      <w:r>
        <w:rPr>
          <w:rFonts w:hint="eastAsia" w:ascii="仿宋_GB2312" w:hAnsi="仿宋_GB2312" w:eastAsia="仿宋_GB2312" w:cs="仿宋_GB2312"/>
          <w:color w:val="auto"/>
          <w:kern w:val="0"/>
          <w:sz w:val="24"/>
          <w:szCs w:val="24"/>
          <w:highlight w:val="none"/>
        </w:rPr>
        <w:t>做好引导接待、登记工作</w:t>
      </w:r>
      <w:r>
        <w:rPr>
          <w:rFonts w:hint="eastAsia" w:ascii="仿宋_GB2312" w:hAnsi="仿宋_GB2312" w:eastAsia="仿宋_GB2312" w:cs="仿宋_GB2312"/>
          <w:color w:val="auto"/>
          <w:kern w:val="0"/>
          <w:sz w:val="24"/>
          <w:szCs w:val="24"/>
          <w:highlight w:val="none"/>
          <w:lang w:val="en-US" w:eastAsia="zh-CN"/>
        </w:rPr>
        <w:t>。</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做好人员引导、</w:t>
      </w:r>
      <w:r>
        <w:rPr>
          <w:rFonts w:hint="eastAsia" w:ascii="仿宋_GB2312" w:hAnsi="仿宋_GB2312" w:eastAsia="仿宋_GB2312" w:cs="仿宋_GB2312"/>
          <w:color w:val="auto"/>
          <w:kern w:val="0"/>
          <w:sz w:val="24"/>
          <w:szCs w:val="24"/>
          <w:highlight w:val="none"/>
          <w:lang w:val="en-US" w:eastAsia="zh-CN"/>
        </w:rPr>
        <w:t>电梯</w:t>
      </w:r>
      <w:r>
        <w:rPr>
          <w:rFonts w:hint="eastAsia" w:ascii="仿宋_GB2312" w:hAnsi="仿宋_GB2312" w:eastAsia="仿宋_GB2312" w:cs="仿宋_GB2312"/>
          <w:color w:val="auto"/>
          <w:kern w:val="0"/>
          <w:sz w:val="24"/>
          <w:szCs w:val="24"/>
          <w:highlight w:val="none"/>
        </w:rPr>
        <w:t>接送等工作。</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会场布置</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席签、背景设置等</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、会议用品摆放、会间茶水、茶歇工作。</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zh-CN"/>
        </w:rPr>
        <w:t>（</w:t>
      </w:r>
      <w:r>
        <w:rPr>
          <w:rFonts w:hint="eastAsia" w:ascii="仿宋_GB2312" w:hAnsi="仿宋_GB2312" w:eastAsia="仿宋_GB2312" w:cs="仿宋_GB2312"/>
          <w:color w:val="auto"/>
          <w:kern w:val="0"/>
          <w:sz w:val="24"/>
          <w:szCs w:val="24"/>
          <w:highlight w:val="none"/>
          <w:lang w:val="en-US" w:eastAsia="zh-CN"/>
        </w:rPr>
        <w:t>4</w:t>
      </w:r>
      <w:r>
        <w:rPr>
          <w:rFonts w:hint="eastAsia" w:ascii="仿宋_GB2312" w:hAnsi="仿宋_GB2312" w:eastAsia="仿宋_GB2312" w:cs="仿宋_GB2312"/>
          <w:color w:val="auto"/>
          <w:kern w:val="0"/>
          <w:sz w:val="24"/>
          <w:szCs w:val="24"/>
          <w:highlight w:val="none"/>
          <w:lang w:val="zh-CN"/>
        </w:rPr>
        <w:t>）</w:t>
      </w:r>
      <w:r>
        <w:rPr>
          <w:rFonts w:hint="eastAsia" w:ascii="仿宋_GB2312" w:hAnsi="仿宋_GB2312" w:eastAsia="仿宋_GB2312" w:cs="仿宋_GB2312"/>
          <w:color w:val="auto"/>
          <w:kern w:val="0"/>
          <w:sz w:val="24"/>
          <w:szCs w:val="24"/>
          <w:highlight w:val="none"/>
          <w:lang w:val="en-US" w:eastAsia="zh-CN"/>
        </w:rPr>
        <w:t>会务人员应</w:t>
      </w:r>
      <w:r>
        <w:rPr>
          <w:rFonts w:hint="eastAsia" w:ascii="仿宋_GB2312" w:hAnsi="仿宋_GB2312" w:eastAsia="仿宋_GB2312" w:cs="仿宋_GB2312"/>
          <w:color w:val="auto"/>
          <w:kern w:val="0"/>
          <w:sz w:val="24"/>
          <w:szCs w:val="24"/>
          <w:highlight w:val="none"/>
          <w:lang w:val="zh-CN"/>
        </w:rPr>
        <w:t>具备熟练的电脑、多媒体、音响设备操作技能，</w:t>
      </w:r>
      <w:r>
        <w:rPr>
          <w:rFonts w:hint="eastAsia" w:ascii="仿宋_GB2312" w:hAnsi="仿宋_GB2312" w:eastAsia="仿宋_GB2312" w:cs="仿宋_GB2312"/>
          <w:color w:val="auto"/>
          <w:kern w:val="0"/>
          <w:sz w:val="24"/>
          <w:szCs w:val="24"/>
          <w:highlight w:val="none"/>
        </w:rPr>
        <w:t>确保会务顺利进行，同时在会议服务时要做好相关的保密工作。</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会务人员在开启会议室电脑时，禁止非法复制、录音等，禁止在私人交往和通信中涉及国家秘密。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（十）消防管理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服务内容：消防设施设备日常管理。</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服务质量标准：</w:t>
      </w:r>
    </w:p>
    <w:p>
      <w:pPr>
        <w:pStyle w:val="283"/>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（1）消防设施设备的保养，包括日常的巡检、保养等。</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（2）建立运行安全管理制度，确保消防系统的正常运行。</w:t>
      </w:r>
    </w:p>
    <w:p>
      <w:pPr>
        <w:pStyle w:val="283"/>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（3）消防系统发生一般故障时，应立即通知专业维保单位，并在第一时间做好应急处理工作。</w:t>
      </w:r>
    </w:p>
    <w:p>
      <w:pPr>
        <w:pStyle w:val="283"/>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做好消防设施日常养护及年检工作，消防设备、远程监控保养费用及消防安全评估、设施检测等年检费用</w:t>
      </w:r>
      <w:r>
        <w:rPr>
          <w:rFonts w:hint="eastAsia" w:ascii="仿宋_GB2312" w:hAnsi="仿宋_GB2312" w:eastAsia="仿宋_GB2312" w:cs="仿宋_GB2312"/>
          <w:color w:val="auto"/>
          <w:sz w:val="24"/>
          <w:szCs w:val="24"/>
          <w:highlight w:val="none"/>
          <w:lang w:val="en-US" w:eastAsia="zh-CN"/>
        </w:rPr>
        <w:t>均包含在投标报价内</w:t>
      </w:r>
      <w:r>
        <w:rPr>
          <w:rFonts w:hint="eastAsia" w:ascii="仿宋_GB2312" w:hAnsi="仿宋_GB2312" w:eastAsia="仿宋_GB2312" w:cs="仿宋_GB2312"/>
          <w:color w:val="auto"/>
          <w:sz w:val="24"/>
          <w:szCs w:val="24"/>
          <w:highlight w:val="none"/>
          <w:lang w:eastAsia="zh-CN"/>
        </w:rPr>
        <w:t>。</w:t>
      </w:r>
    </w:p>
    <w:p>
      <w:pPr>
        <w:pStyle w:val="34"/>
        <w:keepNext w:val="0"/>
        <w:keepLines w:val="0"/>
        <w:pageBreakBefore w:val="0"/>
        <w:kinsoku/>
        <w:wordWrap/>
        <w:overflowPunct/>
        <w:topLinePunct w:val="0"/>
        <w:autoSpaceDE/>
        <w:autoSpaceDN/>
        <w:bidi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rPr>
        <w:t>、管理及服务人员要求</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人员配置要求</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人员配置不少于9人（均要求全职），在符合国家有关规定的前提下，不同工种允许兼职。其中：项目经理1人，会务人员1人，消控员1人、保安</w:t>
      </w:r>
      <w:r>
        <w:rPr>
          <w:rFonts w:hint="eastAsia" w:ascii="仿宋_GB2312" w:hAnsi="仿宋_GB2312" w:eastAsia="仿宋_GB2312" w:cs="仿宋_GB2312"/>
          <w:sz w:val="24"/>
          <w:szCs w:val="24"/>
          <w:lang w:val="en-US" w:eastAsia="zh-CN"/>
        </w:rPr>
        <w:t>员</w:t>
      </w:r>
      <w:r>
        <w:rPr>
          <w:rFonts w:hint="eastAsia" w:ascii="仿宋_GB2312" w:hAnsi="仿宋_GB2312" w:eastAsia="仿宋_GB2312" w:cs="仿宋_GB2312"/>
          <w:color w:val="auto"/>
          <w:kern w:val="2"/>
          <w:sz w:val="24"/>
          <w:szCs w:val="24"/>
          <w:highlight w:val="none"/>
          <w:lang w:val="en-US" w:eastAsia="zh-CN" w:bidi="ar-SA"/>
        </w:rPr>
        <w:t>1人，保洁员3人，维修人员1人，绿化工1人。拟派人员名单，未经采购人书面同意，中标人不得随意变更。</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部分人员具体要求</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（1）项目经理1人：具有大专及以上学历，</w:t>
      </w:r>
      <w:r>
        <w:rPr>
          <w:rFonts w:hint="eastAsia" w:ascii="仿宋_GB2312" w:hAnsi="仿宋_GB2312" w:eastAsia="仿宋_GB2312" w:cs="仿宋_GB2312"/>
          <w:color w:val="auto"/>
          <w:sz w:val="24"/>
          <w:szCs w:val="24"/>
          <w:highlight w:val="none"/>
        </w:rPr>
        <w:t>55</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岁以下</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需</w:t>
      </w:r>
      <w:r>
        <w:rPr>
          <w:rFonts w:hint="eastAsia" w:ascii="仿宋_GB2312" w:hAnsi="仿宋_GB2312" w:eastAsia="仿宋_GB2312" w:cs="仿宋_GB2312"/>
          <w:color w:val="auto"/>
          <w:sz w:val="24"/>
          <w:szCs w:val="24"/>
          <w:highlight w:val="none"/>
          <w:lang w:eastAsia="zh-CN"/>
        </w:rPr>
        <w:t>持有人社部门颁发的高级工程师及以上职称证书、市场监督管理部门颁发的安全管理和作业人员证（电梯修理T）</w:t>
      </w:r>
      <w:r>
        <w:rPr>
          <w:rFonts w:hint="eastAsia" w:ascii="仿宋_GB2312" w:hAnsi="仿宋_GB2312" w:eastAsia="仿宋_GB2312" w:cs="仿宋_GB2312"/>
          <w:color w:val="auto"/>
          <w:sz w:val="24"/>
          <w:szCs w:val="24"/>
          <w:highlight w:val="none"/>
          <w:lang w:val="en-US" w:eastAsia="zh-CN"/>
        </w:rPr>
        <w:t>以及</w:t>
      </w:r>
      <w:r>
        <w:rPr>
          <w:rFonts w:hint="eastAsia" w:ascii="仿宋_GB2312" w:hAnsi="仿宋_GB2312" w:eastAsia="仿宋_GB2312" w:cs="仿宋_GB2312"/>
          <w:color w:val="auto"/>
          <w:sz w:val="24"/>
          <w:szCs w:val="24"/>
          <w:highlight w:val="none"/>
          <w:lang w:eastAsia="zh-CN"/>
        </w:rPr>
        <w:t>人社部门颁发或认可的建（构）筑物消防员证书或消防设施操作员证书。</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）会务</w:t>
      </w:r>
      <w:r>
        <w:rPr>
          <w:rFonts w:hint="eastAsia" w:ascii="仿宋_GB2312" w:hAnsi="仿宋_GB2312" w:eastAsia="仿宋_GB2312" w:cs="仿宋_GB2312"/>
          <w:color w:val="auto"/>
          <w:sz w:val="24"/>
          <w:szCs w:val="24"/>
          <w:highlight w:val="none"/>
          <w:lang w:val="en-US" w:eastAsia="zh-CN"/>
        </w:rPr>
        <w:t>人员</w:t>
      </w:r>
      <w:r>
        <w:rPr>
          <w:rFonts w:hint="eastAsia" w:ascii="仿宋_GB2312" w:hAnsi="仿宋_GB2312" w:eastAsia="仿宋_GB2312" w:cs="仿宋_GB2312"/>
          <w:color w:val="auto"/>
          <w:sz w:val="24"/>
          <w:szCs w:val="24"/>
          <w:highlight w:val="none"/>
          <w:lang w:val="zh-CN"/>
        </w:rPr>
        <w:t>：女性，18-</w:t>
      </w:r>
      <w:r>
        <w:rPr>
          <w:rFonts w:hint="eastAsia" w:ascii="仿宋_GB2312" w:hAnsi="仿宋_GB2312" w:eastAsia="仿宋_GB2312" w:cs="仿宋_GB2312"/>
          <w:color w:val="auto"/>
          <w:sz w:val="24"/>
          <w:szCs w:val="24"/>
          <w:highlight w:val="none"/>
        </w:rPr>
        <w:t>45</w:t>
      </w:r>
      <w:r>
        <w:rPr>
          <w:rFonts w:hint="eastAsia" w:ascii="仿宋_GB2312" w:hAnsi="仿宋_GB2312" w:eastAsia="仿宋_GB2312" w:cs="仿宋_GB2312"/>
          <w:color w:val="auto"/>
          <w:sz w:val="24"/>
          <w:szCs w:val="24"/>
          <w:highlight w:val="none"/>
          <w:lang w:val="zh-CN"/>
        </w:rPr>
        <w:t>周岁，</w:t>
      </w:r>
      <w:r>
        <w:rPr>
          <w:rFonts w:hint="eastAsia" w:ascii="仿宋_GB2312" w:hAnsi="仿宋_GB2312" w:eastAsia="仿宋_GB2312" w:cs="仿宋_GB2312"/>
          <w:color w:val="auto"/>
          <w:kern w:val="2"/>
          <w:sz w:val="24"/>
          <w:szCs w:val="24"/>
          <w:highlight w:val="none"/>
          <w:lang w:val="en-US" w:eastAsia="zh-CN" w:bidi="ar-SA"/>
        </w:rPr>
        <w:t>具有大专及以上学历；</w:t>
      </w:r>
      <w:r>
        <w:rPr>
          <w:rFonts w:hint="eastAsia" w:ascii="仿宋_GB2312" w:hAnsi="仿宋_GB2312" w:eastAsia="仿宋_GB2312" w:cs="仿宋_GB2312"/>
          <w:color w:val="auto"/>
          <w:sz w:val="24"/>
          <w:szCs w:val="24"/>
          <w:highlight w:val="none"/>
          <w:lang w:val="zh-CN"/>
        </w:rPr>
        <w:t>身高160cm以上，体貌端庄，统一着装，佩戴胸牌；微笑服务，举止文明得体。</w:t>
      </w:r>
    </w:p>
    <w:p>
      <w:pPr>
        <w:numPr>
          <w:ilvl w:val="0"/>
          <w:numId w:val="0"/>
        </w:numPr>
        <w:spacing w:line="300" w:lineRule="auto"/>
        <w:ind w:firstLine="480" w:firstLineChars="200"/>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）保安员：55</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岁以下男性，初中以上文化程度，身高16</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cm以上</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val="0"/>
          <w:bCs/>
          <w:iCs/>
          <w:color w:val="auto"/>
          <w:sz w:val="24"/>
          <w:szCs w:val="24"/>
          <w:lang w:val="en-US" w:eastAsia="zh-CN"/>
        </w:rPr>
        <w:t>需</w:t>
      </w:r>
      <w:r>
        <w:rPr>
          <w:rFonts w:hint="eastAsia" w:ascii="仿宋_GB2312" w:hAnsi="仿宋_GB2312" w:eastAsia="仿宋_GB2312" w:cs="仿宋_GB2312"/>
          <w:b w:val="0"/>
          <w:bCs/>
          <w:iCs/>
          <w:color w:val="auto"/>
          <w:sz w:val="24"/>
          <w:szCs w:val="24"/>
        </w:rPr>
        <w:t>持有公安部门或人社部门颁发的保安员证书</w:t>
      </w:r>
      <w:r>
        <w:rPr>
          <w:rFonts w:hint="eastAsia" w:ascii="仿宋_GB2312" w:hAnsi="仿宋_GB2312" w:eastAsia="仿宋_GB2312" w:cs="仿宋_GB2312"/>
          <w:b w:val="0"/>
          <w:bCs/>
          <w:color w:val="auto"/>
          <w:kern w:val="2"/>
          <w:sz w:val="24"/>
          <w:szCs w:val="24"/>
          <w:highlight w:val="none"/>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）消</w:t>
      </w:r>
      <w:r>
        <w:rPr>
          <w:rFonts w:hint="eastAsia" w:ascii="仿宋_GB2312" w:hAnsi="仿宋_GB2312" w:eastAsia="仿宋_GB2312" w:cs="仿宋_GB2312"/>
          <w:color w:val="auto"/>
          <w:sz w:val="24"/>
          <w:szCs w:val="24"/>
          <w:highlight w:val="none"/>
          <w:lang w:val="en-US" w:eastAsia="zh-CN"/>
        </w:rPr>
        <w:t>控员</w:t>
      </w:r>
      <w:r>
        <w:rPr>
          <w:rFonts w:hint="eastAsia" w:ascii="仿宋_GB2312" w:hAnsi="仿宋_GB2312" w:eastAsia="仿宋_GB2312" w:cs="仿宋_GB2312"/>
          <w:color w:val="auto"/>
          <w:sz w:val="24"/>
          <w:szCs w:val="24"/>
          <w:highlight w:val="none"/>
        </w:rPr>
        <w:t>：55</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岁以下，初中以上文化程度，身高16</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cm以上</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需</w:t>
      </w:r>
      <w:r>
        <w:rPr>
          <w:rFonts w:hint="eastAsia" w:ascii="仿宋_GB2312" w:hAnsi="仿宋_GB2312" w:eastAsia="仿宋_GB2312" w:cs="仿宋_GB2312"/>
          <w:b w:val="0"/>
          <w:bCs/>
          <w:color w:val="auto"/>
          <w:sz w:val="24"/>
          <w:szCs w:val="24"/>
          <w:highlight w:val="none"/>
        </w:rPr>
        <w:t>持有人社部门颁发或认可的建（构）筑物消防员证书或消防设施操作员证书</w:t>
      </w:r>
      <w:r>
        <w:rPr>
          <w:rFonts w:hint="eastAsia" w:ascii="仿宋_GB2312" w:hAnsi="仿宋_GB2312" w:eastAsia="仿宋_GB2312" w:cs="仿宋_GB2312"/>
          <w:b w:val="0"/>
          <w:bCs/>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）保洁员：</w:t>
      </w:r>
      <w:r>
        <w:rPr>
          <w:rFonts w:hint="eastAsia" w:ascii="仿宋_GB2312" w:hAnsi="仿宋_GB2312" w:eastAsia="仿宋_GB2312" w:cs="仿宋_GB2312"/>
          <w:color w:val="auto"/>
          <w:sz w:val="24"/>
          <w:szCs w:val="24"/>
          <w:highlight w:val="none"/>
          <w:lang w:val="en-US" w:eastAsia="zh-CN"/>
        </w:rPr>
        <w:t>原则上60周</w:t>
      </w:r>
      <w:r>
        <w:rPr>
          <w:rFonts w:hint="eastAsia" w:ascii="仿宋_GB2312" w:hAnsi="仿宋_GB2312" w:eastAsia="仿宋_GB2312" w:cs="仿宋_GB2312"/>
          <w:color w:val="auto"/>
          <w:sz w:val="24"/>
          <w:szCs w:val="24"/>
          <w:highlight w:val="none"/>
        </w:rPr>
        <w:t>岁以下，小学及以上学历</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以上人员要求政治上可靠，遵纪守法，敬业爱岗，身体素质好，无不良行为记录，知晓本岗位的服务礼仪。</w:t>
      </w:r>
      <w:r>
        <w:rPr>
          <w:rFonts w:hint="eastAsia" w:ascii="仿宋_GB2312" w:hAnsi="仿宋_GB2312" w:eastAsia="仿宋_GB2312" w:cs="仿宋_GB2312"/>
          <w:color w:val="auto"/>
          <w:kern w:val="0"/>
          <w:sz w:val="24"/>
          <w:szCs w:val="24"/>
          <w:highlight w:val="none"/>
        </w:rPr>
        <w:t>对于可能涉及的相关涉密人员上岗应当经过保密教育培训，掌握保密知识技能，签订保密承诺书，严格遵守保密规章制度，不得以任何方式泄露秘密。</w:t>
      </w:r>
    </w:p>
    <w:p>
      <w:pPr>
        <w:pStyle w:val="34"/>
        <w:keepNext w:val="0"/>
        <w:keepLines w:val="0"/>
        <w:pageBreakBefore w:val="0"/>
        <w:kinsoku/>
        <w:wordWrap/>
        <w:overflowPunct/>
        <w:topLinePunct w:val="0"/>
        <w:autoSpaceDE/>
        <w:autoSpaceDN/>
        <w:bidi w:val="0"/>
        <w:spacing w:line="300" w:lineRule="auto"/>
        <w:ind w:left="0" w:leftChars="0" w:right="0" w:rightChars="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其他</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本项目</w:t>
      </w:r>
      <w:r>
        <w:rPr>
          <w:rFonts w:hint="eastAsia" w:ascii="仿宋_GB2312" w:hAnsi="仿宋_GB2312" w:eastAsia="仿宋_GB2312" w:cs="仿宋_GB2312"/>
          <w:color w:val="auto"/>
          <w:sz w:val="24"/>
          <w:szCs w:val="24"/>
          <w:highlight w:val="none"/>
        </w:rPr>
        <w:t>所需的各类服装、工具、部分材料</w:t>
      </w:r>
      <w:r>
        <w:rPr>
          <w:rFonts w:hint="eastAsia" w:ascii="仿宋_GB2312" w:hAnsi="仿宋_GB2312" w:eastAsia="仿宋_GB2312" w:cs="仿宋_GB2312"/>
          <w:color w:val="auto"/>
          <w:sz w:val="24"/>
          <w:szCs w:val="24"/>
          <w:highlight w:val="none"/>
          <w:lang w:val="en-US" w:eastAsia="zh-CN"/>
        </w:rPr>
        <w:t>等费用包含在投标报价内</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制定和落实与本</w:t>
      </w:r>
      <w:r>
        <w:rPr>
          <w:rFonts w:hint="eastAsia" w:ascii="仿宋_GB2312" w:hAnsi="仿宋_GB2312" w:eastAsia="仿宋_GB2312" w:cs="仿宋_GB2312"/>
          <w:color w:val="auto"/>
          <w:sz w:val="24"/>
          <w:szCs w:val="24"/>
          <w:highlight w:val="none"/>
          <w:lang w:val="en-US" w:eastAsia="zh-CN"/>
        </w:rPr>
        <w:t>项目</w:t>
      </w:r>
      <w:r>
        <w:rPr>
          <w:rFonts w:hint="eastAsia" w:ascii="仿宋_GB2312" w:hAnsi="仿宋_GB2312" w:eastAsia="仿宋_GB2312" w:cs="仿宋_GB2312"/>
          <w:color w:val="auto"/>
          <w:sz w:val="24"/>
          <w:szCs w:val="24"/>
          <w:highlight w:val="none"/>
        </w:rPr>
        <w:t>相对应的服务质量考核标准，实现目标管理。</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3.人员设置：投标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根据实际情况，列出用工计划，用工人数, 中标后按计划到岗到位。</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val="en-US" w:eastAsia="zh-CN"/>
        </w:rPr>
        <w:t>服务期限：</w:t>
      </w:r>
      <w:r>
        <w:rPr>
          <w:rFonts w:hint="eastAsia" w:ascii="仿宋_GB2312" w:hAnsi="仿宋_GB2312" w:eastAsia="仿宋_GB2312" w:cs="仿宋_GB2312"/>
          <w:color w:val="auto"/>
          <w:sz w:val="24"/>
          <w:szCs w:val="24"/>
          <w:highlight w:val="none"/>
        </w:rPr>
        <w:t>202</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年1月1日至202</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年12月31日</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所提供的必须是合法的服务，并能确保在中标合同有效期内按照合同规定的要求和标准提供规范的管理服务。</w:t>
      </w:r>
    </w:p>
    <w:p>
      <w:pPr>
        <w:pStyle w:val="34"/>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6.中标人拟派人员与采购人不存在任何劳动法律关系，中标人拟派人员的劳务纠纷、疾病、事故等均由中标人处理和承担。</w:t>
      </w:r>
    </w:p>
    <w:p>
      <w:pPr>
        <w:keepNext w:val="0"/>
        <w:keepLines w:val="0"/>
        <w:pageBreakBefore w:val="0"/>
        <w:kinsoku/>
        <w:wordWrap/>
        <w:overflowPunct/>
        <w:topLinePunct w:val="0"/>
        <w:autoSpaceDE/>
        <w:autoSpaceDN/>
        <w:bidi w:val="0"/>
        <w:spacing w:line="300" w:lineRule="auto"/>
        <w:ind w:left="0" w:leftChars="0" w:right="0" w:rightChars="0"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六、</w:t>
      </w:r>
      <w:r>
        <w:rPr>
          <w:rFonts w:hint="eastAsia" w:ascii="仿宋_GB2312" w:hAnsi="仿宋_GB2312" w:eastAsia="仿宋_GB2312" w:cs="仿宋_GB2312"/>
          <w:b/>
          <w:color w:val="auto"/>
          <w:sz w:val="24"/>
          <w:szCs w:val="24"/>
          <w:highlight w:val="none"/>
        </w:rPr>
        <w:t>付款方式</w:t>
      </w:r>
    </w:p>
    <w:p>
      <w:pPr>
        <w:keepNext w:val="0"/>
        <w:keepLines w:val="0"/>
        <w:pageBreakBefore w:val="0"/>
        <w:kinsoku/>
        <w:wordWrap/>
        <w:overflowPunct/>
        <w:topLinePunct w:val="0"/>
        <w:autoSpaceDE/>
        <w:autoSpaceDN/>
        <w:bidi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按《浙江省财政厅关于进一步发挥政府采购政策 功能全力推动经济稳进提质的通知》（浙财采监〔2022〕3号）等文件要求执行，具体付款方式由双方协商后在合同中明确。</w:t>
      </w:r>
    </w:p>
    <w:p>
      <w:pPr>
        <w:keepNext w:val="0"/>
        <w:keepLines w:val="0"/>
        <w:pageBreakBefore w:val="0"/>
        <w:kinsoku/>
        <w:wordWrap/>
        <w:overflowPunct/>
        <w:topLinePunct w:val="0"/>
        <w:autoSpaceDE/>
        <w:autoSpaceDN/>
        <w:bidi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根据采购</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有关物业的考核规定按月度进行考核，每季度季末综合月度考核情况按季度支付中标人相关物业费用</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wordWrap/>
        <w:overflowPunct/>
        <w:topLinePunct w:val="0"/>
        <w:autoSpaceDE/>
        <w:autoSpaceDN/>
        <w:bidi w:val="0"/>
        <w:spacing w:line="300" w:lineRule="auto"/>
        <w:ind w:left="0" w:leftChars="0" w:right="0" w:rightChars="0"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七、</w:t>
      </w:r>
      <w:r>
        <w:rPr>
          <w:rFonts w:hint="eastAsia" w:ascii="仿宋_GB2312" w:hAnsi="仿宋_GB2312" w:eastAsia="仿宋_GB2312" w:cs="仿宋_GB2312"/>
          <w:b/>
          <w:color w:val="auto"/>
          <w:sz w:val="24"/>
          <w:szCs w:val="24"/>
          <w:highlight w:val="none"/>
        </w:rPr>
        <w:t>考核办法</w:t>
      </w:r>
    </w:p>
    <w:p>
      <w:pPr>
        <w:keepNext w:val="0"/>
        <w:keepLines w:val="0"/>
        <w:pageBreakBefore w:val="0"/>
        <w:kinsoku/>
        <w:wordWrap/>
        <w:overflowPunct/>
        <w:topLinePunct w:val="0"/>
        <w:autoSpaceDE/>
        <w:autoSpaceDN/>
        <w:bidi w:val="0"/>
        <w:spacing w:line="300" w:lineRule="auto"/>
        <w:ind w:left="0" w:leftChars="0" w:right="0" w:rightChars="0" w:firstLine="482" w:firstLineChars="200"/>
        <w:jc w:val="center"/>
        <w:textAlignment w:val="auto"/>
        <w:rPr>
          <w:rFonts w:hint="eastAsia" w:ascii="仿宋_GB2312" w:hAnsi="仿宋_GB2312" w:eastAsia="仿宋_GB2312" w:cs="仿宋_GB2312"/>
          <w:b/>
          <w:bCs/>
          <w:color w:val="auto"/>
          <w:sz w:val="24"/>
          <w:szCs w:val="24"/>
          <w:highlight w:val="none"/>
          <w:lang w:val="en-US" w:eastAsia="zh-CN"/>
        </w:rPr>
      </w:pPr>
    </w:p>
    <w:p>
      <w:pPr>
        <w:keepNext w:val="0"/>
        <w:keepLines w:val="0"/>
        <w:pageBreakBefore w:val="0"/>
        <w:kinsoku/>
        <w:wordWrap/>
        <w:overflowPunct/>
        <w:topLinePunct w:val="0"/>
        <w:autoSpaceDE/>
        <w:autoSpaceDN/>
        <w:bidi w:val="0"/>
        <w:spacing w:line="300" w:lineRule="auto"/>
        <w:ind w:left="0" w:leftChars="0" w:right="0" w:rightChars="0" w:firstLine="482"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绍兴市食药检院</w:t>
      </w:r>
      <w:r>
        <w:rPr>
          <w:rFonts w:hint="eastAsia" w:ascii="仿宋_GB2312" w:hAnsi="仿宋_GB2312" w:eastAsia="仿宋_GB2312" w:cs="仿宋_GB2312"/>
          <w:b/>
          <w:bCs/>
          <w:color w:val="auto"/>
          <w:sz w:val="24"/>
          <w:szCs w:val="24"/>
          <w:highlight w:val="none"/>
        </w:rPr>
        <w:t>物业服务考核办法</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为规范物业考核工作，促使大楼物业星级化，使之工作质量与服务报酬按合同要求相一致，特制订</w:t>
      </w:r>
      <w:r>
        <w:rPr>
          <w:rFonts w:hint="eastAsia" w:ascii="仿宋_GB2312" w:hAnsi="仿宋_GB2312" w:eastAsia="仿宋_GB2312" w:cs="仿宋_GB2312"/>
          <w:color w:val="auto"/>
          <w:sz w:val="24"/>
          <w:szCs w:val="24"/>
          <w:highlight w:val="none"/>
          <w:lang w:val="en-US" w:eastAsia="zh-CN"/>
        </w:rPr>
        <w:t>市食药检院</w:t>
      </w:r>
      <w:r>
        <w:rPr>
          <w:rFonts w:hint="eastAsia" w:ascii="仿宋_GB2312" w:hAnsi="仿宋_GB2312" w:eastAsia="仿宋_GB2312" w:cs="仿宋_GB2312"/>
          <w:color w:val="auto"/>
          <w:sz w:val="24"/>
          <w:szCs w:val="24"/>
          <w:highlight w:val="none"/>
        </w:rPr>
        <w:t>物业服务考核方法。</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1．由采购人考核小组根据平时督查结果负责日常考核工作。</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2．每</w:t>
      </w:r>
      <w:r>
        <w:rPr>
          <w:rFonts w:hint="eastAsia" w:ascii="仿宋_GB2312" w:hAnsi="仿宋_GB2312" w:eastAsia="仿宋_GB2312" w:cs="仿宋_GB2312"/>
          <w:color w:val="auto"/>
          <w:sz w:val="24"/>
          <w:szCs w:val="24"/>
          <w:highlight w:val="none"/>
          <w:lang w:val="en-US" w:eastAsia="zh-CN"/>
        </w:rPr>
        <w:t>季度</w:t>
      </w:r>
      <w:r>
        <w:rPr>
          <w:rFonts w:hint="eastAsia" w:ascii="仿宋_GB2312" w:hAnsi="仿宋_GB2312" w:eastAsia="仿宋_GB2312" w:cs="仿宋_GB2312"/>
          <w:color w:val="auto"/>
          <w:sz w:val="24"/>
          <w:szCs w:val="24"/>
          <w:highlight w:val="none"/>
        </w:rPr>
        <w:t>对投标人进行一次考核，以书面形式通知</w:t>
      </w:r>
      <w:r>
        <w:rPr>
          <w:rFonts w:hint="eastAsia" w:ascii="仿宋_GB2312" w:hAnsi="仿宋_GB2312" w:eastAsia="仿宋_GB2312" w:cs="仿宋_GB2312"/>
          <w:color w:val="auto"/>
          <w:sz w:val="24"/>
          <w:szCs w:val="24"/>
          <w:highlight w:val="none"/>
          <w:lang w:val="en-US" w:eastAsia="zh-CN"/>
        </w:rPr>
        <w:t>物业</w:t>
      </w:r>
      <w:r>
        <w:rPr>
          <w:rFonts w:hint="eastAsia" w:ascii="仿宋_GB2312" w:hAnsi="仿宋_GB2312" w:eastAsia="仿宋_GB2312" w:cs="仿宋_GB2312"/>
          <w:color w:val="auto"/>
          <w:sz w:val="24"/>
          <w:szCs w:val="24"/>
          <w:highlight w:val="none"/>
        </w:rPr>
        <w:t>公司。</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3．考核内容，严格对照物业各个项目，并按具体物业要求认真考核。</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4．考核标准：物业服务考核分为100分，其中:整体管理（</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分）；保安管理（30分）；保洁管理（30分）；</w:t>
      </w:r>
      <w:r>
        <w:rPr>
          <w:rFonts w:hint="eastAsia" w:ascii="仿宋_GB2312" w:hAnsi="仿宋_GB2312" w:eastAsia="仿宋_GB2312" w:cs="仿宋_GB2312"/>
          <w:color w:val="auto"/>
          <w:sz w:val="24"/>
          <w:szCs w:val="24"/>
          <w:highlight w:val="none"/>
          <w:lang w:val="en-US" w:eastAsia="zh-CN"/>
        </w:rPr>
        <w:t>其他</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另设置加减分项</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snapToGrid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季度</w:t>
      </w:r>
      <w:r>
        <w:rPr>
          <w:rFonts w:hint="eastAsia" w:ascii="仿宋_GB2312" w:hAnsi="仿宋_GB2312" w:eastAsia="仿宋_GB2312" w:cs="仿宋_GB2312"/>
          <w:color w:val="auto"/>
          <w:sz w:val="24"/>
          <w:szCs w:val="24"/>
          <w:highlight w:val="none"/>
        </w:rPr>
        <w:t>考核分95分（含）及以上得全额合同款；</w:t>
      </w:r>
      <w:r>
        <w:rPr>
          <w:rFonts w:hint="eastAsia" w:ascii="仿宋_GB2312" w:hAnsi="仿宋_GB2312" w:eastAsia="仿宋_GB2312" w:cs="仿宋_GB2312"/>
          <w:color w:val="auto"/>
          <w:sz w:val="24"/>
          <w:szCs w:val="24"/>
          <w:highlight w:val="none"/>
          <w:lang w:val="en-US" w:eastAsia="zh-CN"/>
        </w:rPr>
        <w:t>季度</w:t>
      </w:r>
      <w:r>
        <w:rPr>
          <w:rFonts w:hint="eastAsia" w:ascii="仿宋_GB2312" w:hAnsi="仿宋_GB2312" w:eastAsia="仿宋_GB2312" w:cs="仿宋_GB2312"/>
          <w:color w:val="auto"/>
          <w:sz w:val="24"/>
          <w:szCs w:val="24"/>
          <w:highlight w:val="none"/>
        </w:rPr>
        <w:t>考核分介于95分至8</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分（含）的，每分扣500元；</w:t>
      </w:r>
      <w:r>
        <w:rPr>
          <w:rFonts w:hint="eastAsia" w:ascii="仿宋_GB2312" w:hAnsi="仿宋_GB2312" w:eastAsia="仿宋_GB2312" w:cs="仿宋_GB2312"/>
          <w:color w:val="auto"/>
          <w:sz w:val="24"/>
          <w:szCs w:val="24"/>
          <w:highlight w:val="none"/>
          <w:lang w:val="en-US" w:eastAsia="zh-CN"/>
        </w:rPr>
        <w:t>季度</w:t>
      </w:r>
      <w:r>
        <w:rPr>
          <w:rFonts w:hint="eastAsia" w:ascii="仿宋_GB2312" w:hAnsi="仿宋_GB2312" w:eastAsia="仿宋_GB2312" w:cs="仿宋_GB2312"/>
          <w:color w:val="auto"/>
          <w:sz w:val="24"/>
          <w:szCs w:val="24"/>
          <w:highlight w:val="none"/>
        </w:rPr>
        <w:t>考核分低于8</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不含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kern w:val="0"/>
          <w:sz w:val="24"/>
          <w:szCs w:val="24"/>
          <w:highlight w:val="none"/>
          <w:lang w:val="en-US" w:eastAsia="zh-CN"/>
        </w:rPr>
        <w:t>终</w:t>
      </w:r>
      <w:r>
        <w:rPr>
          <w:rFonts w:hint="eastAsia" w:ascii="仿宋_GB2312" w:hAnsi="仿宋_GB2312" w:eastAsia="仿宋_GB2312" w:cs="仿宋_GB2312"/>
          <w:color w:val="auto"/>
          <w:kern w:val="0"/>
          <w:sz w:val="24"/>
          <w:szCs w:val="24"/>
          <w:highlight w:val="none"/>
        </w:rPr>
        <w:t>止</w:t>
      </w:r>
      <w:r>
        <w:rPr>
          <w:rFonts w:hint="eastAsia" w:ascii="仿宋_GB2312" w:hAnsi="仿宋_GB2312" w:eastAsia="仿宋_GB2312" w:cs="仿宋_GB2312"/>
          <w:color w:val="auto"/>
          <w:sz w:val="24"/>
          <w:szCs w:val="24"/>
          <w:highlight w:val="none"/>
          <w:lang w:val="en-US" w:eastAsia="zh-CN"/>
        </w:rPr>
        <w:t>合同，</w:t>
      </w:r>
      <w:r>
        <w:rPr>
          <w:rFonts w:hint="eastAsia" w:ascii="仿宋_GB2312" w:hAnsi="仿宋_GB2312" w:eastAsia="仿宋_GB2312" w:cs="仿宋_GB2312"/>
          <w:color w:val="auto"/>
          <w:sz w:val="24"/>
          <w:szCs w:val="24"/>
          <w:highlight w:val="none"/>
        </w:rPr>
        <w:t>服务报酬</w:t>
      </w:r>
      <w:r>
        <w:rPr>
          <w:rFonts w:hint="eastAsia" w:ascii="仿宋_GB2312" w:hAnsi="仿宋_GB2312" w:eastAsia="仿宋_GB2312" w:cs="仿宋_GB2312"/>
          <w:color w:val="auto"/>
          <w:sz w:val="24"/>
          <w:szCs w:val="24"/>
          <w:highlight w:val="none"/>
          <w:lang w:val="en-US" w:eastAsia="zh-CN"/>
        </w:rPr>
        <w:t>按季度考核分介于95分至80分（含）结算</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rPr>
        <w:t>采购人有权对服务单位提出期限整改，限期整改仍达不到</w:t>
      </w:r>
      <w:r>
        <w:rPr>
          <w:rFonts w:hint="eastAsia" w:ascii="仿宋_GB2312" w:hAnsi="仿宋_GB2312" w:eastAsia="仿宋_GB2312" w:cs="仿宋_GB2312"/>
          <w:color w:val="auto"/>
          <w:kern w:val="0"/>
          <w:sz w:val="24"/>
          <w:szCs w:val="24"/>
          <w:highlight w:val="none"/>
          <w:lang w:val="en-US" w:eastAsia="zh-CN"/>
        </w:rPr>
        <w:t>95分及以上的</w:t>
      </w:r>
      <w:r>
        <w:rPr>
          <w:rFonts w:hint="eastAsia" w:ascii="仿宋_GB2312" w:hAnsi="仿宋_GB2312" w:eastAsia="仿宋_GB2312" w:cs="仿宋_GB2312"/>
          <w:color w:val="auto"/>
          <w:kern w:val="0"/>
          <w:sz w:val="24"/>
          <w:szCs w:val="24"/>
          <w:highlight w:val="none"/>
        </w:rPr>
        <w:t>，采购人有权</w:t>
      </w:r>
      <w:r>
        <w:rPr>
          <w:rFonts w:hint="eastAsia" w:ascii="仿宋_GB2312" w:hAnsi="仿宋_GB2312" w:eastAsia="仿宋_GB2312" w:cs="仿宋_GB2312"/>
          <w:color w:val="auto"/>
          <w:kern w:val="0"/>
          <w:sz w:val="24"/>
          <w:szCs w:val="24"/>
          <w:highlight w:val="none"/>
          <w:lang w:val="en-US" w:eastAsia="zh-CN"/>
        </w:rPr>
        <w:t>终</w:t>
      </w:r>
      <w:r>
        <w:rPr>
          <w:rFonts w:hint="eastAsia" w:ascii="仿宋_GB2312" w:hAnsi="仿宋_GB2312" w:eastAsia="仿宋_GB2312" w:cs="仿宋_GB2312"/>
          <w:color w:val="auto"/>
          <w:kern w:val="0"/>
          <w:sz w:val="24"/>
          <w:szCs w:val="24"/>
          <w:highlight w:val="none"/>
        </w:rPr>
        <w:t>止合同，并由</w:t>
      </w:r>
      <w:r>
        <w:rPr>
          <w:rFonts w:hint="eastAsia" w:ascii="仿宋_GB2312" w:hAnsi="仿宋_GB2312" w:eastAsia="仿宋_GB2312" w:cs="仿宋_GB2312"/>
          <w:color w:val="auto"/>
          <w:kern w:val="0"/>
          <w:sz w:val="24"/>
          <w:szCs w:val="24"/>
          <w:highlight w:val="none"/>
          <w:lang w:val="en-US" w:eastAsia="zh-CN"/>
        </w:rPr>
        <w:t>中标人</w:t>
      </w:r>
      <w:r>
        <w:rPr>
          <w:rFonts w:hint="eastAsia" w:ascii="仿宋_GB2312" w:hAnsi="仿宋_GB2312" w:eastAsia="仿宋_GB2312" w:cs="仿宋_GB2312"/>
          <w:color w:val="auto"/>
          <w:kern w:val="0"/>
          <w:sz w:val="24"/>
          <w:szCs w:val="24"/>
          <w:highlight w:val="none"/>
        </w:rPr>
        <w:t>承担相关损失。</w:t>
      </w:r>
      <w:r>
        <w:rPr>
          <w:rFonts w:hint="eastAsia" w:ascii="仿宋_GB2312" w:hAnsi="仿宋_GB2312" w:eastAsia="仿宋_GB2312" w:cs="仿宋_GB2312"/>
          <w:color w:val="auto"/>
          <w:kern w:val="0"/>
          <w:sz w:val="24"/>
          <w:szCs w:val="24"/>
          <w:highlight w:val="none"/>
          <w:lang w:val="en-US" w:eastAsia="zh-CN"/>
        </w:rPr>
        <w:t>若</w:t>
      </w:r>
      <w:r>
        <w:rPr>
          <w:rFonts w:hint="eastAsia" w:ascii="仿宋_GB2312" w:hAnsi="仿宋_GB2312" w:eastAsia="仿宋_GB2312" w:cs="仿宋_GB2312"/>
          <w:color w:val="auto"/>
          <w:sz w:val="24"/>
          <w:szCs w:val="24"/>
          <w:highlight w:val="none"/>
        </w:rPr>
        <w:t>季度综合考核为</w:t>
      </w:r>
      <w:r>
        <w:rPr>
          <w:rFonts w:hint="eastAsia" w:ascii="仿宋_GB2312" w:hAnsi="仿宋_GB2312" w:eastAsia="仿宋_GB2312" w:cs="仿宋_GB2312"/>
          <w:color w:val="auto"/>
          <w:sz w:val="24"/>
          <w:szCs w:val="24"/>
          <w:highlight w:val="none"/>
          <w:lang w:val="en-US" w:eastAsia="zh-CN"/>
        </w:rPr>
        <w:t>80分以下（不含），</w:t>
      </w:r>
      <w:r>
        <w:rPr>
          <w:rFonts w:hint="eastAsia" w:ascii="仿宋_GB2312" w:hAnsi="仿宋_GB2312" w:eastAsia="仿宋_GB2312" w:cs="仿宋_GB2312"/>
          <w:color w:val="auto"/>
          <w:kern w:val="0"/>
          <w:sz w:val="24"/>
          <w:szCs w:val="24"/>
          <w:highlight w:val="none"/>
        </w:rPr>
        <w:t>采购人有权</w:t>
      </w:r>
      <w:r>
        <w:rPr>
          <w:rFonts w:hint="eastAsia" w:ascii="仿宋_GB2312" w:hAnsi="仿宋_GB2312" w:eastAsia="仿宋_GB2312" w:cs="仿宋_GB2312"/>
          <w:color w:val="auto"/>
          <w:kern w:val="0"/>
          <w:sz w:val="24"/>
          <w:szCs w:val="24"/>
          <w:highlight w:val="none"/>
          <w:lang w:val="en-US" w:eastAsia="zh-CN"/>
        </w:rPr>
        <w:t>终</w:t>
      </w:r>
      <w:r>
        <w:rPr>
          <w:rFonts w:hint="eastAsia" w:ascii="仿宋_GB2312" w:hAnsi="仿宋_GB2312" w:eastAsia="仿宋_GB2312" w:cs="仿宋_GB2312"/>
          <w:color w:val="auto"/>
          <w:kern w:val="0"/>
          <w:sz w:val="24"/>
          <w:szCs w:val="24"/>
          <w:highlight w:val="none"/>
        </w:rPr>
        <w:t>止合同，并由服务方承担相关损失。</w:t>
      </w:r>
    </w:p>
    <w:p>
      <w:pPr>
        <w:keepNext w:val="0"/>
        <w:keepLines w:val="0"/>
        <w:pageBreakBefore w:val="0"/>
        <w:kinsoku/>
        <w:wordWrap/>
        <w:overflowPunct/>
        <w:topLinePunct w:val="0"/>
        <w:autoSpaceDE/>
        <w:autoSpaceDN/>
        <w:bidi w:val="0"/>
        <w:spacing w:line="300" w:lineRule="auto"/>
        <w:ind w:left="0" w:leftChars="0"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．考核结果将报相关领导备案。</w:t>
      </w:r>
    </w:p>
    <w:tbl>
      <w:tblPr>
        <w:tblStyle w:val="63"/>
        <w:tblW w:w="8917"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390"/>
        <w:gridCol w:w="2973"/>
        <w:gridCol w:w="104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trPr>
        <w:tc>
          <w:tcPr>
            <w:tcW w:w="8917" w:type="dxa"/>
            <w:gridSpan w:val="5"/>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物业管理检查考评表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171" w:type="dxa"/>
            <w:gridSpan w:val="2"/>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被检单位：</w:t>
            </w:r>
          </w:p>
        </w:tc>
        <w:tc>
          <w:tcPr>
            <w:tcW w:w="4746" w:type="dxa"/>
            <w:gridSpan w:val="3"/>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检查时间：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1"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项目</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内    容</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扣分标准</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扣分</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及原因</w:t>
            </w:r>
          </w:p>
        </w:tc>
        <w:tc>
          <w:tcPr>
            <w:tcW w:w="73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整体管理（</w:t>
            </w: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0分）</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物业人员到位情况：</w:t>
            </w:r>
            <w:r>
              <w:rPr>
                <w:rFonts w:hint="eastAsia" w:ascii="仿宋_GB2312" w:hAnsi="仿宋_GB2312" w:eastAsia="仿宋_GB2312" w:cs="仿宋_GB2312"/>
                <w:color w:val="auto"/>
                <w:sz w:val="24"/>
                <w:szCs w:val="24"/>
                <w:highlight w:val="none"/>
              </w:rPr>
              <w:t>物业人员</w:t>
            </w:r>
            <w:r>
              <w:rPr>
                <w:rFonts w:hint="eastAsia" w:ascii="仿宋_GB2312" w:hAnsi="仿宋_GB2312" w:eastAsia="仿宋_GB2312" w:cs="仿宋_GB2312"/>
                <w:color w:val="auto"/>
                <w:sz w:val="24"/>
                <w:szCs w:val="24"/>
                <w:highlight w:val="none"/>
                <w:lang w:val="en-US" w:eastAsia="zh-CN"/>
              </w:rPr>
              <w:t>与投标时承诺一致，且</w:t>
            </w:r>
            <w:r>
              <w:rPr>
                <w:rFonts w:hint="eastAsia" w:ascii="仿宋_GB2312" w:hAnsi="仿宋_GB2312" w:eastAsia="仿宋_GB2312" w:cs="仿宋_GB2312"/>
                <w:color w:val="auto"/>
                <w:sz w:val="24"/>
                <w:szCs w:val="24"/>
                <w:highlight w:val="none"/>
              </w:rPr>
              <w:t>须符合配置的素质要求；</w:t>
            </w:r>
            <w:r>
              <w:rPr>
                <w:rFonts w:hint="eastAsia" w:ascii="仿宋_GB2312" w:hAnsi="仿宋_GB2312" w:eastAsia="仿宋_GB2312" w:cs="仿宋_GB2312"/>
                <w:color w:val="auto"/>
                <w:kern w:val="0"/>
                <w:sz w:val="24"/>
                <w:szCs w:val="24"/>
                <w:highlight w:val="none"/>
              </w:rPr>
              <w:t>每月不能超过</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rPr>
              <w:t>名人员离职；</w:t>
            </w:r>
            <w:r>
              <w:rPr>
                <w:rStyle w:val="296"/>
                <w:rFonts w:hint="eastAsia" w:ascii="仿宋_GB2312" w:hAnsi="仿宋_GB2312" w:eastAsia="仿宋_GB2312" w:cs="仿宋_GB2312"/>
                <w:b w:val="0"/>
                <w:color w:val="auto"/>
                <w:sz w:val="24"/>
                <w:szCs w:val="24"/>
                <w:highlight w:val="none"/>
              </w:rPr>
              <w:t>关键岗位到岗</w:t>
            </w:r>
            <w:r>
              <w:rPr>
                <w:rStyle w:val="515"/>
                <w:rFonts w:hint="eastAsia" w:ascii="仿宋_GB2312" w:hAnsi="仿宋_GB2312" w:eastAsia="仿宋_GB2312" w:cs="仿宋_GB2312"/>
                <w:color w:val="auto"/>
                <w:sz w:val="24"/>
                <w:szCs w:val="24"/>
                <w:highlight w:val="none"/>
              </w:rPr>
              <w:t>：检查门卫、消控室是否24小时有人在岗。</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物业人员与投标时承诺不一致（或不满足配置要求）</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物业经理扣10分/人、会务人员扣5分/人、其他人员扣2分/人；每月2人及以上离职，扣2(n-1)分；缺岗扣2分/人.次。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各岗位人员的培训及考核。</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缺少培训扣1分</w:t>
            </w:r>
            <w:r>
              <w:rPr>
                <w:rFonts w:hint="eastAsia" w:ascii="仿宋_GB2312" w:hAnsi="仿宋_GB2312" w:eastAsia="仿宋_GB2312" w:cs="仿宋_GB2312"/>
                <w:color w:val="auto"/>
                <w:kern w:val="0"/>
                <w:sz w:val="24"/>
                <w:szCs w:val="24"/>
                <w:highlight w:val="none"/>
                <w:lang w:val="en-US" w:eastAsia="zh-CN"/>
              </w:rPr>
              <w:t>/人.次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各岗位间人员的综合协调，工作执行力</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调度合理</w:t>
            </w:r>
            <w:r>
              <w:rPr>
                <w:rFonts w:hint="eastAsia" w:ascii="仿宋_GB2312" w:hAnsi="仿宋_GB2312" w:eastAsia="仿宋_GB2312" w:cs="仿宋_GB2312"/>
                <w:color w:val="auto"/>
                <w:kern w:val="0"/>
                <w:sz w:val="24"/>
                <w:szCs w:val="24"/>
                <w:highlight w:val="none"/>
                <w:lang w:val="en-US" w:eastAsia="zh-CN"/>
              </w:rPr>
              <w:t>不扣分；</w:t>
            </w:r>
            <w:r>
              <w:rPr>
                <w:rFonts w:hint="eastAsia" w:ascii="仿宋_GB2312" w:hAnsi="仿宋_GB2312" w:eastAsia="仿宋_GB2312" w:cs="仿宋_GB2312"/>
                <w:color w:val="auto"/>
                <w:kern w:val="0"/>
                <w:sz w:val="24"/>
                <w:szCs w:val="24"/>
                <w:highlight w:val="none"/>
              </w:rPr>
              <w:t>调度混乱</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视情扣（1-3）分/次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检查问题及时整改落实情况。</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及时整改</w:t>
            </w:r>
            <w:r>
              <w:rPr>
                <w:rFonts w:hint="eastAsia" w:ascii="仿宋_GB2312" w:hAnsi="仿宋_GB2312" w:eastAsia="仿宋_GB2312" w:cs="仿宋_GB2312"/>
                <w:color w:val="auto"/>
                <w:kern w:val="0"/>
                <w:sz w:val="24"/>
                <w:szCs w:val="24"/>
                <w:highlight w:val="none"/>
                <w:lang w:val="en-US" w:eastAsia="zh-CN"/>
              </w:rPr>
              <w:t>不扣分；规定时间内整改不到位，视情扣（1-3）分/次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2"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客户对管理服务工作的满意度。无粗话、无和业主争吵的行为、无投诉。着工装、佩戴工牌。</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着装整洁，仪表端庄、精神饱满；服务规范，礼貌、主动热情；上班时间不做与工作无关的事情(玩手机、游戏、聊天等)。</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各种记录完整。工作安排记录、设备台账记录、日常检查记录。</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缺记录</w:t>
            </w:r>
            <w:r>
              <w:rPr>
                <w:rFonts w:hint="eastAsia" w:ascii="仿宋_GB2312" w:hAnsi="仿宋_GB2312" w:eastAsia="仿宋_GB2312" w:cs="仿宋_GB2312"/>
                <w:color w:val="auto"/>
                <w:kern w:val="0"/>
                <w:sz w:val="24"/>
                <w:szCs w:val="24"/>
                <w:highlight w:val="none"/>
                <w:lang w:val="en-US" w:eastAsia="zh-CN"/>
              </w:rPr>
              <w:t>扣</w:t>
            </w:r>
            <w:r>
              <w:rPr>
                <w:rFonts w:hint="eastAsia" w:ascii="仿宋_GB2312" w:hAnsi="仿宋_GB2312" w:eastAsia="仿宋_GB2312" w:cs="仿宋_GB2312"/>
                <w:color w:val="auto"/>
                <w:kern w:val="0"/>
                <w:sz w:val="24"/>
                <w:szCs w:val="24"/>
                <w:highlight w:val="none"/>
              </w:rPr>
              <w:t>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保安管理（30分）</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保安人员熟悉区域环境，文明执勤。实行24小时值班。每</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小时至少一次巡逻，并对巡逻进行记录。</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未按规定</w:t>
            </w:r>
            <w:r>
              <w:rPr>
                <w:rFonts w:hint="eastAsia" w:ascii="仿宋_GB2312" w:hAnsi="仿宋_GB2312" w:eastAsia="仿宋_GB2312" w:cs="仿宋_GB2312"/>
                <w:color w:val="auto"/>
                <w:kern w:val="0"/>
                <w:sz w:val="24"/>
                <w:szCs w:val="24"/>
                <w:highlight w:val="none"/>
              </w:rPr>
              <w:t>巡逻</w:t>
            </w:r>
            <w:r>
              <w:rPr>
                <w:rFonts w:hint="eastAsia" w:ascii="仿宋_GB2312" w:hAnsi="仿宋_GB2312" w:eastAsia="仿宋_GB2312" w:cs="仿宋_GB2312"/>
                <w:color w:val="auto"/>
                <w:kern w:val="0"/>
                <w:sz w:val="24"/>
                <w:szCs w:val="24"/>
                <w:highlight w:val="none"/>
                <w:lang w:val="en-US" w:eastAsia="zh-CN"/>
              </w:rPr>
              <w:t>扣3分/次.人，</w:t>
            </w:r>
            <w:r>
              <w:rPr>
                <w:rFonts w:hint="eastAsia" w:ascii="仿宋_GB2312" w:hAnsi="仿宋_GB2312" w:eastAsia="仿宋_GB2312" w:cs="仿宋_GB2312"/>
                <w:color w:val="auto"/>
                <w:kern w:val="0"/>
                <w:sz w:val="24"/>
                <w:szCs w:val="24"/>
                <w:highlight w:val="none"/>
              </w:rPr>
              <w:t>没有记录扣2分</w:t>
            </w:r>
            <w:r>
              <w:rPr>
                <w:rFonts w:hint="eastAsia" w:ascii="仿宋_GB2312" w:hAnsi="仿宋_GB2312" w:eastAsia="仿宋_GB2312" w:cs="仿宋_GB2312"/>
                <w:color w:val="auto"/>
                <w:kern w:val="0"/>
                <w:sz w:val="24"/>
                <w:szCs w:val="24"/>
                <w:highlight w:val="none"/>
                <w:lang w:val="en-US" w:eastAsia="zh-CN"/>
              </w:rPr>
              <w:t>/次</w:t>
            </w:r>
            <w:r>
              <w:rPr>
                <w:rFonts w:hint="eastAsia" w:ascii="仿宋_GB2312" w:hAnsi="仿宋_GB2312" w:eastAsia="仿宋_GB2312" w:cs="仿宋_GB2312"/>
                <w:color w:val="auto"/>
                <w:kern w:val="0"/>
                <w:sz w:val="24"/>
                <w:szCs w:val="24"/>
                <w:highlight w:val="none"/>
              </w:rPr>
              <w:t>，记录不清楚扣1分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上班时间着装整齐，言行举止文明，门岗姿态规范，手势标准，无穿便装上班的现象。</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收发业主的报刊和包裹。收到的报刊及时准确投放到信箱或转送给相关处室；挂号信、包裹、急件等即时联系收件人取件。</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报刊、信件等积压</w:t>
            </w:r>
            <w:r>
              <w:rPr>
                <w:rFonts w:hint="eastAsia" w:ascii="仿宋_GB2312" w:hAnsi="仿宋_GB2312" w:eastAsia="仿宋_GB2312" w:cs="仿宋_GB2312"/>
                <w:color w:val="auto"/>
                <w:kern w:val="0"/>
                <w:sz w:val="24"/>
                <w:szCs w:val="24"/>
                <w:highlight w:val="none"/>
                <w:lang w:val="en-US" w:eastAsia="zh-CN"/>
              </w:rPr>
              <w:t>扣2分/次，</w:t>
            </w:r>
            <w:r>
              <w:rPr>
                <w:rFonts w:hint="eastAsia" w:ascii="仿宋_GB2312" w:hAnsi="仿宋_GB2312" w:eastAsia="仿宋_GB2312" w:cs="仿宋_GB2312"/>
                <w:color w:val="auto"/>
                <w:kern w:val="0"/>
                <w:sz w:val="24"/>
                <w:szCs w:val="24"/>
                <w:highlight w:val="none"/>
              </w:rPr>
              <w:t>包裹积压扣</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1-2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分</w:t>
            </w:r>
            <w:r>
              <w:rPr>
                <w:rFonts w:hint="eastAsia" w:ascii="仿宋_GB2312" w:hAnsi="仿宋_GB2312" w:eastAsia="仿宋_GB2312" w:cs="仿宋_GB2312"/>
                <w:color w:val="auto"/>
                <w:kern w:val="0"/>
                <w:sz w:val="24"/>
                <w:szCs w:val="24"/>
                <w:highlight w:val="none"/>
                <w:lang w:val="en-US" w:eastAsia="zh-CN"/>
              </w:rPr>
              <w:t>/次</w:t>
            </w:r>
            <w:r>
              <w:rPr>
                <w:rFonts w:hint="eastAsia" w:ascii="仿宋_GB2312" w:hAnsi="仿宋_GB2312" w:eastAsia="仿宋_GB2312" w:cs="仿宋_GB2312"/>
                <w:color w:val="auto"/>
                <w:kern w:val="0"/>
                <w:sz w:val="24"/>
                <w:szCs w:val="24"/>
                <w:highlight w:val="none"/>
              </w:rPr>
              <w:t>，相关急件未及时通知扣2分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上班时间不做与工作无关的事，严禁打瞌睡、抽烟、嬉戏打闹、脱岗等不良现象；门卫环境卫生清洁。</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对各种车辆管理有序，指挥车辆的停放规范到位，无堵塞交通现象，不影响行人通行。</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门卫对进出人员、车辆要视情况盘查。</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装备完好，交接班程序规范，附有完整的交接班记录；做好来客来车登记。</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3"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熟练操作监控消防设备，每日做好监控消防记录。发生报警后，必须5分钟之内到达现场并通知上级领导；发生故障后，及时反馈给业主。</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故障不报扣1分</w:t>
            </w:r>
            <w:r>
              <w:rPr>
                <w:rFonts w:hint="eastAsia" w:ascii="仿宋_GB2312" w:hAnsi="仿宋_GB2312" w:eastAsia="仿宋_GB2312" w:cs="仿宋_GB2312"/>
                <w:color w:val="auto"/>
                <w:kern w:val="0"/>
                <w:sz w:val="24"/>
                <w:szCs w:val="24"/>
                <w:highlight w:val="none"/>
                <w:lang w:val="en-US" w:eastAsia="zh-CN"/>
              </w:rPr>
              <w:t>/次</w:t>
            </w:r>
            <w:r>
              <w:rPr>
                <w:rFonts w:hint="eastAsia" w:ascii="仿宋_GB2312" w:hAnsi="仿宋_GB2312" w:eastAsia="仿宋_GB2312" w:cs="仿宋_GB2312"/>
                <w:color w:val="auto"/>
                <w:kern w:val="0"/>
                <w:sz w:val="24"/>
                <w:szCs w:val="24"/>
                <w:highlight w:val="none"/>
              </w:rPr>
              <w:t>，报警</w:t>
            </w:r>
            <w:r>
              <w:rPr>
                <w:rFonts w:hint="eastAsia" w:ascii="仿宋_GB2312" w:hAnsi="仿宋_GB2312" w:eastAsia="仿宋_GB2312" w:cs="仿宋_GB2312"/>
                <w:color w:val="auto"/>
                <w:kern w:val="0"/>
                <w:sz w:val="24"/>
                <w:szCs w:val="24"/>
                <w:highlight w:val="none"/>
                <w:lang w:val="en-US" w:eastAsia="zh-CN"/>
              </w:rPr>
              <w:t>未及时</w:t>
            </w:r>
            <w:r>
              <w:rPr>
                <w:rFonts w:hint="eastAsia" w:ascii="仿宋_GB2312" w:hAnsi="仿宋_GB2312" w:eastAsia="仿宋_GB2312" w:cs="仿宋_GB2312"/>
                <w:color w:val="auto"/>
                <w:kern w:val="0"/>
                <w:sz w:val="24"/>
                <w:szCs w:val="24"/>
                <w:highlight w:val="none"/>
              </w:rPr>
              <w:t>到</w:t>
            </w:r>
            <w:r>
              <w:rPr>
                <w:rFonts w:hint="eastAsia" w:ascii="仿宋_GB2312" w:hAnsi="仿宋_GB2312" w:eastAsia="仿宋_GB2312" w:cs="仿宋_GB2312"/>
                <w:color w:val="auto"/>
                <w:kern w:val="0"/>
                <w:sz w:val="24"/>
                <w:szCs w:val="24"/>
                <w:highlight w:val="none"/>
                <w:lang w:val="en-US" w:eastAsia="zh-CN"/>
              </w:rPr>
              <w:t>现场</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/次</w:t>
            </w:r>
            <w:r>
              <w:rPr>
                <w:rFonts w:hint="eastAsia" w:ascii="仿宋_GB2312" w:hAnsi="仿宋_GB2312" w:eastAsia="仿宋_GB2312" w:cs="仿宋_GB2312"/>
                <w:color w:val="auto"/>
                <w:kern w:val="0"/>
                <w:sz w:val="24"/>
                <w:szCs w:val="24"/>
                <w:highlight w:val="none"/>
              </w:rPr>
              <w:t>，不会操作扣1分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消防栓、灭火器定期巡查，有记录封条</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定时巡查消防通道是否畅通，有无火灾安全隐患。</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无因管理责任导致的盗窃事件发生。</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5-20</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无因管理责任导致的刑事案件发生。</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10-30</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无因管理责任导致的消防事件发生。</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10-30</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分</w:t>
            </w:r>
            <w:r>
              <w:rPr>
                <w:rFonts w:hint="eastAsia" w:ascii="仿宋_GB2312" w:hAnsi="仿宋_GB2312" w:eastAsia="仿宋_GB2312" w:cs="仿宋_GB2312"/>
                <w:color w:val="auto"/>
                <w:kern w:val="0"/>
                <w:sz w:val="24"/>
                <w:szCs w:val="24"/>
                <w:highlight w:val="none"/>
                <w:lang w:val="en-US" w:eastAsia="zh-CN"/>
              </w:rPr>
              <w:t>/次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保洁管理（30分）</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保洁人员着装整洁，精神饱满。</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/人.次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环卫设施齐全，摆放合理。</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8"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道路、绿化带、公共区域和办公区域保持清洁，每天至少打扫2次，巡查一次，无乱贴乱画，无占用和堆放杂物现象；地面无纸屑、烟头等废弃物；绿化按季度及时护养。</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卫生间清洁、无异味，手纸无缺少，洗手台、镜子无污水、污迹。</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垃圾收集、清理及时干净、做到垃圾日产日清。</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会议室保持清洁，桌椅摆放有序，桌面无灰尘等。</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地面、屋内、楼梯、电梯等无灰尘、无蜘蛛网等，屋顶、雨棚玻璃清洁。</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做好本物业的灭蚊灭虫灭鼠工作。</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发现管阀跑、冒、滴、漏现象及时联系</w:t>
            </w:r>
            <w:r>
              <w:rPr>
                <w:rFonts w:hint="eastAsia" w:ascii="仿宋_GB2312" w:hAnsi="仿宋_GB2312" w:eastAsia="仿宋_GB2312" w:cs="仿宋_GB2312"/>
                <w:color w:val="auto"/>
                <w:kern w:val="0"/>
                <w:sz w:val="24"/>
                <w:szCs w:val="24"/>
                <w:highlight w:val="none"/>
                <w:lang w:val="en-US" w:eastAsia="zh-CN"/>
              </w:rPr>
              <w:t>业主</w:t>
            </w:r>
            <w:r>
              <w:rPr>
                <w:rFonts w:hint="eastAsia" w:ascii="仿宋_GB2312" w:hAnsi="仿宋_GB2312" w:eastAsia="仿宋_GB2312" w:cs="仿宋_GB2312"/>
                <w:color w:val="auto"/>
                <w:kern w:val="0"/>
                <w:sz w:val="24"/>
                <w:szCs w:val="24"/>
                <w:highlight w:val="none"/>
              </w:rPr>
              <w:t>。如有潮湿或者漏水现象，及时做好防滑警示</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w:t>
            </w:r>
            <w:r>
              <w:rPr>
                <w:rFonts w:hint="eastAsia" w:ascii="仿宋_GB2312" w:hAnsi="仿宋_GB2312" w:eastAsia="仿宋_GB2312" w:cs="仿宋_GB2312"/>
                <w:color w:val="auto"/>
                <w:kern w:val="0"/>
                <w:sz w:val="24"/>
                <w:szCs w:val="24"/>
                <w:highlight w:val="none"/>
                <w:lang w:val="en-US" w:eastAsia="zh-CN"/>
              </w:rPr>
              <w:t>其他</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rPr>
              <w:t>0分）</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按照岗位职责，每周至少一次巡查本物业的设施设备并制定养护计划及运行记录；发现问题及时处理</w:t>
            </w:r>
            <w:r>
              <w:rPr>
                <w:rFonts w:hint="eastAsia" w:ascii="仿宋_GB2312" w:hAnsi="仿宋_GB2312" w:eastAsia="仿宋_GB2312" w:cs="仿宋_GB2312"/>
                <w:color w:val="auto"/>
                <w:kern w:val="0"/>
                <w:sz w:val="24"/>
                <w:szCs w:val="24"/>
                <w:highlight w:val="none"/>
                <w:lang w:eastAsia="zh-CN"/>
              </w:rPr>
              <w:t>。</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门窗、桌椅等责任范围内的维修。小型维修当日完成，不能当日完成的，限时完成；每次维修有回访制度和记录；定时对室内外排污系统管道疏浚</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按要求及时准备会议室，适时开关门窗、音响设备、空调、照明。</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发现公共设备故障及时联系</w:t>
            </w:r>
            <w:r>
              <w:rPr>
                <w:rFonts w:hint="eastAsia" w:ascii="仿宋_GB2312" w:hAnsi="仿宋_GB2312" w:eastAsia="仿宋_GB2312" w:cs="仿宋_GB2312"/>
                <w:color w:val="auto"/>
                <w:kern w:val="0"/>
                <w:sz w:val="24"/>
                <w:szCs w:val="24"/>
                <w:highlight w:val="none"/>
                <w:lang w:val="en-US" w:eastAsia="zh-CN"/>
              </w:rPr>
              <w:t>业主</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记录设施设备的运行情况、维修情况。</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工作技能娴熟，设备操作熟练，心思缜密。</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公共设施设备完好。</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收到报修电话后，15分钟之内到达现场处理；如有其它情况，及时电话沟通。</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不符</w:t>
            </w:r>
            <w:r>
              <w:rPr>
                <w:rFonts w:hint="eastAsia" w:ascii="仿宋_GB2312" w:hAnsi="仿宋_GB2312" w:eastAsia="仿宋_GB2312" w:cs="仿宋_GB2312"/>
                <w:color w:val="auto"/>
                <w:kern w:val="0"/>
                <w:sz w:val="24"/>
                <w:szCs w:val="24"/>
                <w:highlight w:val="none"/>
                <w:lang w:val="en-US" w:eastAsia="zh-CN"/>
              </w:rPr>
              <w:t>合</w:t>
            </w:r>
            <w:r>
              <w:rPr>
                <w:rFonts w:hint="eastAsia" w:ascii="仿宋_GB2312" w:hAnsi="仿宋_GB2312" w:eastAsia="仿宋_GB2312" w:cs="仿宋_GB2312"/>
                <w:color w:val="auto"/>
                <w:kern w:val="0"/>
                <w:sz w:val="24"/>
                <w:szCs w:val="24"/>
                <w:highlight w:val="none"/>
              </w:rPr>
              <w:t>扣1分</w:t>
            </w:r>
            <w:r>
              <w:rPr>
                <w:rFonts w:hint="eastAsia" w:ascii="仿宋_GB2312" w:hAnsi="仿宋_GB2312" w:eastAsia="仿宋_GB2312" w:cs="仿宋_GB2312"/>
                <w:color w:val="auto"/>
                <w:kern w:val="0"/>
                <w:sz w:val="24"/>
                <w:szCs w:val="24"/>
                <w:highlight w:val="none"/>
                <w:lang w:val="en-US" w:eastAsia="zh-CN"/>
              </w:rPr>
              <w:t>/项.次</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trPr>
        <w:tc>
          <w:tcPr>
            <w:tcW w:w="781"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加减分项</w:t>
            </w: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配合完成较大的本职工作以外的事情且较好的。有其他优异表现的。</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每有一项突出的事迹，加5分。</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为保护业主生命和财产，表现英勇，或发现重大隐患，避免事故的。</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每有一项突出的事迹，加5分。</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78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c>
          <w:tcPr>
            <w:tcW w:w="339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因管理原因造成的安全事故。</w:t>
            </w:r>
          </w:p>
        </w:tc>
        <w:tc>
          <w:tcPr>
            <w:tcW w:w="2973"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出现一次事故，扣除10分</w:t>
            </w:r>
          </w:p>
        </w:tc>
        <w:tc>
          <w:tcPr>
            <w:tcW w:w="1040" w:type="dxa"/>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c>
          <w:tcPr>
            <w:tcW w:w="73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44" w:type="dxa"/>
            <w:gridSpan w:val="3"/>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    实际得分：</w:t>
            </w:r>
          </w:p>
        </w:tc>
        <w:tc>
          <w:tcPr>
            <w:tcW w:w="1773" w:type="dxa"/>
            <w:gridSpan w:val="2"/>
            <w:noWrap w:val="0"/>
            <w:vAlign w:val="center"/>
          </w:tcPr>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0" w:firstLineChars="0"/>
              <w:jc w:val="left"/>
              <w:textAlignment w:val="auto"/>
              <w:rPr>
                <w:rFonts w:hint="eastAsia" w:ascii="仿宋_GB2312" w:hAnsi="仿宋_GB2312" w:eastAsia="仿宋_GB2312" w:cs="仿宋_GB2312"/>
                <w:color w:val="auto"/>
                <w:kern w:val="0"/>
                <w:sz w:val="24"/>
                <w:szCs w:val="24"/>
                <w:highlight w:val="none"/>
              </w:rPr>
            </w:pPr>
          </w:p>
        </w:tc>
      </w:tr>
    </w:tbl>
    <w:p>
      <w:pPr>
        <w:pStyle w:val="2"/>
        <w:numPr>
          <w:ilvl w:val="0"/>
          <w:numId w:val="0"/>
        </w:numPr>
        <w:rPr>
          <w:rFonts w:hint="eastAsia"/>
          <w:lang w:eastAsia="zh-CN"/>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1"/>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5"/>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10"/>
        <w:spacing w:before="120" w:line="22" w:lineRule="atLeast"/>
        <w:rPr>
          <w:rFonts w:hAnsi="仿宋" w:cs="仿宋"/>
          <w:szCs w:val="24"/>
          <w:highlight w:val="none"/>
        </w:rPr>
      </w:pPr>
    </w:p>
    <w:p>
      <w:pPr>
        <w:pStyle w:val="310"/>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19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w:t>
      </w:r>
      <w:r>
        <w:rPr>
          <w:rFonts w:hint="eastAsia" w:ascii="仿宋_GB2312" w:hAnsi="仿宋" w:eastAsia="仿宋_GB2312" w:cs="仿宋"/>
          <w:sz w:val="24"/>
          <w:highlight w:val="none"/>
          <w:u w:val="single"/>
          <w:lang w:eastAsia="zh-CN"/>
        </w:rPr>
        <w:t>采购人</w:t>
      </w:r>
      <w:r>
        <w:rPr>
          <w:rFonts w:hint="eastAsia" w:ascii="仿宋_GB2312" w:hAnsi="仿宋" w:eastAsia="仿宋_GB2312" w:cs="仿宋"/>
          <w:sz w:val="24"/>
          <w:highlight w:val="none"/>
          <w:u w:val="single"/>
        </w:rPr>
        <w:t xml:space="preserve">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1" w:name="_Toc15367"/>
      <w:bookmarkStart w:id="12" w:name="_Toc28855"/>
      <w:bookmarkStart w:id="13" w:name="_Toc20421"/>
      <w:bookmarkStart w:id="14" w:name="_Toc19273"/>
      <w:bookmarkStart w:id="15" w:name="_Toc22967"/>
      <w:r>
        <w:rPr>
          <w:rFonts w:hint="eastAsia" w:ascii="仿宋_GB2312" w:hAnsi="仿宋" w:eastAsia="仿宋_GB2312" w:cs="仿宋"/>
          <w:b/>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16" w:name="_Toc2918"/>
      <w:bookmarkStart w:id="17" w:name="_Toc6773"/>
      <w:bookmarkStart w:id="18" w:name="_Toc6311"/>
      <w:bookmarkStart w:id="19" w:name="_Toc18585"/>
      <w:bookmarkStart w:id="20" w:name="_Toc22185"/>
      <w:r>
        <w:rPr>
          <w:rFonts w:hint="eastAsia" w:ascii="仿宋_GB2312" w:hAnsi="仿宋" w:eastAsia="仿宋_GB2312" w:cs="仿宋"/>
          <w:b/>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2"/>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1" w:name="_Toc13918"/>
      <w:bookmarkStart w:id="22" w:name="_Toc4929"/>
      <w:bookmarkStart w:id="23" w:name="_Toc5635"/>
      <w:bookmarkStart w:id="24" w:name="_Toc1386"/>
      <w:bookmarkStart w:id="25" w:name="_Toc21124"/>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26" w:name="_Toc26916"/>
      <w:bookmarkStart w:id="27" w:name="_Toc30506"/>
      <w:bookmarkStart w:id="28" w:name="_Toc3654"/>
      <w:bookmarkStart w:id="29" w:name="_Toc14993"/>
      <w:bookmarkStart w:id="30" w:name="_Toc30158"/>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6"/>
    <w:bookmarkEnd w:id="27"/>
    <w:bookmarkEnd w:id="28"/>
    <w:bookmarkEnd w:id="29"/>
    <w:bookmarkEnd w:id="30"/>
    <w:p>
      <w:pPr>
        <w:pStyle w:val="312"/>
        <w:spacing w:before="0" w:beforeAutospacing="0" w:after="0" w:afterAutospacing="0" w:line="400" w:lineRule="exact"/>
        <w:ind w:firstLine="482" w:firstLineChars="200"/>
        <w:rPr>
          <w:rFonts w:ascii="仿宋_GB2312" w:hAnsi="仿宋" w:eastAsia="仿宋_GB2312" w:cs="仿宋"/>
          <w:b/>
          <w:highlight w:val="none"/>
        </w:rPr>
      </w:pPr>
      <w:bookmarkStart w:id="31" w:name="_Toc1814"/>
      <w:bookmarkStart w:id="32" w:name="_Toc22618"/>
      <w:bookmarkStart w:id="33" w:name="_Toc10340"/>
      <w:bookmarkStart w:id="34" w:name="_Toc11108"/>
      <w:bookmarkStart w:id="35" w:name="_Toc8772"/>
      <w:bookmarkStart w:id="36" w:name="_Toc3625"/>
      <w:bookmarkStart w:id="37" w:name="_Toc4760"/>
      <w:bookmarkStart w:id="38" w:name="_Toc31421"/>
      <w:r>
        <w:rPr>
          <w:rFonts w:hint="eastAsia" w:ascii="仿宋_GB2312" w:hAnsi="仿宋" w:eastAsia="仿宋_GB2312" w:cs="仿宋"/>
          <w:b/>
          <w:highlight w:val="none"/>
        </w:rPr>
        <w:t>1.4履约保证金</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1"/>
      <w:bookmarkEnd w:id="32"/>
      <w:bookmarkEnd w:id="33"/>
      <w:r>
        <w:rPr>
          <w:rFonts w:hint="eastAsia" w:ascii="仿宋_GB2312" w:hAnsi="仿宋" w:eastAsia="仿宋_GB2312" w:cs="仿宋"/>
          <w:b/>
          <w:sz w:val="24"/>
          <w:highlight w:val="none"/>
        </w:rPr>
        <w:t>预付款</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2"/>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2"/>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39" w:name="_Toc2375"/>
      <w:bookmarkStart w:id="40" w:name="_Toc8586"/>
      <w:bookmarkStart w:id="41" w:name="_Toc24662"/>
      <w:bookmarkStart w:id="42" w:name="_Toc5698"/>
      <w:bookmarkStart w:id="43" w:name="_Toc3079"/>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4" w:name="_Toc9497"/>
      <w:bookmarkStart w:id="45" w:name="_Toc26807"/>
      <w:bookmarkStart w:id="46" w:name="_Toc32454"/>
      <w:bookmarkStart w:id="47" w:name="_Toc18683"/>
      <w:bookmarkStart w:id="48" w:name="_Toc30329"/>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highlight w:val="none"/>
        </w:rPr>
      </w:pPr>
      <w:bookmarkStart w:id="49" w:name="_Toc16021"/>
      <w:bookmarkStart w:id="50" w:name="_Toc15583"/>
      <w:bookmarkStart w:id="51" w:name="_Toc28375"/>
      <w:r>
        <w:rPr>
          <w:rFonts w:hint="eastAsia" w:ascii="仿宋_GB2312" w:hAnsi="仿宋" w:eastAsia="仿宋_GB2312" w:cs="仿宋"/>
          <w:b/>
          <w:sz w:val="24"/>
          <w:highlight w:val="none"/>
        </w:rPr>
        <w:t>1.9合同争议的解决</w:t>
      </w:r>
      <w:bookmarkEnd w:id="49"/>
      <w:bookmarkEnd w:id="50"/>
      <w:bookmarkEnd w:id="51"/>
    </w:p>
    <w:p>
      <w:pPr>
        <w:spacing w:line="400" w:lineRule="exact"/>
        <w:ind w:firstLine="480" w:firstLineChars="200"/>
        <w:outlineLvl w:val="0"/>
        <w:rPr>
          <w:rFonts w:hint="eastAsia" w:ascii="仿宋_GB2312" w:hAnsi="仿宋" w:eastAsia="仿宋_GB2312" w:cs="仿宋"/>
          <w:sz w:val="24"/>
          <w:highlight w:val="none"/>
        </w:rPr>
      </w:pPr>
      <w:bookmarkStart w:id="52" w:name="_Toc15322"/>
      <w:bookmarkStart w:id="53" w:name="_Toc7245"/>
      <w:bookmarkStart w:id="54" w:name="_Toc11173"/>
      <w:r>
        <w:rPr>
          <w:rFonts w:hint="eastAsia" w:ascii="仿宋_GB2312" w:hAnsi="仿宋" w:eastAsia="仿宋_GB2312" w:cs="仿宋"/>
          <w:sz w:val="24"/>
          <w:highlight w:val="none"/>
        </w:rPr>
        <w:t>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2.0 合同生效</w:t>
      </w:r>
      <w:bookmarkEnd w:id="52"/>
      <w:bookmarkEnd w:id="53"/>
      <w:bookmarkEnd w:id="54"/>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1"/>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55" w:name="_Toc31297"/>
      <w:bookmarkStart w:id="56" w:name="_Toc5228"/>
      <w:bookmarkStart w:id="57" w:name="_Toc14021"/>
      <w:bookmarkStart w:id="58" w:name="_Toc19680"/>
      <w:bookmarkStart w:id="59" w:name="_Toc25079"/>
      <w:r>
        <w:rPr>
          <w:rFonts w:hint="eastAsia" w:ascii="仿宋_GB2312" w:hAnsi="仿宋" w:eastAsia="仿宋_GB2312" w:cs="仿宋"/>
          <w:b/>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0" w:name="_Toc19539"/>
      <w:bookmarkStart w:id="61" w:name="_Toc16752"/>
      <w:bookmarkStart w:id="62" w:name="_Toc3769"/>
      <w:bookmarkStart w:id="63" w:name="_Toc31402"/>
      <w:bookmarkStart w:id="64" w:name="_Toc23289"/>
      <w:r>
        <w:rPr>
          <w:rFonts w:hint="eastAsia" w:ascii="仿宋_GB2312" w:hAnsi="仿宋" w:eastAsia="仿宋_GB2312" w:cs="仿宋"/>
          <w:b/>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65" w:name="_Toc27945"/>
      <w:bookmarkStart w:id="66" w:name="_Toc4133"/>
      <w:bookmarkStart w:id="67" w:name="_Toc9161"/>
      <w:bookmarkStart w:id="68" w:name="_Toc12412"/>
      <w:bookmarkStart w:id="69" w:name="_Toc13673"/>
      <w:r>
        <w:rPr>
          <w:rFonts w:hint="eastAsia" w:ascii="仿宋_GB2312" w:hAnsi="仿宋" w:eastAsia="仿宋_GB2312" w:cs="仿宋"/>
          <w:b/>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0" w:name="_Toc15447"/>
      <w:bookmarkStart w:id="71" w:name="_Toc26555"/>
      <w:bookmarkStart w:id="72" w:name="_Toc31233"/>
      <w:bookmarkStart w:id="73" w:name="_Toc32670"/>
      <w:bookmarkStart w:id="74" w:name="_Toc22011"/>
      <w:r>
        <w:rPr>
          <w:rFonts w:hint="eastAsia" w:ascii="仿宋_GB2312" w:hAnsi="仿宋" w:eastAsia="仿宋_GB2312" w:cs="仿宋"/>
          <w:b/>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75" w:name="_Toc13467"/>
      <w:bookmarkStart w:id="76" w:name="_Toc30507"/>
      <w:bookmarkStart w:id="77" w:name="_Toc16163"/>
      <w:bookmarkStart w:id="78" w:name="_Toc13154"/>
      <w:bookmarkStart w:id="79" w:name="_Toc18990"/>
      <w:r>
        <w:rPr>
          <w:rFonts w:hint="eastAsia" w:ascii="仿宋_GB2312" w:hAnsi="仿宋" w:eastAsia="仿宋_GB2312" w:cs="仿宋"/>
          <w:b/>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0" w:name="_Toc19069"/>
      <w:r>
        <w:rPr>
          <w:rFonts w:hint="eastAsia" w:ascii="仿宋_GB2312" w:hAnsi="仿宋" w:eastAsia="仿宋_GB2312" w:cs="仿宋"/>
          <w:b/>
          <w:sz w:val="24"/>
          <w:highlight w:val="none"/>
        </w:rPr>
        <w:t>2.7 质量保证</w:t>
      </w:r>
      <w:bookmarkEnd w:id="8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1" w:name="_Toc22267"/>
      <w:r>
        <w:rPr>
          <w:rFonts w:hint="eastAsia" w:ascii="仿宋_GB2312" w:hAnsi="仿宋" w:eastAsia="仿宋_GB2312" w:cs="仿宋"/>
          <w:b/>
          <w:sz w:val="24"/>
          <w:highlight w:val="none"/>
        </w:rPr>
        <w:t>2.8 延迟履行</w:t>
      </w:r>
      <w:bookmarkEnd w:id="81"/>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2" w:name="_Toc10611"/>
      <w:r>
        <w:rPr>
          <w:rFonts w:hint="eastAsia" w:ascii="仿宋_GB2312" w:hAnsi="仿宋" w:eastAsia="仿宋_GB2312" w:cs="仿宋"/>
          <w:b/>
          <w:sz w:val="24"/>
          <w:highlight w:val="none"/>
        </w:rPr>
        <w:t>2.9 合同变更</w:t>
      </w:r>
      <w:bookmarkEnd w:id="8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3" w:name="_Toc42"/>
      <w:bookmarkStart w:id="84" w:name="_Toc26689"/>
      <w:bookmarkStart w:id="85" w:name="_Toc21830"/>
      <w:bookmarkStart w:id="86" w:name="_Toc10663"/>
      <w:bookmarkStart w:id="87" w:name="_Toc23368"/>
      <w:r>
        <w:rPr>
          <w:rFonts w:hint="eastAsia" w:ascii="仿宋_GB2312" w:hAnsi="仿宋" w:eastAsia="仿宋_GB2312" w:cs="仿宋"/>
          <w:b/>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88" w:name="_Toc4720"/>
      <w:bookmarkStart w:id="89" w:name="_Toc32494"/>
      <w:bookmarkStart w:id="90" w:name="_Toc14371"/>
      <w:bookmarkStart w:id="91" w:name="_Toc25571"/>
      <w:bookmarkStart w:id="92" w:name="_Toc26633"/>
      <w:r>
        <w:rPr>
          <w:rFonts w:hint="eastAsia" w:ascii="仿宋_GB2312" w:hAnsi="仿宋" w:eastAsia="仿宋_GB2312" w:cs="仿宋"/>
          <w:b/>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3" w:name="_Toc23854"/>
      <w:bookmarkStart w:id="94" w:name="_Toc25783"/>
      <w:bookmarkStart w:id="95" w:name="_Toc14115"/>
      <w:bookmarkStart w:id="96" w:name="_Toc3638"/>
      <w:bookmarkStart w:id="97" w:name="_Toc24465"/>
      <w:r>
        <w:rPr>
          <w:rFonts w:hint="eastAsia" w:ascii="仿宋_GB2312" w:hAnsi="仿宋" w:eastAsia="仿宋_GB2312" w:cs="仿宋"/>
          <w:b/>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98" w:name="_Toc7315"/>
      <w:bookmarkStart w:id="99" w:name="_Toc14814"/>
      <w:bookmarkStart w:id="100" w:name="_Toc25525"/>
      <w:bookmarkStart w:id="101" w:name="_Toc30105"/>
      <w:bookmarkStart w:id="102" w:name="_Toc26883"/>
      <w:r>
        <w:rPr>
          <w:rFonts w:hint="eastAsia" w:ascii="仿宋_GB2312" w:hAnsi="仿宋" w:eastAsia="仿宋_GB2312" w:cs="仿宋"/>
          <w:b/>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3" w:name="_Toc2016"/>
      <w:bookmarkStart w:id="104" w:name="_Toc1123"/>
      <w:bookmarkStart w:id="105" w:name="_Toc23323"/>
      <w:r>
        <w:rPr>
          <w:rFonts w:hint="eastAsia" w:ascii="仿宋_GB2312" w:hAnsi="仿宋" w:eastAsia="仿宋_GB2312" w:cs="仿宋"/>
          <w:b/>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06" w:name="_Toc17363"/>
      <w:bookmarkStart w:id="107" w:name="_Toc14525"/>
      <w:bookmarkStart w:id="108" w:name="_Toc1969"/>
      <w:r>
        <w:rPr>
          <w:rFonts w:hint="eastAsia" w:ascii="仿宋_GB2312" w:hAnsi="仿宋" w:eastAsia="仿宋_GB2312" w:cs="仿宋"/>
          <w:b/>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09" w:name="_Toc25198"/>
      <w:bookmarkStart w:id="110" w:name="_Toc12666"/>
      <w:bookmarkStart w:id="111" w:name="_Toc2308"/>
      <w:bookmarkStart w:id="112" w:name="_Toc9808"/>
      <w:bookmarkStart w:id="113" w:name="_Toc31892"/>
      <w:r>
        <w:rPr>
          <w:rFonts w:hint="eastAsia" w:ascii="仿宋_GB2312" w:hAnsi="仿宋" w:eastAsia="仿宋_GB2312" w:cs="仿宋"/>
          <w:b/>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highlight w:val="none"/>
        </w:rPr>
      </w:pPr>
      <w:bookmarkStart w:id="114" w:name="_Toc27674"/>
      <w:bookmarkStart w:id="115" w:name="_Toc18401"/>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highlight w:val="none"/>
        </w:rPr>
      </w:pPr>
      <w:bookmarkStart w:id="116" w:name="_Toc27644"/>
      <w:bookmarkStart w:id="117" w:name="_Toc20808"/>
      <w:bookmarkStart w:id="118" w:name="_Toc12254"/>
      <w:bookmarkStart w:id="119" w:name="_Toc28906"/>
      <w:bookmarkStart w:id="120" w:name="_Toc5063"/>
      <w:r>
        <w:rPr>
          <w:rFonts w:hint="eastAsia" w:ascii="仿宋_GB2312" w:hAnsi="仿宋" w:eastAsia="仿宋_GB2312" w:cs="仿宋"/>
          <w:b/>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1" w:name="_Toc4355"/>
      <w:bookmarkStart w:id="122" w:name="_Toc18540"/>
      <w:bookmarkStart w:id="123" w:name="_Toc30599"/>
      <w:r>
        <w:rPr>
          <w:rFonts w:hint="eastAsia" w:ascii="仿宋_GB2312" w:hAnsi="仿宋" w:eastAsia="仿宋_GB2312" w:cs="仿宋"/>
          <w:b/>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4" w:name="_Toc279701263"/>
      <w:bookmarkStart w:id="125" w:name="_Toc12773"/>
      <w:bookmarkStart w:id="126" w:name="_Toc487900373"/>
      <w:bookmarkStart w:id="127" w:name="_Toc10330"/>
      <w:bookmarkStart w:id="128" w:name="_Toc259093692"/>
      <w:bookmarkStart w:id="129" w:name="_Toc18567"/>
      <w:r>
        <w:rPr>
          <w:rFonts w:hint="eastAsia" w:ascii="仿宋_GB2312" w:hAnsi="仿宋" w:eastAsia="仿宋_GB2312" w:cs="仿宋"/>
          <w:b/>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0" w:name="_Toc331685784"/>
      <w:r>
        <w:rPr>
          <w:rFonts w:hint="eastAsia" w:ascii="仿宋_GB2312" w:hAnsi="仿宋" w:eastAsia="仿宋_GB2312" w:cs="仿宋"/>
          <w:b/>
          <w:sz w:val="24"/>
          <w:highlight w:val="none"/>
        </w:rPr>
        <w:t xml:space="preserve"> </w:t>
      </w:r>
      <w:bookmarkEnd w:id="130"/>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4"/>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_GB2312" w:hAnsi="宋体" w:eastAsia="仿宋_GB2312"/>
          <w:sz w:val="24"/>
          <w:highlight w:val="none"/>
        </w:rPr>
      </w:pPr>
      <w:r>
        <w:rPr>
          <w:rFonts w:hint="eastAsia" w:ascii="仿宋_GB2312" w:hAnsi="宋体" w:eastAsia="仿宋_GB2312"/>
          <w:b/>
          <w:sz w:val="24"/>
          <w:highlight w:val="none"/>
        </w:rPr>
        <w:t>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90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10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jc w:val="left"/>
        <w:rPr>
          <w:rFonts w:hint="eastAsia" w:ascii="仿宋_GB2312" w:hAnsi="宋体" w:eastAsia="仿宋_GB2312"/>
          <w:sz w:val="24"/>
          <w:highlight w:val="none"/>
        </w:rPr>
      </w:pPr>
      <w:r>
        <w:rPr>
          <w:rFonts w:hint="eastAsia" w:ascii="仿宋_GB2312" w:hAnsi="宋体" w:eastAsia="仿宋_GB2312"/>
          <w:b/>
          <w:sz w:val="24"/>
          <w:highlight w:val="none"/>
          <w:lang w:val="en-US" w:eastAsia="zh-CN"/>
        </w:rPr>
        <w:t>2.1商务技术分（90分）</w:t>
      </w:r>
    </w:p>
    <w:tbl>
      <w:tblPr>
        <w:tblStyle w:val="63"/>
        <w:tblW w:w="4998" w:type="pct"/>
        <w:tblInd w:w="0" w:type="dxa"/>
        <w:tblLayout w:type="autofit"/>
        <w:tblCellMar>
          <w:top w:w="0" w:type="dxa"/>
          <w:left w:w="108" w:type="dxa"/>
          <w:bottom w:w="0" w:type="dxa"/>
          <w:right w:w="108" w:type="dxa"/>
        </w:tblCellMar>
      </w:tblPr>
      <w:tblGrid>
        <w:gridCol w:w="763"/>
        <w:gridCol w:w="1444"/>
        <w:gridCol w:w="5602"/>
        <w:gridCol w:w="1361"/>
      </w:tblGrid>
      <w:tr>
        <w:tblPrEx>
          <w:tblCellMar>
            <w:top w:w="0" w:type="dxa"/>
            <w:left w:w="108" w:type="dxa"/>
            <w:bottom w:w="0" w:type="dxa"/>
            <w:right w:w="108" w:type="dxa"/>
          </w:tblCellMar>
        </w:tblPrEx>
        <w:trPr>
          <w:trHeight w:val="13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snapToGrid w:val="0"/>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bCs/>
                <w:kern w:val="0"/>
                <w:sz w:val="24"/>
                <w:szCs w:val="24"/>
                <w:highlight w:val="none"/>
              </w:rPr>
              <w:t>序号</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snapToGrid w:val="0"/>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bCs/>
                <w:kern w:val="0"/>
                <w:sz w:val="24"/>
                <w:szCs w:val="24"/>
                <w:highlight w:val="none"/>
              </w:rPr>
              <w:t>评分项</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snapToGrid w:val="0"/>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bCs/>
                <w:kern w:val="0"/>
                <w:sz w:val="24"/>
                <w:szCs w:val="24"/>
                <w:highlight w:val="none"/>
              </w:rPr>
              <w:t>评审依据及标准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snapToGrid w:val="0"/>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bCs/>
                <w:kern w:val="0"/>
                <w:sz w:val="24"/>
                <w:szCs w:val="24"/>
                <w:highlight w:val="none"/>
              </w:rPr>
              <w:t>分值</w:t>
            </w:r>
          </w:p>
        </w:tc>
      </w:tr>
      <w:tr>
        <w:tblPrEx>
          <w:tblCellMar>
            <w:top w:w="0" w:type="dxa"/>
            <w:left w:w="108" w:type="dxa"/>
            <w:bottom w:w="0" w:type="dxa"/>
            <w:right w:w="108" w:type="dxa"/>
          </w:tblCellMar>
        </w:tblPrEx>
        <w:trPr>
          <w:trHeight w:val="13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管理体系认证</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both"/>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根据投标人企业认证证书情况进行打分，0-</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rPr>
              <w:t>分。（提供相关证明并加盖投标人公章）</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3</w:t>
            </w:r>
          </w:p>
        </w:tc>
      </w:tr>
      <w:tr>
        <w:tblPrEx>
          <w:tblCellMar>
            <w:top w:w="0" w:type="dxa"/>
            <w:left w:w="108" w:type="dxa"/>
            <w:bottom w:w="0" w:type="dxa"/>
            <w:right w:w="108" w:type="dxa"/>
          </w:tblCellMar>
        </w:tblPrEx>
        <w:trPr>
          <w:trHeight w:val="13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2</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业绩案例</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pacing w:beforeAutospacing="0" w:afterAutospacing="0"/>
              <w:ind w:left="0" w:leftChars="0" w:right="0"/>
              <w:jc w:val="both"/>
              <w:textAlignment w:val="auto"/>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color w:val="auto"/>
                <w:kern w:val="2"/>
                <w:sz w:val="24"/>
                <w:szCs w:val="24"/>
                <w:lang w:val="en-US" w:eastAsia="zh-CN" w:bidi="ar"/>
              </w:rPr>
              <w:t>投标人自2021年7月1日以来（以合同签订时间为准）完成的同类案例，每有1个得0.25分，满分1分。</w:t>
            </w:r>
          </w:p>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both"/>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color w:val="auto"/>
                <w:kern w:val="2"/>
                <w:sz w:val="24"/>
                <w:szCs w:val="24"/>
                <w:lang w:val="en-US" w:eastAsia="zh-CN" w:bidi="ar"/>
              </w:rPr>
              <w:t>注：每个案例提供合同复印件，并加盖投标人公章。</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w:t>
            </w:r>
          </w:p>
        </w:tc>
      </w:tr>
      <w:tr>
        <w:tblPrEx>
          <w:tblCellMar>
            <w:top w:w="0" w:type="dxa"/>
            <w:left w:w="108" w:type="dxa"/>
            <w:bottom w:w="0" w:type="dxa"/>
            <w:right w:w="108" w:type="dxa"/>
          </w:tblCellMar>
        </w:tblPrEx>
        <w:trPr>
          <w:trHeight w:val="1151"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3</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lang w:eastAsia="zh-CN"/>
              </w:rPr>
              <w:t>项目</w:t>
            </w:r>
            <w:r>
              <w:rPr>
                <w:rFonts w:hint="eastAsia" w:ascii="仿宋_GB2312" w:hAnsi="仿宋_GB2312" w:eastAsia="仿宋_GB2312" w:cs="仿宋_GB2312"/>
                <w:b w:val="0"/>
                <w:bCs/>
                <w:color w:val="auto"/>
                <w:sz w:val="24"/>
                <w:szCs w:val="24"/>
                <w:highlight w:val="none"/>
              </w:rPr>
              <w:t>经理</w:t>
            </w:r>
            <w:r>
              <w:rPr>
                <w:rFonts w:hint="eastAsia" w:ascii="仿宋_GB2312" w:hAnsi="仿宋_GB2312" w:eastAsia="仿宋_GB2312" w:cs="仿宋_GB2312"/>
                <w:b w:val="0"/>
                <w:bCs/>
                <w:color w:val="auto"/>
                <w:sz w:val="24"/>
                <w:szCs w:val="24"/>
                <w:highlight w:val="none"/>
                <w:lang w:val="en-US" w:eastAsia="zh-CN"/>
              </w:rPr>
              <w:t>综合</w:t>
            </w:r>
            <w:r>
              <w:rPr>
                <w:rFonts w:hint="eastAsia" w:ascii="仿宋_GB2312" w:hAnsi="仿宋_GB2312" w:eastAsia="仿宋_GB2312" w:cs="仿宋_GB2312"/>
                <w:b w:val="0"/>
                <w:bCs/>
                <w:color w:val="auto"/>
                <w:sz w:val="24"/>
                <w:szCs w:val="24"/>
                <w:highlight w:val="none"/>
                <w:lang w:eastAsia="zh-CN"/>
              </w:rPr>
              <w:t>素质</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拟派</w:t>
            </w:r>
            <w:r>
              <w:rPr>
                <w:rFonts w:hint="eastAsia" w:ascii="仿宋_GB2312" w:hAnsi="仿宋_GB2312" w:eastAsia="仿宋_GB2312" w:cs="仿宋_GB2312"/>
                <w:b w:val="0"/>
                <w:bCs/>
                <w:color w:val="auto"/>
                <w:sz w:val="24"/>
                <w:szCs w:val="24"/>
                <w:highlight w:val="none"/>
                <w:lang w:val="en-US" w:eastAsia="zh-CN"/>
              </w:rPr>
              <w:t>项目</w:t>
            </w:r>
            <w:r>
              <w:rPr>
                <w:rFonts w:hint="eastAsia" w:ascii="仿宋_GB2312" w:hAnsi="仿宋_GB2312" w:eastAsia="仿宋_GB2312" w:cs="仿宋_GB2312"/>
                <w:b w:val="0"/>
                <w:bCs/>
                <w:color w:val="auto"/>
                <w:sz w:val="24"/>
                <w:szCs w:val="24"/>
                <w:highlight w:val="none"/>
              </w:rPr>
              <w:t>经理</w:t>
            </w:r>
            <w:r>
              <w:rPr>
                <w:rFonts w:hint="eastAsia" w:ascii="仿宋_GB2312" w:hAnsi="仿宋_GB2312" w:eastAsia="仿宋_GB2312" w:cs="仿宋_GB2312"/>
                <w:b w:val="0"/>
                <w:bCs/>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具有大专及以上学历</w:t>
            </w:r>
            <w:r>
              <w:rPr>
                <w:rFonts w:hint="eastAsia" w:ascii="仿宋_GB2312" w:hAnsi="仿宋_GB2312" w:eastAsia="仿宋_GB2312" w:cs="仿宋_GB2312"/>
                <w:b w:val="0"/>
                <w:bCs/>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lang w:eastAsia="zh-CN"/>
              </w:rPr>
              <w:t>）持有人社部门颁发的工程师及以上职称证书；</w:t>
            </w:r>
          </w:p>
          <w:p>
            <w:pPr>
              <w:keepNext w:val="0"/>
              <w:keepLines w:val="0"/>
              <w:pageBreakBefore w:val="0"/>
              <w:widowControl w:val="0"/>
              <w:numPr>
                <w:ilvl w:val="0"/>
                <w:numId w:val="0"/>
              </w:numPr>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lang w:val="en-US" w:eastAsia="zh-CN"/>
              </w:rPr>
              <w:t>（3）持有</w:t>
            </w:r>
            <w:r>
              <w:rPr>
                <w:rFonts w:hint="eastAsia" w:ascii="仿宋_GB2312" w:hAnsi="仿宋_GB2312" w:eastAsia="仿宋_GB2312" w:cs="仿宋_GB2312"/>
                <w:b w:val="0"/>
                <w:bCs/>
                <w:color w:val="auto"/>
                <w:sz w:val="24"/>
                <w:szCs w:val="24"/>
                <w:highlight w:val="none"/>
                <w:lang w:eastAsia="zh-CN"/>
              </w:rPr>
              <w:t>市场监督管理部门颁发的安全管理和作业人员证（电梯修理T）；</w:t>
            </w:r>
          </w:p>
          <w:p>
            <w:pPr>
              <w:keepNext w:val="0"/>
              <w:keepLines w:val="0"/>
              <w:pageBreakBefore w:val="0"/>
              <w:widowControl w:val="0"/>
              <w:numPr>
                <w:ilvl w:val="0"/>
                <w:numId w:val="0"/>
              </w:numPr>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持有人社部门颁发或认可的建（构）筑物消防员证书或消防设施操作员证书</w:t>
            </w:r>
            <w:r>
              <w:rPr>
                <w:rFonts w:hint="eastAsia" w:ascii="仿宋_GB2312" w:hAnsi="仿宋_GB2312" w:eastAsia="仿宋_GB2312" w:cs="仿宋_GB2312"/>
                <w:b w:val="0"/>
                <w:bCs/>
                <w:color w:val="auto"/>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以上</w:t>
            </w:r>
            <w:r>
              <w:rPr>
                <w:rFonts w:hint="eastAsia" w:ascii="仿宋_GB2312" w:hAnsi="仿宋_GB2312" w:eastAsia="仿宋_GB2312" w:cs="仿宋_GB2312"/>
                <w:b w:val="0"/>
                <w:bCs/>
                <w:color w:val="auto"/>
                <w:sz w:val="24"/>
                <w:szCs w:val="24"/>
                <w:highlight w:val="none"/>
              </w:rPr>
              <w:t>每</w:t>
            </w:r>
            <w:r>
              <w:rPr>
                <w:rFonts w:hint="eastAsia" w:ascii="仿宋_GB2312" w:hAnsi="仿宋_GB2312" w:eastAsia="仿宋_GB2312" w:cs="仿宋_GB2312"/>
                <w:b w:val="0"/>
                <w:bCs/>
                <w:color w:val="auto"/>
                <w:sz w:val="24"/>
                <w:szCs w:val="24"/>
                <w:highlight w:val="none"/>
                <w:lang w:val="en-US" w:eastAsia="zh-CN"/>
              </w:rPr>
              <w:t>满足</w:t>
            </w:r>
            <w:r>
              <w:rPr>
                <w:rFonts w:hint="eastAsia" w:ascii="仿宋_GB2312" w:hAnsi="仿宋_GB2312" w:eastAsia="仿宋_GB2312" w:cs="仿宋_GB2312"/>
                <w:b w:val="0"/>
                <w:bCs/>
                <w:color w:val="auto"/>
                <w:sz w:val="24"/>
                <w:szCs w:val="24"/>
                <w:highlight w:val="none"/>
              </w:rPr>
              <w:t>一项计</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rPr>
              <w:t>分，最多得</w:t>
            </w:r>
            <w:r>
              <w:rPr>
                <w:rFonts w:hint="eastAsia" w:ascii="仿宋_GB2312" w:hAnsi="仿宋_GB2312" w:eastAsia="仿宋_GB2312" w:cs="仿宋_GB2312"/>
                <w:b w:val="0"/>
                <w:bCs/>
                <w:color w:val="auto"/>
                <w:sz w:val="24"/>
                <w:szCs w:val="24"/>
                <w:highlight w:val="none"/>
                <w:lang w:val="en-US" w:eastAsia="zh-CN"/>
              </w:rPr>
              <w:t>8</w:t>
            </w:r>
            <w:r>
              <w:rPr>
                <w:rFonts w:hint="eastAsia" w:ascii="仿宋_GB2312" w:hAnsi="仿宋_GB2312" w:eastAsia="仿宋_GB2312" w:cs="仿宋_GB2312"/>
                <w:b w:val="0"/>
                <w:bCs/>
                <w:color w:val="auto"/>
                <w:sz w:val="24"/>
                <w:szCs w:val="24"/>
                <w:highlight w:val="none"/>
              </w:rPr>
              <w:t>分</w:t>
            </w:r>
            <w:r>
              <w:rPr>
                <w:rFonts w:hint="eastAsia" w:ascii="仿宋_GB2312" w:hAnsi="仿宋_GB2312" w:eastAsia="仿宋_GB2312" w:cs="仿宋_GB2312"/>
                <w:b w:val="0"/>
                <w:bCs/>
                <w:color w:val="auto"/>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lang w:val="en-US" w:eastAsia="zh-CN"/>
              </w:rPr>
              <w:t>注：提供相关证书及本单位社保缴纳证明均加盖投标人公章,否则不得分。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8</w:t>
            </w:r>
          </w:p>
        </w:tc>
      </w:tr>
      <w:tr>
        <w:tblPrEx>
          <w:tblCellMar>
            <w:top w:w="0" w:type="dxa"/>
            <w:left w:w="108" w:type="dxa"/>
            <w:bottom w:w="0" w:type="dxa"/>
            <w:right w:w="108" w:type="dxa"/>
          </w:tblCellMar>
        </w:tblPrEx>
        <w:trPr>
          <w:trHeight w:val="1253"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4</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项目团队其他人员综合素质</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numPr>
                <w:ilvl w:val="-1"/>
                <w:numId w:val="0"/>
              </w:numPr>
              <w:spacing w:line="300" w:lineRule="auto"/>
              <w:ind w:firstLine="0" w:firstLineChars="0"/>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一、会务人员</w:t>
            </w:r>
            <w:r>
              <w:rPr>
                <w:rFonts w:hint="eastAsia" w:ascii="仿宋_GB2312" w:hAnsi="仿宋_GB2312" w:eastAsia="仿宋_GB2312" w:cs="仿宋_GB2312"/>
                <w:b w:val="0"/>
                <w:bCs/>
                <w:color w:val="auto"/>
                <w:sz w:val="24"/>
                <w:szCs w:val="24"/>
                <w:highlight w:val="none"/>
              </w:rPr>
              <w:t>具有大专及以上学历</w:t>
            </w:r>
            <w:r>
              <w:rPr>
                <w:rFonts w:hint="eastAsia" w:ascii="仿宋_GB2312" w:hAnsi="仿宋_GB2312" w:eastAsia="仿宋_GB2312" w:cs="仿宋_GB2312"/>
                <w:b w:val="0"/>
                <w:bCs/>
                <w:iCs/>
                <w:color w:val="auto"/>
                <w:sz w:val="24"/>
                <w:szCs w:val="24"/>
                <w:lang w:val="en-US" w:eastAsia="zh-CN"/>
              </w:rPr>
              <w:t>的</w:t>
            </w:r>
            <w:r>
              <w:rPr>
                <w:rFonts w:hint="eastAsia" w:ascii="仿宋_GB2312" w:hAnsi="仿宋_GB2312" w:eastAsia="仿宋_GB2312" w:cs="仿宋_GB2312"/>
                <w:b w:val="0"/>
                <w:bCs/>
                <w:iCs/>
                <w:color w:val="auto"/>
                <w:sz w:val="24"/>
                <w:szCs w:val="24"/>
              </w:rPr>
              <w:t>得</w:t>
            </w:r>
            <w:r>
              <w:rPr>
                <w:rFonts w:hint="eastAsia" w:ascii="仿宋_GB2312" w:hAnsi="仿宋_GB2312" w:eastAsia="仿宋_GB2312" w:cs="仿宋_GB2312"/>
                <w:b w:val="0"/>
                <w:bCs/>
                <w:iCs/>
                <w:color w:val="auto"/>
                <w:sz w:val="24"/>
                <w:szCs w:val="24"/>
                <w:lang w:val="en-US" w:eastAsia="zh-CN"/>
              </w:rPr>
              <w:t>2</w:t>
            </w:r>
            <w:r>
              <w:rPr>
                <w:rFonts w:hint="eastAsia" w:ascii="仿宋_GB2312" w:hAnsi="仿宋_GB2312" w:eastAsia="仿宋_GB2312" w:cs="仿宋_GB2312"/>
                <w:b w:val="0"/>
                <w:bCs/>
                <w:iCs/>
                <w:color w:val="auto"/>
                <w:sz w:val="24"/>
                <w:szCs w:val="24"/>
              </w:rPr>
              <w:t>分</w:t>
            </w:r>
            <w:r>
              <w:rPr>
                <w:rFonts w:hint="eastAsia" w:ascii="仿宋_GB2312" w:hAnsi="仿宋_GB2312" w:eastAsia="仿宋_GB2312" w:cs="仿宋_GB2312"/>
                <w:b w:val="0"/>
                <w:bCs/>
                <w:color w:val="auto"/>
                <w:sz w:val="24"/>
                <w:szCs w:val="24"/>
                <w:highlight w:val="none"/>
                <w:lang w:eastAsia="zh-CN"/>
              </w:rPr>
              <w:t>；</w:t>
            </w:r>
          </w:p>
          <w:p>
            <w:pPr>
              <w:numPr>
                <w:ilvl w:val="0"/>
                <w:numId w:val="0"/>
              </w:numPr>
              <w:spacing w:line="300" w:lineRule="auto"/>
              <w:ind w:firstLine="0" w:firstLineChars="0"/>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lang w:val="en-US" w:eastAsia="zh-CN"/>
              </w:rPr>
              <w:t>二、</w:t>
            </w:r>
            <w:r>
              <w:rPr>
                <w:rFonts w:hint="eastAsia" w:ascii="仿宋_GB2312" w:hAnsi="仿宋_GB2312" w:eastAsia="仿宋_GB2312" w:cs="仿宋_GB2312"/>
                <w:b w:val="0"/>
                <w:bCs/>
                <w:color w:val="auto"/>
                <w:sz w:val="24"/>
                <w:szCs w:val="24"/>
                <w:highlight w:val="none"/>
                <w:lang w:eastAsia="zh-CN"/>
              </w:rPr>
              <w:t>保安</w:t>
            </w:r>
            <w:r>
              <w:rPr>
                <w:rFonts w:hint="eastAsia" w:ascii="仿宋_GB2312" w:hAnsi="仿宋_GB2312" w:eastAsia="仿宋_GB2312" w:cs="仿宋_GB2312"/>
                <w:b w:val="0"/>
                <w:bCs/>
                <w:color w:val="auto"/>
                <w:sz w:val="24"/>
                <w:szCs w:val="24"/>
                <w:highlight w:val="none"/>
                <w:lang w:val="en-US" w:eastAsia="zh-CN"/>
              </w:rPr>
              <w:t>员</w:t>
            </w:r>
            <w:r>
              <w:rPr>
                <w:rFonts w:hint="eastAsia" w:ascii="仿宋_GB2312" w:hAnsi="仿宋_GB2312" w:eastAsia="仿宋_GB2312" w:cs="仿宋_GB2312"/>
                <w:b w:val="0"/>
                <w:bCs/>
                <w:iCs/>
                <w:color w:val="auto"/>
                <w:sz w:val="24"/>
                <w:szCs w:val="24"/>
              </w:rPr>
              <w:t>持有公安部门或人社部门颁发的保安员证书</w:t>
            </w:r>
            <w:r>
              <w:rPr>
                <w:rFonts w:hint="eastAsia" w:ascii="仿宋_GB2312" w:hAnsi="仿宋_GB2312" w:eastAsia="仿宋_GB2312" w:cs="仿宋_GB2312"/>
                <w:b w:val="0"/>
                <w:bCs/>
                <w:iCs/>
                <w:color w:val="auto"/>
                <w:sz w:val="24"/>
                <w:szCs w:val="24"/>
                <w:lang w:val="en-US" w:eastAsia="zh-CN"/>
              </w:rPr>
              <w:t>的</w:t>
            </w:r>
            <w:r>
              <w:rPr>
                <w:rFonts w:hint="eastAsia" w:ascii="仿宋_GB2312" w:hAnsi="仿宋_GB2312" w:eastAsia="仿宋_GB2312" w:cs="仿宋_GB2312"/>
                <w:b w:val="0"/>
                <w:bCs/>
                <w:iCs/>
                <w:color w:val="auto"/>
                <w:sz w:val="24"/>
                <w:szCs w:val="24"/>
              </w:rPr>
              <w:t>得</w:t>
            </w:r>
            <w:r>
              <w:rPr>
                <w:rFonts w:hint="eastAsia" w:ascii="仿宋_GB2312" w:hAnsi="仿宋_GB2312" w:eastAsia="仿宋_GB2312" w:cs="仿宋_GB2312"/>
                <w:b w:val="0"/>
                <w:bCs/>
                <w:iCs/>
                <w:color w:val="auto"/>
                <w:sz w:val="24"/>
                <w:szCs w:val="24"/>
                <w:lang w:val="en-US" w:eastAsia="zh-CN"/>
              </w:rPr>
              <w:t>2</w:t>
            </w:r>
            <w:r>
              <w:rPr>
                <w:rFonts w:hint="eastAsia" w:ascii="仿宋_GB2312" w:hAnsi="仿宋_GB2312" w:eastAsia="仿宋_GB2312" w:cs="仿宋_GB2312"/>
                <w:b w:val="0"/>
                <w:bCs/>
                <w:iCs/>
                <w:color w:val="auto"/>
                <w:sz w:val="24"/>
                <w:szCs w:val="24"/>
              </w:rPr>
              <w:t>分</w:t>
            </w:r>
            <w:r>
              <w:rPr>
                <w:rFonts w:hint="eastAsia" w:ascii="仿宋_GB2312" w:hAnsi="仿宋_GB2312" w:eastAsia="仿宋_GB2312" w:cs="仿宋_GB2312"/>
                <w:b w:val="0"/>
                <w:bCs/>
                <w:iCs/>
                <w:color w:val="auto"/>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00" w:lineRule="auto"/>
              <w:ind w:left="0" w:leftChars="0" w:right="0" w:rightChars="0" w:firstLine="0" w:firstLineChars="0"/>
              <w:textAlignment w:val="auto"/>
              <w:rPr>
                <w:rFonts w:hint="eastAsia" w:ascii="仿宋_GB2312" w:hAnsi="仿宋_GB2312" w:eastAsia="仿宋_GB2312" w:cs="仿宋_GB2312"/>
                <w:b w:val="0"/>
                <w:bCs/>
                <w:iCs/>
                <w:color w:val="auto"/>
                <w:sz w:val="24"/>
                <w:szCs w:val="24"/>
              </w:rPr>
            </w:pPr>
            <w:r>
              <w:rPr>
                <w:rFonts w:hint="eastAsia" w:ascii="仿宋_GB2312" w:hAnsi="仿宋_GB2312" w:eastAsia="仿宋_GB2312" w:cs="仿宋_GB2312"/>
                <w:b w:val="0"/>
                <w:bCs/>
                <w:color w:val="auto"/>
                <w:kern w:val="2"/>
                <w:sz w:val="24"/>
                <w:szCs w:val="24"/>
                <w:highlight w:val="none"/>
                <w:lang w:val="en-US" w:eastAsia="zh-CN" w:bidi="ar-SA"/>
              </w:rPr>
              <w:t>三、消控员</w:t>
            </w:r>
            <w:r>
              <w:rPr>
                <w:rFonts w:hint="eastAsia" w:ascii="仿宋_GB2312" w:hAnsi="仿宋_GB2312" w:eastAsia="仿宋_GB2312" w:cs="仿宋_GB2312"/>
                <w:b w:val="0"/>
                <w:bCs/>
                <w:color w:val="auto"/>
                <w:sz w:val="24"/>
                <w:szCs w:val="24"/>
                <w:highlight w:val="none"/>
              </w:rPr>
              <w:t>持有人社部门颁发或认可的建（构）筑物消防员证书或消防设施操作员证书</w:t>
            </w:r>
            <w:r>
              <w:rPr>
                <w:rFonts w:hint="eastAsia" w:ascii="仿宋_GB2312" w:hAnsi="仿宋_GB2312" w:eastAsia="仿宋_GB2312" w:cs="仿宋_GB2312"/>
                <w:b w:val="0"/>
                <w:bCs/>
                <w:iCs/>
                <w:color w:val="auto"/>
                <w:sz w:val="24"/>
                <w:szCs w:val="24"/>
                <w:lang w:val="en-US" w:eastAsia="zh-CN"/>
              </w:rPr>
              <w:t>的</w:t>
            </w:r>
            <w:r>
              <w:rPr>
                <w:rFonts w:hint="eastAsia" w:ascii="仿宋_GB2312" w:hAnsi="仿宋_GB2312" w:eastAsia="仿宋_GB2312" w:cs="仿宋_GB2312"/>
                <w:b w:val="0"/>
                <w:bCs/>
                <w:iCs/>
                <w:color w:val="auto"/>
                <w:sz w:val="24"/>
                <w:szCs w:val="24"/>
              </w:rPr>
              <w:t>得</w:t>
            </w:r>
            <w:r>
              <w:rPr>
                <w:rFonts w:hint="eastAsia" w:ascii="仿宋_GB2312" w:hAnsi="仿宋_GB2312" w:eastAsia="仿宋_GB2312" w:cs="仿宋_GB2312"/>
                <w:b w:val="0"/>
                <w:bCs/>
                <w:iCs/>
                <w:color w:val="auto"/>
                <w:sz w:val="24"/>
                <w:szCs w:val="24"/>
                <w:lang w:val="en-US" w:eastAsia="zh-CN"/>
              </w:rPr>
              <w:t>2</w:t>
            </w:r>
            <w:r>
              <w:rPr>
                <w:rFonts w:hint="eastAsia" w:ascii="仿宋_GB2312" w:hAnsi="仿宋_GB2312" w:eastAsia="仿宋_GB2312" w:cs="仿宋_GB2312"/>
                <w:b w:val="0"/>
                <w:bCs/>
                <w:iCs/>
                <w:color w:val="auto"/>
                <w:sz w:val="24"/>
                <w:szCs w:val="24"/>
              </w:rPr>
              <w:t>分</w:t>
            </w:r>
            <w:r>
              <w:rPr>
                <w:rFonts w:hint="eastAsia" w:ascii="仿宋_GB2312" w:hAnsi="仿宋_GB2312" w:eastAsia="仿宋_GB2312" w:cs="仿宋_GB2312"/>
                <w:b w:val="0"/>
                <w:bCs/>
                <w:color w:val="auto"/>
                <w:sz w:val="24"/>
                <w:szCs w:val="24"/>
                <w:highlight w:val="none"/>
                <w:lang w:eastAsia="zh-CN"/>
              </w:rPr>
              <w:t>；</w:t>
            </w:r>
          </w:p>
          <w:p>
            <w:pPr>
              <w:numPr>
                <w:ilvl w:val="0"/>
                <w:numId w:val="0"/>
              </w:numPr>
              <w:spacing w:line="300" w:lineRule="auto"/>
              <w:ind w:firstLine="0" w:firstLineChars="0"/>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color w:val="auto"/>
                <w:kern w:val="0"/>
                <w:sz w:val="24"/>
                <w:szCs w:val="24"/>
                <w:lang w:val="en-US" w:eastAsia="zh-CN"/>
              </w:rPr>
              <w:t>注：提供相关证书及本单位社保缴纳证明均加盖投标人公章,否则不得分。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rPr>
            </w:pPr>
            <w:r>
              <w:rPr>
                <w:rFonts w:hint="eastAsia" w:ascii="仿宋_GB2312" w:hAnsi="仿宋_GB2312" w:eastAsia="仿宋_GB2312" w:cs="仿宋_GB2312"/>
                <w:b w:val="0"/>
                <w:bCs/>
                <w:color w:val="auto"/>
                <w:sz w:val="24"/>
                <w:szCs w:val="24"/>
                <w:highlight w:val="none"/>
                <w:lang w:val="en-US" w:eastAsia="zh-CN"/>
              </w:rPr>
              <w:t>6</w:t>
            </w:r>
          </w:p>
        </w:tc>
      </w:tr>
      <w:tr>
        <w:tblPrEx>
          <w:tblCellMar>
            <w:top w:w="0" w:type="dxa"/>
            <w:left w:w="108" w:type="dxa"/>
            <w:bottom w:w="0" w:type="dxa"/>
            <w:right w:w="108" w:type="dxa"/>
          </w:tblCellMar>
        </w:tblPrEx>
        <w:trPr>
          <w:trHeight w:val="232"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5</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总体管理</w:t>
            </w:r>
          </w:p>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lang w:val="en-US" w:eastAsia="zh-CN"/>
              </w:rPr>
              <w:t>根据</w:t>
            </w:r>
            <w:r>
              <w:rPr>
                <w:rFonts w:hint="eastAsia" w:ascii="仿宋_GB2312" w:hAnsi="仿宋_GB2312" w:eastAsia="仿宋_GB2312" w:cs="仿宋_GB2312"/>
                <w:b w:val="0"/>
                <w:bCs/>
                <w:iCs/>
                <w:color w:val="auto"/>
                <w:sz w:val="24"/>
                <w:szCs w:val="24"/>
              </w:rPr>
              <w:t>投标人提供</w:t>
            </w:r>
            <w:r>
              <w:rPr>
                <w:rFonts w:hint="eastAsia" w:ascii="仿宋_GB2312" w:hAnsi="仿宋_GB2312" w:eastAsia="仿宋_GB2312" w:cs="仿宋_GB2312"/>
                <w:b w:val="0"/>
                <w:bCs/>
                <w:iCs/>
                <w:color w:val="auto"/>
                <w:sz w:val="24"/>
                <w:szCs w:val="24"/>
                <w:lang w:val="en-US" w:eastAsia="zh-CN"/>
              </w:rPr>
              <w:t>的</w:t>
            </w:r>
            <w:r>
              <w:rPr>
                <w:rFonts w:hint="eastAsia" w:ascii="仿宋_GB2312" w:hAnsi="仿宋_GB2312" w:eastAsia="仿宋_GB2312" w:cs="仿宋_GB2312"/>
                <w:b w:val="0"/>
                <w:bCs/>
                <w:iCs/>
                <w:color w:val="auto"/>
                <w:sz w:val="24"/>
                <w:szCs w:val="24"/>
              </w:rPr>
              <w:t>总体管理方案</w:t>
            </w:r>
            <w:r>
              <w:rPr>
                <w:rFonts w:hint="eastAsia" w:ascii="仿宋_GB2312" w:hAnsi="仿宋_GB2312" w:eastAsia="仿宋_GB2312" w:cs="仿宋_GB2312"/>
                <w:b w:val="0"/>
                <w:bCs/>
                <w:iCs/>
                <w:color w:val="auto"/>
                <w:sz w:val="24"/>
                <w:szCs w:val="24"/>
                <w:lang w:val="en-US" w:eastAsia="zh-CN"/>
              </w:rPr>
              <w:t>进行打分</w:t>
            </w:r>
            <w:r>
              <w:rPr>
                <w:rFonts w:hint="eastAsia" w:ascii="仿宋_GB2312" w:hAnsi="仿宋_GB2312" w:eastAsia="仿宋_GB2312" w:cs="仿宋_GB2312"/>
                <w:b w:val="0"/>
                <w:bCs/>
                <w:iCs/>
                <w:color w:val="auto"/>
                <w:sz w:val="24"/>
                <w:szCs w:val="24"/>
                <w:lang w:eastAsia="zh-CN"/>
              </w:rPr>
              <w:t>，</w:t>
            </w:r>
            <w:r>
              <w:rPr>
                <w:rFonts w:hint="eastAsia" w:ascii="仿宋_GB2312" w:hAnsi="仿宋_GB2312" w:eastAsia="仿宋_GB2312" w:cs="仿宋_GB2312"/>
                <w:b w:val="0"/>
                <w:bCs/>
                <w:iCs/>
                <w:color w:val="auto"/>
                <w:sz w:val="24"/>
                <w:szCs w:val="24"/>
              </w:rPr>
              <w:t>包括但不限于</w:t>
            </w:r>
            <w:r>
              <w:rPr>
                <w:rFonts w:hint="eastAsia" w:ascii="仿宋_GB2312" w:hAnsi="仿宋_GB2312" w:eastAsia="仿宋_GB2312" w:cs="仿宋_GB2312"/>
                <w:b w:val="0"/>
                <w:bCs/>
                <w:iCs/>
                <w:color w:val="auto"/>
                <w:sz w:val="24"/>
                <w:szCs w:val="24"/>
                <w:lang w:eastAsia="zh-CN"/>
              </w:rPr>
              <w:t>项目</w:t>
            </w:r>
            <w:r>
              <w:rPr>
                <w:rFonts w:hint="eastAsia" w:ascii="仿宋_GB2312" w:hAnsi="仿宋_GB2312" w:eastAsia="仿宋_GB2312" w:cs="仿宋_GB2312"/>
                <w:b w:val="0"/>
                <w:bCs/>
                <w:iCs/>
                <w:color w:val="auto"/>
                <w:sz w:val="24"/>
                <w:szCs w:val="24"/>
              </w:rPr>
              <w:t>现状分析、总体管理方案、服务指标及措施等，</w:t>
            </w:r>
            <w:r>
              <w:rPr>
                <w:rFonts w:hint="eastAsia" w:ascii="仿宋_GB2312" w:hAnsi="仿宋_GB2312" w:eastAsia="仿宋_GB2312" w:cs="仿宋_GB2312"/>
                <w:b w:val="0"/>
                <w:bCs/>
                <w:iCs/>
                <w:color w:val="auto"/>
                <w:sz w:val="24"/>
                <w:szCs w:val="24"/>
                <w:lang w:val="en-US" w:eastAsia="zh-CN"/>
              </w:rPr>
              <w:t>0-5分</w:t>
            </w:r>
            <w:r>
              <w:rPr>
                <w:rFonts w:hint="eastAsia" w:ascii="仿宋_GB2312" w:hAnsi="仿宋_GB2312" w:eastAsia="仿宋_GB2312" w:cs="仿宋_GB2312"/>
                <w:b w:val="0"/>
                <w:bCs/>
                <w:iCs/>
                <w:color w:val="auto"/>
                <w:sz w:val="24"/>
                <w:szCs w:val="24"/>
              </w:rPr>
              <w:t>。</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232"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6</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员工培训</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根据投标人提供的员工培训方案进行打分，包括但不限于职业技能培训教育能力或认定资质；培训的频次、内容等，0-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1141"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7</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会议服务</w:t>
            </w:r>
          </w:p>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lang w:val="en-US" w:eastAsia="zh-CN" w:bidi="ar-SA"/>
              </w:rPr>
              <w:t>根据投标人提供的会务服务方案进行打分，包括但不限于：会务细则；会务工作标准、流程等，0-5分。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232"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8</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保安服务</w:t>
            </w:r>
          </w:p>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根据投标人提供的保安服务方案进行打分，包括但不限于物业服务区域内的日常治安管理、巡逻检查、消防安全的日常维护等，0-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567"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9</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保洁服务</w:t>
            </w:r>
          </w:p>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根据投标人提供的保洁服务方案进行打分，包括但不限于公共区域及设施的保洁方案</w:t>
            </w:r>
            <w:r>
              <w:rPr>
                <w:rFonts w:hint="eastAsia" w:ascii="仿宋_GB2312" w:hAnsi="仿宋_GB2312" w:eastAsia="仿宋_GB2312" w:cs="仿宋_GB2312"/>
                <w:b w:val="0"/>
                <w:bCs/>
                <w:iCs/>
                <w:color w:val="auto"/>
                <w:sz w:val="24"/>
                <w:szCs w:val="24"/>
                <w:lang w:eastAsia="zh-CN"/>
              </w:rPr>
              <w:t>、</w:t>
            </w:r>
            <w:r>
              <w:rPr>
                <w:rFonts w:hint="eastAsia" w:ascii="仿宋_GB2312" w:hAnsi="仿宋_GB2312" w:eastAsia="仿宋_GB2312" w:cs="仿宋_GB2312"/>
                <w:b w:val="0"/>
                <w:bCs/>
                <w:iCs/>
                <w:color w:val="auto"/>
                <w:sz w:val="24"/>
                <w:szCs w:val="24"/>
              </w:rPr>
              <w:t>灭“四害”消杀等，0-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203"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kern w:val="2"/>
                <w:sz w:val="24"/>
                <w:szCs w:val="24"/>
                <w:highlight w:val="none"/>
                <w:lang w:val="en-US" w:eastAsia="zh-CN" w:bidi="ar-SA"/>
              </w:rPr>
              <w:t>10</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维修服务</w:t>
            </w:r>
          </w:p>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根据投标人提供的维修服务方案进行打分，包括但不限于高（低）压线路、照明及供电设备管理维护方案；弱电系统管理维护方案；给排水设备运行维护方案；房屋及设备设施日常养护、巡查维修方案；消防设备维护方案等，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567"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rPr>
              <w:t>11</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绿化服务</w:t>
            </w:r>
          </w:p>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eastAsia="zh-CN"/>
              </w:rPr>
              <w:t>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left"/>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iCs/>
                <w:color w:val="auto"/>
                <w:sz w:val="24"/>
                <w:szCs w:val="24"/>
              </w:rPr>
              <w:t>根据投标人提供的绿化养护服务</w:t>
            </w:r>
            <w:r>
              <w:rPr>
                <w:rFonts w:hint="eastAsia" w:ascii="仿宋_GB2312" w:hAnsi="仿宋_GB2312" w:eastAsia="仿宋_GB2312" w:cs="仿宋_GB2312"/>
                <w:b w:val="0"/>
                <w:bCs/>
                <w:iCs/>
                <w:color w:val="auto"/>
                <w:sz w:val="24"/>
                <w:szCs w:val="24"/>
                <w:lang w:val="en-US" w:eastAsia="zh-CN"/>
              </w:rPr>
              <w:t>方案进行打分，包括但不限于</w:t>
            </w:r>
            <w:r>
              <w:rPr>
                <w:rFonts w:hint="eastAsia" w:ascii="仿宋_GB2312" w:hAnsi="仿宋_GB2312" w:eastAsia="仿宋_GB2312" w:cs="仿宋_GB2312"/>
                <w:b w:val="0"/>
                <w:bCs/>
                <w:iCs/>
                <w:color w:val="auto"/>
                <w:sz w:val="24"/>
                <w:szCs w:val="24"/>
              </w:rPr>
              <w:t>各楼层过道绿化；公共绿地的施肥、浇水养护、病虫害防治、灾害预防措施、绿化租摆等，0-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567"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12</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信息化服务</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根据投标人针对本项目拟投入信息化系统进行打分，包括但不限于垃圾分类收运、垃圾分类投放、分类处置、数据采集与对接等功能，需提供系统介绍和主要功能截图或相关承诺，0-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22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3</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稳定员工队伍的措施</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left"/>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根据投标人提供的稳定员工队伍的措施进行打分，包括但不限于员工福利待遇，工会福利等，0-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22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4</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紧急事件防范预案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根据投标人</w:t>
            </w:r>
            <w:r>
              <w:rPr>
                <w:rFonts w:hint="eastAsia" w:ascii="仿宋_GB2312" w:hAnsi="仿宋_GB2312" w:eastAsia="仿宋_GB2312" w:cs="仿宋_GB2312"/>
                <w:b w:val="0"/>
                <w:bCs/>
                <w:iCs/>
                <w:color w:val="auto"/>
                <w:sz w:val="24"/>
                <w:szCs w:val="24"/>
                <w:lang w:val="en-US" w:eastAsia="zh-CN"/>
              </w:rPr>
              <w:t>提供的</w:t>
            </w:r>
            <w:r>
              <w:rPr>
                <w:rFonts w:hint="eastAsia" w:ascii="仿宋_GB2312" w:hAnsi="仿宋_GB2312" w:eastAsia="仿宋_GB2312" w:cs="仿宋_GB2312"/>
                <w:b w:val="0"/>
                <w:bCs/>
                <w:iCs/>
                <w:color w:val="auto"/>
                <w:sz w:val="24"/>
                <w:szCs w:val="24"/>
              </w:rPr>
              <w:t>紧急事件防范预案</w:t>
            </w:r>
            <w:r>
              <w:rPr>
                <w:rFonts w:hint="eastAsia" w:ascii="仿宋_GB2312" w:hAnsi="仿宋_GB2312" w:eastAsia="仿宋_GB2312" w:cs="仿宋_GB2312"/>
                <w:b w:val="0"/>
                <w:bCs/>
                <w:iCs/>
                <w:color w:val="auto"/>
                <w:sz w:val="24"/>
                <w:szCs w:val="24"/>
                <w:lang w:val="en-US" w:eastAsia="zh-CN"/>
              </w:rPr>
              <w:t>进行打分，包括但不限于</w:t>
            </w:r>
            <w:r>
              <w:rPr>
                <w:rFonts w:hint="eastAsia" w:ascii="仿宋_GB2312" w:hAnsi="仿宋_GB2312" w:eastAsia="仿宋_GB2312" w:cs="仿宋_GB2312"/>
                <w:b w:val="0"/>
                <w:bCs/>
                <w:iCs/>
                <w:color w:val="auto"/>
                <w:sz w:val="24"/>
                <w:szCs w:val="24"/>
              </w:rPr>
              <w:t>防台、防汛、防火、防震、突发事件处置的应急措施</w:t>
            </w:r>
            <w:r>
              <w:rPr>
                <w:rFonts w:hint="eastAsia" w:ascii="仿宋_GB2312" w:hAnsi="仿宋_GB2312" w:eastAsia="仿宋_GB2312" w:cs="仿宋_GB2312"/>
                <w:b w:val="0"/>
                <w:bCs/>
                <w:iCs/>
                <w:color w:val="auto"/>
                <w:sz w:val="24"/>
                <w:szCs w:val="24"/>
                <w:lang w:val="en-US" w:eastAsia="zh-CN"/>
              </w:rPr>
              <w:t>等</w:t>
            </w:r>
            <w:r>
              <w:rPr>
                <w:rFonts w:hint="eastAsia" w:ascii="仿宋_GB2312" w:hAnsi="仿宋_GB2312" w:eastAsia="仿宋_GB2312" w:cs="仿宋_GB2312"/>
                <w:b w:val="0"/>
                <w:bCs/>
                <w:iCs/>
                <w:color w:val="auto"/>
                <w:sz w:val="24"/>
                <w:szCs w:val="24"/>
              </w:rPr>
              <w:t>，0-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22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5</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节能降耗</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textAlignment w:val="auto"/>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eastAsia="仿宋_GB2312" w:cs="仿宋_GB2312"/>
                <w:b w:val="0"/>
                <w:bCs/>
                <w:iCs/>
                <w:color w:val="auto"/>
                <w:sz w:val="24"/>
                <w:szCs w:val="24"/>
              </w:rPr>
              <w:t>根据投标人提供节能降耗措施及方案</w:t>
            </w:r>
            <w:r>
              <w:rPr>
                <w:rFonts w:hint="eastAsia" w:ascii="仿宋_GB2312" w:hAnsi="仿宋_GB2312" w:eastAsia="仿宋_GB2312" w:cs="仿宋_GB2312"/>
                <w:b w:val="0"/>
                <w:bCs/>
                <w:iCs/>
                <w:color w:val="auto"/>
                <w:sz w:val="24"/>
                <w:szCs w:val="24"/>
                <w:lang w:val="en-US" w:eastAsia="zh-CN"/>
              </w:rPr>
              <w:t>进行打分</w:t>
            </w:r>
            <w:r>
              <w:rPr>
                <w:rFonts w:hint="eastAsia" w:ascii="仿宋_GB2312" w:hAnsi="仿宋_GB2312" w:eastAsia="仿宋_GB2312" w:cs="仿宋_GB2312"/>
                <w:b w:val="0"/>
                <w:bCs/>
                <w:iCs/>
                <w:color w:val="auto"/>
                <w:sz w:val="24"/>
                <w:szCs w:val="24"/>
              </w:rPr>
              <w:t>，包括但不限于节能降耗制度，对水、电等能源资源利用，落实环境保护，节能降耗创新举措等，0-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22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16</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iCs/>
                <w:color w:val="auto"/>
                <w:kern w:val="2"/>
                <w:sz w:val="24"/>
                <w:szCs w:val="24"/>
                <w:lang w:val="en-US" w:eastAsia="zh-CN" w:bidi="ar-SA"/>
              </w:rPr>
            </w:pPr>
            <w:r>
              <w:rPr>
                <w:rFonts w:hint="eastAsia" w:ascii="仿宋_GB2312" w:hAnsi="仿宋_GB2312" w:eastAsia="仿宋_GB2312" w:cs="仿宋_GB2312"/>
                <w:b w:val="0"/>
                <w:bCs/>
                <w:iCs/>
                <w:color w:val="auto"/>
                <w:sz w:val="24"/>
                <w:szCs w:val="24"/>
              </w:rPr>
              <w:t>工作组织实施方案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0" w:firstLineChars="0"/>
              <w:textAlignment w:val="auto"/>
              <w:rPr>
                <w:rFonts w:hint="eastAsia" w:ascii="仿宋_GB2312" w:hAnsi="仿宋_GB2312" w:eastAsia="仿宋_GB2312" w:cs="仿宋_GB2312"/>
                <w:b w:val="0"/>
                <w:bCs/>
                <w:iCs/>
                <w:color w:val="auto"/>
                <w:kern w:val="2"/>
                <w:sz w:val="24"/>
                <w:szCs w:val="24"/>
                <w:lang w:val="en-US" w:eastAsia="zh-CN" w:bidi="ar-SA"/>
              </w:rPr>
            </w:pPr>
            <w:r>
              <w:rPr>
                <w:rFonts w:hint="eastAsia" w:ascii="仿宋_GB2312" w:hAnsi="仿宋_GB2312" w:eastAsia="仿宋_GB2312" w:cs="仿宋_GB2312"/>
                <w:b w:val="0"/>
                <w:bCs/>
                <w:iCs/>
                <w:color w:val="auto"/>
                <w:sz w:val="24"/>
                <w:szCs w:val="24"/>
              </w:rPr>
              <w:t>根据投标人提供的工作组织实施方案进行打分，包</w:t>
            </w:r>
            <w:r>
              <w:rPr>
                <w:rFonts w:hint="eastAsia" w:ascii="仿宋_GB2312" w:hAnsi="仿宋_GB2312" w:eastAsia="仿宋_GB2312" w:cs="仿宋_GB2312"/>
                <w:b w:val="0"/>
                <w:bCs/>
                <w:iCs/>
                <w:color w:val="auto"/>
                <w:sz w:val="24"/>
                <w:szCs w:val="24"/>
                <w:lang w:val="en-US" w:eastAsia="zh-CN"/>
              </w:rPr>
              <w:t>括</w:t>
            </w:r>
            <w:r>
              <w:rPr>
                <w:rFonts w:hint="eastAsia" w:ascii="仿宋_GB2312" w:hAnsi="仿宋_GB2312" w:eastAsia="仿宋_GB2312" w:cs="仿宋_GB2312"/>
                <w:b w:val="0"/>
                <w:bCs/>
                <w:iCs/>
                <w:color w:val="auto"/>
                <w:sz w:val="24"/>
                <w:szCs w:val="24"/>
              </w:rPr>
              <w:t>但不限于管理流程、激励机制、监督机制、自我约束机制、信息反馈渠道及处理机制，管理指标承诺达到物业管理标准等，0-</w:t>
            </w:r>
            <w:r>
              <w:rPr>
                <w:rFonts w:hint="eastAsia" w:ascii="仿宋_GB2312" w:hAnsi="仿宋_GB2312" w:eastAsia="仿宋_GB2312" w:cs="仿宋_GB2312"/>
                <w:b w:val="0"/>
                <w:bCs/>
                <w:iCs/>
                <w:color w:val="auto"/>
                <w:sz w:val="24"/>
                <w:szCs w:val="24"/>
                <w:lang w:val="en-US" w:eastAsia="zh-CN"/>
              </w:rPr>
              <w:t>5</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5</w:t>
            </w:r>
          </w:p>
        </w:tc>
      </w:tr>
      <w:tr>
        <w:tblPrEx>
          <w:tblCellMar>
            <w:top w:w="0" w:type="dxa"/>
            <w:left w:w="108" w:type="dxa"/>
            <w:bottom w:w="0" w:type="dxa"/>
            <w:right w:w="108" w:type="dxa"/>
          </w:tblCellMar>
        </w:tblPrEx>
        <w:trPr>
          <w:trHeight w:val="22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17</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iCs/>
                <w:color w:val="auto"/>
                <w:sz w:val="24"/>
                <w:szCs w:val="24"/>
              </w:rPr>
            </w:pPr>
            <w:r>
              <w:rPr>
                <w:rFonts w:hint="eastAsia" w:ascii="仿宋_GB2312" w:hAnsi="仿宋_GB2312" w:eastAsia="仿宋_GB2312" w:cs="仿宋_GB2312"/>
                <w:b w:val="0"/>
                <w:bCs/>
                <w:iCs/>
                <w:color w:val="auto"/>
                <w:sz w:val="24"/>
                <w:szCs w:val="24"/>
              </w:rPr>
              <w:t>各项财务收支预算情况方案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0" w:firstLineChars="0"/>
              <w:textAlignment w:val="auto"/>
              <w:rPr>
                <w:rFonts w:hint="eastAsia" w:ascii="仿宋_GB2312" w:hAnsi="仿宋_GB2312" w:eastAsia="仿宋_GB2312" w:cs="仿宋_GB2312"/>
                <w:b w:val="0"/>
                <w:bCs/>
                <w:iCs/>
                <w:color w:val="auto"/>
                <w:sz w:val="24"/>
                <w:szCs w:val="24"/>
              </w:rPr>
            </w:pPr>
            <w:r>
              <w:rPr>
                <w:rFonts w:hint="eastAsia" w:ascii="仿宋_GB2312" w:hAnsi="仿宋_GB2312" w:eastAsia="仿宋_GB2312" w:cs="仿宋_GB2312"/>
                <w:b w:val="0"/>
                <w:bCs/>
                <w:iCs/>
                <w:color w:val="auto"/>
                <w:sz w:val="24"/>
                <w:szCs w:val="24"/>
              </w:rPr>
              <w:t>投标人提供针对本项目实际情况制订的各项财务收、支预算情况方案、人员薪酬、工作时间、合同签订执行等方案，0-</w:t>
            </w:r>
            <w:r>
              <w:rPr>
                <w:rFonts w:hint="eastAsia" w:ascii="仿宋_GB2312" w:hAnsi="仿宋_GB2312" w:eastAsia="仿宋_GB2312" w:cs="仿宋_GB2312"/>
                <w:b w:val="0"/>
                <w:bCs/>
                <w:iCs/>
                <w:color w:val="auto"/>
                <w:sz w:val="24"/>
                <w:szCs w:val="24"/>
                <w:lang w:val="en-US" w:eastAsia="zh-CN"/>
              </w:rPr>
              <w:t>4</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4</w:t>
            </w:r>
          </w:p>
        </w:tc>
      </w:tr>
      <w:tr>
        <w:tblPrEx>
          <w:tblCellMar>
            <w:top w:w="0" w:type="dxa"/>
            <w:left w:w="108" w:type="dxa"/>
            <w:bottom w:w="0" w:type="dxa"/>
            <w:right w:w="108" w:type="dxa"/>
          </w:tblCellMar>
        </w:tblPrEx>
        <w:trPr>
          <w:trHeight w:val="22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18</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iCs/>
                <w:color w:val="auto"/>
                <w:sz w:val="24"/>
                <w:szCs w:val="24"/>
              </w:rPr>
            </w:pPr>
            <w:r>
              <w:rPr>
                <w:rFonts w:hint="eastAsia" w:ascii="仿宋_GB2312" w:hAnsi="仿宋_GB2312" w:eastAsia="仿宋_GB2312" w:cs="仿宋_GB2312"/>
                <w:b w:val="0"/>
                <w:bCs/>
                <w:iCs/>
                <w:color w:val="auto"/>
                <w:sz w:val="24"/>
                <w:szCs w:val="24"/>
              </w:rPr>
              <w:t>物资设备保障</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0" w:firstLineChars="0"/>
              <w:textAlignment w:val="auto"/>
              <w:rPr>
                <w:rFonts w:hint="eastAsia" w:ascii="仿宋_GB2312" w:hAnsi="仿宋_GB2312" w:eastAsia="仿宋_GB2312" w:cs="仿宋_GB2312"/>
                <w:b w:val="0"/>
                <w:bCs/>
                <w:iCs/>
                <w:color w:val="auto"/>
                <w:sz w:val="24"/>
                <w:szCs w:val="24"/>
              </w:rPr>
            </w:pPr>
            <w:r>
              <w:rPr>
                <w:rFonts w:hint="eastAsia" w:ascii="仿宋_GB2312" w:hAnsi="仿宋_GB2312" w:eastAsia="仿宋_GB2312" w:cs="仿宋_GB2312"/>
                <w:b w:val="0"/>
                <w:bCs/>
                <w:iCs/>
                <w:color w:val="auto"/>
                <w:sz w:val="24"/>
                <w:szCs w:val="24"/>
              </w:rPr>
              <w:t>投标人提供拟投入本项目的物资设备保障方案，包含但不限于技术装备、物资清单等，0-</w:t>
            </w:r>
            <w:r>
              <w:rPr>
                <w:rFonts w:hint="eastAsia" w:ascii="仿宋_GB2312" w:hAnsi="仿宋_GB2312" w:eastAsia="仿宋_GB2312" w:cs="仿宋_GB2312"/>
                <w:b w:val="0"/>
                <w:bCs/>
                <w:iCs/>
                <w:color w:val="auto"/>
                <w:sz w:val="24"/>
                <w:szCs w:val="24"/>
                <w:lang w:val="en-US" w:eastAsia="zh-CN"/>
              </w:rPr>
              <w:t>4</w:t>
            </w:r>
            <w:r>
              <w:rPr>
                <w:rFonts w:hint="eastAsia" w:ascii="仿宋_GB2312" w:hAnsi="仿宋_GB2312" w:eastAsia="仿宋_GB2312" w:cs="仿宋_GB2312"/>
                <w:b w:val="0"/>
                <w:bCs/>
                <w:iCs/>
                <w:color w:val="auto"/>
                <w:sz w:val="24"/>
                <w:szCs w:val="24"/>
              </w:rPr>
              <w:t>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4</w:t>
            </w:r>
          </w:p>
        </w:tc>
      </w:tr>
      <w:tr>
        <w:tblPrEx>
          <w:tblCellMar>
            <w:top w:w="0" w:type="dxa"/>
            <w:left w:w="108" w:type="dxa"/>
            <w:bottom w:w="0" w:type="dxa"/>
            <w:right w:w="108" w:type="dxa"/>
          </w:tblCellMar>
        </w:tblPrEx>
        <w:trPr>
          <w:trHeight w:val="224" w:hRule="atLeast"/>
        </w:trPr>
        <w:tc>
          <w:tcPr>
            <w:tcW w:w="4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19</w:t>
            </w:r>
          </w:p>
        </w:tc>
        <w:tc>
          <w:tcPr>
            <w:tcW w:w="787"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00" w:lineRule="auto"/>
              <w:ind w:left="0" w:leftChars="0" w:right="0" w:rightChars="0" w:firstLine="0" w:firstLineChars="0"/>
              <w:jc w:val="center"/>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rPr>
              <w:t>交接方案</w:t>
            </w:r>
          </w:p>
        </w:tc>
        <w:tc>
          <w:tcPr>
            <w:tcW w:w="3054"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00" w:lineRule="auto"/>
              <w:ind w:left="0" w:leftChars="0" w:right="0" w:rightChars="0" w:firstLine="0" w:firstLineChars="0"/>
              <w:jc w:val="left"/>
              <w:textAlignment w:val="auto"/>
              <w:rPr>
                <w:rFonts w:hint="eastAsia" w:ascii="仿宋_GB2312" w:hAnsi="仿宋_GB2312" w:eastAsia="仿宋_GB2312" w:cs="仿宋_GB2312"/>
                <w:b w:val="0"/>
                <w:bCs/>
                <w:color w:val="auto"/>
                <w:kern w:val="2"/>
                <w:sz w:val="24"/>
                <w:szCs w:val="24"/>
                <w:lang w:val="en-US" w:eastAsia="zh-CN" w:bidi="ar-SA"/>
              </w:rPr>
            </w:pPr>
            <w:r>
              <w:rPr>
                <w:rFonts w:hint="eastAsia" w:ascii="仿宋_GB2312" w:hAnsi="仿宋_GB2312" w:eastAsia="仿宋_GB2312" w:cs="仿宋_GB2312"/>
                <w:b w:val="0"/>
                <w:bCs/>
                <w:color w:val="auto"/>
                <w:sz w:val="24"/>
                <w:szCs w:val="24"/>
              </w:rPr>
              <w:t>根据</w:t>
            </w:r>
            <w:r>
              <w:rPr>
                <w:rFonts w:hint="eastAsia" w:ascii="仿宋_GB2312" w:hAnsi="仿宋_GB2312" w:eastAsia="仿宋_GB2312" w:cs="仿宋_GB2312"/>
                <w:b w:val="0"/>
                <w:bCs/>
                <w:color w:val="auto"/>
                <w:sz w:val="24"/>
                <w:szCs w:val="24"/>
                <w:lang w:val="en-US" w:eastAsia="zh-CN"/>
              </w:rPr>
              <w:t>投标人</w:t>
            </w:r>
            <w:r>
              <w:rPr>
                <w:rFonts w:hint="eastAsia" w:ascii="仿宋_GB2312" w:hAnsi="仿宋_GB2312" w:eastAsia="仿宋_GB2312" w:cs="仿宋_GB2312"/>
                <w:b w:val="0"/>
                <w:bCs/>
                <w:color w:val="auto"/>
                <w:sz w:val="24"/>
                <w:szCs w:val="24"/>
              </w:rPr>
              <w:t>提供的进退场交接方案</w:t>
            </w:r>
            <w:r>
              <w:rPr>
                <w:rFonts w:hint="eastAsia" w:ascii="仿宋_GB2312" w:hAnsi="仿宋_GB2312" w:eastAsia="仿宋_GB2312" w:cs="仿宋_GB2312"/>
                <w:b w:val="0"/>
                <w:bCs/>
                <w:color w:val="auto"/>
                <w:sz w:val="24"/>
                <w:szCs w:val="24"/>
                <w:lang w:val="en-US" w:eastAsia="zh-CN"/>
              </w:rPr>
              <w:t>进行打分，包括但不限于人员安置、工作移交、设备盘点交接、提前对接等进行打分，0-4分。</w:t>
            </w:r>
          </w:p>
        </w:tc>
        <w:tc>
          <w:tcPr>
            <w:tcW w:w="74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kinsoku/>
              <w:wordWrap/>
              <w:overflowPunct/>
              <w:topLinePunct w:val="0"/>
              <w:autoSpaceDE/>
              <w:autoSpaceDN/>
              <w:bidi w:val="0"/>
              <w:snapToGrid/>
              <w:spacing w:line="300" w:lineRule="auto"/>
              <w:ind w:left="0" w:leftChars="0" w:right="0" w:rightChars="0" w:firstLine="0" w:firstLineChars="0"/>
              <w:jc w:val="center"/>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4</w:t>
            </w:r>
          </w:p>
        </w:tc>
      </w:tr>
    </w:tbl>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10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10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绍兴市食品药品检验研究院</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绍兴市食品药品检验研究院2025年物业管理服务项目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2024-12-0156</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8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2"/>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2"/>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2"/>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9"/>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绍兴市食品药品检验研究院</w:t>
      </w:r>
      <w:r>
        <w:rPr>
          <w:rFonts w:hint="eastAsia" w:ascii="仿宋_GB2312" w:hAnsi="仿宋" w:eastAsia="仿宋_GB2312" w:cs="仿宋"/>
          <w:szCs w:val="24"/>
          <w:highlight w:val="none"/>
          <w:u w:val="single"/>
        </w:rPr>
        <w:t>、绍兴市公共资源交易中心</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绍兴市食品药品检验研究院</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绍兴市食品药品检验研究院2025年物业管理服务项目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2024-12-0156</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绍兴市食品药品检验研究院</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绍兴市食品药品检验研究院2025年物业管理服务项目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2024-12-0156</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绍兴市食品药品检验研究院</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3"/>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8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81"/>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绍兴市食品药品检验研究院</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绍兴市食品药品检验研究院2025年物业管理服务项目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2024-12-0156</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9"/>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1" w:name="_Hlk101259491"/>
      <w:r>
        <w:rPr>
          <w:rFonts w:hint="eastAsia" w:ascii="仿宋_GB2312" w:hAnsi="仿宋" w:eastAsia="仿宋_GB2312" w:cs="仿宋"/>
          <w:sz w:val="32"/>
          <w:szCs w:val="32"/>
          <w:highlight w:val="none"/>
        </w:rPr>
        <w:t>（如果有）</w:t>
      </w:r>
      <w:bookmarkEnd w:id="131"/>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Ansi="仿宋" w:cs="仿宋"/>
          <w:b/>
          <w:color w:val="auto"/>
          <w:highlight w:val="none"/>
        </w:rPr>
      </w:pPr>
    </w:p>
    <w:p>
      <w:pPr>
        <w:pStyle w:val="81"/>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80"/>
        <w:rPr>
          <w:rFonts w:hAnsi="仿宋" w:cs="仿宋"/>
          <w:b/>
          <w:color w:val="auto"/>
          <w:highlight w:val="none"/>
        </w:rPr>
      </w:pPr>
    </w:p>
    <w:p>
      <w:pPr>
        <w:pStyle w:val="81"/>
        <w:rPr>
          <w:rFonts w:ascii="仿宋_GB2312" w:eastAsia="仿宋_GB2312"/>
          <w:highlight w:val="none"/>
        </w:rPr>
      </w:pPr>
    </w:p>
    <w:p>
      <w:pPr>
        <w:pStyle w:val="81"/>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80"/>
        <w:widowControl/>
        <w:spacing w:line="360" w:lineRule="auto"/>
        <w:ind w:firstLine="120" w:firstLineChars="50"/>
        <w:rPr>
          <w:rFonts w:hAnsi="仿宋" w:cs="仿宋"/>
          <w:b/>
          <w:color w:val="auto"/>
          <w:highlight w:val="none"/>
        </w:rPr>
      </w:pPr>
    </w:p>
    <w:p>
      <w:pPr>
        <w:pStyle w:val="81"/>
        <w:spacing w:line="360" w:lineRule="auto"/>
        <w:ind w:left="0" w:firstLine="120" w:firstLineChars="50"/>
        <w:jc w:val="left"/>
        <w:rPr>
          <w:rFonts w:ascii="仿宋_GB2312" w:hAnsi="仿宋" w:eastAsia="仿宋_GB2312" w:cs="仿宋"/>
          <w:b/>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2" w:name="_Toc465665161"/>
      <w:r>
        <w:rPr>
          <w:rFonts w:hint="eastAsia" w:ascii="仿宋_GB2312" w:hAnsi="仿宋" w:cs="仿宋"/>
          <w:highlight w:val="none"/>
        </w:rPr>
        <w:t>附件</w:t>
      </w:r>
      <w:bookmarkEnd w:id="132"/>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8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3" w:name="_Hlk101131882"/>
      <w:r>
        <w:rPr>
          <w:rFonts w:hint="eastAsia" w:ascii="仿宋_GB2312" w:hAnsi="仿宋" w:eastAsia="仿宋_GB2312" w:cs="仿宋"/>
          <w:kern w:val="0"/>
          <w:sz w:val="24"/>
          <w:highlight w:val="none"/>
          <w:u w:val="single"/>
        </w:rPr>
        <w:t>联合体成员X,……</w:t>
      </w:r>
      <w:bookmarkEnd w:id="133"/>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4"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4"/>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80"/>
        <w:rPr>
          <w:rFonts w:hAnsi="仿宋" w:cs="仿宋"/>
          <w:b/>
          <w:color w:val="auto"/>
          <w:spacing w:val="6"/>
          <w:sz w:val="32"/>
          <w:szCs w:val="32"/>
          <w:highlight w:val="none"/>
        </w:rPr>
      </w:pPr>
    </w:p>
    <w:p>
      <w:pPr>
        <w:pStyle w:val="81"/>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80"/>
        <w:rPr>
          <w:rFonts w:hAnsi="仿宋" w:cs="仿宋"/>
          <w:b/>
          <w:color w:val="auto"/>
          <w:spacing w:val="6"/>
          <w:sz w:val="32"/>
          <w:szCs w:val="32"/>
          <w:highlight w:val="none"/>
        </w:rPr>
      </w:pPr>
    </w:p>
    <w:p>
      <w:pPr>
        <w:pStyle w:val="81"/>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5"/>
    <w:bookmarkEnd w:id="136"/>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宋体"/>
        <w:lang w:eastAsia="zh-CN"/>
      </w:rPr>
    </w:pPr>
    <w:r>
      <w:rPr>
        <w:rFonts w:hint="eastAsia"/>
      </w:rPr>
      <w:t>绍兴市公共资源交易中心                                            招标文件招标编号:</w:t>
    </w:r>
    <w:r>
      <w:rPr>
        <w:rFonts w:hint="eastAsia"/>
        <w:lang w:eastAsia="zh-CN"/>
      </w:rPr>
      <w:t>2024-12-0156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1777DE"/>
    <w:rsid w:val="06347AD6"/>
    <w:rsid w:val="08E47F7A"/>
    <w:rsid w:val="0A1969E2"/>
    <w:rsid w:val="0BB66081"/>
    <w:rsid w:val="0CCC0614"/>
    <w:rsid w:val="0CDF7698"/>
    <w:rsid w:val="0E2376AA"/>
    <w:rsid w:val="0E5B778C"/>
    <w:rsid w:val="0EC73CBB"/>
    <w:rsid w:val="0F1E2070"/>
    <w:rsid w:val="10E13271"/>
    <w:rsid w:val="12673BDD"/>
    <w:rsid w:val="12C138A8"/>
    <w:rsid w:val="12E77EAF"/>
    <w:rsid w:val="132A7240"/>
    <w:rsid w:val="13CD449C"/>
    <w:rsid w:val="143C4CC3"/>
    <w:rsid w:val="14727F3D"/>
    <w:rsid w:val="14FB4CF0"/>
    <w:rsid w:val="156A779B"/>
    <w:rsid w:val="16610A3D"/>
    <w:rsid w:val="16892470"/>
    <w:rsid w:val="16FD2A66"/>
    <w:rsid w:val="171A4BA4"/>
    <w:rsid w:val="17C0774A"/>
    <w:rsid w:val="19A84266"/>
    <w:rsid w:val="19CE1261"/>
    <w:rsid w:val="1C1B6A4E"/>
    <w:rsid w:val="1C630679"/>
    <w:rsid w:val="1CBA7727"/>
    <w:rsid w:val="1D2E539D"/>
    <w:rsid w:val="1E7A5314"/>
    <w:rsid w:val="1EBA040C"/>
    <w:rsid w:val="1F783D50"/>
    <w:rsid w:val="20343288"/>
    <w:rsid w:val="20DC375B"/>
    <w:rsid w:val="20E96F35"/>
    <w:rsid w:val="218A3D29"/>
    <w:rsid w:val="21C30966"/>
    <w:rsid w:val="222775A2"/>
    <w:rsid w:val="237F5946"/>
    <w:rsid w:val="23AD2E0D"/>
    <w:rsid w:val="24160A64"/>
    <w:rsid w:val="24BE55D5"/>
    <w:rsid w:val="250A361A"/>
    <w:rsid w:val="263818B7"/>
    <w:rsid w:val="26413AC4"/>
    <w:rsid w:val="27117BF3"/>
    <w:rsid w:val="27CF28C5"/>
    <w:rsid w:val="281403AA"/>
    <w:rsid w:val="28C05D8B"/>
    <w:rsid w:val="2B0078A2"/>
    <w:rsid w:val="2B0648B2"/>
    <w:rsid w:val="2B710F04"/>
    <w:rsid w:val="2B7A20E1"/>
    <w:rsid w:val="2BCE6AC7"/>
    <w:rsid w:val="2C533EAF"/>
    <w:rsid w:val="2C5B12BD"/>
    <w:rsid w:val="2CBD087C"/>
    <w:rsid w:val="2EBC13E0"/>
    <w:rsid w:val="2F344436"/>
    <w:rsid w:val="30B85366"/>
    <w:rsid w:val="31D242CE"/>
    <w:rsid w:val="326775CE"/>
    <w:rsid w:val="331F385F"/>
    <w:rsid w:val="33B75773"/>
    <w:rsid w:val="34242317"/>
    <w:rsid w:val="347A3CD0"/>
    <w:rsid w:val="34C71A6F"/>
    <w:rsid w:val="35D421F1"/>
    <w:rsid w:val="36E771B7"/>
    <w:rsid w:val="37F12C1A"/>
    <w:rsid w:val="38176E9C"/>
    <w:rsid w:val="38B6416B"/>
    <w:rsid w:val="38D86FBA"/>
    <w:rsid w:val="38E10FE0"/>
    <w:rsid w:val="39A8144C"/>
    <w:rsid w:val="3BEF62E9"/>
    <w:rsid w:val="3C26660B"/>
    <w:rsid w:val="3C592EDE"/>
    <w:rsid w:val="3C763710"/>
    <w:rsid w:val="3E1744A2"/>
    <w:rsid w:val="40D94ED9"/>
    <w:rsid w:val="416017BF"/>
    <w:rsid w:val="41842351"/>
    <w:rsid w:val="41E14F94"/>
    <w:rsid w:val="42424D2E"/>
    <w:rsid w:val="42CE3B2F"/>
    <w:rsid w:val="43125C0F"/>
    <w:rsid w:val="43636878"/>
    <w:rsid w:val="43931164"/>
    <w:rsid w:val="44353810"/>
    <w:rsid w:val="457663C5"/>
    <w:rsid w:val="459375CB"/>
    <w:rsid w:val="47733541"/>
    <w:rsid w:val="47E67918"/>
    <w:rsid w:val="48237E23"/>
    <w:rsid w:val="48F30A4A"/>
    <w:rsid w:val="4B606C0F"/>
    <w:rsid w:val="4B650382"/>
    <w:rsid w:val="4C011499"/>
    <w:rsid w:val="4C84023F"/>
    <w:rsid w:val="4E445070"/>
    <w:rsid w:val="4ED701A0"/>
    <w:rsid w:val="4FA05C8A"/>
    <w:rsid w:val="507206F5"/>
    <w:rsid w:val="512C581F"/>
    <w:rsid w:val="514327FE"/>
    <w:rsid w:val="519C075F"/>
    <w:rsid w:val="52324A13"/>
    <w:rsid w:val="52A8205E"/>
    <w:rsid w:val="52DE63D0"/>
    <w:rsid w:val="538D2B0D"/>
    <w:rsid w:val="54EA3E92"/>
    <w:rsid w:val="55A13923"/>
    <w:rsid w:val="566B1677"/>
    <w:rsid w:val="568A1872"/>
    <w:rsid w:val="577F7DC9"/>
    <w:rsid w:val="57CB7186"/>
    <w:rsid w:val="57DE7234"/>
    <w:rsid w:val="57EB3CC4"/>
    <w:rsid w:val="581B26E1"/>
    <w:rsid w:val="58443516"/>
    <w:rsid w:val="58926708"/>
    <w:rsid w:val="58EA122E"/>
    <w:rsid w:val="59A77CDB"/>
    <w:rsid w:val="5B75605E"/>
    <w:rsid w:val="5B784BE0"/>
    <w:rsid w:val="5BBB2136"/>
    <w:rsid w:val="5C36717A"/>
    <w:rsid w:val="5C7F34EE"/>
    <w:rsid w:val="5D4A0441"/>
    <w:rsid w:val="5D5B0C98"/>
    <w:rsid w:val="5D937524"/>
    <w:rsid w:val="5E001FA1"/>
    <w:rsid w:val="5EEC728B"/>
    <w:rsid w:val="60126884"/>
    <w:rsid w:val="60DD06DF"/>
    <w:rsid w:val="620D7D01"/>
    <w:rsid w:val="63196CDE"/>
    <w:rsid w:val="632353B0"/>
    <w:rsid w:val="63E16B9C"/>
    <w:rsid w:val="63EF1AF0"/>
    <w:rsid w:val="65B25CA0"/>
    <w:rsid w:val="65B63AFA"/>
    <w:rsid w:val="65EE2DCE"/>
    <w:rsid w:val="65FC0B4C"/>
    <w:rsid w:val="66B04EF4"/>
    <w:rsid w:val="677A34E3"/>
    <w:rsid w:val="68637E6E"/>
    <w:rsid w:val="697910D8"/>
    <w:rsid w:val="69A56BA1"/>
    <w:rsid w:val="69B965BF"/>
    <w:rsid w:val="69EA0E25"/>
    <w:rsid w:val="6A2B5E35"/>
    <w:rsid w:val="6AE6492D"/>
    <w:rsid w:val="6B6D5621"/>
    <w:rsid w:val="6BCF155D"/>
    <w:rsid w:val="6D063B57"/>
    <w:rsid w:val="6D19556C"/>
    <w:rsid w:val="6E5A6A2E"/>
    <w:rsid w:val="6EA10013"/>
    <w:rsid w:val="700C10BA"/>
    <w:rsid w:val="719A0F60"/>
    <w:rsid w:val="720F1A1D"/>
    <w:rsid w:val="729703A6"/>
    <w:rsid w:val="72E87C49"/>
    <w:rsid w:val="7433136A"/>
    <w:rsid w:val="75273C7A"/>
    <w:rsid w:val="763A3561"/>
    <w:rsid w:val="766F48A1"/>
    <w:rsid w:val="76B04EE2"/>
    <w:rsid w:val="77895C07"/>
    <w:rsid w:val="78DD7A73"/>
    <w:rsid w:val="7A346240"/>
    <w:rsid w:val="7B1A7D35"/>
    <w:rsid w:val="7B4103A5"/>
    <w:rsid w:val="7B8A4757"/>
    <w:rsid w:val="7BC039EC"/>
    <w:rsid w:val="7BDA202D"/>
    <w:rsid w:val="7C102E52"/>
    <w:rsid w:val="7C23788B"/>
    <w:rsid w:val="7D683B45"/>
    <w:rsid w:val="7D71286E"/>
    <w:rsid w:val="7DFBB8BB"/>
    <w:rsid w:val="7E0E3E42"/>
    <w:rsid w:val="7E1C3246"/>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4"/>
    <w:qFormat/>
    <w:uiPriority w:val="0"/>
    <w:pPr>
      <w:spacing w:line="360" w:lineRule="auto"/>
    </w:pPr>
    <w:rPr>
      <w:rFonts w:eastAsia="仿宋_GB2312"/>
      <w:sz w:val="28"/>
    </w:rPr>
  </w:style>
  <w:style w:type="paragraph" w:styleId="24">
    <w:name w:val="Subtitle"/>
    <w:basedOn w:val="1"/>
    <w:next w:val="1"/>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5">
    <w:name w:val="Body Text Indent"/>
    <w:basedOn w:val="1"/>
    <w:next w:val="26"/>
    <w:link w:val="95"/>
    <w:qFormat/>
    <w:uiPriority w:val="0"/>
    <w:pPr>
      <w:spacing w:after="120"/>
      <w:ind w:left="420" w:leftChars="200"/>
    </w:pPr>
  </w:style>
  <w:style w:type="paragraph" w:styleId="26">
    <w:name w:val="Body Text First Indent 2"/>
    <w:basedOn w:val="25"/>
    <w:link w:val="232"/>
    <w:qFormat/>
    <w:uiPriority w:val="0"/>
    <w:pPr>
      <w:ind w:firstLine="420" w:firstLine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3"/>
    <w:link w:val="93"/>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6"/>
    <w:qFormat/>
    <w:uiPriority w:val="0"/>
    <w:rPr>
      <w:rFonts w:ascii="楷体_GB2312" w:eastAsia="楷体_GB2312"/>
      <w:b/>
      <w:sz w:val="28"/>
      <w:szCs w:val="20"/>
    </w:rPr>
  </w:style>
  <w:style w:type="paragraph" w:styleId="38">
    <w:name w:val="Body Text Indent 2"/>
    <w:basedOn w:val="1"/>
    <w:link w:val="110"/>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7"/>
    <w:qFormat/>
    <w:uiPriority w:val="0"/>
    <w:rPr>
      <w:sz w:val="18"/>
      <w:szCs w:val="18"/>
    </w:rPr>
  </w:style>
  <w:style w:type="paragraph" w:styleId="41">
    <w:name w:val="footer"/>
    <w:basedOn w:val="1"/>
    <w:link w:val="98"/>
    <w:qFormat/>
    <w:uiPriority w:val="99"/>
    <w:pPr>
      <w:tabs>
        <w:tab w:val="center" w:pos="4153"/>
        <w:tab w:val="right" w:pos="8306"/>
      </w:tabs>
      <w:snapToGrid w:val="0"/>
      <w:jc w:val="left"/>
    </w:pPr>
    <w:rPr>
      <w:sz w:val="18"/>
      <w:szCs w:val="18"/>
    </w:rPr>
  </w:style>
  <w:style w:type="paragraph" w:styleId="42">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3"/>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qFormat/>
    <w:uiPriority w:val="0"/>
    <w:pPr>
      <w:widowControl/>
      <w:spacing w:afterLines="50"/>
    </w:pPr>
    <w:rPr>
      <w:b/>
      <w:bCs/>
      <w:kern w:val="0"/>
      <w:sz w:val="24"/>
      <w:szCs w:val="20"/>
    </w:rPr>
  </w:style>
  <w:style w:type="paragraph" w:styleId="62">
    <w:name w:val="Body Text First Indent"/>
    <w:basedOn w:val="23"/>
    <w:next w:val="1"/>
    <w:link w:val="231"/>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4"/>
    <w:qFormat/>
    <w:uiPriority w:val="0"/>
    <w:rPr>
      <w:rFonts w:eastAsia="仿宋_GB2312"/>
      <w:b/>
      <w:kern w:val="44"/>
      <w:sz w:val="44"/>
      <w:lang w:val="en-US" w:eastAsia="zh-CN" w:bidi="ar-SA"/>
    </w:rPr>
  </w:style>
  <w:style w:type="character" w:customStyle="1" w:styleId="83">
    <w:name w:val="正文缩进 Char"/>
    <w:link w:val="3"/>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5"/>
    <w:qFormat/>
    <w:uiPriority w:val="0"/>
    <w:rPr>
      <w:rFonts w:ascii="Arial" w:hAnsi="Arial" w:eastAsia="黑体"/>
      <w:b/>
      <w:kern w:val="2"/>
      <w:sz w:val="32"/>
      <w:lang w:val="en-US" w:eastAsia="zh-CN" w:bidi="ar-SA"/>
    </w:rPr>
  </w:style>
  <w:style w:type="character" w:customStyle="1" w:styleId="86">
    <w:name w:val="标题 3 Char"/>
    <w:link w:val="2"/>
    <w:qFormat/>
    <w:uiPriority w:val="0"/>
    <w:rPr>
      <w:rFonts w:eastAsia="仿宋_GB2312"/>
      <w:b/>
      <w:kern w:val="2"/>
      <w:sz w:val="32"/>
      <w:lang w:val="en-US" w:eastAsia="zh-CN" w:bidi="ar-SA"/>
    </w:rPr>
  </w:style>
  <w:style w:type="character" w:customStyle="1" w:styleId="87">
    <w:name w:val="标题 4 Char1"/>
    <w:link w:val="6"/>
    <w:qFormat/>
    <w:uiPriority w:val="0"/>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4"/>
    <w:qFormat/>
    <w:uiPriority w:val="0"/>
    <w:rPr>
      <w:rFonts w:ascii="宋体" w:hAnsi="Courier New" w:eastAsia="宋体"/>
      <w:kern w:val="2"/>
      <w:sz w:val="21"/>
      <w:lang w:val="en-US" w:eastAsia="zh-CN" w:bidi="ar-SA"/>
    </w:rPr>
  </w:style>
  <w:style w:type="paragraph" w:customStyle="1" w:styleId="94">
    <w:name w:val="表正文"/>
    <w:basedOn w:val="1"/>
    <w:next w:val="34"/>
    <w:qFormat/>
    <w:uiPriority w:val="0"/>
    <w:rPr>
      <w:rFonts w:ascii="宋体" w:hAnsi="Courier New"/>
      <w:szCs w:val="20"/>
    </w:rPr>
  </w:style>
  <w:style w:type="character" w:customStyle="1" w:styleId="95">
    <w:name w:val="正文文本缩进 Char"/>
    <w:link w:val="25"/>
    <w:qFormat/>
    <w:uiPriority w:val="0"/>
    <w:rPr>
      <w:rFonts w:eastAsia="宋体"/>
      <w:kern w:val="2"/>
      <w:sz w:val="21"/>
      <w:szCs w:val="24"/>
      <w:lang w:val="en-US" w:eastAsia="zh-CN" w:bidi="ar-SA"/>
    </w:rPr>
  </w:style>
  <w:style w:type="character" w:customStyle="1" w:styleId="96">
    <w:name w:val="日期 Char2"/>
    <w:link w:val="37"/>
    <w:qFormat/>
    <w:uiPriority w:val="0"/>
    <w:rPr>
      <w:rFonts w:ascii="楷体_GB2312" w:eastAsia="楷体_GB2312"/>
      <w:b/>
      <w:kern w:val="2"/>
      <w:sz w:val="28"/>
      <w:lang w:val="en-US" w:eastAsia="zh-CN" w:bidi="ar-SA"/>
    </w:rPr>
  </w:style>
  <w:style w:type="character" w:customStyle="1" w:styleId="97">
    <w:name w:val="页眉 Char1"/>
    <w:link w:val="42"/>
    <w:qFormat/>
    <w:uiPriority w:val="0"/>
    <w:rPr>
      <w:rFonts w:eastAsia="宋体"/>
      <w:kern w:val="2"/>
      <w:sz w:val="18"/>
      <w:szCs w:val="18"/>
      <w:lang w:val="en-US" w:eastAsia="zh-CN" w:bidi="ar-SA"/>
    </w:rPr>
  </w:style>
  <w:style w:type="character" w:customStyle="1" w:styleId="98">
    <w:name w:val="页脚 Char"/>
    <w:link w:val="41"/>
    <w:qFormat/>
    <w:locked/>
    <w:uiPriority w:val="99"/>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6"/>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8"/>
    <w:qFormat/>
    <w:locked/>
    <w:uiPriority w:val="0"/>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3"/>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40"/>
    <w:qFormat/>
    <w:uiPriority w:val="0"/>
    <w:rPr>
      <w:kern w:val="2"/>
      <w:sz w:val="18"/>
      <w:szCs w:val="18"/>
    </w:rPr>
  </w:style>
  <w:style w:type="character" w:customStyle="1" w:styleId="228">
    <w:name w:val="正文文本缩进 3 Char"/>
    <w:basedOn w:val="70"/>
    <w:link w:val="53"/>
    <w:qFormat/>
    <w:uiPriority w:val="0"/>
    <w:rPr>
      <w:kern w:val="2"/>
      <w:sz w:val="16"/>
      <w:szCs w:val="16"/>
    </w:rPr>
  </w:style>
  <w:style w:type="character" w:customStyle="1" w:styleId="229">
    <w:name w:val="HTML 预设格式 Char"/>
    <w:basedOn w:val="70"/>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5"/>
    <w:link w:val="26"/>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1"/>
    <w:qFormat/>
    <w:uiPriority w:val="0"/>
    <w:rPr>
      <w:rFonts w:ascii="宋体" w:hAnsi="宋体"/>
      <w:i/>
      <w:iCs/>
      <w:sz w:val="24"/>
      <w:szCs w:val="24"/>
    </w:rPr>
  </w:style>
  <w:style w:type="character" w:customStyle="1" w:styleId="319">
    <w:name w:val="尾注文本 Char"/>
    <w:basedOn w:val="70"/>
    <w:link w:val="39"/>
    <w:qFormat/>
    <w:uiPriority w:val="0"/>
    <w:rPr>
      <w:kern w:val="2"/>
      <w:sz w:val="21"/>
      <w:szCs w:val="24"/>
      <w:lang w:val="zh-CN"/>
    </w:rPr>
  </w:style>
  <w:style w:type="character" w:customStyle="1" w:styleId="320">
    <w:name w:val="签名 Char"/>
    <w:basedOn w:val="70"/>
    <w:link w:val="43"/>
    <w:qFormat/>
    <w:uiPriority w:val="0"/>
    <w:rPr>
      <w:rFonts w:eastAsia="仿宋_GB2312"/>
      <w:sz w:val="24"/>
    </w:rPr>
  </w:style>
  <w:style w:type="character" w:customStyle="1" w:styleId="321">
    <w:name w:val="副标题 Char"/>
    <w:basedOn w:val="70"/>
    <w:link w:val="24"/>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3"/>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link w:val="1044"/>
    <w:qFormat/>
    <w:uiPriority w:val="0"/>
    <w:pPr>
      <w:spacing w:line="444" w:lineRule="auto"/>
      <w:ind w:firstLine="400"/>
    </w:pPr>
    <w:rPr>
      <w:rFonts w:ascii="宋体" w:hAnsi="宋体" w:eastAsia="宋体" w:cs="宋体"/>
      <w:sz w:val="22"/>
      <w:szCs w:val="22"/>
      <w:lang w:val="zh-CN" w:eastAsia="zh-CN" w:bidi="zh-CN"/>
    </w:rPr>
  </w:style>
  <w:style w:type="paragraph" w:customStyle="1" w:styleId="1043">
    <w:name w:val="正文_0"/>
    <w:qFormat/>
    <w:uiPriority w:val="99"/>
    <w:rPr>
      <w:rFonts w:ascii="Times New Roman" w:hAnsi="Times New Roman" w:eastAsia="宋体" w:cs="Times New Roman"/>
      <w:sz w:val="21"/>
      <w:lang w:val="en-US" w:eastAsia="zh-CN" w:bidi="ar-SA"/>
    </w:rPr>
  </w:style>
  <w:style w:type="character" w:customStyle="1" w:styleId="1044">
    <w:name w:val="Char Style 5"/>
    <w:basedOn w:val="70"/>
    <w:link w:val="1042"/>
    <w:qFormat/>
    <w:uiPriority w:val="0"/>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0</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2024-03-19T02:22:00Z</cp:lastPrinted>
  <dcterms:modified xsi:type="dcterms:W3CDTF">2024-12-30T02:23:45Z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