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0E66C">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1A04EC1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0FB842BC">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致：</w:t>
      </w:r>
      <w:r>
        <w:rPr>
          <w:rFonts w:hint="eastAsia" w:ascii="仿宋" w:hAnsi="仿宋" w:eastAsia="仿宋" w:cs="仿宋"/>
          <w:sz w:val="28"/>
          <w:szCs w:val="28"/>
          <w:lang w:val="en-US" w:eastAsia="zh-CN"/>
        </w:rPr>
        <w:t>绍兴盈伽工程咨询有限公司</w:t>
      </w:r>
    </w:p>
    <w:p w14:paraId="15502F6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bookmarkStart w:id="0" w:name="_GoBack"/>
      <w:bookmarkEnd w:id="0"/>
      <w:r>
        <w:rPr>
          <w:rFonts w:hint="eastAsia" w:ascii="仿宋" w:hAnsi="仿宋" w:eastAsia="仿宋" w:cs="仿宋"/>
          <w:sz w:val="28"/>
          <w:szCs w:val="28"/>
        </w:rPr>
        <w:t>年*月*日公示的*********************项目采购要素，我公司有如下意见建议：</w:t>
      </w:r>
    </w:p>
    <w:tbl>
      <w:tblPr>
        <w:tblStyle w:val="8"/>
        <w:tblW w:w="0" w:type="auto"/>
        <w:tblInd w:w="0" w:type="dxa"/>
        <w:tblLayout w:type="fixed"/>
        <w:tblCellMar>
          <w:top w:w="0" w:type="dxa"/>
          <w:left w:w="108" w:type="dxa"/>
          <w:bottom w:w="0" w:type="dxa"/>
          <w:right w:w="108" w:type="dxa"/>
        </w:tblCellMar>
      </w:tblPr>
      <w:tblGrid>
        <w:gridCol w:w="4261"/>
        <w:gridCol w:w="4261"/>
      </w:tblGrid>
      <w:tr w14:paraId="7A5D1B6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0D728E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663635E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3915B32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E169775">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F2F3B55">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3A0CE632">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B8C496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C2FAAC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769940CB">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503707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BC8F85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7E523674">
      <w:pPr>
        <w:spacing w:line="360" w:lineRule="auto"/>
        <w:rPr>
          <w:rFonts w:hint="eastAsia" w:ascii="仿宋" w:hAnsi="仿宋" w:eastAsia="仿宋" w:cs="仿宋"/>
          <w:sz w:val="28"/>
          <w:szCs w:val="28"/>
        </w:rPr>
      </w:pPr>
    </w:p>
    <w:p w14:paraId="1F703F5E">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092B418A">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09400E0E">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611F61D0">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512DC011">
      <w:pPr>
        <w:spacing w:line="360" w:lineRule="auto"/>
        <w:rPr>
          <w:rFonts w:hint="eastAsia" w:ascii="仿宋" w:hAnsi="仿宋" w:eastAsia="仿宋" w:cs="仿宋"/>
          <w:sz w:val="28"/>
          <w:szCs w:val="28"/>
        </w:rPr>
      </w:pPr>
    </w:p>
    <w:p w14:paraId="48F81BD5">
      <w:pPr>
        <w:spacing w:line="360" w:lineRule="auto"/>
        <w:rPr>
          <w:rFonts w:hint="eastAsia" w:ascii="仿宋" w:hAnsi="仿宋" w:eastAsia="仿宋" w:cs="仿宋"/>
          <w:sz w:val="28"/>
          <w:szCs w:val="28"/>
        </w:rPr>
      </w:pPr>
    </w:p>
    <w:p w14:paraId="15DA1AA5">
      <w:pPr>
        <w:spacing w:line="360" w:lineRule="auto"/>
        <w:ind w:left="4480" w:hanging="4480" w:hangingChars="16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（加盖公章）</w:t>
      </w:r>
    </w:p>
    <w:p w14:paraId="797D95B8">
      <w:pPr>
        <w:spacing w:line="360" w:lineRule="auto"/>
        <w:jc w:val="left"/>
        <w:rPr>
          <w:rFonts w:hint="eastAsia" w:ascii="仿宋" w:hAnsi="仿宋" w:eastAsia="仿宋" w:cs="仿宋"/>
          <w:b/>
          <w:color w:val="FF0000"/>
          <w:sz w:val="28"/>
          <w:szCs w:val="28"/>
        </w:rPr>
      </w:pPr>
      <w:r>
        <w:rPr>
          <w:rFonts w:hint="eastAsia" w:ascii="仿宋" w:hAnsi="仿宋" w:eastAsia="仿宋" w:cs="仿宋"/>
          <w:sz w:val="28"/>
          <w:szCs w:val="28"/>
        </w:rPr>
        <w:t>二O二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776DD325">
      <w:pPr>
        <w:spacing w:line="360" w:lineRule="auto"/>
        <w:rPr>
          <w:rFonts w:hint="eastAsia" w:ascii="仿宋" w:hAnsi="仿宋" w:eastAsia="仿宋" w:cs="仿宋"/>
          <w:b/>
          <w:color w:val="FF0000"/>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691A8F5E">
      <w:pPr>
        <w:spacing w:line="360" w:lineRule="auto"/>
        <w:jc w:val="center"/>
        <w:rPr>
          <w:rFonts w:hint="eastAsia" w:ascii="仿宋" w:hAnsi="仿宋" w:eastAsia="仿宋" w:cs="仿宋"/>
          <w:b/>
          <w:sz w:val="24"/>
          <w:szCs w:val="24"/>
          <w:highlight w:val="none"/>
        </w:rPr>
      </w:pPr>
      <w:r>
        <w:rPr>
          <w:rFonts w:hint="eastAsia" w:ascii="仿宋" w:hAnsi="仿宋" w:eastAsia="仿宋" w:cs="仿宋"/>
          <w:b/>
          <w:spacing w:val="-4"/>
          <w:sz w:val="26"/>
          <w:szCs w:val="26"/>
          <w:highlight w:val="none"/>
          <w:lang w:eastAsia="zh-CN"/>
        </w:rPr>
        <w:t>诸暨市“五好两宜”和美乡村试点项目---镇域道路.绿化.公园养护工程采购项目</w:t>
      </w:r>
      <w:r>
        <w:rPr>
          <w:rFonts w:hint="eastAsia" w:ascii="仿宋" w:hAnsi="仿宋" w:eastAsia="仿宋" w:cs="仿宋"/>
          <w:b/>
          <w:spacing w:val="-4"/>
          <w:sz w:val="26"/>
          <w:szCs w:val="26"/>
          <w:highlight w:val="none"/>
        </w:rPr>
        <w:t>采购要素</w:t>
      </w:r>
    </w:p>
    <w:p w14:paraId="674DBC59">
      <w:pPr>
        <w:numPr>
          <w:ilvl w:val="0"/>
          <w:numId w:val="1"/>
        </w:numPr>
        <w:spacing w:line="360" w:lineRule="auto"/>
        <w:rPr>
          <w:rFonts w:hint="eastAsia" w:ascii="仿宋" w:hAnsi="仿宋" w:eastAsia="仿宋" w:cs="仿宋"/>
          <w:b w:val="0"/>
          <w:bCs w:val="0"/>
          <w:sz w:val="24"/>
          <w:szCs w:val="24"/>
          <w:highlight w:val="none"/>
        </w:rPr>
      </w:pPr>
      <w:r>
        <w:rPr>
          <w:rFonts w:hint="eastAsia" w:ascii="仿宋" w:hAnsi="仿宋" w:eastAsia="仿宋" w:cs="仿宋"/>
          <w:b/>
          <w:sz w:val="24"/>
          <w:szCs w:val="24"/>
          <w:highlight w:val="none"/>
        </w:rPr>
        <w:t>项目名称：</w:t>
      </w:r>
      <w:r>
        <w:rPr>
          <w:rFonts w:hint="eastAsia" w:ascii="仿宋" w:hAnsi="仿宋" w:eastAsia="仿宋" w:cs="仿宋"/>
          <w:b w:val="0"/>
          <w:bCs w:val="0"/>
          <w:sz w:val="24"/>
          <w:szCs w:val="24"/>
          <w:highlight w:val="none"/>
          <w:lang w:eastAsia="zh-CN"/>
        </w:rPr>
        <w:t>诸暨市“五好两宜”和美乡村试点项目---镇域道路.绿化.公园养护工程采购项目</w:t>
      </w:r>
    </w:p>
    <w:p w14:paraId="56C374E8">
      <w:pPr>
        <w:keepNext w:val="0"/>
        <w:keepLines w:val="0"/>
        <w:pageBreakBefore w:val="0"/>
        <w:kinsoku/>
        <w:wordWrap/>
        <w:overflowPunct/>
        <w:topLinePunct w:val="0"/>
        <w:autoSpaceDE/>
        <w:autoSpaceDN/>
        <w:bidi w:val="0"/>
        <w:spacing w:line="360" w:lineRule="auto"/>
        <w:ind w:right="0" w:righ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sz w:val="24"/>
          <w:szCs w:val="24"/>
          <w:highlight w:val="none"/>
        </w:rPr>
        <w:t>二、项目内容及规模：</w:t>
      </w:r>
      <w:r>
        <w:rPr>
          <w:rFonts w:hint="eastAsia" w:ascii="仿宋" w:hAnsi="仿宋" w:eastAsia="仿宋" w:cs="仿宋"/>
          <w:b w:val="0"/>
          <w:bCs/>
          <w:sz w:val="24"/>
          <w:lang w:eastAsia="zh-CN"/>
        </w:rPr>
        <w:t>诸暨市“五好两宜”和美乡村试点项目---镇域道路.绿化.公园养护工程采购项目</w:t>
      </w:r>
      <w:r>
        <w:rPr>
          <w:rFonts w:hint="eastAsia" w:ascii="仿宋" w:hAnsi="仿宋" w:eastAsia="仿宋" w:cs="仿宋"/>
          <w:bCs/>
          <w:color w:val="auto"/>
          <w:sz w:val="24"/>
          <w:szCs w:val="24"/>
          <w:highlight w:val="none"/>
          <w:lang w:val="en-US" w:eastAsia="zh-CN"/>
        </w:rPr>
        <w:t>，采购预算金额为</w:t>
      </w:r>
      <w:r>
        <w:rPr>
          <w:rFonts w:hint="eastAsia" w:ascii="仿宋" w:hAnsi="仿宋" w:eastAsia="仿宋" w:cs="仿宋"/>
          <w:color w:val="auto"/>
          <w:sz w:val="24"/>
          <w:szCs w:val="24"/>
          <w:highlight w:val="none"/>
          <w:u w:val="none"/>
          <w:lang w:val="en-US" w:eastAsia="zh-CN"/>
        </w:rPr>
        <w:t>200</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lang w:val="en-US" w:eastAsia="zh-CN"/>
        </w:rPr>
        <w:t>，费用按实结算</w:t>
      </w:r>
      <w:r>
        <w:rPr>
          <w:rFonts w:hint="eastAsia" w:ascii="仿宋" w:hAnsi="仿宋" w:eastAsia="仿宋" w:cs="仿宋"/>
          <w:bCs/>
          <w:color w:val="auto"/>
          <w:sz w:val="24"/>
          <w:szCs w:val="24"/>
          <w:highlight w:val="none"/>
          <w:lang w:val="en-US" w:eastAsia="zh-CN"/>
        </w:rPr>
        <w:t>。</w:t>
      </w:r>
    </w:p>
    <w:p w14:paraId="633F7947">
      <w:pPr>
        <w:pStyle w:val="3"/>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w:t>
      </w:r>
      <w:r>
        <w:rPr>
          <w:rFonts w:hint="eastAsia" w:ascii="仿宋" w:hAnsi="仿宋" w:eastAsia="仿宋" w:cs="仿宋"/>
          <w:b w:val="0"/>
          <w:bCs/>
          <w:color w:val="auto"/>
          <w:sz w:val="24"/>
          <w:szCs w:val="24"/>
          <w:highlight w:val="none"/>
          <w:lang w:val="en-US" w:eastAsia="zh-CN"/>
        </w:rPr>
        <w:t>合同签订之日起一年或采购预算金额满止</w:t>
      </w:r>
      <w:r>
        <w:rPr>
          <w:rFonts w:hint="eastAsia" w:ascii="仿宋" w:hAnsi="仿宋" w:eastAsia="仿宋" w:cs="仿宋"/>
          <w:color w:val="auto"/>
          <w:sz w:val="24"/>
          <w:szCs w:val="24"/>
          <w:highlight w:val="none"/>
          <w:lang w:val="en-US" w:eastAsia="zh-CN"/>
        </w:rPr>
        <w:t>。</w:t>
      </w:r>
    </w:p>
    <w:p w14:paraId="33900CC3">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三、投标人（供应商）资格要求：</w:t>
      </w:r>
    </w:p>
    <w:p w14:paraId="28086EA0">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sz w:val="24"/>
        </w:rPr>
      </w:pPr>
      <w:r>
        <w:rPr>
          <w:rFonts w:hint="eastAsia" w:ascii="仿宋" w:hAnsi="仿宋" w:eastAsia="仿宋" w:cs="仿宋"/>
          <w:bCs/>
          <w:sz w:val="24"/>
        </w:rPr>
        <w:t>1、符合《中华人民共和国政府采购法》第二十二条之供应商资格规定；</w:t>
      </w:r>
    </w:p>
    <w:p w14:paraId="4A85C5B3">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sz w:val="24"/>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p>
    <w:p w14:paraId="698CB01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Cs/>
          <w:sz w:val="24"/>
        </w:rPr>
      </w:pPr>
      <w:r>
        <w:rPr>
          <w:rFonts w:hint="eastAsia" w:ascii="仿宋" w:hAnsi="仿宋" w:eastAsia="仿宋" w:cs="仿宋"/>
          <w:bCs/>
          <w:sz w:val="24"/>
        </w:rPr>
        <w:t xml:space="preserve">    3</w:t>
      </w:r>
      <w:r>
        <w:rPr>
          <w:rFonts w:hint="eastAsia" w:ascii="仿宋" w:hAnsi="仿宋" w:eastAsia="仿宋" w:cs="仿宋"/>
          <w:bCs/>
          <w:sz w:val="24"/>
          <w:lang w:eastAsia="zh-CN"/>
        </w:rPr>
        <w:t>、</w:t>
      </w:r>
      <w:r>
        <w:rPr>
          <w:rFonts w:hint="eastAsia" w:ascii="仿宋" w:hAnsi="仿宋" w:eastAsia="仿宋" w:cs="仿宋"/>
          <w:bCs/>
          <w:sz w:val="24"/>
        </w:rPr>
        <w:t>落实政府采购政策需满足的资格要求：</w:t>
      </w:r>
      <w:r>
        <w:rPr>
          <w:rFonts w:hint="eastAsia" w:ascii="仿宋" w:hAnsi="仿宋" w:eastAsia="仿宋" w:cs="仿宋"/>
          <w:bCs/>
          <w:sz w:val="24"/>
        </w:rPr>
        <w:sym w:font="Wingdings" w:char="F0FE"/>
      </w:r>
      <w:r>
        <w:rPr>
          <w:rFonts w:hint="eastAsia" w:ascii="仿宋" w:hAnsi="仿宋" w:eastAsia="仿宋" w:cs="仿宋"/>
          <w:bCs/>
          <w:sz w:val="24"/>
        </w:rPr>
        <w:t>专门面向中小企业。</w:t>
      </w:r>
    </w:p>
    <w:p w14:paraId="7B0A9BB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000000"/>
          <w:sz w:val="24"/>
        </w:rPr>
      </w:pPr>
      <w:r>
        <w:rPr>
          <w:rFonts w:hint="eastAsia" w:ascii="仿宋" w:hAnsi="仿宋" w:eastAsia="仿宋" w:cs="仿宋"/>
          <w:bCs/>
          <w:color w:val="000000"/>
          <w:sz w:val="24"/>
        </w:rPr>
        <w:t>4</w:t>
      </w:r>
      <w:r>
        <w:rPr>
          <w:rFonts w:hint="eastAsia" w:ascii="仿宋" w:hAnsi="仿宋" w:eastAsia="仿宋" w:cs="仿宋"/>
          <w:bCs/>
          <w:color w:val="000000"/>
          <w:sz w:val="24"/>
          <w:lang w:eastAsia="zh-CN"/>
        </w:rPr>
        <w:t>、</w:t>
      </w:r>
      <w:r>
        <w:rPr>
          <w:rFonts w:hint="eastAsia" w:ascii="仿宋" w:hAnsi="仿宋" w:eastAsia="仿宋" w:cs="仿宋"/>
          <w:bCs/>
          <w:color w:val="000000"/>
          <w:sz w:val="24"/>
        </w:rPr>
        <w:t>本项目的特定资格要求：</w:t>
      </w:r>
      <w:r>
        <w:rPr>
          <w:rFonts w:hint="eastAsia" w:ascii="仿宋" w:hAnsi="仿宋" w:eastAsia="仿宋" w:cs="仿宋"/>
          <w:color w:val="000000"/>
          <w:sz w:val="24"/>
          <w:highlight w:val="none"/>
          <w:lang w:val="en-US" w:eastAsia="zh-CN"/>
        </w:rPr>
        <w:t>同时具备市政公用工程施工总承包三级（含）以上资质及有效期内的安全生产许可证。</w:t>
      </w:r>
    </w:p>
    <w:p w14:paraId="17C186E7">
      <w:pPr>
        <w:autoSpaceDE w:val="0"/>
        <w:autoSpaceDN w:val="0"/>
        <w:adjustRightInd w:val="0"/>
        <w:spacing w:line="360" w:lineRule="auto"/>
        <w:ind w:firstLine="480" w:firstLineChars="20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lang w:val="en-US" w:eastAsia="zh-CN"/>
        </w:rPr>
        <w:t>5</w:t>
      </w:r>
      <w:r>
        <w:rPr>
          <w:rFonts w:hint="eastAsia" w:ascii="仿宋" w:hAnsi="仿宋" w:eastAsia="仿宋" w:cs="仿宋"/>
          <w:color w:val="000000"/>
          <w:sz w:val="24"/>
          <w:szCs w:val="20"/>
          <w:highlight w:val="none"/>
        </w:rPr>
        <w:t>、本项目不接受联合体投标。</w:t>
      </w:r>
    </w:p>
    <w:p w14:paraId="22A15BF7">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四、评标办法：</w:t>
      </w:r>
      <w:r>
        <w:rPr>
          <w:rFonts w:hint="eastAsia" w:ascii="仿宋" w:hAnsi="仿宋" w:eastAsia="仿宋" w:cs="仿宋"/>
          <w:sz w:val="24"/>
          <w:szCs w:val="20"/>
          <w:highlight w:val="none"/>
        </w:rPr>
        <w:t>综合评分法</w:t>
      </w:r>
    </w:p>
    <w:p w14:paraId="2FA005A2">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（1）满分为100分。总得分=商务技术得分+报价得分。</w:t>
      </w:r>
    </w:p>
    <w:p w14:paraId="772B606F">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（2）商务技术得分=商务技术评分，商务技术评分=各评委的有效评分的算术平均数。</w:t>
      </w:r>
    </w:p>
    <w:p w14:paraId="5943433B">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（3）报价得分=（评标基准价/投标报价）*价格权值*100，评标基准价=通过商务技术评审入围的最低投标报价，价格权值=20%；</w:t>
      </w:r>
    </w:p>
    <w:p w14:paraId="5726E53B">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（4）商务技术分评分细则（80分）</w:t>
      </w:r>
    </w:p>
    <w:tbl>
      <w:tblPr>
        <w:tblStyle w:val="8"/>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80"/>
        <w:gridCol w:w="6618"/>
        <w:gridCol w:w="876"/>
      </w:tblGrid>
      <w:tr w14:paraId="025FB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060F62D2">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6FF1CEB">
            <w:pPr>
              <w:pStyle w:val="7"/>
              <w:spacing w:after="0" w:line="360" w:lineRule="auto"/>
              <w:ind w:left="0" w:lef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6F23459A">
            <w:pPr>
              <w:pStyle w:val="7"/>
              <w:spacing w:after="0" w:line="360" w:lineRule="auto"/>
              <w:ind w:left="0" w:lef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E860703">
            <w:pPr>
              <w:pStyle w:val="7"/>
              <w:spacing w:after="0" w:line="36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E1C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0AA4257B">
            <w:pPr>
              <w:pStyle w:val="4"/>
              <w:spacing w:after="0"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3D498F4">
            <w:pPr>
              <w:pStyle w:val="4"/>
              <w:spacing w:after="0"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实力</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01A86D8F">
            <w:pPr>
              <w:widowControl/>
              <w:snapToGrid w:val="0"/>
              <w:spacing w:line="360" w:lineRule="auto"/>
              <w:ind w:firstLine="240" w:firstLineChars="10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企业的详细介绍（包括</w:t>
            </w:r>
            <w:r>
              <w:rPr>
                <w:rFonts w:hint="eastAsia" w:ascii="仿宋" w:hAnsi="仿宋" w:eastAsia="仿宋" w:cs="仿宋"/>
                <w:bCs/>
                <w:color w:val="auto"/>
                <w:sz w:val="24"/>
                <w:szCs w:val="24"/>
                <w:highlight w:val="none"/>
                <w:lang w:val="en-US" w:eastAsia="zh-CN"/>
              </w:rPr>
              <w:t>投标人针对本项目实施能力</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企业资信情况</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企业信用情况</w:t>
            </w:r>
            <w:r>
              <w:rPr>
                <w:rFonts w:hint="eastAsia" w:ascii="仿宋" w:hAnsi="仿宋" w:eastAsia="仿宋" w:cs="仿宋"/>
                <w:bCs/>
                <w:color w:val="auto"/>
                <w:sz w:val="24"/>
                <w:szCs w:val="24"/>
                <w:highlight w:val="none"/>
              </w:rPr>
              <w:t>、技术力量、服务内容等）由评委</w:t>
            </w:r>
            <w:r>
              <w:rPr>
                <w:rFonts w:hint="eastAsia" w:ascii="仿宋" w:hAnsi="仿宋" w:eastAsia="仿宋" w:cs="仿宋"/>
                <w:bCs/>
                <w:color w:val="auto"/>
                <w:sz w:val="24"/>
                <w:szCs w:val="24"/>
                <w:highlight w:val="none"/>
                <w:lang w:val="en-US" w:eastAsia="zh-CN"/>
              </w:rPr>
              <w:t>打分，最高得3分。</w:t>
            </w:r>
          </w:p>
        </w:tc>
        <w:tc>
          <w:tcPr>
            <w:tcW w:w="876" w:type="dxa"/>
            <w:tcBorders>
              <w:top w:val="single" w:color="auto" w:sz="4" w:space="0"/>
              <w:left w:val="single" w:color="auto" w:sz="4" w:space="0"/>
              <w:right w:val="single" w:color="auto" w:sz="4" w:space="0"/>
            </w:tcBorders>
            <w:noWrap w:val="0"/>
            <w:vAlign w:val="center"/>
          </w:tcPr>
          <w:p w14:paraId="492C2137">
            <w:pPr>
              <w:pStyle w:val="4"/>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14:paraId="4FE36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4325A95">
            <w:pPr>
              <w:pStyle w:val="4"/>
              <w:spacing w:after="0"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4EF715">
            <w:pPr>
              <w:pStyle w:val="4"/>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4FB19429">
            <w:pPr>
              <w:widowControl/>
              <w:snapToGrid w:val="0"/>
              <w:spacing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有效期内的</w:t>
            </w:r>
            <w:r>
              <w:rPr>
                <w:rFonts w:hint="eastAsia" w:ascii="仿宋" w:hAnsi="仿宋" w:eastAsia="仿宋" w:cs="仿宋"/>
                <w:color w:val="auto"/>
                <w:sz w:val="24"/>
                <w:szCs w:val="24"/>
                <w:highlight w:val="none"/>
                <w:lang w:val="en-US" w:eastAsia="zh-CN"/>
              </w:rPr>
              <w:t>环境管理体系认证、质量管理体系认证、职业健康安全管理体系认证标准的，每提供一项得2分，最高得</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lang w:val="en-US" w:eastAsia="zh-CN"/>
              </w:rPr>
              <w:t xml:space="preserve">分。 </w:t>
            </w:r>
          </w:p>
          <w:p w14:paraId="5CAC103F">
            <w:pPr>
              <w:widowControl/>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注：以上证书须在有效期内，提供相关证书复印件及中国国家认证认可监督管理委员会网站查询截图证明材料</w:t>
            </w:r>
            <w:r>
              <w:rPr>
                <w:rFonts w:hint="eastAsia" w:ascii="仿宋" w:hAnsi="仿宋" w:eastAsia="仿宋" w:cs="仿宋"/>
                <w:b/>
                <w:bCs/>
                <w:color w:val="auto"/>
                <w:sz w:val="24"/>
                <w:szCs w:val="24"/>
                <w:lang w:val="en-US" w:eastAsia="zh-CN"/>
              </w:rPr>
              <w:t>并加盖投标人公章</w:t>
            </w:r>
            <w:r>
              <w:rPr>
                <w:rFonts w:hint="eastAsia" w:ascii="仿宋" w:hAnsi="仿宋" w:eastAsia="仿宋" w:cs="仿宋"/>
                <w:b/>
                <w:bCs/>
                <w:color w:val="auto"/>
                <w:sz w:val="24"/>
                <w:szCs w:val="24"/>
                <w:highlight w:val="none"/>
                <w:lang w:val="en-US" w:eastAsia="zh-CN"/>
              </w:rPr>
              <w:t>，不提供</w:t>
            </w:r>
            <w:r>
              <w:rPr>
                <w:rFonts w:hint="eastAsia" w:ascii="仿宋" w:hAnsi="仿宋" w:eastAsia="仿宋" w:cs="仿宋"/>
                <w:b/>
                <w:bCs/>
                <w:color w:val="auto"/>
                <w:sz w:val="24"/>
                <w:szCs w:val="24"/>
                <w:lang w:val="en-US" w:eastAsia="zh-CN"/>
              </w:rPr>
              <w:t>或缺一</w:t>
            </w:r>
            <w:r>
              <w:rPr>
                <w:rFonts w:hint="eastAsia" w:ascii="仿宋" w:hAnsi="仿宋" w:eastAsia="仿宋" w:cs="仿宋"/>
                <w:b/>
                <w:bCs/>
                <w:color w:val="auto"/>
                <w:sz w:val="24"/>
                <w:szCs w:val="24"/>
                <w:highlight w:val="none"/>
                <w:lang w:val="en-US" w:eastAsia="zh-CN"/>
              </w:rPr>
              <w:t>不得分。</w:t>
            </w:r>
          </w:p>
        </w:tc>
        <w:tc>
          <w:tcPr>
            <w:tcW w:w="876" w:type="dxa"/>
            <w:tcBorders>
              <w:top w:val="single" w:color="auto" w:sz="4" w:space="0"/>
              <w:left w:val="single" w:color="auto" w:sz="4" w:space="0"/>
              <w:right w:val="single" w:color="auto" w:sz="4" w:space="0"/>
            </w:tcBorders>
            <w:noWrap w:val="0"/>
            <w:vAlign w:val="center"/>
          </w:tcPr>
          <w:p w14:paraId="56D42E85">
            <w:pPr>
              <w:pStyle w:val="4"/>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01C81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33266A8">
            <w:pPr>
              <w:pStyle w:val="4"/>
              <w:spacing w:after="0"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E8DDF48">
            <w:pPr>
              <w:pStyle w:val="4"/>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项目经验</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2275915E">
            <w:pPr>
              <w:widowControl/>
              <w:snapToGrid w:val="0"/>
              <w:spacing w:line="360" w:lineRule="auto"/>
              <w:ind w:firstLine="240" w:firstLineChars="1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w:t>
            </w:r>
            <w:r>
              <w:rPr>
                <w:rFonts w:hint="eastAsia" w:ascii="仿宋" w:hAnsi="仿宋" w:eastAsia="仿宋" w:cs="仿宋"/>
                <w:bCs/>
                <w:color w:val="000000"/>
                <w:sz w:val="24"/>
                <w:szCs w:val="24"/>
                <w:highlight w:val="none"/>
                <w:lang w:val="en-US" w:eastAsia="zh-CN"/>
              </w:rPr>
              <w:t>标人自2021年1月1日</w:t>
            </w:r>
            <w:r>
              <w:rPr>
                <w:rFonts w:hint="eastAsia" w:ascii="仿宋" w:hAnsi="仿宋" w:eastAsia="仿宋" w:cs="仿宋"/>
                <w:bCs/>
                <w:color w:val="auto"/>
                <w:sz w:val="24"/>
                <w:szCs w:val="24"/>
                <w:highlight w:val="none"/>
                <w:lang w:val="en-US" w:eastAsia="zh-CN"/>
              </w:rPr>
              <w:t>以来（以合同签订的时间为准），具有类似项目经验情况，每提供一项得1分，最高得2分。</w:t>
            </w:r>
            <w:r>
              <w:rPr>
                <w:rFonts w:hint="eastAsia" w:ascii="仿宋" w:hAnsi="仿宋" w:eastAsia="仿宋" w:cs="仿宋"/>
                <w:b/>
                <w:bCs w:val="0"/>
                <w:color w:val="auto"/>
                <w:sz w:val="24"/>
                <w:szCs w:val="24"/>
                <w:highlight w:val="none"/>
                <w:lang w:val="en-US" w:eastAsia="zh-CN"/>
              </w:rPr>
              <w:t>注：投标时提供合同复印件并加盖投标人公章，</w:t>
            </w:r>
            <w:r>
              <w:rPr>
                <w:rFonts w:hint="eastAsia" w:ascii="仿宋" w:hAnsi="仿宋" w:eastAsia="仿宋" w:cs="仿宋"/>
                <w:b/>
                <w:bCs/>
                <w:color w:val="auto"/>
                <w:sz w:val="24"/>
                <w:szCs w:val="24"/>
              </w:rPr>
              <w:t>不提供不得分</w:t>
            </w:r>
            <w:r>
              <w:rPr>
                <w:rFonts w:hint="eastAsia" w:ascii="仿宋" w:hAnsi="仿宋" w:eastAsia="仿宋" w:cs="仿宋"/>
                <w:b/>
                <w:bCs w:val="0"/>
                <w:color w:val="auto"/>
                <w:sz w:val="24"/>
                <w:szCs w:val="24"/>
                <w:highlight w:val="none"/>
                <w:lang w:val="en-US" w:eastAsia="zh-CN"/>
              </w:rPr>
              <w:t>。</w:t>
            </w:r>
          </w:p>
        </w:tc>
        <w:tc>
          <w:tcPr>
            <w:tcW w:w="876" w:type="dxa"/>
            <w:tcBorders>
              <w:top w:val="single" w:color="auto" w:sz="4" w:space="0"/>
              <w:left w:val="single" w:color="auto" w:sz="4" w:space="0"/>
              <w:right w:val="single" w:color="auto" w:sz="4" w:space="0"/>
            </w:tcBorders>
            <w:noWrap w:val="0"/>
            <w:vAlign w:val="center"/>
          </w:tcPr>
          <w:p w14:paraId="6E0BD398">
            <w:pPr>
              <w:pStyle w:val="4"/>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r>
      <w:tr w14:paraId="3EAB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left w:val="single" w:color="auto" w:sz="4" w:space="0"/>
              <w:right w:val="single" w:color="auto" w:sz="4" w:space="0"/>
            </w:tcBorders>
            <w:noWrap w:val="0"/>
            <w:vAlign w:val="center"/>
          </w:tcPr>
          <w:p w14:paraId="7F96BD94">
            <w:pPr>
              <w:pStyle w:val="4"/>
              <w:keepNext w:val="0"/>
              <w:keepLines w:val="0"/>
              <w:pageBreakBefore w:val="0"/>
              <w:kinsoku/>
              <w:wordWrap/>
              <w:overflowPunct/>
              <w:topLinePunct w:val="0"/>
              <w:autoSpaceDN/>
              <w:bidi w:val="0"/>
              <w:adjustRightInd/>
              <w:spacing w:after="0" w:line="36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1280" w:type="dxa"/>
            <w:tcBorders>
              <w:top w:val="single" w:color="auto" w:sz="4" w:space="0"/>
              <w:left w:val="single" w:color="auto" w:sz="4" w:space="0"/>
              <w:right w:val="single" w:color="auto" w:sz="4" w:space="0"/>
            </w:tcBorders>
            <w:noWrap w:val="0"/>
            <w:vAlign w:val="center"/>
          </w:tcPr>
          <w:p w14:paraId="51C8B447">
            <w:pPr>
              <w:pStyle w:val="4"/>
              <w:keepNext w:val="0"/>
              <w:keepLines w:val="0"/>
              <w:pageBreakBefore w:val="0"/>
              <w:kinsoku/>
              <w:wordWrap/>
              <w:overflowPunct/>
              <w:topLinePunct w:val="0"/>
              <w:autoSpaceDN/>
              <w:bidi w:val="0"/>
              <w:adjustRightInd/>
              <w:spacing w:after="0"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拟派项目负责人</w:t>
            </w:r>
            <w:r>
              <w:rPr>
                <w:rFonts w:hint="eastAsia" w:ascii="仿宋" w:hAnsi="仿宋" w:eastAsia="仿宋" w:cs="仿宋"/>
                <w:color w:val="auto"/>
                <w:sz w:val="24"/>
                <w:szCs w:val="24"/>
                <w:highlight w:val="none"/>
              </w:rPr>
              <w:t>资格</w:t>
            </w:r>
          </w:p>
        </w:tc>
        <w:tc>
          <w:tcPr>
            <w:tcW w:w="6618" w:type="dxa"/>
            <w:tcBorders>
              <w:top w:val="single" w:color="auto" w:sz="4" w:space="0"/>
              <w:left w:val="single" w:color="auto" w:sz="4" w:space="0"/>
              <w:right w:val="single" w:color="auto" w:sz="4" w:space="0"/>
            </w:tcBorders>
            <w:noWrap w:val="0"/>
            <w:vAlign w:val="center"/>
          </w:tcPr>
          <w:p w14:paraId="5B5CD33F">
            <w:pPr>
              <w:keepNext w:val="0"/>
              <w:keepLines w:val="0"/>
              <w:pageBreakBefore w:val="0"/>
              <w:widowControl/>
              <w:tabs>
                <w:tab w:val="left" w:pos="360"/>
              </w:tabs>
              <w:kinsoku/>
              <w:wordWrap/>
              <w:overflowPunct/>
              <w:topLinePunct w:val="0"/>
              <w:autoSpaceDE w:val="0"/>
              <w:autoSpaceDN/>
              <w:bidi w:val="0"/>
              <w:adjustRightInd/>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具有市政二级建造师证书的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分；具有市政一级建造师证书得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24555DDC">
            <w:pPr>
              <w:keepNext w:val="0"/>
              <w:keepLines w:val="0"/>
              <w:pageBreakBefore w:val="0"/>
              <w:widowControl/>
              <w:tabs>
                <w:tab w:val="left" w:pos="360"/>
              </w:tabs>
              <w:kinsoku/>
              <w:wordWrap/>
              <w:overflowPunct/>
              <w:topLinePunct w:val="0"/>
              <w:autoSpaceDE w:val="0"/>
              <w:autoSpaceDN/>
              <w:bidi w:val="0"/>
              <w:adjustRightInd/>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具有中级职称的得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具有高级职称的得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25710DA">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3、项目团队人员情况：根据项目团队人员专业性、人员组成合理性打分，0-4分。</w:t>
            </w:r>
          </w:p>
          <w:p w14:paraId="7790E591">
            <w:pPr>
              <w:keepNext w:val="0"/>
              <w:keepLines w:val="0"/>
              <w:pageBreakBefore w:val="0"/>
              <w:kinsoku/>
              <w:wordWrap/>
              <w:overflowPunct/>
              <w:topLinePunct w:val="0"/>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注：投标时提供以上人员名单、证书复印件及投标人为其缴纳的近3个月社保证明材料并加盖投标人公章，不提供</w:t>
            </w:r>
            <w:r>
              <w:rPr>
                <w:rFonts w:hint="eastAsia" w:ascii="仿宋" w:hAnsi="仿宋" w:eastAsia="仿宋" w:cs="仿宋"/>
                <w:b/>
                <w:bCs/>
                <w:color w:val="auto"/>
                <w:sz w:val="24"/>
                <w:szCs w:val="24"/>
                <w:lang w:val="en-US" w:eastAsia="zh-CN"/>
              </w:rPr>
              <w:t>或</w:t>
            </w:r>
            <w:r>
              <w:rPr>
                <w:rFonts w:hint="eastAsia" w:ascii="仿宋" w:hAnsi="仿宋" w:eastAsia="仿宋" w:cs="仿宋"/>
                <w:b/>
                <w:bCs/>
                <w:color w:val="auto"/>
                <w:sz w:val="24"/>
                <w:szCs w:val="24"/>
                <w:highlight w:val="none"/>
                <w:lang w:val="en-US" w:eastAsia="zh-CN"/>
              </w:rPr>
              <w:t>缺一不得分。</w:t>
            </w:r>
          </w:p>
        </w:tc>
        <w:tc>
          <w:tcPr>
            <w:tcW w:w="876" w:type="dxa"/>
            <w:tcBorders>
              <w:top w:val="single" w:color="auto" w:sz="4" w:space="0"/>
              <w:left w:val="single" w:color="auto" w:sz="4" w:space="0"/>
              <w:right w:val="single" w:color="auto" w:sz="4" w:space="0"/>
            </w:tcBorders>
            <w:noWrap w:val="0"/>
            <w:vAlign w:val="center"/>
          </w:tcPr>
          <w:p w14:paraId="1FCB773A">
            <w:pPr>
              <w:pStyle w:val="4"/>
              <w:keepNext w:val="0"/>
              <w:keepLines w:val="0"/>
              <w:pageBreakBefore w:val="0"/>
              <w:kinsoku/>
              <w:wordWrap/>
              <w:overflowPunct/>
              <w:topLinePunct w:val="0"/>
              <w:autoSpaceDN/>
              <w:bidi w:val="0"/>
              <w:adjustRightInd/>
              <w:spacing w:after="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0-12分</w:t>
            </w:r>
          </w:p>
        </w:tc>
      </w:tr>
      <w:tr w14:paraId="0A36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01429DE8">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280" w:type="dxa"/>
            <w:tcBorders>
              <w:top w:val="single" w:color="auto" w:sz="4" w:space="0"/>
              <w:left w:val="single" w:color="auto" w:sz="4" w:space="0"/>
              <w:right w:val="single" w:color="auto" w:sz="4" w:space="0"/>
            </w:tcBorders>
            <w:noWrap w:val="0"/>
            <w:vAlign w:val="center"/>
          </w:tcPr>
          <w:p w14:paraId="0B84AA37">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整体方案</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67D2665B">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针对本项目设计一套整体的可行性实施或运行方案。评委根据方案的完整性及</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rPr>
              <w:t>对</w:t>
            </w:r>
            <w:r>
              <w:rPr>
                <w:rFonts w:hint="eastAsia" w:ascii="仿宋" w:hAnsi="仿宋" w:eastAsia="仿宋" w:cs="仿宋"/>
                <w:bCs/>
                <w:color w:val="auto"/>
                <w:sz w:val="24"/>
                <w:szCs w:val="24"/>
                <w:highlight w:val="none"/>
                <w:lang w:val="en-US" w:eastAsia="zh-CN"/>
              </w:rPr>
              <w:t>集镇内精细化管理配套服务</w:t>
            </w:r>
            <w:r>
              <w:rPr>
                <w:rFonts w:hint="eastAsia" w:ascii="仿宋" w:hAnsi="仿宋" w:eastAsia="仿宋" w:cs="仿宋"/>
                <w:snapToGrid w:val="0"/>
                <w:color w:val="auto"/>
                <w:kern w:val="0"/>
                <w:sz w:val="24"/>
                <w:szCs w:val="24"/>
                <w:highlight w:val="none"/>
              </w:rPr>
              <w:t>需求的把握</w:t>
            </w:r>
            <w:r>
              <w:rPr>
                <w:rFonts w:hint="eastAsia" w:ascii="仿宋" w:hAnsi="仿宋" w:eastAsia="仿宋" w:cs="仿宋"/>
                <w:snapToGrid w:val="0"/>
                <w:color w:val="auto"/>
                <w:kern w:val="0"/>
                <w:sz w:val="24"/>
                <w:szCs w:val="24"/>
                <w:highlight w:val="none"/>
                <w:lang w:val="en-US" w:eastAsia="zh-CN"/>
              </w:rPr>
              <w:t>程度进行评分</w:t>
            </w:r>
            <w:r>
              <w:rPr>
                <w:rFonts w:hint="eastAsia" w:ascii="仿宋" w:hAnsi="仿宋" w:eastAsia="仿宋" w:cs="仿宋"/>
                <w:snapToGrid w:val="0"/>
                <w:color w:val="auto"/>
                <w:kern w:val="0"/>
                <w:sz w:val="24"/>
                <w:szCs w:val="24"/>
                <w:highlight w:val="none"/>
              </w:rPr>
              <w:t>。</w:t>
            </w:r>
          </w:p>
          <w:p w14:paraId="56AD6A30">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需求把握程度完整可行得6-8分；</w:t>
            </w:r>
          </w:p>
          <w:p w14:paraId="329D6695">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需求把握程度基本可行得3-6分；</w:t>
            </w:r>
          </w:p>
          <w:p w14:paraId="4AC83E49">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需求把握程度不太可行需要完善得0-3分。</w:t>
            </w:r>
          </w:p>
        </w:tc>
        <w:tc>
          <w:tcPr>
            <w:tcW w:w="876" w:type="dxa"/>
            <w:tcBorders>
              <w:top w:val="single" w:color="auto" w:sz="4" w:space="0"/>
              <w:left w:val="single" w:color="auto" w:sz="4" w:space="0"/>
              <w:bottom w:val="single" w:color="auto" w:sz="4" w:space="0"/>
            </w:tcBorders>
            <w:noWrap w:val="0"/>
            <w:vAlign w:val="center"/>
          </w:tcPr>
          <w:p w14:paraId="403044AA">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0-8分</w:t>
            </w:r>
          </w:p>
        </w:tc>
      </w:tr>
      <w:tr w14:paraId="3DCE6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069B24AE">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280" w:type="dxa"/>
            <w:tcBorders>
              <w:top w:val="single" w:color="auto" w:sz="4" w:space="0"/>
              <w:left w:val="single" w:color="auto" w:sz="4" w:space="0"/>
              <w:right w:val="single" w:color="auto" w:sz="4" w:space="0"/>
            </w:tcBorders>
            <w:noWrap w:val="0"/>
            <w:vAlign w:val="center"/>
          </w:tcPr>
          <w:p w14:paraId="11D006FC">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文明施工方案</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3FB22CE4">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投标人应根据有关要求加强安全防护、文明施工工作。文明施工、环境保护、安全施工、临时设施费等措施费用必须充分保证，评委根据</w:t>
            </w:r>
            <w:r>
              <w:rPr>
                <w:rFonts w:hint="eastAsia" w:ascii="仿宋" w:hAnsi="仿宋" w:eastAsia="仿宋" w:cs="仿宋"/>
                <w:snapToGrid w:val="0"/>
                <w:color w:val="auto"/>
                <w:kern w:val="0"/>
                <w:sz w:val="24"/>
                <w:szCs w:val="24"/>
                <w:highlight w:val="none"/>
                <w:lang w:val="en-US" w:eastAsia="zh-CN"/>
              </w:rPr>
              <w:t>投标人</w:t>
            </w:r>
            <w:r>
              <w:rPr>
                <w:rFonts w:hint="eastAsia" w:ascii="仿宋" w:hAnsi="仿宋" w:eastAsia="仿宋" w:cs="仿宋"/>
                <w:snapToGrid w:val="0"/>
                <w:color w:val="auto"/>
                <w:kern w:val="0"/>
                <w:sz w:val="24"/>
                <w:szCs w:val="24"/>
                <w:highlight w:val="none"/>
              </w:rPr>
              <w:t>提供的方案的相关内容情况</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sz w:val="24"/>
                <w:szCs w:val="24"/>
                <w:highlight w:val="none"/>
                <w:lang w:val="en-US" w:eastAsia="zh-CN"/>
              </w:rPr>
              <w:t>方案完整可行得6-8分；</w:t>
            </w:r>
          </w:p>
          <w:p w14:paraId="4DFDD026">
            <w:pPr>
              <w:keepNext w:val="0"/>
              <w:keepLines w:val="0"/>
              <w:pageBreakBefore w:val="0"/>
              <w:kinsoku/>
              <w:wordWrap/>
              <w:overflowPunct/>
              <w:topLinePunct w:val="0"/>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方案基本完整，基本可行得3-6分；</w:t>
            </w:r>
          </w:p>
          <w:p w14:paraId="5338D425">
            <w:pPr>
              <w:keepNext w:val="0"/>
              <w:keepLines w:val="0"/>
              <w:pageBreakBefore w:val="0"/>
              <w:kinsoku/>
              <w:wordWrap/>
              <w:overflowPunct/>
              <w:topLinePunct w:val="0"/>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方案不太完整得0-3分。</w:t>
            </w:r>
          </w:p>
        </w:tc>
        <w:tc>
          <w:tcPr>
            <w:tcW w:w="876" w:type="dxa"/>
            <w:tcBorders>
              <w:top w:val="single" w:color="auto" w:sz="4" w:space="0"/>
              <w:left w:val="single" w:color="auto" w:sz="4" w:space="0"/>
              <w:bottom w:val="single" w:color="auto" w:sz="4" w:space="0"/>
            </w:tcBorders>
            <w:noWrap w:val="0"/>
            <w:vAlign w:val="center"/>
          </w:tcPr>
          <w:p w14:paraId="5A5AC843">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分</w:t>
            </w:r>
          </w:p>
        </w:tc>
      </w:tr>
      <w:tr w14:paraId="52D20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23441776">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280" w:type="dxa"/>
            <w:tcBorders>
              <w:top w:val="single" w:color="auto" w:sz="4" w:space="0"/>
              <w:left w:val="single" w:color="auto" w:sz="4" w:space="0"/>
              <w:right w:val="single" w:color="auto" w:sz="4" w:space="0"/>
            </w:tcBorders>
            <w:noWrap w:val="0"/>
            <w:vAlign w:val="center"/>
          </w:tcPr>
          <w:p w14:paraId="2821F361">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管理方案</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1C5C8325">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包括但不限于内部管理制度，节能管理等相关管理措施、制度的建立。评委根据</w:t>
            </w:r>
            <w:r>
              <w:rPr>
                <w:rFonts w:hint="eastAsia" w:ascii="仿宋" w:hAnsi="仿宋" w:eastAsia="仿宋" w:cs="仿宋"/>
                <w:snapToGrid w:val="0"/>
                <w:color w:val="auto"/>
                <w:kern w:val="0"/>
                <w:sz w:val="24"/>
                <w:szCs w:val="24"/>
                <w:highlight w:val="none"/>
                <w:lang w:val="en-US" w:eastAsia="zh-CN"/>
              </w:rPr>
              <w:t>投标人</w:t>
            </w:r>
            <w:r>
              <w:rPr>
                <w:rFonts w:hint="eastAsia" w:ascii="仿宋" w:hAnsi="仿宋" w:eastAsia="仿宋" w:cs="仿宋"/>
                <w:snapToGrid w:val="0"/>
                <w:color w:val="auto"/>
                <w:kern w:val="0"/>
                <w:sz w:val="24"/>
                <w:szCs w:val="24"/>
                <w:highlight w:val="none"/>
              </w:rPr>
              <w:t>提供的方案的相关内容，重点考察企业内部管理制度、体系的科学性</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snapToGrid w:val="0"/>
                <w:color w:val="auto"/>
                <w:kern w:val="0"/>
                <w:sz w:val="24"/>
                <w:szCs w:val="24"/>
                <w:highlight w:val="none"/>
              </w:rPr>
              <w:t>。</w:t>
            </w:r>
          </w:p>
          <w:p w14:paraId="04B02886">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管理制度、体系</w:t>
            </w:r>
            <w:r>
              <w:rPr>
                <w:rFonts w:hint="eastAsia" w:ascii="仿宋" w:hAnsi="仿宋" w:eastAsia="仿宋" w:cs="仿宋"/>
                <w:color w:val="auto"/>
                <w:sz w:val="24"/>
                <w:szCs w:val="24"/>
                <w:highlight w:val="none"/>
                <w:lang w:val="en-US" w:eastAsia="zh-CN"/>
              </w:rPr>
              <w:t>完整可行得6-8分；</w:t>
            </w:r>
          </w:p>
          <w:p w14:paraId="1B3F62E5">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管理制度、体系</w:t>
            </w:r>
            <w:r>
              <w:rPr>
                <w:rFonts w:hint="eastAsia" w:ascii="仿宋" w:hAnsi="仿宋" w:eastAsia="仿宋" w:cs="仿宋"/>
                <w:color w:val="auto"/>
                <w:sz w:val="24"/>
                <w:szCs w:val="24"/>
                <w:highlight w:val="none"/>
                <w:lang w:val="en-US" w:eastAsia="zh-CN"/>
              </w:rPr>
              <w:t>基本完整，基本可行得3-6分；</w:t>
            </w:r>
          </w:p>
          <w:p w14:paraId="513B6467">
            <w:pPr>
              <w:keepNext w:val="0"/>
              <w:keepLines w:val="0"/>
              <w:pageBreakBefore w:val="0"/>
              <w:kinsoku/>
              <w:wordWrap/>
              <w:overflowPunct/>
              <w:topLinePunct w:val="0"/>
              <w:autoSpaceDN/>
              <w:bidi w:val="0"/>
              <w:adjustRightInd/>
              <w:snapToGrid w:val="0"/>
              <w:spacing w:line="360" w:lineRule="auto"/>
              <w:ind w:firstLine="240" w:firstLineChars="1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管理制度、体系</w:t>
            </w:r>
            <w:r>
              <w:rPr>
                <w:rFonts w:hint="eastAsia" w:ascii="仿宋" w:hAnsi="仿宋" w:eastAsia="仿宋" w:cs="仿宋"/>
                <w:color w:val="auto"/>
                <w:sz w:val="24"/>
                <w:szCs w:val="24"/>
                <w:highlight w:val="none"/>
                <w:lang w:val="en-US" w:eastAsia="zh-CN"/>
              </w:rPr>
              <w:t>不太完整得0-3分。</w:t>
            </w:r>
          </w:p>
        </w:tc>
        <w:tc>
          <w:tcPr>
            <w:tcW w:w="876" w:type="dxa"/>
            <w:tcBorders>
              <w:top w:val="single" w:color="auto" w:sz="4" w:space="0"/>
              <w:left w:val="single" w:color="auto" w:sz="4" w:space="0"/>
              <w:bottom w:val="single" w:color="auto" w:sz="4" w:space="0"/>
            </w:tcBorders>
            <w:noWrap w:val="0"/>
            <w:vAlign w:val="center"/>
          </w:tcPr>
          <w:p w14:paraId="6F01DC88">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分</w:t>
            </w:r>
          </w:p>
        </w:tc>
      </w:tr>
      <w:tr w14:paraId="4E14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5CE9136B">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280" w:type="dxa"/>
            <w:tcBorders>
              <w:top w:val="single" w:color="auto" w:sz="4" w:space="0"/>
              <w:left w:val="single" w:color="auto" w:sz="4" w:space="0"/>
              <w:right w:val="single" w:color="auto" w:sz="4" w:space="0"/>
            </w:tcBorders>
            <w:noWrap w:val="0"/>
            <w:vAlign w:val="center"/>
          </w:tcPr>
          <w:p w14:paraId="291E8C5A">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安全方案</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744AD2D8">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针对本项目的生产安全的风险分析及可行控制方案。评委根据企业提供的方案的相关内容，重点考察企业方案对施工风险的分析，对施工安全的保障措施及应急预案的科学合理性，考察企业在安全方案的内控机制及能力；保安人员对应急情况预判、处置流程、处置能力情况</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snapToGrid w:val="0"/>
                <w:color w:val="auto"/>
                <w:kern w:val="0"/>
                <w:sz w:val="24"/>
                <w:szCs w:val="24"/>
                <w:highlight w:val="none"/>
              </w:rPr>
              <w:t>。</w:t>
            </w:r>
          </w:p>
          <w:p w14:paraId="203AEC41">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方案完整、措施可行得6-8分；</w:t>
            </w:r>
          </w:p>
          <w:p w14:paraId="074F012C">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方案基本完整，基本可行得3-6分；</w:t>
            </w:r>
          </w:p>
          <w:p w14:paraId="04463E17">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方案不太完整得0-3分。</w:t>
            </w:r>
          </w:p>
        </w:tc>
        <w:tc>
          <w:tcPr>
            <w:tcW w:w="876" w:type="dxa"/>
            <w:tcBorders>
              <w:top w:val="single" w:color="auto" w:sz="4" w:space="0"/>
              <w:left w:val="single" w:color="auto" w:sz="4" w:space="0"/>
              <w:bottom w:val="single" w:color="auto" w:sz="4" w:space="0"/>
            </w:tcBorders>
            <w:noWrap w:val="0"/>
            <w:vAlign w:val="center"/>
          </w:tcPr>
          <w:p w14:paraId="1709BA2F">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分</w:t>
            </w:r>
          </w:p>
        </w:tc>
      </w:tr>
      <w:tr w14:paraId="7509E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6EA3C32C">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280" w:type="dxa"/>
            <w:tcBorders>
              <w:top w:val="single" w:color="auto" w:sz="4" w:space="0"/>
              <w:left w:val="single" w:color="auto" w:sz="4" w:space="0"/>
              <w:right w:val="single" w:color="auto" w:sz="4" w:space="0"/>
            </w:tcBorders>
            <w:noWrap w:val="0"/>
            <w:vAlign w:val="center"/>
          </w:tcPr>
          <w:p w14:paraId="255854D4">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机械设备方案</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60393CD0">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针对本项目需求的编制机械设备计划。评委根据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提供的方案的相关内容，重点考察投标人投入的机械设备为自有机械设备或租赁情况</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color w:val="auto"/>
                <w:sz w:val="24"/>
                <w:szCs w:val="24"/>
                <w:highlight w:val="none"/>
              </w:rPr>
              <w:t>。</w:t>
            </w:r>
          </w:p>
          <w:p w14:paraId="569A77FE">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val="en-US" w:eastAsia="zh-CN"/>
              </w:rPr>
              <w:t>投入计划完整可行得6-8分；</w:t>
            </w:r>
          </w:p>
          <w:p w14:paraId="67508803">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val="en-US" w:eastAsia="zh-CN"/>
              </w:rPr>
              <w:t>投入计划基本完整可行得3-6分；</w:t>
            </w:r>
          </w:p>
          <w:p w14:paraId="1D4A3478">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val="en-US" w:eastAsia="zh-CN"/>
              </w:rPr>
              <w:t>投入计划不太完整得0-3分。</w:t>
            </w:r>
          </w:p>
          <w:p w14:paraId="616669D6">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b/>
                <w:bCs/>
                <w:color w:val="auto"/>
                <w:sz w:val="24"/>
                <w:szCs w:val="24"/>
                <w:highlight w:val="none"/>
                <w:lang w:val="en-US" w:eastAsia="zh-CN"/>
              </w:rPr>
              <w:t>注：投标时</w:t>
            </w:r>
            <w:r>
              <w:rPr>
                <w:rFonts w:hint="eastAsia" w:ascii="仿宋" w:hAnsi="仿宋" w:eastAsia="仿宋" w:cs="仿宋"/>
                <w:b/>
                <w:bCs/>
                <w:color w:val="auto"/>
                <w:sz w:val="24"/>
                <w:szCs w:val="24"/>
                <w:highlight w:val="none"/>
              </w:rPr>
              <w:t>提供设备的购买发票或设备租赁合同及配套租赁费用支付凭证</w:t>
            </w:r>
            <w:r>
              <w:rPr>
                <w:rFonts w:hint="eastAsia" w:ascii="仿宋" w:hAnsi="仿宋" w:eastAsia="仿宋" w:cs="仿宋"/>
                <w:b/>
                <w:bCs/>
                <w:color w:val="auto"/>
                <w:sz w:val="24"/>
                <w:szCs w:val="24"/>
                <w:highlight w:val="none"/>
                <w:lang w:val="en-US" w:eastAsia="zh-CN"/>
              </w:rPr>
              <w:t>复印件</w:t>
            </w:r>
            <w:r>
              <w:rPr>
                <w:rFonts w:hint="eastAsia" w:ascii="仿宋" w:hAnsi="仿宋" w:eastAsia="仿宋" w:cs="仿宋"/>
                <w:b/>
                <w:bCs/>
                <w:color w:val="auto"/>
                <w:sz w:val="24"/>
                <w:szCs w:val="24"/>
                <w:lang w:val="en-US" w:eastAsia="zh-CN"/>
              </w:rPr>
              <w:t>并加盖投标人公章</w:t>
            </w:r>
            <w:r>
              <w:rPr>
                <w:rFonts w:hint="eastAsia" w:ascii="仿宋" w:hAnsi="仿宋" w:eastAsia="仿宋" w:cs="仿宋"/>
                <w:b/>
                <w:bCs/>
                <w:color w:val="auto"/>
                <w:sz w:val="24"/>
                <w:szCs w:val="24"/>
                <w:highlight w:val="none"/>
              </w:rPr>
              <w:t>，不提供不得分</w:t>
            </w:r>
            <w:r>
              <w:rPr>
                <w:rFonts w:hint="eastAsia" w:ascii="仿宋" w:hAnsi="仿宋" w:eastAsia="仿宋" w:cs="仿宋"/>
                <w:b/>
                <w:bCs/>
                <w:color w:val="auto"/>
                <w:sz w:val="24"/>
                <w:szCs w:val="24"/>
                <w:highlight w:val="none"/>
                <w:lang w:eastAsia="zh-CN"/>
              </w:rPr>
              <w:t>。</w:t>
            </w:r>
          </w:p>
        </w:tc>
        <w:tc>
          <w:tcPr>
            <w:tcW w:w="876" w:type="dxa"/>
            <w:tcBorders>
              <w:top w:val="single" w:color="auto" w:sz="4" w:space="0"/>
              <w:left w:val="single" w:color="auto" w:sz="4" w:space="0"/>
              <w:bottom w:val="single" w:color="auto" w:sz="4" w:space="0"/>
            </w:tcBorders>
            <w:noWrap w:val="0"/>
            <w:vAlign w:val="center"/>
          </w:tcPr>
          <w:p w14:paraId="5F1C3A4C">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分</w:t>
            </w:r>
          </w:p>
        </w:tc>
      </w:tr>
      <w:tr w14:paraId="725A2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5FF40473">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280" w:type="dxa"/>
            <w:tcBorders>
              <w:top w:val="single" w:color="auto" w:sz="4" w:space="0"/>
              <w:left w:val="single" w:color="auto" w:sz="4" w:space="0"/>
              <w:right w:val="single" w:color="auto" w:sz="4" w:space="0"/>
            </w:tcBorders>
            <w:noWrap w:val="0"/>
            <w:vAlign w:val="center"/>
          </w:tcPr>
          <w:p w14:paraId="7C037940">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工期保障</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004C95D8">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根据投标人针对本项目提供工期和施工进度的方案，保证充足的施工人员及技术力量，方案严密、措施全面等情况</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color w:val="auto"/>
                <w:sz w:val="24"/>
                <w:szCs w:val="24"/>
                <w:highlight w:val="none"/>
              </w:rPr>
              <w:t>。</w:t>
            </w:r>
          </w:p>
          <w:p w14:paraId="21228D14">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方案完整可行得5-7分；</w:t>
            </w:r>
          </w:p>
          <w:p w14:paraId="4332CAE8">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方案基本完整，基本可行得3-5分；</w:t>
            </w:r>
          </w:p>
          <w:p w14:paraId="7632D7E8">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方案不太完整得0-3分。</w:t>
            </w:r>
          </w:p>
        </w:tc>
        <w:tc>
          <w:tcPr>
            <w:tcW w:w="876" w:type="dxa"/>
            <w:tcBorders>
              <w:top w:val="single" w:color="auto" w:sz="4" w:space="0"/>
              <w:left w:val="single" w:color="auto" w:sz="4" w:space="0"/>
              <w:bottom w:val="single" w:color="auto" w:sz="4" w:space="0"/>
            </w:tcBorders>
            <w:noWrap w:val="0"/>
            <w:vAlign w:val="center"/>
          </w:tcPr>
          <w:p w14:paraId="6910DD7F">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分</w:t>
            </w:r>
          </w:p>
        </w:tc>
      </w:tr>
      <w:tr w14:paraId="4032D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19FA3D0B">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7E4DAE2">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应急抢修</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180887D5">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针对本项目提供应急抢修情况</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color w:val="auto"/>
                <w:sz w:val="24"/>
                <w:szCs w:val="24"/>
                <w:highlight w:val="none"/>
              </w:rPr>
              <w:t>，</w:t>
            </w:r>
          </w:p>
          <w:p w14:paraId="02F3A5D9">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能第一时间响应并组织施工在抢修时限内抢修任务的得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8BA6CC7">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能第一时间响应并做好应急处置的得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3AA26596">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其他不得分。</w:t>
            </w:r>
          </w:p>
        </w:tc>
        <w:tc>
          <w:tcPr>
            <w:tcW w:w="876" w:type="dxa"/>
            <w:tcBorders>
              <w:top w:val="single" w:color="auto" w:sz="4" w:space="0"/>
              <w:left w:val="single" w:color="auto" w:sz="4" w:space="0"/>
              <w:bottom w:val="single" w:color="auto" w:sz="4" w:space="0"/>
            </w:tcBorders>
            <w:noWrap w:val="0"/>
            <w:vAlign w:val="center"/>
          </w:tcPr>
          <w:p w14:paraId="5BAFDA26">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0-4分</w:t>
            </w:r>
          </w:p>
        </w:tc>
      </w:tr>
      <w:tr w14:paraId="2CDF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44" w:type="dxa"/>
            <w:tcBorders>
              <w:top w:val="single" w:color="auto" w:sz="4" w:space="0"/>
              <w:bottom w:val="single" w:color="auto" w:sz="4" w:space="0"/>
              <w:right w:val="single" w:color="auto" w:sz="4" w:space="0"/>
            </w:tcBorders>
            <w:noWrap w:val="0"/>
            <w:vAlign w:val="center"/>
          </w:tcPr>
          <w:p w14:paraId="206AFBD2">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280" w:type="dxa"/>
            <w:tcBorders>
              <w:top w:val="single" w:color="auto" w:sz="4" w:space="0"/>
              <w:left w:val="single" w:color="auto" w:sz="4" w:space="0"/>
              <w:right w:val="single" w:color="auto" w:sz="4" w:space="0"/>
            </w:tcBorders>
            <w:noWrap w:val="0"/>
            <w:vAlign w:val="center"/>
          </w:tcPr>
          <w:p w14:paraId="52D3A557">
            <w:pPr>
              <w:keepNext w:val="0"/>
              <w:keepLines w:val="0"/>
              <w:pageBreakBefore w:val="0"/>
              <w:kinsoku/>
              <w:wordWrap/>
              <w:overflowPunct/>
              <w:topLinePunct w:val="0"/>
              <w:autoSpaceDN/>
              <w:bidi w:val="0"/>
              <w:adjustRightIn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5101AD90">
            <w:pPr>
              <w:keepNext w:val="0"/>
              <w:keepLines w:val="0"/>
              <w:pageBreakBefore w:val="0"/>
              <w:kinsoku/>
              <w:wordWrap/>
              <w:overflowPunct/>
              <w:topLinePunct w:val="0"/>
              <w:autoSpaceDN/>
              <w:bidi w:val="0"/>
              <w:adjustRightInd/>
              <w:spacing w:line="360" w:lineRule="auto"/>
              <w:ind w:firstLine="240" w:firstLineChars="1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服务能力：</w:t>
            </w:r>
            <w:r>
              <w:rPr>
                <w:rFonts w:hint="eastAsia" w:ascii="仿宋" w:hAnsi="仿宋" w:eastAsia="仿宋" w:cs="仿宋"/>
                <w:b w:val="0"/>
                <w:bCs/>
                <w:color w:val="auto"/>
                <w:sz w:val="24"/>
                <w:szCs w:val="24"/>
                <w:highlight w:val="none"/>
                <w:lang w:val="en-US" w:eastAsia="zh-CN"/>
              </w:rPr>
              <w:t>根据投标人本地化服务能力、售后服务机构设立、售后响应能力、售后响应时间等售后服务内容</w:t>
            </w:r>
            <w:r>
              <w:rPr>
                <w:rFonts w:hint="eastAsia" w:ascii="仿宋" w:hAnsi="仿宋" w:eastAsia="仿宋" w:cs="仿宋"/>
                <w:snapToGrid w:val="0"/>
                <w:color w:val="auto"/>
                <w:kern w:val="0"/>
                <w:sz w:val="24"/>
                <w:szCs w:val="24"/>
                <w:highlight w:val="none"/>
                <w:lang w:val="en-US" w:eastAsia="zh-CN"/>
              </w:rPr>
              <w:t>进行评分</w:t>
            </w:r>
            <w:r>
              <w:rPr>
                <w:rFonts w:hint="eastAsia" w:ascii="仿宋" w:hAnsi="仿宋" w:eastAsia="仿宋" w:cs="仿宋"/>
                <w:b w:val="0"/>
                <w:bCs/>
                <w:color w:val="auto"/>
                <w:sz w:val="24"/>
                <w:szCs w:val="24"/>
                <w:highlight w:val="none"/>
                <w:lang w:val="en-US" w:eastAsia="zh-CN"/>
              </w:rPr>
              <w:t>。</w:t>
            </w:r>
          </w:p>
          <w:p w14:paraId="7D3E23D3">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方案完整可行得4-6分；</w:t>
            </w:r>
          </w:p>
          <w:p w14:paraId="762DC661">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方案基本完整，基本可行得2-4分；</w:t>
            </w:r>
          </w:p>
          <w:p w14:paraId="51FF3499">
            <w:pPr>
              <w:keepNext w:val="0"/>
              <w:keepLines w:val="0"/>
              <w:pageBreakBefore w:val="0"/>
              <w:kinsoku/>
              <w:wordWrap/>
              <w:overflowPunct/>
              <w:topLinePunct w:val="0"/>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方案不太完整得0-2分。</w:t>
            </w:r>
          </w:p>
        </w:tc>
        <w:tc>
          <w:tcPr>
            <w:tcW w:w="876" w:type="dxa"/>
            <w:tcBorders>
              <w:top w:val="single" w:color="auto" w:sz="4" w:space="0"/>
              <w:left w:val="single" w:color="auto" w:sz="4" w:space="0"/>
              <w:bottom w:val="single" w:color="auto" w:sz="4" w:space="0"/>
            </w:tcBorders>
            <w:noWrap w:val="0"/>
            <w:vAlign w:val="center"/>
          </w:tcPr>
          <w:p w14:paraId="05DB9E6B">
            <w:pPr>
              <w:keepNext w:val="0"/>
              <w:keepLines w:val="0"/>
              <w:pageBreakBefore w:val="0"/>
              <w:widowControl/>
              <w:kinsoku/>
              <w:wordWrap/>
              <w:overflowPunct/>
              <w:topLinePunct w:val="0"/>
              <w:autoSpaceDN/>
              <w:bidi w:val="0"/>
              <w:adjustRightIn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0-6分</w:t>
            </w:r>
          </w:p>
        </w:tc>
      </w:tr>
    </w:tbl>
    <w:p w14:paraId="3CCC15A6">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本次评审通过资格审查和符合性评审的单位全部入围进行商务评审。</w:t>
      </w:r>
    </w:p>
    <w:p w14:paraId="6F793DF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备注：投标人编制</w:t>
      </w:r>
      <w:r>
        <w:rPr>
          <w:rFonts w:hint="eastAsia" w:ascii="仿宋" w:hAnsi="仿宋" w:eastAsia="仿宋" w:cs="仿宋"/>
          <w:sz w:val="24"/>
          <w:highlight w:val="none"/>
          <w:lang w:eastAsia="zh-CN"/>
        </w:rPr>
        <w:t>商务技术文件</w:t>
      </w:r>
      <w:r>
        <w:rPr>
          <w:rFonts w:hint="eastAsia" w:ascii="仿宋" w:hAnsi="仿宋" w:eastAsia="仿宋" w:cs="仿宋"/>
          <w:sz w:val="24"/>
          <w:highlight w:val="none"/>
        </w:rPr>
        <w:t>（商务技术文件部分）时，建议按此目录（序号和内容）提供评标标准相应的商务技术资料。</w:t>
      </w:r>
    </w:p>
    <w:p w14:paraId="41913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175"/>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（一）采购内容</w:t>
      </w:r>
    </w:p>
    <w:p w14:paraId="286C048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次采购范围为镇域内主要道路,明显破损,坑洼,裂缝,排水设施,警示标志等损坏部分及时修复,合理养护策略，对镇域内,公园,花坛,道路两侧的草坪,乔木,灌木定期养护，养护内容包括浇灌,施肥修剪,整形有害生物防治补植,改植，防护,清洁等工作。最终根据采购人的维修派工单及工作量按实结算。具体维修内容按采购人要求为准。</w:t>
      </w:r>
    </w:p>
    <w:p w14:paraId="2FBFAC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2、服务期限：合同签订之日起一年或采购预算金额满止。</w:t>
      </w:r>
    </w:p>
    <w:p w14:paraId="0461FFDD">
      <w:pPr>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（二）双方责任及义务</w:t>
      </w:r>
    </w:p>
    <w:p w14:paraId="1223AC07">
      <w:pPr>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1、采购人责任</w:t>
      </w:r>
    </w:p>
    <w:p w14:paraId="5F5560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每次任务下达前，采购人应向中标人提供具体指明任务的具体内容。</w:t>
      </w:r>
    </w:p>
    <w:p w14:paraId="27ED86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采购人应当采取必要的保障措施，避免中标人工作过程中受到第三方的人为干扰。</w:t>
      </w:r>
    </w:p>
    <w:p w14:paraId="104A95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采购人有权检查中标人任务过程中，安全作业、防范措施、环境卫生等情况，发现问题，有权责令中标人整改并下发《整改通知书》。</w:t>
      </w:r>
    </w:p>
    <w:p w14:paraId="2F6E92D5">
      <w:pPr>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2、中标人责任</w:t>
      </w:r>
    </w:p>
    <w:p w14:paraId="62C90B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中标人应指派具备相应上岗资格的人员指挥或操作任务过程。</w:t>
      </w:r>
    </w:p>
    <w:p w14:paraId="0DE13B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中大型规模项目实施前，中标人应随同采购人踏勘现场，制定工作方案（人员、机械、所需时间），经采购人审核后执行。</w:t>
      </w:r>
    </w:p>
    <w:p w14:paraId="016258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协议期间中标人不得以任何理由终止采购人的任务委托。</w:t>
      </w:r>
    </w:p>
    <w:p w14:paraId="59F508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中标人应按照采购人要求如期完工。</w:t>
      </w:r>
    </w:p>
    <w:p w14:paraId="3CB731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中标人应自觉接受其他相关部门的管理，严格按照相关规范进行实施，确保安全，工作期间出现的一切伤亡事故，由中标人负责，并承担由此带来的一切经济和法律责任，中标人应承担因操作不当造成的损失。</w:t>
      </w:r>
    </w:p>
    <w:p w14:paraId="31F569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中标人应按照约定完成合同中的各项工作，因违反国家及合同的要求，造成的一切后果由中标人承担。</w:t>
      </w:r>
    </w:p>
    <w:p w14:paraId="19139C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中标人建立健全安全生产责任制，制定并落实安全生产规章制度，严格执行各项技术规范；自觉接受有关行政部门的监督和管理。</w:t>
      </w:r>
    </w:p>
    <w:p w14:paraId="323C3E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中标人保证安全生产所需资金的投入和使用，作业现场安全生产防护和文明措施规范性文件的要求。</w:t>
      </w:r>
    </w:p>
    <w:p w14:paraId="42E364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中标人设置安全生产管理机构，配备与项目规模，专业相适应的专职安全生产管理人员。</w:t>
      </w:r>
    </w:p>
    <w:p w14:paraId="3FF65A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中标人项目经理、专职安全生产管理人员和特种作业人员经法定部门考核合格并持有有效合格证书。</w:t>
      </w:r>
    </w:p>
    <w:p w14:paraId="15A01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中标人依法参加工伤保险，依法为作业现场从事危险作业人员办理意外伤害保险；为从业人员交纳保险费。</w:t>
      </w:r>
    </w:p>
    <w:p w14:paraId="141F24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中标人制定对危险性较大的分部分项内容及作业现场易发生重大安全事故的部位、环节的预防、监控措施和应急预案，配备必要的应急救援器材、设备。</w:t>
      </w:r>
    </w:p>
    <w:p w14:paraId="7C95F4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中标人建立健全施工现场安全管理档案、台帐。认真履行法律法规规定的其他责任。</w:t>
      </w:r>
    </w:p>
    <w:p w14:paraId="7FC566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中标人不得将工程违法、非法转包、分包。</w:t>
      </w:r>
    </w:p>
    <w:p w14:paraId="765389EB">
      <w:pPr>
        <w:pageBreakBefore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0F0D5FE0">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1、本项目中标人必须使用采购人指定的机械设备进行工作；</w:t>
      </w:r>
    </w:p>
    <w:p w14:paraId="126A2736">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2、本项目中的维修作业任务必须根据采购人要求的时间及时完成；</w:t>
      </w:r>
    </w:p>
    <w:p w14:paraId="35E29730">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3、中标人每违反以上两条中任意一条一次，采购人将在中标人提交的履约保证金中扣除1万元；</w:t>
      </w:r>
    </w:p>
    <w:p w14:paraId="4A406FA1">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4、相关安全由中标人全权负责，一旦发生安全事故，费用全部由中标人自行负责；中标人必须为实施项目和作业场地内的自有人员及第三方人员生命财产办理保险，支付保险费用；</w:t>
      </w:r>
    </w:p>
    <w:p w14:paraId="21EC1B2D">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5、中标人提供的长驻维修工作人员不得少于5名，采购人将对此进行抽查，如有人员不到位现象，查实三次以上的作终止合同处理并没收履约保证金。</w:t>
      </w:r>
    </w:p>
    <w:p w14:paraId="516CFB81">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6、维修工作期间的餐饮费用均由中标人自行解决，费用自负。</w:t>
      </w:r>
    </w:p>
    <w:p w14:paraId="451AF1A9">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7、实际操作机械按需使用，尽量用低价。</w:t>
      </w:r>
    </w:p>
    <w:p w14:paraId="0E2B703E">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8、本项目管理人员要求五大员配备齐全。</w:t>
      </w:r>
    </w:p>
    <w:p w14:paraId="14D77C8F">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9、本项目主要管理人员年龄须在55周岁以内。</w:t>
      </w:r>
    </w:p>
    <w:p w14:paraId="58B855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（四）履约保证金及</w:t>
      </w:r>
      <w:r>
        <w:rPr>
          <w:rFonts w:hint="eastAsia" w:ascii="仿宋" w:hAnsi="仿宋" w:eastAsia="仿宋" w:cs="仿宋"/>
          <w:b/>
          <w:bCs/>
          <w:color w:val="auto"/>
          <w:sz w:val="24"/>
          <w:szCs w:val="24"/>
          <w:highlight w:val="none"/>
        </w:rPr>
        <w:t>付款方式</w:t>
      </w:r>
    </w:p>
    <w:p w14:paraId="6F3E8554">
      <w:pPr>
        <w:pageBreakBefore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p w14:paraId="53657E4C">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1.1合同签订之日起5个工作日内，中标人须向采购人缴纳合同金额1%的履约保证金。</w:t>
      </w:r>
    </w:p>
    <w:p w14:paraId="56637638">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1.2合同履行期间，如中标人未能按约履行合同义务，采购人有权没收履约保证金。</w:t>
      </w:r>
    </w:p>
    <w:p w14:paraId="6BEC57CF">
      <w:pPr>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7EA8A0AC">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并且中标人提供履约保证金后5个工作日内支付合同金额的50%作为预付款（在签订合同时，如中标人明确表示无需预付款或者主动要求降低预付款比例的，采购人可不适用前述规定；如合同约定预付款的，中标人需向采购人提交银行、保险公司等金融机构出具的预付款保函）；项目竣工验收合格后7个工作日内支付至合同总价的85%并无息退还履约保证金；中标人根据中央财政资金使用标准提交完整竣工验收资料并经审计后支付至审计确认价的100%。注：中标人必须开具合同金额100%的正式税务发票；以上各阶段付款时间是指采购人完成向财政部门申报支付手续的时间，因财政部门资金申报、审查、拨付造成的支付时间延误的，不视为采购人违约。</w:t>
      </w:r>
    </w:p>
    <w:p w14:paraId="0A7535C5">
      <w:pPr>
        <w:pStyle w:val="2"/>
        <w:pageBreakBefore w:val="0"/>
        <w:tabs>
          <w:tab w:val="left" w:pos="432"/>
        </w:tabs>
        <w:kinsoku/>
        <w:wordWrap/>
        <w:overflowPunct/>
        <w:topLinePunct w:val="0"/>
        <w:autoSpaceDE/>
        <w:autoSpaceDN/>
        <w:bidi w:val="0"/>
        <w:adjustRightInd/>
        <w:snapToGrid/>
        <w:spacing w:before="0" w:beforeLines="0" w:after="0" w:afterLines="0" w:line="360" w:lineRule="auto"/>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（五）报价说明</w:t>
      </w:r>
    </w:p>
    <w:p w14:paraId="2137DD98">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应明确能承担本招标文件中规定的应由投标人承担的各类实施风险，在投标时已充分研究和分析本招标文件及其相关资料，经现场考察、测量，完成本项目从投标开始至保修期结束止，所有招标文件所列工作，达到招标文件规定的质量、工期要求，报价包含本项目实施的相关养护、人工、机械设备、苗木补种、养护材料、交通、税费等一切费用</w:t>
      </w:r>
    </w:p>
    <w:p w14:paraId="0740C52B">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2、本项目应执行国家或行业有关法律法规或制度执行，违反强制性条文的投标文件作无效标处理。</w:t>
      </w:r>
    </w:p>
    <w:p w14:paraId="669191FC">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3、本次招标范围清单范围外的维修内容和价格经采购人市场调研后按市场价格或者实施当月最新信息价同比例折扣后结算。</w:t>
      </w:r>
    </w:p>
    <w:p w14:paraId="570DC424">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4、投标人应根据有关要求加强环境保护、文明作业、安全生产工作。</w:t>
      </w:r>
    </w:p>
    <w:p w14:paraId="02B9C167">
      <w:pPr>
        <w:pStyle w:val="2"/>
        <w:pageBreakBefore w:val="0"/>
        <w:tabs>
          <w:tab w:val="left" w:pos="432"/>
        </w:tabs>
        <w:kinsoku/>
        <w:wordWrap/>
        <w:overflowPunct/>
        <w:topLinePunct w:val="0"/>
        <w:autoSpaceDE/>
        <w:autoSpaceDN/>
        <w:bidi w:val="0"/>
        <w:adjustRightInd/>
        <w:snapToGrid/>
        <w:spacing w:before="0" w:beforeLines="0" w:after="0" w:afterLines="0" w:line="360" w:lineRule="auto"/>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（六）最高限价及不合理报价处理：</w:t>
      </w:r>
    </w:p>
    <w:p w14:paraId="4AE10CA2">
      <w:pPr>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本次采购最高限价为人民币贰佰万元整（小写：2000000.00元），任何超过最高限价的投标报价将被认定为无效报价（报价包含本项目实施的相关养护、人工、机械设备、苗木补种、养护材料、交通、税费等一切费用）。</w:t>
      </w:r>
    </w:p>
    <w:p w14:paraId="3F68B2D9">
      <w:pPr>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val="0"/>
          <w:color w:val="auto"/>
          <w:sz w:val="24"/>
          <w:szCs w:val="24"/>
          <w:highlight w:val="none"/>
        </w:rPr>
        <w:t>评标委员会认为投标人的报价明显低于其他通过符合性审查投标人的报价，</w:t>
      </w:r>
      <w:r>
        <w:rPr>
          <w:rFonts w:hint="eastAsia" w:ascii="仿宋" w:hAnsi="仿宋" w:eastAsia="仿宋" w:cs="仿宋"/>
          <w:b w:val="0"/>
          <w:bCs w:val="0"/>
          <w:color w:val="auto"/>
          <w:sz w:val="24"/>
          <w:szCs w:val="24"/>
          <w:highlight w:val="none"/>
          <w:lang w:val="en-US" w:eastAsia="zh-CN"/>
        </w:rPr>
        <w:t>认为</w:t>
      </w:r>
      <w:r>
        <w:rPr>
          <w:rFonts w:hint="eastAsia" w:ascii="仿宋" w:hAnsi="仿宋" w:eastAsia="仿宋" w:cs="仿宋"/>
          <w:b w:val="0"/>
          <w:bCs w:val="0"/>
          <w:color w:val="auto"/>
          <w:sz w:val="24"/>
          <w:szCs w:val="24"/>
          <w:highlight w:val="none"/>
        </w:rPr>
        <w:t>有可能影响产品质量或者不能诚信履约，且投标人不能证明其报价合理性的</w:t>
      </w:r>
      <w:r>
        <w:rPr>
          <w:rFonts w:hint="eastAsia" w:ascii="仿宋" w:hAnsi="仿宋" w:eastAsia="仿宋" w:cs="仿宋"/>
          <w:b w:val="0"/>
          <w:bCs/>
          <w:color w:val="auto"/>
          <w:sz w:val="24"/>
          <w:szCs w:val="24"/>
          <w:highlight w:val="none"/>
          <w:lang w:val="en-US" w:eastAsia="zh-CN"/>
        </w:rPr>
        <w:t>将按规定</w:t>
      </w:r>
      <w:r>
        <w:rPr>
          <w:rFonts w:hint="eastAsia" w:ascii="仿宋" w:hAnsi="仿宋" w:eastAsia="仿宋" w:cs="仿宋"/>
          <w:b w:val="0"/>
          <w:bCs w:val="0"/>
          <w:color w:val="auto"/>
          <w:sz w:val="24"/>
          <w:szCs w:val="24"/>
          <w:highlight w:val="none"/>
          <w:lang w:val="en-US" w:eastAsia="zh-CN"/>
        </w:rPr>
        <w:t>作无效投标处理</w:t>
      </w:r>
      <w:r>
        <w:rPr>
          <w:rFonts w:hint="eastAsia" w:ascii="仿宋" w:hAnsi="仿宋" w:eastAsia="仿宋" w:cs="仿宋"/>
          <w:b w:val="0"/>
          <w:bCs/>
          <w:color w:val="auto"/>
          <w:sz w:val="24"/>
          <w:szCs w:val="24"/>
          <w:highlight w:val="none"/>
          <w:lang w:eastAsia="zh-CN"/>
        </w:rPr>
        <w:t>。</w:t>
      </w:r>
    </w:p>
    <w:p w14:paraId="1428F8DD">
      <w:pPr>
        <w:autoSpaceDE w:val="0"/>
        <w:autoSpaceDN w:val="0"/>
        <w:adjustRightInd w:val="0"/>
        <w:spacing w:line="440" w:lineRule="exact"/>
        <w:ind w:firstLine="480" w:firstLineChars="200"/>
        <w:rPr>
          <w:rFonts w:cs="宋体"/>
          <w:sz w:val="24"/>
          <w:szCs w:val="24"/>
          <w:highlight w:val="none"/>
        </w:rPr>
      </w:pPr>
    </w:p>
    <w:p w14:paraId="5CA5A076"/>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D009">
    <w:pPr>
      <w:pStyle w:val="5"/>
      <w:jc w:val="center"/>
    </w:pPr>
    <w:r>
      <w:fldChar w:fldCharType="begin"/>
    </w:r>
    <w:r>
      <w:instrText xml:space="preserve">PAGE   \* MERGEFORMAT</w:instrText>
    </w:r>
    <w:r>
      <w:fldChar w:fldCharType="separate"/>
    </w:r>
    <w:r>
      <w:rPr>
        <w:lang w:val="zh-CN"/>
      </w:rPr>
      <w:t>-</w:t>
    </w:r>
    <w:r>
      <w:t xml:space="preserve"> 6 -</w:t>
    </w:r>
    <w:r>
      <w:fldChar w:fldCharType="end"/>
    </w:r>
  </w:p>
  <w:p w14:paraId="02551D1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E010B">
    <w:pPr>
      <w:pStyle w:val="5"/>
      <w:jc w:val="center"/>
    </w:pPr>
  </w:p>
  <w:p w14:paraId="6621ED6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79E">
    <w:pPr>
      <w:pStyle w:val="6"/>
      <w:pBdr>
        <w:bottom w:val="none" w:color="auto" w:sz="0" w:space="1"/>
      </w:pBdr>
      <w:rPr>
        <w:sz w:val="21"/>
        <w:szCs w:val="21"/>
      </w:rPr>
    </w:pPr>
  </w:p>
  <w:p w14:paraId="52AAB781">
    <w:pPr>
      <w:pStyle w:val="6"/>
      <w:pBdr>
        <w:bottom w:val="none" w:color="auto" w:sz="0" w:space="1"/>
      </w:pBdr>
      <w:rPr>
        <w:sz w:val="21"/>
        <w:szCs w:val="21"/>
      </w:rPr>
    </w:pPr>
  </w:p>
  <w:p w14:paraId="67F24E82">
    <w:pPr>
      <w:pStyle w:val="6"/>
      <w:pBdr>
        <w:bottom w:val="single" w:color="auto" w:sz="4" w:space="1"/>
      </w:pBdr>
      <w:rPr>
        <w:rFonts w:ascii="宋体" w:hAnsi="宋体" w:eastAsia="宋体"/>
        <w:sz w:val="21"/>
        <w:szCs w:val="21"/>
      </w:rPr>
    </w:pPr>
    <w:r>
      <w:rPr>
        <w:rFonts w:hint="eastAsia"/>
        <w:sz w:val="21"/>
        <w:szCs w:val="21"/>
        <w:lang w:val="en-US" w:eastAsia="zh-CN"/>
      </w:rPr>
      <w:t>绍兴盈伽工程咨询有限公司</w:t>
    </w:r>
    <w:r>
      <w:rPr>
        <w:rFonts w:hint="eastAsia" w:ascii="宋体" w:hAnsi="宋体" w:eastAsia="宋体"/>
        <w:sz w:val="21"/>
        <w:szCs w:val="21"/>
      </w:rPr>
      <w:t>采购要素文件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74076542"/>
    <w:multiLevelType w:val="singleLevel"/>
    <w:tmpl w:val="740765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914E3"/>
    <w:rsid w:val="015E0632"/>
    <w:rsid w:val="091914E3"/>
    <w:rsid w:val="0CD0282B"/>
    <w:rsid w:val="15812DAD"/>
    <w:rsid w:val="4CB15326"/>
    <w:rsid w:val="58272A65"/>
    <w:rsid w:val="63265B13"/>
    <w:rsid w:val="75382705"/>
    <w:rsid w:val="7C15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Cs/>
      <w:kern w:val="2"/>
      <w:sz w:val="21"/>
      <w:szCs w:val="21"/>
      <w:lang w:val="en-US" w:eastAsia="zh-CN" w:bidi="ar-SA"/>
    </w:rPr>
  </w:style>
  <w:style w:type="paragraph" w:styleId="2">
    <w:name w:val="heading 1"/>
    <w:basedOn w:val="1"/>
    <w:next w:val="1"/>
    <w:qFormat/>
    <w:uiPriority w:val="0"/>
    <w:pPr>
      <w:keepNext/>
      <w:keepLines/>
      <w:ind w:firstLine="200" w:firstLineChars="200"/>
      <w:jc w:val="left"/>
      <w:outlineLvl w:val="0"/>
    </w:pPr>
    <w:rPr>
      <w:rFonts w:ascii="Times New Roman" w:hAnsi="Times New Roman" w:eastAsia="华文仿宋"/>
      <w:b/>
      <w:kern w:val="44"/>
      <w:sz w:val="28"/>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bCs w:val="0"/>
      <w:szCs w:val="20"/>
    </w:rPr>
  </w:style>
  <w:style w:type="paragraph" w:styleId="4">
    <w:name w:val="Body Text"/>
    <w:basedOn w:val="1"/>
    <w:next w:val="1"/>
    <w:qFormat/>
    <w:uiPriority w:val="0"/>
    <w:pPr>
      <w:spacing w:after="120"/>
    </w:pPr>
    <w:rPr>
      <w:rFonts w:ascii="Times New Roman" w:hAnsi="Times New Roman"/>
      <w:bCs w:val="0"/>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rFonts w:ascii="Times New Roman" w:hAnsi="Times New Roman"/>
      <w:bCs w:val="0"/>
      <w:sz w:val="16"/>
      <w:szCs w:val="16"/>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Text1I"/>
    <w:basedOn w:val="12"/>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12">
    <w:name w:val="BodyText"/>
    <w:basedOn w:val="1"/>
    <w:next w:val="11"/>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4392</Words>
  <Characters>4616</Characters>
  <Lines>0</Lines>
  <Paragraphs>0</Paragraphs>
  <TotalTime>11</TotalTime>
  <ScaleCrop>false</ScaleCrop>
  <LinksUpToDate>false</LinksUpToDate>
  <CharactersWithSpaces>4621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2024-12-26T10:56:00Z</dcterms:created>
  <dc:creator>jia.</dc:creator>
  <cp:lastModifiedBy>jia.</cp:lastModifiedBy>
  <dcterms:modified xsi:type="dcterms:W3CDTF">2025-01-07T08:44:33Z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3545738BD7E2460F9DB2D0238136249D_11</vt:lpwstr>
  </property>
  <property fmtid="{D5CDD505-2E9C-101B-9397-08002B2CF9AE}" pid="4" name="KSOTemplateDocerSaveRecord">
    <vt:lpwstr>eyJoZGlkIjoiODliMDE1YjNkOGRjYjliMDFmZDAwZjMyYjg1NGM2ODQiLCJ1c2VySWQiOiI0MzM1Mjc4NzAifQ==</vt:lpwstr>
  </property>
</Properties>
</file>