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A23FF5">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宋体" w:hAnsi="宋体" w:eastAsia="宋体" w:cs="宋体"/>
          <w:b/>
          <w:color w:val="auto"/>
          <w:sz w:val="36"/>
          <w:szCs w:val="36"/>
          <w:highlight w:val="none"/>
        </w:rPr>
      </w:pPr>
      <w:r>
        <w:rPr>
          <w:rFonts w:hint="eastAsia" w:ascii="宋体" w:hAnsi="宋体" w:cs="宋体"/>
          <w:b/>
          <w:color w:val="auto"/>
          <w:sz w:val="36"/>
          <w:szCs w:val="36"/>
          <w:highlight w:val="none"/>
          <w:lang w:eastAsia="zh-CN"/>
        </w:rPr>
        <w:t>2025年山下湖镇食堂后勤及配送服务采购</w:t>
      </w:r>
      <w:r>
        <w:rPr>
          <w:rFonts w:hint="eastAsia" w:ascii="宋体" w:hAnsi="宋体" w:eastAsia="宋体" w:cs="宋体"/>
          <w:b/>
          <w:color w:val="auto"/>
          <w:sz w:val="36"/>
          <w:szCs w:val="36"/>
          <w:highlight w:val="none"/>
        </w:rPr>
        <w:t>项目要素</w:t>
      </w:r>
    </w:p>
    <w:p w14:paraId="37B5F579">
      <w:pPr>
        <w:keepNext w:val="0"/>
        <w:keepLines w:val="0"/>
        <w:pageBreakBefore w:val="0"/>
        <w:widowControl w:val="0"/>
        <w:kinsoku/>
        <w:wordWrap/>
        <w:overflowPunct/>
        <w:topLinePunct w:val="0"/>
        <w:autoSpaceDE w:val="0"/>
        <w:autoSpaceDN w:val="0"/>
        <w:bidi w:val="0"/>
        <w:adjustRightInd w:val="0"/>
        <w:snapToGrid/>
        <w:spacing w:line="288"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一、项目名称：</w:t>
      </w:r>
      <w:r>
        <w:rPr>
          <w:rFonts w:hint="eastAsia" w:ascii="宋体" w:hAnsi="宋体" w:cs="宋体"/>
          <w:color w:val="auto"/>
          <w:sz w:val="24"/>
          <w:highlight w:val="none"/>
          <w:lang w:eastAsia="zh-CN"/>
        </w:rPr>
        <w:t>2025年山下湖镇食堂后勤及配送服务采购</w:t>
      </w:r>
      <w:r>
        <w:rPr>
          <w:rFonts w:hint="eastAsia" w:ascii="宋体" w:hAnsi="宋体" w:eastAsia="宋体" w:cs="宋体"/>
          <w:color w:val="auto"/>
          <w:sz w:val="24"/>
          <w:highlight w:val="none"/>
        </w:rPr>
        <w:t>项目</w:t>
      </w:r>
    </w:p>
    <w:p w14:paraId="664340AE">
      <w:pPr>
        <w:keepNext w:val="0"/>
        <w:keepLines w:val="0"/>
        <w:pageBreakBefore w:val="0"/>
        <w:widowControl w:val="0"/>
        <w:kinsoku/>
        <w:wordWrap/>
        <w:overflowPunct/>
        <w:topLinePunct w:val="0"/>
        <w:bidi w:val="0"/>
        <w:adjustRightInd w:val="0"/>
        <w:snapToGrid/>
        <w:spacing w:line="288"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二、项目内容及规模：</w:t>
      </w:r>
      <w:r>
        <w:rPr>
          <w:rFonts w:hint="eastAsia" w:ascii="宋体" w:hAnsi="宋体" w:cs="宋体"/>
          <w:color w:val="auto"/>
          <w:sz w:val="24"/>
          <w:highlight w:val="none"/>
          <w:lang w:eastAsia="zh-CN"/>
        </w:rPr>
        <w:t>2025年山下湖镇食堂后勤及配送服务采购，</w:t>
      </w:r>
      <w:r>
        <w:rPr>
          <w:rFonts w:hint="eastAsia" w:ascii="宋体" w:hAnsi="宋体" w:eastAsia="宋体" w:cs="宋体"/>
          <w:color w:val="auto"/>
          <w:sz w:val="24"/>
          <w:highlight w:val="none"/>
        </w:rPr>
        <w:t>预算金额为人民币</w:t>
      </w:r>
      <w:r>
        <w:rPr>
          <w:rFonts w:hint="eastAsia" w:ascii="宋体" w:hAnsi="宋体" w:cs="宋体"/>
          <w:color w:val="auto"/>
          <w:sz w:val="24"/>
          <w:highlight w:val="none"/>
          <w:lang w:val="en-US" w:eastAsia="zh-CN"/>
        </w:rPr>
        <w:t>壹佰玖拾伍</w:t>
      </w:r>
      <w:r>
        <w:rPr>
          <w:rFonts w:hint="eastAsia" w:ascii="宋体" w:hAnsi="宋体" w:eastAsia="宋体" w:cs="宋体"/>
          <w:color w:val="auto"/>
          <w:sz w:val="24"/>
          <w:highlight w:val="none"/>
        </w:rPr>
        <w:t>万元整（¥</w:t>
      </w:r>
      <w:r>
        <w:rPr>
          <w:rFonts w:hint="eastAsia" w:ascii="宋体" w:hAnsi="宋体" w:cs="宋体"/>
          <w:color w:val="auto"/>
          <w:sz w:val="24"/>
          <w:highlight w:val="none"/>
          <w:lang w:val="en-US" w:eastAsia="zh-CN"/>
        </w:rPr>
        <w:t>195</w:t>
      </w:r>
      <w:r>
        <w:rPr>
          <w:rFonts w:hint="eastAsia" w:ascii="宋体" w:hAnsi="宋体" w:eastAsia="宋体" w:cs="宋体"/>
          <w:color w:val="auto"/>
          <w:sz w:val="24"/>
          <w:highlight w:val="none"/>
        </w:rPr>
        <w:t>0000.00），详见采购需求。</w:t>
      </w:r>
    </w:p>
    <w:p w14:paraId="40BB3004">
      <w:pPr>
        <w:keepNext w:val="0"/>
        <w:keepLines w:val="0"/>
        <w:pageBreakBefore w:val="0"/>
        <w:widowControl w:val="0"/>
        <w:kinsoku/>
        <w:wordWrap/>
        <w:overflowPunct/>
        <w:topLinePunct w:val="0"/>
        <w:bidi w:val="0"/>
        <w:adjustRightInd w:val="0"/>
        <w:snapToGrid/>
        <w:spacing w:line="288"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三、投标人（供应商）资格要求：</w:t>
      </w:r>
    </w:p>
    <w:p w14:paraId="297B3A8A">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eastAsia="zh-CN"/>
        </w:rPr>
        <w:t>符合</w:t>
      </w:r>
      <w:r>
        <w:rPr>
          <w:rFonts w:hint="eastAsia" w:ascii="宋体" w:hAnsi="宋体" w:eastAsia="宋体" w:cs="宋体"/>
          <w:color w:val="auto"/>
          <w:sz w:val="24"/>
          <w:highlight w:val="none"/>
        </w:rPr>
        <w:t>《中华人民共和国政府采购法》第二十二条</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rPr>
        <w:t>规定；</w:t>
      </w:r>
    </w:p>
    <w:p w14:paraId="532544C1">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2.未被“信用中国”（www.creditchina.gov.cn）、中国政府采购网（www.ccgp.gov.cn）列入失信被执行人、重大税收违法案件当事人名单、政府采购严重违法失信行为记录名单；</w:t>
      </w:r>
    </w:p>
    <w:p w14:paraId="06625512">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3.落实政府采购政策需满足的资格要求：专门面向中小企业；</w:t>
      </w:r>
    </w:p>
    <w:p w14:paraId="4A11A0F3">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w:t>
      </w:r>
      <w:r>
        <w:rPr>
          <w:rFonts w:hint="eastAsia" w:ascii="宋体" w:hAnsi="宋体" w:cs="宋体"/>
          <w:color w:val="auto"/>
          <w:sz w:val="24"/>
          <w:highlight w:val="none"/>
          <w:lang w:val="en-US" w:eastAsia="zh-CN"/>
        </w:rPr>
        <w:t>无</w:t>
      </w:r>
      <w:r>
        <w:rPr>
          <w:rFonts w:hint="eastAsia" w:ascii="宋体" w:hAnsi="宋体" w:eastAsia="宋体" w:cs="宋体"/>
          <w:color w:val="auto"/>
          <w:sz w:val="24"/>
          <w:highlight w:val="none"/>
        </w:rPr>
        <w:t>；</w:t>
      </w:r>
    </w:p>
    <w:p w14:paraId="05C9AF74">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5.本项目</w:t>
      </w:r>
      <w:r>
        <w:rPr>
          <w:rFonts w:hint="eastAsia" w:ascii="宋体" w:hAnsi="宋体" w:cs="宋体"/>
          <w:color w:val="auto"/>
          <w:sz w:val="24"/>
          <w:highlight w:val="none"/>
          <w:lang w:val="en-US" w:eastAsia="zh-CN"/>
        </w:rPr>
        <w:t>不</w:t>
      </w:r>
      <w:r>
        <w:rPr>
          <w:rFonts w:hint="eastAsia" w:ascii="宋体" w:hAnsi="宋体" w:eastAsia="宋体" w:cs="宋体"/>
          <w:color w:val="auto"/>
          <w:sz w:val="24"/>
          <w:highlight w:val="none"/>
        </w:rPr>
        <w:t>接受联合体投标。</w:t>
      </w:r>
    </w:p>
    <w:p w14:paraId="4B524ED6">
      <w:pPr>
        <w:keepNext w:val="0"/>
        <w:keepLines w:val="0"/>
        <w:pageBreakBefore w:val="0"/>
        <w:widowControl w:val="0"/>
        <w:kinsoku/>
        <w:wordWrap/>
        <w:overflowPunct/>
        <w:topLinePunct w:val="0"/>
        <w:bidi w:val="0"/>
        <w:adjustRightInd w:val="0"/>
        <w:snapToGrid/>
        <w:spacing w:line="288"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四、评标办法：综合评分法</w:t>
      </w:r>
    </w:p>
    <w:p w14:paraId="6AE8BD8F">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bookmarkStart w:id="0" w:name="OLE_LINK1"/>
      <w:r>
        <w:rPr>
          <w:rFonts w:hint="eastAsia" w:ascii="宋体" w:hAnsi="宋体" w:eastAsia="宋体" w:cs="宋体"/>
          <w:color w:val="auto"/>
          <w:sz w:val="24"/>
          <w:highlight w:val="none"/>
        </w:rPr>
        <w:t>1.满分为100分。总得分=商务技术得分+报价得分；</w:t>
      </w:r>
    </w:p>
    <w:p w14:paraId="55420621">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2.商务技术得分=商务技术评分，商务技术评分=所有评委的有效评分的算术平均数。</w:t>
      </w:r>
    </w:p>
    <w:p w14:paraId="2B53A5FD">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3.报价得分=（评标基准价/投标报价）*价格权值*100，评标基准价=有效投标人的最低投标报价，价格权值=</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0%；</w:t>
      </w:r>
    </w:p>
    <w:p w14:paraId="0AE79BA8">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4.商务技术分评分细则（</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0分）</w:t>
      </w:r>
    </w:p>
    <w:bookmarkEnd w:id="0"/>
    <w:tbl>
      <w:tblPr>
        <w:tblStyle w:val="15"/>
        <w:tblW w:w="9207"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31"/>
        <w:gridCol w:w="7269"/>
        <w:gridCol w:w="1007"/>
      </w:tblGrid>
      <w:tr w14:paraId="3BCCB4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16FFC26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w:t>
            </w:r>
          </w:p>
        </w:tc>
        <w:tc>
          <w:tcPr>
            <w:tcW w:w="7269" w:type="dxa"/>
            <w:noWrap w:val="0"/>
            <w:vAlign w:val="center"/>
          </w:tcPr>
          <w:p w14:paraId="42FEDAF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评分标准</w:t>
            </w:r>
          </w:p>
        </w:tc>
        <w:tc>
          <w:tcPr>
            <w:tcW w:w="1007" w:type="dxa"/>
            <w:noWrap w:val="0"/>
            <w:vAlign w:val="center"/>
          </w:tcPr>
          <w:p w14:paraId="3619A61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w:t>
            </w:r>
          </w:p>
        </w:tc>
      </w:tr>
      <w:tr w14:paraId="3710E8A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restart"/>
            <w:noWrap w:val="0"/>
            <w:vAlign w:val="center"/>
          </w:tcPr>
          <w:p w14:paraId="1339FA5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企业资信</w:t>
            </w:r>
          </w:p>
        </w:tc>
        <w:tc>
          <w:tcPr>
            <w:tcW w:w="7269" w:type="dxa"/>
            <w:noWrap w:val="0"/>
            <w:vAlign w:val="center"/>
          </w:tcPr>
          <w:p w14:paraId="49BBF335">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投标人具有质量管理体系认证证书、环境管理体系认证证书、职业健康安全管理体系认证证书、</w:t>
            </w:r>
            <w:r>
              <w:rPr>
                <w:rFonts w:hint="eastAsia" w:ascii="宋体" w:hAnsi="宋体" w:eastAsia="宋体" w:cs="宋体"/>
                <w:bCs/>
                <w:color w:val="auto"/>
                <w:sz w:val="24"/>
                <w:szCs w:val="24"/>
                <w:highlight w:val="none"/>
                <w:lang w:val="en-US" w:eastAsia="zh-CN"/>
              </w:rPr>
              <w:t>食品安全管理体系认证证书、</w:t>
            </w:r>
            <w:r>
              <w:rPr>
                <w:rFonts w:hint="eastAsia" w:ascii="宋体" w:hAnsi="宋体" w:eastAsia="宋体" w:cs="宋体"/>
                <w:bCs/>
                <w:color w:val="auto"/>
                <w:sz w:val="24"/>
                <w:szCs w:val="24"/>
                <w:highlight w:val="none"/>
              </w:rPr>
              <w:t>HACCP认证证书的，每提供一个得2分，最高得</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rPr>
              <w:t>分。</w:t>
            </w:r>
          </w:p>
          <w:p w14:paraId="28D886C3">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（注：商务技术文件中需提供有效期内证书复印件及</w:t>
            </w:r>
            <w:r>
              <w:rPr>
                <w:rFonts w:hint="eastAsia" w:ascii="宋体" w:hAnsi="宋体" w:cs="宋体"/>
                <w:b/>
                <w:color w:val="auto"/>
                <w:sz w:val="24"/>
                <w:szCs w:val="24"/>
                <w:highlight w:val="none"/>
                <w:lang w:eastAsia="zh-CN"/>
              </w:rPr>
              <w:t>国家认证认可监督管理委员会</w:t>
            </w:r>
            <w:r>
              <w:rPr>
                <w:rFonts w:hint="eastAsia" w:ascii="宋体" w:hAnsi="宋体" w:eastAsia="宋体" w:cs="宋体"/>
                <w:b/>
                <w:color w:val="auto"/>
                <w:sz w:val="24"/>
                <w:szCs w:val="24"/>
                <w:highlight w:val="none"/>
              </w:rPr>
              <w:t>官网截图并加盖投标人CA签章，</w:t>
            </w:r>
            <w:r>
              <w:rPr>
                <w:rFonts w:hint="eastAsia" w:ascii="宋体" w:hAnsi="宋体" w:eastAsia="宋体" w:cs="宋体"/>
                <w:b/>
                <w:bCs/>
                <w:color w:val="auto"/>
                <w:sz w:val="24"/>
                <w:szCs w:val="24"/>
                <w:highlight w:val="none"/>
              </w:rPr>
              <w:t>不提供或提供不全不得分。</w:t>
            </w:r>
            <w:r>
              <w:rPr>
                <w:rFonts w:hint="eastAsia" w:ascii="宋体" w:hAnsi="宋体" w:eastAsia="宋体" w:cs="宋体"/>
                <w:b/>
                <w:color w:val="auto"/>
                <w:sz w:val="24"/>
                <w:szCs w:val="24"/>
                <w:highlight w:val="none"/>
              </w:rPr>
              <w:t>）</w:t>
            </w:r>
          </w:p>
        </w:tc>
        <w:tc>
          <w:tcPr>
            <w:tcW w:w="1007" w:type="dxa"/>
            <w:noWrap w:val="0"/>
            <w:vAlign w:val="center"/>
          </w:tcPr>
          <w:p w14:paraId="4280827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rPr>
              <w:t>分</w:t>
            </w:r>
          </w:p>
        </w:tc>
      </w:tr>
      <w:tr w14:paraId="0516D12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continue"/>
            <w:noWrap w:val="0"/>
            <w:vAlign w:val="center"/>
          </w:tcPr>
          <w:p w14:paraId="4A76728F">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p>
        </w:tc>
        <w:tc>
          <w:tcPr>
            <w:tcW w:w="7269" w:type="dxa"/>
            <w:noWrap w:val="0"/>
            <w:vAlign w:val="center"/>
          </w:tcPr>
          <w:p w14:paraId="4A85091A">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投标人已缴纳食品安全责任险和雇主责任险的，得</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p>
          <w:p w14:paraId="5BF9EECB">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（注：商务技术文件中需提供相关证明材料</w:t>
            </w:r>
            <w:r>
              <w:rPr>
                <w:rFonts w:hint="eastAsia" w:ascii="宋体" w:hAnsi="宋体" w:eastAsia="宋体" w:cs="宋体"/>
                <w:b/>
                <w:bCs/>
                <w:color w:val="auto"/>
                <w:sz w:val="24"/>
                <w:szCs w:val="24"/>
                <w:highlight w:val="none"/>
              </w:rPr>
              <w:t>复印件</w:t>
            </w:r>
            <w:r>
              <w:rPr>
                <w:rFonts w:hint="eastAsia" w:ascii="宋体" w:hAnsi="宋体" w:eastAsia="宋体" w:cs="宋体"/>
                <w:b/>
                <w:color w:val="auto"/>
                <w:sz w:val="24"/>
                <w:szCs w:val="24"/>
                <w:highlight w:val="none"/>
              </w:rPr>
              <w:t>并加盖投标人CA签章，不提供不得分。）</w:t>
            </w:r>
          </w:p>
        </w:tc>
        <w:tc>
          <w:tcPr>
            <w:tcW w:w="1007" w:type="dxa"/>
            <w:noWrap w:val="0"/>
            <w:vAlign w:val="center"/>
          </w:tcPr>
          <w:p w14:paraId="3963EB2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p>
        </w:tc>
      </w:tr>
      <w:tr w14:paraId="70DBE8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continue"/>
            <w:noWrap w:val="0"/>
            <w:vAlign w:val="center"/>
          </w:tcPr>
          <w:p w14:paraId="509CE57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p>
        </w:tc>
        <w:tc>
          <w:tcPr>
            <w:tcW w:w="7269" w:type="dxa"/>
            <w:noWrap w:val="0"/>
            <w:vAlign w:val="center"/>
          </w:tcPr>
          <w:p w14:paraId="1FA5A740">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自202</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年1月1日以来（以颁发的时间为准），投标人托管或经营餐厅获得餐饮食品安全量化分级管理A级的得3分；B级的得1分。</w:t>
            </w:r>
          </w:p>
          <w:p w14:paraId="39B626D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（注：商务技术文件中需提供相关证明材料</w:t>
            </w:r>
            <w:r>
              <w:rPr>
                <w:rFonts w:hint="eastAsia" w:ascii="宋体" w:hAnsi="宋体" w:eastAsia="宋体" w:cs="宋体"/>
                <w:b/>
                <w:bCs/>
                <w:color w:val="auto"/>
                <w:sz w:val="24"/>
                <w:szCs w:val="24"/>
                <w:highlight w:val="none"/>
              </w:rPr>
              <w:t>复印件</w:t>
            </w:r>
            <w:r>
              <w:rPr>
                <w:rFonts w:hint="eastAsia" w:ascii="宋体" w:hAnsi="宋体" w:eastAsia="宋体" w:cs="宋体"/>
                <w:b/>
                <w:color w:val="auto"/>
                <w:sz w:val="24"/>
                <w:szCs w:val="24"/>
                <w:highlight w:val="none"/>
              </w:rPr>
              <w:t>并加盖投标人CA签章，不提供不得分。）</w:t>
            </w:r>
          </w:p>
        </w:tc>
        <w:tc>
          <w:tcPr>
            <w:tcW w:w="1007" w:type="dxa"/>
            <w:noWrap w:val="0"/>
            <w:vAlign w:val="center"/>
          </w:tcPr>
          <w:p w14:paraId="19AE785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0-3分</w:t>
            </w:r>
          </w:p>
        </w:tc>
      </w:tr>
      <w:tr w14:paraId="631F96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continue"/>
            <w:noWrap w:val="0"/>
            <w:vAlign w:val="center"/>
          </w:tcPr>
          <w:p w14:paraId="51D04F8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p>
        </w:tc>
        <w:tc>
          <w:tcPr>
            <w:tcW w:w="7269" w:type="dxa"/>
            <w:noWrap w:val="0"/>
            <w:vAlign w:val="center"/>
          </w:tcPr>
          <w:p w14:paraId="2798BDDE">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投标人具有餐饮服务相关县市</w:t>
            </w:r>
            <w:r>
              <w:rPr>
                <w:rFonts w:hint="eastAsia" w:ascii="宋体" w:hAnsi="宋体" w:eastAsia="宋体" w:cs="宋体"/>
                <w:color w:val="auto"/>
                <w:sz w:val="24"/>
                <w:szCs w:val="24"/>
                <w:highlight w:val="none"/>
                <w:lang w:val="en-US" w:eastAsia="zh-CN"/>
              </w:rPr>
              <w:t>区</w:t>
            </w:r>
            <w:r>
              <w:rPr>
                <w:rFonts w:hint="eastAsia" w:ascii="宋体" w:hAnsi="宋体" w:eastAsia="宋体" w:cs="宋体"/>
                <w:color w:val="auto"/>
                <w:sz w:val="24"/>
                <w:szCs w:val="24"/>
                <w:highlight w:val="none"/>
              </w:rPr>
              <w:t>级荣誉或获奖的得1分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地市级及以上得2分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本项最高得2分</w:t>
            </w:r>
            <w:r>
              <w:rPr>
                <w:rFonts w:hint="eastAsia" w:ascii="宋体" w:hAnsi="宋体" w:eastAsia="宋体" w:cs="宋体"/>
                <w:color w:val="auto"/>
                <w:sz w:val="24"/>
                <w:szCs w:val="24"/>
                <w:highlight w:val="none"/>
              </w:rPr>
              <w:t>。</w:t>
            </w:r>
          </w:p>
          <w:p w14:paraId="3A1FEA61">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
                <w:bCs/>
                <w:color w:val="auto"/>
                <w:sz w:val="24"/>
                <w:szCs w:val="24"/>
                <w:highlight w:val="none"/>
              </w:rPr>
              <w:t>（注：商务技术文件中需提供相关获奖证明材料复印件并加盖投标人CA签章，不提供不得分。）</w:t>
            </w:r>
          </w:p>
        </w:tc>
        <w:tc>
          <w:tcPr>
            <w:tcW w:w="1007" w:type="dxa"/>
            <w:noWrap w:val="0"/>
            <w:vAlign w:val="center"/>
          </w:tcPr>
          <w:p w14:paraId="25FDBD9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0-2分</w:t>
            </w:r>
          </w:p>
        </w:tc>
      </w:tr>
      <w:tr w14:paraId="2FAD9B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66661D7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项目业绩</w:t>
            </w:r>
          </w:p>
        </w:tc>
        <w:tc>
          <w:tcPr>
            <w:tcW w:w="7269" w:type="dxa"/>
            <w:noWrap w:val="0"/>
            <w:vAlign w:val="center"/>
          </w:tcPr>
          <w:p w14:paraId="13E90C56">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自202</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年1月1日以来（以合同签订时间为准）：</w:t>
            </w:r>
          </w:p>
          <w:p w14:paraId="2988AE85">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1.投标人具有同类餐饮服务业绩</w:t>
            </w:r>
            <w:r>
              <w:rPr>
                <w:rFonts w:hint="eastAsia" w:ascii="宋体" w:hAnsi="宋体" w:eastAsia="宋体" w:cs="宋体"/>
                <w:color w:val="auto"/>
                <w:kern w:val="0"/>
                <w:sz w:val="24"/>
                <w:szCs w:val="24"/>
                <w:highlight w:val="none"/>
                <w:lang w:val="en-US" w:eastAsia="zh-CN"/>
              </w:rPr>
              <w:t>并获得业主满意度评价为满意</w:t>
            </w:r>
            <w:r>
              <w:rPr>
                <w:rFonts w:hint="eastAsia" w:ascii="宋体" w:hAnsi="宋体" w:eastAsia="宋体" w:cs="宋体"/>
                <w:color w:val="auto"/>
                <w:kern w:val="0"/>
                <w:sz w:val="24"/>
                <w:szCs w:val="24"/>
                <w:highlight w:val="none"/>
              </w:rPr>
              <w:t>的</w:t>
            </w:r>
            <w:r>
              <w:rPr>
                <w:rFonts w:hint="eastAsia" w:ascii="宋体" w:hAnsi="宋体" w:eastAsia="宋体" w:cs="宋体"/>
                <w:bCs/>
                <w:color w:val="auto"/>
                <w:sz w:val="24"/>
                <w:szCs w:val="24"/>
                <w:highlight w:val="none"/>
              </w:rPr>
              <w:t>，每提供一个得0.5分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最高得1分</w:t>
            </w:r>
            <w:r>
              <w:rPr>
                <w:rFonts w:hint="eastAsia" w:ascii="宋体" w:hAnsi="宋体" w:eastAsia="宋体" w:cs="宋体"/>
                <w:bCs/>
                <w:color w:val="auto"/>
                <w:sz w:val="24"/>
                <w:szCs w:val="24"/>
                <w:highlight w:val="none"/>
              </w:rPr>
              <w:t>。</w:t>
            </w:r>
          </w:p>
          <w:p w14:paraId="6EEA1A39">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2.投标人具有同类食堂综合配送服务业绩</w:t>
            </w:r>
            <w:r>
              <w:rPr>
                <w:rFonts w:hint="eastAsia" w:ascii="宋体" w:hAnsi="宋体" w:eastAsia="宋体" w:cs="宋体"/>
                <w:color w:val="auto"/>
                <w:kern w:val="0"/>
                <w:sz w:val="24"/>
                <w:szCs w:val="24"/>
                <w:highlight w:val="none"/>
                <w:lang w:val="en-US" w:eastAsia="zh-CN"/>
              </w:rPr>
              <w:t>并获得业主满意度评价为满意</w:t>
            </w:r>
            <w:r>
              <w:rPr>
                <w:rFonts w:hint="eastAsia" w:ascii="宋体" w:hAnsi="宋体" w:eastAsia="宋体" w:cs="宋体"/>
                <w:color w:val="auto"/>
                <w:kern w:val="0"/>
                <w:sz w:val="24"/>
                <w:szCs w:val="24"/>
                <w:highlight w:val="none"/>
              </w:rPr>
              <w:t>的</w:t>
            </w:r>
            <w:r>
              <w:rPr>
                <w:rFonts w:hint="eastAsia" w:ascii="宋体" w:hAnsi="宋体" w:eastAsia="宋体" w:cs="宋体"/>
                <w:bCs/>
                <w:color w:val="auto"/>
                <w:sz w:val="24"/>
                <w:szCs w:val="24"/>
                <w:highlight w:val="none"/>
              </w:rPr>
              <w:t>，每提供一个得0.5分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最高得1分</w:t>
            </w:r>
            <w:r>
              <w:rPr>
                <w:rFonts w:hint="eastAsia" w:ascii="宋体" w:hAnsi="宋体" w:eastAsia="宋体" w:cs="宋体"/>
                <w:bCs/>
                <w:color w:val="auto"/>
                <w:sz w:val="24"/>
                <w:szCs w:val="24"/>
                <w:highlight w:val="none"/>
              </w:rPr>
              <w:t>。</w:t>
            </w:r>
          </w:p>
          <w:p w14:paraId="4747DAE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（注：商务技术文件中需提供相关合同复印件并加盖投标人CA签章，不提供不得分。）</w:t>
            </w:r>
          </w:p>
        </w:tc>
        <w:tc>
          <w:tcPr>
            <w:tcW w:w="1007" w:type="dxa"/>
            <w:noWrap w:val="0"/>
            <w:vAlign w:val="center"/>
          </w:tcPr>
          <w:p w14:paraId="619996D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p>
        </w:tc>
      </w:tr>
      <w:tr w14:paraId="2433B8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6CE01E9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kern w:val="2"/>
                <w:sz w:val="24"/>
                <w:szCs w:val="24"/>
                <w:highlight w:val="none"/>
                <w:lang w:bidi="ar"/>
              </w:rPr>
              <w:t>车辆保障情况</w:t>
            </w:r>
          </w:p>
        </w:tc>
        <w:tc>
          <w:tcPr>
            <w:tcW w:w="7269" w:type="dxa"/>
            <w:noWrap w:val="0"/>
            <w:vAlign w:val="center"/>
          </w:tcPr>
          <w:p w14:paraId="7AB0969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投标人自有（或租赁）配送车辆的，每辆得0.5分，最多得2分</w:t>
            </w:r>
          </w:p>
          <w:p w14:paraId="045EE14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rPr>
              <w:t>注：商务技术文件中提供车辆行驶证、车辆照片（租赁的还需提供租赁合同复印件）等相关证明材料并加盖投标人CA签章，不提供或提供不全则不得分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w:t>
            </w:r>
          </w:p>
        </w:tc>
        <w:tc>
          <w:tcPr>
            <w:tcW w:w="1007" w:type="dxa"/>
            <w:noWrap w:val="0"/>
            <w:vAlign w:val="center"/>
          </w:tcPr>
          <w:p w14:paraId="5CE4C65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p>
        </w:tc>
      </w:tr>
      <w:tr w14:paraId="173B1E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42DF1BF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kern w:val="2"/>
                <w:sz w:val="24"/>
                <w:szCs w:val="24"/>
                <w:highlight w:val="none"/>
                <w:lang w:bidi="ar"/>
              </w:rPr>
            </w:pPr>
            <w:r>
              <w:rPr>
                <w:rFonts w:hint="eastAsia" w:ascii="宋体" w:hAnsi="宋体" w:eastAsia="宋体" w:cs="宋体"/>
                <w:color w:val="auto"/>
                <w:sz w:val="24"/>
                <w:szCs w:val="24"/>
                <w:highlight w:val="none"/>
              </w:rPr>
              <w:t>生产基地</w:t>
            </w:r>
          </w:p>
        </w:tc>
        <w:tc>
          <w:tcPr>
            <w:tcW w:w="7269" w:type="dxa"/>
            <w:noWrap w:val="0"/>
            <w:vAlign w:val="center"/>
          </w:tcPr>
          <w:p w14:paraId="61116FB4">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根据投标人自有或</w:t>
            </w:r>
            <w:r>
              <w:rPr>
                <w:rFonts w:hint="eastAsia" w:ascii="宋体" w:hAnsi="宋体" w:eastAsia="宋体" w:cs="宋体"/>
                <w:color w:val="auto"/>
                <w:sz w:val="24"/>
                <w:szCs w:val="24"/>
                <w:highlight w:val="none"/>
                <w:lang w:val="en-US" w:eastAsia="zh-CN"/>
              </w:rPr>
              <w:t>具有</w:t>
            </w:r>
            <w:r>
              <w:rPr>
                <w:rFonts w:hint="eastAsia" w:ascii="宋体" w:hAnsi="宋体" w:eastAsia="宋体" w:cs="宋体"/>
                <w:color w:val="auto"/>
                <w:sz w:val="24"/>
                <w:szCs w:val="24"/>
                <w:highlight w:val="none"/>
              </w:rPr>
              <w:t>长期合作的生产基地（养殖基地等）的数量、种类、有利于本项目实施等</w:t>
            </w:r>
            <w:r>
              <w:rPr>
                <w:rFonts w:hint="eastAsia" w:ascii="宋体" w:hAnsi="宋体" w:cs="宋体"/>
                <w:color w:val="auto"/>
                <w:sz w:val="24"/>
                <w:szCs w:val="24"/>
                <w:highlight w:val="none"/>
                <w:lang w:val="en-US" w:eastAsia="zh-CN"/>
              </w:rPr>
              <w:t>进行</w:t>
            </w:r>
            <w:r>
              <w:rPr>
                <w:rFonts w:hint="eastAsia" w:ascii="宋体" w:hAnsi="宋体" w:eastAsia="宋体" w:cs="宋体"/>
                <w:color w:val="auto"/>
                <w:sz w:val="24"/>
                <w:szCs w:val="24"/>
                <w:highlight w:val="none"/>
              </w:rPr>
              <w:t>综合打分</w:t>
            </w:r>
            <w:r>
              <w:rPr>
                <w:rFonts w:hint="eastAsia" w:ascii="宋体" w:hAnsi="宋体" w:cs="宋体"/>
                <w:color w:val="auto"/>
                <w:sz w:val="24"/>
                <w:szCs w:val="24"/>
                <w:highlight w:val="none"/>
                <w:lang w:eastAsia="zh-CN"/>
              </w:rPr>
              <w:t>。</w:t>
            </w:r>
          </w:p>
          <w:p w14:paraId="7565E62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内容阐述详尽、合理可行的得2分；</w:t>
            </w:r>
          </w:p>
          <w:p w14:paraId="6F43027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内容阐述较为详尽且较为合理可行的得1分；</w:t>
            </w:r>
          </w:p>
          <w:p w14:paraId="4704BE1C">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未提供相关内容阐述或与项目不符的不得分。</w:t>
            </w:r>
          </w:p>
          <w:p w14:paraId="7D79432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注：商务技术文件中</w:t>
            </w:r>
            <w:r>
              <w:rPr>
                <w:rFonts w:hint="eastAsia" w:ascii="宋体" w:hAnsi="宋体" w:eastAsia="宋体" w:cs="宋体"/>
                <w:b/>
                <w:bCs/>
                <w:color w:val="auto"/>
                <w:sz w:val="24"/>
                <w:szCs w:val="24"/>
                <w:highlight w:val="none"/>
                <w:lang w:val="en-US" w:eastAsia="zh-CN"/>
              </w:rPr>
              <w:t>提</w:t>
            </w:r>
            <w:r>
              <w:rPr>
                <w:rFonts w:hint="eastAsia" w:ascii="宋体" w:hAnsi="宋体" w:eastAsia="宋体" w:cs="宋体"/>
                <w:b/>
                <w:bCs/>
                <w:color w:val="auto"/>
                <w:sz w:val="24"/>
                <w:szCs w:val="24"/>
                <w:highlight w:val="none"/>
              </w:rPr>
              <w:t>供实景图片</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自有证明或合作协议等相关证明材料复印件加盖投标人CA签章</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w:t>
            </w:r>
          </w:p>
        </w:tc>
        <w:tc>
          <w:tcPr>
            <w:tcW w:w="1007" w:type="dxa"/>
            <w:noWrap w:val="0"/>
            <w:vAlign w:val="center"/>
          </w:tcPr>
          <w:p w14:paraId="41F74285">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p>
        </w:tc>
      </w:tr>
      <w:tr w14:paraId="6665797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2181FBD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食材保障</w:t>
            </w:r>
          </w:p>
        </w:tc>
        <w:tc>
          <w:tcPr>
            <w:tcW w:w="7269" w:type="dxa"/>
            <w:noWrap w:val="0"/>
            <w:vAlign w:val="center"/>
          </w:tcPr>
          <w:p w14:paraId="67FE7212">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根据投标人提供的食材安全保障措施的情况</w:t>
            </w:r>
            <w:r>
              <w:rPr>
                <w:rFonts w:hint="eastAsia" w:ascii="宋体" w:hAnsi="宋体" w:cs="宋体"/>
                <w:color w:val="auto"/>
                <w:sz w:val="24"/>
                <w:szCs w:val="24"/>
                <w:highlight w:val="none"/>
                <w:lang w:val="en-US" w:eastAsia="zh-CN"/>
              </w:rPr>
              <w:t>进行</w:t>
            </w:r>
            <w:r>
              <w:rPr>
                <w:rFonts w:hint="eastAsia" w:ascii="宋体" w:hAnsi="宋体" w:eastAsia="宋体" w:cs="宋体"/>
                <w:color w:val="auto"/>
                <w:sz w:val="24"/>
                <w:szCs w:val="24"/>
                <w:highlight w:val="none"/>
                <w:lang w:val="en-US" w:eastAsia="zh-CN"/>
              </w:rPr>
              <w:t>综合</w:t>
            </w:r>
            <w:r>
              <w:rPr>
                <w:rFonts w:hint="eastAsia" w:ascii="宋体" w:hAnsi="宋体" w:eastAsia="宋体" w:cs="宋体"/>
                <w:color w:val="auto"/>
                <w:sz w:val="24"/>
                <w:szCs w:val="24"/>
                <w:highlight w:val="none"/>
              </w:rPr>
              <w:t>打分，具体为：</w:t>
            </w:r>
          </w:p>
          <w:p w14:paraId="0E158A3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1、食材进货渠道以及来源可追溯保障措施是否具有安全性、可靠性、科学性</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p>
          <w:p w14:paraId="662DD1E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2、食材质量安全保障及承诺是否具有可行性、可靠性、合理性</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p>
          <w:p w14:paraId="1C63769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3、食材采购流程是否安全可靠，是否安排人员检查监督</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p>
        </w:tc>
        <w:tc>
          <w:tcPr>
            <w:tcW w:w="1007" w:type="dxa"/>
            <w:noWrap w:val="0"/>
            <w:vAlign w:val="center"/>
          </w:tcPr>
          <w:p w14:paraId="4F93F8F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0-6分</w:t>
            </w:r>
          </w:p>
        </w:tc>
      </w:tr>
      <w:tr w14:paraId="12CC05E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857" w:hRule="atLeast"/>
          <w:jc w:val="center"/>
        </w:trPr>
        <w:tc>
          <w:tcPr>
            <w:tcW w:w="931" w:type="dxa"/>
            <w:vMerge w:val="restart"/>
            <w:noWrap w:val="0"/>
            <w:vAlign w:val="center"/>
          </w:tcPr>
          <w:p w14:paraId="5904F2B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snapToGrid w:val="0"/>
                <w:color w:val="auto"/>
                <w:kern w:val="0"/>
                <w:sz w:val="24"/>
                <w:szCs w:val="24"/>
                <w:highlight w:val="yellow"/>
                <w:lang w:val="en-US" w:eastAsia="en-US" w:bidi="ar-SA"/>
              </w:rPr>
            </w:pPr>
            <w:r>
              <w:rPr>
                <w:rFonts w:hint="eastAsia" w:ascii="宋体" w:hAnsi="宋体" w:eastAsia="宋体" w:cs="宋体"/>
                <w:bCs/>
                <w:color w:val="auto"/>
                <w:sz w:val="24"/>
                <w:szCs w:val="24"/>
                <w:highlight w:val="none"/>
                <w:shd w:val="clear"/>
              </w:rPr>
              <w:t>配套服务</w:t>
            </w:r>
          </w:p>
        </w:tc>
        <w:tc>
          <w:tcPr>
            <w:tcW w:w="7269" w:type="dxa"/>
            <w:noWrap w:val="0"/>
            <w:vAlign w:val="center"/>
          </w:tcPr>
          <w:p w14:paraId="64291A07">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根据投标人公务接待能力和熟悉公务接待标准和流程是否清楚了解等进行</w:t>
            </w:r>
            <w:r>
              <w:rPr>
                <w:rFonts w:hint="eastAsia" w:ascii="宋体" w:hAnsi="宋体" w:eastAsia="宋体" w:cs="宋体"/>
                <w:color w:val="auto"/>
                <w:sz w:val="24"/>
                <w:szCs w:val="24"/>
                <w:highlight w:val="none"/>
                <w:lang w:val="en-US" w:eastAsia="zh-CN"/>
              </w:rPr>
              <w:t>综合</w:t>
            </w:r>
            <w:r>
              <w:rPr>
                <w:rFonts w:hint="eastAsia" w:ascii="宋体" w:hAnsi="宋体" w:eastAsia="宋体" w:cs="宋体"/>
                <w:color w:val="auto"/>
                <w:sz w:val="24"/>
                <w:szCs w:val="24"/>
                <w:highlight w:val="none"/>
              </w:rPr>
              <w:t>打分。</w:t>
            </w:r>
          </w:p>
          <w:p w14:paraId="2845C685">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方案完整可行，内容合理得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p w14:paraId="127350BE">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方案基本完整可行，内容基本合理得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p w14:paraId="158D7DC9">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方案缺失，内容不太合理得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p w14:paraId="021EA476">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未提供相关内容阐述或与项目不符的不得分。</w:t>
            </w:r>
          </w:p>
          <w:p w14:paraId="7A2337F4">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snapToGrid w:val="0"/>
                <w:color w:val="auto"/>
                <w:kern w:val="0"/>
                <w:sz w:val="24"/>
                <w:szCs w:val="24"/>
                <w:highlight w:val="none"/>
                <w:lang w:val="en-US" w:eastAsia="en-US" w:bidi="ar-SA"/>
              </w:rPr>
            </w:pPr>
            <w:r>
              <w:rPr>
                <w:rFonts w:hint="eastAsia" w:ascii="宋体" w:hAnsi="宋体" w:eastAsia="宋体" w:cs="宋体"/>
                <w:b/>
                <w:bCs/>
                <w:color w:val="auto"/>
                <w:sz w:val="24"/>
                <w:szCs w:val="24"/>
                <w:highlight w:val="none"/>
              </w:rPr>
              <w:t>（注：商务技术文件中需提供投标人参与的相关案例描述及配套服务说明，未提供案例的，本项不得分。）</w:t>
            </w:r>
          </w:p>
        </w:tc>
        <w:tc>
          <w:tcPr>
            <w:tcW w:w="1007" w:type="dxa"/>
            <w:noWrap w:val="0"/>
            <w:vAlign w:val="center"/>
          </w:tcPr>
          <w:p w14:paraId="668AD92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snapToGrid w:val="0"/>
                <w:color w:val="auto"/>
                <w:kern w:val="0"/>
                <w:sz w:val="24"/>
                <w:szCs w:val="24"/>
                <w:highlight w:val="none"/>
                <w:lang w:val="en-US" w:eastAsia="en-US" w:bidi="ar-SA"/>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分</w:t>
            </w:r>
          </w:p>
        </w:tc>
      </w:tr>
      <w:tr w14:paraId="20ABEE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restart"/>
            <w:noWrap w:val="0"/>
            <w:vAlign w:val="center"/>
          </w:tcPr>
          <w:p w14:paraId="4C937EA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人员方案</w:t>
            </w:r>
          </w:p>
        </w:tc>
        <w:tc>
          <w:tcPr>
            <w:tcW w:w="7269" w:type="dxa"/>
            <w:noWrap w:val="0"/>
            <w:vAlign w:val="center"/>
          </w:tcPr>
          <w:p w14:paraId="73A2B296">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1、投标人派驻食堂厨师长具有中式烹调师</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级等级证书的得1分，具有中式烹调师高级等级证书的得2分；具有烹饪大师证书的得4分。本项最高得6分。</w:t>
            </w:r>
          </w:p>
          <w:p w14:paraId="5C6B1E41">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2、投标人派驻食堂面点</w:t>
            </w:r>
            <w:r>
              <w:rPr>
                <w:rFonts w:hint="eastAsia" w:ascii="宋体" w:hAnsi="宋体" w:eastAsia="宋体" w:cs="宋体"/>
                <w:bCs/>
                <w:color w:val="auto"/>
                <w:sz w:val="24"/>
                <w:szCs w:val="24"/>
                <w:highlight w:val="none"/>
              </w:rPr>
              <w:t>师（不包括厨师长）</w:t>
            </w:r>
            <w:r>
              <w:rPr>
                <w:rFonts w:hint="eastAsia" w:ascii="宋体" w:hAnsi="宋体" w:eastAsia="宋体" w:cs="宋体"/>
                <w:color w:val="auto"/>
                <w:sz w:val="24"/>
                <w:szCs w:val="24"/>
                <w:highlight w:val="none"/>
              </w:rPr>
              <w:t>具有中式烹调师或中式面点师初级等级证书的得1分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具有中式烹调师或中式面点师中级及以上等级证书的得2分；本项最高得2分。</w:t>
            </w:r>
          </w:p>
          <w:p w14:paraId="1856EA8F">
            <w:pPr>
              <w:keepNext w:val="0"/>
              <w:keepLines w:val="0"/>
              <w:pageBreakBefore w:val="0"/>
              <w:widowControl w:val="0"/>
              <w:kinsoku/>
              <w:wordWrap/>
              <w:overflowPunct/>
              <w:topLinePunct w:val="0"/>
              <w:autoSpaceDE/>
              <w:autoSpaceDN/>
              <w:bidi w:val="0"/>
              <w:adjustRightInd/>
              <w:snapToGrid/>
              <w:spacing w:line="288" w:lineRule="auto"/>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rPr>
              <w:t>3、</w:t>
            </w:r>
            <w:r>
              <w:rPr>
                <w:rFonts w:hint="eastAsia" w:ascii="宋体" w:hAnsi="宋体" w:eastAsia="宋体" w:cs="宋体"/>
                <w:color w:val="auto"/>
                <w:sz w:val="24"/>
                <w:szCs w:val="24"/>
                <w:highlight w:val="none"/>
              </w:rPr>
              <w:t>投标人派驻服务人员具有县市</w:t>
            </w:r>
            <w:r>
              <w:rPr>
                <w:rFonts w:hint="eastAsia" w:ascii="宋体" w:hAnsi="宋体" w:eastAsia="宋体" w:cs="宋体"/>
                <w:color w:val="auto"/>
                <w:sz w:val="24"/>
                <w:szCs w:val="24"/>
                <w:highlight w:val="none"/>
                <w:lang w:val="en-US" w:eastAsia="zh-CN"/>
              </w:rPr>
              <w:t>区</w:t>
            </w:r>
            <w:r>
              <w:rPr>
                <w:rFonts w:hint="eastAsia" w:ascii="宋体" w:hAnsi="宋体" w:eastAsia="宋体" w:cs="宋体"/>
                <w:color w:val="auto"/>
                <w:sz w:val="24"/>
                <w:szCs w:val="24"/>
                <w:highlight w:val="none"/>
              </w:rPr>
              <w:t>级（或地市级）政府部门颁发的餐饮相关的荣誉或奖项证书的得1分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省级及以上政府部门颁发的餐饮相关的荣誉或奖项证书的得2分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本项最高得2分。</w:t>
            </w:r>
          </w:p>
          <w:p w14:paraId="7FA19FE8">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（注：商务技术文件中需提供以上人员相关证书复印件及投标人为其缴纳的近三个月内任意一个月的社保证明并加盖投标人CA签章，不提供或提供不全不得分。）</w:t>
            </w:r>
          </w:p>
        </w:tc>
        <w:tc>
          <w:tcPr>
            <w:tcW w:w="1007" w:type="dxa"/>
            <w:noWrap w:val="0"/>
            <w:vAlign w:val="center"/>
          </w:tcPr>
          <w:p w14:paraId="3A2FEBF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0-1</w:t>
            </w:r>
            <w:r>
              <w:rPr>
                <w:rFonts w:hint="eastAsia" w:ascii="宋体" w:hAnsi="宋体" w:eastAsia="宋体" w:cs="宋体"/>
                <w:bCs/>
                <w:color w:val="auto"/>
                <w:sz w:val="24"/>
                <w:szCs w:val="24"/>
                <w:highlight w:val="none"/>
                <w:lang w:val="en-US" w:eastAsia="zh-CN"/>
              </w:rPr>
              <w:t>0</w:t>
            </w:r>
            <w:r>
              <w:rPr>
                <w:rFonts w:hint="eastAsia" w:ascii="宋体" w:hAnsi="宋体" w:eastAsia="宋体" w:cs="宋体"/>
                <w:bCs/>
                <w:color w:val="auto"/>
                <w:sz w:val="24"/>
                <w:szCs w:val="24"/>
                <w:highlight w:val="none"/>
              </w:rPr>
              <w:t>分</w:t>
            </w:r>
          </w:p>
        </w:tc>
      </w:tr>
      <w:tr w14:paraId="6C5031F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continue"/>
            <w:noWrap w:val="0"/>
            <w:vAlign w:val="center"/>
          </w:tcPr>
          <w:p w14:paraId="4DC38A3B">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p>
        </w:tc>
        <w:tc>
          <w:tcPr>
            <w:tcW w:w="7269" w:type="dxa"/>
            <w:noWrap w:val="0"/>
            <w:vAlign w:val="center"/>
          </w:tcPr>
          <w:p w14:paraId="47676A0E">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根据投标人提供的队伍建设方案情况</w:t>
            </w:r>
            <w:r>
              <w:rPr>
                <w:rFonts w:hint="eastAsia" w:ascii="宋体" w:hAnsi="宋体" w:eastAsia="宋体" w:cs="宋体"/>
                <w:color w:val="auto"/>
                <w:sz w:val="24"/>
                <w:szCs w:val="24"/>
                <w:highlight w:val="none"/>
                <w:lang w:val="en-US" w:eastAsia="zh-CN"/>
              </w:rPr>
              <w:t>进行综合</w:t>
            </w:r>
            <w:r>
              <w:rPr>
                <w:rFonts w:hint="eastAsia" w:ascii="宋体" w:hAnsi="宋体" w:eastAsia="宋体" w:cs="宋体"/>
                <w:color w:val="auto"/>
                <w:sz w:val="24"/>
                <w:szCs w:val="24"/>
                <w:highlight w:val="none"/>
              </w:rPr>
              <w:t>打分，具体为：</w:t>
            </w:r>
          </w:p>
          <w:p w14:paraId="7B7817CC">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1、根据投标人食堂员工队伍的资质情况是否具有针对性、完整合理、切实可行情况打分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19C6D6FF">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2、根据投标人人员配置计划是否具有针对性、完整合理、切实可行情况打分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1E01336A">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3、根据投标人各岗位薪资计划是否具有针对性、完整合理、切实可行情况打分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3A2CBF19">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4、根据投标人工作职责是否具有针对性、完整合理、切实可行情况打分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0FC59D22">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5、根据投标人工作奖惩制度是否具有针对性、完整合理、切实可行情况打分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635A918A">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6、根据投标人后续人员培训思路及计划是否具有针对性、完整合理、切实可行情况打分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tc>
        <w:tc>
          <w:tcPr>
            <w:tcW w:w="1007" w:type="dxa"/>
            <w:noWrap w:val="0"/>
            <w:vAlign w:val="center"/>
          </w:tcPr>
          <w:p w14:paraId="130276A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分</w:t>
            </w:r>
          </w:p>
        </w:tc>
      </w:tr>
      <w:tr w14:paraId="1AE33A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restart"/>
            <w:noWrap w:val="0"/>
            <w:vAlign w:val="center"/>
          </w:tcPr>
          <w:p w14:paraId="172426CC">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服务方案及服务承诺</w:t>
            </w:r>
          </w:p>
        </w:tc>
        <w:tc>
          <w:tcPr>
            <w:tcW w:w="7269" w:type="dxa"/>
            <w:noWrap w:val="0"/>
            <w:vAlign w:val="center"/>
          </w:tcPr>
          <w:p w14:paraId="3C786566">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w:t>
            </w:r>
            <w:r>
              <w:rPr>
                <w:rFonts w:hint="eastAsia" w:ascii="宋体" w:hAnsi="宋体" w:eastAsia="宋体" w:cs="宋体"/>
                <w:bCs/>
                <w:color w:val="auto"/>
                <w:sz w:val="24"/>
                <w:szCs w:val="24"/>
                <w:highlight w:val="none"/>
              </w:rPr>
              <w:t>提供服务管理模式及措施</w:t>
            </w:r>
            <w:r>
              <w:rPr>
                <w:rFonts w:hint="eastAsia" w:ascii="宋体" w:hAnsi="宋体" w:eastAsia="宋体" w:cs="宋体"/>
                <w:color w:val="auto"/>
                <w:sz w:val="24"/>
                <w:szCs w:val="24"/>
                <w:highlight w:val="none"/>
              </w:rPr>
              <w:t>方案情况</w:t>
            </w:r>
            <w:r>
              <w:rPr>
                <w:rFonts w:hint="eastAsia" w:ascii="宋体" w:hAnsi="宋体" w:eastAsia="宋体" w:cs="宋体"/>
                <w:color w:val="auto"/>
                <w:sz w:val="24"/>
                <w:szCs w:val="24"/>
                <w:highlight w:val="none"/>
                <w:lang w:val="en-US" w:eastAsia="zh-CN"/>
              </w:rPr>
              <w:t>进行综合</w:t>
            </w:r>
            <w:r>
              <w:rPr>
                <w:rFonts w:hint="eastAsia" w:ascii="宋体" w:hAnsi="宋体" w:eastAsia="宋体" w:cs="宋体"/>
                <w:color w:val="auto"/>
                <w:sz w:val="24"/>
                <w:szCs w:val="24"/>
                <w:highlight w:val="none"/>
              </w:rPr>
              <w:t>打分，具体为：</w:t>
            </w:r>
          </w:p>
          <w:p w14:paraId="4E397E92">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1、根据投标人</w:t>
            </w:r>
            <w:r>
              <w:rPr>
                <w:rFonts w:hint="eastAsia" w:ascii="宋体" w:hAnsi="宋体" w:eastAsia="宋体" w:cs="宋体"/>
                <w:bCs/>
                <w:color w:val="auto"/>
                <w:sz w:val="24"/>
                <w:szCs w:val="24"/>
                <w:highlight w:val="none"/>
              </w:rPr>
              <w:t>提供服务管理模式</w:t>
            </w:r>
            <w:r>
              <w:rPr>
                <w:rFonts w:hint="eastAsia" w:ascii="宋体" w:hAnsi="宋体" w:eastAsia="宋体" w:cs="宋体"/>
                <w:color w:val="auto"/>
                <w:sz w:val="24"/>
                <w:szCs w:val="24"/>
                <w:highlight w:val="none"/>
              </w:rPr>
              <w:t>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p w14:paraId="47366CA8">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color w:val="auto"/>
                <w:sz w:val="24"/>
                <w:szCs w:val="24"/>
                <w:highlight w:val="none"/>
              </w:rPr>
              <w:t>根据投标人服务</w:t>
            </w:r>
            <w:r>
              <w:rPr>
                <w:rFonts w:hint="eastAsia" w:ascii="宋体" w:hAnsi="宋体" w:eastAsia="宋体" w:cs="宋体"/>
                <w:bCs/>
                <w:color w:val="auto"/>
                <w:sz w:val="24"/>
                <w:szCs w:val="24"/>
                <w:highlight w:val="none"/>
              </w:rPr>
              <w:t>措施保障以及公务接待服务方案</w:t>
            </w:r>
            <w:r>
              <w:rPr>
                <w:rFonts w:hint="eastAsia" w:ascii="宋体" w:hAnsi="宋体" w:eastAsia="宋体" w:cs="宋体"/>
                <w:color w:val="auto"/>
                <w:sz w:val="24"/>
                <w:szCs w:val="24"/>
                <w:highlight w:val="none"/>
              </w:rPr>
              <w:t>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p w14:paraId="714B1E98">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color w:val="auto"/>
                <w:sz w:val="24"/>
                <w:szCs w:val="24"/>
                <w:highlight w:val="none"/>
              </w:rPr>
              <w:t>根据投标人</w:t>
            </w:r>
            <w:r>
              <w:rPr>
                <w:rFonts w:hint="eastAsia" w:ascii="宋体" w:hAnsi="宋体" w:eastAsia="宋体" w:cs="宋体"/>
                <w:bCs/>
                <w:color w:val="auto"/>
                <w:sz w:val="24"/>
                <w:szCs w:val="24"/>
                <w:highlight w:val="none"/>
              </w:rPr>
              <w:t>设备管理方案</w:t>
            </w:r>
            <w:r>
              <w:rPr>
                <w:rFonts w:hint="eastAsia" w:ascii="宋体" w:hAnsi="宋体" w:eastAsia="宋体" w:cs="宋体"/>
                <w:color w:val="auto"/>
                <w:sz w:val="24"/>
                <w:szCs w:val="24"/>
                <w:highlight w:val="none"/>
              </w:rPr>
              <w:t>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p w14:paraId="1366EE64">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w:t>
            </w:r>
            <w:r>
              <w:rPr>
                <w:rFonts w:hint="eastAsia" w:ascii="宋体" w:hAnsi="宋体" w:eastAsia="宋体" w:cs="宋体"/>
                <w:color w:val="auto"/>
                <w:sz w:val="24"/>
                <w:szCs w:val="24"/>
                <w:highlight w:val="none"/>
              </w:rPr>
              <w:t>根据投标人</w:t>
            </w:r>
            <w:r>
              <w:rPr>
                <w:rFonts w:hint="eastAsia" w:ascii="宋体" w:hAnsi="宋体" w:eastAsia="宋体" w:cs="宋体"/>
                <w:bCs/>
                <w:color w:val="auto"/>
                <w:sz w:val="24"/>
                <w:szCs w:val="24"/>
                <w:highlight w:val="none"/>
              </w:rPr>
              <w:t>成本分析方案（包含节约方案）</w:t>
            </w:r>
            <w:r>
              <w:rPr>
                <w:rFonts w:hint="eastAsia" w:ascii="宋体" w:hAnsi="宋体" w:eastAsia="宋体" w:cs="宋体"/>
                <w:color w:val="auto"/>
                <w:sz w:val="24"/>
                <w:szCs w:val="24"/>
                <w:highlight w:val="none"/>
              </w:rPr>
              <w:t>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p w14:paraId="694CA7EC">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w:t>
            </w:r>
            <w:r>
              <w:rPr>
                <w:rFonts w:hint="eastAsia" w:ascii="宋体" w:hAnsi="宋体" w:eastAsia="宋体" w:cs="宋体"/>
                <w:color w:val="auto"/>
                <w:sz w:val="24"/>
                <w:szCs w:val="24"/>
                <w:highlight w:val="none"/>
              </w:rPr>
              <w:t>根据投标人</w:t>
            </w:r>
            <w:r>
              <w:rPr>
                <w:rFonts w:hint="eastAsia" w:ascii="宋体" w:hAnsi="宋体" w:eastAsia="宋体" w:cs="宋体"/>
                <w:bCs/>
                <w:color w:val="auto"/>
                <w:sz w:val="24"/>
                <w:szCs w:val="24"/>
                <w:highlight w:val="none"/>
              </w:rPr>
              <w:t>人员保障措施、服务响应时间</w:t>
            </w:r>
            <w:r>
              <w:rPr>
                <w:rFonts w:hint="eastAsia" w:ascii="宋体" w:hAnsi="宋体" w:eastAsia="宋体" w:cs="宋体"/>
                <w:color w:val="auto"/>
                <w:sz w:val="24"/>
                <w:szCs w:val="24"/>
                <w:highlight w:val="none"/>
              </w:rPr>
              <w:t>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p w14:paraId="25CE7DCF">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6、</w:t>
            </w:r>
            <w:r>
              <w:rPr>
                <w:rFonts w:hint="eastAsia" w:ascii="宋体" w:hAnsi="宋体" w:eastAsia="宋体" w:cs="宋体"/>
                <w:color w:val="auto"/>
                <w:sz w:val="24"/>
                <w:szCs w:val="24"/>
                <w:highlight w:val="none"/>
              </w:rPr>
              <w:t>根据投标人</w:t>
            </w:r>
            <w:r>
              <w:rPr>
                <w:rFonts w:hint="eastAsia" w:ascii="宋体" w:hAnsi="宋体" w:eastAsia="宋体" w:cs="宋体"/>
                <w:bCs/>
                <w:color w:val="auto"/>
                <w:sz w:val="24"/>
                <w:szCs w:val="24"/>
                <w:highlight w:val="none"/>
              </w:rPr>
              <w:t>对本项目服务合理化建议等方面</w:t>
            </w:r>
            <w:r>
              <w:rPr>
                <w:rFonts w:hint="eastAsia" w:ascii="宋体" w:hAnsi="宋体" w:eastAsia="宋体" w:cs="宋体"/>
                <w:color w:val="auto"/>
                <w:sz w:val="24"/>
                <w:szCs w:val="24"/>
                <w:highlight w:val="none"/>
              </w:rPr>
              <w:t>是否具有针对性、完整合理、切实可行情况打分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p>
        </w:tc>
        <w:tc>
          <w:tcPr>
            <w:tcW w:w="1007" w:type="dxa"/>
            <w:noWrap w:val="0"/>
            <w:vAlign w:val="center"/>
          </w:tcPr>
          <w:p w14:paraId="67A6EBE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0-12分</w:t>
            </w:r>
          </w:p>
        </w:tc>
      </w:tr>
      <w:tr w14:paraId="50F1731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vMerge w:val="continue"/>
            <w:noWrap w:val="0"/>
            <w:vAlign w:val="center"/>
          </w:tcPr>
          <w:p w14:paraId="6D703F82">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p>
        </w:tc>
        <w:tc>
          <w:tcPr>
            <w:tcW w:w="7269" w:type="dxa"/>
            <w:noWrap w:val="0"/>
            <w:vAlign w:val="center"/>
          </w:tcPr>
          <w:p w14:paraId="524C3E99">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根据投标人提供的针对本项目的服务承诺是否具有针对性、完整合理、切实可行</w:t>
            </w:r>
            <w:r>
              <w:rPr>
                <w:rFonts w:hint="eastAsia" w:ascii="宋体" w:hAnsi="宋体" w:eastAsia="宋体" w:cs="宋体"/>
                <w:color w:val="auto"/>
                <w:sz w:val="24"/>
                <w:szCs w:val="24"/>
                <w:highlight w:val="none"/>
                <w:lang w:val="en-US" w:eastAsia="zh-CN"/>
              </w:rPr>
              <w:t>进行综合</w:t>
            </w:r>
            <w:r>
              <w:rPr>
                <w:rFonts w:hint="eastAsia" w:ascii="宋体" w:hAnsi="宋体" w:eastAsia="宋体" w:cs="宋体"/>
                <w:color w:val="auto"/>
                <w:sz w:val="24"/>
                <w:szCs w:val="24"/>
                <w:highlight w:val="none"/>
              </w:rPr>
              <w:t>打分，具体为：</w:t>
            </w:r>
          </w:p>
          <w:p w14:paraId="37EA5564">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1、根据投标人提供的针对本项目服务质量是否具有针对性、完整合理、切实可行打分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p w14:paraId="5BA52E19">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2、根据投标人提供的针对本项目菜肴创新是否具有针对性、完整合理、切实可行打分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p w14:paraId="24305A29">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3、根据投标人提供的针对本项目售后服务规范是否具有针对性、完整合理、切实可行打分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tc>
        <w:tc>
          <w:tcPr>
            <w:tcW w:w="1007" w:type="dxa"/>
            <w:noWrap w:val="0"/>
            <w:vAlign w:val="center"/>
          </w:tcPr>
          <w:p w14:paraId="6E89D5C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分</w:t>
            </w:r>
          </w:p>
        </w:tc>
      </w:tr>
      <w:tr w14:paraId="71D728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2659726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安全方案</w:t>
            </w:r>
          </w:p>
        </w:tc>
        <w:tc>
          <w:tcPr>
            <w:tcW w:w="7269" w:type="dxa"/>
            <w:noWrap w:val="0"/>
            <w:vAlign w:val="center"/>
          </w:tcPr>
          <w:p w14:paraId="5EE6AFCD">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根据投标人提供的针对本项目的食品安全、生产安全的风险分析及控制方案是否具有针对性、完整合理、切实可行</w:t>
            </w:r>
            <w:r>
              <w:rPr>
                <w:rFonts w:hint="eastAsia" w:ascii="宋体" w:hAnsi="宋体" w:eastAsia="宋体" w:cs="宋体"/>
                <w:color w:val="auto"/>
                <w:sz w:val="24"/>
                <w:szCs w:val="24"/>
                <w:highlight w:val="none"/>
                <w:lang w:val="en-US" w:eastAsia="zh-CN"/>
              </w:rPr>
              <w:t>进行综合</w:t>
            </w:r>
            <w:r>
              <w:rPr>
                <w:rFonts w:hint="eastAsia" w:ascii="宋体" w:hAnsi="宋体" w:eastAsia="宋体" w:cs="宋体"/>
                <w:color w:val="auto"/>
                <w:sz w:val="24"/>
                <w:szCs w:val="24"/>
                <w:highlight w:val="none"/>
              </w:rPr>
              <w:t>打分，具体为：</w:t>
            </w:r>
          </w:p>
          <w:p w14:paraId="4B836870">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1、根据投标人提供的针对本项目食品安全的细化方案是否具有针对性、完整合理、切实可行等情况打分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4764F198">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2、根据投标人提供的针对本项目食堂风险的具体分析方案是否具有针对性、完整合理、切实可行等情况打分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5C80C566">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3、根据投标人提供的针对本项目食品安全的保障措施方案是否具有针对性、完整合理、切实可行等情况打分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7B407D32">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4、根据投标人提供的针对本项目食品安全方案的内控机制及能力方案是否具有针对性、完整合理、切实可行等情况打分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p w14:paraId="14075D5A">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5、根据投标人提供的针对本项目生产安全的内控机制及能力方案是否具有针对性、完整合理、切实可行等情况打分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p>
        </w:tc>
        <w:tc>
          <w:tcPr>
            <w:tcW w:w="1007" w:type="dxa"/>
            <w:noWrap w:val="0"/>
            <w:vAlign w:val="center"/>
          </w:tcPr>
          <w:p w14:paraId="09DD77FB">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0-5分</w:t>
            </w:r>
          </w:p>
        </w:tc>
      </w:tr>
      <w:tr w14:paraId="1454315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368CE45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菜谱制定</w:t>
            </w:r>
          </w:p>
        </w:tc>
        <w:tc>
          <w:tcPr>
            <w:tcW w:w="7269" w:type="dxa"/>
            <w:noWrap w:val="0"/>
            <w:vAlign w:val="center"/>
          </w:tcPr>
          <w:p w14:paraId="11A2D112">
            <w:pPr>
              <w:keepNext w:val="0"/>
              <w:keepLines w:val="0"/>
              <w:pageBreakBefore w:val="0"/>
              <w:widowControl w:val="0"/>
              <w:kinsoku/>
              <w:wordWrap/>
              <w:overflowPunct/>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以安全、经济、季节、营养为原则制定</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月份中餐菜谱共4份，每份排一周（5天）菜谱</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进行综合</w:t>
            </w:r>
            <w:r>
              <w:rPr>
                <w:rFonts w:hint="eastAsia" w:ascii="宋体" w:hAnsi="宋体" w:eastAsia="宋体" w:cs="宋体"/>
                <w:color w:val="auto"/>
                <w:sz w:val="24"/>
                <w:szCs w:val="24"/>
                <w:highlight w:val="none"/>
              </w:rPr>
              <w:t>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内容阐述详尽、合理可行的得2分；内容阐述较为详尽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较为合理可行的得1分；未提供相关内容阐述或与项目不符的不得分）</w:t>
            </w:r>
            <w:r>
              <w:rPr>
                <w:rFonts w:hint="eastAsia" w:ascii="宋体" w:hAnsi="宋体" w:eastAsia="宋体" w:cs="宋体"/>
                <w:color w:val="auto"/>
                <w:sz w:val="24"/>
                <w:szCs w:val="24"/>
                <w:highlight w:val="none"/>
              </w:rPr>
              <w:t>。</w:t>
            </w:r>
          </w:p>
        </w:tc>
        <w:tc>
          <w:tcPr>
            <w:tcW w:w="1007" w:type="dxa"/>
            <w:noWrap w:val="0"/>
            <w:vAlign w:val="center"/>
          </w:tcPr>
          <w:p w14:paraId="22927E9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0-3分</w:t>
            </w:r>
          </w:p>
        </w:tc>
      </w:tr>
      <w:tr w14:paraId="1F120D7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jc w:val="center"/>
        </w:trPr>
        <w:tc>
          <w:tcPr>
            <w:tcW w:w="931" w:type="dxa"/>
            <w:noWrap w:val="0"/>
            <w:vAlign w:val="center"/>
          </w:tcPr>
          <w:p w14:paraId="0BB8BC6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应急处置</w:t>
            </w:r>
          </w:p>
        </w:tc>
        <w:tc>
          <w:tcPr>
            <w:tcW w:w="7269" w:type="dxa"/>
            <w:noWrap w:val="0"/>
            <w:vAlign w:val="center"/>
          </w:tcPr>
          <w:p w14:paraId="13ECE1FA">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根据投标人提供的针对本项目的应急预防方案是否具有针对性、完整合理、切实可行，从食品安全、环境安全、消防安全、事故应急处理4项内容打分，</w:t>
            </w:r>
            <w:r>
              <w:rPr>
                <w:rFonts w:hint="eastAsia" w:ascii="宋体" w:hAnsi="宋体" w:eastAsia="宋体" w:cs="宋体"/>
                <w:color w:val="auto"/>
                <w:sz w:val="24"/>
                <w:szCs w:val="24"/>
                <w:highlight w:val="none"/>
                <w:lang w:val="en-US" w:eastAsia="zh-CN"/>
              </w:rPr>
              <w:t>根据</w:t>
            </w:r>
            <w:r>
              <w:rPr>
                <w:rFonts w:hint="eastAsia" w:ascii="宋体" w:hAnsi="宋体" w:eastAsia="宋体" w:cs="宋体"/>
                <w:color w:val="auto"/>
                <w:sz w:val="24"/>
                <w:szCs w:val="24"/>
                <w:highlight w:val="none"/>
              </w:rPr>
              <w:t>每项内容</w:t>
            </w:r>
            <w:r>
              <w:rPr>
                <w:rFonts w:hint="eastAsia" w:ascii="宋体" w:hAnsi="宋体" w:eastAsia="宋体" w:cs="宋体"/>
                <w:color w:val="auto"/>
                <w:sz w:val="24"/>
                <w:szCs w:val="24"/>
                <w:highlight w:val="none"/>
                <w:lang w:val="en-US" w:eastAsia="zh-CN"/>
              </w:rPr>
              <w:t>进行综合评价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内容阐述详尽、合理可行的得1分；内容阐述较为详尽</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较为合理可行的得0.5分；未提供相关内容阐述或与项目不符的不得分）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本项</w:t>
            </w:r>
            <w:r>
              <w:rPr>
                <w:rFonts w:hint="eastAsia" w:ascii="宋体" w:hAnsi="宋体" w:eastAsia="宋体" w:cs="宋体"/>
                <w:color w:val="auto"/>
                <w:sz w:val="24"/>
                <w:szCs w:val="24"/>
                <w:highlight w:val="none"/>
              </w:rPr>
              <w:t>最高得4分。</w:t>
            </w:r>
          </w:p>
        </w:tc>
        <w:tc>
          <w:tcPr>
            <w:tcW w:w="1007" w:type="dxa"/>
            <w:noWrap w:val="0"/>
            <w:vAlign w:val="center"/>
          </w:tcPr>
          <w:p w14:paraId="197D219B">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0-4分</w:t>
            </w:r>
          </w:p>
        </w:tc>
      </w:tr>
    </w:tbl>
    <w:p w14:paraId="4B5C1296">
      <w:pPr>
        <w:keepNext w:val="0"/>
        <w:keepLines w:val="0"/>
        <w:pageBreakBefore w:val="0"/>
        <w:widowControl w:val="0"/>
        <w:kinsoku/>
        <w:wordWrap/>
        <w:overflowPunct/>
        <w:topLinePunct w:val="0"/>
        <w:autoSpaceDE/>
        <w:autoSpaceDN/>
        <w:bidi w:val="0"/>
        <w:snapToGrid/>
        <w:spacing w:line="288" w:lineRule="auto"/>
        <w:ind w:firstLine="480"/>
        <w:textAlignment w:val="auto"/>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5.本次评审通过资格审查和符合性评审的单位全部入围进行</w:t>
      </w:r>
      <w:r>
        <w:rPr>
          <w:rFonts w:hint="eastAsia" w:ascii="宋体" w:hAnsi="宋体" w:cs="宋体"/>
          <w:b/>
          <w:bCs/>
          <w:color w:val="auto"/>
          <w:sz w:val="24"/>
          <w:highlight w:val="none"/>
          <w:lang w:val="en-US" w:eastAsia="zh-CN"/>
        </w:rPr>
        <w:t>报价</w:t>
      </w:r>
      <w:r>
        <w:rPr>
          <w:rFonts w:hint="eastAsia" w:ascii="宋体" w:hAnsi="宋体" w:eastAsia="宋体" w:cs="宋体"/>
          <w:b/>
          <w:bCs/>
          <w:color w:val="auto"/>
          <w:sz w:val="24"/>
          <w:highlight w:val="none"/>
        </w:rPr>
        <w:t>评审。</w:t>
      </w:r>
    </w:p>
    <w:p w14:paraId="19138111">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五、采购需求</w:t>
      </w:r>
    </w:p>
    <w:p w14:paraId="6F70721E">
      <w:pPr>
        <w:keepNext w:val="0"/>
        <w:keepLines w:val="0"/>
        <w:pageBreakBefore w:val="0"/>
        <w:widowControl w:val="0"/>
        <w:kinsoku/>
        <w:wordWrap/>
        <w:overflowPunct/>
        <w:topLinePunct w:val="0"/>
        <w:autoSpaceDE/>
        <w:autoSpaceDN/>
        <w:bidi w:val="0"/>
        <w:snapToGrid/>
        <w:spacing w:line="288"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（一）项目基本情况</w:t>
      </w:r>
    </w:p>
    <w:p w14:paraId="080F569A">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b w:val="0"/>
          <w:bCs/>
          <w:color w:val="auto"/>
          <w:sz w:val="24"/>
          <w:szCs w:val="24"/>
        </w:rPr>
        <w:t>1、</w:t>
      </w:r>
      <w:r>
        <w:rPr>
          <w:rFonts w:hint="eastAsia" w:ascii="宋体" w:hAnsi="宋体" w:eastAsia="宋体" w:cs="宋体"/>
          <w:bCs/>
          <w:color w:val="auto"/>
          <w:sz w:val="24"/>
          <w:szCs w:val="24"/>
        </w:rPr>
        <w:t>诸暨市</w:t>
      </w:r>
      <w:r>
        <w:rPr>
          <w:rFonts w:hint="eastAsia" w:ascii="宋体" w:hAnsi="宋体" w:cs="宋体"/>
          <w:color w:val="auto"/>
          <w:sz w:val="24"/>
          <w:szCs w:val="24"/>
          <w:lang w:eastAsia="zh-CN"/>
        </w:rPr>
        <w:t>山下湖镇</w:t>
      </w:r>
      <w:r>
        <w:rPr>
          <w:rFonts w:hint="eastAsia" w:ascii="宋体" w:hAnsi="宋体" w:eastAsia="宋体" w:cs="宋体"/>
          <w:color w:val="auto"/>
          <w:sz w:val="24"/>
          <w:szCs w:val="24"/>
        </w:rPr>
        <w:t>人民政府</w:t>
      </w:r>
      <w:r>
        <w:rPr>
          <w:rFonts w:hint="eastAsia" w:ascii="宋体" w:hAnsi="宋体" w:eastAsia="宋体" w:cs="宋体"/>
          <w:bCs/>
          <w:color w:val="auto"/>
          <w:sz w:val="24"/>
          <w:szCs w:val="24"/>
        </w:rPr>
        <w:t>食堂位于</w:t>
      </w:r>
      <w:r>
        <w:rPr>
          <w:rFonts w:hint="eastAsia" w:ascii="宋体" w:hAnsi="宋体" w:eastAsia="宋体" w:cs="宋体"/>
          <w:bCs/>
          <w:color w:val="auto"/>
          <w:sz w:val="24"/>
          <w:szCs w:val="24"/>
          <w:lang w:eastAsia="zh-CN"/>
        </w:rPr>
        <w:t>政府</w:t>
      </w:r>
      <w:r>
        <w:rPr>
          <w:rFonts w:hint="eastAsia" w:ascii="宋体" w:hAnsi="宋体" w:eastAsia="宋体" w:cs="宋体"/>
          <w:bCs/>
          <w:color w:val="auto"/>
          <w:sz w:val="24"/>
          <w:szCs w:val="24"/>
        </w:rPr>
        <w:t>大院内</w:t>
      </w:r>
      <w:r>
        <w:rPr>
          <w:rFonts w:hint="eastAsia" w:ascii="宋体" w:hAnsi="宋体" w:eastAsia="宋体" w:cs="宋体"/>
          <w:color w:val="auto"/>
          <w:sz w:val="24"/>
          <w:szCs w:val="24"/>
          <w:u w:val="none"/>
          <w:lang w:val="en-US" w:eastAsia="zh-CN"/>
        </w:rPr>
        <w:t>。</w:t>
      </w:r>
    </w:p>
    <w:p w14:paraId="59C2C509">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食堂</w:t>
      </w:r>
      <w:r>
        <w:rPr>
          <w:rFonts w:hint="eastAsia" w:ascii="宋体" w:hAnsi="宋体" w:eastAsia="宋体" w:cs="宋体"/>
          <w:color w:val="auto"/>
          <w:sz w:val="24"/>
          <w:szCs w:val="24"/>
        </w:rPr>
        <w:t>餐饮需求：工作日提供早、中、晚餐，以快餐为主，</w:t>
      </w:r>
      <w:r>
        <w:rPr>
          <w:rFonts w:hint="eastAsia" w:ascii="宋体" w:hAnsi="宋体" w:eastAsia="宋体" w:cs="宋体"/>
          <w:color w:val="auto"/>
          <w:sz w:val="24"/>
          <w:szCs w:val="24"/>
          <w:lang w:eastAsia="zh-CN"/>
        </w:rPr>
        <w:t>工作日晚餐和</w:t>
      </w:r>
      <w:r>
        <w:rPr>
          <w:rFonts w:hint="eastAsia" w:ascii="宋体" w:hAnsi="宋体" w:eastAsia="宋体" w:cs="宋体"/>
          <w:color w:val="auto"/>
          <w:sz w:val="24"/>
          <w:szCs w:val="24"/>
        </w:rPr>
        <w:t>周六、周日供应值班人员</w:t>
      </w:r>
      <w:r>
        <w:rPr>
          <w:rFonts w:hint="eastAsia" w:ascii="宋体" w:hAnsi="宋体" w:eastAsia="宋体" w:cs="宋体"/>
          <w:color w:val="auto"/>
          <w:sz w:val="24"/>
          <w:szCs w:val="24"/>
          <w:lang w:eastAsia="zh-CN"/>
        </w:rPr>
        <w:t>值班</w:t>
      </w:r>
      <w:r>
        <w:rPr>
          <w:rFonts w:hint="eastAsia" w:ascii="宋体" w:hAnsi="宋体" w:eastAsia="宋体" w:cs="宋体"/>
          <w:color w:val="auto"/>
          <w:sz w:val="24"/>
          <w:szCs w:val="24"/>
        </w:rPr>
        <w:t>餐。兼顾接待餐（一般提前一天通知，特殊情况例外）。　</w:t>
      </w:r>
    </w:p>
    <w:p w14:paraId="6436C5D6">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食堂主要设备设施按</w:t>
      </w:r>
      <w:r>
        <w:rPr>
          <w:rFonts w:hint="eastAsia" w:ascii="宋体" w:hAnsi="宋体" w:eastAsia="宋体" w:cs="宋体"/>
          <w:color w:val="auto"/>
          <w:sz w:val="24"/>
          <w:szCs w:val="24"/>
          <w:lang w:eastAsia="zh-CN"/>
        </w:rPr>
        <w:t>餐饮加工需求和</w:t>
      </w:r>
      <w:r>
        <w:rPr>
          <w:rFonts w:hint="eastAsia" w:ascii="宋体" w:hAnsi="宋体" w:eastAsia="宋体" w:cs="宋体"/>
          <w:color w:val="auto"/>
          <w:sz w:val="24"/>
          <w:szCs w:val="24"/>
        </w:rPr>
        <w:t>食品安全相关要求配置</w:t>
      </w:r>
      <w:r>
        <w:rPr>
          <w:rFonts w:hint="eastAsia" w:ascii="宋体" w:hAnsi="宋体" w:eastAsia="宋体" w:cs="宋体"/>
          <w:color w:val="auto"/>
          <w:sz w:val="24"/>
          <w:szCs w:val="24"/>
          <w:highlight w:val="none"/>
        </w:rPr>
        <w:t>。</w:t>
      </w:r>
    </w:p>
    <w:p w14:paraId="5B94333E">
      <w:pPr>
        <w:keepNext w:val="0"/>
        <w:keepLines w:val="0"/>
        <w:pageBreakBefore w:val="0"/>
        <w:widowControl w:val="0"/>
        <w:kinsoku/>
        <w:wordWrap/>
        <w:overflowPunct/>
        <w:topLinePunct w:val="0"/>
        <w:bidi w:val="0"/>
        <w:snapToGrid/>
        <w:spacing w:line="288"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（二）食堂工作人员配备</w:t>
      </w:r>
    </w:p>
    <w:p w14:paraId="584293FC">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工作人员要求</w:t>
      </w:r>
      <w:r>
        <w:rPr>
          <w:rFonts w:hint="eastAsia" w:ascii="宋体" w:hAnsi="宋体" w:cs="宋体"/>
          <w:bCs/>
          <w:color w:val="auto"/>
          <w:sz w:val="24"/>
          <w:szCs w:val="24"/>
          <w:lang w:val="en-US" w:eastAsia="zh-CN"/>
        </w:rPr>
        <w:t>6</w:t>
      </w:r>
      <w:r>
        <w:rPr>
          <w:rFonts w:hint="eastAsia" w:ascii="宋体" w:hAnsi="宋体" w:eastAsia="宋体" w:cs="宋体"/>
          <w:bCs/>
          <w:color w:val="auto"/>
          <w:sz w:val="24"/>
          <w:szCs w:val="24"/>
          <w:lang w:val="en-US" w:eastAsia="zh-CN"/>
        </w:rPr>
        <w:t>人。</w:t>
      </w:r>
      <w:r>
        <w:rPr>
          <w:rFonts w:hint="eastAsia" w:ascii="宋体" w:hAnsi="宋体" w:eastAsia="宋体" w:cs="宋体"/>
          <w:bCs/>
          <w:color w:val="auto"/>
          <w:sz w:val="24"/>
          <w:szCs w:val="24"/>
          <w:lang w:eastAsia="zh-CN"/>
        </w:rPr>
        <w:t>其中</w:t>
      </w:r>
      <w:r>
        <w:rPr>
          <w:rFonts w:hint="eastAsia" w:ascii="宋体" w:hAnsi="宋体" w:eastAsia="宋体" w:cs="宋体"/>
          <w:bCs/>
          <w:color w:val="auto"/>
          <w:sz w:val="24"/>
          <w:szCs w:val="24"/>
        </w:rPr>
        <w:t>厨师</w:t>
      </w:r>
      <w:r>
        <w:rPr>
          <w:rFonts w:hint="eastAsia" w:ascii="宋体" w:hAnsi="宋体" w:eastAsia="宋体" w:cs="宋体"/>
          <w:bCs/>
          <w:color w:val="auto"/>
          <w:sz w:val="24"/>
          <w:szCs w:val="24"/>
          <w:lang w:eastAsia="zh-CN"/>
        </w:rPr>
        <w:t>长兼</w:t>
      </w:r>
      <w:r>
        <w:rPr>
          <w:rFonts w:hint="eastAsia" w:ascii="宋体" w:hAnsi="宋体" w:eastAsia="宋体" w:cs="宋体"/>
          <w:bCs/>
          <w:color w:val="auto"/>
          <w:sz w:val="24"/>
          <w:szCs w:val="24"/>
        </w:rPr>
        <w:t>食堂负责人1人、</w:t>
      </w:r>
      <w:r>
        <w:rPr>
          <w:rFonts w:hint="eastAsia" w:ascii="宋体" w:hAnsi="宋体" w:cs="宋体"/>
          <w:bCs/>
          <w:color w:val="auto"/>
          <w:sz w:val="24"/>
          <w:szCs w:val="24"/>
          <w:lang w:eastAsia="zh-CN"/>
        </w:rPr>
        <w:t>副</w:t>
      </w:r>
      <w:r>
        <w:rPr>
          <w:rFonts w:hint="eastAsia" w:ascii="宋体" w:hAnsi="宋体" w:eastAsia="宋体" w:cs="宋体"/>
          <w:bCs/>
          <w:color w:val="auto"/>
          <w:sz w:val="24"/>
          <w:szCs w:val="24"/>
          <w:lang w:eastAsia="zh-CN"/>
        </w:rPr>
        <w:t>厨</w:t>
      </w:r>
      <w:r>
        <w:rPr>
          <w:rFonts w:hint="eastAsia" w:ascii="宋体" w:hAnsi="宋体" w:cs="宋体"/>
          <w:bCs/>
          <w:color w:val="auto"/>
          <w:sz w:val="24"/>
          <w:szCs w:val="24"/>
          <w:lang w:val="en-US" w:eastAsia="zh-CN"/>
        </w:rPr>
        <w:t>1人、面点</w:t>
      </w:r>
      <w:r>
        <w:rPr>
          <w:rFonts w:hint="eastAsia" w:ascii="宋体" w:hAnsi="宋体" w:eastAsia="宋体" w:cs="宋体"/>
          <w:bCs/>
          <w:color w:val="auto"/>
          <w:sz w:val="24"/>
          <w:szCs w:val="24"/>
          <w:lang w:val="en-US" w:eastAsia="zh-CN"/>
        </w:rPr>
        <w:t>1人、服务</w:t>
      </w:r>
      <w:r>
        <w:rPr>
          <w:rFonts w:hint="eastAsia" w:ascii="宋体" w:hAnsi="宋体" w:eastAsia="宋体" w:cs="宋体"/>
          <w:bCs/>
          <w:color w:val="auto"/>
          <w:sz w:val="24"/>
          <w:szCs w:val="24"/>
          <w:lang w:eastAsia="zh-CN"/>
        </w:rPr>
        <w:t>兼</w:t>
      </w:r>
      <w:r>
        <w:rPr>
          <w:rFonts w:hint="eastAsia" w:ascii="宋体" w:hAnsi="宋体" w:eastAsia="宋体" w:cs="宋体"/>
          <w:bCs/>
          <w:color w:val="auto"/>
          <w:sz w:val="24"/>
          <w:szCs w:val="24"/>
        </w:rPr>
        <w:t>洗杂阿姨</w:t>
      </w:r>
      <w:r>
        <w:rPr>
          <w:rFonts w:hint="eastAsia" w:ascii="宋体" w:hAnsi="宋体" w:cs="宋体"/>
          <w:bCs/>
          <w:color w:val="auto"/>
          <w:sz w:val="24"/>
          <w:szCs w:val="24"/>
          <w:lang w:val="en-US" w:eastAsia="zh-CN"/>
        </w:rPr>
        <w:t>3</w:t>
      </w:r>
      <w:r>
        <w:rPr>
          <w:rFonts w:hint="eastAsia" w:ascii="宋体" w:hAnsi="宋体" w:eastAsia="宋体" w:cs="宋体"/>
          <w:bCs/>
          <w:color w:val="auto"/>
          <w:sz w:val="24"/>
          <w:szCs w:val="24"/>
        </w:rPr>
        <w:t>人</w:t>
      </w:r>
      <w:r>
        <w:rPr>
          <w:rFonts w:hint="eastAsia" w:ascii="宋体" w:hAnsi="宋体" w:eastAsia="宋体" w:cs="宋体"/>
          <w:color w:val="auto"/>
          <w:sz w:val="24"/>
          <w:szCs w:val="24"/>
          <w:highlight w:val="none"/>
        </w:rPr>
        <w:t>。年龄要求：男性在6</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周岁以下、女性在</w:t>
      </w:r>
      <w:r>
        <w:rPr>
          <w:rFonts w:hint="eastAsia" w:ascii="宋体" w:hAnsi="宋体" w:cs="宋体"/>
          <w:color w:val="auto"/>
          <w:sz w:val="24"/>
          <w:szCs w:val="24"/>
          <w:highlight w:val="none"/>
          <w:lang w:val="en-US" w:eastAsia="zh-CN"/>
        </w:rPr>
        <w:t>60</w:t>
      </w:r>
      <w:r>
        <w:rPr>
          <w:rFonts w:hint="eastAsia" w:ascii="宋体" w:hAnsi="宋体" w:eastAsia="宋体" w:cs="宋体"/>
          <w:color w:val="auto"/>
          <w:sz w:val="24"/>
          <w:szCs w:val="24"/>
          <w:highlight w:val="none"/>
        </w:rPr>
        <w:t>周岁以下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技术优秀者可适当放宽；持健康证、职业素质强，所有工作人员必须挂牌上岗。</w:t>
      </w:r>
    </w:p>
    <w:p w14:paraId="32294CBD">
      <w:pPr>
        <w:keepNext w:val="0"/>
        <w:keepLines w:val="0"/>
        <w:pageBreakBefore w:val="0"/>
        <w:widowControl w:val="0"/>
        <w:kinsoku/>
        <w:wordWrap/>
        <w:overflowPunct/>
        <w:topLinePunct w:val="0"/>
        <w:bidi w:val="0"/>
        <w:snapToGrid/>
        <w:spacing w:line="288"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（三）管理项目</w:t>
      </w:r>
    </w:p>
    <w:p w14:paraId="3EDFF29A">
      <w:pPr>
        <w:keepNext w:val="0"/>
        <w:keepLines w:val="0"/>
        <w:pageBreakBefore w:val="0"/>
        <w:widowControl w:val="0"/>
        <w:kinsoku/>
        <w:wordWrap/>
        <w:overflowPunct/>
        <w:topLinePunct w:val="0"/>
        <w:autoSpaceDE/>
        <w:autoSpaceDN/>
        <w:bidi w:val="0"/>
        <w:adjustRightInd w:val="0"/>
        <w:snapToGrid/>
        <w:spacing w:line="288" w:lineRule="auto"/>
        <w:ind w:left="0" w:leftChars="0" w:firstLine="482" w:firstLineChars="200"/>
        <w:jc w:val="lef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w:t>
      </w:r>
      <w:r>
        <w:rPr>
          <w:rFonts w:hint="eastAsia" w:ascii="宋体" w:hAnsi="宋体" w:eastAsia="宋体" w:cs="宋体"/>
          <w:b/>
          <w:bCs/>
          <w:color w:val="auto"/>
          <w:sz w:val="24"/>
          <w:szCs w:val="24"/>
        </w:rPr>
        <w:t>餐饮标准与要求</w:t>
      </w:r>
      <w:r>
        <w:rPr>
          <w:rFonts w:hint="eastAsia" w:ascii="宋体" w:hAnsi="宋体" w:eastAsia="宋体" w:cs="宋体"/>
          <w:b/>
          <w:bCs/>
          <w:color w:val="auto"/>
          <w:sz w:val="24"/>
          <w:szCs w:val="24"/>
          <w:lang w:eastAsia="zh-CN"/>
        </w:rPr>
        <w:t>：</w:t>
      </w:r>
    </w:p>
    <w:p w14:paraId="2C5A19AC">
      <w:pPr>
        <w:keepNext w:val="0"/>
        <w:keepLines w:val="0"/>
        <w:pageBreakBefore w:val="0"/>
        <w:widowControl w:val="0"/>
        <w:kinsoku/>
        <w:wordWrap/>
        <w:overflowPunct/>
        <w:topLinePunct w:val="0"/>
        <w:bidi w:val="0"/>
        <w:snapToGrid/>
        <w:spacing w:line="288" w:lineRule="auto"/>
        <w:ind w:left="0" w:leftChars="0" w:firstLine="482" w:firstLineChars="200"/>
        <w:jc w:val="left"/>
        <w:textAlignment w:val="auto"/>
        <w:rPr>
          <w:rFonts w:hint="eastAsia" w:ascii="宋体" w:hAnsi="宋体" w:eastAsia="宋体" w:cs="宋体"/>
          <w:bCs/>
          <w:color w:val="auto"/>
          <w:sz w:val="24"/>
          <w:szCs w:val="24"/>
        </w:rPr>
      </w:pPr>
      <w:r>
        <w:rPr>
          <w:rFonts w:hint="eastAsia" w:ascii="宋体" w:hAnsi="宋体" w:eastAsia="宋体" w:cs="宋体"/>
          <w:b/>
          <w:bCs w:val="0"/>
          <w:color w:val="auto"/>
          <w:sz w:val="24"/>
          <w:szCs w:val="24"/>
          <w:lang w:eastAsia="zh-CN"/>
        </w:rPr>
        <w:t>（</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lang w:eastAsia="zh-CN"/>
        </w:rPr>
        <w:t>）</w:t>
      </w:r>
      <w:r>
        <w:rPr>
          <w:rFonts w:hint="eastAsia" w:ascii="宋体" w:hAnsi="宋体" w:eastAsia="宋体" w:cs="宋体"/>
          <w:b/>
          <w:bCs w:val="0"/>
          <w:color w:val="auto"/>
          <w:sz w:val="24"/>
          <w:szCs w:val="24"/>
        </w:rPr>
        <w:t>食堂早餐：</w:t>
      </w:r>
      <w:r>
        <w:rPr>
          <w:rFonts w:hint="eastAsia" w:ascii="宋体" w:hAnsi="宋体" w:eastAsia="宋体" w:cs="宋体"/>
          <w:bCs/>
          <w:color w:val="auto"/>
          <w:sz w:val="24"/>
          <w:szCs w:val="24"/>
        </w:rPr>
        <w:t>提供稀饭、豆浆、面条、包子、面包、饺子、蛋糕、馄饨等，花色品种不少于1</w:t>
      </w:r>
      <w:r>
        <w:rPr>
          <w:rFonts w:hint="eastAsia" w:ascii="宋体" w:hAnsi="宋体" w:eastAsia="宋体" w:cs="宋体"/>
          <w:bCs/>
          <w:color w:val="auto"/>
          <w:sz w:val="24"/>
          <w:szCs w:val="24"/>
          <w:lang w:val="en-US" w:eastAsia="zh-CN"/>
        </w:rPr>
        <w:t>2</w:t>
      </w:r>
      <w:r>
        <w:rPr>
          <w:rFonts w:hint="eastAsia" w:ascii="宋体" w:hAnsi="宋体" w:eastAsia="宋体" w:cs="宋体"/>
          <w:bCs/>
          <w:color w:val="auto"/>
          <w:sz w:val="24"/>
          <w:szCs w:val="24"/>
        </w:rPr>
        <w:t>个，卤、酱菜3个以上。</w:t>
      </w:r>
    </w:p>
    <w:p w14:paraId="05054367">
      <w:pPr>
        <w:keepNext w:val="0"/>
        <w:keepLines w:val="0"/>
        <w:pageBreakBefore w:val="0"/>
        <w:widowControl w:val="0"/>
        <w:kinsoku/>
        <w:wordWrap/>
        <w:overflowPunct/>
        <w:topLinePunct w:val="0"/>
        <w:bidi w:val="0"/>
        <w:snapToGrid/>
        <w:spacing w:line="288" w:lineRule="auto"/>
        <w:ind w:left="0" w:leftChars="0" w:firstLine="482" w:firstLineChars="200"/>
        <w:jc w:val="left"/>
        <w:textAlignment w:val="auto"/>
        <w:rPr>
          <w:rFonts w:hint="eastAsia" w:ascii="宋体" w:hAnsi="宋体" w:eastAsia="宋体" w:cs="宋体"/>
          <w:bCs/>
          <w:color w:val="auto"/>
          <w:sz w:val="24"/>
          <w:szCs w:val="24"/>
        </w:rPr>
      </w:pPr>
      <w:r>
        <w:rPr>
          <w:rFonts w:hint="eastAsia" w:ascii="宋体" w:hAnsi="宋体" w:eastAsia="宋体" w:cs="宋体"/>
          <w:b/>
          <w:bCs w:val="0"/>
          <w:color w:val="auto"/>
          <w:sz w:val="24"/>
          <w:szCs w:val="24"/>
          <w:lang w:eastAsia="zh-CN"/>
        </w:rPr>
        <w:t>（</w:t>
      </w:r>
      <w:r>
        <w:rPr>
          <w:rFonts w:hint="eastAsia" w:ascii="宋体" w:hAnsi="宋体" w:eastAsia="宋体" w:cs="宋体"/>
          <w:b/>
          <w:bCs w:val="0"/>
          <w:color w:val="auto"/>
          <w:sz w:val="24"/>
          <w:szCs w:val="24"/>
          <w:lang w:val="en-US" w:eastAsia="zh-CN"/>
        </w:rPr>
        <w:t>2</w:t>
      </w:r>
      <w:r>
        <w:rPr>
          <w:rFonts w:hint="eastAsia" w:ascii="宋体" w:hAnsi="宋体" w:eastAsia="宋体" w:cs="宋体"/>
          <w:b/>
          <w:bCs w:val="0"/>
          <w:color w:val="auto"/>
          <w:sz w:val="24"/>
          <w:szCs w:val="24"/>
          <w:lang w:eastAsia="zh-CN"/>
        </w:rPr>
        <w:t>）</w:t>
      </w:r>
      <w:r>
        <w:rPr>
          <w:rFonts w:hint="eastAsia" w:ascii="宋体" w:hAnsi="宋体" w:eastAsia="宋体" w:cs="宋体"/>
          <w:b/>
          <w:bCs w:val="0"/>
          <w:color w:val="auto"/>
          <w:sz w:val="24"/>
          <w:szCs w:val="24"/>
        </w:rPr>
        <w:t>食堂中餐：</w:t>
      </w:r>
      <w:r>
        <w:rPr>
          <w:rFonts w:hint="eastAsia" w:ascii="宋体" w:hAnsi="宋体" w:eastAsia="宋体" w:cs="宋体"/>
          <w:bCs/>
          <w:color w:val="auto"/>
          <w:sz w:val="24"/>
          <w:szCs w:val="24"/>
        </w:rPr>
        <w:t>提供菜肴</w:t>
      </w:r>
      <w:r>
        <w:rPr>
          <w:rFonts w:hint="eastAsia" w:ascii="宋体" w:hAnsi="宋体" w:eastAsia="宋体" w:cs="宋体"/>
          <w:bCs/>
          <w:color w:val="auto"/>
          <w:sz w:val="24"/>
          <w:szCs w:val="24"/>
          <w:lang w:val="en-US" w:eastAsia="zh-CN"/>
        </w:rPr>
        <w:t>4</w:t>
      </w:r>
      <w:r>
        <w:rPr>
          <w:rFonts w:hint="eastAsia" w:ascii="宋体" w:hAnsi="宋体" w:eastAsia="宋体" w:cs="宋体"/>
          <w:bCs/>
          <w:color w:val="auto"/>
          <w:sz w:val="24"/>
          <w:szCs w:val="24"/>
        </w:rPr>
        <w:t>荤</w:t>
      </w:r>
      <w:r>
        <w:rPr>
          <w:rFonts w:hint="eastAsia" w:ascii="宋体" w:hAnsi="宋体" w:eastAsia="宋体" w:cs="宋体"/>
          <w:bCs/>
          <w:color w:val="auto"/>
          <w:sz w:val="24"/>
          <w:szCs w:val="24"/>
          <w:lang w:val="en-US" w:eastAsia="zh-CN"/>
        </w:rPr>
        <w:t>4</w:t>
      </w:r>
      <w:r>
        <w:rPr>
          <w:rFonts w:hint="eastAsia" w:ascii="宋体" w:hAnsi="宋体" w:eastAsia="宋体" w:cs="宋体"/>
          <w:bCs/>
          <w:color w:val="auto"/>
          <w:sz w:val="24"/>
          <w:szCs w:val="24"/>
        </w:rPr>
        <w:t>素以上；汤及适量的粗杂粮和中式点心。每餐菜肴荤素搭配均衡，做到勤变换，按季节及时调整菜品，菜品花色在每日每周每月都有一定的变化率，色泽、营养安排合理，饭菜必须现烧。</w:t>
      </w:r>
    </w:p>
    <w:p w14:paraId="4F099A21">
      <w:pPr>
        <w:keepNext w:val="0"/>
        <w:keepLines w:val="0"/>
        <w:pageBreakBefore w:val="0"/>
        <w:widowControl w:val="0"/>
        <w:kinsoku/>
        <w:wordWrap/>
        <w:overflowPunct/>
        <w:topLinePunct w:val="0"/>
        <w:autoSpaceDE/>
        <w:autoSpaceDN/>
        <w:bidi w:val="0"/>
        <w:adjustRightInd w:val="0"/>
        <w:snapToGrid/>
        <w:spacing w:line="288" w:lineRule="auto"/>
        <w:ind w:left="0" w:leftChars="0" w:firstLine="482" w:firstLineChars="200"/>
        <w:jc w:val="left"/>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lang w:eastAsia="zh-CN"/>
        </w:rPr>
        <w:t>（</w:t>
      </w: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lang w:eastAsia="zh-CN"/>
        </w:rPr>
        <w:t>）</w:t>
      </w:r>
      <w:r>
        <w:rPr>
          <w:rFonts w:hint="eastAsia" w:ascii="宋体" w:hAnsi="宋体" w:eastAsia="宋体" w:cs="宋体"/>
          <w:b/>
          <w:bCs/>
          <w:color w:val="auto"/>
          <w:sz w:val="24"/>
          <w:szCs w:val="24"/>
        </w:rPr>
        <w:t>晚餐：</w:t>
      </w:r>
      <w:r>
        <w:rPr>
          <w:rFonts w:hint="eastAsia" w:ascii="宋体" w:hAnsi="宋体" w:eastAsia="宋体" w:cs="宋体"/>
          <w:color w:val="auto"/>
          <w:sz w:val="24"/>
          <w:szCs w:val="24"/>
          <w:lang w:eastAsia="zh-CN"/>
        </w:rPr>
        <w:t>如集中学习或</w:t>
      </w:r>
      <w:r>
        <w:rPr>
          <w:rFonts w:hint="eastAsia" w:ascii="宋体" w:hAnsi="宋体" w:eastAsia="宋体" w:cs="宋体"/>
          <w:color w:val="auto"/>
          <w:sz w:val="24"/>
          <w:szCs w:val="24"/>
        </w:rPr>
        <w:t>因特殊情况需要</w:t>
      </w:r>
      <w:r>
        <w:rPr>
          <w:rFonts w:hint="eastAsia" w:ascii="宋体" w:hAnsi="宋体" w:eastAsia="宋体" w:cs="宋体"/>
          <w:color w:val="auto"/>
          <w:sz w:val="24"/>
          <w:szCs w:val="24"/>
          <w:lang w:eastAsia="zh-CN"/>
        </w:rPr>
        <w:t>供餐时</w:t>
      </w:r>
      <w:r>
        <w:rPr>
          <w:rFonts w:hint="eastAsia" w:ascii="宋体" w:hAnsi="宋体" w:eastAsia="宋体" w:cs="宋体"/>
          <w:color w:val="auto"/>
          <w:sz w:val="24"/>
          <w:szCs w:val="24"/>
        </w:rPr>
        <w:t>，提供菜肴</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荤</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素以上和汤，菜饭必须现烧。</w:t>
      </w:r>
    </w:p>
    <w:p w14:paraId="3CB17BE8">
      <w:pPr>
        <w:keepNext w:val="0"/>
        <w:keepLines w:val="0"/>
        <w:pageBreakBefore w:val="0"/>
        <w:widowControl w:val="0"/>
        <w:kinsoku/>
        <w:wordWrap/>
        <w:overflowPunct/>
        <w:topLinePunct w:val="0"/>
        <w:bidi w:val="0"/>
        <w:snapToGrid/>
        <w:spacing w:line="288" w:lineRule="auto"/>
        <w:ind w:left="0" w:leftChars="0" w:firstLine="482" w:firstLineChars="200"/>
        <w:jc w:val="left"/>
        <w:textAlignment w:val="auto"/>
        <w:rPr>
          <w:rFonts w:hint="eastAsia" w:ascii="宋体" w:hAnsi="宋体" w:eastAsia="宋体" w:cs="宋体"/>
          <w:bCs/>
          <w:color w:val="auto"/>
          <w:sz w:val="24"/>
          <w:szCs w:val="24"/>
        </w:rPr>
      </w:pPr>
      <w:r>
        <w:rPr>
          <w:rFonts w:hint="eastAsia" w:ascii="宋体" w:hAnsi="宋体" w:eastAsia="宋体" w:cs="宋体"/>
          <w:b/>
          <w:bCs w:val="0"/>
          <w:color w:val="auto"/>
          <w:sz w:val="24"/>
          <w:szCs w:val="24"/>
          <w:lang w:val="en-US" w:eastAsia="zh-CN"/>
        </w:rPr>
        <w:t>（4）</w:t>
      </w:r>
      <w:r>
        <w:rPr>
          <w:rFonts w:hint="eastAsia" w:ascii="宋体" w:hAnsi="宋体" w:eastAsia="宋体" w:cs="宋体"/>
          <w:b/>
          <w:bCs w:val="0"/>
          <w:color w:val="auto"/>
          <w:sz w:val="24"/>
          <w:szCs w:val="24"/>
        </w:rPr>
        <w:t>公务包厢接待：</w:t>
      </w:r>
      <w:r>
        <w:rPr>
          <w:rFonts w:hint="eastAsia" w:ascii="宋体" w:hAnsi="宋体" w:eastAsia="宋体" w:cs="宋体"/>
          <w:bCs/>
          <w:color w:val="auto"/>
          <w:sz w:val="24"/>
          <w:szCs w:val="24"/>
        </w:rPr>
        <w:t>公务接待按需提供服务，准备若干标准的宴席菜单（冷、热炒菜）</w:t>
      </w:r>
      <w:r>
        <w:rPr>
          <w:rFonts w:hint="eastAsia" w:ascii="宋体" w:hAnsi="宋体" w:eastAsia="宋体" w:cs="宋体"/>
          <w:bCs/>
          <w:color w:val="auto"/>
          <w:sz w:val="24"/>
          <w:szCs w:val="24"/>
          <w:lang w:eastAsia="zh-CN"/>
        </w:rPr>
        <w:t>，</w:t>
      </w:r>
      <w:r>
        <w:rPr>
          <w:rFonts w:hint="eastAsia" w:ascii="宋体" w:hAnsi="宋体" w:eastAsia="宋体" w:cs="宋体"/>
          <w:color w:val="auto"/>
          <w:sz w:val="24"/>
          <w:szCs w:val="24"/>
        </w:rPr>
        <w:t>公务接待按标准</w:t>
      </w:r>
      <w:r>
        <w:rPr>
          <w:rFonts w:hint="eastAsia" w:ascii="宋体" w:hAnsi="宋体" w:eastAsia="宋体" w:cs="宋体"/>
          <w:color w:val="auto"/>
          <w:sz w:val="24"/>
          <w:szCs w:val="24"/>
          <w:lang w:eastAsia="zh-CN"/>
        </w:rPr>
        <w:t>按镇政府办公室要求</w:t>
      </w:r>
      <w:r>
        <w:rPr>
          <w:rFonts w:hint="eastAsia" w:ascii="宋体" w:hAnsi="宋体" w:eastAsia="宋体" w:cs="宋体"/>
          <w:color w:val="auto"/>
          <w:sz w:val="24"/>
          <w:szCs w:val="24"/>
        </w:rPr>
        <w:t>提供服务。</w:t>
      </w:r>
    </w:p>
    <w:p w14:paraId="0B6DA032">
      <w:pPr>
        <w:keepNext w:val="0"/>
        <w:keepLines w:val="0"/>
        <w:pageBreakBefore w:val="0"/>
        <w:widowControl w:val="0"/>
        <w:kinsoku/>
        <w:wordWrap/>
        <w:overflowPunct/>
        <w:topLinePunct w:val="0"/>
        <w:bidi w:val="0"/>
        <w:snapToGrid/>
        <w:spacing w:line="288"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lang w:val="en-US" w:eastAsia="zh-CN"/>
        </w:rPr>
        <w:t>（5）外送快餐：</w:t>
      </w:r>
      <w:r>
        <w:rPr>
          <w:rFonts w:hint="eastAsia" w:ascii="宋体" w:hAnsi="宋体" w:eastAsia="宋体" w:cs="宋体"/>
          <w:b w:val="0"/>
          <w:bCs w:val="0"/>
          <w:color w:val="auto"/>
          <w:sz w:val="24"/>
          <w:szCs w:val="24"/>
          <w:lang w:val="en-US" w:eastAsia="zh-CN"/>
        </w:rPr>
        <w:t>菜品</w:t>
      </w:r>
      <w:r>
        <w:rPr>
          <w:rFonts w:hint="eastAsia" w:ascii="宋体" w:hAnsi="宋体" w:eastAsia="宋体" w:cs="宋体"/>
          <w:color w:val="auto"/>
          <w:sz w:val="24"/>
          <w:szCs w:val="24"/>
          <w:lang w:val="en-US" w:eastAsia="zh-CN"/>
        </w:rPr>
        <w:t>价格及标准根据镇政府办公室要求提供服务。</w:t>
      </w:r>
    </w:p>
    <w:p w14:paraId="27BFE9E5">
      <w:pPr>
        <w:pStyle w:val="13"/>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82" w:firstLineChars="200"/>
        <w:jc w:val="left"/>
        <w:textAlignment w:val="auto"/>
        <w:rPr>
          <w:rFonts w:hint="eastAsia" w:ascii="宋体" w:hAnsi="宋体" w:eastAsia="宋体" w:cs="宋体"/>
          <w:b/>
          <w:bCs/>
          <w:color w:val="auto"/>
          <w:sz w:val="24"/>
          <w:szCs w:val="24"/>
          <w:lang w:eastAsia="zh-CN"/>
        </w:rPr>
      </w:pPr>
      <w:r>
        <w:rPr>
          <w:rFonts w:hint="eastAsia" w:ascii="宋体" w:hAnsi="宋体" w:cs="宋体"/>
          <w:b/>
          <w:bCs/>
          <w:color w:val="auto"/>
          <w:sz w:val="24"/>
          <w:szCs w:val="24"/>
          <w:lang w:val="en-US" w:eastAsia="zh-CN"/>
        </w:rPr>
        <w:t>2、</w:t>
      </w:r>
      <w:r>
        <w:rPr>
          <w:rFonts w:hint="eastAsia" w:ascii="宋体" w:hAnsi="宋体" w:eastAsia="宋体" w:cs="宋体"/>
          <w:b/>
          <w:bCs/>
          <w:color w:val="auto"/>
          <w:sz w:val="24"/>
          <w:szCs w:val="24"/>
          <w:lang w:eastAsia="zh-CN"/>
        </w:rPr>
        <w:t>供餐模式：</w:t>
      </w:r>
    </w:p>
    <w:p w14:paraId="4873BCEF">
      <w:pPr>
        <w:pStyle w:val="13"/>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80"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就餐采取自助自选按实</w:t>
      </w:r>
      <w:r>
        <w:rPr>
          <w:rFonts w:hint="eastAsia" w:ascii="宋体" w:hAnsi="宋体" w:eastAsia="宋体" w:cs="宋体"/>
          <w:color w:val="auto"/>
          <w:sz w:val="24"/>
          <w:szCs w:val="24"/>
          <w:lang w:eastAsia="zh-CN"/>
        </w:rPr>
        <w:t>打卡结算</w:t>
      </w:r>
      <w:r>
        <w:rPr>
          <w:rFonts w:hint="eastAsia" w:ascii="宋体" w:hAnsi="宋体" w:eastAsia="宋体" w:cs="宋体"/>
          <w:color w:val="auto"/>
          <w:sz w:val="24"/>
          <w:szCs w:val="24"/>
          <w:lang w:val="en-US" w:eastAsia="zh-CN"/>
        </w:rPr>
        <w:t>模式</w:t>
      </w:r>
      <w:r>
        <w:rPr>
          <w:rFonts w:hint="eastAsia" w:ascii="宋体" w:hAnsi="宋体" w:eastAsia="宋体" w:cs="宋体"/>
          <w:b w:val="0"/>
          <w:bCs w:val="0"/>
          <w:color w:val="auto"/>
          <w:sz w:val="24"/>
          <w:szCs w:val="24"/>
          <w:lang w:val="en-US" w:eastAsia="zh-CN"/>
        </w:rPr>
        <w:t>。菜品价格控制在素</w:t>
      </w:r>
      <w:r>
        <w:rPr>
          <w:rFonts w:hint="eastAsia" w:ascii="宋体" w:hAnsi="宋体" w:eastAsia="宋体" w:cs="宋体"/>
          <w:b w:val="0"/>
          <w:bCs w:val="0"/>
          <w:color w:val="auto"/>
          <w:sz w:val="24"/>
          <w:szCs w:val="24"/>
          <w:lang w:eastAsia="zh-CN"/>
        </w:rPr>
        <w:t>菜类</w:t>
      </w:r>
      <w:r>
        <w:rPr>
          <w:rFonts w:hint="eastAsia" w:ascii="宋体" w:hAnsi="宋体" w:eastAsia="宋体" w:cs="宋体"/>
          <w:b w:val="0"/>
          <w:bCs w:val="0"/>
          <w:color w:val="auto"/>
          <w:sz w:val="24"/>
          <w:szCs w:val="24"/>
          <w:lang w:val="en-US" w:eastAsia="zh-CN"/>
        </w:rPr>
        <w:t>2-4元/只；荤菜类4-6元/只。</w:t>
      </w:r>
    </w:p>
    <w:p w14:paraId="29B4B373">
      <w:pPr>
        <w:keepNext w:val="0"/>
        <w:keepLines w:val="0"/>
        <w:pageBreakBefore w:val="0"/>
        <w:widowControl w:val="0"/>
        <w:kinsoku/>
        <w:wordWrap/>
        <w:overflowPunct/>
        <w:topLinePunct w:val="0"/>
        <w:bidi w:val="0"/>
        <w:snapToGrid/>
        <w:spacing w:line="288"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（四）运行模式</w:t>
      </w:r>
    </w:p>
    <w:p w14:paraId="796C32DD">
      <w:pPr>
        <w:keepNext w:val="0"/>
        <w:keepLines w:val="0"/>
        <w:pageBreakBefore w:val="0"/>
        <w:widowControl w:val="0"/>
        <w:kinsoku/>
        <w:wordWrap/>
        <w:overflowPunct/>
        <w:topLinePunct w:val="0"/>
        <w:bidi w:val="0"/>
        <w:snapToGrid/>
        <w:spacing w:line="288" w:lineRule="auto"/>
        <w:ind w:left="0" w:leftChars="0"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cs="宋体"/>
          <w:color w:val="auto"/>
          <w:sz w:val="24"/>
          <w:szCs w:val="24"/>
          <w:lang w:eastAsia="zh-CN"/>
        </w:rPr>
        <w:t>中标人</w:t>
      </w:r>
      <w:r>
        <w:rPr>
          <w:rFonts w:hint="eastAsia" w:ascii="宋体" w:hAnsi="宋体" w:eastAsia="宋体" w:cs="宋体"/>
          <w:color w:val="auto"/>
          <w:sz w:val="24"/>
          <w:szCs w:val="24"/>
        </w:rPr>
        <w:t>负责食堂人员管理</w:t>
      </w:r>
      <w:r>
        <w:rPr>
          <w:rFonts w:hint="eastAsia" w:ascii="宋体" w:hAnsi="宋体" w:eastAsia="宋体" w:cs="宋体"/>
          <w:color w:val="auto"/>
          <w:sz w:val="24"/>
          <w:szCs w:val="24"/>
          <w:lang w:eastAsia="zh-CN"/>
        </w:rPr>
        <w:t>和食材采购配送</w:t>
      </w:r>
      <w:r>
        <w:rPr>
          <w:rFonts w:hint="eastAsia" w:ascii="宋体" w:hAnsi="宋体" w:eastAsia="宋体" w:cs="宋体"/>
          <w:color w:val="auto"/>
          <w:sz w:val="24"/>
          <w:szCs w:val="24"/>
        </w:rPr>
        <w:t>：根据</w:t>
      </w:r>
      <w:r>
        <w:rPr>
          <w:rFonts w:hint="eastAsia" w:ascii="宋体" w:hAnsi="宋体" w:cs="宋体"/>
          <w:color w:val="auto"/>
          <w:sz w:val="24"/>
          <w:szCs w:val="24"/>
          <w:lang w:eastAsia="zh-CN"/>
        </w:rPr>
        <w:t>采购人</w:t>
      </w:r>
      <w:r>
        <w:rPr>
          <w:rFonts w:hint="eastAsia" w:ascii="宋体" w:hAnsi="宋体" w:eastAsia="宋体" w:cs="宋体"/>
          <w:color w:val="auto"/>
          <w:sz w:val="24"/>
          <w:szCs w:val="24"/>
        </w:rPr>
        <w:t>要求负责食堂菜单安排、原料订单采购、</w:t>
      </w:r>
      <w:r>
        <w:rPr>
          <w:rFonts w:hint="eastAsia" w:ascii="宋体" w:hAnsi="宋体" w:eastAsia="宋体" w:cs="宋体"/>
          <w:color w:val="auto"/>
          <w:sz w:val="24"/>
          <w:szCs w:val="24"/>
          <w:lang w:eastAsia="zh-CN"/>
        </w:rPr>
        <w:t>配送、</w:t>
      </w:r>
      <w:r>
        <w:rPr>
          <w:rFonts w:hint="eastAsia" w:ascii="宋体" w:hAnsi="宋体" w:eastAsia="宋体" w:cs="宋体"/>
          <w:color w:val="auto"/>
          <w:sz w:val="24"/>
          <w:szCs w:val="24"/>
        </w:rPr>
        <w:t>加工，以及对食堂的日常运行管理、食品卫生安全、人员管理和培训等一切食堂运行业务相关的管理和服务</w:t>
      </w:r>
      <w:r>
        <w:rPr>
          <w:rFonts w:hint="eastAsia" w:ascii="宋体" w:hAnsi="宋体" w:eastAsia="宋体" w:cs="宋体"/>
          <w:color w:val="auto"/>
          <w:sz w:val="24"/>
          <w:szCs w:val="24"/>
          <w:lang w:eastAsia="zh-CN"/>
        </w:rPr>
        <w:t>等</w:t>
      </w:r>
      <w:r>
        <w:rPr>
          <w:rFonts w:hint="eastAsia" w:ascii="宋体" w:hAnsi="宋体" w:eastAsia="宋体" w:cs="宋体"/>
          <w:color w:val="auto"/>
          <w:sz w:val="24"/>
          <w:szCs w:val="24"/>
        </w:rPr>
        <w:t>。</w:t>
      </w:r>
    </w:p>
    <w:p w14:paraId="7EDA2ED2">
      <w:pPr>
        <w:keepNext w:val="0"/>
        <w:keepLines w:val="0"/>
        <w:pageBreakBefore w:val="0"/>
        <w:widowControl w:val="0"/>
        <w:kinsoku/>
        <w:wordWrap/>
        <w:overflowPunct/>
        <w:topLinePunct w:val="0"/>
        <w:bidi w:val="0"/>
        <w:snapToGrid/>
        <w:spacing w:line="288" w:lineRule="auto"/>
        <w:ind w:left="0" w:leftChars="0"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cs="宋体"/>
          <w:color w:val="auto"/>
          <w:sz w:val="24"/>
          <w:szCs w:val="24"/>
          <w:lang w:eastAsia="zh-CN"/>
        </w:rPr>
        <w:t>采购人</w:t>
      </w:r>
      <w:r>
        <w:rPr>
          <w:rFonts w:hint="eastAsia" w:ascii="宋体" w:hAnsi="宋体" w:eastAsia="宋体" w:cs="宋体"/>
          <w:color w:val="auto"/>
          <w:sz w:val="24"/>
          <w:szCs w:val="24"/>
        </w:rPr>
        <w:t>负责食堂运行的监管、检查和考核、菜价定价</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做好食堂的水、电、气以及按食品安全操作规范必要设备设施配置和维修等食堂保障。</w:t>
      </w:r>
    </w:p>
    <w:p w14:paraId="275F7293">
      <w:pPr>
        <w:pStyle w:val="20"/>
        <w:keepNext w:val="0"/>
        <w:keepLines w:val="0"/>
        <w:pageBreakBefore w:val="0"/>
        <w:widowControl w:val="0"/>
        <w:numPr>
          <w:ilvl w:val="0"/>
          <w:numId w:val="0"/>
        </w:numPr>
        <w:kinsoku/>
        <w:wordWrap/>
        <w:overflowPunct/>
        <w:topLinePunct w:val="0"/>
        <w:autoSpaceDE/>
        <w:autoSpaceDN/>
        <w:bidi w:val="0"/>
        <w:adjustRightInd w:val="0"/>
        <w:snapToGrid/>
        <w:spacing w:after="0" w:line="288" w:lineRule="auto"/>
        <w:ind w:left="0" w:leftChars="0" w:firstLine="480" w:firstLineChars="200"/>
        <w:jc w:val="lef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、一般节假日加班的，加班费不另外补贴；遇“响应”等特殊情况需较长时间的，则算加班费。未尽事宜，双方协商</w:t>
      </w:r>
      <w:r>
        <w:rPr>
          <w:rFonts w:hint="eastAsia" w:ascii="宋体" w:hAnsi="宋体" w:eastAsia="宋体" w:cs="宋体"/>
          <w:color w:val="auto"/>
          <w:sz w:val="24"/>
          <w:szCs w:val="24"/>
          <w:highlight w:val="none"/>
          <w:lang w:eastAsia="zh-CN"/>
        </w:rPr>
        <w:t>。</w:t>
      </w:r>
    </w:p>
    <w:p w14:paraId="13E995EE">
      <w:pPr>
        <w:keepNext w:val="0"/>
        <w:keepLines w:val="0"/>
        <w:pageBreakBefore w:val="0"/>
        <w:widowControl w:val="0"/>
        <w:kinsoku/>
        <w:wordWrap/>
        <w:overflowPunct/>
        <w:topLinePunct w:val="0"/>
        <w:bidi w:val="0"/>
        <w:adjustRightInd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具体要求</w:t>
      </w:r>
    </w:p>
    <w:p w14:paraId="3BC0E343">
      <w:pPr>
        <w:keepNext w:val="0"/>
        <w:keepLines w:val="0"/>
        <w:pageBreakBefore w:val="0"/>
        <w:widowControl w:val="0"/>
        <w:kinsoku/>
        <w:wordWrap/>
        <w:overflowPunct/>
        <w:topLinePunct w:val="0"/>
        <w:autoSpaceDE/>
        <w:autoSpaceDN/>
        <w:bidi w:val="0"/>
        <w:adjustRightInd w:val="0"/>
        <w:snapToGrid/>
        <w:spacing w:line="288" w:lineRule="auto"/>
        <w:ind w:left="0" w:leftChars="0"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采购单位负责</w:t>
      </w:r>
      <w:r>
        <w:rPr>
          <w:rFonts w:hint="eastAsia" w:ascii="宋体" w:hAnsi="宋体" w:eastAsia="宋体" w:cs="宋体"/>
          <w:color w:val="auto"/>
          <w:sz w:val="24"/>
          <w:szCs w:val="24"/>
          <w:highlight w:val="none"/>
          <w:lang w:eastAsia="zh-CN"/>
        </w:rPr>
        <w:t>对中标单位</w:t>
      </w:r>
      <w:r>
        <w:rPr>
          <w:rFonts w:hint="eastAsia" w:ascii="宋体" w:hAnsi="宋体" w:eastAsia="宋体" w:cs="宋体"/>
          <w:color w:val="auto"/>
          <w:sz w:val="24"/>
          <w:szCs w:val="24"/>
          <w:highlight w:val="none"/>
        </w:rPr>
        <w:t>食堂运行的监管、检查和考核、菜价定价的审核</w:t>
      </w:r>
      <w:r>
        <w:rPr>
          <w:rFonts w:hint="eastAsia" w:ascii="宋体" w:hAnsi="宋体" w:eastAsia="宋体" w:cs="宋体"/>
          <w:color w:val="auto"/>
          <w:sz w:val="24"/>
          <w:szCs w:val="24"/>
          <w:highlight w:val="none"/>
          <w:lang w:eastAsia="zh-CN"/>
        </w:rPr>
        <w:t>。</w:t>
      </w:r>
    </w:p>
    <w:p w14:paraId="7AF91C70">
      <w:pPr>
        <w:keepNext w:val="0"/>
        <w:keepLines w:val="0"/>
        <w:pageBreakBefore w:val="0"/>
        <w:widowControl w:val="0"/>
        <w:kinsoku/>
        <w:wordWrap/>
        <w:overflowPunct/>
        <w:topLinePunct w:val="0"/>
        <w:bidi w:val="0"/>
        <w:adjustRightInd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中标单位</w:t>
      </w:r>
      <w:r>
        <w:rPr>
          <w:rFonts w:hint="eastAsia" w:ascii="宋体" w:hAnsi="宋体" w:eastAsia="宋体" w:cs="宋体"/>
          <w:color w:val="auto"/>
          <w:sz w:val="24"/>
          <w:szCs w:val="24"/>
          <w:highlight w:val="none"/>
        </w:rPr>
        <w:t>负责食堂人员和运行管理</w:t>
      </w:r>
      <w:r>
        <w:rPr>
          <w:rFonts w:hint="eastAsia" w:ascii="宋体" w:hAnsi="宋体" w:eastAsia="宋体" w:cs="宋体"/>
          <w:color w:val="auto"/>
          <w:sz w:val="24"/>
          <w:szCs w:val="24"/>
          <w:highlight w:val="none"/>
          <w:lang w:eastAsia="zh-CN"/>
        </w:rPr>
        <w:t>以及原材料的采购配送。</w:t>
      </w: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采购单位</w:t>
      </w:r>
      <w:r>
        <w:rPr>
          <w:rFonts w:hint="eastAsia" w:ascii="宋体" w:hAnsi="宋体" w:eastAsia="宋体" w:cs="宋体"/>
          <w:color w:val="auto"/>
          <w:sz w:val="24"/>
          <w:szCs w:val="24"/>
          <w:highlight w:val="none"/>
        </w:rPr>
        <w:t>要求负责食堂菜单安排、原料订单采购、加工，以及对食堂的日常运行管理、食品卫生安全、人员管理和培训等一切食堂运行业务相关的管理和服务，以及食堂的收支管理</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。负责包厢、窗口、大厅等各项服务；负责食堂每天生产的垃圾处理以及食堂区域内的安全、卫生保洁等工作。</w:t>
      </w:r>
    </w:p>
    <w:p w14:paraId="07C3696E">
      <w:pPr>
        <w:pStyle w:val="19"/>
        <w:keepNext w:val="0"/>
        <w:keepLines w:val="0"/>
        <w:pageBreakBefore w:val="0"/>
        <w:widowControl w:val="0"/>
        <w:kinsoku/>
        <w:wordWrap/>
        <w:overflowPunct/>
        <w:topLinePunct w:val="0"/>
        <w:bidi w:val="0"/>
        <w:adjustRightInd w:val="0"/>
        <w:snapToGrid/>
        <w:spacing w:after="0" w:afterLines="0"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）采购单位</w:t>
      </w:r>
      <w:r>
        <w:rPr>
          <w:rFonts w:hint="eastAsia" w:ascii="宋体" w:hAnsi="宋体" w:eastAsia="宋体" w:cs="宋体"/>
          <w:color w:val="auto"/>
          <w:sz w:val="24"/>
          <w:szCs w:val="24"/>
          <w:highlight w:val="none"/>
        </w:rPr>
        <w:t>负责做好食堂的水、电、气以及按食品安全操作规范必要设备设施配置和维修等食堂保障。</w:t>
      </w:r>
    </w:p>
    <w:p w14:paraId="19D10D22">
      <w:pPr>
        <w:pStyle w:val="19"/>
        <w:keepNext w:val="0"/>
        <w:keepLines w:val="0"/>
        <w:pageBreakBefore w:val="0"/>
        <w:widowControl w:val="0"/>
        <w:kinsoku/>
        <w:wordWrap/>
        <w:overflowPunct/>
        <w:topLinePunct w:val="0"/>
        <w:bidi w:val="0"/>
        <w:adjustRightInd w:val="0"/>
        <w:snapToGrid/>
        <w:spacing w:after="0" w:afterLines="0" w:line="288"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）食堂内部超市委托</w:t>
      </w:r>
      <w:r>
        <w:rPr>
          <w:rFonts w:hint="eastAsia" w:ascii="宋体" w:hAnsi="宋体" w:eastAsia="宋体" w:cs="宋体"/>
          <w:color w:val="auto"/>
          <w:sz w:val="24"/>
          <w:szCs w:val="24"/>
          <w:highlight w:val="none"/>
          <w:lang w:val="en-US" w:eastAsia="zh-CN"/>
        </w:rPr>
        <w:t>中标单位</w:t>
      </w:r>
      <w:r>
        <w:rPr>
          <w:rFonts w:hint="eastAsia" w:ascii="宋体" w:hAnsi="宋体" w:eastAsia="宋体" w:cs="宋体"/>
          <w:color w:val="auto"/>
          <w:sz w:val="24"/>
          <w:szCs w:val="24"/>
          <w:highlight w:val="none"/>
          <w:lang w:eastAsia="zh-CN"/>
        </w:rPr>
        <w:t>管理服务，</w:t>
      </w:r>
      <w:r>
        <w:rPr>
          <w:rFonts w:hint="eastAsia" w:ascii="宋体" w:hAnsi="宋体" w:eastAsia="宋体" w:cs="宋体"/>
          <w:color w:val="auto"/>
          <w:sz w:val="24"/>
          <w:szCs w:val="24"/>
          <w:highlight w:val="none"/>
          <w:lang w:val="en-US" w:eastAsia="zh-CN"/>
        </w:rPr>
        <w:t>中标单位</w:t>
      </w:r>
      <w:r>
        <w:rPr>
          <w:rFonts w:hint="eastAsia" w:ascii="宋体" w:hAnsi="宋体" w:eastAsia="宋体" w:cs="宋体"/>
          <w:color w:val="auto"/>
          <w:sz w:val="24"/>
          <w:szCs w:val="24"/>
          <w:highlight w:val="none"/>
        </w:rPr>
        <w:t>供应的商品价格随行就市</w:t>
      </w:r>
      <w:r>
        <w:rPr>
          <w:rFonts w:hint="eastAsia" w:ascii="宋体" w:hAnsi="宋体" w:eastAsia="宋体" w:cs="宋体"/>
          <w:color w:val="auto"/>
          <w:sz w:val="24"/>
          <w:szCs w:val="24"/>
          <w:highlight w:val="none"/>
          <w:lang w:eastAsia="zh-CN"/>
        </w:rPr>
        <w:t>，价格不得高于大型超市同类商品（促销或搞活动的商品除外）</w:t>
      </w:r>
      <w:r>
        <w:rPr>
          <w:rFonts w:hint="eastAsia" w:ascii="宋体" w:hAnsi="宋体" w:eastAsia="宋体" w:cs="宋体"/>
          <w:color w:val="auto"/>
          <w:sz w:val="24"/>
          <w:szCs w:val="24"/>
          <w:highlight w:val="none"/>
        </w:rPr>
        <w:t>。</w:t>
      </w:r>
    </w:p>
    <w:p w14:paraId="0145E608">
      <w:pPr>
        <w:keepNext w:val="0"/>
        <w:keepLines w:val="0"/>
        <w:pageBreakBefore w:val="0"/>
        <w:widowControl w:val="0"/>
        <w:kinsoku/>
        <w:wordWrap/>
        <w:overflowPunct/>
        <w:topLinePunct w:val="0"/>
        <w:bidi w:val="0"/>
        <w:adjustRightInd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合同期限与纠纷处理</w:t>
      </w:r>
    </w:p>
    <w:p w14:paraId="16FE2EA3">
      <w:pPr>
        <w:keepNext w:val="0"/>
        <w:keepLines w:val="0"/>
        <w:pageBreakBefore w:val="0"/>
        <w:widowControl w:val="0"/>
        <w:kinsoku/>
        <w:wordWrap/>
        <w:overflowPunct/>
        <w:topLinePunct w:val="0"/>
        <w:bidi w:val="0"/>
        <w:adjustRightInd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合同期限为自签订合同之日起</w:t>
      </w: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年。中标单位</w:t>
      </w:r>
      <w:r>
        <w:rPr>
          <w:rFonts w:hint="eastAsia" w:ascii="宋体" w:hAnsi="宋体" w:eastAsia="宋体" w:cs="宋体"/>
          <w:color w:val="auto"/>
          <w:sz w:val="24"/>
          <w:szCs w:val="24"/>
          <w:highlight w:val="none"/>
          <w:lang w:val="en-US" w:eastAsia="zh-CN"/>
        </w:rPr>
        <w:t>应</w:t>
      </w:r>
      <w:r>
        <w:rPr>
          <w:rFonts w:hint="eastAsia" w:ascii="宋体" w:hAnsi="宋体" w:eastAsia="宋体" w:cs="宋体"/>
          <w:color w:val="auto"/>
          <w:sz w:val="24"/>
          <w:szCs w:val="24"/>
          <w:highlight w:val="none"/>
        </w:rPr>
        <w:t>认真履行合同，若中标单位未能达到履约要求，则采购单位有权随时解除本合同，合同因此解除的，中标单位应按一年合同金额的20%向采购单位支付违约金及赔偿因此给采购单位造成的全部损失。</w:t>
      </w:r>
    </w:p>
    <w:p w14:paraId="339E36D1">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若在合同期内，中标单位未经采购单位同意，无正当理由要求解除合同的，采购单位扣除一个</w:t>
      </w:r>
      <w:r>
        <w:rPr>
          <w:rFonts w:hint="eastAsia" w:ascii="宋体" w:hAnsi="宋体" w:cs="宋体"/>
          <w:color w:val="auto"/>
          <w:sz w:val="24"/>
          <w:szCs w:val="24"/>
          <w:highlight w:val="none"/>
          <w:lang w:val="en-US" w:eastAsia="zh-CN"/>
        </w:rPr>
        <w:t>月度</w:t>
      </w:r>
      <w:r>
        <w:rPr>
          <w:rFonts w:hint="eastAsia" w:ascii="宋体" w:hAnsi="宋体" w:eastAsia="宋体" w:cs="宋体"/>
          <w:color w:val="auto"/>
          <w:sz w:val="24"/>
          <w:szCs w:val="24"/>
          <w:highlight w:val="none"/>
        </w:rPr>
        <w:t>服务费，且中标单位应向采购单位承担一年合同金额20%的违约金，并采购单位有权要求中标单位赔偿其因此遭受的全部损失。采购单位在合同期内，无正当理由不得解除合同，如解除合同的承担一年合同</w:t>
      </w:r>
      <w:r>
        <w:rPr>
          <w:rFonts w:hint="eastAsia" w:ascii="宋体" w:hAnsi="宋体" w:eastAsia="宋体" w:cs="宋体"/>
          <w:color w:val="auto"/>
          <w:sz w:val="24"/>
          <w:szCs w:val="24"/>
          <w:highlight w:val="none"/>
          <w:lang w:val="en-US" w:eastAsia="zh-CN"/>
        </w:rPr>
        <w:t>金</w:t>
      </w:r>
      <w:r>
        <w:rPr>
          <w:rFonts w:hint="eastAsia" w:ascii="宋体" w:hAnsi="宋体" w:eastAsia="宋体" w:cs="宋体"/>
          <w:color w:val="auto"/>
          <w:sz w:val="24"/>
          <w:szCs w:val="24"/>
          <w:highlight w:val="none"/>
        </w:rPr>
        <w:t>额20%的违约金。其他纠纷事项由双方协商解决，未能协商解决的通过绍兴仲裁委员会诸暨分会解决。</w:t>
      </w:r>
    </w:p>
    <w:p w14:paraId="0F823257">
      <w:pPr>
        <w:keepNext w:val="0"/>
        <w:keepLines w:val="0"/>
        <w:pageBreakBefore w:val="0"/>
        <w:widowControl w:val="0"/>
        <w:kinsoku/>
        <w:wordWrap/>
        <w:overflowPunct/>
        <w:topLinePunct w:val="0"/>
        <w:bidi w:val="0"/>
        <w:snapToGrid/>
        <w:spacing w:line="288"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五</w:t>
      </w:r>
      <w:r>
        <w:rPr>
          <w:rFonts w:hint="eastAsia" w:ascii="宋体" w:hAnsi="宋体" w:eastAsia="宋体" w:cs="宋体"/>
          <w:b/>
          <w:color w:val="auto"/>
          <w:sz w:val="24"/>
          <w:szCs w:val="24"/>
          <w:highlight w:val="none"/>
        </w:rPr>
        <w:t>）双方职责</w:t>
      </w:r>
    </w:p>
    <w:p w14:paraId="68964BD2">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中标单位服务要求</w:t>
      </w:r>
    </w:p>
    <w:p w14:paraId="4FB040FE">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（1）中标单位不得以任何理由将劳务合同转包给他人，并能按双方签订的合同要求，保质保量做好早餐、中餐、晚餐、包厢公务接待以及招标单位临时活动所需的增餐服务等工作。</w:t>
      </w:r>
    </w:p>
    <w:p w14:paraId="5C822202">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（2）中标单位应自觉遵守采购单位食堂的有关规章制度，并服从采购单位的监督和管理。</w:t>
      </w:r>
    </w:p>
    <w:p w14:paraId="502BF3AC">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（3）中标单位应保证正常工作所需的各类人员，确保食堂安全有序正常运行。</w:t>
      </w:r>
    </w:p>
    <w:p w14:paraId="2422C2C1">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（4）中标单位应对食堂设施设备进行日常保养，人为造成损坏按原价赔偿或更换。需要添置或更新设备、用品，必须提前提出申请，由采购单位视实际情况决定，中标单位不得以任何理由停止工作。</w:t>
      </w:r>
    </w:p>
    <w:p w14:paraId="1CCFECE5">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（5）中标单位须有完善的管理机构、员工考核办法、安全卫生管理制度与应急预防方案，流程清晰，职责明确。有服务优先的管理理念与明确的服务定位和目标方案。</w:t>
      </w:r>
    </w:p>
    <w:p w14:paraId="58F86D41">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（6）中标单位应对劳务人员进行有效管理，并按《</w:t>
      </w:r>
      <w:r>
        <w:rPr>
          <w:rFonts w:hint="eastAsia" w:ascii="宋体" w:hAnsi="宋体" w:eastAsia="宋体" w:cs="宋体"/>
          <w:color w:val="auto"/>
          <w:sz w:val="24"/>
          <w:szCs w:val="24"/>
          <w:highlight w:val="none"/>
          <w:lang w:val="en-US" w:eastAsia="zh-CN"/>
        </w:rPr>
        <w:t>中华人民共和国</w:t>
      </w:r>
      <w:r>
        <w:rPr>
          <w:rFonts w:hint="eastAsia" w:ascii="宋体" w:hAnsi="宋体" w:eastAsia="宋体" w:cs="宋体"/>
          <w:color w:val="auto"/>
          <w:sz w:val="24"/>
          <w:szCs w:val="24"/>
          <w:highlight w:val="none"/>
        </w:rPr>
        <w:t>劳动合同法》要求对劳务人员进行培训、体检，缴纳“五险一金”等，若发生劳动争议或工伤事故时，均由中标单位负责处理解决并承担全部责任，与采购单位无关。</w:t>
      </w:r>
    </w:p>
    <w:p w14:paraId="05D0C3B7">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（7）中标后实际提供的服务团队要符合投标文件及招标文件要求。在履行期间无特殊情况，主要服务团队人员（厨师长、厨师、面点师）不能自行更换，如变动要事先征得采购单位食堂管理人员</w:t>
      </w:r>
      <w:r>
        <w:rPr>
          <w:rFonts w:hint="eastAsia" w:ascii="宋体" w:hAnsi="宋体" w:eastAsia="宋体" w:cs="宋体"/>
          <w:color w:val="auto"/>
          <w:sz w:val="24"/>
          <w:szCs w:val="24"/>
          <w:highlight w:val="none"/>
          <w:lang w:val="en-US" w:eastAsia="zh-CN"/>
        </w:rPr>
        <w:t>书面</w:t>
      </w:r>
      <w:r>
        <w:rPr>
          <w:rFonts w:hint="eastAsia" w:ascii="宋体" w:hAnsi="宋体" w:eastAsia="宋体" w:cs="宋体"/>
          <w:color w:val="auto"/>
          <w:sz w:val="24"/>
          <w:szCs w:val="24"/>
          <w:highlight w:val="none"/>
        </w:rPr>
        <w:t>同意后方可调整，更换的人员必须与投标文件和招标文件同等资质和要求。若擅自更换服务团队的主要技术人员或减少必要的劳务人员，由此影响工作，采购单位有权扣除当月10%服务费，若未能及时落实采购单位意见的可以解除合同，违约责任及由此造成的损失由投标单位承担赔偿。</w:t>
      </w:r>
    </w:p>
    <w:p w14:paraId="09B534B5">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2、采购单位权利及义务</w:t>
      </w:r>
    </w:p>
    <w:p w14:paraId="21B68E1E">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（1）采购单位负责提供食堂所需的用房与水、电、气等，并负责做好食堂有关硬件设施的配备和日常维修工作，费用由采购单位负责。</w:t>
      </w:r>
    </w:p>
    <w:p w14:paraId="4B838EC9">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（2）采购单位有权对中标单位任何指派人员进行必要的监管，在正当理由下，有权向中标单位提出更换指派人员（包括厨师长、厨师、面点师、帮工）的要求。</w:t>
      </w:r>
    </w:p>
    <w:p w14:paraId="611E3E31">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（3）采购单位根据每</w:t>
      </w:r>
      <w:r>
        <w:rPr>
          <w:rFonts w:hint="eastAsia" w:ascii="宋体" w:hAnsi="宋体" w:cs="宋体"/>
          <w:color w:val="auto"/>
          <w:sz w:val="24"/>
          <w:szCs w:val="24"/>
          <w:highlight w:val="none"/>
          <w:lang w:eastAsia="zh-CN"/>
        </w:rPr>
        <w:t>月度</w:t>
      </w:r>
      <w:r>
        <w:rPr>
          <w:rFonts w:hint="eastAsia" w:ascii="宋体" w:hAnsi="宋体" w:eastAsia="宋体" w:cs="宋体"/>
          <w:color w:val="auto"/>
          <w:sz w:val="24"/>
          <w:szCs w:val="24"/>
          <w:highlight w:val="none"/>
        </w:rPr>
        <w:t>实际考核结果，按季向中标单位支付</w:t>
      </w:r>
      <w:r>
        <w:rPr>
          <w:rFonts w:hint="eastAsia" w:ascii="宋体" w:hAnsi="宋体" w:eastAsia="宋体" w:cs="宋体"/>
          <w:color w:val="auto"/>
          <w:sz w:val="24"/>
          <w:szCs w:val="24"/>
          <w:highlight w:val="none"/>
          <w:lang w:val="en-US" w:eastAsia="zh-CN"/>
        </w:rPr>
        <w:t>食堂劳务托管</w:t>
      </w:r>
      <w:r>
        <w:rPr>
          <w:rFonts w:hint="eastAsia" w:ascii="宋体" w:hAnsi="宋体" w:eastAsia="宋体" w:cs="宋体"/>
          <w:color w:val="auto"/>
          <w:sz w:val="24"/>
          <w:szCs w:val="24"/>
          <w:highlight w:val="none"/>
        </w:rPr>
        <w:t>服务费，无特殊情况，在次</w:t>
      </w:r>
      <w:r>
        <w:rPr>
          <w:rFonts w:hint="eastAsia" w:ascii="宋体" w:hAnsi="宋体" w:cs="宋体"/>
          <w:color w:val="auto"/>
          <w:sz w:val="24"/>
          <w:szCs w:val="24"/>
          <w:highlight w:val="none"/>
          <w:lang w:eastAsia="zh-CN"/>
        </w:rPr>
        <w:t>月度</w:t>
      </w:r>
      <w:r>
        <w:rPr>
          <w:rFonts w:hint="eastAsia" w:ascii="宋体" w:hAnsi="宋体" w:eastAsia="宋体" w:cs="宋体"/>
          <w:color w:val="auto"/>
          <w:sz w:val="24"/>
          <w:szCs w:val="24"/>
          <w:highlight w:val="none"/>
        </w:rPr>
        <w:t>第一个月15日前支付上</w:t>
      </w:r>
      <w:r>
        <w:rPr>
          <w:rFonts w:hint="eastAsia" w:ascii="宋体" w:hAnsi="宋体" w:cs="宋体"/>
          <w:color w:val="auto"/>
          <w:sz w:val="24"/>
          <w:szCs w:val="24"/>
          <w:highlight w:val="none"/>
          <w:lang w:eastAsia="zh-CN"/>
        </w:rPr>
        <w:t>月度</w:t>
      </w:r>
      <w:r>
        <w:rPr>
          <w:rFonts w:hint="eastAsia" w:ascii="宋体" w:hAnsi="宋体" w:eastAsia="宋体" w:cs="宋体"/>
          <w:color w:val="auto"/>
          <w:sz w:val="24"/>
          <w:szCs w:val="24"/>
          <w:highlight w:val="none"/>
          <w:lang w:val="en-US" w:eastAsia="zh-CN"/>
        </w:rPr>
        <w:t>食堂劳务托管</w:t>
      </w:r>
      <w:r>
        <w:rPr>
          <w:rFonts w:hint="eastAsia" w:ascii="宋体" w:hAnsi="宋体" w:eastAsia="宋体" w:cs="宋体"/>
          <w:color w:val="auto"/>
          <w:sz w:val="24"/>
          <w:szCs w:val="24"/>
          <w:highlight w:val="none"/>
        </w:rPr>
        <w:t>服务费用。</w:t>
      </w:r>
      <w:r>
        <w:rPr>
          <w:rFonts w:hint="eastAsia" w:ascii="宋体" w:hAnsi="宋体" w:eastAsia="宋体" w:cs="宋体"/>
          <w:color w:val="auto"/>
          <w:sz w:val="24"/>
          <w:szCs w:val="24"/>
          <w:highlight w:val="none"/>
          <w:lang w:eastAsia="zh-CN"/>
        </w:rPr>
        <w:t>食堂原材料</w:t>
      </w:r>
      <w:r>
        <w:rPr>
          <w:rFonts w:hint="eastAsia" w:ascii="宋体" w:hAnsi="宋体" w:eastAsia="宋体" w:cs="宋体"/>
          <w:color w:val="auto"/>
          <w:sz w:val="24"/>
          <w:szCs w:val="24"/>
          <w:highlight w:val="none"/>
          <w:lang w:val="en-US" w:eastAsia="zh-CN"/>
        </w:rPr>
        <w:t>和超市货品部分按月支付，在次月</w:t>
      </w:r>
      <w:r>
        <w:rPr>
          <w:rFonts w:hint="eastAsia" w:ascii="宋体" w:hAnsi="宋体" w:eastAsia="宋体" w:cs="宋体"/>
          <w:color w:val="auto"/>
          <w:sz w:val="24"/>
          <w:szCs w:val="24"/>
          <w:highlight w:val="none"/>
        </w:rPr>
        <w:t>支付上月</w:t>
      </w:r>
      <w:r>
        <w:rPr>
          <w:rFonts w:hint="eastAsia" w:ascii="宋体" w:hAnsi="宋体" w:eastAsia="宋体" w:cs="宋体"/>
          <w:color w:val="auto"/>
          <w:sz w:val="24"/>
          <w:szCs w:val="24"/>
          <w:highlight w:val="none"/>
          <w:lang w:eastAsia="zh-CN"/>
        </w:rPr>
        <w:t>食材原料费</w:t>
      </w:r>
      <w:r>
        <w:rPr>
          <w:rFonts w:hint="eastAsia" w:ascii="宋体" w:hAnsi="宋体" w:eastAsia="宋体" w:cs="宋体"/>
          <w:color w:val="auto"/>
          <w:sz w:val="24"/>
          <w:szCs w:val="24"/>
          <w:highlight w:val="none"/>
          <w:lang w:val="en-US" w:eastAsia="zh-CN"/>
        </w:rPr>
        <w:t>和超市货品费。</w:t>
      </w:r>
    </w:p>
    <w:p w14:paraId="599CECF9">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3、中标单位权利及义务</w:t>
      </w:r>
    </w:p>
    <w:p w14:paraId="15609858">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（1）应在周四前制定好下一周的菜单，交采购单位食堂管理人员确认。同时公务接待餐要根据用餐人数和要求，及时提供菜单及原材料品种、数量等。</w:t>
      </w:r>
    </w:p>
    <w:p w14:paraId="09818A77">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（2）中标单位人为造成原材料浪费，按原值的2倍赔偿，发现个人私拿原材料等物品或做人情的，按原值的5倍赔偿，将在当月的服务费中扣除。</w:t>
      </w:r>
    </w:p>
    <w:p w14:paraId="6B57C24D">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（3）应确定一名具有较好管理水平和沟通能力的负责人，指派技艺与素质较好的厨师与面点师等相关人员。其中窗口服务员要求品貌端正，具有初中及以上文化。</w:t>
      </w:r>
    </w:p>
    <w:p w14:paraId="7A0F5E09">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（4）应对指派人员经常进行培训、教育，做到操作规范，文明礼貌，热情周到，优质服务。并要统一规范着装与持证上岗。</w:t>
      </w:r>
    </w:p>
    <w:p w14:paraId="34D05340">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（6）应想方设法提高餐饮服务质量，注重菜肴的色、香、味、美、鲜，做到品种多样化，对干部提出的合理要求与建议意见要及时改进，确保服务满意度在85%以上。</w:t>
      </w:r>
    </w:p>
    <w:p w14:paraId="0D5F65D0">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（7）应自觉接受采购单位和食品</w:t>
      </w:r>
      <w:r>
        <w:rPr>
          <w:rFonts w:hint="eastAsia" w:ascii="宋体" w:hAnsi="宋体" w:eastAsia="宋体" w:cs="宋体"/>
          <w:color w:val="auto"/>
          <w:sz w:val="24"/>
          <w:szCs w:val="24"/>
          <w:highlight w:val="none"/>
          <w:lang w:eastAsia="zh-CN"/>
        </w:rPr>
        <w:t>安全监管</w:t>
      </w:r>
      <w:r>
        <w:rPr>
          <w:rFonts w:hint="eastAsia" w:ascii="宋体" w:hAnsi="宋体" w:eastAsia="宋体" w:cs="宋体"/>
          <w:color w:val="auto"/>
          <w:sz w:val="24"/>
          <w:szCs w:val="24"/>
          <w:highlight w:val="none"/>
        </w:rPr>
        <w:t>等职能部门的监督检查。加强对食品卫生的管理，确保食品安全无事故。若因派遣人员工作失误或派遣单位管理不力，发生食品安全事故，由此造成的经济损失与责任，均由中标单位负责赔偿与承担。</w:t>
      </w:r>
    </w:p>
    <w:p w14:paraId="5CB7DD9B">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（8）应严格按照食堂“五常法”管理的要求，认真做好厨具、餐具的消毒工作，对食堂所辖的环境卫生做到每日打扫、一周一大扫，实行定岗、定位实时保洁。</w:t>
      </w:r>
    </w:p>
    <w:p w14:paraId="544A361C">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（9）应落实一名专业人员对采购食材和菜品新鲜，保证安全、卫生管理，严禁剩菜或变质食品上餐桌。</w:t>
      </w:r>
    </w:p>
    <w:p w14:paraId="10F666B2">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（10）应按餐饮行业有关规定和采购单位要求，做好用电、用水、用火、用气安全教育工作，预防发生此类事故，若人为原因造成损失将由中标单位承担并赔偿。</w:t>
      </w:r>
    </w:p>
    <w:p w14:paraId="5EA8CC1C">
      <w:pPr>
        <w:pStyle w:val="7"/>
        <w:keepNext w:val="0"/>
        <w:keepLines w:val="0"/>
        <w:pageBreakBefore w:val="0"/>
        <w:widowControl w:val="0"/>
        <w:kinsoku/>
        <w:wordWrap/>
        <w:overflowPunct/>
        <w:topLinePunct w:val="0"/>
        <w:bidi w:val="0"/>
        <w:snapToGrid/>
        <w:spacing w:line="288" w:lineRule="auto"/>
        <w:ind w:left="0" w:leftChars="0" w:firstLine="482" w:firstLineChars="200"/>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考核</w:t>
      </w:r>
      <w:r>
        <w:rPr>
          <w:rFonts w:hint="eastAsia" w:ascii="宋体" w:hAnsi="宋体" w:eastAsia="宋体" w:cs="宋体"/>
          <w:b/>
          <w:bCs/>
          <w:color w:val="auto"/>
          <w:sz w:val="24"/>
          <w:szCs w:val="24"/>
          <w:highlight w:val="none"/>
          <w:lang w:val="en-US" w:eastAsia="zh-CN"/>
        </w:rPr>
        <w:t>要求</w:t>
      </w:r>
    </w:p>
    <w:p w14:paraId="095C901E">
      <w:pPr>
        <w:pStyle w:val="7"/>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本考核采用百分制，每月考核一次，并按以下原则评定考核等级：</w:t>
      </w:r>
    </w:p>
    <w:p w14:paraId="3660204F">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考核分高于90分(含)视为优秀，全额拨付当期食堂管理服务费用。</w:t>
      </w:r>
    </w:p>
    <w:p w14:paraId="6DC386B5">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考核分高于85分(含)但低于90分(不含)视为良好，扣除当期食堂管理服务费用的2%。</w:t>
      </w:r>
    </w:p>
    <w:p w14:paraId="3808FF08">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考核分高于80分(含)但低于85分(不含)视为合格，扣除当期食堂管理服务费用的5%。</w:t>
      </w:r>
    </w:p>
    <w:p w14:paraId="270D978F">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考核分低于80分(不含)视为不合格，扣除当期食堂管理服务费用的10%。连续两个月低于80分，根据合同相关条款，采购人有权单方面与服务单位终止服务合同。</w:t>
      </w:r>
    </w:p>
    <w:p w14:paraId="238DBB7D">
      <w:pPr>
        <w:pStyle w:val="7"/>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中标单位如有以下情形之一的，当月考核直接认定为不合格：</w:t>
      </w:r>
    </w:p>
    <w:p w14:paraId="41ECFEF7">
      <w:pPr>
        <w:pStyle w:val="7"/>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中标单位无正当理由未按规定配足工作人员，经采购人督促后，一周内仍未按照标准配备到位的。</w:t>
      </w:r>
    </w:p>
    <w:p w14:paraId="34E4E47C">
      <w:pPr>
        <w:pStyle w:val="7"/>
        <w:keepNext w:val="0"/>
        <w:keepLines w:val="0"/>
        <w:pageBreakBefore w:val="0"/>
        <w:widowControl w:val="0"/>
        <w:numPr>
          <w:ilvl w:val="0"/>
          <w:numId w:val="0"/>
        </w:numPr>
        <w:kinsoku/>
        <w:wordWrap/>
        <w:overflowPunct/>
        <w:topLinePunct w:val="0"/>
        <w:autoSpaceDE w:val="0"/>
        <w:autoSpaceDN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中标单位工作人员因故缺岗，应及时安排补缺，当月被发现工作人员缺岗2次以上的。</w:t>
      </w:r>
    </w:p>
    <w:p w14:paraId="72F234AC">
      <w:pPr>
        <w:pStyle w:val="7"/>
        <w:keepNext w:val="0"/>
        <w:keepLines w:val="0"/>
        <w:pageBreakBefore w:val="0"/>
        <w:widowControl w:val="0"/>
        <w:numPr>
          <w:ilvl w:val="0"/>
          <w:numId w:val="0"/>
        </w:numPr>
        <w:kinsoku/>
        <w:wordWrap/>
        <w:overflowPunct/>
        <w:topLinePunct w:val="0"/>
        <w:autoSpaceDE w:val="0"/>
        <w:autoSpaceDN w:val="0"/>
        <w:bidi w:val="0"/>
        <w:snapToGrid/>
        <w:spacing w:line="288" w:lineRule="auto"/>
        <w:ind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因中标单位工作人员怠于履行职责，造成后果，影响恶劣的，评定不合格，扣除当期食堂管理服务费用的10%。</w:t>
      </w:r>
    </w:p>
    <w:p w14:paraId="4390F9AD">
      <w:pPr>
        <w:pStyle w:val="7"/>
        <w:keepNext w:val="0"/>
        <w:keepLines w:val="0"/>
        <w:pageBreakBefore w:val="0"/>
        <w:widowControl w:val="0"/>
        <w:kinsoku/>
        <w:wordWrap/>
        <w:overflowPunct/>
        <w:topLinePunct w:val="0"/>
        <w:bidi w:val="0"/>
        <w:snapToGrid/>
        <w:spacing w:line="288" w:lineRule="auto"/>
        <w:ind w:firstLine="482"/>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考核细则</w:t>
      </w:r>
    </w:p>
    <w:tbl>
      <w:tblPr>
        <w:tblStyle w:val="15"/>
        <w:tblW w:w="992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22"/>
        <w:gridCol w:w="7083"/>
        <w:gridCol w:w="2116"/>
      </w:tblGrid>
      <w:tr w14:paraId="4E09BF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noWrap w:val="0"/>
            <w:vAlign w:val="center"/>
          </w:tcPr>
          <w:p w14:paraId="5CFAECE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7083" w:type="dxa"/>
            <w:noWrap w:val="0"/>
            <w:vAlign w:val="center"/>
          </w:tcPr>
          <w:p w14:paraId="1CC0970D">
            <w:pPr>
              <w:keepNext w:val="0"/>
              <w:keepLines w:val="0"/>
              <w:pageBreakBefore w:val="0"/>
              <w:widowControl w:val="0"/>
              <w:kinsoku/>
              <w:wordWrap/>
              <w:overflowPunct/>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考  评  内  容</w:t>
            </w:r>
          </w:p>
        </w:tc>
        <w:tc>
          <w:tcPr>
            <w:tcW w:w="2116" w:type="dxa"/>
            <w:noWrap w:val="0"/>
            <w:vAlign w:val="center"/>
          </w:tcPr>
          <w:p w14:paraId="5D1884DE">
            <w:pPr>
              <w:keepNext w:val="0"/>
              <w:keepLines w:val="0"/>
              <w:pageBreakBefore w:val="0"/>
              <w:widowControl w:val="0"/>
              <w:kinsoku/>
              <w:wordWrap/>
              <w:overflowPunct/>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扣分标准</w:t>
            </w:r>
          </w:p>
        </w:tc>
      </w:tr>
      <w:tr w14:paraId="0551CA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restart"/>
            <w:noWrap w:val="0"/>
            <w:vAlign w:val="center"/>
          </w:tcPr>
          <w:p w14:paraId="6BCF0936">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一、食品</w:t>
            </w:r>
          </w:p>
          <w:p w14:paraId="614197E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卫生</w:t>
            </w:r>
          </w:p>
        </w:tc>
        <w:tc>
          <w:tcPr>
            <w:tcW w:w="7083" w:type="dxa"/>
            <w:noWrap w:val="0"/>
            <w:vAlign w:val="center"/>
          </w:tcPr>
          <w:p w14:paraId="1B79378A">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1.把馊的、变味的、不熟的食物供应的</w:t>
            </w:r>
          </w:p>
        </w:tc>
        <w:tc>
          <w:tcPr>
            <w:tcW w:w="2116" w:type="dxa"/>
            <w:noWrap w:val="0"/>
            <w:vAlign w:val="center"/>
          </w:tcPr>
          <w:p w14:paraId="1C5F719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133672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66100C66">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528734D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2.隔夜后不宜再食用的饭菜供应的</w:t>
            </w:r>
          </w:p>
        </w:tc>
        <w:tc>
          <w:tcPr>
            <w:tcW w:w="2116" w:type="dxa"/>
            <w:noWrap w:val="0"/>
            <w:vAlign w:val="center"/>
          </w:tcPr>
          <w:p w14:paraId="11BCEEEA">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074F2B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7F83C196">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7B3DE3C4">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3.去皮的、切分的原材料随意摊放在地上而未及时放入干净框内的</w:t>
            </w:r>
          </w:p>
        </w:tc>
        <w:tc>
          <w:tcPr>
            <w:tcW w:w="2116" w:type="dxa"/>
            <w:noWrap w:val="0"/>
            <w:vAlign w:val="center"/>
          </w:tcPr>
          <w:p w14:paraId="3B39530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发现一次扣0.5分</w:t>
            </w:r>
          </w:p>
        </w:tc>
      </w:tr>
      <w:tr w14:paraId="65D347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75079CF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66424D9D">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4.菜肴等食品中发现虫、蝇、清洁球、毛发等杂物的</w:t>
            </w:r>
          </w:p>
        </w:tc>
        <w:tc>
          <w:tcPr>
            <w:tcW w:w="2116" w:type="dxa"/>
            <w:noWrap w:val="0"/>
            <w:vAlign w:val="center"/>
          </w:tcPr>
          <w:p w14:paraId="3FD7629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发现一样扣2分</w:t>
            </w:r>
          </w:p>
        </w:tc>
      </w:tr>
      <w:tr w14:paraId="284B6E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3CAB693C">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16CAD676">
            <w:pPr>
              <w:keepNext w:val="0"/>
              <w:keepLines w:val="0"/>
              <w:pageBreakBefore w:val="0"/>
              <w:widowControl w:val="0"/>
              <w:kinsoku/>
              <w:wordWrap/>
              <w:overflowPunct/>
              <w:topLinePunct w:val="0"/>
              <w:bidi w:val="0"/>
              <w:snapToGrid/>
              <w:spacing w:line="288" w:lineRule="auto"/>
              <w:ind w:left="-13" w:leftChars="-6" w:firstLine="12" w:firstLineChars="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5.加工结束、餐后及下班前不做好相关工作，不及时冷藏、处理剩余半成品、成品食品的</w:t>
            </w:r>
          </w:p>
        </w:tc>
        <w:tc>
          <w:tcPr>
            <w:tcW w:w="2116" w:type="dxa"/>
            <w:noWrap w:val="0"/>
            <w:vAlign w:val="center"/>
          </w:tcPr>
          <w:p w14:paraId="002F561C">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275AA2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17A795F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4F1F232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6.未按规定做好成品留样及登记工作的</w:t>
            </w:r>
          </w:p>
        </w:tc>
        <w:tc>
          <w:tcPr>
            <w:tcW w:w="2116" w:type="dxa"/>
            <w:noWrap w:val="0"/>
            <w:vAlign w:val="center"/>
          </w:tcPr>
          <w:p w14:paraId="2746804F">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1D9B48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3B88B81C">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52773C3D">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7.经调查核实，因操作不当，发现食物中毒的</w:t>
            </w:r>
          </w:p>
        </w:tc>
        <w:tc>
          <w:tcPr>
            <w:tcW w:w="2116" w:type="dxa"/>
            <w:noWrap w:val="0"/>
            <w:vAlign w:val="center"/>
          </w:tcPr>
          <w:p w14:paraId="3CBA986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发现一次扣20分</w:t>
            </w:r>
          </w:p>
        </w:tc>
      </w:tr>
      <w:tr w14:paraId="0A8880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restart"/>
            <w:noWrap w:val="0"/>
            <w:vAlign w:val="center"/>
          </w:tcPr>
          <w:p w14:paraId="0D4DC8B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二、食堂环境</w:t>
            </w:r>
          </w:p>
          <w:p w14:paraId="42F60AF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卫生</w:t>
            </w:r>
          </w:p>
        </w:tc>
        <w:tc>
          <w:tcPr>
            <w:tcW w:w="7083" w:type="dxa"/>
            <w:noWrap w:val="0"/>
            <w:vAlign w:val="center"/>
          </w:tcPr>
          <w:p w14:paraId="5ADC4CE7">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1.厨师在操作间有吸烟、两手不洁、对着食品打喷嚏等现象的</w:t>
            </w:r>
          </w:p>
        </w:tc>
        <w:tc>
          <w:tcPr>
            <w:tcW w:w="2116" w:type="dxa"/>
            <w:noWrap w:val="0"/>
            <w:vAlign w:val="center"/>
          </w:tcPr>
          <w:p w14:paraId="39E52F3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7E3F25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78D59DD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1A0D12F6">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2.餐具、炊具未按程序清洗、消毒、存放的</w:t>
            </w:r>
          </w:p>
        </w:tc>
        <w:tc>
          <w:tcPr>
            <w:tcW w:w="2116" w:type="dxa"/>
            <w:noWrap w:val="0"/>
            <w:vAlign w:val="center"/>
          </w:tcPr>
          <w:p w14:paraId="3981B89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发现一次扣2分</w:t>
            </w:r>
          </w:p>
        </w:tc>
      </w:tr>
      <w:tr w14:paraId="54AFD2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568DD4D2">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7D5BA75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3.清洗后的餐具仍残留食物残渣，碗筷勺盘等留有油腻、黑点的</w:t>
            </w:r>
          </w:p>
        </w:tc>
        <w:tc>
          <w:tcPr>
            <w:tcW w:w="2116" w:type="dxa"/>
            <w:noWrap w:val="0"/>
            <w:vAlign w:val="center"/>
          </w:tcPr>
          <w:p w14:paraId="07C685DF">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发现一样扣1分</w:t>
            </w:r>
          </w:p>
        </w:tc>
      </w:tr>
      <w:tr w14:paraId="2B3DC6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4D406D52">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60BC1248">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4.餐厅地面不干净、桌椅有油污的，不及时清理餐桌、窗口供菜台的</w:t>
            </w:r>
          </w:p>
        </w:tc>
        <w:tc>
          <w:tcPr>
            <w:tcW w:w="2116" w:type="dxa"/>
            <w:noWrap w:val="0"/>
            <w:vAlign w:val="center"/>
          </w:tcPr>
          <w:p w14:paraId="455531BF">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2A15AE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5D7A6FFA">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25F2F3E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5.工作间地面不干净、有积水和杂物，操作台及灶台未及时清理、打扫的</w:t>
            </w:r>
          </w:p>
        </w:tc>
        <w:tc>
          <w:tcPr>
            <w:tcW w:w="2116" w:type="dxa"/>
            <w:noWrap w:val="0"/>
            <w:vAlign w:val="center"/>
          </w:tcPr>
          <w:p w14:paraId="10450DDF">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发现一次扣2分</w:t>
            </w:r>
          </w:p>
        </w:tc>
      </w:tr>
      <w:tr w14:paraId="5EA182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1FDE8E1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3323D52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6.未及时做好灭鼠、灭蝇、灭蟑、灭蚊等四害工作的</w:t>
            </w:r>
          </w:p>
        </w:tc>
        <w:tc>
          <w:tcPr>
            <w:tcW w:w="2116" w:type="dxa"/>
            <w:noWrap w:val="0"/>
            <w:vAlign w:val="center"/>
          </w:tcPr>
          <w:p w14:paraId="4A5B4CE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发现一次扣2分</w:t>
            </w:r>
          </w:p>
        </w:tc>
      </w:tr>
      <w:tr w14:paraId="06B937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0B943F27">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4C4217EE">
            <w:pPr>
              <w:keepNext w:val="0"/>
              <w:keepLines w:val="0"/>
              <w:pageBreakBefore w:val="0"/>
              <w:widowControl w:val="0"/>
              <w:kinsoku/>
              <w:wordWrap/>
              <w:overflowPunct/>
              <w:topLinePunct w:val="0"/>
              <w:bidi w:val="0"/>
              <w:snapToGrid/>
              <w:spacing w:line="288" w:lineRule="auto"/>
              <w:ind w:left="12" w:hanging="12" w:hangingChars="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7.加工结束后相关原辅料（调料）、厨餐具、工具及个人茶杯等物不按“五常法”指定位置放置的</w:t>
            </w:r>
          </w:p>
        </w:tc>
        <w:tc>
          <w:tcPr>
            <w:tcW w:w="2116" w:type="dxa"/>
            <w:noWrap w:val="0"/>
            <w:vAlign w:val="center"/>
          </w:tcPr>
          <w:p w14:paraId="26EB6F38">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171F5F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restart"/>
            <w:noWrap w:val="0"/>
            <w:vAlign w:val="center"/>
          </w:tcPr>
          <w:p w14:paraId="607DBE7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三、食品</w:t>
            </w:r>
          </w:p>
          <w:p w14:paraId="0E7D12D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供应及口感</w:t>
            </w:r>
          </w:p>
        </w:tc>
        <w:tc>
          <w:tcPr>
            <w:tcW w:w="7083" w:type="dxa"/>
            <w:noWrap w:val="0"/>
            <w:vAlign w:val="center"/>
          </w:tcPr>
          <w:p w14:paraId="3503969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1.早、中、晚餐及接待餐未能及时供应的，等待时间较长的</w:t>
            </w:r>
          </w:p>
        </w:tc>
        <w:tc>
          <w:tcPr>
            <w:tcW w:w="2116" w:type="dxa"/>
            <w:noWrap w:val="0"/>
            <w:vAlign w:val="center"/>
          </w:tcPr>
          <w:p w14:paraId="023C930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3B788B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4E29F5D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3ECDD8E6">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2.剩余菜品、原材料未经相关管理人员同意擅自倒掉的或者私自处理的</w:t>
            </w:r>
          </w:p>
        </w:tc>
        <w:tc>
          <w:tcPr>
            <w:tcW w:w="2116" w:type="dxa"/>
            <w:noWrap w:val="0"/>
            <w:vAlign w:val="center"/>
          </w:tcPr>
          <w:p w14:paraId="466D263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3BF561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56D7256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0DA0EF92">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3.未能准确预估供应量，导致供应不足或者铺张浪费的，经督促整改后仍未落实到位的 </w:t>
            </w:r>
          </w:p>
        </w:tc>
        <w:tc>
          <w:tcPr>
            <w:tcW w:w="2116" w:type="dxa"/>
            <w:noWrap w:val="0"/>
            <w:vAlign w:val="center"/>
          </w:tcPr>
          <w:p w14:paraId="390E064A">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酌情扣除1-2分</w:t>
            </w:r>
          </w:p>
        </w:tc>
      </w:tr>
      <w:tr w14:paraId="51C9B2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6EA3276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66FDF64D">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4.食品种类单一，干部多次反映后未及时调整。</w:t>
            </w:r>
          </w:p>
        </w:tc>
        <w:tc>
          <w:tcPr>
            <w:tcW w:w="2116" w:type="dxa"/>
            <w:noWrap w:val="0"/>
            <w:vAlign w:val="center"/>
          </w:tcPr>
          <w:p w14:paraId="1EC5587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酌情扣除1-3分</w:t>
            </w:r>
          </w:p>
        </w:tc>
      </w:tr>
      <w:tr w14:paraId="132A49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42A8967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7B1D678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5.食品口味不佳，经提醒要求改进仍未改善的。</w:t>
            </w:r>
          </w:p>
        </w:tc>
        <w:tc>
          <w:tcPr>
            <w:tcW w:w="2116" w:type="dxa"/>
            <w:noWrap w:val="0"/>
            <w:vAlign w:val="center"/>
          </w:tcPr>
          <w:p w14:paraId="0D949B8D">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酌情扣除1-2分</w:t>
            </w:r>
          </w:p>
        </w:tc>
      </w:tr>
      <w:tr w14:paraId="43CEE0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restart"/>
            <w:noWrap w:val="0"/>
            <w:vAlign w:val="center"/>
          </w:tcPr>
          <w:p w14:paraId="3CE174A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四、劳动</w:t>
            </w:r>
          </w:p>
          <w:p w14:paraId="716C779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纪律</w:t>
            </w:r>
          </w:p>
        </w:tc>
        <w:tc>
          <w:tcPr>
            <w:tcW w:w="7083" w:type="dxa"/>
            <w:noWrap w:val="0"/>
            <w:vAlign w:val="center"/>
          </w:tcPr>
          <w:p w14:paraId="7E9A87D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1.未按规定上班或上班（值班）时间，擅自离岗、串岗、玩手机、看报刊、干私活、外出等</w:t>
            </w:r>
          </w:p>
        </w:tc>
        <w:tc>
          <w:tcPr>
            <w:tcW w:w="2116" w:type="dxa"/>
            <w:noWrap w:val="0"/>
            <w:vAlign w:val="center"/>
          </w:tcPr>
          <w:p w14:paraId="5A01030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发现一次每人次扣2分</w:t>
            </w:r>
          </w:p>
        </w:tc>
      </w:tr>
      <w:tr w14:paraId="7C39B2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383BCE5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4D887D3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2.不服管理人员监督管理且无理顶撞的，或只表面应付不及时整改的</w:t>
            </w:r>
          </w:p>
        </w:tc>
        <w:tc>
          <w:tcPr>
            <w:tcW w:w="2116" w:type="dxa"/>
            <w:noWrap w:val="0"/>
            <w:vAlign w:val="center"/>
          </w:tcPr>
          <w:p w14:paraId="7F72C8B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715052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619B963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1A899077">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3.员工之间搬弄是非、制造矛盾、影响团结或与就餐人员发生争吵的</w:t>
            </w:r>
          </w:p>
        </w:tc>
        <w:tc>
          <w:tcPr>
            <w:tcW w:w="2116" w:type="dxa"/>
            <w:noWrap w:val="0"/>
            <w:vAlign w:val="center"/>
          </w:tcPr>
          <w:p w14:paraId="2C1E015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发现一次扣5分</w:t>
            </w:r>
          </w:p>
        </w:tc>
      </w:tr>
      <w:tr w14:paraId="637612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1E395AB8">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6DE536D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4.未按规定持有健康证或健康证过期的</w:t>
            </w:r>
          </w:p>
        </w:tc>
        <w:tc>
          <w:tcPr>
            <w:tcW w:w="2116" w:type="dxa"/>
            <w:noWrap w:val="0"/>
            <w:vAlign w:val="center"/>
          </w:tcPr>
          <w:p w14:paraId="5636314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发现一次扣5分</w:t>
            </w:r>
          </w:p>
        </w:tc>
      </w:tr>
      <w:tr w14:paraId="501605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6C8297FC">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070BCAA7">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5.未按规定着装上岗，不戴口罩，工作服不洁的</w:t>
            </w:r>
          </w:p>
        </w:tc>
        <w:tc>
          <w:tcPr>
            <w:tcW w:w="2116" w:type="dxa"/>
            <w:noWrap w:val="0"/>
            <w:vAlign w:val="center"/>
          </w:tcPr>
          <w:p w14:paraId="59A08CC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5FBC49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10FE498D">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1BDC356F">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6.就餐时间食堂工作人员在食堂内边工作边吃饭的</w:t>
            </w:r>
          </w:p>
        </w:tc>
        <w:tc>
          <w:tcPr>
            <w:tcW w:w="2116" w:type="dxa"/>
            <w:noWrap w:val="0"/>
            <w:vAlign w:val="center"/>
          </w:tcPr>
          <w:p w14:paraId="2173F18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24C3FA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299FD1BF">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0FCAD93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7.食堂工作人员擅开小灶，工作餐喝酒的</w:t>
            </w:r>
          </w:p>
        </w:tc>
        <w:tc>
          <w:tcPr>
            <w:tcW w:w="2116" w:type="dxa"/>
            <w:noWrap w:val="0"/>
            <w:vAlign w:val="center"/>
          </w:tcPr>
          <w:p w14:paraId="0E29DFBF">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380DE2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3F5C958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60A90813">
            <w:pPr>
              <w:keepNext w:val="0"/>
              <w:keepLines w:val="0"/>
              <w:pageBreakBefore w:val="0"/>
              <w:widowControl w:val="0"/>
              <w:kinsoku/>
              <w:wordWrap/>
              <w:overflowPunct/>
              <w:topLinePunct w:val="0"/>
              <w:bidi w:val="0"/>
              <w:snapToGrid/>
              <w:spacing w:line="288" w:lineRule="auto"/>
              <w:ind w:left="-13" w:leftChars="-6" w:firstLine="12" w:firstLineChars="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8.未及时关闭水龙头、天然气、空调、电灯、电子屏等开关，下班后未关好食堂门窗的</w:t>
            </w:r>
          </w:p>
        </w:tc>
        <w:tc>
          <w:tcPr>
            <w:tcW w:w="2116" w:type="dxa"/>
            <w:noWrap w:val="0"/>
            <w:vAlign w:val="center"/>
          </w:tcPr>
          <w:p w14:paraId="289E5C5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472697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2DA9EAC8">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6E200FAF">
            <w:pPr>
              <w:keepNext w:val="0"/>
              <w:keepLines w:val="0"/>
              <w:pageBreakBefore w:val="0"/>
              <w:widowControl w:val="0"/>
              <w:kinsoku/>
              <w:wordWrap/>
              <w:overflowPunct/>
              <w:topLinePunct w:val="0"/>
              <w:bidi w:val="0"/>
              <w:snapToGrid/>
              <w:spacing w:line="288" w:lineRule="auto"/>
              <w:ind w:left="480" w:hanging="480" w:hanging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9.擅自带家属、朋友等到餐厅免费就餐的</w:t>
            </w:r>
          </w:p>
        </w:tc>
        <w:tc>
          <w:tcPr>
            <w:tcW w:w="2116" w:type="dxa"/>
            <w:noWrap w:val="0"/>
            <w:vAlign w:val="center"/>
          </w:tcPr>
          <w:p w14:paraId="2D95C4C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39B19B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0F08DE2B">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139F4936">
            <w:pPr>
              <w:keepNext w:val="0"/>
              <w:keepLines w:val="0"/>
              <w:pageBreakBefore w:val="0"/>
              <w:widowControl w:val="0"/>
              <w:kinsoku/>
              <w:wordWrap/>
              <w:overflowPunct/>
              <w:topLinePunct w:val="0"/>
              <w:bidi w:val="0"/>
              <w:snapToGrid/>
              <w:spacing w:line="288" w:lineRule="auto"/>
              <w:ind w:left="-13" w:leftChars="-6" w:firstLine="12" w:firstLineChars="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10.操作中捞吃水果、点心、熟食等食品（厨师烹饪品味除外）；未经统一安排，擅自捞吃餐后剩余水果食品的</w:t>
            </w:r>
          </w:p>
        </w:tc>
        <w:tc>
          <w:tcPr>
            <w:tcW w:w="2116" w:type="dxa"/>
            <w:noWrap w:val="0"/>
            <w:vAlign w:val="center"/>
          </w:tcPr>
          <w:p w14:paraId="5C0E450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4EA167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restart"/>
            <w:noWrap w:val="0"/>
            <w:vAlign w:val="center"/>
          </w:tcPr>
          <w:p w14:paraId="6A8718A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五、日常</w:t>
            </w:r>
          </w:p>
          <w:p w14:paraId="6BA0DCA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w:t>
            </w:r>
          </w:p>
        </w:tc>
        <w:tc>
          <w:tcPr>
            <w:tcW w:w="7083" w:type="dxa"/>
            <w:noWrap w:val="0"/>
            <w:vAlign w:val="center"/>
          </w:tcPr>
          <w:p w14:paraId="719E3717">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1.食堂打卡处无人值守，随意放行未打卡或未交餐券者的</w:t>
            </w:r>
          </w:p>
        </w:tc>
        <w:tc>
          <w:tcPr>
            <w:tcW w:w="2116" w:type="dxa"/>
            <w:noWrap w:val="0"/>
            <w:vAlign w:val="center"/>
          </w:tcPr>
          <w:p w14:paraId="70BEBF66">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4EEAAA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5C5D643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3DF222F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2.故意损坏食堂公物的</w:t>
            </w:r>
          </w:p>
        </w:tc>
        <w:tc>
          <w:tcPr>
            <w:tcW w:w="2116" w:type="dxa"/>
            <w:noWrap w:val="0"/>
            <w:vAlign w:val="center"/>
          </w:tcPr>
          <w:p w14:paraId="40C1E9B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6E8D5C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4DD7566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5B87908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3.私藏、留存或拿走菜肴、水果、糕点等食品（物资）或就餐人员的遗留物品的</w:t>
            </w:r>
          </w:p>
        </w:tc>
        <w:tc>
          <w:tcPr>
            <w:tcW w:w="2116" w:type="dxa"/>
            <w:noWrap w:val="0"/>
            <w:vAlign w:val="center"/>
          </w:tcPr>
          <w:p w14:paraId="7E6854A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发现一次扣3分</w:t>
            </w:r>
          </w:p>
        </w:tc>
      </w:tr>
      <w:tr w14:paraId="282F57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5FF6F7E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725DE43C">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4.未建立相应</w:t>
            </w:r>
            <w:r>
              <w:rPr>
                <w:rFonts w:hint="eastAsia" w:ascii="宋体" w:hAnsi="宋体" w:eastAsia="宋体" w:cs="宋体"/>
                <w:color w:val="auto"/>
                <w:sz w:val="24"/>
                <w:szCs w:val="24"/>
                <w:highlight w:val="none"/>
                <w:lang w:eastAsia="zh-CN"/>
              </w:rPr>
              <w:t>工作台账</w:t>
            </w:r>
            <w:r>
              <w:rPr>
                <w:rFonts w:hint="eastAsia" w:ascii="宋体" w:hAnsi="宋体" w:eastAsia="宋体" w:cs="宋体"/>
                <w:color w:val="auto"/>
                <w:sz w:val="24"/>
                <w:szCs w:val="24"/>
                <w:highlight w:val="none"/>
              </w:rPr>
              <w:t>的</w:t>
            </w:r>
          </w:p>
        </w:tc>
        <w:tc>
          <w:tcPr>
            <w:tcW w:w="2116" w:type="dxa"/>
            <w:noWrap w:val="0"/>
            <w:vAlign w:val="center"/>
          </w:tcPr>
          <w:p w14:paraId="09D185F1">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发现一次扣1分</w:t>
            </w:r>
          </w:p>
        </w:tc>
      </w:tr>
      <w:tr w14:paraId="274E44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750A7864">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6C969ACE">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5.未妥善安排请假人员的相关工作，导致未完成工作任务的</w:t>
            </w:r>
          </w:p>
        </w:tc>
        <w:tc>
          <w:tcPr>
            <w:tcW w:w="2116" w:type="dxa"/>
            <w:noWrap w:val="0"/>
            <w:vAlign w:val="center"/>
          </w:tcPr>
          <w:p w14:paraId="0E90FEC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发现一次扣2分</w:t>
            </w:r>
          </w:p>
        </w:tc>
      </w:tr>
      <w:tr w14:paraId="5BC0D1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2D79E530">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19CC470A">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6.被就餐人员投诉（经核实确有过错并造成影响）的</w:t>
            </w:r>
          </w:p>
        </w:tc>
        <w:tc>
          <w:tcPr>
            <w:tcW w:w="2116" w:type="dxa"/>
            <w:noWrap w:val="0"/>
            <w:vAlign w:val="center"/>
          </w:tcPr>
          <w:p w14:paraId="18DF42CA">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发现一次扣2分</w:t>
            </w:r>
          </w:p>
        </w:tc>
      </w:tr>
      <w:tr w14:paraId="6BADCD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0476051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2F2CCDEC">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7.相关管理人员未及时参与验菜的，或者未及时对不良菜品提出意见的</w:t>
            </w:r>
          </w:p>
        </w:tc>
        <w:tc>
          <w:tcPr>
            <w:tcW w:w="2116" w:type="dxa"/>
            <w:noWrap w:val="0"/>
            <w:vAlign w:val="center"/>
          </w:tcPr>
          <w:p w14:paraId="7C5C8559">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发现一次扣2分</w:t>
            </w:r>
          </w:p>
        </w:tc>
      </w:tr>
      <w:tr w14:paraId="13A1DB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22" w:type="dxa"/>
            <w:vMerge w:val="continue"/>
            <w:noWrap w:val="0"/>
            <w:vAlign w:val="center"/>
          </w:tcPr>
          <w:p w14:paraId="2323FA45">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p>
        </w:tc>
        <w:tc>
          <w:tcPr>
            <w:tcW w:w="7083" w:type="dxa"/>
            <w:noWrap w:val="0"/>
            <w:vAlign w:val="center"/>
          </w:tcPr>
          <w:p w14:paraId="5C282F37">
            <w:pPr>
              <w:pStyle w:val="12"/>
              <w:keepNext w:val="0"/>
              <w:keepLines w:val="0"/>
              <w:pageBreakBefore w:val="0"/>
              <w:widowControl w:val="0"/>
              <w:tabs>
                <w:tab w:val="left" w:pos="1275"/>
              </w:tabs>
              <w:kinsoku/>
              <w:wordWrap/>
              <w:overflowPunct/>
              <w:topLinePunct w:val="0"/>
              <w:bidi w:val="0"/>
              <w:snapToGrid/>
              <w:spacing w:after="0" w:line="288" w:lineRule="auto"/>
              <w:ind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8.多次反映的问题未及时整改落实</w:t>
            </w:r>
          </w:p>
        </w:tc>
        <w:tc>
          <w:tcPr>
            <w:tcW w:w="2116" w:type="dxa"/>
            <w:noWrap w:val="0"/>
            <w:vAlign w:val="center"/>
          </w:tcPr>
          <w:p w14:paraId="5976E263">
            <w:pPr>
              <w:keepNext w:val="0"/>
              <w:keepLines w:val="0"/>
              <w:pageBreakBefore w:val="0"/>
              <w:widowControl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酌情扣除3-5分</w:t>
            </w:r>
          </w:p>
        </w:tc>
      </w:tr>
    </w:tbl>
    <w:p w14:paraId="3161EDDB">
      <w:pPr>
        <w:keepNext w:val="0"/>
        <w:keepLines w:val="0"/>
        <w:pageBreakBefore w:val="0"/>
        <w:widowControl w:val="0"/>
        <w:kinsoku/>
        <w:wordWrap/>
        <w:overflowPunct/>
        <w:topLinePunct w:val="0"/>
        <w:bidi w:val="0"/>
        <w:snapToGrid/>
        <w:spacing w:line="288"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七</w:t>
      </w:r>
      <w:r>
        <w:rPr>
          <w:rFonts w:hint="eastAsia" w:ascii="宋体" w:hAnsi="宋体" w:eastAsia="宋体" w:cs="宋体"/>
          <w:b/>
          <w:color w:val="auto"/>
          <w:sz w:val="24"/>
          <w:szCs w:val="24"/>
          <w:highlight w:val="none"/>
        </w:rPr>
        <w:t>）履约保证金及付款方式</w:t>
      </w:r>
    </w:p>
    <w:p w14:paraId="4D6AEE09">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rPr>
        <w:t>1</w:t>
      </w:r>
      <w:r>
        <w:rPr>
          <w:rFonts w:hint="eastAsia" w:ascii="宋体" w:hAnsi="宋体" w:cs="宋体"/>
          <w:color w:val="auto"/>
          <w:sz w:val="24"/>
          <w:lang w:eastAsia="zh-CN"/>
        </w:rPr>
        <w:t>.</w:t>
      </w:r>
      <w:r>
        <w:rPr>
          <w:rFonts w:hint="eastAsia" w:ascii="宋体" w:hAnsi="宋体" w:eastAsia="宋体" w:cs="宋体"/>
          <w:color w:val="auto"/>
          <w:sz w:val="24"/>
        </w:rPr>
        <w:t>履约保证金：合同签订</w:t>
      </w:r>
      <w:r>
        <w:rPr>
          <w:rFonts w:hint="eastAsia" w:ascii="宋体" w:hAnsi="宋体" w:cs="宋体"/>
          <w:color w:val="auto"/>
          <w:sz w:val="24"/>
          <w:lang w:val="en-US" w:eastAsia="zh-CN"/>
        </w:rPr>
        <w:t>时</w:t>
      </w:r>
      <w:r>
        <w:rPr>
          <w:rFonts w:hint="eastAsia" w:ascii="宋体" w:hAnsi="宋体" w:eastAsia="宋体" w:cs="宋体"/>
          <w:color w:val="auto"/>
          <w:sz w:val="24"/>
        </w:rPr>
        <w:t>，中标单位须向采购单位缴纳合同金额1%的履约保证金，合同履行完成</w:t>
      </w:r>
      <w:r>
        <w:rPr>
          <w:rFonts w:hint="eastAsia" w:ascii="宋体" w:hAnsi="宋体" w:cs="宋体"/>
          <w:color w:val="auto"/>
          <w:sz w:val="24"/>
          <w:lang w:val="en-US" w:eastAsia="zh-CN"/>
        </w:rPr>
        <w:t>且</w:t>
      </w:r>
      <w:r>
        <w:rPr>
          <w:rFonts w:hint="eastAsia" w:ascii="宋体" w:hAnsi="宋体" w:eastAsia="宋体" w:cs="宋体"/>
          <w:color w:val="auto"/>
          <w:sz w:val="24"/>
        </w:rPr>
        <w:t>无异议后七天内</w:t>
      </w:r>
      <w:r>
        <w:rPr>
          <w:rFonts w:hint="eastAsia" w:ascii="宋体" w:hAnsi="宋体" w:cs="宋体"/>
          <w:color w:val="auto"/>
          <w:sz w:val="24"/>
          <w:lang w:val="en-US" w:eastAsia="zh-CN"/>
        </w:rPr>
        <w:t>无息退还</w:t>
      </w:r>
      <w:r>
        <w:rPr>
          <w:rFonts w:hint="eastAsia" w:ascii="宋体" w:hAnsi="宋体" w:eastAsia="宋体" w:cs="宋体"/>
          <w:color w:val="auto"/>
          <w:sz w:val="24"/>
        </w:rPr>
        <w:t>。</w:t>
      </w:r>
    </w:p>
    <w:p w14:paraId="3F7D612E">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食堂劳务服务费</w:t>
      </w:r>
      <w:r>
        <w:rPr>
          <w:rFonts w:hint="eastAsia" w:ascii="宋体" w:hAnsi="宋体" w:eastAsia="宋体" w:cs="宋体"/>
          <w:color w:val="auto"/>
          <w:sz w:val="24"/>
          <w:szCs w:val="24"/>
          <w:highlight w:val="none"/>
          <w:lang w:val="en-US" w:eastAsia="zh-CN"/>
        </w:rPr>
        <w:t>用</w:t>
      </w:r>
      <w:r>
        <w:rPr>
          <w:rFonts w:hint="eastAsia" w:ascii="宋体" w:hAnsi="宋体" w:eastAsia="宋体" w:cs="宋体"/>
          <w:color w:val="auto"/>
          <w:sz w:val="24"/>
          <w:szCs w:val="24"/>
          <w:highlight w:val="none"/>
        </w:rPr>
        <w:t>按照合同要求的支付日期</w:t>
      </w:r>
      <w:r>
        <w:rPr>
          <w:rFonts w:hint="eastAsia" w:ascii="宋体" w:hAnsi="宋体" w:eastAsia="宋体" w:cs="宋体"/>
          <w:color w:val="auto"/>
          <w:sz w:val="24"/>
          <w:szCs w:val="24"/>
          <w:highlight w:val="none"/>
          <w:lang w:eastAsia="zh-CN"/>
        </w:rPr>
        <w:t>按</w:t>
      </w:r>
      <w:r>
        <w:rPr>
          <w:rFonts w:hint="eastAsia" w:ascii="宋体" w:hAnsi="宋体" w:cs="宋体"/>
          <w:color w:val="auto"/>
          <w:sz w:val="24"/>
          <w:szCs w:val="24"/>
          <w:highlight w:val="none"/>
          <w:lang w:val="en-US" w:eastAsia="zh-CN"/>
        </w:rPr>
        <w:t>月度</w:t>
      </w:r>
      <w:r>
        <w:rPr>
          <w:rFonts w:hint="eastAsia" w:ascii="宋体" w:hAnsi="宋体" w:eastAsia="宋体" w:cs="宋体"/>
          <w:color w:val="auto"/>
          <w:sz w:val="24"/>
          <w:szCs w:val="24"/>
          <w:highlight w:val="none"/>
        </w:rPr>
        <w:t>支</w:t>
      </w:r>
      <w:bookmarkStart w:id="1" w:name="_GoBack"/>
      <w:bookmarkEnd w:id="1"/>
      <w:r>
        <w:rPr>
          <w:rFonts w:hint="eastAsia" w:ascii="宋体" w:hAnsi="宋体" w:eastAsia="宋体" w:cs="宋体"/>
          <w:color w:val="auto"/>
          <w:sz w:val="24"/>
          <w:szCs w:val="24"/>
          <w:highlight w:val="none"/>
        </w:rPr>
        <w:t>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合同期内采购单位对中标单位的服务质量按</w:t>
      </w:r>
      <w:r>
        <w:rPr>
          <w:rFonts w:hint="eastAsia" w:ascii="宋体" w:hAnsi="宋体" w:cs="宋体"/>
          <w:color w:val="auto"/>
          <w:sz w:val="24"/>
          <w:szCs w:val="24"/>
          <w:highlight w:val="none"/>
          <w:lang w:eastAsia="zh-CN"/>
        </w:rPr>
        <w:t>月度</w:t>
      </w:r>
      <w:r>
        <w:rPr>
          <w:rFonts w:hint="eastAsia" w:ascii="宋体" w:hAnsi="宋体" w:eastAsia="宋体" w:cs="宋体"/>
          <w:color w:val="auto"/>
          <w:sz w:val="24"/>
          <w:szCs w:val="24"/>
          <w:highlight w:val="none"/>
        </w:rPr>
        <w:t>进行考核，并按照考核结果在次</w:t>
      </w:r>
      <w:r>
        <w:rPr>
          <w:rFonts w:hint="eastAsia" w:ascii="宋体" w:hAnsi="宋体" w:cs="宋体"/>
          <w:color w:val="auto"/>
          <w:sz w:val="24"/>
          <w:szCs w:val="24"/>
          <w:highlight w:val="none"/>
          <w:lang w:eastAsia="zh-CN"/>
        </w:rPr>
        <w:t>月</w:t>
      </w:r>
      <w:r>
        <w:rPr>
          <w:rFonts w:hint="eastAsia" w:ascii="宋体" w:hAnsi="宋体" w:eastAsia="宋体" w:cs="宋体"/>
          <w:color w:val="auto"/>
          <w:sz w:val="24"/>
          <w:szCs w:val="24"/>
          <w:highlight w:val="none"/>
        </w:rPr>
        <w:t>15日前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凭</w:t>
      </w:r>
      <w:r>
        <w:rPr>
          <w:rFonts w:hint="eastAsia" w:ascii="宋体" w:hAnsi="宋体" w:eastAsia="宋体" w:cs="宋体"/>
          <w:color w:val="auto"/>
          <w:sz w:val="24"/>
          <w:szCs w:val="24"/>
          <w:highlight w:val="none"/>
          <w:lang w:eastAsia="zh-CN"/>
        </w:rPr>
        <w:t>中标单位开具的</w:t>
      </w:r>
      <w:r>
        <w:rPr>
          <w:rFonts w:hint="eastAsia" w:ascii="宋体" w:hAnsi="宋体" w:eastAsia="宋体" w:cs="宋体"/>
          <w:color w:val="auto"/>
          <w:sz w:val="24"/>
          <w:szCs w:val="24"/>
          <w:lang w:eastAsia="zh-CN"/>
        </w:rPr>
        <w:t>人力资源服务</w:t>
      </w:r>
      <w:r>
        <w:rPr>
          <w:rFonts w:hint="eastAsia" w:ascii="宋体" w:hAnsi="宋体" w:eastAsia="宋体" w:cs="宋体"/>
          <w:color w:val="auto"/>
          <w:sz w:val="24"/>
          <w:szCs w:val="24"/>
          <w:highlight w:val="none"/>
          <w:lang w:eastAsia="zh-CN"/>
        </w:rPr>
        <w:t>管理费</w:t>
      </w:r>
      <w:r>
        <w:rPr>
          <w:rFonts w:hint="eastAsia" w:ascii="宋体" w:hAnsi="宋体" w:eastAsia="宋体" w:cs="宋体"/>
          <w:color w:val="auto"/>
          <w:sz w:val="24"/>
          <w:szCs w:val="24"/>
          <w:highlight w:val="none"/>
        </w:rPr>
        <w:t>发票支付上</w:t>
      </w:r>
      <w:r>
        <w:rPr>
          <w:rFonts w:hint="eastAsia" w:ascii="宋体" w:hAnsi="宋体" w:cs="宋体"/>
          <w:color w:val="auto"/>
          <w:sz w:val="24"/>
          <w:szCs w:val="24"/>
          <w:highlight w:val="none"/>
          <w:lang w:eastAsia="zh-CN"/>
        </w:rPr>
        <w:t>月度</w:t>
      </w:r>
      <w:r>
        <w:rPr>
          <w:rFonts w:hint="eastAsia" w:ascii="宋体" w:hAnsi="宋体" w:eastAsia="宋体" w:cs="宋体"/>
          <w:color w:val="auto"/>
          <w:sz w:val="24"/>
          <w:szCs w:val="24"/>
          <w:highlight w:val="none"/>
          <w:lang w:eastAsia="zh-CN"/>
        </w:rPr>
        <w:t>食堂</w:t>
      </w:r>
      <w:r>
        <w:rPr>
          <w:rFonts w:hint="eastAsia" w:ascii="宋体" w:hAnsi="宋体" w:eastAsia="宋体" w:cs="宋体"/>
          <w:color w:val="auto"/>
          <w:sz w:val="24"/>
          <w:szCs w:val="24"/>
          <w:highlight w:val="none"/>
          <w:lang w:val="en-US" w:eastAsia="zh-CN"/>
        </w:rPr>
        <w:t>劳务</w:t>
      </w:r>
      <w:r>
        <w:rPr>
          <w:rFonts w:hint="eastAsia" w:ascii="宋体" w:hAnsi="宋体" w:eastAsia="宋体" w:cs="宋体"/>
          <w:color w:val="auto"/>
          <w:sz w:val="24"/>
          <w:szCs w:val="24"/>
          <w:highlight w:val="none"/>
          <w:lang w:eastAsia="zh-CN"/>
        </w:rPr>
        <w:t>服务费</w:t>
      </w:r>
      <w:r>
        <w:rPr>
          <w:rFonts w:hint="eastAsia" w:ascii="宋体" w:hAnsi="宋体" w:eastAsia="宋体" w:cs="宋体"/>
          <w:color w:val="auto"/>
          <w:sz w:val="24"/>
          <w:szCs w:val="24"/>
          <w:highlight w:val="none"/>
          <w:lang w:val="en-US" w:eastAsia="zh-CN"/>
        </w:rPr>
        <w:t>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中标单位</w:t>
      </w:r>
      <w:r>
        <w:rPr>
          <w:rFonts w:hint="eastAsia" w:ascii="宋体" w:hAnsi="宋体" w:eastAsia="宋体" w:cs="宋体"/>
          <w:color w:val="auto"/>
          <w:sz w:val="24"/>
          <w:szCs w:val="24"/>
          <w:highlight w:val="none"/>
        </w:rPr>
        <w:t>因工作失误及因未达到招标文件中的服务要求、考核要求造成的扣款，则在付款的同时相应扣除。第四</w:t>
      </w:r>
      <w:r>
        <w:rPr>
          <w:rFonts w:hint="eastAsia" w:ascii="宋体" w:hAnsi="宋体" w:cs="宋体"/>
          <w:color w:val="auto"/>
          <w:sz w:val="24"/>
          <w:szCs w:val="24"/>
          <w:highlight w:val="none"/>
          <w:lang w:eastAsia="zh-CN"/>
        </w:rPr>
        <w:t>月度</w:t>
      </w:r>
      <w:r>
        <w:rPr>
          <w:rFonts w:hint="eastAsia" w:ascii="宋体" w:hAnsi="宋体" w:eastAsia="宋体" w:cs="宋体"/>
          <w:color w:val="auto"/>
          <w:sz w:val="24"/>
          <w:szCs w:val="24"/>
          <w:highlight w:val="none"/>
        </w:rPr>
        <w:t>服务费用20日前考核后发放，20日-31日考核如有扣款项，将在履约保证金中扣除。</w:t>
      </w:r>
    </w:p>
    <w:p w14:paraId="1433624A">
      <w:pPr>
        <w:keepNext w:val="0"/>
        <w:keepLines w:val="0"/>
        <w:pageBreakBefore w:val="0"/>
        <w:widowControl w:val="0"/>
        <w:kinsoku/>
        <w:wordWrap/>
        <w:overflowPunct/>
        <w:topLinePunct w:val="0"/>
        <w:bidi w:val="0"/>
        <w:snapToGrid/>
        <w:spacing w:line="288"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食堂原材料</w:t>
      </w:r>
      <w:r>
        <w:rPr>
          <w:rFonts w:hint="eastAsia" w:ascii="宋体" w:hAnsi="宋体" w:eastAsia="宋体" w:cs="宋体"/>
          <w:color w:val="auto"/>
          <w:sz w:val="24"/>
          <w:szCs w:val="24"/>
          <w:highlight w:val="none"/>
          <w:lang w:val="en-US" w:eastAsia="zh-CN"/>
        </w:rPr>
        <w:t>和食堂内部超市货品款部分</w:t>
      </w:r>
      <w:r>
        <w:rPr>
          <w:rFonts w:hint="eastAsia" w:ascii="宋体" w:hAnsi="宋体" w:eastAsia="宋体" w:cs="宋体"/>
          <w:color w:val="auto"/>
          <w:sz w:val="24"/>
          <w:szCs w:val="24"/>
          <w:highlight w:val="none"/>
        </w:rPr>
        <w:t>按照合同要求</w:t>
      </w:r>
      <w:r>
        <w:rPr>
          <w:rFonts w:hint="eastAsia" w:ascii="宋体" w:hAnsi="宋体" w:eastAsia="宋体" w:cs="宋体"/>
          <w:color w:val="auto"/>
          <w:sz w:val="24"/>
          <w:szCs w:val="24"/>
          <w:highlight w:val="none"/>
          <w:lang w:eastAsia="zh-CN"/>
        </w:rPr>
        <w:t>的支付日期按月支付。食材原料费</w:t>
      </w:r>
      <w:r>
        <w:rPr>
          <w:rFonts w:hint="eastAsia" w:ascii="宋体" w:hAnsi="宋体" w:eastAsia="宋体" w:cs="宋体"/>
          <w:color w:val="auto"/>
          <w:sz w:val="24"/>
          <w:szCs w:val="24"/>
          <w:highlight w:val="none"/>
          <w:lang w:val="en-US" w:eastAsia="zh-CN"/>
        </w:rPr>
        <w:t>和超市货品费</w:t>
      </w:r>
      <w:r>
        <w:rPr>
          <w:rFonts w:hint="eastAsia" w:ascii="宋体" w:hAnsi="宋体" w:eastAsia="宋体" w:cs="宋体"/>
          <w:color w:val="auto"/>
          <w:sz w:val="24"/>
          <w:szCs w:val="24"/>
          <w:highlight w:val="none"/>
          <w:lang w:eastAsia="zh-CN"/>
        </w:rPr>
        <w:t>凭中标单位开具的</w:t>
      </w:r>
      <w:r>
        <w:rPr>
          <w:rFonts w:hint="eastAsia" w:ascii="宋体" w:hAnsi="宋体" w:cs="宋体"/>
          <w:color w:val="auto"/>
          <w:sz w:val="24"/>
          <w:szCs w:val="24"/>
          <w:highlight w:val="none"/>
          <w:lang w:val="en-US" w:eastAsia="zh-CN"/>
        </w:rPr>
        <w:t>食材</w:t>
      </w:r>
      <w:r>
        <w:rPr>
          <w:rFonts w:hint="eastAsia" w:ascii="宋体" w:hAnsi="宋体" w:eastAsia="宋体" w:cs="宋体"/>
          <w:color w:val="auto"/>
          <w:sz w:val="24"/>
          <w:szCs w:val="24"/>
          <w:highlight w:val="none"/>
          <w:lang w:eastAsia="zh-CN"/>
        </w:rPr>
        <w:t>蔬菜类配送发票结算；</w:t>
      </w:r>
      <w:r>
        <w:rPr>
          <w:rFonts w:hint="eastAsia" w:ascii="宋体" w:hAnsi="宋体" w:eastAsia="宋体" w:cs="宋体"/>
          <w:color w:val="auto"/>
          <w:sz w:val="24"/>
          <w:szCs w:val="24"/>
          <w:highlight w:val="none"/>
        </w:rPr>
        <w:t>经双方确认签字后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eastAsia="zh-CN"/>
        </w:rPr>
        <w:t>中标单位</w:t>
      </w:r>
      <w:r>
        <w:rPr>
          <w:rFonts w:hint="eastAsia" w:ascii="宋体" w:hAnsi="宋体" w:eastAsia="宋体" w:cs="宋体"/>
          <w:color w:val="auto"/>
          <w:sz w:val="24"/>
          <w:szCs w:val="24"/>
          <w:highlight w:val="none"/>
        </w:rPr>
        <w:t>按实际发生数</w:t>
      </w:r>
      <w:r>
        <w:rPr>
          <w:rFonts w:hint="eastAsia" w:ascii="宋体" w:hAnsi="宋体" w:eastAsia="宋体" w:cs="宋体"/>
          <w:color w:val="auto"/>
          <w:sz w:val="24"/>
          <w:szCs w:val="24"/>
          <w:highlight w:val="none"/>
          <w:lang w:eastAsia="zh-CN"/>
        </w:rPr>
        <w:t>在</w:t>
      </w:r>
      <w:r>
        <w:rPr>
          <w:rFonts w:hint="eastAsia" w:ascii="宋体" w:hAnsi="宋体" w:eastAsia="宋体" w:cs="宋体"/>
          <w:color w:val="auto"/>
          <w:sz w:val="24"/>
          <w:szCs w:val="24"/>
          <w:highlight w:val="none"/>
          <w:lang w:val="en-US" w:eastAsia="zh-CN"/>
        </w:rPr>
        <w:t>合同要求支付日期前</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eastAsia="zh-CN"/>
        </w:rPr>
        <w:t>采购单位</w:t>
      </w:r>
      <w:r>
        <w:rPr>
          <w:rFonts w:hint="eastAsia" w:ascii="宋体" w:hAnsi="宋体" w:eastAsia="宋体" w:cs="宋体"/>
          <w:color w:val="auto"/>
          <w:sz w:val="24"/>
          <w:szCs w:val="24"/>
          <w:highlight w:val="none"/>
        </w:rPr>
        <w:t>结算</w:t>
      </w:r>
      <w:r>
        <w:rPr>
          <w:rFonts w:hint="eastAsia" w:ascii="宋体" w:hAnsi="宋体" w:eastAsia="宋体" w:cs="宋体"/>
          <w:color w:val="auto"/>
          <w:sz w:val="24"/>
          <w:szCs w:val="24"/>
          <w:highlight w:val="none"/>
          <w:lang w:eastAsia="zh-CN"/>
        </w:rPr>
        <w:t>。</w:t>
      </w:r>
    </w:p>
    <w:p w14:paraId="63CC465A">
      <w:pPr>
        <w:pStyle w:val="19"/>
        <w:keepNext w:val="0"/>
        <w:keepLines w:val="0"/>
        <w:pageBreakBefore w:val="0"/>
        <w:widowControl w:val="0"/>
        <w:kinsoku/>
        <w:wordWrap/>
        <w:overflowPunct/>
        <w:topLinePunct w:val="0"/>
        <w:autoSpaceDE w:val="0"/>
        <w:autoSpaceDN w:val="0"/>
        <w:bidi w:val="0"/>
        <w:adjustRightInd w:val="0"/>
        <w:snapToGrid/>
        <w:spacing w:after="0" w:afterLines="0" w:line="288"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kern w:val="0"/>
          <w:sz w:val="24"/>
          <w:szCs w:val="24"/>
          <w:highlight w:val="none"/>
          <w:lang w:val="en-US" w:eastAsia="zh-CN"/>
        </w:rPr>
        <w:t>食堂内部超市凭刷卡消费按实开票，每月一结</w:t>
      </w:r>
      <w:r>
        <w:rPr>
          <w:rFonts w:hint="eastAsia" w:ascii="宋体" w:hAnsi="宋体" w:eastAsia="宋体" w:cs="宋体"/>
          <w:color w:val="auto"/>
          <w:sz w:val="24"/>
          <w:szCs w:val="24"/>
          <w:highlight w:val="none"/>
          <w:lang w:val="en-US" w:eastAsia="zh-CN"/>
        </w:rPr>
        <w:t>。</w:t>
      </w:r>
    </w:p>
    <w:p w14:paraId="77884D6F">
      <w:pPr>
        <w:keepNext w:val="0"/>
        <w:keepLines w:val="0"/>
        <w:pageBreakBefore w:val="0"/>
        <w:widowControl w:val="0"/>
        <w:kinsoku/>
        <w:wordWrap/>
        <w:overflowPunct/>
        <w:topLinePunct w:val="0"/>
        <w:autoSpaceDE/>
        <w:autoSpaceDN/>
        <w:bidi w:val="0"/>
        <w:adjustRightInd/>
        <w:snapToGrid/>
        <w:spacing w:line="288"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（八）最高限价</w:t>
      </w:r>
    </w:p>
    <w:p w14:paraId="657A34D1">
      <w:pPr>
        <w:keepNext w:val="0"/>
        <w:keepLines w:val="0"/>
        <w:pageBreakBefore w:val="0"/>
        <w:widowControl w:val="0"/>
        <w:kinsoku/>
        <w:wordWrap/>
        <w:overflowPunct/>
        <w:topLinePunct w:val="0"/>
        <w:autoSpaceDE/>
        <w:autoSpaceDN/>
        <w:bidi w:val="0"/>
        <w:adjustRightInd/>
        <w:snapToGrid/>
        <w:spacing w:line="288" w:lineRule="auto"/>
        <w:ind w:firstLine="482" w:firstLineChars="200"/>
        <w:textAlignment w:val="auto"/>
        <w:rPr>
          <w:rFonts w:hint="eastAsia" w:ascii="宋体" w:hAnsi="宋体" w:eastAsia="宋体" w:cs="宋体"/>
          <w:b/>
          <w:color w:val="auto"/>
          <w:sz w:val="24"/>
          <w:szCs w:val="24"/>
          <w:highlight w:val="none"/>
          <w:u w:val="none"/>
          <w:lang w:eastAsia="zh-CN"/>
        </w:rPr>
      </w:pPr>
      <w:r>
        <w:rPr>
          <w:rFonts w:hint="eastAsia" w:ascii="宋体" w:hAnsi="宋体" w:eastAsia="宋体" w:cs="宋体"/>
          <w:b/>
          <w:color w:val="auto"/>
          <w:sz w:val="24"/>
          <w:szCs w:val="24"/>
          <w:highlight w:val="none"/>
          <w:u w:val="none"/>
        </w:rPr>
        <w:t>本次</w:t>
      </w:r>
      <w:r>
        <w:rPr>
          <w:rFonts w:hint="eastAsia" w:ascii="宋体" w:hAnsi="宋体" w:eastAsia="宋体" w:cs="宋体"/>
          <w:b/>
          <w:color w:val="auto"/>
          <w:sz w:val="24"/>
          <w:szCs w:val="24"/>
          <w:highlight w:val="none"/>
          <w:u w:val="none"/>
          <w:lang w:val="en-US" w:eastAsia="zh-CN"/>
        </w:rPr>
        <w:t>采购</w:t>
      </w:r>
      <w:r>
        <w:rPr>
          <w:rFonts w:hint="eastAsia" w:ascii="宋体" w:hAnsi="宋体" w:eastAsia="宋体" w:cs="宋体"/>
          <w:b/>
          <w:color w:val="auto"/>
          <w:sz w:val="24"/>
          <w:szCs w:val="24"/>
          <w:highlight w:val="none"/>
          <w:u w:val="none"/>
        </w:rPr>
        <w:t>最高限价为人民币</w:t>
      </w:r>
      <w:r>
        <w:rPr>
          <w:rFonts w:hint="eastAsia" w:ascii="宋体" w:hAnsi="宋体" w:cs="宋体"/>
          <w:b/>
          <w:color w:val="auto"/>
          <w:sz w:val="24"/>
          <w:szCs w:val="24"/>
          <w:highlight w:val="none"/>
          <w:u w:val="none"/>
          <w:lang w:val="en-US" w:eastAsia="zh-CN"/>
        </w:rPr>
        <w:t>壹佰玖拾伍</w:t>
      </w:r>
      <w:r>
        <w:rPr>
          <w:rFonts w:hint="eastAsia" w:ascii="宋体" w:hAnsi="宋体" w:eastAsia="宋体" w:cs="宋体"/>
          <w:b/>
          <w:color w:val="auto"/>
          <w:sz w:val="24"/>
          <w:szCs w:val="24"/>
          <w:highlight w:val="none"/>
          <w:u w:val="none"/>
        </w:rPr>
        <w:t>万元</w:t>
      </w:r>
      <w:r>
        <w:rPr>
          <w:rFonts w:hint="eastAsia" w:ascii="宋体" w:hAnsi="宋体" w:eastAsia="宋体" w:cs="宋体"/>
          <w:b/>
          <w:color w:val="auto"/>
          <w:sz w:val="24"/>
          <w:szCs w:val="24"/>
          <w:highlight w:val="none"/>
          <w:u w:val="none"/>
          <w:lang w:val="en-US" w:eastAsia="zh-CN"/>
        </w:rPr>
        <w:t>整</w:t>
      </w:r>
      <w:r>
        <w:rPr>
          <w:rFonts w:hint="eastAsia" w:ascii="宋体" w:hAnsi="宋体" w:eastAsia="宋体" w:cs="宋体"/>
          <w:b/>
          <w:color w:val="auto"/>
          <w:sz w:val="24"/>
          <w:szCs w:val="24"/>
          <w:highlight w:val="none"/>
          <w:u w:val="none"/>
        </w:rPr>
        <w:t>（¥</w:t>
      </w:r>
      <w:r>
        <w:rPr>
          <w:rFonts w:hint="eastAsia" w:ascii="宋体" w:hAnsi="宋体" w:cs="宋体"/>
          <w:b/>
          <w:color w:val="auto"/>
          <w:sz w:val="24"/>
          <w:szCs w:val="24"/>
          <w:highlight w:val="none"/>
          <w:u w:val="none"/>
          <w:lang w:val="en-US" w:eastAsia="zh-CN"/>
        </w:rPr>
        <w:t>195</w:t>
      </w:r>
      <w:r>
        <w:rPr>
          <w:rFonts w:hint="eastAsia" w:ascii="宋体" w:hAnsi="宋体" w:eastAsia="宋体" w:cs="宋体"/>
          <w:b/>
          <w:color w:val="auto"/>
          <w:sz w:val="24"/>
          <w:szCs w:val="24"/>
          <w:highlight w:val="none"/>
          <w:u w:val="none"/>
        </w:rPr>
        <w:t>0000.00），任何超过最高限价的报价将被认定为无效报价(报价包括</w:t>
      </w:r>
      <w:r>
        <w:rPr>
          <w:rFonts w:hint="eastAsia" w:ascii="宋体" w:hAnsi="宋体" w:eastAsia="宋体" w:cs="宋体"/>
          <w:b/>
          <w:color w:val="auto"/>
          <w:sz w:val="24"/>
          <w:szCs w:val="24"/>
          <w:highlight w:val="none"/>
          <w:u w:val="none"/>
          <w:lang w:val="en-US" w:eastAsia="zh-CN"/>
        </w:rPr>
        <w:t>完成本项目的</w:t>
      </w:r>
      <w:r>
        <w:rPr>
          <w:rFonts w:hint="eastAsia" w:ascii="宋体" w:hAnsi="宋体" w:eastAsia="宋体" w:cs="宋体"/>
          <w:b/>
          <w:color w:val="auto"/>
          <w:sz w:val="24"/>
          <w:szCs w:val="24"/>
          <w:highlight w:val="none"/>
          <w:u w:val="none"/>
        </w:rPr>
        <w:t>一切费用)</w:t>
      </w:r>
      <w:r>
        <w:rPr>
          <w:rFonts w:hint="eastAsia" w:ascii="宋体" w:hAnsi="宋体" w:eastAsia="宋体" w:cs="宋体"/>
          <w:b/>
          <w:color w:val="auto"/>
          <w:sz w:val="24"/>
          <w:szCs w:val="24"/>
          <w:highlight w:val="none"/>
          <w:u w:val="none"/>
          <w:lang w:eastAsia="zh-CN"/>
        </w:rPr>
        <w:t>。</w:t>
      </w:r>
    </w:p>
    <w:p w14:paraId="516158EA">
      <w:pPr>
        <w:keepNext w:val="0"/>
        <w:keepLines w:val="0"/>
        <w:pageBreakBefore w:val="0"/>
        <w:widowControl w:val="0"/>
        <w:kinsoku/>
        <w:wordWrap/>
        <w:overflowPunct/>
        <w:topLinePunct w:val="0"/>
        <w:autoSpaceDE/>
        <w:autoSpaceDN/>
        <w:bidi w:val="0"/>
        <w:adjustRightInd/>
        <w:snapToGrid/>
        <w:spacing w:line="288" w:lineRule="auto"/>
        <w:ind w:firstLine="482" w:firstLineChars="200"/>
        <w:textAlignment w:val="auto"/>
        <w:rPr>
          <w:rFonts w:hint="eastAsia" w:ascii="宋体" w:hAnsi="宋体" w:eastAsia="宋体" w:cs="宋体"/>
          <w:b/>
          <w:color w:val="auto"/>
          <w:sz w:val="24"/>
          <w:u w:val="none"/>
          <w:lang w:eastAsia="zh-CN"/>
        </w:rPr>
      </w:pPr>
    </w:p>
    <w:sectPr>
      <w:headerReference r:id="rId3" w:type="default"/>
      <w:footerReference r:id="rId4" w:type="default"/>
      <w:pgSz w:w="11906" w:h="16838"/>
      <w:pgMar w:top="1236" w:right="1179" w:bottom="1236" w:left="1179"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1A442">
    <w:pPr>
      <w:pStyle w:val="8"/>
      <w:tabs>
        <w:tab w:val="right" w:pos="9548"/>
        <w:tab w:val="clear" w:pos="4153"/>
      </w:tabs>
      <w:ind w:right="360"/>
    </w:pPr>
    <w:r>
      <w:rPr>
        <w:rFonts w:hint="eastAsia"/>
        <w:lang w:eastAsia="zh-CN"/>
      </w:rPr>
      <w:tab/>
    </w:r>
    <w:r>
      <w:rPr>
        <w:rFonts w:hint="eastAsia"/>
        <w:lang w:eastAsia="zh-CN"/>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9395B">
    <w:pPr>
      <w:pStyle w:val="10"/>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yOTkzZGIyNThhNWMyNTczNDEwZDdjODM4MjI5M2YifQ=="/>
  </w:docVars>
  <w:rsids>
    <w:rsidRoot w:val="662408E1"/>
    <w:rsid w:val="003473BC"/>
    <w:rsid w:val="003A44A6"/>
    <w:rsid w:val="006D7635"/>
    <w:rsid w:val="007C2CDB"/>
    <w:rsid w:val="00B76261"/>
    <w:rsid w:val="00D13D32"/>
    <w:rsid w:val="00FB4613"/>
    <w:rsid w:val="01B97F5E"/>
    <w:rsid w:val="030733BB"/>
    <w:rsid w:val="03620118"/>
    <w:rsid w:val="0571302A"/>
    <w:rsid w:val="06E33324"/>
    <w:rsid w:val="07F1121B"/>
    <w:rsid w:val="087E25F9"/>
    <w:rsid w:val="09C83FFF"/>
    <w:rsid w:val="0ACD6B49"/>
    <w:rsid w:val="0E812BCF"/>
    <w:rsid w:val="0ED939EE"/>
    <w:rsid w:val="0FFC7994"/>
    <w:rsid w:val="10CA5CE4"/>
    <w:rsid w:val="11CB6784"/>
    <w:rsid w:val="12386C7D"/>
    <w:rsid w:val="124473D0"/>
    <w:rsid w:val="1312127D"/>
    <w:rsid w:val="14065285"/>
    <w:rsid w:val="14E578E3"/>
    <w:rsid w:val="163634D4"/>
    <w:rsid w:val="16F64ABD"/>
    <w:rsid w:val="17111B32"/>
    <w:rsid w:val="17255A22"/>
    <w:rsid w:val="173C36E3"/>
    <w:rsid w:val="179D1A5D"/>
    <w:rsid w:val="194A1770"/>
    <w:rsid w:val="1BB23158"/>
    <w:rsid w:val="1BEB1CB1"/>
    <w:rsid w:val="1CD37CCF"/>
    <w:rsid w:val="20F81F49"/>
    <w:rsid w:val="2114528A"/>
    <w:rsid w:val="22C9509E"/>
    <w:rsid w:val="234560D5"/>
    <w:rsid w:val="24A23598"/>
    <w:rsid w:val="25106DF3"/>
    <w:rsid w:val="255B6C65"/>
    <w:rsid w:val="26035B0A"/>
    <w:rsid w:val="285E6FE6"/>
    <w:rsid w:val="28FA12B8"/>
    <w:rsid w:val="2A7C3749"/>
    <w:rsid w:val="2A901BBF"/>
    <w:rsid w:val="2AF83194"/>
    <w:rsid w:val="307F62FF"/>
    <w:rsid w:val="320209E2"/>
    <w:rsid w:val="323D5EBE"/>
    <w:rsid w:val="334119DE"/>
    <w:rsid w:val="33490893"/>
    <w:rsid w:val="345C3BFB"/>
    <w:rsid w:val="34AE2C27"/>
    <w:rsid w:val="35775A94"/>
    <w:rsid w:val="3593128D"/>
    <w:rsid w:val="36D956AC"/>
    <w:rsid w:val="396E1F85"/>
    <w:rsid w:val="39976792"/>
    <w:rsid w:val="3A2B484E"/>
    <w:rsid w:val="3B7A1023"/>
    <w:rsid w:val="3BEFF9DC"/>
    <w:rsid w:val="3D9237DD"/>
    <w:rsid w:val="3DE11DF4"/>
    <w:rsid w:val="3E0077CE"/>
    <w:rsid w:val="3FF83425"/>
    <w:rsid w:val="40167D4F"/>
    <w:rsid w:val="40A92EFF"/>
    <w:rsid w:val="414C6EF7"/>
    <w:rsid w:val="427E044B"/>
    <w:rsid w:val="42D4469C"/>
    <w:rsid w:val="43B835F7"/>
    <w:rsid w:val="470703F1"/>
    <w:rsid w:val="473E2065"/>
    <w:rsid w:val="47584820"/>
    <w:rsid w:val="48026F58"/>
    <w:rsid w:val="492C413F"/>
    <w:rsid w:val="49644ABA"/>
    <w:rsid w:val="49C61CE6"/>
    <w:rsid w:val="49C8156E"/>
    <w:rsid w:val="49EF7646"/>
    <w:rsid w:val="4C0373D9"/>
    <w:rsid w:val="4D2E2B7B"/>
    <w:rsid w:val="4D3D691B"/>
    <w:rsid w:val="4DB2378B"/>
    <w:rsid w:val="4DDC7B96"/>
    <w:rsid w:val="51F003FF"/>
    <w:rsid w:val="549E1416"/>
    <w:rsid w:val="55B327A2"/>
    <w:rsid w:val="55B6370E"/>
    <w:rsid w:val="56D025AE"/>
    <w:rsid w:val="57593CE3"/>
    <w:rsid w:val="57AE4138"/>
    <w:rsid w:val="585D2DDC"/>
    <w:rsid w:val="58726E85"/>
    <w:rsid w:val="588E2720"/>
    <w:rsid w:val="59960F02"/>
    <w:rsid w:val="5A3A4071"/>
    <w:rsid w:val="5B4377F2"/>
    <w:rsid w:val="5BA9500B"/>
    <w:rsid w:val="5C9664F6"/>
    <w:rsid w:val="5CDB36D4"/>
    <w:rsid w:val="5D6B3030"/>
    <w:rsid w:val="5DB057B9"/>
    <w:rsid w:val="5DFA32E2"/>
    <w:rsid w:val="5FDD0CC0"/>
    <w:rsid w:val="601B6E1A"/>
    <w:rsid w:val="608C09CC"/>
    <w:rsid w:val="61442516"/>
    <w:rsid w:val="61623F82"/>
    <w:rsid w:val="61B72756"/>
    <w:rsid w:val="63071A4D"/>
    <w:rsid w:val="6321792E"/>
    <w:rsid w:val="63A54F9A"/>
    <w:rsid w:val="64E9731B"/>
    <w:rsid w:val="65502AFE"/>
    <w:rsid w:val="662408E1"/>
    <w:rsid w:val="69AC2A06"/>
    <w:rsid w:val="6A241FFF"/>
    <w:rsid w:val="6A446B8F"/>
    <w:rsid w:val="6AF74F6E"/>
    <w:rsid w:val="6B594E10"/>
    <w:rsid w:val="6C057A8B"/>
    <w:rsid w:val="6C67530A"/>
    <w:rsid w:val="6D4B00CA"/>
    <w:rsid w:val="6D732E05"/>
    <w:rsid w:val="6EA91C0A"/>
    <w:rsid w:val="706109F2"/>
    <w:rsid w:val="720011E0"/>
    <w:rsid w:val="73A2766E"/>
    <w:rsid w:val="75D752AF"/>
    <w:rsid w:val="763444AF"/>
    <w:rsid w:val="76A52FA5"/>
    <w:rsid w:val="76FB76A4"/>
    <w:rsid w:val="771B741D"/>
    <w:rsid w:val="77B63910"/>
    <w:rsid w:val="793C2330"/>
    <w:rsid w:val="79B502CF"/>
    <w:rsid w:val="7CCD11BA"/>
    <w:rsid w:val="7DA41F1A"/>
    <w:rsid w:val="7DBF2D99"/>
    <w:rsid w:val="7DF84014"/>
    <w:rsid w:val="7E491FC4"/>
    <w:rsid w:val="7ECD4A5F"/>
    <w:rsid w:val="7EFD4982"/>
    <w:rsid w:val="7F5E2F63"/>
    <w:rsid w:val="7FB977D3"/>
    <w:rsid w:val="97FDBDE9"/>
    <w:rsid w:val="9F6F0807"/>
    <w:rsid w:val="A3FD1DA2"/>
    <w:rsid w:val="BFBFD40A"/>
    <w:rsid w:val="F3EA6B3D"/>
    <w:rsid w:val="F7B4D899"/>
    <w:rsid w:val="FFF5D6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Body Text 3"/>
    <w:basedOn w:val="1"/>
    <w:qFormat/>
    <w:uiPriority w:val="0"/>
    <w:pPr>
      <w:spacing w:after="120" w:afterLines="0"/>
    </w:pPr>
    <w:rPr>
      <w:sz w:val="16"/>
      <w:szCs w:val="16"/>
    </w:rPr>
  </w:style>
  <w:style w:type="paragraph" w:styleId="4">
    <w:name w:val="index 5"/>
    <w:basedOn w:val="1"/>
    <w:next w:val="1"/>
    <w:qFormat/>
    <w:uiPriority w:val="0"/>
    <w:pPr>
      <w:ind w:left="800" w:leftChars="800"/>
    </w:pPr>
  </w:style>
  <w:style w:type="paragraph" w:styleId="5">
    <w:name w:val="annotation text"/>
    <w:basedOn w:val="1"/>
    <w:qFormat/>
    <w:uiPriority w:val="0"/>
    <w:pPr>
      <w:jc w:val="left"/>
    </w:pPr>
  </w:style>
  <w:style w:type="paragraph" w:styleId="6">
    <w:name w:val="Body Text"/>
    <w:basedOn w:val="1"/>
    <w:next w:val="1"/>
    <w:qFormat/>
    <w:uiPriority w:val="0"/>
    <w:pPr>
      <w:spacing w:after="120"/>
    </w:pPr>
  </w:style>
  <w:style w:type="paragraph" w:styleId="7">
    <w:name w:val="Body Text Indent"/>
    <w:basedOn w:val="1"/>
    <w:next w:val="1"/>
    <w:qFormat/>
    <w:uiPriority w:val="99"/>
    <w:pPr>
      <w:spacing w:line="480" w:lineRule="exact"/>
      <w:ind w:firstLine="480" w:firstLineChars="200"/>
    </w:pPr>
    <w:rPr>
      <w:rFonts w:ascii="宋体" w:hAnsi="宋体"/>
      <w:sz w:val="24"/>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envelope return"/>
    <w:basedOn w:val="1"/>
    <w:qFormat/>
    <w:uiPriority w:val="0"/>
    <w:pPr>
      <w:snapToGrid w:val="0"/>
    </w:pPr>
    <w:rPr>
      <w:rFonts w:ascii="Arial" w:hAnsi="Arial"/>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toc 6"/>
    <w:basedOn w:val="1"/>
    <w:next w:val="1"/>
    <w:qFormat/>
    <w:uiPriority w:val="99"/>
    <w:pPr>
      <w:ind w:left="2100" w:leftChars="1000"/>
    </w:pPr>
  </w:style>
  <w:style w:type="paragraph" w:styleId="12">
    <w:name w:val="Body Text First Indent"/>
    <w:basedOn w:val="6"/>
    <w:next w:val="11"/>
    <w:qFormat/>
    <w:uiPriority w:val="0"/>
    <w:pPr>
      <w:spacing w:line="312" w:lineRule="auto"/>
      <w:ind w:firstLine="420"/>
    </w:pPr>
  </w:style>
  <w:style w:type="paragraph" w:styleId="13">
    <w:name w:val="Body Text First Indent 2"/>
    <w:basedOn w:val="7"/>
    <w:next w:val="14"/>
    <w:unhideWhenUsed/>
    <w:qFormat/>
    <w:uiPriority w:val="99"/>
    <w:pPr>
      <w:ind w:firstLine="420" w:firstLineChars="200"/>
    </w:pPr>
  </w:style>
  <w:style w:type="paragraph" w:customStyle="1" w:styleId="14">
    <w:name w:val="样式 正文首行缩进 2 + Arial"/>
    <w:basedOn w:val="1"/>
    <w:next w:val="1"/>
    <w:qFormat/>
    <w:uiPriority w:val="0"/>
    <w:pPr>
      <w:spacing w:after="120" w:line="320" w:lineRule="atLeast"/>
      <w:ind w:firstLine="200" w:firstLineChars="200"/>
    </w:pPr>
    <w:rPr>
      <w:rFonts w:ascii="Arial" w:hAnsi="Arial"/>
      <w:kern w:val="0"/>
    </w:rPr>
  </w:style>
  <w:style w:type="character" w:styleId="17">
    <w:name w:val="Strong"/>
    <w:basedOn w:val="16"/>
    <w:qFormat/>
    <w:uiPriority w:val="0"/>
    <w:rPr>
      <w:b/>
    </w:rPr>
  </w:style>
  <w:style w:type="character" w:styleId="18">
    <w:name w:val="page number"/>
    <w:qFormat/>
    <w:uiPriority w:val="0"/>
    <w:rPr>
      <w:rFonts w:ascii="Times New Roman" w:hAnsi="Times New Roman" w:eastAsia="宋体" w:cs="Times New Roman"/>
      <w:color w:val="auto"/>
      <w:kern w:val="2"/>
      <w:sz w:val="24"/>
      <w:szCs w:val="20"/>
    </w:rPr>
  </w:style>
  <w:style w:type="paragraph" w:customStyle="1" w:styleId="19">
    <w:name w:val="Body Text 31"/>
    <w:basedOn w:val="1"/>
    <w:qFormat/>
    <w:uiPriority w:val="0"/>
    <w:pPr>
      <w:spacing w:after="120" w:afterLines="0"/>
    </w:pPr>
    <w:rPr>
      <w:sz w:val="16"/>
      <w:szCs w:val="16"/>
    </w:rPr>
  </w:style>
  <w:style w:type="paragraph" w:customStyle="1" w:styleId="20">
    <w:name w:val="Body Text First Indent 21"/>
    <w:basedOn w:val="21"/>
    <w:qFormat/>
    <w:uiPriority w:val="0"/>
    <w:pPr>
      <w:ind w:firstLine="420"/>
    </w:pPr>
    <w:rPr>
      <w:rFonts w:cs="宋体"/>
    </w:rPr>
  </w:style>
  <w:style w:type="paragraph" w:customStyle="1" w:styleId="21">
    <w:name w:val="Body Text Indent1"/>
    <w:basedOn w:val="1"/>
    <w:next w:val="1"/>
    <w:qFormat/>
    <w:uiPriority w:val="0"/>
    <w:pPr>
      <w:spacing w:after="120"/>
      <w:ind w:left="420" w:leftChars="200"/>
    </w:pPr>
  </w:style>
  <w:style w:type="paragraph" w:customStyle="1" w:styleId="22">
    <w:name w:val="正文段"/>
    <w:basedOn w:val="1"/>
    <w:next w:val="4"/>
    <w:qFormat/>
    <w:uiPriority w:val="0"/>
    <w:pPr>
      <w:widowControl/>
      <w:snapToGrid w:val="0"/>
      <w:spacing w:after="156" w:afterLines="50"/>
      <w:ind w:firstLine="200" w:firstLineChars="200"/>
    </w:pPr>
    <w:rPr>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9527</Words>
  <Characters>9791</Characters>
  <Lines>23</Lines>
  <Paragraphs>6</Paragraphs>
  <TotalTime>11</TotalTime>
  <ScaleCrop>false</ScaleCrop>
  <LinksUpToDate>false</LinksUpToDate>
  <CharactersWithSpaces>9799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2024-07-15T01:07:00Z</dcterms:created>
  <dc:creator>k i ng</dc:creator>
  <cp:lastModifiedBy>路飞</cp:lastModifiedBy>
  <dcterms:modified xsi:type="dcterms:W3CDTF">2025-04-01T10:21:02Z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9C54DD699BFD4A9B8D26B7732248EE60_11</vt:lpwstr>
  </property>
  <property fmtid="{D5CDD505-2E9C-101B-9397-08002B2CF9AE}" pid="4" name="KSOTemplateDocerSaveRecord">
    <vt:lpwstr>eyJoZGlkIjoiOGY5ZDhmYTFkMmNmMjcwMzdkMjNhYmVlZTExMGExZjgiLCJ1c2VySWQiOiI3MTQxNzcxODMifQ==</vt:lpwstr>
  </property>
</Properties>
</file>