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C9B80">
      <w:pPr>
        <w:keepNext w:val="0"/>
        <w:keepLines w:val="0"/>
        <w:pageBreakBefore w:val="0"/>
        <w:widowControl w:val="0"/>
        <w:kinsoku/>
        <w:wordWrap/>
        <w:overflowPunct/>
        <w:topLinePunct w:val="0"/>
        <w:bidi w:val="0"/>
        <w:adjustRightInd w:val="0"/>
        <w:snapToGrid/>
        <w:spacing w:line="288"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诸暨市姚江镇2025年企业消防安全宣传服务采购项目</w:t>
      </w:r>
      <w:r>
        <w:rPr>
          <w:rFonts w:hint="eastAsia" w:ascii="宋体" w:hAnsi="宋体" w:eastAsia="宋体" w:cs="宋体"/>
          <w:b/>
          <w:color w:val="auto"/>
          <w:sz w:val="32"/>
          <w:szCs w:val="32"/>
          <w:highlight w:val="none"/>
        </w:rPr>
        <w:t>要素</w:t>
      </w:r>
    </w:p>
    <w:p w14:paraId="24DC07CD">
      <w:pPr>
        <w:keepNext w:val="0"/>
        <w:keepLines w:val="0"/>
        <w:pageBreakBefore w:val="0"/>
        <w:widowControl w:val="0"/>
        <w:kinsoku/>
        <w:wordWrap/>
        <w:overflowPunct/>
        <w:topLinePunct w:val="0"/>
        <w:autoSpaceDE w:val="0"/>
        <w:autoSpaceDN w:val="0"/>
        <w:bidi w:val="0"/>
        <w:adjustRightInd w:val="0"/>
        <w:snapToGrid/>
        <w:spacing w:line="288" w:lineRule="auto"/>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一、项目名称：</w:t>
      </w:r>
      <w:r>
        <w:rPr>
          <w:rFonts w:hint="eastAsia" w:ascii="宋体" w:hAnsi="宋体" w:eastAsia="宋体" w:cs="宋体"/>
          <w:color w:val="auto"/>
          <w:sz w:val="24"/>
          <w:highlight w:val="none"/>
          <w:lang w:eastAsia="zh-CN"/>
        </w:rPr>
        <w:t xml:space="preserve">诸暨市姚江镇2025年企业消防安全宣传服务采购项目 </w:t>
      </w:r>
    </w:p>
    <w:p w14:paraId="087784CE">
      <w:pPr>
        <w:keepNext w:val="0"/>
        <w:keepLines w:val="0"/>
        <w:pageBreakBefore w:val="0"/>
        <w:widowControl w:val="0"/>
        <w:kinsoku/>
        <w:wordWrap/>
        <w:overflowPunct/>
        <w:topLinePunct w:val="0"/>
        <w:autoSpaceDE/>
        <w:autoSpaceDN/>
        <w:bidi w:val="0"/>
        <w:adjustRightInd w:val="0"/>
        <w:snapToGrid/>
        <w:spacing w:line="288"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二、项目内容及规模：</w:t>
      </w:r>
      <w:r>
        <w:rPr>
          <w:rFonts w:hint="eastAsia" w:ascii="宋体" w:hAnsi="宋体" w:eastAsia="宋体" w:cs="宋体"/>
          <w:color w:val="auto"/>
          <w:sz w:val="24"/>
          <w:highlight w:val="none"/>
          <w:lang w:eastAsia="zh-CN"/>
        </w:rPr>
        <w:t>诸暨市</w:t>
      </w:r>
      <w:bookmarkStart w:id="2" w:name="_GoBack"/>
      <w:bookmarkEnd w:id="2"/>
      <w:r>
        <w:rPr>
          <w:rFonts w:hint="eastAsia" w:ascii="宋体" w:hAnsi="宋体" w:eastAsia="宋体" w:cs="宋体"/>
          <w:color w:val="auto"/>
          <w:sz w:val="24"/>
          <w:highlight w:val="none"/>
          <w:lang w:eastAsia="zh-CN"/>
        </w:rPr>
        <w:t>姚江镇2025年企业消防安全宣传服务采购项目，预算金额为</w:t>
      </w:r>
      <w:r>
        <w:rPr>
          <w:rFonts w:hint="eastAsia" w:ascii="宋体" w:hAnsi="宋体" w:eastAsia="宋体" w:cs="宋体"/>
          <w:color w:val="auto"/>
          <w:sz w:val="24"/>
          <w:highlight w:val="none"/>
          <w:lang w:val="en-US" w:eastAsia="zh-CN"/>
        </w:rPr>
        <w:t>75万元</w:t>
      </w:r>
      <w:r>
        <w:rPr>
          <w:rFonts w:hint="eastAsia" w:ascii="宋体" w:hAnsi="宋体" w:eastAsia="宋体" w:cs="宋体"/>
          <w:color w:val="auto"/>
          <w:sz w:val="24"/>
          <w:highlight w:val="none"/>
          <w:lang w:eastAsia="zh-CN"/>
        </w:rPr>
        <w:t>，详见采购需求。</w:t>
      </w:r>
    </w:p>
    <w:p w14:paraId="3AF6E971">
      <w:pPr>
        <w:keepNext w:val="0"/>
        <w:keepLines w:val="0"/>
        <w:pageBreakBefore w:val="0"/>
        <w:widowControl w:val="0"/>
        <w:kinsoku/>
        <w:wordWrap/>
        <w:overflowPunct/>
        <w:topLinePunct w:val="0"/>
        <w:bidi w:val="0"/>
        <w:adjustRightInd w:val="0"/>
        <w:snapToGrid/>
        <w:spacing w:line="288"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三、投标人（</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）资格要求：</w:t>
      </w:r>
    </w:p>
    <w:p w14:paraId="0BC1DBF0">
      <w:pPr>
        <w:keepNext w:val="0"/>
        <w:keepLines w:val="0"/>
        <w:pageBreakBefore w:val="0"/>
        <w:widowControl w:val="0"/>
        <w:kinsoku/>
        <w:wordWrap/>
        <w:overflowPunct/>
        <w:topLinePunct w:val="0"/>
        <w:bidi w:val="0"/>
        <w:adjustRightInd w:val="0"/>
        <w:snapToGrid/>
        <w:spacing w:line="28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1.满足《中华人民共和国政府采购法》第二十二条</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规定；</w:t>
      </w:r>
    </w:p>
    <w:p w14:paraId="13427915">
      <w:pPr>
        <w:keepNext w:val="0"/>
        <w:keepLines w:val="0"/>
        <w:pageBreakBefore w:val="0"/>
        <w:widowControl w:val="0"/>
        <w:kinsoku/>
        <w:wordWrap/>
        <w:overflowPunct/>
        <w:topLinePunct w:val="0"/>
        <w:bidi w:val="0"/>
        <w:adjustRightInd w:val="0"/>
        <w:snapToGrid/>
        <w:spacing w:line="28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2.未被“信用中国”（www.creditchina.gov.cn）、中国政府采购网（www.ccgp.gov.cn）列入失信被执行人、重大税收违法案件当事人名单、政府采购严重违法失信行为记录名单；</w:t>
      </w:r>
    </w:p>
    <w:p w14:paraId="0467D690">
      <w:pPr>
        <w:keepNext w:val="0"/>
        <w:keepLines w:val="0"/>
        <w:pageBreakBefore w:val="0"/>
        <w:widowControl w:val="0"/>
        <w:kinsoku/>
        <w:wordWrap/>
        <w:overflowPunct/>
        <w:topLinePunct w:val="0"/>
        <w:bidi w:val="0"/>
        <w:adjustRightInd w:val="0"/>
        <w:snapToGrid/>
        <w:spacing w:line="288"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3.落实政府采购政策需满足的资格要求：专门面向中小企业</w:t>
      </w:r>
      <w:r>
        <w:rPr>
          <w:rFonts w:hint="eastAsia" w:ascii="宋体" w:hAnsi="宋体" w:eastAsia="宋体" w:cs="宋体"/>
          <w:color w:val="auto"/>
          <w:sz w:val="24"/>
          <w:highlight w:val="none"/>
          <w:lang w:val="en-US" w:eastAsia="zh-CN"/>
        </w:rPr>
        <w:t>；</w:t>
      </w:r>
    </w:p>
    <w:p w14:paraId="466C8AEB">
      <w:pPr>
        <w:keepNext w:val="0"/>
        <w:keepLines w:val="0"/>
        <w:pageBreakBefore w:val="0"/>
        <w:kinsoku/>
        <w:wordWrap/>
        <w:overflowPunct/>
        <w:topLinePunct w:val="0"/>
        <w:bidi w:val="0"/>
        <w:adjustRightInd w:val="0"/>
        <w:snapToGrid/>
        <w:spacing w:line="288"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本项目不接受联合体投标</w:t>
      </w:r>
      <w:r>
        <w:rPr>
          <w:rFonts w:hint="eastAsia" w:ascii="宋体" w:hAnsi="宋体" w:eastAsia="宋体" w:cs="宋体"/>
          <w:color w:val="auto"/>
          <w:sz w:val="24"/>
          <w:highlight w:val="none"/>
          <w:lang w:val="en-US" w:eastAsia="zh-CN"/>
        </w:rPr>
        <w:t>。</w:t>
      </w:r>
    </w:p>
    <w:p w14:paraId="63A52545">
      <w:pPr>
        <w:keepNext w:val="0"/>
        <w:keepLines w:val="0"/>
        <w:pageBreakBefore w:val="0"/>
        <w:widowControl w:val="0"/>
        <w:kinsoku/>
        <w:wordWrap/>
        <w:overflowPunct/>
        <w:topLinePunct w:val="0"/>
        <w:bidi w:val="0"/>
        <w:adjustRightInd w:val="0"/>
        <w:snapToGrid/>
        <w:spacing w:line="288" w:lineRule="auto"/>
        <w:ind w:firstLine="482"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四、评标办法：综合评分法</w:t>
      </w:r>
    </w:p>
    <w:p w14:paraId="2EE6B19C">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1.满分为100分。总得分=商务技术得分+报价得分；</w:t>
      </w:r>
    </w:p>
    <w:p w14:paraId="29484D87">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2.商务技术得分=商务技术评分，商务技术评分=所有评委的有效评分的算术平均数。</w:t>
      </w:r>
    </w:p>
    <w:p w14:paraId="0D56C9DF">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3.报价得分=（评标基准价/投标报价）*价格权值*100，评标基准价=有效投标人的最低投标报价，价格权值=</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p>
    <w:p w14:paraId="5027B779">
      <w:pPr>
        <w:keepNext w:val="0"/>
        <w:keepLines w:val="0"/>
        <w:pageBreakBefore w:val="0"/>
        <w:widowControl w:val="0"/>
        <w:kinsoku/>
        <w:wordWrap/>
        <w:overflowPunct/>
        <w:topLinePunct w:val="0"/>
        <w:autoSpaceDE w:val="0"/>
        <w:autoSpaceDN w:val="0"/>
        <w:bidi w:val="0"/>
        <w:adjustRightInd w:val="0"/>
        <w:snapToGrid/>
        <w:spacing w:line="28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4.商务技术分评分细则（</w:t>
      </w:r>
      <w:r>
        <w:rPr>
          <w:rFonts w:hint="eastAsia" w:ascii="宋体" w:hAnsi="宋体" w:eastAsia="宋体" w:cs="宋体"/>
          <w:color w:val="auto"/>
          <w:sz w:val="24"/>
          <w:highlight w:val="none"/>
          <w:lang w:val="en-US" w:eastAsia="zh-CN"/>
        </w:rPr>
        <w:t>80</w:t>
      </w:r>
      <w:r>
        <w:rPr>
          <w:rFonts w:hint="eastAsia" w:ascii="宋体" w:hAnsi="宋体" w:eastAsia="宋体" w:cs="宋体"/>
          <w:color w:val="auto"/>
          <w:sz w:val="24"/>
          <w:highlight w:val="none"/>
        </w:rPr>
        <w:t>分）</w:t>
      </w:r>
    </w:p>
    <w:tbl>
      <w:tblPr>
        <w:tblStyle w:val="20"/>
        <w:tblW w:w="9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248"/>
        <w:gridCol w:w="6728"/>
        <w:gridCol w:w="810"/>
      </w:tblGrid>
      <w:tr w14:paraId="027A6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91" w:type="dxa"/>
            <w:noWrap w:val="0"/>
            <w:vAlign w:val="center"/>
          </w:tcPr>
          <w:p w14:paraId="48355580">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序号</w:t>
            </w:r>
          </w:p>
        </w:tc>
        <w:tc>
          <w:tcPr>
            <w:tcW w:w="1248" w:type="dxa"/>
            <w:noWrap w:val="0"/>
            <w:vAlign w:val="center"/>
          </w:tcPr>
          <w:p w14:paraId="494494A3">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
                <w:bCs/>
                <w:color w:val="auto"/>
                <w:sz w:val="24"/>
                <w:szCs w:val="24"/>
                <w:highlight w:val="none"/>
                <w:lang w:eastAsia="en-US"/>
              </w:rPr>
            </w:pPr>
            <w:r>
              <w:rPr>
                <w:rFonts w:hint="eastAsia" w:ascii="宋体" w:hAnsi="宋体" w:eastAsia="宋体" w:cs="宋体"/>
                <w:b/>
                <w:bCs/>
                <w:color w:val="auto"/>
                <w:sz w:val="24"/>
                <w:szCs w:val="24"/>
                <w:highlight w:val="none"/>
              </w:rPr>
              <w:t>评分内容</w:t>
            </w:r>
          </w:p>
        </w:tc>
        <w:tc>
          <w:tcPr>
            <w:tcW w:w="6728" w:type="dxa"/>
            <w:noWrap w:val="0"/>
            <w:vAlign w:val="center"/>
          </w:tcPr>
          <w:p w14:paraId="1D12B447">
            <w:pPr>
              <w:keepNext w:val="0"/>
              <w:keepLines w:val="0"/>
              <w:pageBreakBefore w:val="0"/>
              <w:widowControl w:val="0"/>
              <w:kinsoku/>
              <w:wordWrap/>
              <w:overflowPunct/>
              <w:topLinePunct w:val="0"/>
              <w:bidi w:val="0"/>
              <w:snapToGrid/>
              <w:spacing w:line="288" w:lineRule="auto"/>
              <w:ind w:firstLine="361" w:firstLineChars="15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c>
          <w:tcPr>
            <w:tcW w:w="810" w:type="dxa"/>
            <w:noWrap w:val="0"/>
            <w:vAlign w:val="center"/>
          </w:tcPr>
          <w:p w14:paraId="424C2900">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
                <w:bCs/>
                <w:color w:val="auto"/>
                <w:sz w:val="24"/>
                <w:szCs w:val="24"/>
                <w:highlight w:val="none"/>
                <w:lang w:eastAsia="en-US"/>
              </w:rPr>
            </w:pPr>
            <w:r>
              <w:rPr>
                <w:rFonts w:hint="eastAsia" w:ascii="宋体" w:hAnsi="宋体" w:eastAsia="宋体" w:cs="宋体"/>
                <w:b/>
                <w:bCs/>
                <w:color w:val="auto"/>
                <w:sz w:val="24"/>
                <w:szCs w:val="24"/>
                <w:highlight w:val="none"/>
              </w:rPr>
              <w:t>分值</w:t>
            </w:r>
          </w:p>
        </w:tc>
      </w:tr>
      <w:tr w14:paraId="47BE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1" w:type="dxa"/>
            <w:noWrap w:val="0"/>
            <w:vAlign w:val="center"/>
          </w:tcPr>
          <w:p w14:paraId="137CF8FB">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1248" w:type="dxa"/>
            <w:noWrap w:val="0"/>
            <w:vAlign w:val="center"/>
          </w:tcPr>
          <w:p w14:paraId="184378BF">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资信</w:t>
            </w:r>
          </w:p>
        </w:tc>
        <w:tc>
          <w:tcPr>
            <w:tcW w:w="6728" w:type="dxa"/>
            <w:noWrap w:val="0"/>
            <w:vAlign w:val="center"/>
          </w:tcPr>
          <w:p w14:paraId="18D4C1CA">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投标人为地市级及以上应急管理局登记备案的风险排查社会化服务机构的得3分。</w:t>
            </w:r>
          </w:p>
          <w:p w14:paraId="74974B39">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商务技术文件中需提供相关证明材料（如地市级及以上应急管理局官网截图证明或应急管理局出具的证明文件）并加盖投标人公章，不提供不得分。</w:t>
            </w:r>
          </w:p>
        </w:tc>
        <w:tc>
          <w:tcPr>
            <w:tcW w:w="810" w:type="dxa"/>
            <w:noWrap w:val="0"/>
            <w:vAlign w:val="center"/>
          </w:tcPr>
          <w:p w14:paraId="7F2079D1">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3分</w:t>
            </w:r>
          </w:p>
        </w:tc>
      </w:tr>
      <w:tr w14:paraId="3B57D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1" w:type="dxa"/>
            <w:noWrap w:val="0"/>
            <w:vAlign w:val="center"/>
          </w:tcPr>
          <w:p w14:paraId="4D44747C">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1248" w:type="dxa"/>
            <w:noWrap w:val="0"/>
            <w:vAlign w:val="center"/>
          </w:tcPr>
          <w:p w14:paraId="620D66F1">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业绩</w:t>
            </w:r>
          </w:p>
        </w:tc>
        <w:tc>
          <w:tcPr>
            <w:tcW w:w="6728" w:type="dxa"/>
            <w:noWrap w:val="0"/>
            <w:vAlign w:val="center"/>
          </w:tcPr>
          <w:p w14:paraId="00EE2FAC">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年1月1日以来</w:t>
            </w:r>
            <w:r>
              <w:rPr>
                <w:rFonts w:hint="eastAsia" w:ascii="宋体" w:hAnsi="宋体" w:eastAsia="宋体" w:cs="宋体"/>
                <w:color w:val="auto"/>
                <w:sz w:val="24"/>
                <w:szCs w:val="24"/>
                <w:highlight w:val="none"/>
              </w:rPr>
              <w:t>（以合同签订时间为准），投标人</w:t>
            </w:r>
            <w:r>
              <w:rPr>
                <w:rFonts w:hint="eastAsia" w:ascii="宋体" w:hAnsi="宋体" w:eastAsia="宋体" w:cs="宋体"/>
                <w:color w:val="auto"/>
                <w:sz w:val="24"/>
                <w:szCs w:val="24"/>
                <w:highlight w:val="none"/>
                <w:lang w:val="en-US" w:eastAsia="zh-CN"/>
              </w:rPr>
              <w:t>具有同类或类似项目业绩的，每提供一个得1分，本项最高</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59B2B66B">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商务技术文件中需提供相关合同复印件并加盖投标人公章，不提供不得分。</w:t>
            </w:r>
          </w:p>
        </w:tc>
        <w:tc>
          <w:tcPr>
            <w:tcW w:w="810" w:type="dxa"/>
            <w:noWrap w:val="0"/>
            <w:vAlign w:val="center"/>
          </w:tcPr>
          <w:p w14:paraId="418C49BC">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分</w:t>
            </w:r>
          </w:p>
        </w:tc>
      </w:tr>
      <w:tr w14:paraId="59A54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1" w:type="dxa"/>
            <w:noWrap w:val="0"/>
            <w:vAlign w:val="center"/>
          </w:tcPr>
          <w:p w14:paraId="13269796">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1248" w:type="dxa"/>
            <w:noWrap w:val="0"/>
            <w:vAlign w:val="center"/>
          </w:tcPr>
          <w:p w14:paraId="2BFF8939">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拟投入</w:t>
            </w:r>
          </w:p>
          <w:p w14:paraId="546B6A73">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人员</w:t>
            </w:r>
          </w:p>
        </w:tc>
        <w:tc>
          <w:tcPr>
            <w:tcW w:w="6728" w:type="dxa"/>
            <w:noWrap w:val="0"/>
            <w:vAlign w:val="center"/>
          </w:tcPr>
          <w:p w14:paraId="0BF63A8A">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投标人拟投入本项目服务组成员中具有注册安全工程师或安全评价师或电气工程师或机械安全工程师或机电工程师资格证书的，每提供一人得2分，本项最高得10分。</w:t>
            </w:r>
          </w:p>
          <w:p w14:paraId="06A2ED02">
            <w:pPr>
              <w:keepNext w:val="0"/>
              <w:keepLines w:val="0"/>
              <w:pageBreakBefore w:val="0"/>
              <w:widowControl w:val="0"/>
              <w:kinsoku/>
              <w:wordWrap/>
              <w:overflowPunct/>
              <w:topLinePunct w:val="0"/>
              <w:bidi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如同一人有多个证书的，证书只计取一次，不重复计取。</w:t>
            </w:r>
            <w:r>
              <w:rPr>
                <w:rFonts w:hint="eastAsia" w:ascii="宋体" w:hAnsi="宋体" w:eastAsia="宋体" w:cs="宋体"/>
                <w:b/>
                <w:bCs/>
                <w:color w:val="auto"/>
                <w:sz w:val="24"/>
                <w:szCs w:val="24"/>
                <w:highlight w:val="none"/>
                <w:lang w:val="en-US" w:eastAsia="zh-CN"/>
              </w:rPr>
              <w:t>商务技术文件中需提供拟投入人员名单、相关证书复印件</w:t>
            </w:r>
            <w:r>
              <w:rPr>
                <w:rFonts w:hint="eastAsia" w:ascii="宋体" w:hAnsi="宋体" w:eastAsia="宋体" w:cs="宋体"/>
                <w:b/>
                <w:bCs/>
                <w:color w:val="auto"/>
                <w:sz w:val="24"/>
                <w:szCs w:val="24"/>
                <w:highlight w:val="none"/>
                <w:lang w:val="en-US" w:eastAsia="zh-CN"/>
              </w:rPr>
              <w:t>及投标人为其缴纳的近一个月社保证明并加盖投标人公章</w:t>
            </w:r>
            <w:r>
              <w:rPr>
                <w:rFonts w:hint="eastAsia" w:ascii="宋体" w:hAnsi="宋体" w:eastAsia="宋体" w:cs="宋体"/>
                <w:b/>
                <w:bCs/>
                <w:color w:val="auto"/>
                <w:sz w:val="24"/>
                <w:szCs w:val="24"/>
                <w:highlight w:val="none"/>
                <w:lang w:val="en-US" w:eastAsia="zh-CN"/>
              </w:rPr>
              <w:t>，不提供不得分。</w:t>
            </w:r>
          </w:p>
        </w:tc>
        <w:tc>
          <w:tcPr>
            <w:tcW w:w="810" w:type="dxa"/>
            <w:noWrap w:val="0"/>
            <w:vAlign w:val="center"/>
          </w:tcPr>
          <w:p w14:paraId="739DD6B3">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10分</w:t>
            </w:r>
          </w:p>
        </w:tc>
      </w:tr>
      <w:tr w14:paraId="15B49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1" w:type="dxa"/>
            <w:noWrap w:val="0"/>
            <w:vAlign w:val="center"/>
          </w:tcPr>
          <w:p w14:paraId="68853BF4">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c>
          <w:tcPr>
            <w:tcW w:w="1248" w:type="dxa"/>
            <w:noWrap w:val="0"/>
            <w:vAlign w:val="center"/>
          </w:tcPr>
          <w:p w14:paraId="5650EDB0">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拟投入</w:t>
            </w:r>
          </w:p>
          <w:p w14:paraId="2D0A83E0">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设备</w:t>
            </w:r>
          </w:p>
        </w:tc>
        <w:tc>
          <w:tcPr>
            <w:tcW w:w="6728" w:type="dxa"/>
            <w:noWrap w:val="0"/>
            <w:vAlign w:val="center"/>
          </w:tcPr>
          <w:p w14:paraId="1AEF4102">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根据投标人为本项目投入的交通工具及专业工作设备进行</w:t>
            </w:r>
            <w:r>
              <w:rPr>
                <w:rFonts w:hint="eastAsia" w:ascii="宋体" w:hAnsi="宋体" w:eastAsia="宋体" w:cs="宋体"/>
                <w:b w:val="0"/>
                <w:bCs w:val="0"/>
                <w:color w:val="auto"/>
                <w:sz w:val="24"/>
                <w:szCs w:val="24"/>
                <w:highlight w:val="none"/>
                <w:lang w:val="en-US" w:eastAsia="zh-CN"/>
              </w:rPr>
              <w:t>打分，本项最高得9分。</w:t>
            </w:r>
          </w:p>
          <w:p w14:paraId="6AF8C906">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1.车辆及设备配置全面、充足的得9分；</w:t>
            </w:r>
          </w:p>
          <w:p w14:paraId="36631A57">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2.车辆及设备基本能满足项目需求的得6分；</w:t>
            </w:r>
          </w:p>
          <w:p w14:paraId="70B23B40">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3.车辆及设备配置简单，难以满足项目需求的得3分。</w:t>
            </w:r>
          </w:p>
          <w:p w14:paraId="5FC77862">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商务技术文件中需相关证明材料（如车辆、设备购置发票或租赁合同）加盖投标人公章，不提供不得分。</w:t>
            </w:r>
          </w:p>
        </w:tc>
        <w:tc>
          <w:tcPr>
            <w:tcW w:w="810" w:type="dxa"/>
            <w:noWrap w:val="0"/>
            <w:vAlign w:val="center"/>
          </w:tcPr>
          <w:p w14:paraId="359B22BC">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9分</w:t>
            </w:r>
          </w:p>
        </w:tc>
      </w:tr>
      <w:tr w14:paraId="2418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1" w:type="dxa"/>
            <w:noWrap w:val="0"/>
            <w:vAlign w:val="center"/>
          </w:tcPr>
          <w:p w14:paraId="191D2C03">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c>
          <w:tcPr>
            <w:tcW w:w="1248" w:type="dxa"/>
            <w:noWrap w:val="0"/>
            <w:vAlign w:val="center"/>
          </w:tcPr>
          <w:p w14:paraId="0828A690">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项目了解</w:t>
            </w:r>
          </w:p>
        </w:tc>
        <w:tc>
          <w:tcPr>
            <w:tcW w:w="6728" w:type="dxa"/>
            <w:noWrap w:val="0"/>
            <w:vAlign w:val="center"/>
          </w:tcPr>
          <w:p w14:paraId="18A99033">
            <w:pPr>
              <w:keepNext w:val="0"/>
              <w:keepLines w:val="0"/>
              <w:pageBreakBefore w:val="0"/>
              <w:widowControl w:val="0"/>
              <w:kinsoku/>
              <w:wordWrap/>
              <w:overflowPunct/>
              <w:topLinePunct w:val="0"/>
              <w:bidi w:val="0"/>
              <w:snapToGrid/>
              <w:spacing w:line="288"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根据投标人对本项目</w:t>
            </w:r>
            <w:r>
              <w:rPr>
                <w:rFonts w:hint="eastAsia" w:ascii="宋体" w:hAnsi="宋体" w:eastAsia="宋体" w:cs="宋体"/>
                <w:b w:val="0"/>
                <w:bCs w:val="0"/>
                <w:color w:val="auto"/>
                <w:sz w:val="24"/>
                <w:szCs w:val="24"/>
                <w:highlight w:val="none"/>
                <w:lang w:val="en-US" w:eastAsia="zh-CN"/>
              </w:rPr>
              <w:t>了解情况（包括</w:t>
            </w:r>
            <w:r>
              <w:rPr>
                <w:rFonts w:hint="eastAsia" w:ascii="宋体" w:hAnsi="宋体" w:eastAsia="宋体" w:cs="宋体"/>
                <w:color w:val="auto"/>
                <w:sz w:val="24"/>
                <w:szCs w:val="24"/>
                <w:highlight w:val="none"/>
                <w:lang w:val="en-US" w:eastAsia="zh-CN"/>
              </w:rPr>
              <w:t>服务内容、服务范围、项目基本情况、相关职责等</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进行打分，</w:t>
            </w:r>
            <w:r>
              <w:rPr>
                <w:rFonts w:hint="eastAsia" w:ascii="宋体" w:hAnsi="宋体" w:eastAsia="宋体" w:cs="宋体"/>
                <w:b w:val="0"/>
                <w:bCs w:val="0"/>
                <w:color w:val="auto"/>
                <w:sz w:val="24"/>
                <w:szCs w:val="24"/>
                <w:highlight w:val="none"/>
                <w:lang w:val="en-US" w:eastAsia="zh-CN"/>
              </w:rPr>
              <w:t>本项最高</w:t>
            </w:r>
            <w:r>
              <w:rPr>
                <w:rFonts w:hint="eastAsia" w:ascii="宋体" w:hAnsi="宋体" w:eastAsia="宋体" w:cs="宋体"/>
                <w:color w:val="auto"/>
                <w:sz w:val="24"/>
                <w:szCs w:val="24"/>
                <w:highlight w:val="none"/>
                <w:lang w:val="en-US" w:eastAsia="zh-CN"/>
              </w:rPr>
              <w:t>得8分。</w:t>
            </w:r>
          </w:p>
          <w:p w14:paraId="51D067E8">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1.项目了解全面具体得8分；</w:t>
            </w:r>
          </w:p>
          <w:p w14:paraId="37C135C7">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2.项目了解相对全面得5分；</w:t>
            </w:r>
          </w:p>
          <w:p w14:paraId="4EE63B54">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3.项目了解片面简单得2分；</w:t>
            </w:r>
          </w:p>
          <w:p w14:paraId="1AB9887D">
            <w:pPr>
              <w:keepNext w:val="0"/>
              <w:keepLines w:val="0"/>
              <w:pageBreakBefore w:val="0"/>
              <w:widowControl w:val="0"/>
              <w:kinsoku/>
              <w:wordWrap/>
              <w:overflowPunct/>
              <w:topLinePunct w:val="0"/>
              <w:bidi w:val="0"/>
              <w:snapToGrid/>
              <w:spacing w:line="288"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4.不提供不得分。</w:t>
            </w:r>
          </w:p>
        </w:tc>
        <w:tc>
          <w:tcPr>
            <w:tcW w:w="810" w:type="dxa"/>
            <w:noWrap w:val="0"/>
            <w:vAlign w:val="center"/>
          </w:tcPr>
          <w:p w14:paraId="123B2EFF">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8分</w:t>
            </w:r>
          </w:p>
        </w:tc>
      </w:tr>
      <w:tr w14:paraId="6C8C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1" w:type="dxa"/>
            <w:shd w:val="clear" w:color="auto" w:fill="auto"/>
            <w:noWrap w:val="0"/>
            <w:vAlign w:val="center"/>
          </w:tcPr>
          <w:p w14:paraId="777A369E">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6</w:t>
            </w:r>
          </w:p>
        </w:tc>
        <w:tc>
          <w:tcPr>
            <w:tcW w:w="1248" w:type="dxa"/>
            <w:noWrap w:val="0"/>
            <w:vAlign w:val="center"/>
          </w:tcPr>
          <w:p w14:paraId="59FF97C5">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重难点分析</w:t>
            </w:r>
          </w:p>
        </w:tc>
        <w:tc>
          <w:tcPr>
            <w:tcW w:w="6728" w:type="dxa"/>
            <w:noWrap w:val="0"/>
            <w:vAlign w:val="center"/>
          </w:tcPr>
          <w:p w14:paraId="58080A22">
            <w:pPr>
              <w:keepNext w:val="0"/>
              <w:keepLines w:val="0"/>
              <w:pageBreakBefore w:val="0"/>
              <w:widowControl w:val="0"/>
              <w:kinsoku/>
              <w:wordWrap/>
              <w:overflowPunct/>
              <w:topLinePunct w:val="0"/>
              <w:bidi w:val="0"/>
              <w:snapToGrid/>
              <w:spacing w:line="288"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根据投标人对本项目重点难点进行的分析及提供的解决方案进行打分，</w:t>
            </w:r>
            <w:r>
              <w:rPr>
                <w:rFonts w:hint="eastAsia" w:ascii="宋体" w:hAnsi="宋体" w:eastAsia="宋体" w:cs="宋体"/>
                <w:b w:val="0"/>
                <w:bCs w:val="0"/>
                <w:color w:val="auto"/>
                <w:sz w:val="24"/>
                <w:szCs w:val="24"/>
                <w:highlight w:val="none"/>
                <w:lang w:val="en-US" w:eastAsia="zh-CN"/>
              </w:rPr>
              <w:t>本项最高</w:t>
            </w:r>
            <w:r>
              <w:rPr>
                <w:rFonts w:hint="eastAsia" w:ascii="宋体" w:hAnsi="宋体" w:eastAsia="宋体" w:cs="宋体"/>
                <w:color w:val="auto"/>
                <w:sz w:val="24"/>
                <w:szCs w:val="24"/>
                <w:highlight w:val="none"/>
                <w:lang w:val="en-US" w:eastAsia="zh-CN"/>
              </w:rPr>
              <w:t>得8分。</w:t>
            </w:r>
          </w:p>
          <w:p w14:paraId="51ABF0A3">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1.重难点分析完整，方案合理可行的得8分；</w:t>
            </w:r>
          </w:p>
          <w:p w14:paraId="3CDB0994">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2.重难点分析存在欠缺但相对完整，方案基本可行的得5分；</w:t>
            </w:r>
          </w:p>
          <w:p w14:paraId="357E3EEF">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3.重难点分析简单，方案可行性不高的得2分；</w:t>
            </w:r>
          </w:p>
          <w:p w14:paraId="35C309EB">
            <w:pPr>
              <w:keepNext w:val="0"/>
              <w:keepLines w:val="0"/>
              <w:pageBreakBefore w:val="0"/>
              <w:widowControl w:val="0"/>
              <w:kinsoku/>
              <w:wordWrap/>
              <w:overflowPunct/>
              <w:topLinePunct w:val="0"/>
              <w:bidi w:val="0"/>
              <w:snapToGrid/>
              <w:spacing w:line="288"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4.不提供不得分。</w:t>
            </w:r>
          </w:p>
        </w:tc>
        <w:tc>
          <w:tcPr>
            <w:tcW w:w="810" w:type="dxa"/>
            <w:noWrap w:val="0"/>
            <w:vAlign w:val="center"/>
          </w:tcPr>
          <w:p w14:paraId="76843B4B">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8分</w:t>
            </w:r>
          </w:p>
        </w:tc>
      </w:tr>
      <w:tr w14:paraId="247BD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1" w:type="dxa"/>
            <w:shd w:val="clear" w:color="auto" w:fill="auto"/>
            <w:noWrap w:val="0"/>
            <w:vAlign w:val="center"/>
          </w:tcPr>
          <w:p w14:paraId="74D117C3">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7</w:t>
            </w:r>
          </w:p>
        </w:tc>
        <w:tc>
          <w:tcPr>
            <w:tcW w:w="1248" w:type="dxa"/>
            <w:noWrap w:val="0"/>
            <w:vAlign w:val="center"/>
          </w:tcPr>
          <w:p w14:paraId="35F28194">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 w:val="0"/>
                <w:bCs w:val="0"/>
                <w:color w:val="auto"/>
                <w:sz w:val="24"/>
                <w:szCs w:val="24"/>
                <w:highlight w:val="none"/>
                <w:lang w:val="en-US" w:eastAsia="en-US"/>
              </w:rPr>
            </w:pPr>
            <w:r>
              <w:rPr>
                <w:rFonts w:hint="eastAsia" w:ascii="宋体" w:hAnsi="宋体" w:eastAsia="宋体" w:cs="宋体"/>
                <w:b w:val="0"/>
                <w:bCs w:val="0"/>
                <w:color w:val="auto"/>
                <w:sz w:val="24"/>
                <w:szCs w:val="24"/>
                <w:highlight w:val="none"/>
                <w:lang w:val="en-US" w:eastAsia="zh-CN"/>
              </w:rPr>
              <w:t>服务方案</w:t>
            </w:r>
          </w:p>
        </w:tc>
        <w:tc>
          <w:tcPr>
            <w:tcW w:w="6728" w:type="dxa"/>
            <w:noWrap w:val="0"/>
            <w:vAlign w:val="center"/>
          </w:tcPr>
          <w:p w14:paraId="25C26E73">
            <w:pPr>
              <w:keepNext w:val="0"/>
              <w:keepLines w:val="0"/>
              <w:pageBreakBefore w:val="0"/>
              <w:widowControl w:val="0"/>
              <w:kinsoku/>
              <w:wordWrap/>
              <w:overflowPunct/>
              <w:topLinePunct w:val="0"/>
              <w:bidi w:val="0"/>
              <w:snapToGrid/>
              <w:spacing w:line="288"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根据投标人针对本项目编制的服务方案（需有夜间及节假日服务能力）进行打分，</w:t>
            </w:r>
            <w:r>
              <w:rPr>
                <w:rFonts w:hint="eastAsia" w:ascii="宋体" w:hAnsi="宋体" w:eastAsia="宋体" w:cs="宋体"/>
                <w:b w:val="0"/>
                <w:bCs w:val="0"/>
                <w:color w:val="auto"/>
                <w:sz w:val="24"/>
                <w:szCs w:val="24"/>
                <w:highlight w:val="none"/>
                <w:lang w:val="en-US" w:eastAsia="zh-CN"/>
              </w:rPr>
              <w:t>本项最高</w:t>
            </w:r>
            <w:r>
              <w:rPr>
                <w:rFonts w:hint="eastAsia" w:ascii="宋体" w:hAnsi="宋体" w:eastAsia="宋体" w:cs="宋体"/>
                <w:color w:val="auto"/>
                <w:sz w:val="24"/>
                <w:szCs w:val="24"/>
                <w:highlight w:val="none"/>
                <w:lang w:val="en-US" w:eastAsia="zh-CN"/>
              </w:rPr>
              <w:t>得8分。</w:t>
            </w:r>
          </w:p>
          <w:p w14:paraId="17A0AB1E">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1.内容完整全面，方案合理可行的得8分；</w:t>
            </w:r>
          </w:p>
          <w:p w14:paraId="65C661F5">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2.内容存在欠缺但相对完整，方案基本可行的得5分；</w:t>
            </w:r>
          </w:p>
          <w:p w14:paraId="32AF0CD9">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3.内容简单，方案可行性不高的得2分；</w:t>
            </w:r>
          </w:p>
          <w:p w14:paraId="561FEBAA">
            <w:pPr>
              <w:keepNext w:val="0"/>
              <w:keepLines w:val="0"/>
              <w:pageBreakBefore w:val="0"/>
              <w:widowControl w:val="0"/>
              <w:kinsoku/>
              <w:wordWrap/>
              <w:overflowPunct/>
              <w:topLinePunct w:val="0"/>
              <w:autoSpaceDE w:val="0"/>
              <w:autoSpaceDN w:val="0"/>
              <w:bidi w:val="0"/>
              <w:adjustRightInd w:val="0"/>
              <w:snapToGrid/>
              <w:spacing w:line="288"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4.不提供不得分。</w:t>
            </w:r>
          </w:p>
        </w:tc>
        <w:tc>
          <w:tcPr>
            <w:tcW w:w="810" w:type="dxa"/>
            <w:noWrap w:val="0"/>
            <w:vAlign w:val="center"/>
          </w:tcPr>
          <w:p w14:paraId="75E097CD">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 w:val="0"/>
                <w:bCs w:val="0"/>
                <w:color w:val="auto"/>
                <w:sz w:val="24"/>
                <w:szCs w:val="24"/>
                <w:highlight w:val="none"/>
                <w:lang w:eastAsia="en-US"/>
              </w:rPr>
            </w:pPr>
            <w:r>
              <w:rPr>
                <w:rFonts w:hint="eastAsia" w:ascii="宋体" w:hAnsi="宋体" w:eastAsia="宋体" w:cs="宋体"/>
                <w:b w:val="0"/>
                <w:bCs w:val="0"/>
                <w:color w:val="auto"/>
                <w:sz w:val="24"/>
                <w:szCs w:val="24"/>
                <w:highlight w:val="none"/>
                <w:lang w:val="en-US" w:eastAsia="zh-CN"/>
              </w:rPr>
              <w:t>8分</w:t>
            </w:r>
          </w:p>
        </w:tc>
      </w:tr>
      <w:tr w14:paraId="4E359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91" w:type="dxa"/>
            <w:shd w:val="clear" w:color="auto" w:fill="auto"/>
            <w:noWrap w:val="0"/>
            <w:vAlign w:val="center"/>
          </w:tcPr>
          <w:p w14:paraId="77ECB49F">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8</w:t>
            </w:r>
          </w:p>
        </w:tc>
        <w:tc>
          <w:tcPr>
            <w:tcW w:w="1248" w:type="dxa"/>
            <w:noWrap w:val="0"/>
            <w:vAlign w:val="center"/>
          </w:tcPr>
          <w:p w14:paraId="08910684">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管理方案</w:t>
            </w:r>
          </w:p>
        </w:tc>
        <w:tc>
          <w:tcPr>
            <w:tcW w:w="6728" w:type="dxa"/>
            <w:noWrap w:val="0"/>
            <w:vAlign w:val="center"/>
          </w:tcPr>
          <w:p w14:paraId="343825E3">
            <w:pPr>
              <w:keepNext w:val="0"/>
              <w:keepLines w:val="0"/>
              <w:pageBreakBefore w:val="0"/>
              <w:widowControl w:val="0"/>
              <w:kinsoku/>
              <w:wordWrap/>
              <w:overflowPunct/>
              <w:topLinePunct w:val="0"/>
              <w:bidi w:val="0"/>
              <w:snapToGrid/>
              <w:spacing w:line="288"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lang w:eastAsia="zh-CN"/>
              </w:rPr>
              <w:t>的</w:t>
            </w:r>
            <w:r>
              <w:rPr>
                <w:rFonts w:hint="eastAsia" w:ascii="宋体" w:hAnsi="宋体" w:eastAsia="宋体" w:cs="宋体"/>
                <w:b w:val="0"/>
                <w:bCs w:val="0"/>
                <w:color w:val="auto"/>
                <w:sz w:val="24"/>
                <w:szCs w:val="24"/>
                <w:highlight w:val="none"/>
                <w:lang w:val="en-US" w:eastAsia="zh-CN"/>
              </w:rPr>
              <w:t>管理方案（包括</w:t>
            </w:r>
            <w:r>
              <w:rPr>
                <w:rFonts w:hint="eastAsia" w:ascii="宋体" w:hAnsi="宋体" w:eastAsia="宋体" w:cs="宋体"/>
                <w:color w:val="auto"/>
                <w:sz w:val="24"/>
                <w:szCs w:val="24"/>
                <w:highlight w:val="none"/>
                <w:lang w:eastAsia="zh-CN"/>
              </w:rPr>
              <w:t>管理组织机构、项目实施规范和管理制度</w:t>
            </w:r>
            <w:r>
              <w:rPr>
                <w:rFonts w:hint="eastAsia" w:ascii="宋体" w:hAnsi="宋体" w:eastAsia="宋体" w:cs="宋体"/>
                <w:color w:val="auto"/>
                <w:sz w:val="24"/>
                <w:szCs w:val="24"/>
                <w:highlight w:val="none"/>
                <w:lang w:val="en-US" w:eastAsia="zh-CN"/>
              </w:rPr>
              <w:t>等</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进行打分，</w:t>
            </w:r>
            <w:r>
              <w:rPr>
                <w:rFonts w:hint="eastAsia" w:ascii="宋体" w:hAnsi="宋体" w:eastAsia="宋体" w:cs="宋体"/>
                <w:b w:val="0"/>
                <w:bCs w:val="0"/>
                <w:color w:val="auto"/>
                <w:sz w:val="24"/>
                <w:szCs w:val="24"/>
                <w:highlight w:val="none"/>
                <w:lang w:val="en-US" w:eastAsia="zh-CN"/>
              </w:rPr>
              <w:t>本项最高</w:t>
            </w:r>
            <w:r>
              <w:rPr>
                <w:rFonts w:hint="eastAsia" w:ascii="宋体" w:hAnsi="宋体" w:eastAsia="宋体" w:cs="宋体"/>
                <w:color w:val="auto"/>
                <w:sz w:val="24"/>
                <w:szCs w:val="24"/>
                <w:highlight w:val="none"/>
                <w:lang w:val="en-US" w:eastAsia="zh-CN"/>
              </w:rPr>
              <w:t>得8分。</w:t>
            </w:r>
          </w:p>
          <w:p w14:paraId="6D93AE24">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1.内容完整全面，方案合理可行的得8分；</w:t>
            </w:r>
          </w:p>
          <w:p w14:paraId="6DD36F1F">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2.内容存在欠缺但相对完整，方案基本可行的得5分；</w:t>
            </w:r>
          </w:p>
          <w:p w14:paraId="27921679">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3.内容简单，方案可行性不高的得2分；</w:t>
            </w:r>
          </w:p>
          <w:p w14:paraId="0EB31D5C">
            <w:pPr>
              <w:keepNext w:val="0"/>
              <w:keepLines w:val="0"/>
              <w:pageBreakBefore w:val="0"/>
              <w:widowControl w:val="0"/>
              <w:kinsoku/>
              <w:wordWrap/>
              <w:overflowPunct/>
              <w:topLinePunct w:val="0"/>
              <w:bidi w:val="0"/>
              <w:snapToGrid/>
              <w:spacing w:line="288"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4.不提供不得分。</w:t>
            </w:r>
          </w:p>
        </w:tc>
        <w:tc>
          <w:tcPr>
            <w:tcW w:w="810" w:type="dxa"/>
            <w:noWrap w:val="0"/>
            <w:vAlign w:val="center"/>
          </w:tcPr>
          <w:p w14:paraId="03AB0BDC">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分</w:t>
            </w:r>
          </w:p>
        </w:tc>
      </w:tr>
      <w:tr w14:paraId="6AF71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1" w:type="dxa"/>
            <w:shd w:val="clear" w:color="auto" w:fill="auto"/>
            <w:noWrap w:val="0"/>
            <w:vAlign w:val="center"/>
          </w:tcPr>
          <w:p w14:paraId="3EDD472C">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 w:val="0"/>
                <w:bCs w:val="0"/>
                <w:color w:val="auto"/>
                <w:kern w:val="2"/>
                <w:sz w:val="24"/>
                <w:szCs w:val="24"/>
                <w:highlight w:val="none"/>
                <w:lang w:val="en-US" w:eastAsia="zh-CN" w:bidi="ar-SA"/>
              </w:rPr>
            </w:pPr>
            <w:bookmarkStart w:id="0" w:name="OLE_LINK11"/>
            <w:r>
              <w:rPr>
                <w:rFonts w:hint="eastAsia" w:ascii="宋体" w:hAnsi="宋体" w:eastAsia="宋体" w:cs="宋体"/>
                <w:b w:val="0"/>
                <w:bCs w:val="0"/>
                <w:color w:val="auto"/>
                <w:sz w:val="24"/>
                <w:szCs w:val="24"/>
                <w:highlight w:val="none"/>
                <w:lang w:val="en-US" w:eastAsia="zh-CN"/>
              </w:rPr>
              <w:t>9</w:t>
            </w:r>
          </w:p>
        </w:tc>
        <w:tc>
          <w:tcPr>
            <w:tcW w:w="1248" w:type="dxa"/>
            <w:noWrap w:val="0"/>
            <w:vAlign w:val="center"/>
          </w:tcPr>
          <w:p w14:paraId="5B0702E0">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应急方案</w:t>
            </w:r>
          </w:p>
        </w:tc>
        <w:tc>
          <w:tcPr>
            <w:tcW w:w="6728" w:type="dxa"/>
            <w:noWrap w:val="0"/>
            <w:vAlign w:val="center"/>
          </w:tcPr>
          <w:p w14:paraId="3418FAB2">
            <w:pPr>
              <w:keepNext w:val="0"/>
              <w:keepLines w:val="0"/>
              <w:pageBreakBefore w:val="0"/>
              <w:widowControl w:val="0"/>
              <w:kinsoku/>
              <w:wordWrap/>
              <w:overflowPunct/>
              <w:topLinePunct w:val="0"/>
              <w:bidi w:val="0"/>
              <w:snapToGrid/>
              <w:spacing w:line="288"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w:t>
            </w:r>
            <w:r>
              <w:rPr>
                <w:rFonts w:hint="eastAsia" w:ascii="宋体" w:hAnsi="宋体" w:eastAsia="宋体" w:cs="宋体"/>
                <w:b w:val="0"/>
                <w:bCs w:val="0"/>
                <w:color w:val="auto"/>
                <w:sz w:val="24"/>
                <w:szCs w:val="24"/>
                <w:highlight w:val="none"/>
                <w:lang w:val="en-US" w:eastAsia="zh-CN"/>
              </w:rPr>
              <w:t>应急方案（包括突发事件、特殊环境等）</w:t>
            </w:r>
            <w:r>
              <w:rPr>
                <w:rFonts w:hint="eastAsia" w:ascii="宋体" w:hAnsi="宋体" w:eastAsia="宋体" w:cs="宋体"/>
                <w:color w:val="auto"/>
                <w:sz w:val="24"/>
                <w:szCs w:val="24"/>
                <w:highlight w:val="none"/>
                <w:lang w:val="en-US" w:eastAsia="zh-CN"/>
              </w:rPr>
              <w:t>进行打分，</w:t>
            </w:r>
            <w:r>
              <w:rPr>
                <w:rFonts w:hint="eastAsia" w:ascii="宋体" w:hAnsi="宋体" w:eastAsia="宋体" w:cs="宋体"/>
                <w:b w:val="0"/>
                <w:bCs w:val="0"/>
                <w:color w:val="auto"/>
                <w:sz w:val="24"/>
                <w:szCs w:val="24"/>
                <w:highlight w:val="none"/>
                <w:lang w:val="en-US" w:eastAsia="zh-CN"/>
              </w:rPr>
              <w:t>本项最高</w:t>
            </w:r>
            <w:r>
              <w:rPr>
                <w:rFonts w:hint="eastAsia" w:ascii="宋体" w:hAnsi="宋体" w:eastAsia="宋体" w:cs="宋体"/>
                <w:color w:val="auto"/>
                <w:sz w:val="24"/>
                <w:szCs w:val="24"/>
                <w:highlight w:val="none"/>
                <w:lang w:val="en-US" w:eastAsia="zh-CN"/>
              </w:rPr>
              <w:t>得8分。</w:t>
            </w:r>
          </w:p>
          <w:p w14:paraId="75AA5BCF">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1.内容完整全面，方案合理可行的得8分；</w:t>
            </w:r>
          </w:p>
          <w:p w14:paraId="1589A45A">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2.内容存在欠缺但相对完整，方案基本可行的得5分；</w:t>
            </w:r>
          </w:p>
          <w:p w14:paraId="3E7742CA">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3.内容简单，方案可行性不高的得2分；</w:t>
            </w:r>
          </w:p>
          <w:p w14:paraId="4EA2B284">
            <w:pPr>
              <w:keepNext w:val="0"/>
              <w:keepLines w:val="0"/>
              <w:pageBreakBefore w:val="0"/>
              <w:widowControl w:val="0"/>
              <w:kinsoku/>
              <w:wordWrap/>
              <w:overflowPunct/>
              <w:topLinePunct w:val="0"/>
              <w:bidi w:val="0"/>
              <w:snapToGrid/>
              <w:spacing w:line="288"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4.不提供不得分。</w:t>
            </w:r>
          </w:p>
        </w:tc>
        <w:tc>
          <w:tcPr>
            <w:tcW w:w="810" w:type="dxa"/>
            <w:noWrap w:val="0"/>
            <w:vAlign w:val="center"/>
          </w:tcPr>
          <w:p w14:paraId="0E36A1D9">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8分</w:t>
            </w:r>
          </w:p>
        </w:tc>
      </w:tr>
      <w:tr w14:paraId="6C22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91" w:type="dxa"/>
            <w:shd w:val="clear" w:color="auto" w:fill="auto"/>
            <w:noWrap w:val="0"/>
            <w:vAlign w:val="center"/>
          </w:tcPr>
          <w:p w14:paraId="23E2D30F">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10</w:t>
            </w:r>
          </w:p>
        </w:tc>
        <w:tc>
          <w:tcPr>
            <w:tcW w:w="1248" w:type="dxa"/>
            <w:noWrap w:val="0"/>
            <w:vAlign w:val="center"/>
          </w:tcPr>
          <w:p w14:paraId="6926A988">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服务承诺</w:t>
            </w:r>
          </w:p>
        </w:tc>
        <w:tc>
          <w:tcPr>
            <w:tcW w:w="6728" w:type="dxa"/>
            <w:noWrap w:val="0"/>
            <w:vAlign w:val="center"/>
          </w:tcPr>
          <w:p w14:paraId="006A08CA">
            <w:pPr>
              <w:keepNext w:val="0"/>
              <w:keepLines w:val="0"/>
              <w:pageBreakBefore w:val="0"/>
              <w:widowControl w:val="0"/>
              <w:kinsoku/>
              <w:wordWrap/>
              <w:overflowPunct/>
              <w:topLinePunct w:val="0"/>
              <w:bidi w:val="0"/>
              <w:snapToGrid/>
              <w:spacing w:line="288"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根据投标人提供的服务承诺（包括服务品质、质量保证等）进行打分，本项最高得8分。</w:t>
            </w:r>
          </w:p>
          <w:p w14:paraId="4B88A02D">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1.内容完整全面，方案合理可行的得8分；</w:t>
            </w:r>
          </w:p>
          <w:p w14:paraId="2D4F6C34">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2.内容存在欠缺但相对完整，方案基本可行的得5分；</w:t>
            </w:r>
          </w:p>
          <w:p w14:paraId="4F10FE34">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3.内容简单，方案可行性不高的得2分；</w:t>
            </w:r>
          </w:p>
          <w:p w14:paraId="2D73F236">
            <w:pPr>
              <w:keepNext w:val="0"/>
              <w:keepLines w:val="0"/>
              <w:pageBreakBefore w:val="0"/>
              <w:widowControl w:val="0"/>
              <w:kinsoku/>
              <w:wordWrap/>
              <w:overflowPunct/>
              <w:topLinePunct w:val="0"/>
              <w:bidi w:val="0"/>
              <w:snapToGrid/>
              <w:spacing w:line="288"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4.不提供不得分。</w:t>
            </w:r>
          </w:p>
        </w:tc>
        <w:tc>
          <w:tcPr>
            <w:tcW w:w="810" w:type="dxa"/>
            <w:noWrap w:val="0"/>
            <w:vAlign w:val="center"/>
          </w:tcPr>
          <w:p w14:paraId="4A8192D3">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8分</w:t>
            </w:r>
          </w:p>
        </w:tc>
      </w:tr>
      <w:tr w14:paraId="7C02C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1" w:type="dxa"/>
            <w:shd w:val="clear" w:color="auto" w:fill="auto"/>
            <w:noWrap w:val="0"/>
            <w:vAlign w:val="center"/>
          </w:tcPr>
          <w:p w14:paraId="1EFA603B">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11</w:t>
            </w:r>
          </w:p>
          <w:bookmarkEnd w:id="0"/>
        </w:tc>
        <w:tc>
          <w:tcPr>
            <w:tcW w:w="1248" w:type="dxa"/>
            <w:noWrap w:val="0"/>
            <w:vAlign w:val="center"/>
          </w:tcPr>
          <w:p w14:paraId="24BD319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售后服务</w:t>
            </w:r>
          </w:p>
          <w:p w14:paraId="3B4735B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方案</w:t>
            </w:r>
          </w:p>
        </w:tc>
        <w:tc>
          <w:tcPr>
            <w:tcW w:w="6728" w:type="dxa"/>
            <w:noWrap w:val="0"/>
            <w:vAlign w:val="center"/>
          </w:tcPr>
          <w:p w14:paraId="01E1E4A4">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根据投标人提供的售后服务方案（包括售后服务体系、售后技术力量、服务便捷性等）进行打分。</w:t>
            </w:r>
          </w:p>
          <w:p w14:paraId="0D1C7A3F">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1.内容完整全面，措施合理可行的得8分；</w:t>
            </w:r>
          </w:p>
          <w:p w14:paraId="1A48093A">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2.内容存在欠缺但相对完整，措施基本可行的得5分；</w:t>
            </w:r>
          </w:p>
          <w:p w14:paraId="72C6A648">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3.内容简单，措施可行性不高的得2分；</w:t>
            </w:r>
          </w:p>
          <w:p w14:paraId="43B62FF9">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4.不提供不得分。</w:t>
            </w:r>
            <w:r>
              <w:rPr>
                <w:rFonts w:hint="eastAsia" w:ascii="宋体" w:hAnsi="宋体" w:eastAsia="宋体" w:cs="宋体"/>
                <w:bCs/>
                <w:color w:val="auto"/>
                <w:sz w:val="24"/>
                <w:szCs w:val="24"/>
                <w:highlight w:val="none"/>
                <w:lang w:val="en-US" w:eastAsia="zh-CN"/>
              </w:rPr>
              <w:tab/>
            </w:r>
          </w:p>
        </w:tc>
        <w:tc>
          <w:tcPr>
            <w:tcW w:w="810" w:type="dxa"/>
            <w:noWrap w:val="0"/>
            <w:vAlign w:val="center"/>
          </w:tcPr>
          <w:p w14:paraId="0309194D">
            <w:pPr>
              <w:keepNext w:val="0"/>
              <w:keepLines w:val="0"/>
              <w:pageBreakBefore w:val="0"/>
              <w:widowControl w:val="0"/>
              <w:kinsoku/>
              <w:wordWrap/>
              <w:overflowPunct/>
              <w:topLinePunct w:val="0"/>
              <w:bidi w:val="0"/>
              <w:snapToGrid/>
              <w:spacing w:line="288" w:lineRule="auto"/>
              <w:jc w:val="center"/>
              <w:textAlignment w:val="auto"/>
              <w:rPr>
                <w:rFonts w:hint="eastAsia" w:ascii="宋体" w:hAnsi="宋体" w:eastAsia="宋体" w:cs="宋体"/>
                <w:b w:val="0"/>
                <w:bCs w:val="0"/>
                <w:color w:val="auto"/>
                <w:sz w:val="24"/>
                <w:szCs w:val="24"/>
                <w:highlight w:val="none"/>
                <w:lang w:eastAsia="en-US"/>
              </w:rPr>
            </w:pP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分</w:t>
            </w:r>
          </w:p>
        </w:tc>
      </w:tr>
    </w:tbl>
    <w:p w14:paraId="52CB15E6">
      <w:pPr>
        <w:keepNext w:val="0"/>
        <w:keepLines w:val="0"/>
        <w:pageBreakBefore w:val="0"/>
        <w:widowControl w:val="0"/>
        <w:kinsoku/>
        <w:wordWrap/>
        <w:overflowPunct/>
        <w:topLinePunct w:val="0"/>
        <w:autoSpaceDE/>
        <w:autoSpaceDN/>
        <w:bidi w:val="0"/>
        <w:snapToGrid/>
        <w:spacing w:line="288"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本次评审通过资格审查和符合性评审的单位全部入围进行</w:t>
      </w:r>
      <w:r>
        <w:rPr>
          <w:rFonts w:hint="eastAsia" w:ascii="宋体" w:hAnsi="宋体" w:eastAsia="宋体" w:cs="宋体"/>
          <w:b/>
          <w:bCs/>
          <w:color w:val="auto"/>
          <w:sz w:val="24"/>
          <w:szCs w:val="24"/>
          <w:highlight w:val="none"/>
          <w:lang w:val="en-US" w:eastAsia="zh-CN"/>
        </w:rPr>
        <w:t>报价</w:t>
      </w:r>
      <w:r>
        <w:rPr>
          <w:rFonts w:hint="eastAsia" w:ascii="宋体" w:hAnsi="宋体" w:eastAsia="宋体" w:cs="宋体"/>
          <w:b/>
          <w:bCs/>
          <w:color w:val="auto"/>
          <w:sz w:val="24"/>
          <w:szCs w:val="24"/>
          <w:highlight w:val="none"/>
        </w:rPr>
        <w:t>评审。</w:t>
      </w:r>
    </w:p>
    <w:p w14:paraId="1D6F5F81">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五、采购需求</w:t>
      </w:r>
    </w:p>
    <w:p w14:paraId="2040C8B7">
      <w:pPr>
        <w:keepNext w:val="0"/>
        <w:keepLines w:val="0"/>
        <w:pageBreakBefore w:val="0"/>
        <w:widowControl w:val="0"/>
        <w:kinsoku/>
        <w:wordWrap/>
        <w:overflowPunct/>
        <w:topLinePunct w:val="0"/>
        <w:autoSpaceDE/>
        <w:autoSpaceDN/>
        <w:bidi w:val="0"/>
        <w:adjustRightInd w:val="0"/>
        <w:snapToGrid/>
        <w:spacing w:line="288" w:lineRule="auto"/>
        <w:ind w:firstLine="482" w:firstLineChars="200"/>
        <w:jc w:val="both"/>
        <w:textAlignment w:val="auto"/>
        <w:rPr>
          <w:rFonts w:hint="default"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eastAsia="zh-CN" w:bidi="ar-SA"/>
        </w:rPr>
        <w:t>（一）项目</w:t>
      </w:r>
      <w:r>
        <w:rPr>
          <w:rFonts w:hint="eastAsia" w:ascii="宋体" w:hAnsi="宋体" w:eastAsia="宋体" w:cs="宋体"/>
          <w:b/>
          <w:bCs/>
          <w:color w:val="auto"/>
          <w:sz w:val="24"/>
          <w:szCs w:val="24"/>
          <w:highlight w:val="none"/>
          <w:lang w:val="en-US" w:eastAsia="zh-CN" w:bidi="ar-SA"/>
        </w:rPr>
        <w:t>目标</w:t>
      </w:r>
    </w:p>
    <w:p w14:paraId="31CE9C90">
      <w:pPr>
        <w:keepNext w:val="0"/>
        <w:keepLines w:val="0"/>
        <w:pageBreakBefore w:val="0"/>
        <w:kinsoku/>
        <w:wordWrap/>
        <w:overflowPunct/>
        <w:topLinePunct w:val="0"/>
        <w:bidi w:val="0"/>
        <w:snapToGrid/>
        <w:spacing w:line="288" w:lineRule="auto"/>
        <w:ind w:firstLine="480" w:firstLineChars="20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val="en-US" w:eastAsia="zh-CN" w:bidi="ar-SA"/>
        </w:rPr>
        <w:t>为扎实推进姚江镇企业</w:t>
      </w:r>
      <w:r>
        <w:rPr>
          <w:rFonts w:hint="eastAsia" w:ascii="宋体" w:hAnsi="宋体" w:cs="宋体"/>
          <w:color w:val="auto"/>
          <w:sz w:val="24"/>
          <w:szCs w:val="24"/>
          <w:highlight w:val="none"/>
          <w:lang w:val="en-US" w:eastAsia="zh-CN" w:bidi="ar-SA"/>
        </w:rPr>
        <w:t>、沿街店铺</w:t>
      </w:r>
      <w:r>
        <w:rPr>
          <w:rFonts w:hint="eastAsia" w:ascii="宋体" w:hAnsi="宋体" w:eastAsia="宋体" w:cs="宋体"/>
          <w:color w:val="auto"/>
          <w:sz w:val="24"/>
          <w:szCs w:val="24"/>
          <w:highlight w:val="none"/>
          <w:lang w:val="en-US" w:eastAsia="zh-CN" w:bidi="ar-SA"/>
        </w:rPr>
        <w:t>消防安全宣传工作，从源头上遏制和减少企业突发性事故，要求中标单位在全镇范围内做好</w:t>
      </w:r>
      <w:r>
        <w:rPr>
          <w:rFonts w:hint="eastAsia" w:ascii="宋体" w:hAnsi="宋体" w:eastAsia="宋体" w:cs="宋体"/>
          <w:color w:val="auto"/>
          <w:sz w:val="24"/>
          <w:szCs w:val="24"/>
          <w:highlight w:val="none"/>
          <w:lang w:val="en-US" w:eastAsia="zh-CN" w:bidi="ar-SA"/>
        </w:rPr>
        <w:t>企业</w:t>
      </w:r>
      <w:r>
        <w:rPr>
          <w:rFonts w:hint="eastAsia" w:ascii="宋体" w:hAnsi="宋体" w:cs="宋体"/>
          <w:color w:val="auto"/>
          <w:sz w:val="24"/>
          <w:szCs w:val="24"/>
          <w:highlight w:val="none"/>
          <w:lang w:val="en-US" w:eastAsia="zh-CN" w:bidi="ar-SA"/>
        </w:rPr>
        <w:t>、沿街店铺</w:t>
      </w:r>
      <w:r>
        <w:rPr>
          <w:rFonts w:hint="eastAsia" w:ascii="宋体" w:hAnsi="宋体" w:eastAsia="宋体" w:cs="宋体"/>
          <w:color w:val="auto"/>
          <w:sz w:val="24"/>
          <w:szCs w:val="24"/>
          <w:highlight w:val="none"/>
          <w:lang w:val="en-US" w:eastAsia="zh-CN" w:bidi="ar-SA"/>
        </w:rPr>
        <w:t>消防安全宣传工作</w:t>
      </w:r>
      <w:r>
        <w:rPr>
          <w:rFonts w:hint="eastAsia" w:ascii="宋体" w:hAnsi="宋体" w:cs="宋体"/>
          <w:color w:val="auto"/>
          <w:sz w:val="24"/>
          <w:szCs w:val="24"/>
          <w:highlight w:val="none"/>
          <w:lang w:val="en-US" w:eastAsia="zh-CN" w:bidi="ar-SA"/>
        </w:rPr>
        <w:t>以及</w:t>
      </w:r>
      <w:r>
        <w:rPr>
          <w:rFonts w:hint="eastAsia" w:ascii="宋体" w:hAnsi="宋体" w:eastAsia="宋体" w:cs="宋体"/>
          <w:color w:val="auto"/>
          <w:sz w:val="24"/>
          <w:szCs w:val="24"/>
          <w:highlight w:val="none"/>
          <w:lang w:val="en-US" w:eastAsia="zh-CN" w:bidi="ar-SA"/>
        </w:rPr>
        <w:t>工矿企业消防安全隐患排查和整治工作。</w:t>
      </w:r>
      <w:r>
        <w:rPr>
          <w:rFonts w:hint="eastAsia" w:ascii="宋体" w:hAnsi="宋体" w:eastAsia="宋体" w:cs="宋体"/>
          <w:color w:val="auto"/>
          <w:sz w:val="24"/>
          <w:szCs w:val="24"/>
          <w:highlight w:val="none"/>
          <w:lang w:bidi="ar-SA"/>
        </w:rPr>
        <w:t>坚持“安全第一、预防为主、综合治理、失职追责”的方针，贯彻落实上级部门提出的安全发展新理念，通过</w:t>
      </w:r>
      <w:r>
        <w:rPr>
          <w:rFonts w:hint="eastAsia" w:ascii="宋体" w:hAnsi="宋体" w:eastAsia="宋体" w:cs="宋体"/>
          <w:color w:val="auto"/>
          <w:sz w:val="24"/>
          <w:szCs w:val="24"/>
          <w:highlight w:val="none"/>
          <w:lang w:val="en-US" w:eastAsia="zh-CN" w:bidi="ar-SA"/>
        </w:rPr>
        <w:t>企业</w:t>
      </w:r>
      <w:r>
        <w:rPr>
          <w:rFonts w:hint="eastAsia" w:ascii="宋体" w:hAnsi="宋体" w:cs="宋体"/>
          <w:color w:val="auto"/>
          <w:sz w:val="24"/>
          <w:szCs w:val="24"/>
          <w:highlight w:val="none"/>
          <w:lang w:val="en-US" w:eastAsia="zh-CN" w:bidi="ar-SA"/>
        </w:rPr>
        <w:t>、沿街店铺</w:t>
      </w:r>
      <w:r>
        <w:rPr>
          <w:rFonts w:hint="eastAsia" w:ascii="宋体" w:hAnsi="宋体" w:eastAsia="宋体" w:cs="宋体"/>
          <w:color w:val="auto"/>
          <w:sz w:val="24"/>
          <w:szCs w:val="24"/>
          <w:highlight w:val="none"/>
          <w:lang w:val="en-US" w:eastAsia="zh-CN" w:bidi="ar-SA"/>
        </w:rPr>
        <w:t>消防安全宣传</w:t>
      </w:r>
      <w:r>
        <w:rPr>
          <w:rFonts w:hint="eastAsia" w:ascii="宋体" w:hAnsi="宋体" w:cs="宋体"/>
          <w:color w:val="auto"/>
          <w:sz w:val="24"/>
          <w:szCs w:val="24"/>
          <w:highlight w:val="none"/>
          <w:lang w:val="en-US" w:eastAsia="zh-CN" w:bidi="ar-SA"/>
        </w:rPr>
        <w:t>，</w:t>
      </w:r>
      <w:r>
        <w:rPr>
          <w:rFonts w:hint="eastAsia" w:ascii="宋体" w:hAnsi="宋体" w:eastAsia="宋体" w:cs="宋体"/>
          <w:color w:val="auto"/>
          <w:sz w:val="24"/>
          <w:szCs w:val="24"/>
          <w:highlight w:val="none"/>
          <w:lang w:bidi="ar-SA"/>
        </w:rPr>
        <w:t>安全隐患日常排查整治活动，控制和减少安全生产事故，杜绝重特大事故，</w:t>
      </w:r>
      <w:r>
        <w:rPr>
          <w:rFonts w:hint="eastAsia" w:ascii="宋体" w:hAnsi="宋体" w:eastAsia="宋体" w:cs="宋体"/>
          <w:color w:val="auto"/>
          <w:sz w:val="24"/>
          <w:szCs w:val="24"/>
          <w:highlight w:val="none"/>
          <w:lang w:eastAsia="zh-CN" w:bidi="ar-SA"/>
        </w:rPr>
        <w:t>及时开展应急救援工作，</w:t>
      </w:r>
      <w:r>
        <w:rPr>
          <w:rFonts w:hint="eastAsia" w:ascii="宋体" w:hAnsi="宋体" w:eastAsia="宋体" w:cs="宋体"/>
          <w:color w:val="auto"/>
          <w:sz w:val="24"/>
          <w:szCs w:val="24"/>
          <w:highlight w:val="none"/>
          <w:lang w:bidi="ar-SA"/>
        </w:rPr>
        <w:t>保障公民和企业的生命财产安全。</w:t>
      </w:r>
    </w:p>
    <w:p w14:paraId="08AAA0CD">
      <w:pPr>
        <w:keepNext w:val="0"/>
        <w:keepLines w:val="0"/>
        <w:pageBreakBefore w:val="0"/>
        <w:kinsoku/>
        <w:wordWrap/>
        <w:overflowPunct/>
        <w:topLinePunct w:val="0"/>
        <w:bidi w:val="0"/>
        <w:snapToGrid/>
        <w:spacing w:line="288" w:lineRule="auto"/>
        <w:ind w:firstLine="482" w:firstLineChars="200"/>
        <w:rPr>
          <w:rFonts w:hint="eastAsia" w:ascii="宋体" w:hAnsi="宋体" w:eastAsia="宋体" w:cs="宋体"/>
          <w:color w:val="auto"/>
          <w:sz w:val="24"/>
          <w:szCs w:val="24"/>
          <w:highlight w:val="none"/>
          <w:lang w:bidi="ar-SA"/>
        </w:rPr>
      </w:pPr>
      <w:r>
        <w:rPr>
          <w:rFonts w:hint="eastAsia" w:ascii="宋体" w:hAnsi="宋体" w:eastAsia="宋体" w:cs="宋体"/>
          <w:b/>
          <w:bCs/>
          <w:color w:val="auto"/>
          <w:sz w:val="24"/>
          <w:szCs w:val="24"/>
          <w:highlight w:val="none"/>
          <w:lang w:bidi="ar-SA"/>
        </w:rPr>
        <w:t>（</w:t>
      </w:r>
      <w:r>
        <w:rPr>
          <w:rFonts w:hint="eastAsia" w:ascii="宋体" w:hAnsi="宋体" w:eastAsia="宋体" w:cs="宋体"/>
          <w:b/>
          <w:bCs/>
          <w:color w:val="auto"/>
          <w:sz w:val="24"/>
          <w:szCs w:val="24"/>
          <w:highlight w:val="none"/>
          <w:lang w:val="en-US" w:eastAsia="zh-CN" w:bidi="ar-SA"/>
        </w:rPr>
        <w:t>二</w:t>
      </w:r>
      <w:r>
        <w:rPr>
          <w:rFonts w:hint="eastAsia" w:ascii="宋体" w:hAnsi="宋体" w:eastAsia="宋体" w:cs="宋体"/>
          <w:b/>
          <w:bCs/>
          <w:color w:val="auto"/>
          <w:sz w:val="24"/>
          <w:szCs w:val="24"/>
          <w:highlight w:val="none"/>
          <w:lang w:bidi="ar-SA"/>
        </w:rPr>
        <w:t>）工作要求</w:t>
      </w:r>
    </w:p>
    <w:p w14:paraId="650E62E7">
      <w:pPr>
        <w:keepNext w:val="0"/>
        <w:keepLines w:val="0"/>
        <w:pageBreakBefore w:val="0"/>
        <w:kinsoku/>
        <w:wordWrap/>
        <w:overflowPunct/>
        <w:topLinePunct w:val="0"/>
        <w:bidi w:val="0"/>
        <w:snapToGrid/>
        <w:spacing w:line="288" w:lineRule="auto"/>
        <w:ind w:firstLine="480" w:firstLineChars="20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val="en-US" w:eastAsia="zh-CN" w:bidi="ar-SA"/>
        </w:rPr>
        <w:t>供应商</w:t>
      </w:r>
      <w:r>
        <w:rPr>
          <w:rFonts w:hint="eastAsia" w:ascii="宋体" w:hAnsi="宋体" w:eastAsia="宋体" w:cs="宋体"/>
          <w:color w:val="auto"/>
          <w:sz w:val="24"/>
          <w:szCs w:val="24"/>
          <w:highlight w:val="none"/>
          <w:lang w:bidi="ar-SA"/>
        </w:rPr>
        <w:t>要从保一方平安的使命感和政治的高度，充分认识隐患排查和整治的重要性。切实推动企业履行安全生产主体责任</w:t>
      </w: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bidi="ar-SA"/>
        </w:rPr>
        <w:t>发现问题应立即提出整改要求</w:t>
      </w: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bidi="ar-SA"/>
        </w:rPr>
        <w:t>对企业存在的问题应实事求是反映，不能避重就轻</w:t>
      </w: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bidi="ar-SA"/>
        </w:rPr>
        <w:t>回避矛盾</w:t>
      </w: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bidi="ar-SA"/>
        </w:rPr>
        <w:t>对态度恶劣、拒不整改的企业，一律如实上报镇政府，由镇政府依法实施行政处罚。</w:t>
      </w:r>
    </w:p>
    <w:p w14:paraId="59B7B705">
      <w:pPr>
        <w:keepNext w:val="0"/>
        <w:keepLines w:val="0"/>
        <w:pageBreakBefore w:val="0"/>
        <w:widowControl w:val="0"/>
        <w:tabs>
          <w:tab w:val="left" w:pos="360"/>
          <w:tab w:val="left" w:pos="540"/>
        </w:tabs>
        <w:kinsoku/>
        <w:wordWrap/>
        <w:overflowPunct/>
        <w:topLinePunct w:val="0"/>
        <w:autoSpaceDE/>
        <w:autoSpaceDN/>
        <w:bidi w:val="0"/>
        <w:adjustRightInd w:val="0"/>
        <w:snapToGrid/>
        <w:spacing w:line="288"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eastAsia="zh-CN" w:bidi="ar-SA"/>
        </w:rPr>
        <w:t>（</w:t>
      </w:r>
      <w:r>
        <w:rPr>
          <w:rFonts w:hint="eastAsia" w:ascii="宋体" w:hAnsi="宋体" w:eastAsia="宋体" w:cs="宋体"/>
          <w:b/>
          <w:color w:val="auto"/>
          <w:sz w:val="24"/>
          <w:szCs w:val="24"/>
          <w:highlight w:val="none"/>
          <w:lang w:val="en-US" w:eastAsia="zh-CN" w:bidi="ar-SA"/>
        </w:rPr>
        <w:t>三</w:t>
      </w:r>
      <w:r>
        <w:rPr>
          <w:rFonts w:hint="eastAsia" w:ascii="宋体" w:hAnsi="宋体" w:eastAsia="宋体" w:cs="宋体"/>
          <w:b/>
          <w:color w:val="auto"/>
          <w:sz w:val="24"/>
          <w:szCs w:val="24"/>
          <w:highlight w:val="none"/>
          <w:lang w:bidi="ar-SA"/>
        </w:rPr>
        <w:t>）</w:t>
      </w:r>
      <w:r>
        <w:rPr>
          <w:rFonts w:hint="eastAsia" w:ascii="宋体" w:hAnsi="宋体" w:eastAsia="宋体" w:cs="宋体"/>
          <w:b/>
          <w:color w:val="auto"/>
          <w:sz w:val="24"/>
          <w:szCs w:val="24"/>
          <w:highlight w:val="none"/>
          <w:lang w:val="en-US" w:eastAsia="zh-CN" w:bidi="ar-SA"/>
        </w:rPr>
        <w:t>项目</w:t>
      </w:r>
      <w:r>
        <w:rPr>
          <w:rFonts w:hint="eastAsia" w:ascii="宋体" w:hAnsi="宋体" w:eastAsia="宋体" w:cs="宋体"/>
          <w:b/>
          <w:color w:val="auto"/>
          <w:sz w:val="24"/>
          <w:szCs w:val="24"/>
          <w:highlight w:val="none"/>
          <w:lang w:bidi="ar-SA"/>
        </w:rPr>
        <w:t>要求</w:t>
      </w:r>
    </w:p>
    <w:p w14:paraId="4C4A7BA8">
      <w:pPr>
        <w:keepNext w:val="0"/>
        <w:keepLines w:val="0"/>
        <w:pageBreakBefore w:val="0"/>
        <w:widowControl w:val="0"/>
        <w:tabs>
          <w:tab w:val="left" w:pos="360"/>
          <w:tab w:val="left" w:pos="540"/>
        </w:tabs>
        <w:kinsoku/>
        <w:wordWrap/>
        <w:overflowPunct/>
        <w:topLinePunct w:val="0"/>
        <w:autoSpaceDE/>
        <w:autoSpaceDN/>
        <w:bidi w:val="0"/>
        <w:adjustRightInd w:val="0"/>
        <w:snapToGrid/>
        <w:spacing w:line="288"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1</w:t>
      </w:r>
      <w:r>
        <w:rPr>
          <w:rFonts w:hint="eastAsia" w:ascii="宋体" w:hAnsi="宋体" w:eastAsia="宋体" w:cs="宋体"/>
          <w:b/>
          <w:color w:val="auto"/>
          <w:sz w:val="24"/>
          <w:szCs w:val="24"/>
          <w:highlight w:val="none"/>
          <w:lang w:val="en-US" w:eastAsia="zh-CN" w:bidi="ar-SA"/>
        </w:rPr>
        <w:t>.</w:t>
      </w:r>
      <w:r>
        <w:rPr>
          <w:rFonts w:hint="eastAsia" w:ascii="宋体" w:hAnsi="宋体" w:eastAsia="宋体" w:cs="宋体"/>
          <w:b/>
          <w:color w:val="auto"/>
          <w:sz w:val="24"/>
          <w:szCs w:val="24"/>
          <w:highlight w:val="none"/>
          <w:lang w:bidi="ar-SA"/>
        </w:rPr>
        <w:t>人员配置要求</w:t>
      </w:r>
    </w:p>
    <w:p w14:paraId="774D8D02">
      <w:pPr>
        <w:keepNext w:val="0"/>
        <w:keepLines w:val="0"/>
        <w:pageBreakBefore w:val="0"/>
        <w:widowControl w:val="0"/>
        <w:tabs>
          <w:tab w:val="left" w:pos="360"/>
          <w:tab w:val="left" w:pos="540"/>
        </w:tabs>
        <w:kinsoku/>
        <w:wordWrap/>
        <w:overflowPunct/>
        <w:topLinePunct w:val="0"/>
        <w:autoSpaceDE/>
        <w:autoSpaceDN/>
        <w:bidi w:val="0"/>
        <w:adjustRightInd w:val="0"/>
        <w:snapToGrid/>
        <w:spacing w:line="288" w:lineRule="auto"/>
        <w:ind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SA"/>
        </w:rPr>
        <w:t>1.1</w:t>
      </w:r>
      <w:r>
        <w:rPr>
          <w:rFonts w:hint="eastAsia" w:ascii="宋体" w:hAnsi="宋体" w:eastAsia="宋体" w:cs="宋体"/>
          <w:color w:val="auto"/>
          <w:sz w:val="24"/>
          <w:szCs w:val="24"/>
          <w:highlight w:val="none"/>
          <w:lang w:val="en-US" w:eastAsia="zh-CN" w:bidi="ar-SA"/>
        </w:rPr>
        <w:t>中标单位须提供不少于7名专职工作人员长期在本项目岗位，其中安全评价师不少于2名，上岗人员原则上要求具有大专及以上学历，人员不得随意更换（如特殊原因需要更换的须经采购单位同意，且更换人员相关专业技能不得低于原技术人员），并要求每人配备汽车一辆，工作人员须能熟练掌握开展安全检查的方法及知识，具有良好的组织及沟通交流能力。</w:t>
      </w:r>
    </w:p>
    <w:p w14:paraId="18612331">
      <w:pPr>
        <w:keepNext w:val="0"/>
        <w:keepLines w:val="0"/>
        <w:pageBreakBefore w:val="0"/>
        <w:widowControl w:val="0"/>
        <w:tabs>
          <w:tab w:val="left" w:pos="360"/>
          <w:tab w:val="left" w:pos="540"/>
        </w:tabs>
        <w:kinsoku/>
        <w:wordWrap/>
        <w:overflowPunct/>
        <w:topLinePunct w:val="0"/>
        <w:autoSpaceDE/>
        <w:autoSpaceDN/>
        <w:bidi w:val="0"/>
        <w:adjustRightInd w:val="0"/>
        <w:snapToGrid/>
        <w:spacing w:line="288" w:lineRule="auto"/>
        <w:ind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1.2所有配备人员须按要求统一着装，中标单位须为工作人员配备统一的服装〔2套冬装、2套秋装、2套夏装以及相关装备（执法记录仪、帽子等）〕。</w:t>
      </w:r>
    </w:p>
    <w:p w14:paraId="63F720AF">
      <w:pPr>
        <w:keepNext w:val="0"/>
        <w:keepLines w:val="0"/>
        <w:pageBreakBefore w:val="0"/>
        <w:widowControl w:val="0"/>
        <w:tabs>
          <w:tab w:val="left" w:pos="360"/>
          <w:tab w:val="left" w:pos="540"/>
        </w:tabs>
        <w:kinsoku/>
        <w:wordWrap/>
        <w:overflowPunct/>
        <w:topLinePunct w:val="0"/>
        <w:autoSpaceDE/>
        <w:autoSpaceDN/>
        <w:bidi w:val="0"/>
        <w:adjustRightInd w:val="0"/>
        <w:snapToGrid/>
        <w:spacing w:line="288" w:lineRule="auto"/>
        <w:ind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1.3因工作的特殊性，</w:t>
      </w:r>
      <w:r>
        <w:rPr>
          <w:rFonts w:hint="eastAsia" w:ascii="宋体" w:hAnsi="宋体" w:eastAsia="宋体" w:cs="宋体"/>
          <w:color w:val="auto"/>
          <w:sz w:val="24"/>
          <w:szCs w:val="24"/>
          <w:highlight w:val="none"/>
          <w:lang w:val="en-US" w:eastAsia="zh-CN" w:bidi="ar-SA"/>
        </w:rPr>
        <w:t>中标单位须为专职工作人员购买意外商业保险</w:t>
      </w:r>
      <w:r>
        <w:rPr>
          <w:rFonts w:hint="eastAsia" w:ascii="宋体" w:hAnsi="宋体" w:eastAsia="宋体" w:cs="宋体"/>
          <w:color w:val="auto"/>
          <w:sz w:val="24"/>
          <w:szCs w:val="24"/>
          <w:highlight w:val="none"/>
          <w:lang w:val="en-US" w:eastAsia="zh-CN" w:bidi="ar-SA"/>
        </w:rPr>
        <w:t>，费用包含在投标报价中。在工作中（包括派驻人员）发生的一切意外事故、各种伤亡事故，均由中标单位自行承担相关责任。</w:t>
      </w:r>
    </w:p>
    <w:p w14:paraId="0E8135C9">
      <w:pPr>
        <w:keepNext w:val="0"/>
        <w:keepLines w:val="0"/>
        <w:pageBreakBefore w:val="0"/>
        <w:widowControl w:val="0"/>
        <w:tabs>
          <w:tab w:val="left" w:pos="360"/>
          <w:tab w:val="left" w:pos="540"/>
        </w:tabs>
        <w:kinsoku/>
        <w:wordWrap/>
        <w:overflowPunct/>
        <w:topLinePunct w:val="0"/>
        <w:autoSpaceDE/>
        <w:autoSpaceDN/>
        <w:bidi w:val="0"/>
        <w:adjustRightInd w:val="0"/>
        <w:snapToGrid/>
        <w:spacing w:line="288" w:lineRule="auto"/>
        <w:ind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1.4中标单位应充分发挥在人才、技术、信息等方面的优势，并根据企业生产装置、设施设备特点及安全管理现状，必要时抽调化工、电气、消防、仪表自控、机械、安全管理等专业技术人员组建专家检查服务组，参与检查服务工作，以确保安全技术服务工作质量。</w:t>
      </w:r>
    </w:p>
    <w:p w14:paraId="7C5404D3">
      <w:pPr>
        <w:keepNext w:val="0"/>
        <w:keepLines w:val="0"/>
        <w:pageBreakBefore w:val="0"/>
        <w:widowControl w:val="0"/>
        <w:tabs>
          <w:tab w:val="left" w:pos="360"/>
          <w:tab w:val="left" w:pos="540"/>
        </w:tabs>
        <w:kinsoku/>
        <w:wordWrap/>
        <w:overflowPunct/>
        <w:topLinePunct w:val="0"/>
        <w:autoSpaceDE/>
        <w:autoSpaceDN/>
        <w:bidi w:val="0"/>
        <w:adjustRightInd w:val="0"/>
        <w:snapToGrid/>
        <w:spacing w:line="288" w:lineRule="auto"/>
        <w:ind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1.5以上人员须根据镇政府要求，在姚江镇镇政府大楼日常上班，接受镇</w:t>
      </w:r>
      <w:r>
        <w:rPr>
          <w:rFonts w:hint="eastAsia" w:ascii="宋体" w:hAnsi="宋体" w:cs="宋体"/>
          <w:color w:val="auto"/>
          <w:sz w:val="24"/>
          <w:szCs w:val="24"/>
          <w:highlight w:val="none"/>
          <w:lang w:val="en-US" w:eastAsia="zh-CN" w:bidi="ar-SA"/>
        </w:rPr>
        <w:t>应急消防管理站</w:t>
      </w:r>
      <w:r>
        <w:rPr>
          <w:rFonts w:hint="eastAsia" w:ascii="宋体" w:hAnsi="宋体" w:eastAsia="宋体" w:cs="宋体"/>
          <w:color w:val="auto"/>
          <w:sz w:val="24"/>
          <w:szCs w:val="24"/>
          <w:highlight w:val="none"/>
          <w:lang w:val="en-US" w:eastAsia="zh-CN" w:bidi="ar-SA"/>
        </w:rPr>
        <w:t>的领导和监管，所有费用包括加班费用均已经包含在投标报价中。</w:t>
      </w:r>
    </w:p>
    <w:p w14:paraId="2B942FA9">
      <w:pPr>
        <w:keepNext w:val="0"/>
        <w:keepLines w:val="0"/>
        <w:pageBreakBefore w:val="0"/>
        <w:widowControl w:val="0"/>
        <w:tabs>
          <w:tab w:val="left" w:pos="360"/>
          <w:tab w:val="left" w:pos="540"/>
        </w:tabs>
        <w:kinsoku/>
        <w:wordWrap/>
        <w:overflowPunct/>
        <w:topLinePunct w:val="0"/>
        <w:autoSpaceDE/>
        <w:autoSpaceDN/>
        <w:bidi w:val="0"/>
        <w:adjustRightInd w:val="0"/>
        <w:snapToGrid/>
        <w:spacing w:line="288"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2</w:t>
      </w:r>
      <w:r>
        <w:rPr>
          <w:rFonts w:hint="eastAsia" w:ascii="宋体" w:hAnsi="宋体" w:eastAsia="宋体" w:cs="宋体"/>
          <w:b/>
          <w:color w:val="auto"/>
          <w:sz w:val="24"/>
          <w:szCs w:val="24"/>
          <w:highlight w:val="none"/>
          <w:lang w:val="en-US" w:eastAsia="zh-CN" w:bidi="ar-SA"/>
        </w:rPr>
        <w:t>.</w:t>
      </w:r>
      <w:r>
        <w:rPr>
          <w:rFonts w:hint="eastAsia" w:ascii="宋体" w:hAnsi="宋体" w:eastAsia="宋体" w:cs="宋体"/>
          <w:b/>
          <w:color w:val="auto"/>
          <w:sz w:val="24"/>
          <w:szCs w:val="24"/>
          <w:highlight w:val="none"/>
          <w:lang w:bidi="ar-SA"/>
        </w:rPr>
        <w:t>服务时间</w:t>
      </w:r>
    </w:p>
    <w:p w14:paraId="540847C4">
      <w:pPr>
        <w:keepNext w:val="0"/>
        <w:keepLines w:val="0"/>
        <w:pageBreakBefore w:val="0"/>
        <w:widowControl w:val="0"/>
        <w:tabs>
          <w:tab w:val="left" w:pos="360"/>
          <w:tab w:val="left" w:pos="540"/>
        </w:tabs>
        <w:kinsoku/>
        <w:wordWrap/>
        <w:overflowPunct/>
        <w:topLinePunct w:val="0"/>
        <w:autoSpaceDE/>
        <w:autoSpaceDN/>
        <w:bidi w:val="0"/>
        <w:adjustRightInd w:val="0"/>
        <w:snapToGrid/>
        <w:spacing w:line="288"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合同签订后</w:t>
      </w:r>
      <w:r>
        <w:rPr>
          <w:rFonts w:hint="eastAsia" w:ascii="宋体" w:hAnsi="宋体" w:eastAsia="宋体" w:cs="宋体"/>
          <w:color w:val="auto"/>
          <w:sz w:val="24"/>
          <w:szCs w:val="24"/>
          <w:highlight w:val="none"/>
          <w:lang w:val="en-US" w:eastAsia="zh-CN" w:bidi="ar-SA"/>
        </w:rPr>
        <w:t>12</w:t>
      </w:r>
      <w:r>
        <w:rPr>
          <w:rFonts w:hint="eastAsia" w:ascii="宋体" w:hAnsi="宋体" w:eastAsia="宋体" w:cs="宋体"/>
          <w:color w:val="auto"/>
          <w:sz w:val="24"/>
          <w:szCs w:val="24"/>
          <w:highlight w:val="none"/>
          <w:lang w:bidi="ar-SA"/>
        </w:rPr>
        <w:t>个月内对</w:t>
      </w:r>
      <w:r>
        <w:rPr>
          <w:rFonts w:hint="eastAsia" w:ascii="宋体" w:hAnsi="宋体" w:eastAsia="宋体" w:cs="宋体"/>
          <w:color w:val="auto"/>
          <w:sz w:val="24"/>
          <w:szCs w:val="24"/>
          <w:highlight w:val="none"/>
          <w:lang w:eastAsia="zh-CN" w:bidi="ar-SA"/>
        </w:rPr>
        <w:t>姚江镇</w:t>
      </w:r>
      <w:r>
        <w:rPr>
          <w:rFonts w:hint="eastAsia" w:ascii="宋体" w:hAnsi="宋体" w:eastAsia="宋体" w:cs="宋体"/>
          <w:color w:val="auto"/>
          <w:sz w:val="24"/>
          <w:szCs w:val="24"/>
          <w:highlight w:val="none"/>
          <w:lang w:bidi="ar-SA"/>
        </w:rPr>
        <w:t>所有企业的日常巡查并出具日常巡查报告。</w:t>
      </w:r>
    </w:p>
    <w:p w14:paraId="19A5CC61">
      <w:pPr>
        <w:keepNext w:val="0"/>
        <w:keepLines w:val="0"/>
        <w:pageBreakBefore w:val="0"/>
        <w:widowControl w:val="0"/>
        <w:tabs>
          <w:tab w:val="left" w:pos="360"/>
          <w:tab w:val="left" w:pos="540"/>
        </w:tabs>
        <w:kinsoku/>
        <w:wordWrap/>
        <w:overflowPunct/>
        <w:topLinePunct w:val="0"/>
        <w:autoSpaceDE/>
        <w:autoSpaceDN/>
        <w:bidi w:val="0"/>
        <w:adjustRightInd w:val="0"/>
        <w:snapToGrid/>
        <w:spacing w:line="288"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3</w:t>
      </w:r>
      <w:r>
        <w:rPr>
          <w:rFonts w:hint="eastAsia" w:ascii="宋体" w:hAnsi="宋体" w:eastAsia="宋体" w:cs="宋体"/>
          <w:b/>
          <w:color w:val="auto"/>
          <w:sz w:val="24"/>
          <w:szCs w:val="24"/>
          <w:highlight w:val="none"/>
          <w:lang w:val="en-US" w:eastAsia="zh-CN" w:bidi="ar-SA"/>
        </w:rPr>
        <w:t>.</w:t>
      </w:r>
      <w:r>
        <w:rPr>
          <w:rFonts w:hint="eastAsia" w:ascii="宋体" w:hAnsi="宋体" w:eastAsia="宋体" w:cs="宋体"/>
          <w:b/>
          <w:color w:val="auto"/>
          <w:sz w:val="24"/>
          <w:szCs w:val="24"/>
          <w:highlight w:val="none"/>
          <w:lang w:bidi="ar-SA"/>
        </w:rPr>
        <w:t>服务内容及要求</w:t>
      </w:r>
    </w:p>
    <w:p w14:paraId="12D35EEA">
      <w:pPr>
        <w:keepNext w:val="0"/>
        <w:keepLines w:val="0"/>
        <w:pageBreakBefore w:val="0"/>
        <w:widowControl w:val="0"/>
        <w:kinsoku/>
        <w:wordWrap/>
        <w:overflowPunct/>
        <w:topLinePunct w:val="0"/>
        <w:autoSpaceDE/>
        <w:autoSpaceDN/>
        <w:bidi w:val="0"/>
        <w:snapToGrid/>
        <w:spacing w:line="288" w:lineRule="auto"/>
        <w:ind w:firstLine="480" w:firstLineChars="200"/>
        <w:jc w:val="left"/>
        <w:textAlignment w:val="auto"/>
        <w:rPr>
          <w:rFonts w:hint="eastAsia" w:ascii="宋体" w:hAnsi="宋体" w:eastAsia="宋体" w:cs="宋体"/>
          <w:color w:val="auto"/>
          <w:sz w:val="24"/>
          <w:szCs w:val="24"/>
          <w:highlight w:val="none"/>
        </w:rPr>
      </w:pPr>
      <w:bookmarkStart w:id="1" w:name="_Toc78464797"/>
      <w:r>
        <w:rPr>
          <w:rFonts w:hint="eastAsia" w:ascii="宋体" w:hAnsi="宋体" w:eastAsia="宋体" w:cs="宋体"/>
          <w:color w:val="auto"/>
          <w:sz w:val="24"/>
          <w:szCs w:val="24"/>
          <w:highlight w:val="none"/>
          <w:lang w:bidi="ar-SA"/>
        </w:rPr>
        <w:t>针对</w:t>
      </w:r>
      <w:r>
        <w:rPr>
          <w:rFonts w:hint="eastAsia" w:ascii="宋体" w:hAnsi="宋体" w:eastAsia="宋体" w:cs="宋体"/>
          <w:color w:val="auto"/>
          <w:sz w:val="24"/>
          <w:szCs w:val="24"/>
          <w:highlight w:val="none"/>
          <w:lang w:val="en-US" w:eastAsia="zh-CN" w:bidi="ar-SA"/>
        </w:rPr>
        <w:t>姚江</w:t>
      </w:r>
      <w:r>
        <w:rPr>
          <w:rFonts w:hint="eastAsia" w:ascii="宋体" w:hAnsi="宋体" w:eastAsia="宋体" w:cs="宋体"/>
          <w:color w:val="auto"/>
          <w:sz w:val="24"/>
          <w:szCs w:val="24"/>
          <w:highlight w:val="none"/>
          <w:lang w:eastAsia="zh-CN" w:bidi="ar-SA"/>
        </w:rPr>
        <w:t>镇生产经营单位、重点场所</w:t>
      </w:r>
      <w:r>
        <w:rPr>
          <w:rFonts w:hint="eastAsia" w:ascii="宋体" w:hAnsi="宋体" w:eastAsia="宋体" w:cs="宋体"/>
          <w:color w:val="auto"/>
          <w:sz w:val="24"/>
          <w:szCs w:val="24"/>
          <w:highlight w:val="none"/>
          <w:lang w:bidi="ar-SA"/>
        </w:rPr>
        <w:t>安全生产、消防安全意识不强、安全管理力量薄弱、缺乏行之有效管理工具的局面，</w:t>
      </w:r>
      <w:r>
        <w:rPr>
          <w:rFonts w:hint="eastAsia" w:ascii="宋体" w:hAnsi="宋体" w:eastAsia="宋体" w:cs="宋体"/>
          <w:color w:val="auto"/>
          <w:sz w:val="24"/>
          <w:szCs w:val="24"/>
          <w:highlight w:val="none"/>
          <w:lang w:val="en-US" w:eastAsia="zh-CN" w:bidi="ar-SA"/>
        </w:rPr>
        <w:t>中标单位</w:t>
      </w:r>
      <w:r>
        <w:rPr>
          <w:rFonts w:hint="eastAsia" w:ascii="宋体" w:hAnsi="宋体" w:eastAsia="宋体" w:cs="宋体"/>
          <w:color w:val="auto"/>
          <w:sz w:val="24"/>
          <w:szCs w:val="24"/>
          <w:highlight w:val="none"/>
          <w:lang w:bidi="ar-SA"/>
        </w:rPr>
        <w:t>对</w:t>
      </w:r>
      <w:r>
        <w:rPr>
          <w:rFonts w:hint="eastAsia" w:ascii="宋体" w:hAnsi="宋体" w:eastAsia="宋体" w:cs="宋体"/>
          <w:color w:val="auto"/>
          <w:sz w:val="24"/>
          <w:szCs w:val="24"/>
          <w:highlight w:val="none"/>
          <w:lang w:val="en-US" w:eastAsia="zh-CN" w:bidi="ar-SA"/>
        </w:rPr>
        <w:t>姚江镇</w:t>
      </w:r>
      <w:r>
        <w:rPr>
          <w:rFonts w:hint="eastAsia" w:ascii="宋体" w:hAnsi="宋体" w:eastAsia="宋体" w:cs="宋体"/>
          <w:color w:val="auto"/>
          <w:sz w:val="24"/>
          <w:szCs w:val="24"/>
          <w:highlight w:val="none"/>
          <w:lang w:bidi="ar-SA"/>
        </w:rPr>
        <w:t>提供第三方安全生产和消防安全</w:t>
      </w:r>
      <w:r>
        <w:rPr>
          <w:rFonts w:hint="eastAsia" w:ascii="宋体" w:hAnsi="宋体" w:cs="宋体"/>
          <w:color w:val="auto"/>
          <w:sz w:val="24"/>
          <w:szCs w:val="24"/>
          <w:highlight w:val="none"/>
          <w:lang w:eastAsia="zh-CN" w:bidi="ar-SA"/>
        </w:rPr>
        <w:t>宣传</w:t>
      </w:r>
      <w:r>
        <w:rPr>
          <w:rFonts w:hint="eastAsia" w:ascii="宋体" w:hAnsi="宋体" w:eastAsia="宋体" w:cs="宋体"/>
          <w:color w:val="auto"/>
          <w:sz w:val="24"/>
          <w:szCs w:val="24"/>
          <w:highlight w:val="none"/>
          <w:lang w:bidi="ar-SA"/>
        </w:rPr>
        <w:t>监督检查服务。</w:t>
      </w:r>
      <w:r>
        <w:rPr>
          <w:rFonts w:hint="eastAsia" w:ascii="宋体" w:hAnsi="宋体" w:eastAsia="宋体" w:cs="宋体"/>
          <w:color w:val="auto"/>
          <w:sz w:val="24"/>
          <w:szCs w:val="24"/>
          <w:highlight w:val="none"/>
          <w:lang w:val="en-US" w:eastAsia="zh-CN" w:bidi="ar-SA"/>
        </w:rPr>
        <w:t>安全专家对姚江镇域范围内企业全年开展不定期的技术指导、风险隐患排查和安全培训，每年度不定期开展200家企业风险普查核验。</w:t>
      </w:r>
    </w:p>
    <w:bookmarkEnd w:id="1"/>
    <w:p w14:paraId="5AAE3418">
      <w:pPr>
        <w:keepNext w:val="0"/>
        <w:keepLines w:val="0"/>
        <w:pageBreakBefore w:val="0"/>
        <w:widowControl w:val="0"/>
        <w:tabs>
          <w:tab w:val="left" w:pos="360"/>
          <w:tab w:val="left" w:pos="540"/>
        </w:tabs>
        <w:kinsoku/>
        <w:wordWrap/>
        <w:overflowPunct/>
        <w:topLinePunct w:val="0"/>
        <w:autoSpaceDE/>
        <w:autoSpaceDN/>
        <w:bidi w:val="0"/>
        <w:adjustRightInd w:val="0"/>
        <w:snapToGrid/>
        <w:spacing w:line="288" w:lineRule="auto"/>
        <w:ind w:firstLine="482" w:firstLineChars="200"/>
        <w:textAlignment w:val="auto"/>
        <w:rPr>
          <w:rFonts w:hint="eastAsia" w:ascii="宋体" w:hAnsi="宋体" w:eastAsia="宋体" w:cs="宋体"/>
          <w:b/>
          <w:bCs/>
          <w:color w:val="auto"/>
          <w:sz w:val="24"/>
          <w:szCs w:val="24"/>
          <w:highlight w:val="none"/>
          <w:lang w:bidi="ar-SA"/>
        </w:rPr>
      </w:pPr>
      <w:r>
        <w:rPr>
          <w:rFonts w:hint="eastAsia" w:ascii="宋体" w:hAnsi="宋体" w:eastAsia="宋体" w:cs="宋体"/>
          <w:b/>
          <w:bCs/>
          <w:color w:val="auto"/>
          <w:sz w:val="24"/>
          <w:szCs w:val="24"/>
          <w:highlight w:val="none"/>
          <w:lang w:bidi="ar-SA"/>
        </w:rPr>
        <w:t>3.1作业现场安全隐患排查检查内容</w:t>
      </w:r>
    </w:p>
    <w:p w14:paraId="72CED5F0">
      <w:pPr>
        <w:keepNext w:val="0"/>
        <w:keepLines w:val="0"/>
        <w:pageBreakBefore w:val="0"/>
        <w:widowControl w:val="0"/>
        <w:tabs>
          <w:tab w:val="left" w:pos="360"/>
          <w:tab w:val="left" w:pos="540"/>
        </w:tabs>
        <w:kinsoku/>
        <w:wordWrap/>
        <w:overflowPunct/>
        <w:topLinePunct w:val="0"/>
        <w:autoSpaceDE/>
        <w:autoSpaceDN/>
        <w:bidi w:val="0"/>
        <w:adjustRightInd w:val="0"/>
        <w:snapToGrid/>
        <w:spacing w:line="288"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val="en-US" w:eastAsia="zh-CN" w:bidi="ar-SA"/>
        </w:rPr>
        <w:t>1</w:t>
      </w: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bidi="ar-SA"/>
        </w:rPr>
        <w:t>消防方面：是否存在严重影响消防的建（构）筑物，是否存在三合一现象，安全出口是否畅通，消防设施是否配齐；</w:t>
      </w:r>
    </w:p>
    <w:p w14:paraId="687CB22E">
      <w:pPr>
        <w:keepNext w:val="0"/>
        <w:keepLines w:val="0"/>
        <w:pageBreakBefore w:val="0"/>
        <w:widowControl w:val="0"/>
        <w:tabs>
          <w:tab w:val="left" w:pos="360"/>
          <w:tab w:val="left" w:pos="540"/>
        </w:tabs>
        <w:kinsoku/>
        <w:wordWrap/>
        <w:overflowPunct/>
        <w:topLinePunct w:val="0"/>
        <w:autoSpaceDE/>
        <w:autoSpaceDN/>
        <w:bidi w:val="0"/>
        <w:adjustRightInd w:val="0"/>
        <w:snapToGrid/>
        <w:spacing w:line="288"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val="en-US" w:eastAsia="zh-CN" w:bidi="ar-SA"/>
        </w:rPr>
        <w:t>2</w:t>
      </w: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bidi="ar-SA"/>
        </w:rPr>
        <w:t>电气方面：是否做到接地、漏保、进箱、穿管、警示标志；</w:t>
      </w:r>
    </w:p>
    <w:p w14:paraId="5F1CD61A">
      <w:pPr>
        <w:keepNext w:val="0"/>
        <w:keepLines w:val="0"/>
        <w:pageBreakBefore w:val="0"/>
        <w:widowControl w:val="0"/>
        <w:tabs>
          <w:tab w:val="left" w:pos="360"/>
          <w:tab w:val="left" w:pos="540"/>
        </w:tabs>
        <w:kinsoku/>
        <w:wordWrap/>
        <w:overflowPunct/>
        <w:topLinePunct w:val="0"/>
        <w:autoSpaceDE/>
        <w:autoSpaceDN/>
        <w:bidi w:val="0"/>
        <w:adjustRightInd w:val="0"/>
        <w:snapToGrid/>
        <w:spacing w:line="288"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val="en-US" w:eastAsia="zh-CN" w:bidi="ar-SA"/>
        </w:rPr>
        <w:t>3</w:t>
      </w: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bidi="ar-SA"/>
        </w:rPr>
        <w:t>机械方面：是否做到有洞必有盖、有台必有栏、有轮必有罩、有轴必有套；</w:t>
      </w:r>
    </w:p>
    <w:p w14:paraId="489AE164">
      <w:pPr>
        <w:keepNext w:val="0"/>
        <w:keepLines w:val="0"/>
        <w:pageBreakBefore w:val="0"/>
        <w:widowControl w:val="0"/>
        <w:tabs>
          <w:tab w:val="left" w:pos="360"/>
          <w:tab w:val="left" w:pos="540"/>
        </w:tabs>
        <w:kinsoku/>
        <w:wordWrap/>
        <w:overflowPunct/>
        <w:topLinePunct w:val="0"/>
        <w:autoSpaceDE/>
        <w:autoSpaceDN/>
        <w:bidi w:val="0"/>
        <w:adjustRightInd w:val="0"/>
        <w:snapToGrid/>
        <w:spacing w:line="288"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val="en-US" w:eastAsia="zh-CN" w:bidi="ar-SA"/>
        </w:rPr>
        <w:t>4</w:t>
      </w: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bidi="ar-SA"/>
        </w:rPr>
        <w:t>职业健康方面：职业危害场所是否检测、评价，人员是否防护、体检；</w:t>
      </w:r>
    </w:p>
    <w:p w14:paraId="3D2F50B0">
      <w:pPr>
        <w:keepNext w:val="0"/>
        <w:keepLines w:val="0"/>
        <w:pageBreakBefore w:val="0"/>
        <w:widowControl w:val="0"/>
        <w:tabs>
          <w:tab w:val="left" w:pos="360"/>
          <w:tab w:val="left" w:pos="540"/>
        </w:tabs>
        <w:kinsoku/>
        <w:wordWrap/>
        <w:overflowPunct/>
        <w:topLinePunct w:val="0"/>
        <w:autoSpaceDE/>
        <w:autoSpaceDN/>
        <w:bidi w:val="0"/>
        <w:adjustRightInd w:val="0"/>
        <w:snapToGrid/>
        <w:spacing w:line="288"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val="en-US" w:eastAsia="zh-CN" w:bidi="ar-SA"/>
        </w:rPr>
        <w:t>5</w:t>
      </w: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bidi="ar-SA"/>
        </w:rPr>
        <w:t>特种设备方面：特种设备是否具备二证一检；</w:t>
      </w:r>
    </w:p>
    <w:p w14:paraId="4E5FF17D">
      <w:pPr>
        <w:keepNext w:val="0"/>
        <w:keepLines w:val="0"/>
        <w:pageBreakBefore w:val="0"/>
        <w:widowControl w:val="0"/>
        <w:tabs>
          <w:tab w:val="left" w:pos="360"/>
          <w:tab w:val="left" w:pos="540"/>
        </w:tabs>
        <w:kinsoku/>
        <w:wordWrap/>
        <w:overflowPunct/>
        <w:topLinePunct w:val="0"/>
        <w:autoSpaceDE/>
        <w:autoSpaceDN/>
        <w:bidi w:val="0"/>
        <w:adjustRightInd w:val="0"/>
        <w:snapToGrid/>
        <w:spacing w:line="288"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val="en-US" w:eastAsia="zh-CN" w:bidi="ar-SA"/>
        </w:rPr>
        <w:t>6</w:t>
      </w: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bidi="ar-SA"/>
        </w:rPr>
        <w:t>危险化学品方面：使用场所及储存是否规范；</w:t>
      </w:r>
    </w:p>
    <w:p w14:paraId="3825CA6D">
      <w:pPr>
        <w:keepNext w:val="0"/>
        <w:keepLines w:val="0"/>
        <w:pageBreakBefore w:val="0"/>
        <w:widowControl w:val="0"/>
        <w:tabs>
          <w:tab w:val="left" w:pos="360"/>
          <w:tab w:val="left" w:pos="540"/>
        </w:tabs>
        <w:kinsoku/>
        <w:wordWrap/>
        <w:overflowPunct/>
        <w:topLinePunct w:val="0"/>
        <w:autoSpaceDE/>
        <w:autoSpaceDN/>
        <w:bidi w:val="0"/>
        <w:adjustRightInd w:val="0"/>
        <w:snapToGrid/>
        <w:spacing w:line="288"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val="en-US" w:eastAsia="zh-CN" w:bidi="ar-SA"/>
        </w:rPr>
        <w:t>7</w:t>
      </w: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bidi="ar-SA"/>
        </w:rPr>
        <w:t>员工宿舍方面：宿舍的消防、电器是否满足安全要求。</w:t>
      </w:r>
    </w:p>
    <w:p w14:paraId="30ED8334">
      <w:pPr>
        <w:keepNext w:val="0"/>
        <w:keepLines w:val="0"/>
        <w:pageBreakBefore w:val="0"/>
        <w:widowControl w:val="0"/>
        <w:tabs>
          <w:tab w:val="left" w:pos="360"/>
          <w:tab w:val="left" w:pos="540"/>
        </w:tabs>
        <w:kinsoku/>
        <w:wordWrap/>
        <w:overflowPunct/>
        <w:topLinePunct w:val="0"/>
        <w:autoSpaceDE/>
        <w:autoSpaceDN/>
        <w:bidi w:val="0"/>
        <w:adjustRightInd w:val="0"/>
        <w:snapToGrid/>
        <w:spacing w:line="288"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val="en-US" w:eastAsia="zh-CN" w:bidi="ar-SA"/>
        </w:rPr>
        <w:t>8</w:t>
      </w: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bidi="ar-SA"/>
        </w:rPr>
        <w:t>其他方面根据国家有关法律法规进行排查。</w:t>
      </w:r>
    </w:p>
    <w:p w14:paraId="0549E730">
      <w:pPr>
        <w:keepNext w:val="0"/>
        <w:keepLines w:val="0"/>
        <w:pageBreakBefore w:val="0"/>
        <w:widowControl w:val="0"/>
        <w:tabs>
          <w:tab w:val="left" w:pos="360"/>
          <w:tab w:val="left" w:pos="540"/>
        </w:tabs>
        <w:kinsoku/>
        <w:wordWrap/>
        <w:overflowPunct/>
        <w:topLinePunct w:val="0"/>
        <w:autoSpaceDE/>
        <w:autoSpaceDN/>
        <w:bidi w:val="0"/>
        <w:adjustRightInd w:val="0"/>
        <w:snapToGrid/>
        <w:spacing w:line="288" w:lineRule="auto"/>
        <w:ind w:firstLine="482" w:firstLineChars="200"/>
        <w:textAlignment w:val="auto"/>
        <w:rPr>
          <w:rFonts w:hint="eastAsia" w:ascii="宋体" w:hAnsi="宋体" w:eastAsia="宋体" w:cs="宋体"/>
          <w:b/>
          <w:bCs/>
          <w:color w:val="auto"/>
          <w:sz w:val="24"/>
          <w:szCs w:val="24"/>
          <w:highlight w:val="none"/>
          <w:lang w:bidi="ar-SA"/>
        </w:rPr>
      </w:pPr>
      <w:r>
        <w:rPr>
          <w:rFonts w:hint="eastAsia" w:ascii="宋体" w:hAnsi="宋体" w:eastAsia="宋体" w:cs="宋体"/>
          <w:b/>
          <w:bCs/>
          <w:color w:val="auto"/>
          <w:sz w:val="24"/>
          <w:szCs w:val="24"/>
          <w:highlight w:val="none"/>
          <w:lang w:val="en-US" w:eastAsia="zh-CN" w:bidi="ar-SA"/>
        </w:rPr>
        <w:t>3.2</w:t>
      </w:r>
      <w:r>
        <w:rPr>
          <w:rFonts w:hint="eastAsia" w:ascii="宋体" w:hAnsi="宋体" w:eastAsia="宋体" w:cs="宋体"/>
          <w:b/>
          <w:bCs/>
          <w:color w:val="auto"/>
          <w:sz w:val="24"/>
          <w:szCs w:val="24"/>
          <w:highlight w:val="none"/>
          <w:lang w:bidi="ar-SA"/>
        </w:rPr>
        <w:t>基础</w:t>
      </w:r>
      <w:r>
        <w:rPr>
          <w:rFonts w:hint="eastAsia" w:ascii="宋体" w:hAnsi="宋体" w:eastAsia="宋体" w:cs="宋体"/>
          <w:b/>
          <w:bCs/>
          <w:color w:val="auto"/>
          <w:sz w:val="24"/>
          <w:szCs w:val="24"/>
          <w:highlight w:val="none"/>
          <w:lang w:eastAsia="zh-CN" w:bidi="ar-SA"/>
        </w:rPr>
        <w:t>台账检查</w:t>
      </w:r>
      <w:r>
        <w:rPr>
          <w:rFonts w:hint="eastAsia" w:ascii="宋体" w:hAnsi="宋体" w:eastAsia="宋体" w:cs="宋体"/>
          <w:b/>
          <w:bCs/>
          <w:color w:val="auto"/>
          <w:sz w:val="24"/>
          <w:szCs w:val="24"/>
          <w:highlight w:val="none"/>
          <w:lang w:bidi="ar-SA"/>
        </w:rPr>
        <w:t>内容</w:t>
      </w:r>
    </w:p>
    <w:p w14:paraId="61098613">
      <w:pPr>
        <w:keepNext w:val="0"/>
        <w:keepLines w:val="0"/>
        <w:pageBreakBefore w:val="0"/>
        <w:widowControl w:val="0"/>
        <w:tabs>
          <w:tab w:val="left" w:pos="360"/>
          <w:tab w:val="left" w:pos="540"/>
        </w:tabs>
        <w:kinsoku/>
        <w:wordWrap/>
        <w:overflowPunct/>
        <w:topLinePunct w:val="0"/>
        <w:autoSpaceDE/>
        <w:autoSpaceDN/>
        <w:bidi w:val="0"/>
        <w:adjustRightInd w:val="0"/>
        <w:snapToGrid/>
        <w:spacing w:line="288"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val="en-US" w:eastAsia="zh-CN" w:bidi="ar-SA"/>
        </w:rPr>
        <w:t>1</w:t>
      </w: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bidi="ar-SA"/>
        </w:rPr>
        <w:t>年度各级人员安全生产责任制是否签订；</w:t>
      </w:r>
    </w:p>
    <w:p w14:paraId="57A334BB">
      <w:pPr>
        <w:keepNext w:val="0"/>
        <w:keepLines w:val="0"/>
        <w:pageBreakBefore w:val="0"/>
        <w:widowControl w:val="0"/>
        <w:tabs>
          <w:tab w:val="left" w:pos="360"/>
          <w:tab w:val="left" w:pos="540"/>
        </w:tabs>
        <w:kinsoku/>
        <w:wordWrap/>
        <w:overflowPunct/>
        <w:topLinePunct w:val="0"/>
        <w:autoSpaceDE/>
        <w:autoSpaceDN/>
        <w:bidi w:val="0"/>
        <w:adjustRightInd w:val="0"/>
        <w:snapToGrid/>
        <w:spacing w:line="288"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val="en-US" w:eastAsia="zh-CN" w:bidi="ar-SA"/>
        </w:rPr>
        <w:t>2</w:t>
      </w: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bidi="ar-SA"/>
        </w:rPr>
        <w:t>是否建立安全管理制度和安全操作规程；</w:t>
      </w:r>
    </w:p>
    <w:p w14:paraId="60D33D20">
      <w:pPr>
        <w:keepNext w:val="0"/>
        <w:keepLines w:val="0"/>
        <w:pageBreakBefore w:val="0"/>
        <w:widowControl w:val="0"/>
        <w:tabs>
          <w:tab w:val="left" w:pos="360"/>
          <w:tab w:val="left" w:pos="540"/>
        </w:tabs>
        <w:kinsoku/>
        <w:wordWrap/>
        <w:overflowPunct/>
        <w:topLinePunct w:val="0"/>
        <w:autoSpaceDE/>
        <w:autoSpaceDN/>
        <w:bidi w:val="0"/>
        <w:adjustRightInd w:val="0"/>
        <w:snapToGrid/>
        <w:spacing w:line="288"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val="en-US" w:eastAsia="zh-CN" w:bidi="ar-SA"/>
        </w:rPr>
        <w:t>3</w:t>
      </w: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bidi="ar-SA"/>
        </w:rPr>
        <w:t>“三类岗位人员（企业负责人、安全管理人员、特种设备操作人员及特种作业人员”是否持证上岗情况；</w:t>
      </w:r>
    </w:p>
    <w:p w14:paraId="57FCDF04">
      <w:pPr>
        <w:keepNext w:val="0"/>
        <w:keepLines w:val="0"/>
        <w:pageBreakBefore w:val="0"/>
        <w:widowControl w:val="0"/>
        <w:tabs>
          <w:tab w:val="left" w:pos="360"/>
          <w:tab w:val="left" w:pos="540"/>
        </w:tabs>
        <w:kinsoku/>
        <w:wordWrap/>
        <w:overflowPunct/>
        <w:topLinePunct w:val="0"/>
        <w:autoSpaceDE/>
        <w:autoSpaceDN/>
        <w:bidi w:val="0"/>
        <w:adjustRightInd w:val="0"/>
        <w:snapToGrid/>
        <w:spacing w:line="288"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val="en-US" w:eastAsia="zh-CN" w:bidi="ar-SA"/>
        </w:rPr>
        <w:t>4</w:t>
      </w: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bidi="ar-SA"/>
        </w:rPr>
        <w:t>新进人员“三级”安全教育培训及日常教育是否落实；</w:t>
      </w:r>
    </w:p>
    <w:p w14:paraId="44CC1C93">
      <w:pPr>
        <w:keepNext w:val="0"/>
        <w:keepLines w:val="0"/>
        <w:pageBreakBefore w:val="0"/>
        <w:widowControl w:val="0"/>
        <w:tabs>
          <w:tab w:val="left" w:pos="360"/>
          <w:tab w:val="left" w:pos="540"/>
        </w:tabs>
        <w:kinsoku/>
        <w:wordWrap/>
        <w:overflowPunct/>
        <w:topLinePunct w:val="0"/>
        <w:autoSpaceDE/>
        <w:autoSpaceDN/>
        <w:bidi w:val="0"/>
        <w:adjustRightInd w:val="0"/>
        <w:snapToGrid/>
        <w:spacing w:line="288"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val="en-US" w:eastAsia="zh-CN" w:bidi="ar-SA"/>
        </w:rPr>
        <w:t>5</w:t>
      </w: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bidi="ar-SA"/>
        </w:rPr>
        <w:t>日常安全生产隐患排查治理是否有记录；</w:t>
      </w:r>
    </w:p>
    <w:p w14:paraId="240B8B94">
      <w:pPr>
        <w:keepNext w:val="0"/>
        <w:keepLines w:val="0"/>
        <w:pageBreakBefore w:val="0"/>
        <w:widowControl w:val="0"/>
        <w:tabs>
          <w:tab w:val="left" w:pos="360"/>
          <w:tab w:val="left" w:pos="540"/>
        </w:tabs>
        <w:kinsoku/>
        <w:wordWrap/>
        <w:overflowPunct/>
        <w:topLinePunct w:val="0"/>
        <w:autoSpaceDE/>
        <w:autoSpaceDN/>
        <w:bidi w:val="0"/>
        <w:adjustRightInd w:val="0"/>
        <w:snapToGrid/>
        <w:spacing w:line="288"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val="en-US" w:eastAsia="zh-CN" w:bidi="ar-SA"/>
        </w:rPr>
        <w:t>6</w:t>
      </w: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bidi="ar-SA"/>
        </w:rPr>
        <w:t>是否编制安全生产事故应急预案，是否定期进行预案演练；</w:t>
      </w:r>
    </w:p>
    <w:p w14:paraId="385DA136">
      <w:pPr>
        <w:keepNext w:val="0"/>
        <w:keepLines w:val="0"/>
        <w:pageBreakBefore w:val="0"/>
        <w:widowControl w:val="0"/>
        <w:tabs>
          <w:tab w:val="left" w:pos="360"/>
          <w:tab w:val="left" w:pos="540"/>
        </w:tabs>
        <w:kinsoku/>
        <w:wordWrap/>
        <w:overflowPunct/>
        <w:topLinePunct w:val="0"/>
        <w:autoSpaceDE/>
        <w:autoSpaceDN/>
        <w:bidi w:val="0"/>
        <w:adjustRightInd w:val="0"/>
        <w:snapToGrid/>
        <w:spacing w:line="288" w:lineRule="auto"/>
        <w:ind w:firstLine="482" w:firstLineChars="200"/>
        <w:textAlignment w:val="auto"/>
        <w:rPr>
          <w:rFonts w:hint="eastAsia" w:ascii="宋体" w:hAnsi="宋体" w:eastAsia="宋体" w:cs="宋体"/>
          <w:b/>
          <w:bCs/>
          <w:color w:val="auto"/>
          <w:sz w:val="24"/>
          <w:szCs w:val="24"/>
          <w:highlight w:val="none"/>
          <w:lang w:bidi="ar-SA"/>
        </w:rPr>
      </w:pPr>
      <w:r>
        <w:rPr>
          <w:rFonts w:hint="eastAsia" w:ascii="宋体" w:hAnsi="宋体" w:eastAsia="宋体" w:cs="宋体"/>
          <w:b/>
          <w:bCs/>
          <w:color w:val="auto"/>
          <w:sz w:val="24"/>
          <w:szCs w:val="24"/>
          <w:highlight w:val="none"/>
          <w:lang w:bidi="ar-SA"/>
        </w:rPr>
        <w:t>3.</w:t>
      </w:r>
      <w:r>
        <w:rPr>
          <w:rFonts w:hint="eastAsia" w:ascii="宋体" w:hAnsi="宋体" w:eastAsia="宋体" w:cs="宋体"/>
          <w:b/>
          <w:bCs/>
          <w:color w:val="auto"/>
          <w:sz w:val="24"/>
          <w:szCs w:val="24"/>
          <w:highlight w:val="none"/>
          <w:lang w:val="en-US" w:eastAsia="zh-CN" w:bidi="ar-SA"/>
        </w:rPr>
        <w:t>3</w:t>
      </w:r>
      <w:r>
        <w:rPr>
          <w:rFonts w:hint="eastAsia" w:ascii="宋体" w:hAnsi="宋体" w:eastAsia="宋体" w:cs="宋体"/>
          <w:b/>
          <w:bCs/>
          <w:color w:val="auto"/>
          <w:sz w:val="24"/>
          <w:szCs w:val="24"/>
          <w:highlight w:val="none"/>
          <w:lang w:bidi="ar-SA"/>
        </w:rPr>
        <w:t>检查要求及成果递交</w:t>
      </w:r>
    </w:p>
    <w:p w14:paraId="0ABB6C3D">
      <w:pPr>
        <w:keepNext w:val="0"/>
        <w:keepLines w:val="0"/>
        <w:pageBreakBefore w:val="0"/>
        <w:widowControl w:val="0"/>
        <w:tabs>
          <w:tab w:val="left" w:pos="360"/>
          <w:tab w:val="left" w:pos="540"/>
        </w:tabs>
        <w:kinsoku/>
        <w:wordWrap/>
        <w:overflowPunct/>
        <w:topLinePunct w:val="0"/>
        <w:autoSpaceDE/>
        <w:autoSpaceDN/>
        <w:bidi w:val="0"/>
        <w:adjustRightInd w:val="0"/>
        <w:snapToGrid/>
        <w:spacing w:line="288" w:lineRule="auto"/>
        <w:ind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SA"/>
        </w:rPr>
        <w:t>（1）</w:t>
      </w:r>
      <w:r>
        <w:rPr>
          <w:rFonts w:hint="eastAsia" w:ascii="宋体" w:hAnsi="宋体" w:eastAsia="宋体" w:cs="宋体"/>
          <w:color w:val="auto"/>
          <w:sz w:val="24"/>
          <w:szCs w:val="24"/>
          <w:highlight w:val="none"/>
          <w:lang w:val="en-US" w:eastAsia="zh-CN" w:bidi="ar-SA"/>
        </w:rPr>
        <w:t>中标单位</w:t>
      </w:r>
      <w:r>
        <w:rPr>
          <w:rFonts w:hint="eastAsia" w:ascii="宋体" w:hAnsi="宋体" w:eastAsia="宋体" w:cs="宋体"/>
          <w:color w:val="auto"/>
          <w:sz w:val="24"/>
          <w:szCs w:val="24"/>
          <w:highlight w:val="none"/>
          <w:lang w:bidi="ar-SA"/>
        </w:rPr>
        <w:t>在实施检查前应提前制订详细的检查计划，包括检查组别、人员、时间、内容制定工作流程、检查表等，建立健全检查责任制和检查过程质量控制程序，根据企业数量、特性等合理安排服务进程。</w:t>
      </w:r>
    </w:p>
    <w:p w14:paraId="432DF1CA">
      <w:pPr>
        <w:keepNext w:val="0"/>
        <w:keepLines w:val="0"/>
        <w:pageBreakBefore w:val="0"/>
        <w:widowControl w:val="0"/>
        <w:tabs>
          <w:tab w:val="left" w:pos="360"/>
          <w:tab w:val="left" w:pos="540"/>
        </w:tabs>
        <w:kinsoku/>
        <w:wordWrap/>
        <w:overflowPunct/>
        <w:topLinePunct w:val="0"/>
        <w:autoSpaceDE/>
        <w:autoSpaceDN/>
        <w:bidi w:val="0"/>
        <w:adjustRightInd w:val="0"/>
        <w:snapToGrid/>
        <w:spacing w:line="288"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w:t>
      </w:r>
      <w:r>
        <w:rPr>
          <w:rFonts w:hint="eastAsia" w:ascii="宋体" w:hAnsi="宋体" w:eastAsia="宋体" w:cs="宋体"/>
          <w:color w:val="auto"/>
          <w:sz w:val="24"/>
          <w:szCs w:val="24"/>
          <w:highlight w:val="none"/>
          <w:lang w:eastAsia="zh-CN" w:bidi="ar-SA"/>
        </w:rPr>
        <w:t>中标单位</w:t>
      </w:r>
      <w:r>
        <w:rPr>
          <w:rFonts w:hint="eastAsia" w:ascii="宋体" w:hAnsi="宋体" w:eastAsia="宋体" w:cs="宋体"/>
          <w:color w:val="auto"/>
          <w:sz w:val="24"/>
          <w:szCs w:val="24"/>
          <w:highlight w:val="none"/>
          <w:lang w:bidi="ar-SA"/>
        </w:rPr>
        <w:t>在检查期间应安排足够的人员力量对服务辖区开展</w:t>
      </w:r>
      <w:r>
        <w:rPr>
          <w:rFonts w:hint="eastAsia" w:ascii="宋体" w:hAnsi="宋体" w:cs="宋体"/>
          <w:color w:val="auto"/>
          <w:sz w:val="24"/>
          <w:szCs w:val="24"/>
          <w:highlight w:val="none"/>
          <w:lang w:eastAsia="zh-CN" w:bidi="ar-SA"/>
        </w:rPr>
        <w:t>消防安全宣传和</w:t>
      </w:r>
      <w:r>
        <w:rPr>
          <w:rFonts w:hint="eastAsia" w:ascii="宋体" w:hAnsi="宋体" w:eastAsia="宋体" w:cs="宋体"/>
          <w:color w:val="auto"/>
          <w:sz w:val="24"/>
          <w:szCs w:val="24"/>
          <w:highlight w:val="none"/>
          <w:lang w:bidi="ar-SA"/>
        </w:rPr>
        <w:t>集中检查，对服务企业开展安全检查时应根据企业规模、工艺特点和类型，</w:t>
      </w:r>
      <w:r>
        <w:rPr>
          <w:rFonts w:hint="eastAsia" w:ascii="宋体" w:hAnsi="宋体" w:eastAsia="宋体" w:cs="宋体"/>
          <w:color w:val="auto"/>
          <w:sz w:val="24"/>
          <w:szCs w:val="24"/>
          <w:highlight w:val="none"/>
          <w:lang w:eastAsia="zh-CN" w:bidi="ar-SA"/>
        </w:rPr>
        <w:t>组织</w:t>
      </w:r>
      <w:r>
        <w:rPr>
          <w:rFonts w:hint="eastAsia" w:ascii="宋体" w:hAnsi="宋体" w:eastAsia="宋体" w:cs="宋体"/>
          <w:color w:val="auto"/>
          <w:sz w:val="24"/>
          <w:szCs w:val="24"/>
          <w:highlight w:val="none"/>
          <w:lang w:bidi="ar-SA"/>
        </w:rPr>
        <w:t>相应的专家</w:t>
      </w:r>
      <w:r>
        <w:rPr>
          <w:rFonts w:hint="eastAsia" w:ascii="宋体" w:hAnsi="宋体" w:eastAsia="宋体" w:cs="宋体"/>
          <w:color w:val="auto"/>
          <w:sz w:val="24"/>
          <w:szCs w:val="24"/>
          <w:highlight w:val="none"/>
          <w:lang w:eastAsia="zh-CN" w:bidi="ar-SA"/>
        </w:rPr>
        <w:t>和网格员（机关干部）</w:t>
      </w:r>
      <w:r>
        <w:rPr>
          <w:rFonts w:hint="eastAsia" w:ascii="宋体" w:hAnsi="宋体" w:eastAsia="宋体" w:cs="宋体"/>
          <w:color w:val="auto"/>
          <w:sz w:val="24"/>
          <w:szCs w:val="24"/>
          <w:highlight w:val="none"/>
          <w:lang w:bidi="ar-SA"/>
        </w:rPr>
        <w:t>，对企业区域进行全覆盖检查。</w:t>
      </w:r>
    </w:p>
    <w:p w14:paraId="717D6E52">
      <w:pPr>
        <w:keepNext w:val="0"/>
        <w:keepLines w:val="0"/>
        <w:pageBreakBefore w:val="0"/>
        <w:widowControl w:val="0"/>
        <w:tabs>
          <w:tab w:val="left" w:pos="360"/>
          <w:tab w:val="left" w:pos="540"/>
        </w:tabs>
        <w:kinsoku/>
        <w:wordWrap/>
        <w:overflowPunct/>
        <w:topLinePunct w:val="0"/>
        <w:autoSpaceDE/>
        <w:autoSpaceDN/>
        <w:bidi w:val="0"/>
        <w:adjustRightInd w:val="0"/>
        <w:snapToGrid/>
        <w:spacing w:line="288"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w:t>
      </w:r>
      <w:r>
        <w:rPr>
          <w:rFonts w:hint="eastAsia" w:ascii="宋体" w:hAnsi="宋体" w:eastAsia="宋体" w:cs="宋体"/>
          <w:color w:val="auto"/>
          <w:sz w:val="24"/>
          <w:szCs w:val="24"/>
          <w:highlight w:val="none"/>
          <w:lang w:eastAsia="zh-CN" w:bidi="ar-SA"/>
        </w:rPr>
        <w:t>中标单位</w:t>
      </w:r>
      <w:r>
        <w:rPr>
          <w:rFonts w:hint="eastAsia" w:ascii="宋体" w:hAnsi="宋体" w:eastAsia="宋体" w:cs="宋体"/>
          <w:color w:val="auto"/>
          <w:sz w:val="24"/>
          <w:szCs w:val="24"/>
          <w:highlight w:val="none"/>
          <w:lang w:bidi="ar-SA"/>
        </w:rPr>
        <w:t>对每家企业检查中发现的问题和隐患应详细记录，并配有隐患图片，与企业书面交底，提出整改意见和建议，由参与工作的相关专家</w:t>
      </w:r>
      <w:r>
        <w:rPr>
          <w:rFonts w:hint="eastAsia" w:ascii="宋体" w:hAnsi="宋体" w:eastAsia="宋体" w:cs="宋体"/>
          <w:color w:val="auto"/>
          <w:sz w:val="24"/>
          <w:szCs w:val="24"/>
          <w:highlight w:val="none"/>
          <w:lang w:eastAsia="zh-CN" w:bidi="ar-SA"/>
        </w:rPr>
        <w:t>和网格员（机关干部）</w:t>
      </w:r>
      <w:r>
        <w:rPr>
          <w:rFonts w:hint="eastAsia" w:ascii="宋体" w:hAnsi="宋体" w:eastAsia="宋体" w:cs="宋体"/>
          <w:color w:val="auto"/>
          <w:sz w:val="24"/>
          <w:szCs w:val="24"/>
          <w:highlight w:val="none"/>
          <w:lang w:bidi="ar-SA"/>
        </w:rPr>
        <w:t>签名。检查记录表要按照诸暨市</w:t>
      </w:r>
      <w:r>
        <w:rPr>
          <w:rFonts w:hint="eastAsia" w:ascii="宋体" w:hAnsi="宋体" w:cs="宋体"/>
          <w:color w:val="auto"/>
          <w:sz w:val="24"/>
          <w:szCs w:val="24"/>
          <w:highlight w:val="none"/>
          <w:lang w:eastAsia="zh-CN" w:bidi="ar-SA"/>
        </w:rPr>
        <w:t>应急管理局</w:t>
      </w:r>
      <w:r>
        <w:rPr>
          <w:rFonts w:hint="eastAsia" w:ascii="宋体" w:hAnsi="宋体" w:eastAsia="宋体" w:cs="宋体"/>
          <w:color w:val="auto"/>
          <w:sz w:val="24"/>
          <w:szCs w:val="24"/>
          <w:highlight w:val="none"/>
          <w:lang w:bidi="ar-SA"/>
        </w:rPr>
        <w:t>规定的格式进行，检查结束后隔日要将隐患清单反馈给所服务企业及镇</w:t>
      </w:r>
      <w:r>
        <w:rPr>
          <w:rFonts w:hint="eastAsia" w:ascii="宋体" w:hAnsi="宋体" w:cs="宋体"/>
          <w:color w:val="auto"/>
          <w:sz w:val="24"/>
          <w:szCs w:val="24"/>
          <w:highlight w:val="none"/>
          <w:lang w:eastAsia="zh-CN" w:bidi="ar-SA"/>
        </w:rPr>
        <w:t>应急消防管理站</w:t>
      </w:r>
      <w:r>
        <w:rPr>
          <w:rFonts w:hint="eastAsia" w:ascii="宋体" w:hAnsi="宋体" w:eastAsia="宋体" w:cs="宋体"/>
          <w:color w:val="auto"/>
          <w:sz w:val="24"/>
          <w:szCs w:val="24"/>
          <w:highlight w:val="none"/>
          <w:lang w:bidi="ar-SA"/>
        </w:rPr>
        <w:t>。每季度末，</w:t>
      </w:r>
      <w:r>
        <w:rPr>
          <w:rFonts w:hint="eastAsia" w:ascii="宋体" w:hAnsi="宋体" w:eastAsia="宋体" w:cs="宋体"/>
          <w:color w:val="auto"/>
          <w:sz w:val="24"/>
          <w:szCs w:val="24"/>
          <w:highlight w:val="none"/>
          <w:lang w:eastAsia="zh-CN" w:bidi="ar-SA"/>
        </w:rPr>
        <w:t>中标单位</w:t>
      </w:r>
      <w:r>
        <w:rPr>
          <w:rFonts w:hint="eastAsia" w:ascii="宋体" w:hAnsi="宋体" w:eastAsia="宋体" w:cs="宋体"/>
          <w:color w:val="auto"/>
          <w:sz w:val="24"/>
          <w:szCs w:val="24"/>
          <w:highlight w:val="none"/>
          <w:lang w:bidi="ar-SA"/>
        </w:rPr>
        <w:t>要将所有服务企业的检查记录汇编成册，一式二份，报送</w:t>
      </w:r>
      <w:r>
        <w:rPr>
          <w:rFonts w:hint="eastAsia" w:ascii="宋体" w:hAnsi="宋体" w:cs="宋体"/>
          <w:color w:val="auto"/>
          <w:sz w:val="24"/>
          <w:szCs w:val="24"/>
          <w:highlight w:val="none"/>
          <w:lang w:eastAsia="zh-CN" w:bidi="ar-SA"/>
        </w:rPr>
        <w:t>应急消防管理站</w:t>
      </w:r>
      <w:r>
        <w:rPr>
          <w:rFonts w:hint="eastAsia" w:ascii="宋体" w:hAnsi="宋体" w:eastAsia="宋体" w:cs="宋体"/>
          <w:color w:val="auto"/>
          <w:sz w:val="24"/>
          <w:szCs w:val="24"/>
          <w:highlight w:val="none"/>
          <w:lang w:bidi="ar-SA"/>
        </w:rPr>
        <w:t>。</w:t>
      </w:r>
    </w:p>
    <w:p w14:paraId="784E2560">
      <w:pPr>
        <w:keepNext w:val="0"/>
        <w:keepLines w:val="0"/>
        <w:pageBreakBefore w:val="0"/>
        <w:widowControl w:val="0"/>
        <w:tabs>
          <w:tab w:val="left" w:pos="360"/>
          <w:tab w:val="left" w:pos="540"/>
        </w:tabs>
        <w:kinsoku/>
        <w:wordWrap/>
        <w:overflowPunct/>
        <w:topLinePunct w:val="0"/>
        <w:autoSpaceDE/>
        <w:autoSpaceDN/>
        <w:bidi w:val="0"/>
        <w:adjustRightInd w:val="0"/>
        <w:snapToGrid/>
        <w:spacing w:line="288"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（4）</w:t>
      </w:r>
      <w:r>
        <w:rPr>
          <w:rFonts w:hint="eastAsia" w:ascii="宋体" w:hAnsi="宋体" w:eastAsia="宋体" w:cs="宋体"/>
          <w:color w:val="auto"/>
          <w:sz w:val="24"/>
          <w:szCs w:val="24"/>
          <w:highlight w:val="none"/>
          <w:lang w:eastAsia="zh-CN" w:bidi="ar-SA"/>
        </w:rPr>
        <w:t>中标单位</w:t>
      </w:r>
      <w:r>
        <w:rPr>
          <w:rFonts w:hint="eastAsia" w:ascii="宋体" w:hAnsi="宋体" w:eastAsia="宋体" w:cs="宋体"/>
          <w:color w:val="auto"/>
          <w:sz w:val="24"/>
          <w:szCs w:val="24"/>
          <w:highlight w:val="none"/>
          <w:lang w:bidi="ar-SA"/>
        </w:rPr>
        <w:t>开展安全检查不得走过场，不得弄虚作假，不得隐瞒真实情况，对检查的真实性负法律责任。</w:t>
      </w:r>
    </w:p>
    <w:p w14:paraId="07C1702D">
      <w:pPr>
        <w:keepNext w:val="0"/>
        <w:keepLines w:val="0"/>
        <w:pageBreakBefore w:val="0"/>
        <w:widowControl w:val="0"/>
        <w:tabs>
          <w:tab w:val="left" w:pos="360"/>
          <w:tab w:val="left" w:pos="540"/>
        </w:tabs>
        <w:kinsoku/>
        <w:wordWrap/>
        <w:overflowPunct/>
        <w:topLinePunct w:val="0"/>
        <w:autoSpaceDE/>
        <w:autoSpaceDN/>
        <w:bidi w:val="0"/>
        <w:adjustRightInd w:val="0"/>
        <w:snapToGrid/>
        <w:spacing w:line="288"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（5）</w:t>
      </w:r>
      <w:r>
        <w:rPr>
          <w:rFonts w:hint="eastAsia" w:ascii="宋体" w:hAnsi="宋体" w:eastAsia="宋体" w:cs="宋体"/>
          <w:color w:val="auto"/>
          <w:sz w:val="24"/>
          <w:szCs w:val="24"/>
          <w:highlight w:val="none"/>
          <w:lang w:eastAsia="zh-CN" w:bidi="ar-SA"/>
        </w:rPr>
        <w:t>中标单位</w:t>
      </w:r>
      <w:r>
        <w:rPr>
          <w:rFonts w:hint="eastAsia" w:ascii="宋体" w:hAnsi="宋体" w:eastAsia="宋体" w:cs="宋体"/>
          <w:color w:val="auto"/>
          <w:sz w:val="24"/>
          <w:szCs w:val="24"/>
          <w:highlight w:val="none"/>
          <w:lang w:bidi="ar-SA"/>
        </w:rPr>
        <w:t>在工作过程中要听从</w:t>
      </w:r>
      <w:r>
        <w:rPr>
          <w:rFonts w:hint="eastAsia" w:ascii="宋体" w:hAnsi="宋体" w:eastAsia="宋体" w:cs="宋体"/>
          <w:color w:val="auto"/>
          <w:sz w:val="24"/>
          <w:szCs w:val="24"/>
          <w:highlight w:val="none"/>
          <w:lang w:eastAsia="zh-CN" w:bidi="ar-SA"/>
        </w:rPr>
        <w:t>镇</w:t>
      </w:r>
      <w:r>
        <w:rPr>
          <w:rFonts w:hint="eastAsia" w:ascii="宋体" w:hAnsi="宋体" w:cs="宋体"/>
          <w:color w:val="auto"/>
          <w:sz w:val="24"/>
          <w:szCs w:val="24"/>
          <w:highlight w:val="none"/>
          <w:lang w:eastAsia="zh-CN" w:bidi="ar-SA"/>
        </w:rPr>
        <w:t>应急消防管理站</w:t>
      </w:r>
      <w:r>
        <w:rPr>
          <w:rFonts w:hint="eastAsia" w:ascii="宋体" w:hAnsi="宋体" w:eastAsia="宋体" w:cs="宋体"/>
          <w:color w:val="auto"/>
          <w:sz w:val="24"/>
          <w:szCs w:val="24"/>
          <w:highlight w:val="none"/>
          <w:lang w:bidi="ar-SA"/>
        </w:rPr>
        <w:t>的统一安排，按照要求开展工作，上报排查情况。</w:t>
      </w:r>
    </w:p>
    <w:p w14:paraId="62B0200C">
      <w:pPr>
        <w:keepNext w:val="0"/>
        <w:keepLines w:val="0"/>
        <w:pageBreakBefore w:val="0"/>
        <w:widowControl w:val="0"/>
        <w:kinsoku/>
        <w:wordWrap/>
        <w:overflowPunct/>
        <w:topLinePunct w:val="0"/>
        <w:autoSpaceDE/>
        <w:autoSpaceDN/>
        <w:bidi w:val="0"/>
        <w:snapToGrid/>
        <w:spacing w:line="288"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eastAsia="zh-CN" w:bidi="ar-SA"/>
        </w:rPr>
        <w:t>（</w:t>
      </w:r>
      <w:r>
        <w:rPr>
          <w:rFonts w:hint="eastAsia" w:ascii="宋体" w:hAnsi="宋体" w:eastAsia="宋体" w:cs="宋体"/>
          <w:b/>
          <w:color w:val="auto"/>
          <w:sz w:val="24"/>
          <w:szCs w:val="24"/>
          <w:highlight w:val="none"/>
          <w:lang w:val="en-US" w:eastAsia="zh-CN" w:bidi="ar-SA"/>
        </w:rPr>
        <w:t>四</w:t>
      </w:r>
      <w:r>
        <w:rPr>
          <w:rFonts w:hint="eastAsia" w:ascii="宋体" w:hAnsi="宋体" w:eastAsia="宋体" w:cs="宋体"/>
          <w:b/>
          <w:color w:val="auto"/>
          <w:sz w:val="24"/>
          <w:szCs w:val="24"/>
          <w:highlight w:val="none"/>
          <w:lang w:eastAsia="zh-CN" w:bidi="ar-SA"/>
        </w:rPr>
        <w:t>）</w:t>
      </w:r>
      <w:r>
        <w:rPr>
          <w:rFonts w:hint="eastAsia" w:ascii="宋体" w:hAnsi="宋体" w:eastAsia="宋体" w:cs="宋体"/>
          <w:b/>
          <w:color w:val="auto"/>
          <w:sz w:val="24"/>
          <w:szCs w:val="24"/>
          <w:highlight w:val="none"/>
          <w:lang w:bidi="ar-SA"/>
        </w:rPr>
        <w:t>履约保证金及</w:t>
      </w:r>
      <w:r>
        <w:rPr>
          <w:rFonts w:hint="eastAsia" w:ascii="宋体" w:hAnsi="宋体" w:eastAsia="宋体" w:cs="宋体"/>
          <w:b/>
          <w:color w:val="auto"/>
          <w:sz w:val="24"/>
          <w:szCs w:val="24"/>
          <w:highlight w:val="none"/>
          <w:lang w:val="en-US" w:eastAsia="zh-CN" w:bidi="ar-SA"/>
        </w:rPr>
        <w:t>付款方式</w:t>
      </w:r>
    </w:p>
    <w:p w14:paraId="22911085">
      <w:pPr>
        <w:keepNext w:val="0"/>
        <w:keepLines w:val="0"/>
        <w:pageBreakBefore w:val="0"/>
        <w:widowControl w:val="0"/>
        <w:kinsoku/>
        <w:wordWrap/>
        <w:overflowPunct/>
        <w:topLinePunct w:val="0"/>
        <w:autoSpaceDE/>
        <w:autoSpaceDN/>
        <w:bidi w:val="0"/>
        <w:snapToGrid/>
        <w:spacing w:line="288"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val="en-US" w:eastAsia="zh-CN" w:bidi="ar-SA"/>
        </w:rPr>
        <w:t>1.</w:t>
      </w:r>
      <w:r>
        <w:rPr>
          <w:rFonts w:hint="eastAsia" w:ascii="宋体" w:hAnsi="宋体" w:eastAsia="宋体" w:cs="宋体"/>
          <w:color w:val="auto"/>
          <w:sz w:val="24"/>
          <w:szCs w:val="24"/>
          <w:highlight w:val="none"/>
          <w:lang w:bidi="ar-SA"/>
        </w:rPr>
        <w:t>履约保证金</w:t>
      </w: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val="en-US" w:eastAsia="zh-CN" w:bidi="ar-SA"/>
        </w:rPr>
        <w:t>项目实施前，</w:t>
      </w:r>
      <w:r>
        <w:rPr>
          <w:rFonts w:hint="eastAsia" w:ascii="宋体" w:hAnsi="宋体" w:eastAsia="宋体" w:cs="宋体"/>
          <w:color w:val="auto"/>
          <w:sz w:val="24"/>
          <w:szCs w:val="24"/>
          <w:highlight w:val="none"/>
          <w:lang w:bidi="ar-SA"/>
        </w:rPr>
        <w:t>中标</w:t>
      </w:r>
      <w:r>
        <w:rPr>
          <w:rFonts w:hint="eastAsia" w:ascii="宋体" w:hAnsi="宋体" w:eastAsia="宋体" w:cs="宋体"/>
          <w:color w:val="auto"/>
          <w:sz w:val="24"/>
          <w:szCs w:val="24"/>
          <w:highlight w:val="none"/>
          <w:lang w:val="en-US" w:eastAsia="zh-CN" w:bidi="ar-SA"/>
        </w:rPr>
        <w:t>单位</w:t>
      </w:r>
      <w:r>
        <w:rPr>
          <w:rFonts w:hint="eastAsia" w:ascii="宋体" w:hAnsi="宋体" w:eastAsia="宋体" w:cs="宋体"/>
          <w:color w:val="auto"/>
          <w:sz w:val="24"/>
          <w:szCs w:val="24"/>
          <w:highlight w:val="none"/>
          <w:lang w:bidi="ar-SA"/>
        </w:rPr>
        <w:t>须向采购人缴纳</w:t>
      </w:r>
      <w:r>
        <w:rPr>
          <w:rFonts w:hint="eastAsia" w:ascii="宋体" w:hAnsi="宋体" w:eastAsia="宋体" w:cs="宋体"/>
          <w:color w:val="auto"/>
          <w:sz w:val="24"/>
          <w:szCs w:val="24"/>
          <w:highlight w:val="none"/>
          <w:lang w:eastAsia="zh-CN" w:bidi="ar-SA"/>
        </w:rPr>
        <w:t>合同金额</w:t>
      </w:r>
      <w:r>
        <w:rPr>
          <w:rFonts w:hint="eastAsia" w:ascii="宋体" w:hAnsi="宋体" w:eastAsia="宋体" w:cs="宋体"/>
          <w:color w:val="auto"/>
          <w:sz w:val="24"/>
          <w:szCs w:val="24"/>
          <w:highlight w:val="none"/>
          <w:lang w:val="en-US" w:eastAsia="zh-CN" w:bidi="ar-SA"/>
        </w:rPr>
        <w:t>1%</w:t>
      </w:r>
      <w:r>
        <w:rPr>
          <w:rFonts w:hint="eastAsia" w:ascii="宋体" w:hAnsi="宋体" w:eastAsia="宋体" w:cs="宋体"/>
          <w:color w:val="auto"/>
          <w:sz w:val="24"/>
          <w:szCs w:val="24"/>
          <w:highlight w:val="none"/>
          <w:lang w:bidi="ar-SA"/>
        </w:rPr>
        <w:t>履约保证金，服务结束验收合格后</w:t>
      </w:r>
      <w:r>
        <w:rPr>
          <w:rFonts w:hint="eastAsia" w:ascii="宋体" w:hAnsi="宋体" w:eastAsia="宋体" w:cs="宋体"/>
          <w:color w:val="auto"/>
          <w:sz w:val="24"/>
          <w:szCs w:val="24"/>
          <w:highlight w:val="none"/>
          <w:lang w:val="en-US" w:eastAsia="zh-CN" w:bidi="ar-SA"/>
        </w:rPr>
        <w:t>1</w:t>
      </w:r>
      <w:r>
        <w:rPr>
          <w:rFonts w:hint="eastAsia" w:ascii="宋体" w:hAnsi="宋体" w:eastAsia="宋体" w:cs="宋体"/>
          <w:color w:val="auto"/>
          <w:sz w:val="24"/>
          <w:szCs w:val="24"/>
          <w:highlight w:val="none"/>
          <w:lang w:bidi="ar-SA"/>
        </w:rPr>
        <w:t>5天内无息退回。</w:t>
      </w:r>
    </w:p>
    <w:p w14:paraId="445B2FAB">
      <w:pPr>
        <w:keepNext w:val="0"/>
        <w:keepLines w:val="0"/>
        <w:pageBreakBefore w:val="0"/>
        <w:widowControl w:val="0"/>
        <w:shd w:val="clear" w:color="auto" w:fill="auto"/>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szCs w:val="24"/>
          <w:highlight w:val="none"/>
          <w:lang w:val="en-US" w:eastAsia="zh-CN"/>
        </w:rPr>
        <w:t>注：</w:t>
      </w:r>
      <w:r>
        <w:rPr>
          <w:rFonts w:hint="eastAsia" w:ascii="宋体" w:hAnsi="宋体" w:eastAsia="宋体" w:cs="宋体"/>
          <w:b w:val="0"/>
          <w:bCs w:val="0"/>
          <w:color w:val="auto"/>
          <w:sz w:val="24"/>
          <w:highlight w:val="none"/>
          <w:lang w:val="en-US" w:eastAsia="zh-CN"/>
        </w:rPr>
        <w:t>通过中标单位基本账户银行转账或电汇方式缴纳履约保证金，凭银行缴款凭证至姚江镇人民政府财政办办公室开具履约保证金收据。</w:t>
      </w:r>
    </w:p>
    <w:p w14:paraId="00603856">
      <w:pPr>
        <w:keepNext w:val="0"/>
        <w:keepLines w:val="0"/>
        <w:pageBreakBefore w:val="0"/>
        <w:widowControl w:val="0"/>
        <w:shd w:val="clear" w:color="auto" w:fill="auto"/>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收款单位：诸暨市姚江镇人民政府</w:t>
      </w:r>
    </w:p>
    <w:p w14:paraId="1A4321F4">
      <w:pPr>
        <w:keepNext w:val="0"/>
        <w:keepLines w:val="0"/>
        <w:pageBreakBefore w:val="0"/>
        <w:widowControl w:val="0"/>
        <w:shd w:val="clear" w:color="auto" w:fill="auto"/>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开户银行：诸暨农商银行姚江支行</w:t>
      </w:r>
    </w:p>
    <w:p w14:paraId="7560A1AC">
      <w:pPr>
        <w:keepNext w:val="0"/>
        <w:keepLines w:val="0"/>
        <w:pageBreakBefore w:val="0"/>
        <w:widowControl w:val="0"/>
        <w:shd w:val="clear" w:color="auto" w:fill="auto"/>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highlight w:val="none"/>
          <w:lang w:val="en-US" w:eastAsia="zh-CN"/>
        </w:rPr>
        <w:t>银行账号：201000224761866</w:t>
      </w:r>
    </w:p>
    <w:p w14:paraId="3F702C85">
      <w:pPr>
        <w:keepNext w:val="0"/>
        <w:keepLines w:val="0"/>
        <w:pageBreakBefore w:val="0"/>
        <w:widowControl w:val="0"/>
        <w:shd w:val="clear" w:color="auto" w:fill="auto"/>
        <w:kinsoku/>
        <w:wordWrap/>
        <w:overflowPunct/>
        <w:topLinePunct w:val="0"/>
        <w:autoSpaceDE/>
        <w:autoSpaceDN/>
        <w:bidi w:val="0"/>
        <w:adjustRightInd/>
        <w:snapToGrid/>
        <w:spacing w:line="288" w:lineRule="auto"/>
        <w:ind w:left="0" w:leftChars="0"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2.付款方式：本项目服务费用按月结算，次月10日前支付上月通过考核后的服务费。</w:t>
      </w:r>
    </w:p>
    <w:p w14:paraId="3430E3F3">
      <w:pPr>
        <w:keepNext w:val="0"/>
        <w:keepLines w:val="0"/>
        <w:pageBreakBefore w:val="0"/>
        <w:kinsoku/>
        <w:wordWrap/>
        <w:overflowPunct/>
        <w:topLinePunct w:val="0"/>
        <w:bidi w:val="0"/>
        <w:snapToGrid/>
        <w:spacing w:line="288" w:lineRule="auto"/>
        <w:ind w:firstLine="482" w:firstLineChars="200"/>
        <w:rPr>
          <w:rFonts w:hint="eastAsia" w:ascii="宋体" w:hAnsi="宋体" w:eastAsia="宋体" w:cs="宋体"/>
          <w:b/>
          <w:bCs/>
          <w:color w:val="auto"/>
          <w:sz w:val="24"/>
          <w:szCs w:val="24"/>
          <w:highlight w:val="none"/>
          <w:lang w:bidi="ar-SA"/>
        </w:rPr>
      </w:pPr>
      <w:r>
        <w:rPr>
          <w:rFonts w:hint="eastAsia" w:ascii="宋体" w:hAnsi="宋体" w:eastAsia="宋体" w:cs="宋体"/>
          <w:b/>
          <w:bCs/>
          <w:color w:val="auto"/>
          <w:sz w:val="24"/>
          <w:szCs w:val="24"/>
          <w:highlight w:val="none"/>
          <w:lang w:bidi="ar-SA"/>
        </w:rPr>
        <w:t>（</w:t>
      </w:r>
      <w:r>
        <w:rPr>
          <w:rFonts w:hint="eastAsia" w:ascii="宋体" w:hAnsi="宋体" w:eastAsia="宋体" w:cs="宋体"/>
          <w:b/>
          <w:bCs/>
          <w:color w:val="auto"/>
          <w:sz w:val="24"/>
          <w:szCs w:val="24"/>
          <w:highlight w:val="none"/>
          <w:lang w:eastAsia="zh-CN" w:bidi="ar-SA"/>
        </w:rPr>
        <w:t>五</w:t>
      </w:r>
      <w:r>
        <w:rPr>
          <w:rFonts w:hint="eastAsia" w:ascii="宋体" w:hAnsi="宋体" w:eastAsia="宋体" w:cs="宋体"/>
          <w:b/>
          <w:bCs/>
          <w:color w:val="auto"/>
          <w:sz w:val="24"/>
          <w:szCs w:val="24"/>
          <w:highlight w:val="none"/>
          <w:lang w:bidi="ar-SA"/>
        </w:rPr>
        <w:t>）最高限价</w:t>
      </w:r>
    </w:p>
    <w:p w14:paraId="331536FD">
      <w:pPr>
        <w:keepNext w:val="0"/>
        <w:keepLines w:val="0"/>
        <w:pageBreakBefore w:val="0"/>
        <w:kinsoku/>
        <w:wordWrap/>
        <w:overflowPunct/>
        <w:topLinePunct w:val="0"/>
        <w:bidi w:val="0"/>
        <w:snapToGrid/>
        <w:spacing w:line="288" w:lineRule="auto"/>
        <w:ind w:firstLine="482" w:firstLineChars="200"/>
        <w:rPr>
          <w:rFonts w:hint="eastAsia" w:ascii="宋体" w:hAnsi="宋体" w:eastAsia="宋体" w:cs="宋体"/>
          <w:b/>
          <w:color w:val="auto"/>
          <w:sz w:val="24"/>
          <w:highlight w:val="none"/>
          <w:u w:val="none"/>
        </w:rPr>
      </w:pPr>
      <w:r>
        <w:rPr>
          <w:rFonts w:hint="eastAsia" w:ascii="宋体" w:hAnsi="宋体" w:eastAsia="宋体" w:cs="宋体"/>
          <w:b/>
          <w:bCs/>
          <w:color w:val="auto"/>
          <w:sz w:val="24"/>
          <w:szCs w:val="24"/>
          <w:highlight w:val="none"/>
          <w:u w:val="none"/>
          <w:lang w:bidi="ar-SA"/>
        </w:rPr>
        <w:t>本次采购服务费最高限价为人民币</w:t>
      </w:r>
      <w:r>
        <w:rPr>
          <w:rFonts w:hint="eastAsia" w:ascii="宋体" w:hAnsi="宋体" w:eastAsia="宋体" w:cs="宋体"/>
          <w:b/>
          <w:bCs/>
          <w:color w:val="auto"/>
          <w:sz w:val="24"/>
          <w:szCs w:val="24"/>
          <w:highlight w:val="none"/>
          <w:u w:val="none"/>
          <w:lang w:val="en-US" w:eastAsia="zh-CN" w:bidi="ar-SA"/>
        </w:rPr>
        <w:t>柒拾伍万元</w:t>
      </w:r>
      <w:r>
        <w:rPr>
          <w:rFonts w:hint="eastAsia" w:ascii="宋体" w:hAnsi="宋体" w:eastAsia="宋体" w:cs="宋体"/>
          <w:b/>
          <w:bCs/>
          <w:color w:val="auto"/>
          <w:sz w:val="24"/>
          <w:szCs w:val="24"/>
          <w:highlight w:val="none"/>
          <w:u w:val="none"/>
          <w:lang w:bidi="ar-SA"/>
        </w:rPr>
        <w:t>整</w:t>
      </w:r>
      <w:r>
        <w:rPr>
          <w:rFonts w:hint="eastAsia" w:ascii="宋体" w:hAnsi="宋体" w:eastAsia="宋体" w:cs="宋体"/>
          <w:b/>
          <w:bCs/>
          <w:color w:val="auto"/>
          <w:sz w:val="24"/>
          <w:szCs w:val="24"/>
          <w:highlight w:val="none"/>
          <w:u w:val="none"/>
          <w:lang w:val="en-US" w:eastAsia="zh-CN" w:bidi="ar-SA"/>
        </w:rPr>
        <w:t>（小写：¥750000.00）</w:t>
      </w:r>
      <w:r>
        <w:rPr>
          <w:rFonts w:hint="eastAsia" w:ascii="宋体" w:hAnsi="宋体" w:eastAsia="宋体" w:cs="宋体"/>
          <w:b/>
          <w:bCs/>
          <w:color w:val="auto"/>
          <w:sz w:val="24"/>
          <w:szCs w:val="24"/>
          <w:highlight w:val="none"/>
          <w:u w:val="none"/>
          <w:lang w:bidi="ar-SA"/>
        </w:rPr>
        <w:t>，任何超过最高限价的报价将被认定为无效报价（包括人工费、交通费、企业管理费、利润、税金及风险费用等</w:t>
      </w:r>
      <w:r>
        <w:rPr>
          <w:rFonts w:hint="eastAsia" w:ascii="宋体" w:hAnsi="宋体" w:eastAsia="宋体" w:cs="宋体"/>
          <w:b/>
          <w:bCs/>
          <w:color w:val="auto"/>
          <w:sz w:val="24"/>
          <w:szCs w:val="24"/>
          <w:highlight w:val="none"/>
          <w:u w:val="none"/>
          <w:lang w:val="en-US" w:eastAsia="zh-CN" w:bidi="ar-SA"/>
        </w:rPr>
        <w:t>项目实施的</w:t>
      </w:r>
      <w:r>
        <w:rPr>
          <w:rFonts w:hint="eastAsia" w:ascii="宋体" w:hAnsi="宋体" w:eastAsia="宋体" w:cs="宋体"/>
          <w:b/>
          <w:bCs/>
          <w:color w:val="auto"/>
          <w:sz w:val="24"/>
          <w:szCs w:val="24"/>
          <w:highlight w:val="none"/>
          <w:u w:val="none"/>
          <w:lang w:bidi="ar-SA"/>
        </w:rPr>
        <w:t>一切费用）。</w:t>
      </w:r>
    </w:p>
    <w:p w14:paraId="19A1A6A8">
      <w:pPr>
        <w:keepNext w:val="0"/>
        <w:keepLines w:val="0"/>
        <w:pageBreakBefore w:val="0"/>
        <w:kinsoku/>
        <w:wordWrap/>
        <w:overflowPunct/>
        <w:topLinePunct w:val="0"/>
        <w:bidi w:val="0"/>
        <w:snapToGrid/>
        <w:spacing w:line="288" w:lineRule="auto"/>
        <w:ind w:firstLine="482" w:firstLineChars="200"/>
        <w:rPr>
          <w:rFonts w:hint="eastAsia" w:ascii="宋体" w:hAnsi="宋体" w:eastAsia="宋体" w:cs="宋体"/>
          <w:b/>
          <w:bCs/>
          <w:color w:val="auto"/>
          <w:sz w:val="24"/>
          <w:szCs w:val="24"/>
          <w:highlight w:val="none"/>
          <w:lang w:bidi="ar-SA"/>
        </w:rPr>
      </w:pPr>
      <w:r>
        <w:rPr>
          <w:rFonts w:hint="eastAsia" w:ascii="宋体" w:hAnsi="宋体" w:eastAsia="宋体" w:cs="宋体"/>
          <w:b/>
          <w:bCs/>
          <w:color w:val="auto"/>
          <w:sz w:val="24"/>
          <w:szCs w:val="24"/>
          <w:highlight w:val="none"/>
          <w:lang w:bidi="ar-SA"/>
        </w:rPr>
        <w:t>（</w:t>
      </w:r>
      <w:r>
        <w:rPr>
          <w:rFonts w:hint="eastAsia" w:ascii="宋体" w:hAnsi="宋体" w:eastAsia="宋体" w:cs="宋体"/>
          <w:b/>
          <w:bCs/>
          <w:color w:val="auto"/>
          <w:sz w:val="24"/>
          <w:szCs w:val="24"/>
          <w:highlight w:val="none"/>
          <w:lang w:eastAsia="zh-CN" w:bidi="ar-SA"/>
        </w:rPr>
        <w:t>六</w:t>
      </w:r>
      <w:r>
        <w:rPr>
          <w:rFonts w:hint="eastAsia" w:ascii="宋体" w:hAnsi="宋体" w:eastAsia="宋体" w:cs="宋体"/>
          <w:b/>
          <w:bCs/>
          <w:color w:val="auto"/>
          <w:sz w:val="24"/>
          <w:szCs w:val="24"/>
          <w:highlight w:val="none"/>
          <w:lang w:bidi="ar-SA"/>
        </w:rPr>
        <w:t>）监督考评办法</w:t>
      </w:r>
    </w:p>
    <w:p w14:paraId="19FEE29E">
      <w:pPr>
        <w:keepNext w:val="0"/>
        <w:keepLines w:val="0"/>
        <w:pageBreakBefore w:val="0"/>
        <w:tabs>
          <w:tab w:val="left" w:pos="360"/>
          <w:tab w:val="left" w:pos="540"/>
        </w:tabs>
        <w:kinsoku/>
        <w:wordWrap/>
        <w:overflowPunct/>
        <w:topLinePunct w:val="0"/>
        <w:bidi w:val="0"/>
        <w:adjustRightInd w:val="0"/>
        <w:snapToGrid/>
        <w:spacing w:line="288" w:lineRule="auto"/>
        <w:ind w:firstLine="482" w:firstLineChars="200"/>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val="en-US" w:eastAsia="zh-CN" w:bidi="ar-SA"/>
        </w:rPr>
        <w:t>1.</w:t>
      </w:r>
      <w:r>
        <w:rPr>
          <w:rFonts w:hint="eastAsia" w:ascii="宋体" w:hAnsi="宋体" w:eastAsia="宋体" w:cs="宋体"/>
          <w:b/>
          <w:color w:val="auto"/>
          <w:sz w:val="24"/>
          <w:szCs w:val="24"/>
          <w:highlight w:val="none"/>
          <w:lang w:bidi="ar-SA"/>
        </w:rPr>
        <w:t>考核方法</w:t>
      </w:r>
    </w:p>
    <w:p w14:paraId="63161020">
      <w:pPr>
        <w:keepNext w:val="0"/>
        <w:keepLines w:val="0"/>
        <w:pageBreakBefore w:val="0"/>
        <w:tabs>
          <w:tab w:val="left" w:pos="360"/>
          <w:tab w:val="left" w:pos="540"/>
        </w:tabs>
        <w:kinsoku/>
        <w:wordWrap/>
        <w:overflowPunct/>
        <w:topLinePunct w:val="0"/>
        <w:bidi w:val="0"/>
        <w:adjustRightInd w:val="0"/>
        <w:snapToGrid/>
        <w:spacing w:line="288" w:lineRule="auto"/>
        <w:ind w:firstLine="480" w:firstLineChars="20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val="en-US" w:eastAsia="zh-CN" w:bidi="ar-SA"/>
        </w:rPr>
        <w:t>1.1</w:t>
      </w:r>
      <w:r>
        <w:rPr>
          <w:rFonts w:hint="eastAsia" w:ascii="宋体" w:hAnsi="宋体" w:eastAsia="宋体" w:cs="宋体"/>
          <w:color w:val="auto"/>
          <w:sz w:val="24"/>
          <w:szCs w:val="24"/>
          <w:highlight w:val="none"/>
          <w:lang w:bidi="ar-SA"/>
        </w:rPr>
        <w:t>考核组织。考核工作由镇</w:t>
      </w:r>
      <w:r>
        <w:rPr>
          <w:rFonts w:hint="eastAsia" w:ascii="宋体" w:hAnsi="宋体" w:cs="宋体"/>
          <w:color w:val="auto"/>
          <w:sz w:val="24"/>
          <w:szCs w:val="24"/>
          <w:highlight w:val="none"/>
          <w:lang w:eastAsia="zh-CN" w:bidi="ar-SA"/>
        </w:rPr>
        <w:t>应急消防管理站</w:t>
      </w:r>
      <w:r>
        <w:rPr>
          <w:rFonts w:hint="eastAsia" w:ascii="宋体" w:hAnsi="宋体" w:eastAsia="宋体" w:cs="宋体"/>
          <w:color w:val="auto"/>
          <w:sz w:val="24"/>
          <w:szCs w:val="24"/>
          <w:highlight w:val="none"/>
          <w:lang w:bidi="ar-SA"/>
        </w:rPr>
        <w:t>牵头组织，</w:t>
      </w:r>
      <w:r>
        <w:rPr>
          <w:rFonts w:hint="eastAsia" w:ascii="宋体" w:hAnsi="宋体" w:eastAsia="宋体" w:cs="宋体"/>
          <w:color w:val="auto"/>
          <w:sz w:val="24"/>
          <w:szCs w:val="24"/>
          <w:highlight w:val="none"/>
          <w:lang w:eastAsia="zh-CN" w:bidi="ar-SA"/>
        </w:rPr>
        <w:t>考核包括月度考核和年终考核</w:t>
      </w:r>
      <w:r>
        <w:rPr>
          <w:rFonts w:hint="eastAsia" w:ascii="宋体" w:hAnsi="宋体" w:eastAsia="宋体" w:cs="宋体"/>
          <w:color w:val="auto"/>
          <w:sz w:val="24"/>
          <w:szCs w:val="24"/>
          <w:highlight w:val="none"/>
          <w:lang w:bidi="ar-SA"/>
        </w:rPr>
        <w:t>。</w:t>
      </w:r>
    </w:p>
    <w:p w14:paraId="7A158673">
      <w:pPr>
        <w:keepNext w:val="0"/>
        <w:keepLines w:val="0"/>
        <w:pageBreakBefore w:val="0"/>
        <w:tabs>
          <w:tab w:val="left" w:pos="360"/>
          <w:tab w:val="left" w:pos="540"/>
        </w:tabs>
        <w:kinsoku/>
        <w:wordWrap/>
        <w:overflowPunct/>
        <w:topLinePunct w:val="0"/>
        <w:bidi w:val="0"/>
        <w:adjustRightInd w:val="0"/>
        <w:snapToGrid/>
        <w:spacing w:line="288" w:lineRule="auto"/>
        <w:ind w:firstLine="480" w:firstLineChars="20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val="en-US" w:eastAsia="zh-CN" w:bidi="ar-SA"/>
        </w:rPr>
        <w:t>1.2</w:t>
      </w:r>
      <w:r>
        <w:rPr>
          <w:rFonts w:hint="eastAsia" w:ascii="宋体" w:hAnsi="宋体" w:eastAsia="宋体" w:cs="宋体"/>
          <w:color w:val="auto"/>
          <w:sz w:val="24"/>
          <w:szCs w:val="24"/>
          <w:highlight w:val="none"/>
          <w:lang w:bidi="ar-SA"/>
        </w:rPr>
        <w:t>考核方式。在</w:t>
      </w:r>
      <w:r>
        <w:rPr>
          <w:rFonts w:hint="eastAsia" w:ascii="宋体" w:hAnsi="宋体" w:eastAsia="宋体" w:cs="宋体"/>
          <w:color w:val="auto"/>
          <w:sz w:val="24"/>
          <w:szCs w:val="24"/>
          <w:highlight w:val="none"/>
          <w:lang w:eastAsia="zh-CN" w:bidi="ar-SA"/>
        </w:rPr>
        <w:t>中标单位</w:t>
      </w:r>
      <w:r>
        <w:rPr>
          <w:rFonts w:hint="eastAsia" w:ascii="宋体" w:hAnsi="宋体" w:eastAsia="宋体" w:cs="宋体"/>
          <w:color w:val="auto"/>
          <w:sz w:val="24"/>
          <w:szCs w:val="24"/>
          <w:highlight w:val="none"/>
          <w:lang w:bidi="ar-SA"/>
        </w:rPr>
        <w:t>所服务的企业中</w:t>
      </w:r>
      <w:r>
        <w:rPr>
          <w:rFonts w:hint="eastAsia" w:ascii="宋体" w:hAnsi="宋体" w:eastAsia="宋体" w:cs="宋体"/>
          <w:color w:val="auto"/>
          <w:sz w:val="24"/>
          <w:szCs w:val="24"/>
          <w:highlight w:val="none"/>
          <w:lang w:eastAsia="zh-CN" w:bidi="ar-SA"/>
        </w:rPr>
        <w:t>进行抽查检查</w:t>
      </w:r>
      <w:r>
        <w:rPr>
          <w:rFonts w:hint="eastAsia" w:ascii="宋体" w:hAnsi="宋体" w:eastAsia="宋体" w:cs="宋体"/>
          <w:color w:val="auto"/>
          <w:sz w:val="24"/>
          <w:szCs w:val="24"/>
          <w:highlight w:val="none"/>
          <w:lang w:val="en-US" w:eastAsia="zh-CN" w:bidi="ar-SA"/>
        </w:rPr>
        <w:t>工作</w:t>
      </w:r>
      <w:r>
        <w:rPr>
          <w:rFonts w:hint="eastAsia" w:ascii="宋体" w:hAnsi="宋体" w:eastAsia="宋体" w:cs="宋体"/>
          <w:color w:val="auto"/>
          <w:sz w:val="24"/>
          <w:szCs w:val="24"/>
          <w:highlight w:val="none"/>
          <w:lang w:eastAsia="zh-CN" w:bidi="ar-SA"/>
        </w:rPr>
        <w:t>，每次抽查企业</w:t>
      </w:r>
      <w:r>
        <w:rPr>
          <w:rFonts w:hint="eastAsia" w:ascii="宋体" w:hAnsi="宋体" w:eastAsia="宋体" w:cs="宋体"/>
          <w:color w:val="auto"/>
          <w:sz w:val="24"/>
          <w:szCs w:val="24"/>
          <w:highlight w:val="none"/>
          <w:lang w:val="en-US" w:eastAsia="zh-CN" w:bidi="ar-SA"/>
        </w:rPr>
        <w:t>家数</w:t>
      </w:r>
      <w:r>
        <w:rPr>
          <w:rFonts w:hint="eastAsia" w:ascii="宋体" w:hAnsi="宋体" w:eastAsia="宋体" w:cs="宋体"/>
          <w:color w:val="auto"/>
          <w:sz w:val="24"/>
          <w:szCs w:val="24"/>
          <w:highlight w:val="none"/>
          <w:lang w:eastAsia="zh-CN" w:bidi="ar-SA"/>
        </w:rPr>
        <w:t>不少于服务数的</w:t>
      </w:r>
      <w:r>
        <w:rPr>
          <w:rFonts w:hint="eastAsia" w:ascii="宋体" w:hAnsi="宋体" w:eastAsia="宋体" w:cs="宋体"/>
          <w:color w:val="auto"/>
          <w:sz w:val="24"/>
          <w:szCs w:val="24"/>
          <w:highlight w:val="none"/>
          <w:lang w:val="en-US" w:eastAsia="zh-CN" w:bidi="ar-SA"/>
        </w:rPr>
        <w:t>2</w:t>
      </w: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bidi="ar-SA"/>
        </w:rPr>
        <w:t>对照标准</w:t>
      </w:r>
      <w:r>
        <w:rPr>
          <w:rFonts w:hint="eastAsia" w:ascii="宋体" w:hAnsi="宋体" w:eastAsia="宋体" w:cs="宋体"/>
          <w:color w:val="auto"/>
          <w:sz w:val="24"/>
          <w:szCs w:val="24"/>
          <w:highlight w:val="none"/>
          <w:lang w:val="en-US" w:eastAsia="zh-CN" w:bidi="ar-SA"/>
        </w:rPr>
        <w:t>（评分标准按照</w:t>
      </w:r>
      <w:r>
        <w:rPr>
          <w:rFonts w:hint="eastAsia" w:ascii="宋体" w:hAnsi="宋体" w:eastAsia="宋体" w:cs="宋体"/>
          <w:color w:val="auto"/>
          <w:sz w:val="24"/>
          <w:szCs w:val="24"/>
          <w:highlight w:val="none"/>
          <w:lang w:eastAsia="zh-CN" w:bidi="ar-SA"/>
        </w:rPr>
        <w:t>《绍兴市安全生产社会化服务机构信用评价办法（</w:t>
      </w:r>
      <w:r>
        <w:rPr>
          <w:rFonts w:hint="eastAsia" w:ascii="宋体" w:hAnsi="宋体" w:eastAsia="宋体" w:cs="宋体"/>
          <w:color w:val="auto"/>
          <w:sz w:val="24"/>
          <w:szCs w:val="24"/>
          <w:highlight w:val="none"/>
          <w:lang w:val="en-US" w:eastAsia="zh-CN" w:bidi="ar-SA"/>
        </w:rPr>
        <w:t>修订</w:t>
      </w:r>
      <w:r>
        <w:rPr>
          <w:rFonts w:hint="eastAsia" w:ascii="宋体" w:hAnsi="宋体" w:eastAsia="宋体" w:cs="宋体"/>
          <w:color w:val="auto"/>
          <w:sz w:val="24"/>
          <w:szCs w:val="24"/>
          <w:highlight w:val="none"/>
          <w:lang w:eastAsia="zh-CN" w:bidi="ar-SA"/>
        </w:rPr>
        <w:t>）》《浙江省</w:t>
      </w:r>
      <w:r>
        <w:rPr>
          <w:rFonts w:hint="eastAsia" w:ascii="宋体" w:hAnsi="宋体" w:eastAsia="宋体" w:cs="宋体"/>
          <w:color w:val="auto"/>
          <w:sz w:val="24"/>
          <w:szCs w:val="24"/>
          <w:highlight w:val="none"/>
          <w:lang w:val="en-US" w:eastAsia="zh-CN" w:bidi="ar-SA"/>
        </w:rPr>
        <w:t>安全生产委员会办公室关于</w:t>
      </w:r>
      <w:r>
        <w:rPr>
          <w:rFonts w:hint="eastAsia" w:ascii="宋体" w:hAnsi="宋体" w:eastAsia="宋体" w:cs="宋体"/>
          <w:color w:val="auto"/>
          <w:sz w:val="24"/>
          <w:szCs w:val="24"/>
          <w:highlight w:val="none"/>
          <w:lang w:eastAsia="zh-CN" w:bidi="ar-SA"/>
        </w:rPr>
        <w:t>进一步加强安全生产社会化服务机构分级管理工作</w:t>
      </w:r>
      <w:r>
        <w:rPr>
          <w:rFonts w:hint="eastAsia" w:ascii="宋体" w:hAnsi="宋体" w:eastAsia="宋体" w:cs="宋体"/>
          <w:color w:val="auto"/>
          <w:sz w:val="24"/>
          <w:szCs w:val="24"/>
          <w:highlight w:val="none"/>
          <w:lang w:val="en-US" w:eastAsia="zh-CN" w:bidi="ar-SA"/>
        </w:rPr>
        <w:t>的通知</w:t>
      </w: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val="en-US" w:eastAsia="zh-CN" w:bidi="ar-SA"/>
        </w:rPr>
        <w:t>）</w:t>
      </w: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bidi="ar-SA"/>
        </w:rPr>
        <w:t>并结合日常工作情况进行综合考评打分，以过程考核为主。</w:t>
      </w:r>
    </w:p>
    <w:p w14:paraId="06B98CDC">
      <w:pPr>
        <w:keepNext w:val="0"/>
        <w:keepLines w:val="0"/>
        <w:pageBreakBefore w:val="0"/>
        <w:tabs>
          <w:tab w:val="left" w:pos="360"/>
          <w:tab w:val="left" w:pos="540"/>
        </w:tabs>
        <w:kinsoku/>
        <w:wordWrap/>
        <w:overflowPunct/>
        <w:topLinePunct w:val="0"/>
        <w:bidi w:val="0"/>
        <w:adjustRightInd w:val="0"/>
        <w:snapToGrid/>
        <w:spacing w:line="288" w:lineRule="auto"/>
        <w:ind w:firstLine="480" w:firstLineChars="20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val="en-US" w:eastAsia="zh-CN" w:bidi="ar-SA"/>
        </w:rPr>
        <w:t>1.3</w:t>
      </w:r>
      <w:r>
        <w:rPr>
          <w:rFonts w:hint="eastAsia" w:ascii="宋体" w:hAnsi="宋体" w:eastAsia="宋体" w:cs="宋体"/>
          <w:color w:val="auto"/>
          <w:sz w:val="24"/>
          <w:szCs w:val="24"/>
          <w:highlight w:val="none"/>
          <w:lang w:bidi="ar-SA"/>
        </w:rPr>
        <w:t>结果审定。考核结果汇总后，报镇政府领导审定</w:t>
      </w: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val="en-US" w:eastAsia="zh-CN" w:bidi="ar-SA"/>
        </w:rPr>
        <w:t>并将评分结果报诸暨市应急管理局</w:t>
      </w:r>
      <w:r>
        <w:rPr>
          <w:rFonts w:hint="eastAsia" w:ascii="宋体" w:hAnsi="宋体" w:eastAsia="宋体" w:cs="宋体"/>
          <w:color w:val="auto"/>
          <w:sz w:val="24"/>
          <w:szCs w:val="24"/>
          <w:highlight w:val="none"/>
          <w:lang w:bidi="ar-SA"/>
        </w:rPr>
        <w:t>。</w:t>
      </w:r>
    </w:p>
    <w:p w14:paraId="00DAAD90">
      <w:pPr>
        <w:keepNext w:val="0"/>
        <w:keepLines w:val="0"/>
        <w:pageBreakBefore w:val="0"/>
        <w:tabs>
          <w:tab w:val="left" w:pos="360"/>
          <w:tab w:val="left" w:pos="540"/>
        </w:tabs>
        <w:kinsoku/>
        <w:wordWrap/>
        <w:overflowPunct/>
        <w:topLinePunct w:val="0"/>
        <w:bidi w:val="0"/>
        <w:adjustRightInd w:val="0"/>
        <w:snapToGrid/>
        <w:spacing w:line="288" w:lineRule="auto"/>
        <w:ind w:firstLine="480" w:firstLineChars="20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val="en-US" w:eastAsia="zh-CN" w:bidi="ar-SA"/>
        </w:rPr>
        <w:t>1.4</w:t>
      </w:r>
      <w:r>
        <w:rPr>
          <w:rFonts w:hint="eastAsia" w:ascii="宋体" w:hAnsi="宋体" w:eastAsia="宋体" w:cs="宋体"/>
          <w:color w:val="auto"/>
          <w:sz w:val="24"/>
          <w:szCs w:val="24"/>
          <w:highlight w:val="none"/>
          <w:lang w:eastAsia="zh-CN" w:bidi="ar-SA"/>
        </w:rPr>
        <w:t>月度考核</w:t>
      </w:r>
      <w:r>
        <w:rPr>
          <w:rFonts w:hint="eastAsia" w:ascii="宋体" w:hAnsi="宋体" w:eastAsia="宋体" w:cs="宋体"/>
          <w:color w:val="auto"/>
          <w:sz w:val="24"/>
          <w:szCs w:val="24"/>
          <w:highlight w:val="none"/>
          <w:lang w:bidi="ar-SA"/>
        </w:rPr>
        <w:t>总分为100分。</w:t>
      </w:r>
      <w:r>
        <w:rPr>
          <w:rFonts w:hint="eastAsia" w:ascii="宋体" w:hAnsi="宋体" w:eastAsia="宋体" w:cs="宋体"/>
          <w:color w:val="auto"/>
          <w:sz w:val="24"/>
          <w:szCs w:val="24"/>
          <w:highlight w:val="none"/>
          <w:lang w:val="en-US" w:eastAsia="zh-CN" w:bidi="ar-SA"/>
        </w:rPr>
        <w:t>80</w:t>
      </w:r>
      <w:r>
        <w:rPr>
          <w:rFonts w:hint="eastAsia" w:ascii="宋体" w:hAnsi="宋体" w:eastAsia="宋体" w:cs="宋体"/>
          <w:color w:val="auto"/>
          <w:sz w:val="24"/>
          <w:szCs w:val="24"/>
          <w:highlight w:val="none"/>
          <w:lang w:bidi="ar-SA"/>
        </w:rPr>
        <w:t>分以上的，全额付款</w:t>
      </w:r>
      <w:r>
        <w:rPr>
          <w:rFonts w:hint="eastAsia" w:ascii="宋体" w:hAnsi="宋体" w:eastAsia="宋体" w:cs="宋体"/>
          <w:color w:val="auto"/>
          <w:sz w:val="24"/>
          <w:szCs w:val="24"/>
          <w:highlight w:val="none"/>
          <w:lang w:bidi="ar-SA"/>
        </w:rPr>
        <w:t>；低于8</w:t>
      </w:r>
      <w:r>
        <w:rPr>
          <w:rFonts w:hint="eastAsia" w:ascii="宋体" w:hAnsi="宋体" w:eastAsia="宋体" w:cs="宋体"/>
          <w:color w:val="auto"/>
          <w:sz w:val="24"/>
          <w:szCs w:val="24"/>
          <w:highlight w:val="none"/>
          <w:lang w:val="en-US" w:eastAsia="zh-CN" w:bidi="ar-SA"/>
        </w:rPr>
        <w:t>0</w:t>
      </w:r>
      <w:r>
        <w:rPr>
          <w:rFonts w:hint="eastAsia" w:ascii="宋体" w:hAnsi="宋体" w:eastAsia="宋体" w:cs="宋体"/>
          <w:color w:val="auto"/>
          <w:sz w:val="24"/>
          <w:szCs w:val="24"/>
          <w:highlight w:val="none"/>
          <w:lang w:bidi="ar-SA"/>
        </w:rPr>
        <w:t>分的，八折付款；低于60分的，五折付款。</w:t>
      </w:r>
    </w:p>
    <w:p w14:paraId="5B716D65">
      <w:pPr>
        <w:keepNext w:val="0"/>
        <w:keepLines w:val="0"/>
        <w:pageBreakBefore w:val="0"/>
        <w:tabs>
          <w:tab w:val="left" w:pos="360"/>
          <w:tab w:val="left" w:pos="540"/>
        </w:tabs>
        <w:kinsoku/>
        <w:wordWrap/>
        <w:overflowPunct/>
        <w:topLinePunct w:val="0"/>
        <w:bidi w:val="0"/>
        <w:adjustRightInd w:val="0"/>
        <w:snapToGrid/>
        <w:spacing w:line="288" w:lineRule="auto"/>
        <w:ind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1.5年终考核优秀的，予以适当奖金，奖金金额由镇政府讨论决定。</w:t>
      </w:r>
    </w:p>
    <w:p w14:paraId="34AB2182">
      <w:pPr>
        <w:keepNext w:val="0"/>
        <w:keepLines w:val="0"/>
        <w:pageBreakBefore w:val="0"/>
        <w:tabs>
          <w:tab w:val="left" w:pos="360"/>
          <w:tab w:val="left" w:pos="540"/>
        </w:tabs>
        <w:kinsoku/>
        <w:wordWrap/>
        <w:overflowPunct/>
        <w:topLinePunct w:val="0"/>
        <w:bidi w:val="0"/>
        <w:adjustRightInd w:val="0"/>
        <w:snapToGrid/>
        <w:spacing w:line="288" w:lineRule="auto"/>
        <w:ind w:firstLine="482" w:firstLineChars="200"/>
        <w:rPr>
          <w:rFonts w:hint="eastAsia" w:ascii="宋体" w:hAnsi="宋体" w:eastAsia="宋体" w:cs="宋体"/>
          <w:b/>
          <w:bCs/>
          <w:color w:val="auto"/>
          <w:sz w:val="24"/>
          <w:szCs w:val="24"/>
          <w:highlight w:val="none"/>
          <w:lang w:bidi="ar-SA"/>
        </w:rPr>
      </w:pPr>
      <w:r>
        <w:rPr>
          <w:rFonts w:hint="eastAsia" w:ascii="宋体" w:hAnsi="宋体" w:eastAsia="宋体" w:cs="宋体"/>
          <w:b/>
          <w:bCs/>
          <w:color w:val="auto"/>
          <w:sz w:val="24"/>
          <w:szCs w:val="24"/>
          <w:highlight w:val="none"/>
          <w:lang w:val="en-US" w:eastAsia="zh-CN" w:bidi="ar-SA"/>
        </w:rPr>
        <w:t>2.</w:t>
      </w:r>
      <w:r>
        <w:rPr>
          <w:rFonts w:hint="eastAsia" w:ascii="宋体" w:hAnsi="宋体" w:eastAsia="宋体" w:cs="宋体"/>
          <w:b/>
          <w:bCs/>
          <w:color w:val="auto"/>
          <w:sz w:val="24"/>
          <w:szCs w:val="24"/>
          <w:highlight w:val="none"/>
          <w:lang w:bidi="ar-SA"/>
        </w:rPr>
        <w:t>一票否决情况</w:t>
      </w:r>
    </w:p>
    <w:p w14:paraId="43EF953D">
      <w:pPr>
        <w:keepNext w:val="0"/>
        <w:keepLines w:val="0"/>
        <w:pageBreakBefore w:val="0"/>
        <w:tabs>
          <w:tab w:val="left" w:pos="360"/>
          <w:tab w:val="left" w:pos="540"/>
        </w:tabs>
        <w:kinsoku/>
        <w:wordWrap/>
        <w:overflowPunct/>
        <w:topLinePunct w:val="0"/>
        <w:bidi w:val="0"/>
        <w:adjustRightInd w:val="0"/>
        <w:snapToGrid/>
        <w:spacing w:line="288" w:lineRule="auto"/>
        <w:ind w:firstLine="480" w:firstLineChars="20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SA"/>
        </w:rPr>
        <w:t>发现</w:t>
      </w:r>
      <w:r>
        <w:rPr>
          <w:rFonts w:hint="eastAsia" w:ascii="宋体" w:hAnsi="宋体" w:eastAsia="宋体" w:cs="宋体"/>
          <w:color w:val="auto"/>
          <w:sz w:val="24"/>
          <w:szCs w:val="24"/>
          <w:highlight w:val="none"/>
          <w:lang w:eastAsia="zh-CN" w:bidi="ar-SA"/>
        </w:rPr>
        <w:t>中标单位</w:t>
      </w:r>
      <w:r>
        <w:rPr>
          <w:rFonts w:hint="eastAsia" w:ascii="宋体" w:hAnsi="宋体" w:eastAsia="宋体" w:cs="宋体"/>
          <w:color w:val="auto"/>
          <w:sz w:val="24"/>
          <w:szCs w:val="24"/>
          <w:highlight w:val="none"/>
          <w:lang w:bidi="ar-SA"/>
        </w:rPr>
        <w:t>有构违反国家咨询服务相关规定，弄虚作假、出具虚假检查报告、泄漏企业</w:t>
      </w:r>
      <w:r>
        <w:rPr>
          <w:rFonts w:hint="eastAsia" w:ascii="宋体" w:hAnsi="宋体" w:eastAsia="宋体" w:cs="宋体"/>
          <w:color w:val="auto"/>
          <w:sz w:val="24"/>
          <w:szCs w:val="24"/>
          <w:highlight w:val="none"/>
          <w:lang w:eastAsia="zh-CN" w:bidi="ar-SA"/>
        </w:rPr>
        <w:t>技术秘密</w:t>
      </w:r>
      <w:r>
        <w:rPr>
          <w:rFonts w:hint="eastAsia" w:ascii="宋体" w:hAnsi="宋体" w:eastAsia="宋体" w:cs="宋体"/>
          <w:color w:val="auto"/>
          <w:sz w:val="24"/>
          <w:szCs w:val="24"/>
          <w:highlight w:val="none"/>
          <w:lang w:bidi="ar-SA"/>
        </w:rPr>
        <w:t>等行为，一经查实确认，全额扣除服务费用并</w:t>
      </w:r>
      <w:r>
        <w:rPr>
          <w:rFonts w:hint="eastAsia" w:ascii="宋体" w:hAnsi="宋体" w:eastAsia="宋体" w:cs="宋体"/>
          <w:color w:val="auto"/>
          <w:sz w:val="24"/>
          <w:szCs w:val="24"/>
          <w:highlight w:val="none"/>
          <w:lang w:val="en-US" w:eastAsia="zh-CN" w:bidi="ar-SA"/>
        </w:rPr>
        <w:t>按《中华人民共和国安全生产法》</w:t>
      </w:r>
      <w:r>
        <w:rPr>
          <w:rFonts w:hint="eastAsia" w:ascii="宋体" w:hAnsi="宋体" w:eastAsia="宋体" w:cs="宋体"/>
          <w:color w:val="auto"/>
          <w:sz w:val="24"/>
          <w:szCs w:val="24"/>
          <w:highlight w:val="none"/>
          <w:lang w:bidi="ar-SA"/>
        </w:rPr>
        <w:t>第八十九条进行处理。</w:t>
      </w:r>
    </w:p>
    <w:p w14:paraId="6398E92D">
      <w:pPr>
        <w:keepNext w:val="0"/>
        <w:keepLines w:val="0"/>
        <w:pageBreakBefore w:val="0"/>
        <w:kinsoku/>
        <w:wordWrap/>
        <w:overflowPunct/>
        <w:topLinePunct w:val="0"/>
        <w:bidi w:val="0"/>
        <w:snapToGrid/>
        <w:spacing w:line="288" w:lineRule="auto"/>
        <w:jc w:val="center"/>
        <w:rPr>
          <w:rFonts w:hint="eastAsia" w:ascii="宋体" w:hAnsi="宋体" w:eastAsia="宋体" w:cs="宋体"/>
          <w:color w:val="auto"/>
          <w:sz w:val="28"/>
          <w:szCs w:val="28"/>
          <w:highlight w:val="none"/>
          <w:lang w:bidi="ar-SA"/>
        </w:rPr>
      </w:pPr>
      <w:r>
        <w:rPr>
          <w:rFonts w:hint="eastAsia" w:ascii="宋体" w:hAnsi="宋体" w:eastAsia="宋体" w:cs="宋体"/>
          <w:b/>
          <w:bCs/>
          <w:color w:val="auto"/>
          <w:sz w:val="28"/>
          <w:szCs w:val="28"/>
          <w:highlight w:val="none"/>
          <w:lang w:bidi="ar-SA"/>
        </w:rPr>
        <w:t>考核评分一览表</w:t>
      </w:r>
    </w:p>
    <w:tbl>
      <w:tblPr>
        <w:tblStyle w:val="21"/>
        <w:tblW w:w="97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797"/>
        <w:gridCol w:w="2451"/>
        <w:gridCol w:w="4082"/>
        <w:gridCol w:w="1413"/>
      </w:tblGrid>
      <w:tr w14:paraId="2B8392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97" w:type="dxa"/>
            <w:tcBorders>
              <w:tl2br w:val="nil"/>
              <w:tr2bl w:val="nil"/>
            </w:tcBorders>
            <w:noWrap w:val="0"/>
            <w:vAlign w:val="center"/>
          </w:tcPr>
          <w:p w14:paraId="3D58ACB0">
            <w:pPr>
              <w:keepNext w:val="0"/>
              <w:keepLines w:val="0"/>
              <w:pageBreakBefore w:val="0"/>
              <w:widowControl/>
              <w:kinsoku/>
              <w:wordWrap/>
              <w:overflowPunct/>
              <w:topLinePunct w:val="0"/>
              <w:bidi w:val="0"/>
              <w:snapToGrid/>
              <w:spacing w:line="288" w:lineRule="auto"/>
              <w:jc w:val="center"/>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考评项目</w:t>
            </w:r>
          </w:p>
        </w:tc>
        <w:tc>
          <w:tcPr>
            <w:tcW w:w="2451" w:type="dxa"/>
            <w:tcBorders>
              <w:tl2br w:val="nil"/>
              <w:tr2bl w:val="nil"/>
            </w:tcBorders>
            <w:noWrap w:val="0"/>
            <w:vAlign w:val="center"/>
          </w:tcPr>
          <w:p w14:paraId="557B8F0F">
            <w:pPr>
              <w:keepNext w:val="0"/>
              <w:keepLines w:val="0"/>
              <w:pageBreakBefore w:val="0"/>
              <w:widowControl/>
              <w:kinsoku/>
              <w:wordWrap/>
              <w:overflowPunct/>
              <w:topLinePunct w:val="0"/>
              <w:bidi w:val="0"/>
              <w:snapToGrid/>
              <w:spacing w:line="288" w:lineRule="auto"/>
              <w:jc w:val="center"/>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考评内容和分值</w:t>
            </w:r>
          </w:p>
        </w:tc>
        <w:tc>
          <w:tcPr>
            <w:tcW w:w="4082" w:type="dxa"/>
            <w:tcBorders>
              <w:tl2br w:val="nil"/>
              <w:tr2bl w:val="nil"/>
            </w:tcBorders>
            <w:noWrap w:val="0"/>
            <w:vAlign w:val="center"/>
          </w:tcPr>
          <w:p w14:paraId="17B352B1">
            <w:pPr>
              <w:keepNext w:val="0"/>
              <w:keepLines w:val="0"/>
              <w:pageBreakBefore w:val="0"/>
              <w:widowControl/>
              <w:kinsoku/>
              <w:wordWrap/>
              <w:overflowPunct/>
              <w:topLinePunct w:val="0"/>
              <w:bidi w:val="0"/>
              <w:snapToGrid/>
              <w:spacing w:line="288" w:lineRule="auto"/>
              <w:jc w:val="center"/>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评分标准</w:t>
            </w:r>
          </w:p>
        </w:tc>
        <w:tc>
          <w:tcPr>
            <w:tcW w:w="1413" w:type="dxa"/>
            <w:tcBorders>
              <w:tl2br w:val="nil"/>
              <w:tr2bl w:val="nil"/>
            </w:tcBorders>
            <w:noWrap w:val="0"/>
            <w:vAlign w:val="center"/>
          </w:tcPr>
          <w:p w14:paraId="1AE59001">
            <w:pPr>
              <w:keepNext w:val="0"/>
              <w:keepLines w:val="0"/>
              <w:pageBreakBefore w:val="0"/>
              <w:widowControl/>
              <w:kinsoku/>
              <w:wordWrap/>
              <w:overflowPunct/>
              <w:topLinePunct w:val="0"/>
              <w:bidi w:val="0"/>
              <w:snapToGrid/>
              <w:spacing w:line="288" w:lineRule="auto"/>
              <w:jc w:val="center"/>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备注</w:t>
            </w:r>
          </w:p>
        </w:tc>
      </w:tr>
      <w:tr w14:paraId="1A57B9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97" w:type="dxa"/>
            <w:vMerge w:val="restart"/>
            <w:tcBorders>
              <w:tl2br w:val="nil"/>
              <w:tr2bl w:val="nil"/>
            </w:tcBorders>
            <w:noWrap w:val="0"/>
            <w:vAlign w:val="center"/>
          </w:tcPr>
          <w:p w14:paraId="2F002A9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服务质量情况</w:t>
            </w:r>
          </w:p>
          <w:p w14:paraId="64CF19B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（85分）</w:t>
            </w:r>
          </w:p>
        </w:tc>
        <w:tc>
          <w:tcPr>
            <w:tcW w:w="2451" w:type="dxa"/>
            <w:tcBorders>
              <w:tl2br w:val="nil"/>
              <w:tr2bl w:val="nil"/>
            </w:tcBorders>
            <w:noWrap w:val="0"/>
            <w:vAlign w:val="center"/>
          </w:tcPr>
          <w:p w14:paraId="2970C42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服务报告质量</w:t>
            </w:r>
          </w:p>
          <w:p w14:paraId="546A15E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（30分）</w:t>
            </w:r>
          </w:p>
        </w:tc>
        <w:tc>
          <w:tcPr>
            <w:tcW w:w="4082" w:type="dxa"/>
            <w:tcBorders>
              <w:tl2br w:val="nil"/>
              <w:tr2bl w:val="nil"/>
            </w:tcBorders>
            <w:noWrap w:val="0"/>
            <w:vAlign w:val="center"/>
          </w:tcPr>
          <w:p w14:paraId="45E441D3">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①服务完成后，未提供服务报告的，每次扣10分；</w:t>
            </w:r>
          </w:p>
          <w:p w14:paraId="471A0E8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②服务报告及相关台账资料不符合标准规范要求的，每次扣5分；</w:t>
            </w:r>
          </w:p>
          <w:p w14:paraId="42ADEF1A">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b/>
                <w:bCs/>
                <w:i w:val="0"/>
                <w:color w:val="auto"/>
                <w:kern w:val="0"/>
                <w:sz w:val="24"/>
                <w:szCs w:val="24"/>
                <w:highlight w:val="none"/>
                <w:u w:val="none"/>
                <w:vertAlign w:val="baseline"/>
                <w:lang w:val="en-US" w:eastAsia="zh-CN" w:bidi="ar"/>
              </w:rPr>
            </w:pPr>
            <w:r>
              <w:rPr>
                <w:rFonts w:hint="eastAsia" w:ascii="宋体" w:hAnsi="宋体" w:eastAsia="宋体" w:cs="宋体"/>
                <w:i w:val="0"/>
                <w:color w:val="auto"/>
                <w:sz w:val="24"/>
                <w:szCs w:val="24"/>
                <w:highlight w:val="none"/>
                <w:u w:val="none"/>
                <w:lang w:val="en-US" w:eastAsia="zh-CN"/>
              </w:rPr>
              <w:t>③服务报告存在重大疏漏或问题的，每发现一份，扣10分。</w:t>
            </w:r>
          </w:p>
        </w:tc>
        <w:tc>
          <w:tcPr>
            <w:tcW w:w="1413" w:type="dxa"/>
            <w:vMerge w:val="restart"/>
            <w:tcBorders>
              <w:tl2br w:val="nil"/>
              <w:tr2bl w:val="nil"/>
            </w:tcBorders>
            <w:noWrap w:val="0"/>
            <w:vAlign w:val="center"/>
          </w:tcPr>
          <w:p w14:paraId="1FFC0E3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color w:val="auto"/>
                <w:kern w:val="0"/>
                <w:sz w:val="24"/>
                <w:szCs w:val="24"/>
                <w:highlight w:val="none"/>
                <w:u w:val="none"/>
                <w:vertAlign w:val="baseline"/>
                <w:lang w:val="en-US" w:eastAsia="zh-CN" w:bidi="ar"/>
              </w:rPr>
            </w:pPr>
          </w:p>
        </w:tc>
      </w:tr>
      <w:tr w14:paraId="36B52E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97" w:type="dxa"/>
            <w:vMerge w:val="continue"/>
            <w:tcBorders>
              <w:tl2br w:val="nil"/>
              <w:tr2bl w:val="nil"/>
            </w:tcBorders>
            <w:noWrap w:val="0"/>
            <w:vAlign w:val="center"/>
          </w:tcPr>
          <w:p w14:paraId="57DCDF2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auto"/>
                <w:sz w:val="24"/>
                <w:szCs w:val="24"/>
                <w:highlight w:val="none"/>
                <w:u w:val="none"/>
                <w:lang w:val="en-US" w:eastAsia="zh-CN"/>
              </w:rPr>
            </w:pPr>
          </w:p>
        </w:tc>
        <w:tc>
          <w:tcPr>
            <w:tcW w:w="2451" w:type="dxa"/>
            <w:tcBorders>
              <w:tl2br w:val="nil"/>
              <w:tr2bl w:val="nil"/>
            </w:tcBorders>
            <w:noWrap w:val="0"/>
            <w:vAlign w:val="center"/>
          </w:tcPr>
          <w:p w14:paraId="39B50C2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履行合同义务情况</w:t>
            </w:r>
          </w:p>
          <w:p w14:paraId="757811F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（30分）</w:t>
            </w:r>
          </w:p>
        </w:tc>
        <w:tc>
          <w:tcPr>
            <w:tcW w:w="4082" w:type="dxa"/>
            <w:tcBorders>
              <w:tl2br w:val="nil"/>
              <w:tr2bl w:val="nil"/>
            </w:tcBorders>
            <w:noWrap w:val="0"/>
            <w:vAlign w:val="center"/>
          </w:tcPr>
          <w:p w14:paraId="0C9AC3B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①未与委托单位签订规范的书面合同，扣5分；</w:t>
            </w:r>
          </w:p>
          <w:p w14:paraId="569CC57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②承担政府检查任务同时与辖区内企业签订安全技术服务合同的，每家扣5分；</w:t>
            </w:r>
          </w:p>
          <w:p w14:paraId="0303EC11">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③未按照合同约定落实服务时长要求的，每次扣5分；</w:t>
            </w:r>
          </w:p>
          <w:p w14:paraId="16CA157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④未按照合同约定落实服务频次要求的，每次扣5分；</w:t>
            </w:r>
          </w:p>
          <w:p w14:paraId="762B741F">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⑤违反有关法规标准规定，更改或者简化安全生产技术、管理服务程序和相关内容的，每次扣10分；</w:t>
            </w:r>
          </w:p>
          <w:p w14:paraId="06B6CBA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⑥应到而不到现场开展安全生产技术、管理服务活动的，每次扣15分。</w:t>
            </w:r>
          </w:p>
        </w:tc>
        <w:tc>
          <w:tcPr>
            <w:tcW w:w="1413" w:type="dxa"/>
            <w:vMerge w:val="continue"/>
            <w:tcBorders>
              <w:tl2br w:val="nil"/>
              <w:tr2bl w:val="nil"/>
            </w:tcBorders>
            <w:noWrap w:val="0"/>
            <w:vAlign w:val="center"/>
          </w:tcPr>
          <w:p w14:paraId="74BAC9F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color w:val="auto"/>
                <w:kern w:val="0"/>
                <w:sz w:val="24"/>
                <w:szCs w:val="24"/>
                <w:highlight w:val="none"/>
                <w:u w:val="none"/>
                <w:vertAlign w:val="baseline"/>
                <w:lang w:val="en-US" w:eastAsia="zh-CN" w:bidi="ar"/>
              </w:rPr>
            </w:pPr>
          </w:p>
        </w:tc>
      </w:tr>
      <w:tr w14:paraId="65D84D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97" w:type="dxa"/>
            <w:vMerge w:val="continue"/>
            <w:tcBorders>
              <w:tl2br w:val="nil"/>
              <w:tr2bl w:val="nil"/>
            </w:tcBorders>
            <w:noWrap w:val="0"/>
            <w:vAlign w:val="center"/>
          </w:tcPr>
          <w:p w14:paraId="61DCA1F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auto"/>
                <w:sz w:val="24"/>
                <w:szCs w:val="24"/>
                <w:highlight w:val="none"/>
                <w:u w:val="none"/>
                <w:lang w:val="en-US" w:eastAsia="zh-CN"/>
              </w:rPr>
            </w:pPr>
          </w:p>
        </w:tc>
        <w:tc>
          <w:tcPr>
            <w:tcW w:w="2451" w:type="dxa"/>
            <w:tcBorders>
              <w:tl2br w:val="nil"/>
              <w:tr2bl w:val="nil"/>
            </w:tcBorders>
            <w:noWrap w:val="0"/>
            <w:vAlign w:val="center"/>
          </w:tcPr>
          <w:p w14:paraId="7BBC4F4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人员与承接服务业务相匹配情况</w:t>
            </w:r>
          </w:p>
          <w:p w14:paraId="4318AB7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（10分）</w:t>
            </w:r>
          </w:p>
        </w:tc>
        <w:tc>
          <w:tcPr>
            <w:tcW w:w="4082" w:type="dxa"/>
            <w:tcBorders>
              <w:tl2br w:val="nil"/>
              <w:tr2bl w:val="nil"/>
            </w:tcBorders>
            <w:noWrap w:val="0"/>
            <w:vAlign w:val="center"/>
          </w:tcPr>
          <w:p w14:paraId="70F1936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①专职注册安全工程师、安全评价师或相应专业技术职称人员配备与承接服务业务要求不能匹配的，扣5分；</w:t>
            </w:r>
          </w:p>
          <w:p w14:paraId="21C3807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②专职人员同时在两个及以上中介机构从业的，每发现1人扣5分；</w:t>
            </w:r>
          </w:p>
          <w:p w14:paraId="14C7174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③中介机构服务类型及其从业人员专业方向与被服务项目不相符的，每个项目扣5分。</w:t>
            </w:r>
          </w:p>
        </w:tc>
        <w:tc>
          <w:tcPr>
            <w:tcW w:w="1413" w:type="dxa"/>
            <w:vMerge w:val="continue"/>
            <w:tcBorders>
              <w:tl2br w:val="nil"/>
              <w:tr2bl w:val="nil"/>
            </w:tcBorders>
            <w:noWrap w:val="0"/>
            <w:vAlign w:val="center"/>
          </w:tcPr>
          <w:p w14:paraId="4AD63E38">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color w:val="auto"/>
                <w:kern w:val="0"/>
                <w:sz w:val="24"/>
                <w:szCs w:val="24"/>
                <w:highlight w:val="none"/>
                <w:u w:val="none"/>
                <w:vertAlign w:val="baseline"/>
                <w:lang w:val="en-US" w:eastAsia="zh-CN" w:bidi="ar"/>
              </w:rPr>
            </w:pPr>
          </w:p>
        </w:tc>
      </w:tr>
      <w:tr w14:paraId="2117F0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97" w:type="dxa"/>
            <w:vMerge w:val="continue"/>
            <w:tcBorders>
              <w:tl2br w:val="nil"/>
              <w:tr2bl w:val="nil"/>
            </w:tcBorders>
            <w:noWrap w:val="0"/>
            <w:vAlign w:val="center"/>
          </w:tcPr>
          <w:p w14:paraId="4C3CC35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auto"/>
                <w:sz w:val="24"/>
                <w:szCs w:val="24"/>
                <w:highlight w:val="none"/>
                <w:u w:val="none"/>
                <w:lang w:val="en-US" w:eastAsia="zh-CN"/>
              </w:rPr>
            </w:pPr>
          </w:p>
        </w:tc>
        <w:tc>
          <w:tcPr>
            <w:tcW w:w="2451" w:type="dxa"/>
            <w:tcBorders>
              <w:tl2br w:val="nil"/>
              <w:tr2bl w:val="nil"/>
            </w:tcBorders>
            <w:noWrap w:val="0"/>
            <w:vAlign w:val="center"/>
          </w:tcPr>
          <w:p w14:paraId="7796D9B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企业反馈情况</w:t>
            </w:r>
          </w:p>
          <w:p w14:paraId="4B90931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（15分）</w:t>
            </w:r>
          </w:p>
        </w:tc>
        <w:tc>
          <w:tcPr>
            <w:tcW w:w="4082" w:type="dxa"/>
            <w:tcBorders>
              <w:tl2br w:val="nil"/>
              <w:tr2bl w:val="nil"/>
            </w:tcBorders>
            <w:noWrap w:val="0"/>
            <w:vAlign w:val="center"/>
          </w:tcPr>
          <w:p w14:paraId="35FCE00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①受到被服务单位合理性投诉举报并经行政主管部门核实的，每次扣5分；</w:t>
            </w:r>
          </w:p>
          <w:p w14:paraId="333B33E6">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②被服务单位受到行政处罚的，每家扣5分。</w:t>
            </w:r>
          </w:p>
        </w:tc>
        <w:tc>
          <w:tcPr>
            <w:tcW w:w="1413" w:type="dxa"/>
            <w:vMerge w:val="continue"/>
            <w:tcBorders>
              <w:tl2br w:val="nil"/>
              <w:tr2bl w:val="nil"/>
            </w:tcBorders>
            <w:noWrap w:val="0"/>
            <w:vAlign w:val="center"/>
          </w:tcPr>
          <w:p w14:paraId="09728F2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color w:val="auto"/>
                <w:kern w:val="0"/>
                <w:sz w:val="24"/>
                <w:szCs w:val="24"/>
                <w:highlight w:val="none"/>
                <w:u w:val="none"/>
                <w:vertAlign w:val="baseline"/>
                <w:lang w:val="en-US" w:eastAsia="zh-CN" w:bidi="ar"/>
              </w:rPr>
            </w:pPr>
          </w:p>
        </w:tc>
      </w:tr>
      <w:tr w14:paraId="3288C9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97" w:type="dxa"/>
            <w:tcBorders>
              <w:tl2br w:val="nil"/>
              <w:tr2bl w:val="nil"/>
            </w:tcBorders>
            <w:noWrap w:val="0"/>
            <w:vAlign w:val="center"/>
          </w:tcPr>
          <w:p w14:paraId="6DFFF44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基本信息、服务合同和记录录入情况</w:t>
            </w:r>
          </w:p>
          <w:p w14:paraId="0B44A5C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（15分）</w:t>
            </w:r>
          </w:p>
        </w:tc>
        <w:tc>
          <w:tcPr>
            <w:tcW w:w="2451" w:type="dxa"/>
            <w:tcBorders>
              <w:tl2br w:val="nil"/>
              <w:tr2bl w:val="nil"/>
            </w:tcBorders>
            <w:noWrap w:val="0"/>
            <w:vAlign w:val="center"/>
          </w:tcPr>
          <w:p w14:paraId="06295F0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“工业企业安全在线”平台中介机构基本信息、服务合同和记录录入情况</w:t>
            </w:r>
          </w:p>
          <w:p w14:paraId="59A92261">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（15分）</w:t>
            </w:r>
          </w:p>
        </w:tc>
        <w:tc>
          <w:tcPr>
            <w:tcW w:w="4082" w:type="dxa"/>
            <w:tcBorders>
              <w:tl2br w:val="nil"/>
              <w:tr2bl w:val="nil"/>
            </w:tcBorders>
            <w:noWrap w:val="0"/>
            <w:vAlign w:val="center"/>
          </w:tcPr>
          <w:p w14:paraId="52882C1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①未如实录入中介机构基本信息的，扣15分；</w:t>
            </w:r>
          </w:p>
          <w:p w14:paraId="425AB4D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②未如实录入服务合同的，每份扣5分；</w:t>
            </w:r>
          </w:p>
          <w:p w14:paraId="127EB862">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③没有录入服务记录或者未如实录入服务记录的，扣15分。</w:t>
            </w:r>
          </w:p>
        </w:tc>
        <w:tc>
          <w:tcPr>
            <w:tcW w:w="1413" w:type="dxa"/>
            <w:vMerge w:val="restart"/>
            <w:tcBorders>
              <w:tl2br w:val="nil"/>
              <w:tr2bl w:val="nil"/>
            </w:tcBorders>
            <w:noWrap w:val="0"/>
            <w:vAlign w:val="center"/>
          </w:tcPr>
          <w:p w14:paraId="5C3F129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aps w:val="0"/>
                <w:color w:val="auto"/>
                <w:spacing w:val="0"/>
                <w:sz w:val="21"/>
                <w:szCs w:val="21"/>
                <w:highlight w:val="none"/>
                <w:shd w:val="clear" w:color="auto" w:fill="FFFFFF"/>
              </w:rPr>
            </w:pPr>
          </w:p>
        </w:tc>
      </w:tr>
      <w:tr w14:paraId="6477C0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97" w:type="dxa"/>
            <w:vMerge w:val="restart"/>
            <w:tcBorders>
              <w:tl2br w:val="nil"/>
              <w:tr2bl w:val="nil"/>
            </w:tcBorders>
            <w:noWrap w:val="0"/>
            <w:vAlign w:val="center"/>
          </w:tcPr>
          <w:p w14:paraId="6B1E4B3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一票否决项</w:t>
            </w:r>
          </w:p>
        </w:tc>
        <w:tc>
          <w:tcPr>
            <w:tcW w:w="2451" w:type="dxa"/>
            <w:tcBorders>
              <w:tl2br w:val="nil"/>
              <w:tr2bl w:val="nil"/>
            </w:tcBorders>
            <w:noWrap w:val="0"/>
            <w:vAlign w:val="center"/>
          </w:tcPr>
          <w:p w14:paraId="69669E0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对服务企业发生生产安全事故负有责任。</w:t>
            </w:r>
          </w:p>
        </w:tc>
        <w:tc>
          <w:tcPr>
            <w:tcW w:w="4082" w:type="dxa"/>
            <w:vMerge w:val="restart"/>
            <w:tcBorders>
              <w:tl2br w:val="nil"/>
              <w:tr2bl w:val="nil"/>
            </w:tcBorders>
            <w:noWrap w:val="0"/>
            <w:vAlign w:val="center"/>
          </w:tcPr>
          <w:p w14:paraId="3A85D74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出现任意一项的，一票否决，直接定为D级。</w:t>
            </w:r>
          </w:p>
        </w:tc>
        <w:tc>
          <w:tcPr>
            <w:tcW w:w="1413" w:type="dxa"/>
            <w:vMerge w:val="continue"/>
            <w:tcBorders>
              <w:tl2br w:val="nil"/>
              <w:tr2bl w:val="nil"/>
            </w:tcBorders>
            <w:noWrap w:val="0"/>
            <w:vAlign w:val="center"/>
          </w:tcPr>
          <w:p w14:paraId="256D94A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aps w:val="0"/>
                <w:color w:val="auto"/>
                <w:spacing w:val="0"/>
                <w:sz w:val="21"/>
                <w:szCs w:val="21"/>
                <w:highlight w:val="none"/>
                <w:shd w:val="clear" w:color="auto" w:fill="FFFFFF"/>
              </w:rPr>
            </w:pPr>
          </w:p>
        </w:tc>
      </w:tr>
      <w:tr w14:paraId="33A0D3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97" w:type="dxa"/>
            <w:vMerge w:val="continue"/>
            <w:tcBorders>
              <w:tl2br w:val="nil"/>
              <w:tr2bl w:val="nil"/>
            </w:tcBorders>
            <w:noWrap w:val="0"/>
            <w:vAlign w:val="center"/>
          </w:tcPr>
          <w:p w14:paraId="28ED2A3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auto"/>
                <w:sz w:val="24"/>
                <w:szCs w:val="24"/>
                <w:highlight w:val="none"/>
                <w:u w:val="none"/>
                <w:lang w:val="en-US" w:eastAsia="zh-CN"/>
              </w:rPr>
            </w:pPr>
          </w:p>
        </w:tc>
        <w:tc>
          <w:tcPr>
            <w:tcW w:w="2451" w:type="dxa"/>
            <w:tcBorders>
              <w:tl2br w:val="nil"/>
              <w:tr2bl w:val="nil"/>
            </w:tcBorders>
            <w:noWrap w:val="0"/>
            <w:vAlign w:val="center"/>
          </w:tcPr>
          <w:p w14:paraId="64147B4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eastAsia="zh-CN"/>
              </w:rPr>
              <w:t>伪造、转让或者租借资质、资格证书。</w:t>
            </w:r>
          </w:p>
        </w:tc>
        <w:tc>
          <w:tcPr>
            <w:tcW w:w="4082" w:type="dxa"/>
            <w:vMerge w:val="continue"/>
            <w:tcBorders>
              <w:tl2br w:val="nil"/>
              <w:tr2bl w:val="nil"/>
            </w:tcBorders>
            <w:noWrap w:val="0"/>
            <w:vAlign w:val="center"/>
          </w:tcPr>
          <w:p w14:paraId="379E4FE6">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aps w:val="0"/>
                <w:color w:val="auto"/>
                <w:spacing w:val="0"/>
                <w:sz w:val="21"/>
                <w:szCs w:val="21"/>
                <w:highlight w:val="none"/>
                <w:shd w:val="clear" w:color="auto" w:fill="FFFFFF"/>
              </w:rPr>
            </w:pPr>
          </w:p>
        </w:tc>
        <w:tc>
          <w:tcPr>
            <w:tcW w:w="1413" w:type="dxa"/>
            <w:vMerge w:val="continue"/>
            <w:tcBorders>
              <w:tl2br w:val="nil"/>
              <w:tr2bl w:val="nil"/>
            </w:tcBorders>
            <w:noWrap w:val="0"/>
            <w:vAlign w:val="center"/>
          </w:tcPr>
          <w:p w14:paraId="346FD15D">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aps w:val="0"/>
                <w:color w:val="auto"/>
                <w:spacing w:val="0"/>
                <w:sz w:val="21"/>
                <w:szCs w:val="21"/>
                <w:highlight w:val="none"/>
                <w:shd w:val="clear" w:color="auto" w:fill="FFFFFF"/>
              </w:rPr>
            </w:pPr>
          </w:p>
        </w:tc>
      </w:tr>
      <w:tr w14:paraId="1391C5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97" w:type="dxa"/>
            <w:vMerge w:val="continue"/>
            <w:tcBorders>
              <w:tl2br w:val="nil"/>
              <w:tr2bl w:val="nil"/>
            </w:tcBorders>
            <w:noWrap w:val="0"/>
            <w:vAlign w:val="center"/>
          </w:tcPr>
          <w:p w14:paraId="4B9DE6E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auto"/>
                <w:sz w:val="24"/>
                <w:szCs w:val="24"/>
                <w:highlight w:val="none"/>
                <w:u w:val="none"/>
                <w:lang w:val="en-US" w:eastAsia="zh-CN"/>
              </w:rPr>
            </w:pPr>
          </w:p>
        </w:tc>
        <w:tc>
          <w:tcPr>
            <w:tcW w:w="2451" w:type="dxa"/>
            <w:tcBorders>
              <w:tl2br w:val="nil"/>
              <w:tr2bl w:val="nil"/>
            </w:tcBorders>
            <w:noWrap w:val="0"/>
            <w:vAlign w:val="center"/>
          </w:tcPr>
          <w:p w14:paraId="53F1426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lang w:val="en-US" w:eastAsia="zh-CN"/>
              </w:rPr>
              <w:t>重大事故隐患应发现而未发现。</w:t>
            </w:r>
          </w:p>
        </w:tc>
        <w:tc>
          <w:tcPr>
            <w:tcW w:w="4082" w:type="dxa"/>
            <w:vMerge w:val="continue"/>
            <w:tcBorders>
              <w:tl2br w:val="nil"/>
              <w:tr2bl w:val="nil"/>
            </w:tcBorders>
            <w:noWrap w:val="0"/>
            <w:vAlign w:val="center"/>
          </w:tcPr>
          <w:p w14:paraId="394F6A05">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aps w:val="0"/>
                <w:color w:val="auto"/>
                <w:spacing w:val="0"/>
                <w:sz w:val="21"/>
                <w:szCs w:val="21"/>
                <w:highlight w:val="none"/>
                <w:shd w:val="clear" w:color="auto" w:fill="FFFFFF"/>
              </w:rPr>
            </w:pPr>
          </w:p>
        </w:tc>
        <w:tc>
          <w:tcPr>
            <w:tcW w:w="1413" w:type="dxa"/>
            <w:vMerge w:val="continue"/>
            <w:tcBorders>
              <w:tl2br w:val="nil"/>
              <w:tr2bl w:val="nil"/>
            </w:tcBorders>
            <w:noWrap w:val="0"/>
            <w:vAlign w:val="center"/>
          </w:tcPr>
          <w:p w14:paraId="3F84E449">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aps w:val="0"/>
                <w:color w:val="auto"/>
                <w:spacing w:val="0"/>
                <w:sz w:val="21"/>
                <w:szCs w:val="21"/>
                <w:highlight w:val="none"/>
                <w:shd w:val="clear" w:color="auto" w:fill="FFFFFF"/>
              </w:rPr>
            </w:pPr>
          </w:p>
        </w:tc>
      </w:tr>
      <w:tr w14:paraId="2C1695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97" w:type="dxa"/>
            <w:vMerge w:val="continue"/>
            <w:tcBorders>
              <w:tl2br w:val="nil"/>
              <w:tr2bl w:val="nil"/>
            </w:tcBorders>
            <w:noWrap w:val="0"/>
            <w:vAlign w:val="center"/>
          </w:tcPr>
          <w:p w14:paraId="756F42C7">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auto"/>
                <w:sz w:val="24"/>
                <w:szCs w:val="24"/>
                <w:highlight w:val="none"/>
                <w:u w:val="none"/>
                <w:lang w:val="en-US" w:eastAsia="zh-CN"/>
              </w:rPr>
            </w:pPr>
          </w:p>
        </w:tc>
        <w:tc>
          <w:tcPr>
            <w:tcW w:w="2451" w:type="dxa"/>
            <w:tcBorders>
              <w:tl2br w:val="nil"/>
              <w:tr2bl w:val="nil"/>
            </w:tcBorders>
            <w:noWrap w:val="0"/>
            <w:vAlign w:val="center"/>
          </w:tcPr>
          <w:p w14:paraId="632A907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提供虚假信息、资料，出具虚假报告、证明等材料。</w:t>
            </w:r>
          </w:p>
        </w:tc>
        <w:tc>
          <w:tcPr>
            <w:tcW w:w="4082" w:type="dxa"/>
            <w:vMerge w:val="continue"/>
            <w:tcBorders>
              <w:tl2br w:val="nil"/>
              <w:tr2bl w:val="nil"/>
            </w:tcBorders>
            <w:noWrap w:val="0"/>
            <w:vAlign w:val="center"/>
          </w:tcPr>
          <w:p w14:paraId="2CE5E99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aps w:val="0"/>
                <w:color w:val="auto"/>
                <w:spacing w:val="0"/>
                <w:sz w:val="21"/>
                <w:szCs w:val="21"/>
                <w:highlight w:val="none"/>
                <w:shd w:val="clear" w:color="auto" w:fill="FFFFFF"/>
              </w:rPr>
            </w:pPr>
          </w:p>
        </w:tc>
        <w:tc>
          <w:tcPr>
            <w:tcW w:w="1413" w:type="dxa"/>
            <w:vMerge w:val="continue"/>
            <w:tcBorders>
              <w:tl2br w:val="nil"/>
              <w:tr2bl w:val="nil"/>
            </w:tcBorders>
            <w:noWrap w:val="0"/>
            <w:vAlign w:val="center"/>
          </w:tcPr>
          <w:p w14:paraId="7A469E56">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aps w:val="0"/>
                <w:color w:val="auto"/>
                <w:spacing w:val="0"/>
                <w:sz w:val="21"/>
                <w:szCs w:val="21"/>
                <w:highlight w:val="none"/>
                <w:shd w:val="clear" w:color="auto" w:fill="FFFFFF"/>
              </w:rPr>
            </w:pPr>
          </w:p>
        </w:tc>
      </w:tr>
      <w:tr w14:paraId="166513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97" w:type="dxa"/>
            <w:vMerge w:val="continue"/>
            <w:tcBorders>
              <w:tl2br w:val="nil"/>
              <w:tr2bl w:val="nil"/>
            </w:tcBorders>
            <w:noWrap w:val="0"/>
            <w:vAlign w:val="center"/>
          </w:tcPr>
          <w:p w14:paraId="33FCA259">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auto"/>
                <w:sz w:val="24"/>
                <w:szCs w:val="24"/>
                <w:highlight w:val="none"/>
                <w:u w:val="none"/>
                <w:lang w:val="en-US" w:eastAsia="zh-CN"/>
              </w:rPr>
            </w:pPr>
          </w:p>
        </w:tc>
        <w:tc>
          <w:tcPr>
            <w:tcW w:w="2451" w:type="dxa"/>
            <w:tcBorders>
              <w:tl2br w:val="nil"/>
              <w:tr2bl w:val="nil"/>
            </w:tcBorders>
            <w:noWrap w:val="0"/>
            <w:vAlign w:val="center"/>
          </w:tcPr>
          <w:p w14:paraId="3781D3A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非法转包项目。</w:t>
            </w:r>
          </w:p>
        </w:tc>
        <w:tc>
          <w:tcPr>
            <w:tcW w:w="4082" w:type="dxa"/>
            <w:vMerge w:val="continue"/>
            <w:tcBorders>
              <w:tl2br w:val="nil"/>
              <w:tr2bl w:val="nil"/>
            </w:tcBorders>
            <w:noWrap w:val="0"/>
            <w:vAlign w:val="center"/>
          </w:tcPr>
          <w:p w14:paraId="39E03FE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aps w:val="0"/>
                <w:color w:val="auto"/>
                <w:spacing w:val="0"/>
                <w:sz w:val="21"/>
                <w:szCs w:val="21"/>
                <w:highlight w:val="none"/>
                <w:shd w:val="clear" w:color="auto" w:fill="FFFFFF"/>
              </w:rPr>
            </w:pPr>
          </w:p>
        </w:tc>
        <w:tc>
          <w:tcPr>
            <w:tcW w:w="1413" w:type="dxa"/>
            <w:vMerge w:val="continue"/>
            <w:tcBorders>
              <w:tl2br w:val="nil"/>
              <w:tr2bl w:val="nil"/>
            </w:tcBorders>
            <w:noWrap w:val="0"/>
            <w:vAlign w:val="top"/>
          </w:tcPr>
          <w:p w14:paraId="586FB7AB">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aps w:val="0"/>
                <w:color w:val="auto"/>
                <w:spacing w:val="0"/>
                <w:sz w:val="21"/>
                <w:szCs w:val="21"/>
                <w:highlight w:val="none"/>
                <w:shd w:val="clear" w:color="auto" w:fill="FFFFFF"/>
              </w:rPr>
            </w:pPr>
          </w:p>
        </w:tc>
      </w:tr>
      <w:tr w14:paraId="2F48AD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97" w:type="dxa"/>
            <w:vMerge w:val="continue"/>
            <w:tcBorders>
              <w:tl2br w:val="nil"/>
              <w:tr2bl w:val="nil"/>
            </w:tcBorders>
            <w:noWrap w:val="0"/>
            <w:vAlign w:val="center"/>
          </w:tcPr>
          <w:p w14:paraId="014EE2F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auto"/>
                <w:sz w:val="24"/>
                <w:szCs w:val="24"/>
                <w:highlight w:val="none"/>
                <w:u w:val="none"/>
                <w:lang w:val="en-US" w:eastAsia="zh-CN"/>
              </w:rPr>
            </w:pPr>
          </w:p>
        </w:tc>
        <w:tc>
          <w:tcPr>
            <w:tcW w:w="2451" w:type="dxa"/>
            <w:tcBorders>
              <w:tl2br w:val="nil"/>
              <w:tr2bl w:val="nil"/>
            </w:tcBorders>
            <w:noWrap w:val="0"/>
            <w:vAlign w:val="center"/>
          </w:tcPr>
          <w:p w14:paraId="5CE5329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采取欺诈、胁迫、贿赂、串通等非法手段，损害委托人或者他人利益。</w:t>
            </w:r>
          </w:p>
        </w:tc>
        <w:tc>
          <w:tcPr>
            <w:tcW w:w="4082" w:type="dxa"/>
            <w:vMerge w:val="continue"/>
            <w:tcBorders>
              <w:tl2br w:val="nil"/>
              <w:tr2bl w:val="nil"/>
            </w:tcBorders>
            <w:noWrap w:val="0"/>
            <w:vAlign w:val="center"/>
          </w:tcPr>
          <w:p w14:paraId="1FFC6B90">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aps w:val="0"/>
                <w:color w:val="auto"/>
                <w:spacing w:val="0"/>
                <w:sz w:val="21"/>
                <w:szCs w:val="21"/>
                <w:highlight w:val="none"/>
                <w:shd w:val="clear" w:color="auto" w:fill="FFFFFF"/>
              </w:rPr>
            </w:pPr>
          </w:p>
        </w:tc>
        <w:tc>
          <w:tcPr>
            <w:tcW w:w="1413" w:type="dxa"/>
            <w:vMerge w:val="continue"/>
            <w:tcBorders>
              <w:tl2br w:val="nil"/>
              <w:tr2bl w:val="nil"/>
            </w:tcBorders>
            <w:noWrap w:val="0"/>
            <w:vAlign w:val="top"/>
          </w:tcPr>
          <w:p w14:paraId="6FB4D0C8">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aps w:val="0"/>
                <w:color w:val="auto"/>
                <w:spacing w:val="0"/>
                <w:sz w:val="21"/>
                <w:szCs w:val="21"/>
                <w:highlight w:val="none"/>
                <w:shd w:val="clear" w:color="auto" w:fill="FFFFFF"/>
              </w:rPr>
            </w:pPr>
          </w:p>
        </w:tc>
      </w:tr>
      <w:tr w14:paraId="66C718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97" w:type="dxa"/>
            <w:vMerge w:val="continue"/>
            <w:tcBorders>
              <w:tl2br w:val="nil"/>
              <w:tr2bl w:val="nil"/>
            </w:tcBorders>
            <w:noWrap w:val="0"/>
            <w:vAlign w:val="center"/>
          </w:tcPr>
          <w:p w14:paraId="191F45CE">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auto"/>
                <w:sz w:val="22"/>
                <w:szCs w:val="22"/>
                <w:highlight w:val="none"/>
                <w:u w:val="none"/>
                <w:lang w:val="en-US" w:eastAsia="zh-CN"/>
              </w:rPr>
            </w:pPr>
          </w:p>
        </w:tc>
        <w:tc>
          <w:tcPr>
            <w:tcW w:w="2451" w:type="dxa"/>
            <w:tcBorders>
              <w:tl2br w:val="nil"/>
              <w:tr2bl w:val="nil"/>
            </w:tcBorders>
            <w:noWrap w:val="0"/>
            <w:vAlign w:val="center"/>
          </w:tcPr>
          <w:p w14:paraId="67B2A86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以不正当竞争手段承揽业务或者利用执业便利谋取不正当利益。</w:t>
            </w:r>
          </w:p>
        </w:tc>
        <w:tc>
          <w:tcPr>
            <w:tcW w:w="4082" w:type="dxa"/>
            <w:vMerge w:val="continue"/>
            <w:tcBorders>
              <w:tl2br w:val="nil"/>
              <w:tr2bl w:val="nil"/>
            </w:tcBorders>
            <w:noWrap w:val="0"/>
            <w:vAlign w:val="center"/>
          </w:tcPr>
          <w:p w14:paraId="730AEFE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aps w:val="0"/>
                <w:color w:val="auto"/>
                <w:spacing w:val="0"/>
                <w:sz w:val="21"/>
                <w:szCs w:val="21"/>
                <w:highlight w:val="none"/>
                <w:shd w:val="clear" w:color="auto" w:fill="FFFFFF"/>
              </w:rPr>
            </w:pPr>
          </w:p>
        </w:tc>
        <w:tc>
          <w:tcPr>
            <w:tcW w:w="1413" w:type="dxa"/>
            <w:vMerge w:val="continue"/>
            <w:tcBorders>
              <w:tl2br w:val="nil"/>
              <w:tr2bl w:val="nil"/>
            </w:tcBorders>
            <w:noWrap w:val="0"/>
            <w:vAlign w:val="top"/>
          </w:tcPr>
          <w:p w14:paraId="5A83D327">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aps w:val="0"/>
                <w:color w:val="auto"/>
                <w:spacing w:val="0"/>
                <w:sz w:val="21"/>
                <w:szCs w:val="21"/>
                <w:highlight w:val="none"/>
                <w:shd w:val="clear" w:color="auto" w:fill="FFFFFF"/>
              </w:rPr>
            </w:pPr>
          </w:p>
        </w:tc>
      </w:tr>
      <w:tr w14:paraId="35BDCD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97" w:type="dxa"/>
            <w:vMerge w:val="continue"/>
            <w:tcBorders>
              <w:tl2br w:val="nil"/>
              <w:tr2bl w:val="nil"/>
            </w:tcBorders>
            <w:noWrap w:val="0"/>
            <w:vAlign w:val="center"/>
          </w:tcPr>
          <w:p w14:paraId="70F51D1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auto"/>
                <w:sz w:val="22"/>
                <w:szCs w:val="22"/>
                <w:highlight w:val="none"/>
                <w:u w:val="none"/>
                <w:lang w:val="en-US" w:eastAsia="zh-CN"/>
              </w:rPr>
            </w:pPr>
          </w:p>
        </w:tc>
        <w:tc>
          <w:tcPr>
            <w:tcW w:w="2451" w:type="dxa"/>
            <w:tcBorders>
              <w:tl2br w:val="nil"/>
              <w:tr2bl w:val="nil"/>
            </w:tcBorders>
            <w:noWrap w:val="0"/>
            <w:vAlign w:val="center"/>
          </w:tcPr>
          <w:p w14:paraId="73C18F9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强行或者变相强行推销商品、提供服务。</w:t>
            </w:r>
          </w:p>
        </w:tc>
        <w:tc>
          <w:tcPr>
            <w:tcW w:w="4082" w:type="dxa"/>
            <w:vMerge w:val="continue"/>
            <w:tcBorders>
              <w:tl2br w:val="nil"/>
              <w:tr2bl w:val="nil"/>
            </w:tcBorders>
            <w:noWrap w:val="0"/>
            <w:vAlign w:val="center"/>
          </w:tcPr>
          <w:p w14:paraId="0200955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aps w:val="0"/>
                <w:color w:val="auto"/>
                <w:spacing w:val="0"/>
                <w:sz w:val="21"/>
                <w:szCs w:val="21"/>
                <w:highlight w:val="none"/>
                <w:shd w:val="clear" w:color="auto" w:fill="FFFFFF"/>
              </w:rPr>
            </w:pPr>
          </w:p>
        </w:tc>
        <w:tc>
          <w:tcPr>
            <w:tcW w:w="1413" w:type="dxa"/>
            <w:vMerge w:val="continue"/>
            <w:tcBorders>
              <w:tl2br w:val="nil"/>
              <w:tr2bl w:val="nil"/>
            </w:tcBorders>
            <w:noWrap w:val="0"/>
            <w:vAlign w:val="top"/>
          </w:tcPr>
          <w:p w14:paraId="60D74A20">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aps w:val="0"/>
                <w:color w:val="auto"/>
                <w:spacing w:val="0"/>
                <w:sz w:val="21"/>
                <w:szCs w:val="21"/>
                <w:highlight w:val="none"/>
                <w:shd w:val="clear" w:color="auto" w:fill="FFFFFF"/>
              </w:rPr>
            </w:pPr>
          </w:p>
        </w:tc>
      </w:tr>
      <w:tr w14:paraId="5D2A3C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97" w:type="dxa"/>
            <w:vMerge w:val="continue"/>
            <w:tcBorders>
              <w:tl2br w:val="nil"/>
              <w:tr2bl w:val="nil"/>
            </w:tcBorders>
            <w:noWrap w:val="0"/>
            <w:vAlign w:val="center"/>
          </w:tcPr>
          <w:p w14:paraId="6BD16D9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auto"/>
                <w:sz w:val="22"/>
                <w:szCs w:val="22"/>
                <w:highlight w:val="none"/>
                <w:u w:val="none"/>
                <w:lang w:val="en-US" w:eastAsia="zh-CN"/>
              </w:rPr>
            </w:pPr>
          </w:p>
        </w:tc>
        <w:tc>
          <w:tcPr>
            <w:tcW w:w="2451" w:type="dxa"/>
            <w:tcBorders>
              <w:tl2br w:val="nil"/>
              <w:tr2bl w:val="nil"/>
            </w:tcBorders>
            <w:noWrap w:val="0"/>
            <w:vAlign w:val="center"/>
          </w:tcPr>
          <w:p w14:paraId="639C4F2A">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提供、泄露可能危害国家安全或者公共利益的信息、资料。</w:t>
            </w:r>
          </w:p>
        </w:tc>
        <w:tc>
          <w:tcPr>
            <w:tcW w:w="4082" w:type="dxa"/>
            <w:vMerge w:val="continue"/>
            <w:tcBorders>
              <w:tl2br w:val="nil"/>
              <w:tr2bl w:val="nil"/>
            </w:tcBorders>
            <w:noWrap w:val="0"/>
            <w:vAlign w:val="center"/>
          </w:tcPr>
          <w:p w14:paraId="17FB6C92">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aps w:val="0"/>
                <w:color w:val="auto"/>
                <w:spacing w:val="0"/>
                <w:sz w:val="21"/>
                <w:szCs w:val="21"/>
                <w:highlight w:val="none"/>
                <w:shd w:val="clear" w:color="auto" w:fill="FFFFFF"/>
              </w:rPr>
            </w:pPr>
          </w:p>
        </w:tc>
        <w:tc>
          <w:tcPr>
            <w:tcW w:w="1413" w:type="dxa"/>
            <w:vMerge w:val="continue"/>
            <w:tcBorders>
              <w:tl2br w:val="nil"/>
              <w:tr2bl w:val="nil"/>
            </w:tcBorders>
            <w:noWrap w:val="0"/>
            <w:vAlign w:val="top"/>
          </w:tcPr>
          <w:p w14:paraId="40AF563C">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aps w:val="0"/>
                <w:color w:val="auto"/>
                <w:spacing w:val="0"/>
                <w:sz w:val="21"/>
                <w:szCs w:val="21"/>
                <w:highlight w:val="none"/>
                <w:shd w:val="clear" w:color="auto" w:fill="FFFFFF"/>
              </w:rPr>
            </w:pPr>
          </w:p>
        </w:tc>
      </w:tr>
      <w:tr w14:paraId="577356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97" w:type="dxa"/>
            <w:vMerge w:val="continue"/>
            <w:tcBorders>
              <w:tl2br w:val="nil"/>
              <w:tr2bl w:val="nil"/>
            </w:tcBorders>
            <w:noWrap w:val="0"/>
            <w:vAlign w:val="center"/>
          </w:tcPr>
          <w:p w14:paraId="2C3B5E3F">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auto"/>
                <w:sz w:val="22"/>
                <w:szCs w:val="22"/>
                <w:highlight w:val="none"/>
                <w:u w:val="none"/>
                <w:lang w:val="en-US" w:eastAsia="zh-CN"/>
              </w:rPr>
            </w:pPr>
          </w:p>
        </w:tc>
        <w:tc>
          <w:tcPr>
            <w:tcW w:w="2451" w:type="dxa"/>
            <w:tcBorders>
              <w:tl2br w:val="nil"/>
              <w:tr2bl w:val="nil"/>
            </w:tcBorders>
            <w:noWrap w:val="0"/>
            <w:vAlign w:val="center"/>
          </w:tcPr>
          <w:p w14:paraId="01A0BD6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冒用他人名义或者允许他人冒用本人名义在服务报告、原始记录、证明等材料上签名。</w:t>
            </w:r>
          </w:p>
        </w:tc>
        <w:tc>
          <w:tcPr>
            <w:tcW w:w="4082" w:type="dxa"/>
            <w:vMerge w:val="continue"/>
            <w:tcBorders>
              <w:tl2br w:val="nil"/>
              <w:tr2bl w:val="nil"/>
            </w:tcBorders>
            <w:noWrap w:val="0"/>
            <w:vAlign w:val="center"/>
          </w:tcPr>
          <w:p w14:paraId="5C58736B">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aps w:val="0"/>
                <w:color w:val="auto"/>
                <w:spacing w:val="0"/>
                <w:sz w:val="21"/>
                <w:szCs w:val="21"/>
                <w:highlight w:val="none"/>
                <w:shd w:val="clear" w:color="auto" w:fill="FFFFFF"/>
              </w:rPr>
            </w:pPr>
          </w:p>
        </w:tc>
        <w:tc>
          <w:tcPr>
            <w:tcW w:w="1413" w:type="dxa"/>
            <w:vMerge w:val="continue"/>
            <w:tcBorders>
              <w:tl2br w:val="nil"/>
              <w:tr2bl w:val="nil"/>
            </w:tcBorders>
            <w:noWrap w:val="0"/>
            <w:vAlign w:val="top"/>
          </w:tcPr>
          <w:p w14:paraId="223B3C04">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aps w:val="0"/>
                <w:color w:val="auto"/>
                <w:spacing w:val="0"/>
                <w:sz w:val="21"/>
                <w:szCs w:val="21"/>
                <w:highlight w:val="none"/>
                <w:shd w:val="clear" w:color="auto" w:fill="FFFFFF"/>
              </w:rPr>
            </w:pPr>
          </w:p>
        </w:tc>
      </w:tr>
      <w:tr w14:paraId="45733F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97" w:type="dxa"/>
            <w:vMerge w:val="continue"/>
            <w:tcBorders>
              <w:tl2br w:val="nil"/>
              <w:tr2bl w:val="nil"/>
            </w:tcBorders>
            <w:noWrap w:val="0"/>
            <w:vAlign w:val="center"/>
          </w:tcPr>
          <w:p w14:paraId="0D1CCAF4">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auto"/>
                <w:sz w:val="22"/>
                <w:szCs w:val="22"/>
                <w:highlight w:val="none"/>
                <w:u w:val="none"/>
                <w:lang w:val="en-US" w:eastAsia="zh-CN"/>
              </w:rPr>
            </w:pPr>
          </w:p>
        </w:tc>
        <w:tc>
          <w:tcPr>
            <w:tcW w:w="2451" w:type="dxa"/>
            <w:tcBorders>
              <w:tl2br w:val="nil"/>
              <w:tr2bl w:val="nil"/>
            </w:tcBorders>
            <w:noWrap w:val="0"/>
            <w:vAlign w:val="center"/>
          </w:tcPr>
          <w:p w14:paraId="15C6B0CD">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泄露委托人的商业秘密或者个人隐私。</w:t>
            </w:r>
          </w:p>
        </w:tc>
        <w:tc>
          <w:tcPr>
            <w:tcW w:w="4082" w:type="dxa"/>
            <w:vMerge w:val="continue"/>
            <w:tcBorders>
              <w:tl2br w:val="nil"/>
              <w:tr2bl w:val="nil"/>
            </w:tcBorders>
            <w:noWrap w:val="0"/>
            <w:vAlign w:val="center"/>
          </w:tcPr>
          <w:p w14:paraId="3AE21DC3">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aps w:val="0"/>
                <w:color w:val="auto"/>
                <w:spacing w:val="0"/>
                <w:sz w:val="21"/>
                <w:szCs w:val="21"/>
                <w:highlight w:val="none"/>
                <w:shd w:val="clear" w:color="auto" w:fill="FFFFFF"/>
              </w:rPr>
            </w:pPr>
          </w:p>
        </w:tc>
        <w:tc>
          <w:tcPr>
            <w:tcW w:w="1413" w:type="dxa"/>
            <w:vMerge w:val="continue"/>
            <w:tcBorders>
              <w:tl2br w:val="nil"/>
              <w:tr2bl w:val="nil"/>
            </w:tcBorders>
            <w:noWrap w:val="0"/>
            <w:vAlign w:val="top"/>
          </w:tcPr>
          <w:p w14:paraId="093B074A">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center"/>
              <w:rPr>
                <w:rFonts w:hint="eastAsia" w:ascii="宋体" w:hAnsi="宋体" w:eastAsia="宋体" w:cs="宋体"/>
                <w:i w:val="0"/>
                <w:iCs w:val="0"/>
                <w:caps w:val="0"/>
                <w:color w:val="auto"/>
                <w:spacing w:val="0"/>
                <w:sz w:val="21"/>
                <w:szCs w:val="21"/>
                <w:highlight w:val="none"/>
                <w:shd w:val="clear" w:color="auto" w:fill="FFFFFF"/>
              </w:rPr>
            </w:pPr>
          </w:p>
        </w:tc>
      </w:tr>
    </w:tbl>
    <w:p w14:paraId="4F09D34B">
      <w:pPr>
        <w:keepNext w:val="0"/>
        <w:keepLines w:val="0"/>
        <w:pageBreakBefore w:val="0"/>
        <w:kinsoku/>
        <w:wordWrap/>
        <w:overflowPunct/>
        <w:topLinePunct w:val="0"/>
        <w:bidi w:val="0"/>
        <w:snapToGrid/>
        <w:spacing w:line="288" w:lineRule="auto"/>
        <w:rPr>
          <w:rFonts w:hint="eastAsia" w:ascii="宋体" w:hAnsi="宋体" w:eastAsia="宋体" w:cs="宋体"/>
          <w:b/>
          <w:bCs/>
          <w:color w:val="auto"/>
          <w:sz w:val="24"/>
          <w:szCs w:val="24"/>
          <w:highlight w:val="none"/>
          <w:lang w:bidi="ar-SA"/>
        </w:rPr>
      </w:pPr>
      <w:r>
        <w:rPr>
          <w:rFonts w:hint="eastAsia" w:ascii="宋体" w:hAnsi="宋体" w:eastAsia="宋体" w:cs="宋体"/>
          <w:b/>
          <w:bCs/>
          <w:color w:val="auto"/>
          <w:sz w:val="24"/>
          <w:szCs w:val="24"/>
          <w:highlight w:val="none"/>
          <w:lang w:bidi="ar-SA"/>
        </w:rPr>
        <w:t>（</w:t>
      </w:r>
      <w:r>
        <w:rPr>
          <w:rFonts w:hint="eastAsia" w:ascii="宋体" w:hAnsi="宋体" w:eastAsia="宋体" w:cs="宋体"/>
          <w:b/>
          <w:bCs/>
          <w:color w:val="auto"/>
          <w:sz w:val="24"/>
          <w:szCs w:val="24"/>
          <w:highlight w:val="none"/>
          <w:lang w:eastAsia="zh-CN" w:bidi="ar-SA"/>
        </w:rPr>
        <w:t>七</w:t>
      </w:r>
      <w:r>
        <w:rPr>
          <w:rFonts w:hint="eastAsia" w:ascii="宋体" w:hAnsi="宋体" w:eastAsia="宋体" w:cs="宋体"/>
          <w:b/>
          <w:bCs/>
          <w:color w:val="auto"/>
          <w:sz w:val="24"/>
          <w:szCs w:val="24"/>
          <w:highlight w:val="none"/>
          <w:lang w:bidi="ar-SA"/>
        </w:rPr>
        <w:t>）企业安全生产隐患排查参考标准</w:t>
      </w:r>
    </w:p>
    <w:p w14:paraId="5B4AB404">
      <w:pPr>
        <w:keepNext w:val="0"/>
        <w:keepLines w:val="0"/>
        <w:pageBreakBefore w:val="0"/>
        <w:kinsoku/>
        <w:wordWrap/>
        <w:overflowPunct/>
        <w:topLinePunct w:val="0"/>
        <w:bidi w:val="0"/>
        <w:snapToGrid/>
        <w:spacing w:line="288" w:lineRule="auto"/>
        <w:jc w:val="center"/>
        <w:rPr>
          <w:rFonts w:hint="eastAsia" w:ascii="宋体" w:hAnsi="宋体" w:eastAsia="宋体" w:cs="宋体"/>
          <w:b/>
          <w:bCs/>
          <w:color w:val="auto"/>
          <w:sz w:val="28"/>
          <w:szCs w:val="28"/>
          <w:highlight w:val="none"/>
          <w:lang w:bidi="ar-SA"/>
        </w:rPr>
      </w:pPr>
      <w:r>
        <w:rPr>
          <w:rFonts w:hint="eastAsia" w:ascii="宋体" w:hAnsi="宋体" w:eastAsia="宋体" w:cs="宋体"/>
          <w:b/>
          <w:bCs/>
          <w:color w:val="auto"/>
          <w:sz w:val="28"/>
          <w:szCs w:val="28"/>
          <w:highlight w:val="none"/>
          <w:lang w:bidi="ar-SA"/>
        </w:rPr>
        <w:t>企业安全生产隐患排查参考标准</w:t>
      </w:r>
    </w:p>
    <w:tbl>
      <w:tblPr>
        <w:tblStyle w:val="20"/>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8324"/>
      </w:tblGrid>
      <w:tr w14:paraId="4EEB8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11" w:type="dxa"/>
            <w:vMerge w:val="restart"/>
            <w:tcBorders>
              <w:tl2br w:val="nil"/>
              <w:tr2bl w:val="nil"/>
            </w:tcBorders>
            <w:noWrap w:val="0"/>
            <w:vAlign w:val="center"/>
          </w:tcPr>
          <w:p w14:paraId="21D03088">
            <w:pPr>
              <w:keepNext w:val="0"/>
              <w:keepLines w:val="0"/>
              <w:pageBreakBefore w:val="0"/>
              <w:widowControl/>
              <w:kinsoku/>
              <w:wordWrap/>
              <w:overflowPunct/>
              <w:topLinePunct w:val="0"/>
              <w:bidi w:val="0"/>
              <w:snapToGrid/>
              <w:spacing w:line="288" w:lineRule="auto"/>
              <w:jc w:val="center"/>
              <w:rPr>
                <w:rFonts w:hint="eastAsia" w:ascii="宋体" w:hAnsi="宋体" w:eastAsia="宋体" w:cs="宋体"/>
                <w:b/>
                <w:bCs/>
                <w:color w:val="auto"/>
                <w:kern w:val="0"/>
                <w:sz w:val="24"/>
                <w:szCs w:val="24"/>
                <w:highlight w:val="none"/>
                <w:lang w:bidi="ar-SA"/>
              </w:rPr>
            </w:pPr>
            <w:r>
              <w:rPr>
                <w:rFonts w:hint="eastAsia" w:ascii="宋体" w:hAnsi="宋体" w:eastAsia="宋体" w:cs="宋体"/>
                <w:b/>
                <w:bCs/>
                <w:color w:val="auto"/>
                <w:kern w:val="0"/>
                <w:sz w:val="24"/>
                <w:szCs w:val="24"/>
                <w:highlight w:val="none"/>
                <w:lang w:bidi="ar-SA"/>
              </w:rPr>
              <w:t>类目</w:t>
            </w:r>
          </w:p>
        </w:tc>
        <w:tc>
          <w:tcPr>
            <w:tcW w:w="8324" w:type="dxa"/>
            <w:vMerge w:val="restart"/>
            <w:tcBorders>
              <w:tl2br w:val="nil"/>
              <w:tr2bl w:val="nil"/>
            </w:tcBorders>
            <w:noWrap w:val="0"/>
            <w:vAlign w:val="center"/>
          </w:tcPr>
          <w:p w14:paraId="725C5F8F">
            <w:pPr>
              <w:keepNext w:val="0"/>
              <w:keepLines w:val="0"/>
              <w:pageBreakBefore w:val="0"/>
              <w:widowControl/>
              <w:kinsoku/>
              <w:wordWrap/>
              <w:overflowPunct/>
              <w:topLinePunct w:val="0"/>
              <w:bidi w:val="0"/>
              <w:snapToGrid/>
              <w:spacing w:line="288" w:lineRule="auto"/>
              <w:jc w:val="center"/>
              <w:rPr>
                <w:rFonts w:hint="eastAsia" w:ascii="宋体" w:hAnsi="宋体" w:eastAsia="宋体" w:cs="宋体"/>
                <w:b/>
                <w:bCs/>
                <w:color w:val="auto"/>
                <w:kern w:val="0"/>
                <w:sz w:val="24"/>
                <w:szCs w:val="24"/>
                <w:highlight w:val="none"/>
                <w:lang w:bidi="ar-SA"/>
              </w:rPr>
            </w:pPr>
            <w:r>
              <w:rPr>
                <w:rFonts w:hint="eastAsia" w:ascii="宋体" w:hAnsi="宋体" w:eastAsia="宋体" w:cs="宋体"/>
                <w:b/>
                <w:bCs/>
                <w:color w:val="auto"/>
                <w:kern w:val="0"/>
                <w:sz w:val="24"/>
                <w:szCs w:val="24"/>
                <w:highlight w:val="none"/>
                <w:lang w:bidi="ar-SA"/>
              </w:rPr>
              <w:t>标准条款</w:t>
            </w:r>
          </w:p>
        </w:tc>
      </w:tr>
      <w:tr w14:paraId="39A9A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411" w:type="dxa"/>
            <w:vMerge w:val="continue"/>
            <w:tcBorders>
              <w:tl2br w:val="nil"/>
              <w:tr2bl w:val="nil"/>
            </w:tcBorders>
            <w:noWrap w:val="0"/>
            <w:vAlign w:val="center"/>
          </w:tcPr>
          <w:p w14:paraId="249E8886">
            <w:pPr>
              <w:keepNext w:val="0"/>
              <w:keepLines w:val="0"/>
              <w:pageBreakBefore w:val="0"/>
              <w:kinsoku/>
              <w:wordWrap/>
              <w:overflowPunct/>
              <w:topLinePunct w:val="0"/>
              <w:bidi w:val="0"/>
              <w:snapToGrid/>
              <w:spacing w:line="288" w:lineRule="auto"/>
              <w:rPr>
                <w:rFonts w:hint="eastAsia" w:ascii="宋体" w:hAnsi="宋体" w:eastAsia="宋体" w:cs="宋体"/>
                <w:color w:val="auto"/>
                <w:highlight w:val="none"/>
              </w:rPr>
            </w:pPr>
          </w:p>
        </w:tc>
        <w:tc>
          <w:tcPr>
            <w:tcW w:w="8324" w:type="dxa"/>
            <w:vMerge w:val="continue"/>
            <w:tcBorders>
              <w:tl2br w:val="nil"/>
              <w:tr2bl w:val="nil"/>
            </w:tcBorders>
            <w:noWrap w:val="0"/>
            <w:vAlign w:val="center"/>
          </w:tcPr>
          <w:p w14:paraId="52E94B87">
            <w:pPr>
              <w:keepNext w:val="0"/>
              <w:keepLines w:val="0"/>
              <w:pageBreakBefore w:val="0"/>
              <w:kinsoku/>
              <w:wordWrap/>
              <w:overflowPunct/>
              <w:topLinePunct w:val="0"/>
              <w:bidi w:val="0"/>
              <w:snapToGrid/>
              <w:spacing w:line="288" w:lineRule="auto"/>
              <w:rPr>
                <w:rFonts w:hint="eastAsia" w:ascii="宋体" w:hAnsi="宋体" w:eastAsia="宋体" w:cs="宋体"/>
                <w:color w:val="auto"/>
                <w:highlight w:val="none"/>
              </w:rPr>
            </w:pPr>
          </w:p>
        </w:tc>
      </w:tr>
      <w:tr w14:paraId="1ED1D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restart"/>
            <w:tcBorders>
              <w:tl2br w:val="nil"/>
              <w:tr2bl w:val="nil"/>
            </w:tcBorders>
            <w:noWrap w:val="0"/>
            <w:vAlign w:val="center"/>
          </w:tcPr>
          <w:p w14:paraId="0D9AE9B8">
            <w:pPr>
              <w:keepNext w:val="0"/>
              <w:keepLines w:val="0"/>
              <w:pageBreakBefore w:val="0"/>
              <w:widowControl/>
              <w:kinsoku/>
              <w:wordWrap/>
              <w:overflowPunct/>
              <w:topLinePunct w:val="0"/>
              <w:bidi w:val="0"/>
              <w:snapToGrid/>
              <w:spacing w:line="288" w:lineRule="auto"/>
              <w:jc w:val="center"/>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一、组织机构和职责</w:t>
            </w:r>
          </w:p>
        </w:tc>
        <w:tc>
          <w:tcPr>
            <w:tcW w:w="8324" w:type="dxa"/>
            <w:tcBorders>
              <w:tl2br w:val="nil"/>
              <w:tr2bl w:val="nil"/>
            </w:tcBorders>
            <w:noWrap w:val="0"/>
            <w:vAlign w:val="center"/>
          </w:tcPr>
          <w:p w14:paraId="49B2750F">
            <w:pPr>
              <w:keepNext w:val="0"/>
              <w:keepLines w:val="0"/>
              <w:pageBreakBefore w:val="0"/>
              <w:widowControl/>
              <w:kinsoku/>
              <w:wordWrap/>
              <w:overflowPunct/>
              <w:topLinePunct w:val="0"/>
              <w:bidi w:val="0"/>
              <w:snapToGrid/>
              <w:spacing w:line="288" w:lineRule="auto"/>
              <w:jc w:val="left"/>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1.1按规定设置安全生产管理机构或配备安全生产管理人员，或者委托具有国家规定的相关专业技术资格的工程技术人员或机构提供安全生产管理。</w:t>
            </w:r>
          </w:p>
        </w:tc>
      </w:tr>
      <w:tr w14:paraId="376E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continue"/>
            <w:tcBorders>
              <w:tl2br w:val="nil"/>
              <w:tr2bl w:val="nil"/>
            </w:tcBorders>
            <w:noWrap w:val="0"/>
            <w:vAlign w:val="center"/>
          </w:tcPr>
          <w:p w14:paraId="611A3A27">
            <w:pPr>
              <w:keepNext w:val="0"/>
              <w:keepLines w:val="0"/>
              <w:pageBreakBefore w:val="0"/>
              <w:kinsoku/>
              <w:wordWrap/>
              <w:overflowPunct/>
              <w:topLinePunct w:val="0"/>
              <w:bidi w:val="0"/>
              <w:snapToGrid/>
              <w:spacing w:line="288" w:lineRule="auto"/>
              <w:rPr>
                <w:rFonts w:hint="eastAsia" w:ascii="宋体" w:hAnsi="宋体" w:eastAsia="宋体" w:cs="宋体"/>
                <w:color w:val="auto"/>
                <w:highlight w:val="none"/>
              </w:rPr>
            </w:pPr>
          </w:p>
        </w:tc>
        <w:tc>
          <w:tcPr>
            <w:tcW w:w="8324" w:type="dxa"/>
            <w:tcBorders>
              <w:tl2br w:val="nil"/>
              <w:tr2bl w:val="nil"/>
            </w:tcBorders>
            <w:noWrap w:val="0"/>
            <w:vAlign w:val="center"/>
          </w:tcPr>
          <w:p w14:paraId="3F15465C">
            <w:pPr>
              <w:keepNext w:val="0"/>
              <w:keepLines w:val="0"/>
              <w:pageBreakBefore w:val="0"/>
              <w:widowControl/>
              <w:kinsoku/>
              <w:wordWrap/>
              <w:overflowPunct/>
              <w:topLinePunct w:val="0"/>
              <w:bidi w:val="0"/>
              <w:snapToGrid/>
              <w:spacing w:line="288" w:lineRule="auto"/>
              <w:jc w:val="left"/>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1.2建立健全安全生产责任制，应逐级签订安全生产责任书；制订每个岗位的安全生产职责，并上墙。</w:t>
            </w:r>
          </w:p>
        </w:tc>
      </w:tr>
      <w:tr w14:paraId="4D187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tcBorders>
              <w:tl2br w:val="nil"/>
              <w:tr2bl w:val="nil"/>
            </w:tcBorders>
            <w:noWrap w:val="0"/>
            <w:vAlign w:val="center"/>
          </w:tcPr>
          <w:p w14:paraId="153CEC76">
            <w:pPr>
              <w:keepNext w:val="0"/>
              <w:keepLines w:val="0"/>
              <w:pageBreakBefore w:val="0"/>
              <w:widowControl/>
              <w:kinsoku/>
              <w:wordWrap/>
              <w:overflowPunct/>
              <w:topLinePunct w:val="0"/>
              <w:bidi w:val="0"/>
              <w:snapToGrid/>
              <w:spacing w:line="288" w:lineRule="auto"/>
              <w:jc w:val="center"/>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二、安全生产投入</w:t>
            </w:r>
          </w:p>
        </w:tc>
        <w:tc>
          <w:tcPr>
            <w:tcW w:w="8324" w:type="dxa"/>
            <w:tcBorders>
              <w:tl2br w:val="nil"/>
              <w:tr2bl w:val="nil"/>
            </w:tcBorders>
            <w:noWrap w:val="0"/>
            <w:vAlign w:val="center"/>
          </w:tcPr>
          <w:p w14:paraId="540E7CA7">
            <w:pPr>
              <w:keepNext w:val="0"/>
              <w:keepLines w:val="0"/>
              <w:pageBreakBefore w:val="0"/>
              <w:widowControl/>
              <w:kinsoku/>
              <w:wordWrap/>
              <w:overflowPunct/>
              <w:topLinePunct w:val="0"/>
              <w:bidi w:val="0"/>
              <w:snapToGrid/>
              <w:spacing w:line="288" w:lineRule="auto"/>
              <w:jc w:val="left"/>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bidi="ar-SA"/>
              </w:rPr>
              <w:t>保证职业危害防治等安全费用投入，为从业人员办理工伤保险，并保障受伤员工获得相应的保险与赔偿。</w:t>
            </w:r>
          </w:p>
        </w:tc>
      </w:tr>
      <w:tr w14:paraId="5DB4F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restart"/>
            <w:tcBorders>
              <w:tl2br w:val="nil"/>
              <w:tr2bl w:val="nil"/>
            </w:tcBorders>
            <w:noWrap w:val="0"/>
            <w:vAlign w:val="center"/>
          </w:tcPr>
          <w:p w14:paraId="09522F42">
            <w:pPr>
              <w:keepNext w:val="0"/>
              <w:keepLines w:val="0"/>
              <w:pageBreakBefore w:val="0"/>
              <w:widowControl/>
              <w:kinsoku/>
              <w:wordWrap/>
              <w:overflowPunct/>
              <w:topLinePunct w:val="0"/>
              <w:bidi w:val="0"/>
              <w:snapToGrid/>
              <w:spacing w:line="288" w:lineRule="auto"/>
              <w:jc w:val="center"/>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三、法律法规与安全管理制度</w:t>
            </w:r>
          </w:p>
        </w:tc>
        <w:tc>
          <w:tcPr>
            <w:tcW w:w="8324" w:type="dxa"/>
            <w:tcBorders>
              <w:tl2br w:val="nil"/>
              <w:tr2bl w:val="nil"/>
            </w:tcBorders>
            <w:noWrap w:val="0"/>
            <w:vAlign w:val="center"/>
          </w:tcPr>
          <w:p w14:paraId="2277BBB1">
            <w:pPr>
              <w:keepNext w:val="0"/>
              <w:keepLines w:val="0"/>
              <w:pageBreakBefore w:val="0"/>
              <w:widowControl/>
              <w:kinsoku/>
              <w:wordWrap/>
              <w:overflowPunct/>
              <w:topLinePunct w:val="0"/>
              <w:bidi w:val="0"/>
              <w:snapToGrid/>
              <w:spacing w:line="288" w:lineRule="auto"/>
              <w:jc w:val="left"/>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3.1遵守安全生产法律法规、标准规范，根据自身生产特点，建立相应的安全生产管理制度。至少应包含以下制度：安全生产目标管理制度、工伤保险管理制度、安全教育培训管理制度、特种作业人员安全管理制度、特种设备安全管理制度、生产设备设施安全管理制度、“三违”行为管理制度、仓库安全管理制度、危险作业安全管理制度、动火作业安全管理规定、动土作业安全管理规定、进入受限空间作业安全管理规定、劳动防护用品和保健品管理制度、相关方安全管理制度、安全检查管理制度、消防安全管理制度。（根据企业实际制定）</w:t>
            </w:r>
          </w:p>
        </w:tc>
      </w:tr>
      <w:tr w14:paraId="5353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continue"/>
            <w:tcBorders>
              <w:tl2br w:val="nil"/>
              <w:tr2bl w:val="nil"/>
            </w:tcBorders>
            <w:noWrap w:val="0"/>
            <w:vAlign w:val="center"/>
          </w:tcPr>
          <w:p w14:paraId="7031EEE7">
            <w:pPr>
              <w:keepNext w:val="0"/>
              <w:keepLines w:val="0"/>
              <w:pageBreakBefore w:val="0"/>
              <w:kinsoku/>
              <w:wordWrap/>
              <w:overflowPunct/>
              <w:topLinePunct w:val="0"/>
              <w:bidi w:val="0"/>
              <w:snapToGrid/>
              <w:spacing w:line="288" w:lineRule="auto"/>
              <w:rPr>
                <w:rFonts w:hint="eastAsia" w:ascii="宋体" w:hAnsi="宋体" w:eastAsia="宋体" w:cs="宋体"/>
                <w:color w:val="auto"/>
                <w:highlight w:val="none"/>
              </w:rPr>
            </w:pPr>
          </w:p>
        </w:tc>
        <w:tc>
          <w:tcPr>
            <w:tcW w:w="8324" w:type="dxa"/>
            <w:tcBorders>
              <w:tl2br w:val="nil"/>
              <w:tr2bl w:val="nil"/>
            </w:tcBorders>
            <w:noWrap w:val="0"/>
            <w:vAlign w:val="center"/>
          </w:tcPr>
          <w:p w14:paraId="6F2531CB">
            <w:pPr>
              <w:keepNext w:val="0"/>
              <w:keepLines w:val="0"/>
              <w:pageBreakBefore w:val="0"/>
              <w:widowControl/>
              <w:kinsoku/>
              <w:wordWrap/>
              <w:overflowPunct/>
              <w:topLinePunct w:val="0"/>
              <w:bidi w:val="0"/>
              <w:snapToGrid/>
              <w:spacing w:line="288" w:lineRule="auto"/>
              <w:jc w:val="left"/>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3.2根据岗位特点制订安全操作规程，并上墙。</w:t>
            </w:r>
          </w:p>
        </w:tc>
      </w:tr>
      <w:tr w14:paraId="1587A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restart"/>
            <w:tcBorders>
              <w:tl2br w:val="nil"/>
              <w:tr2bl w:val="nil"/>
            </w:tcBorders>
            <w:noWrap w:val="0"/>
            <w:vAlign w:val="center"/>
          </w:tcPr>
          <w:p w14:paraId="1F385A63">
            <w:pPr>
              <w:keepNext w:val="0"/>
              <w:keepLines w:val="0"/>
              <w:pageBreakBefore w:val="0"/>
              <w:widowControl/>
              <w:kinsoku/>
              <w:wordWrap/>
              <w:overflowPunct/>
              <w:topLinePunct w:val="0"/>
              <w:bidi w:val="0"/>
              <w:snapToGrid/>
              <w:spacing w:line="288" w:lineRule="auto"/>
              <w:jc w:val="center"/>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四、教育培训</w:t>
            </w:r>
          </w:p>
        </w:tc>
        <w:tc>
          <w:tcPr>
            <w:tcW w:w="8324" w:type="dxa"/>
            <w:tcBorders>
              <w:tl2br w:val="nil"/>
              <w:tr2bl w:val="nil"/>
            </w:tcBorders>
            <w:noWrap w:val="0"/>
            <w:vAlign w:val="center"/>
          </w:tcPr>
          <w:p w14:paraId="5F96E5CE">
            <w:pPr>
              <w:keepNext w:val="0"/>
              <w:keepLines w:val="0"/>
              <w:pageBreakBefore w:val="0"/>
              <w:widowControl/>
              <w:kinsoku/>
              <w:wordWrap/>
              <w:overflowPunct/>
              <w:topLinePunct w:val="0"/>
              <w:bidi w:val="0"/>
              <w:snapToGrid/>
              <w:spacing w:line="288" w:lineRule="auto"/>
              <w:jc w:val="left"/>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4.1主要负责人、安全生产管理人员，特种作业人员和特种设备作业人员经培训考核合格，持证上岗。</w:t>
            </w:r>
          </w:p>
        </w:tc>
      </w:tr>
      <w:tr w14:paraId="66FF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continue"/>
            <w:tcBorders>
              <w:tl2br w:val="nil"/>
              <w:tr2bl w:val="nil"/>
            </w:tcBorders>
            <w:noWrap w:val="0"/>
            <w:vAlign w:val="center"/>
          </w:tcPr>
          <w:p w14:paraId="4B3CE261">
            <w:pPr>
              <w:keepNext w:val="0"/>
              <w:keepLines w:val="0"/>
              <w:pageBreakBefore w:val="0"/>
              <w:kinsoku/>
              <w:wordWrap/>
              <w:overflowPunct/>
              <w:topLinePunct w:val="0"/>
              <w:bidi w:val="0"/>
              <w:snapToGrid/>
              <w:spacing w:line="288" w:lineRule="auto"/>
              <w:rPr>
                <w:rFonts w:hint="eastAsia" w:ascii="宋体" w:hAnsi="宋体" w:eastAsia="宋体" w:cs="宋体"/>
                <w:color w:val="auto"/>
                <w:highlight w:val="none"/>
              </w:rPr>
            </w:pPr>
          </w:p>
        </w:tc>
        <w:tc>
          <w:tcPr>
            <w:tcW w:w="8324" w:type="dxa"/>
            <w:tcBorders>
              <w:tl2br w:val="nil"/>
              <w:tr2bl w:val="nil"/>
            </w:tcBorders>
            <w:noWrap w:val="0"/>
            <w:vAlign w:val="center"/>
          </w:tcPr>
          <w:p w14:paraId="7ABF0A4D">
            <w:pPr>
              <w:keepNext w:val="0"/>
              <w:keepLines w:val="0"/>
              <w:pageBreakBefore w:val="0"/>
              <w:widowControl/>
              <w:kinsoku/>
              <w:wordWrap/>
              <w:overflowPunct/>
              <w:topLinePunct w:val="0"/>
              <w:bidi w:val="0"/>
              <w:snapToGrid/>
              <w:spacing w:line="288" w:lineRule="auto"/>
              <w:jc w:val="left"/>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4.2新员工应进行安全教育培训后方可上岗工作。</w:t>
            </w:r>
          </w:p>
        </w:tc>
      </w:tr>
      <w:tr w14:paraId="2D88B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continue"/>
            <w:tcBorders>
              <w:tl2br w:val="nil"/>
              <w:tr2bl w:val="nil"/>
            </w:tcBorders>
            <w:noWrap w:val="0"/>
            <w:vAlign w:val="center"/>
          </w:tcPr>
          <w:p w14:paraId="12FF1820">
            <w:pPr>
              <w:keepNext w:val="0"/>
              <w:keepLines w:val="0"/>
              <w:pageBreakBefore w:val="0"/>
              <w:kinsoku/>
              <w:wordWrap/>
              <w:overflowPunct/>
              <w:topLinePunct w:val="0"/>
              <w:bidi w:val="0"/>
              <w:snapToGrid/>
              <w:spacing w:line="288" w:lineRule="auto"/>
              <w:rPr>
                <w:rFonts w:hint="eastAsia" w:ascii="宋体" w:hAnsi="宋体" w:eastAsia="宋体" w:cs="宋体"/>
                <w:color w:val="auto"/>
                <w:highlight w:val="none"/>
              </w:rPr>
            </w:pPr>
          </w:p>
        </w:tc>
        <w:tc>
          <w:tcPr>
            <w:tcW w:w="8324" w:type="dxa"/>
            <w:tcBorders>
              <w:tl2br w:val="nil"/>
              <w:tr2bl w:val="nil"/>
            </w:tcBorders>
            <w:noWrap w:val="0"/>
            <w:vAlign w:val="center"/>
          </w:tcPr>
          <w:p w14:paraId="68DE92C8">
            <w:pPr>
              <w:keepNext w:val="0"/>
              <w:keepLines w:val="0"/>
              <w:pageBreakBefore w:val="0"/>
              <w:widowControl/>
              <w:kinsoku/>
              <w:wordWrap/>
              <w:overflowPunct/>
              <w:topLinePunct w:val="0"/>
              <w:bidi w:val="0"/>
              <w:snapToGrid/>
              <w:spacing w:line="288" w:lineRule="auto"/>
              <w:jc w:val="left"/>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4.3每年应按规定对员工进行安全教育。</w:t>
            </w:r>
          </w:p>
        </w:tc>
      </w:tr>
      <w:tr w14:paraId="75DA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restart"/>
            <w:tcBorders>
              <w:tl2br w:val="nil"/>
              <w:tr2bl w:val="nil"/>
            </w:tcBorders>
            <w:noWrap w:val="0"/>
            <w:vAlign w:val="center"/>
          </w:tcPr>
          <w:p w14:paraId="2E09C034">
            <w:pPr>
              <w:keepNext w:val="0"/>
              <w:keepLines w:val="0"/>
              <w:pageBreakBefore w:val="0"/>
              <w:widowControl/>
              <w:kinsoku/>
              <w:wordWrap/>
              <w:overflowPunct/>
              <w:topLinePunct w:val="0"/>
              <w:bidi w:val="0"/>
              <w:snapToGrid/>
              <w:spacing w:line="288" w:lineRule="auto"/>
              <w:jc w:val="center"/>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五、生产设备设施</w:t>
            </w:r>
          </w:p>
        </w:tc>
        <w:tc>
          <w:tcPr>
            <w:tcW w:w="8324" w:type="dxa"/>
            <w:tcBorders>
              <w:tl2br w:val="nil"/>
              <w:tr2bl w:val="nil"/>
            </w:tcBorders>
            <w:noWrap w:val="0"/>
            <w:vAlign w:val="center"/>
          </w:tcPr>
          <w:p w14:paraId="123C4E5D">
            <w:pPr>
              <w:keepNext w:val="0"/>
              <w:keepLines w:val="0"/>
              <w:pageBreakBefore w:val="0"/>
              <w:widowControl/>
              <w:kinsoku/>
              <w:wordWrap/>
              <w:overflowPunct/>
              <w:topLinePunct w:val="0"/>
              <w:bidi w:val="0"/>
              <w:snapToGrid/>
              <w:spacing w:line="288" w:lineRule="auto"/>
              <w:jc w:val="left"/>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5.1厂区内无严重影响消防的建（构）筑物。</w:t>
            </w:r>
          </w:p>
        </w:tc>
      </w:tr>
      <w:tr w14:paraId="6969B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continue"/>
            <w:tcBorders>
              <w:tl2br w:val="nil"/>
              <w:tr2bl w:val="nil"/>
            </w:tcBorders>
            <w:noWrap w:val="0"/>
            <w:vAlign w:val="center"/>
          </w:tcPr>
          <w:p w14:paraId="1C8E31F0">
            <w:pPr>
              <w:keepNext w:val="0"/>
              <w:keepLines w:val="0"/>
              <w:pageBreakBefore w:val="0"/>
              <w:kinsoku/>
              <w:wordWrap/>
              <w:overflowPunct/>
              <w:topLinePunct w:val="0"/>
              <w:bidi w:val="0"/>
              <w:snapToGrid/>
              <w:spacing w:line="288" w:lineRule="auto"/>
              <w:rPr>
                <w:rFonts w:hint="eastAsia" w:ascii="宋体" w:hAnsi="宋体" w:eastAsia="宋体" w:cs="宋体"/>
                <w:color w:val="auto"/>
                <w:highlight w:val="none"/>
              </w:rPr>
            </w:pPr>
          </w:p>
        </w:tc>
        <w:tc>
          <w:tcPr>
            <w:tcW w:w="8324" w:type="dxa"/>
            <w:tcBorders>
              <w:tl2br w:val="nil"/>
              <w:tr2bl w:val="nil"/>
            </w:tcBorders>
            <w:noWrap w:val="0"/>
            <w:vAlign w:val="center"/>
          </w:tcPr>
          <w:p w14:paraId="2A8DE14B">
            <w:pPr>
              <w:keepNext w:val="0"/>
              <w:keepLines w:val="0"/>
              <w:pageBreakBefore w:val="0"/>
              <w:widowControl/>
              <w:kinsoku/>
              <w:wordWrap/>
              <w:overflowPunct/>
              <w:topLinePunct w:val="0"/>
              <w:bidi w:val="0"/>
              <w:snapToGrid/>
              <w:spacing w:line="288" w:lineRule="auto"/>
              <w:jc w:val="left"/>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5.2生产企业车间、仓库与员工宿舍布局、耐火等级及防火分区应满足相关法律法规、标准规范要求。</w:t>
            </w:r>
          </w:p>
        </w:tc>
      </w:tr>
      <w:tr w14:paraId="0EA08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continue"/>
            <w:tcBorders>
              <w:tl2br w:val="nil"/>
              <w:tr2bl w:val="nil"/>
            </w:tcBorders>
            <w:noWrap w:val="0"/>
            <w:vAlign w:val="center"/>
          </w:tcPr>
          <w:p w14:paraId="72AD24DE">
            <w:pPr>
              <w:keepNext w:val="0"/>
              <w:keepLines w:val="0"/>
              <w:pageBreakBefore w:val="0"/>
              <w:kinsoku/>
              <w:wordWrap/>
              <w:overflowPunct/>
              <w:topLinePunct w:val="0"/>
              <w:bidi w:val="0"/>
              <w:snapToGrid/>
              <w:spacing w:line="288" w:lineRule="auto"/>
              <w:rPr>
                <w:rFonts w:hint="eastAsia" w:ascii="宋体" w:hAnsi="宋体" w:eastAsia="宋体" w:cs="宋体"/>
                <w:color w:val="auto"/>
                <w:highlight w:val="none"/>
              </w:rPr>
            </w:pPr>
          </w:p>
        </w:tc>
        <w:tc>
          <w:tcPr>
            <w:tcW w:w="8324" w:type="dxa"/>
            <w:tcBorders>
              <w:tl2br w:val="nil"/>
              <w:tr2bl w:val="nil"/>
            </w:tcBorders>
            <w:noWrap w:val="0"/>
            <w:vAlign w:val="center"/>
          </w:tcPr>
          <w:p w14:paraId="0096D142">
            <w:pPr>
              <w:keepNext w:val="0"/>
              <w:keepLines w:val="0"/>
              <w:pageBreakBefore w:val="0"/>
              <w:widowControl/>
              <w:kinsoku/>
              <w:wordWrap/>
              <w:overflowPunct/>
              <w:topLinePunct w:val="0"/>
              <w:bidi w:val="0"/>
              <w:snapToGrid/>
              <w:spacing w:line="288" w:lineRule="auto"/>
              <w:jc w:val="left"/>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5.3作业场所应按规定设置安全通道及安全出口；消防重点部位门应向外开启，通道和出入口应保持畅通。</w:t>
            </w:r>
          </w:p>
        </w:tc>
      </w:tr>
      <w:tr w14:paraId="03AF7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continue"/>
            <w:tcBorders>
              <w:tl2br w:val="nil"/>
              <w:tr2bl w:val="nil"/>
            </w:tcBorders>
            <w:noWrap w:val="0"/>
            <w:vAlign w:val="center"/>
          </w:tcPr>
          <w:p w14:paraId="1EB0B5DB">
            <w:pPr>
              <w:keepNext w:val="0"/>
              <w:keepLines w:val="0"/>
              <w:pageBreakBefore w:val="0"/>
              <w:kinsoku/>
              <w:wordWrap/>
              <w:overflowPunct/>
              <w:topLinePunct w:val="0"/>
              <w:bidi w:val="0"/>
              <w:snapToGrid/>
              <w:spacing w:line="288" w:lineRule="auto"/>
              <w:rPr>
                <w:rFonts w:hint="eastAsia" w:ascii="宋体" w:hAnsi="宋体" w:eastAsia="宋体" w:cs="宋体"/>
                <w:color w:val="auto"/>
                <w:highlight w:val="none"/>
              </w:rPr>
            </w:pPr>
          </w:p>
        </w:tc>
        <w:tc>
          <w:tcPr>
            <w:tcW w:w="8324" w:type="dxa"/>
            <w:tcBorders>
              <w:tl2br w:val="nil"/>
              <w:tr2bl w:val="nil"/>
            </w:tcBorders>
            <w:noWrap w:val="0"/>
            <w:vAlign w:val="center"/>
          </w:tcPr>
          <w:p w14:paraId="73D9B5BD">
            <w:pPr>
              <w:keepNext w:val="0"/>
              <w:keepLines w:val="0"/>
              <w:pageBreakBefore w:val="0"/>
              <w:widowControl/>
              <w:kinsoku/>
              <w:wordWrap/>
              <w:overflowPunct/>
              <w:topLinePunct w:val="0"/>
              <w:bidi w:val="0"/>
              <w:snapToGrid/>
              <w:spacing w:line="288" w:lineRule="auto"/>
              <w:jc w:val="left"/>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5.4车间和仓库的通道、出入口位置应设置应急照明灯和安全出口指示灯。</w:t>
            </w:r>
          </w:p>
        </w:tc>
      </w:tr>
      <w:tr w14:paraId="7524E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continue"/>
            <w:tcBorders>
              <w:tl2br w:val="nil"/>
              <w:tr2bl w:val="nil"/>
            </w:tcBorders>
            <w:noWrap w:val="0"/>
            <w:vAlign w:val="center"/>
          </w:tcPr>
          <w:p w14:paraId="172B4424">
            <w:pPr>
              <w:keepNext w:val="0"/>
              <w:keepLines w:val="0"/>
              <w:pageBreakBefore w:val="0"/>
              <w:kinsoku/>
              <w:wordWrap/>
              <w:overflowPunct/>
              <w:topLinePunct w:val="0"/>
              <w:bidi w:val="0"/>
              <w:snapToGrid/>
              <w:spacing w:line="288" w:lineRule="auto"/>
              <w:rPr>
                <w:rFonts w:hint="eastAsia" w:ascii="宋体" w:hAnsi="宋体" w:eastAsia="宋体" w:cs="宋体"/>
                <w:color w:val="auto"/>
                <w:highlight w:val="none"/>
              </w:rPr>
            </w:pPr>
          </w:p>
        </w:tc>
        <w:tc>
          <w:tcPr>
            <w:tcW w:w="8324" w:type="dxa"/>
            <w:tcBorders>
              <w:tl2br w:val="nil"/>
              <w:tr2bl w:val="nil"/>
            </w:tcBorders>
            <w:noWrap w:val="0"/>
            <w:vAlign w:val="center"/>
          </w:tcPr>
          <w:p w14:paraId="21D80BD5">
            <w:pPr>
              <w:keepNext w:val="0"/>
              <w:keepLines w:val="0"/>
              <w:pageBreakBefore w:val="0"/>
              <w:widowControl/>
              <w:kinsoku/>
              <w:wordWrap/>
              <w:overflowPunct/>
              <w:topLinePunct w:val="0"/>
              <w:bidi w:val="0"/>
              <w:snapToGrid/>
              <w:spacing w:line="288" w:lineRule="auto"/>
              <w:jc w:val="left"/>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5.5按规定配置消防设备设施，做到位置合理、标志明显，并定期检验有效，维护保养到位。</w:t>
            </w:r>
          </w:p>
        </w:tc>
      </w:tr>
      <w:tr w14:paraId="7531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continue"/>
            <w:tcBorders>
              <w:tl2br w:val="nil"/>
              <w:tr2bl w:val="nil"/>
            </w:tcBorders>
            <w:noWrap w:val="0"/>
            <w:vAlign w:val="center"/>
          </w:tcPr>
          <w:p w14:paraId="7A4E87B3">
            <w:pPr>
              <w:keepNext w:val="0"/>
              <w:keepLines w:val="0"/>
              <w:pageBreakBefore w:val="0"/>
              <w:kinsoku/>
              <w:wordWrap/>
              <w:overflowPunct/>
              <w:topLinePunct w:val="0"/>
              <w:bidi w:val="0"/>
              <w:snapToGrid/>
              <w:spacing w:line="288" w:lineRule="auto"/>
              <w:rPr>
                <w:rFonts w:hint="eastAsia" w:ascii="宋体" w:hAnsi="宋体" w:eastAsia="宋体" w:cs="宋体"/>
                <w:color w:val="auto"/>
                <w:highlight w:val="none"/>
              </w:rPr>
            </w:pPr>
          </w:p>
        </w:tc>
        <w:tc>
          <w:tcPr>
            <w:tcW w:w="8324" w:type="dxa"/>
            <w:tcBorders>
              <w:tl2br w:val="nil"/>
              <w:tr2bl w:val="nil"/>
            </w:tcBorders>
            <w:noWrap w:val="0"/>
            <w:vAlign w:val="center"/>
          </w:tcPr>
          <w:p w14:paraId="13F25FCF">
            <w:pPr>
              <w:keepNext w:val="0"/>
              <w:keepLines w:val="0"/>
              <w:pageBreakBefore w:val="0"/>
              <w:widowControl/>
              <w:kinsoku/>
              <w:wordWrap/>
              <w:overflowPunct/>
              <w:topLinePunct w:val="0"/>
              <w:bidi w:val="0"/>
              <w:snapToGrid/>
              <w:spacing w:line="288" w:lineRule="auto"/>
              <w:jc w:val="left"/>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5.6危险化学品库、油库、油罐等重要设备设施应设置有可靠的安全设备设施，符合相关要求。</w:t>
            </w:r>
          </w:p>
        </w:tc>
      </w:tr>
      <w:tr w14:paraId="08092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continue"/>
            <w:tcBorders>
              <w:tl2br w:val="nil"/>
              <w:tr2bl w:val="nil"/>
            </w:tcBorders>
            <w:noWrap w:val="0"/>
            <w:vAlign w:val="center"/>
          </w:tcPr>
          <w:p w14:paraId="05C8320F">
            <w:pPr>
              <w:keepNext w:val="0"/>
              <w:keepLines w:val="0"/>
              <w:pageBreakBefore w:val="0"/>
              <w:kinsoku/>
              <w:wordWrap/>
              <w:overflowPunct/>
              <w:topLinePunct w:val="0"/>
              <w:bidi w:val="0"/>
              <w:snapToGrid/>
              <w:spacing w:line="288" w:lineRule="auto"/>
              <w:rPr>
                <w:rFonts w:hint="eastAsia" w:ascii="宋体" w:hAnsi="宋体" w:eastAsia="宋体" w:cs="宋体"/>
                <w:color w:val="auto"/>
                <w:highlight w:val="none"/>
              </w:rPr>
            </w:pPr>
          </w:p>
        </w:tc>
        <w:tc>
          <w:tcPr>
            <w:tcW w:w="8324" w:type="dxa"/>
            <w:tcBorders>
              <w:tl2br w:val="nil"/>
              <w:tr2bl w:val="nil"/>
            </w:tcBorders>
            <w:noWrap w:val="0"/>
            <w:vAlign w:val="center"/>
          </w:tcPr>
          <w:p w14:paraId="1A7C463F">
            <w:pPr>
              <w:keepNext w:val="0"/>
              <w:keepLines w:val="0"/>
              <w:pageBreakBefore w:val="0"/>
              <w:widowControl/>
              <w:kinsoku/>
              <w:wordWrap/>
              <w:overflowPunct/>
              <w:topLinePunct w:val="0"/>
              <w:bidi w:val="0"/>
              <w:snapToGrid/>
              <w:spacing w:line="288" w:lineRule="auto"/>
              <w:jc w:val="left"/>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5.7通用设备：</w:t>
            </w:r>
            <w:r>
              <w:rPr>
                <w:rFonts w:hint="eastAsia" w:ascii="宋体" w:hAnsi="宋体" w:eastAsia="宋体" w:cs="宋体"/>
                <w:color w:val="auto"/>
                <w:kern w:val="0"/>
                <w:sz w:val="24"/>
                <w:szCs w:val="24"/>
                <w:highlight w:val="none"/>
                <w:lang w:bidi="ar-SA"/>
              </w:rPr>
              <w:br w:type="textWrapping"/>
            </w:r>
            <w:r>
              <w:rPr>
                <w:rFonts w:hint="eastAsia" w:ascii="宋体" w:hAnsi="宋体" w:eastAsia="宋体" w:cs="宋体"/>
                <w:color w:val="auto"/>
                <w:kern w:val="0"/>
                <w:sz w:val="24"/>
                <w:szCs w:val="24"/>
                <w:highlight w:val="none"/>
                <w:lang w:bidi="ar-SA"/>
              </w:rPr>
              <w:t xml:space="preserve">1）传动部位应按照如下情况，设置防护罩、盖或栏：        </w:t>
            </w:r>
            <w:r>
              <w:rPr>
                <w:rFonts w:hint="eastAsia" w:ascii="宋体" w:hAnsi="宋体" w:eastAsia="宋体" w:cs="宋体"/>
                <w:color w:val="auto"/>
                <w:kern w:val="0"/>
                <w:sz w:val="24"/>
                <w:szCs w:val="24"/>
                <w:highlight w:val="none"/>
                <w:lang w:bidi="ar-SA"/>
              </w:rPr>
              <w:br w:type="textWrapping"/>
            </w:r>
            <w:r>
              <w:rPr>
                <w:rFonts w:hint="eastAsia" w:ascii="宋体" w:hAnsi="宋体" w:eastAsia="宋体" w:cs="宋体"/>
                <w:color w:val="auto"/>
                <w:kern w:val="0"/>
                <w:sz w:val="24"/>
                <w:szCs w:val="24"/>
                <w:highlight w:val="none"/>
                <w:lang w:bidi="ar-SA"/>
              </w:rPr>
              <w:t>（1）以操纵人员站立平面为基准，高度在2m以下的外露传动部位；</w:t>
            </w:r>
            <w:r>
              <w:rPr>
                <w:rFonts w:hint="eastAsia" w:ascii="宋体" w:hAnsi="宋体" w:eastAsia="宋体" w:cs="宋体"/>
                <w:color w:val="auto"/>
                <w:kern w:val="0"/>
                <w:sz w:val="24"/>
                <w:szCs w:val="24"/>
                <w:highlight w:val="none"/>
                <w:lang w:bidi="ar-SA"/>
              </w:rPr>
              <w:br w:type="textWrapping"/>
            </w:r>
            <w:r>
              <w:rPr>
                <w:rFonts w:hint="eastAsia" w:ascii="宋体" w:hAnsi="宋体" w:eastAsia="宋体" w:cs="宋体"/>
                <w:color w:val="auto"/>
                <w:kern w:val="0"/>
                <w:sz w:val="24"/>
                <w:szCs w:val="24"/>
                <w:highlight w:val="none"/>
                <w:lang w:bidi="ar-SA"/>
              </w:rPr>
              <w:t>（2）旋转的键、销、楔等突出大于3mm的部位；</w:t>
            </w:r>
            <w:r>
              <w:rPr>
                <w:rFonts w:hint="eastAsia" w:ascii="宋体" w:hAnsi="宋体" w:eastAsia="宋体" w:cs="宋体"/>
                <w:color w:val="auto"/>
                <w:kern w:val="0"/>
                <w:sz w:val="24"/>
                <w:szCs w:val="24"/>
                <w:highlight w:val="none"/>
                <w:lang w:bidi="ar-SA"/>
              </w:rPr>
              <w:br w:type="textWrapping"/>
            </w:r>
            <w:r>
              <w:rPr>
                <w:rFonts w:hint="eastAsia" w:ascii="宋体" w:hAnsi="宋体" w:eastAsia="宋体" w:cs="宋体"/>
                <w:color w:val="auto"/>
                <w:kern w:val="0"/>
                <w:sz w:val="24"/>
                <w:szCs w:val="24"/>
                <w:highlight w:val="none"/>
                <w:lang w:bidi="ar-SA"/>
              </w:rPr>
              <w:t>（3）产生切屑、磨屑、冷却液等飞溅，可能触及人体或造成设备与环境污染的部位；</w:t>
            </w:r>
            <w:r>
              <w:rPr>
                <w:rFonts w:hint="eastAsia" w:ascii="宋体" w:hAnsi="宋体" w:eastAsia="宋体" w:cs="宋体"/>
                <w:color w:val="auto"/>
                <w:kern w:val="0"/>
                <w:sz w:val="24"/>
                <w:szCs w:val="24"/>
                <w:highlight w:val="none"/>
                <w:lang w:bidi="ar-SA"/>
              </w:rPr>
              <w:br w:type="textWrapping"/>
            </w:r>
            <w:r>
              <w:rPr>
                <w:rFonts w:hint="eastAsia" w:ascii="宋体" w:hAnsi="宋体" w:eastAsia="宋体" w:cs="宋体"/>
                <w:color w:val="auto"/>
                <w:kern w:val="0"/>
                <w:sz w:val="24"/>
                <w:szCs w:val="24"/>
                <w:highlight w:val="none"/>
                <w:lang w:bidi="ar-SA"/>
              </w:rPr>
              <w:t>（4）产生射线或弧光的部位；</w:t>
            </w:r>
            <w:r>
              <w:rPr>
                <w:rFonts w:hint="eastAsia" w:ascii="宋体" w:hAnsi="宋体" w:eastAsia="宋体" w:cs="宋体"/>
                <w:color w:val="auto"/>
                <w:kern w:val="0"/>
                <w:sz w:val="24"/>
                <w:szCs w:val="24"/>
                <w:highlight w:val="none"/>
                <w:lang w:bidi="ar-SA"/>
              </w:rPr>
              <w:br w:type="textWrapping"/>
            </w:r>
            <w:r>
              <w:rPr>
                <w:rFonts w:hint="eastAsia" w:ascii="宋体" w:hAnsi="宋体" w:eastAsia="宋体" w:cs="宋体"/>
                <w:color w:val="auto"/>
                <w:kern w:val="0"/>
                <w:sz w:val="24"/>
                <w:szCs w:val="24"/>
                <w:highlight w:val="none"/>
                <w:lang w:bidi="ar-SA"/>
              </w:rPr>
              <w:t>（5）伸入通道的超长工件；</w:t>
            </w:r>
            <w:r>
              <w:rPr>
                <w:rFonts w:hint="eastAsia" w:ascii="宋体" w:hAnsi="宋体" w:eastAsia="宋体" w:cs="宋体"/>
                <w:color w:val="auto"/>
                <w:kern w:val="0"/>
                <w:sz w:val="24"/>
                <w:szCs w:val="24"/>
                <w:highlight w:val="none"/>
                <w:lang w:bidi="ar-SA"/>
              </w:rPr>
              <w:br w:type="textWrapping"/>
            </w:r>
            <w:r>
              <w:rPr>
                <w:rFonts w:hint="eastAsia" w:ascii="宋体" w:hAnsi="宋体" w:eastAsia="宋体" w:cs="宋体"/>
                <w:color w:val="auto"/>
                <w:kern w:val="0"/>
                <w:sz w:val="24"/>
                <w:szCs w:val="24"/>
                <w:highlight w:val="none"/>
                <w:lang w:bidi="ar-SA"/>
              </w:rPr>
              <w:t>（6）超长设备后端300mm以上的工件；</w:t>
            </w:r>
            <w:r>
              <w:rPr>
                <w:rFonts w:hint="eastAsia" w:ascii="宋体" w:hAnsi="宋体" w:eastAsia="宋体" w:cs="宋体"/>
                <w:color w:val="auto"/>
                <w:kern w:val="0"/>
                <w:sz w:val="24"/>
                <w:szCs w:val="24"/>
                <w:highlight w:val="none"/>
                <w:lang w:bidi="ar-SA"/>
              </w:rPr>
              <w:br w:type="textWrapping"/>
            </w:r>
            <w:r>
              <w:rPr>
                <w:rFonts w:hint="eastAsia" w:ascii="宋体" w:hAnsi="宋体" w:eastAsia="宋体" w:cs="宋体"/>
                <w:color w:val="auto"/>
                <w:kern w:val="0"/>
                <w:sz w:val="24"/>
                <w:szCs w:val="24"/>
                <w:highlight w:val="none"/>
                <w:lang w:bidi="ar-SA"/>
              </w:rPr>
              <w:t>（7）容易伤人的设备往复运动部位；</w:t>
            </w:r>
            <w:r>
              <w:rPr>
                <w:rFonts w:hint="eastAsia" w:ascii="宋体" w:hAnsi="宋体" w:eastAsia="宋体" w:cs="宋体"/>
                <w:color w:val="auto"/>
                <w:kern w:val="0"/>
                <w:sz w:val="24"/>
                <w:szCs w:val="24"/>
                <w:highlight w:val="none"/>
                <w:lang w:bidi="ar-SA"/>
              </w:rPr>
              <w:br w:type="textWrapping"/>
            </w:r>
            <w:r>
              <w:rPr>
                <w:rFonts w:hint="eastAsia" w:ascii="宋体" w:hAnsi="宋体" w:eastAsia="宋体" w:cs="宋体"/>
                <w:color w:val="auto"/>
                <w:kern w:val="0"/>
                <w:sz w:val="24"/>
                <w:szCs w:val="24"/>
                <w:highlight w:val="none"/>
                <w:lang w:bidi="ar-SA"/>
              </w:rPr>
              <w:t>（8）悬挂输送装置跨越通道的下部；</w:t>
            </w:r>
            <w:r>
              <w:rPr>
                <w:rFonts w:hint="eastAsia" w:ascii="宋体" w:hAnsi="宋体" w:eastAsia="宋体" w:cs="宋体"/>
                <w:color w:val="auto"/>
                <w:kern w:val="0"/>
                <w:sz w:val="24"/>
                <w:szCs w:val="24"/>
                <w:highlight w:val="none"/>
                <w:lang w:bidi="ar-SA"/>
              </w:rPr>
              <w:br w:type="textWrapping"/>
            </w:r>
            <w:r>
              <w:rPr>
                <w:rFonts w:hint="eastAsia" w:ascii="宋体" w:hAnsi="宋体" w:eastAsia="宋体" w:cs="宋体"/>
                <w:color w:val="auto"/>
                <w:kern w:val="0"/>
                <w:sz w:val="24"/>
                <w:szCs w:val="24"/>
                <w:highlight w:val="none"/>
                <w:lang w:bidi="ar-SA"/>
              </w:rPr>
              <w:t>（9）高于地面0.7m的操作平台。</w:t>
            </w:r>
            <w:r>
              <w:rPr>
                <w:rFonts w:hint="eastAsia" w:ascii="宋体" w:hAnsi="宋体" w:eastAsia="宋体" w:cs="宋体"/>
                <w:color w:val="auto"/>
                <w:kern w:val="0"/>
                <w:sz w:val="24"/>
                <w:szCs w:val="24"/>
                <w:highlight w:val="none"/>
                <w:lang w:bidi="ar-SA"/>
              </w:rPr>
              <w:br w:type="textWrapping"/>
            </w:r>
            <w:r>
              <w:rPr>
                <w:rFonts w:hint="eastAsia" w:ascii="宋体" w:hAnsi="宋体" w:eastAsia="宋体" w:cs="宋体"/>
                <w:color w:val="auto"/>
                <w:kern w:val="0"/>
                <w:sz w:val="24"/>
                <w:szCs w:val="24"/>
                <w:highlight w:val="none"/>
                <w:lang w:bidi="ar-SA"/>
              </w:rPr>
              <w:t>2）各种防护罩、盖、栏应牢固、完备可靠；各种限位、联锁、操作手柄要求灵敏可靠；危险区域内装有紧急停止开关，并符合相关标准。</w:t>
            </w:r>
            <w:r>
              <w:rPr>
                <w:rFonts w:hint="eastAsia" w:ascii="宋体" w:hAnsi="宋体" w:eastAsia="宋体" w:cs="宋体"/>
                <w:color w:val="auto"/>
                <w:kern w:val="0"/>
                <w:sz w:val="24"/>
                <w:szCs w:val="24"/>
                <w:highlight w:val="none"/>
                <w:lang w:bidi="ar-SA"/>
              </w:rPr>
              <w:br w:type="textWrapping"/>
            </w:r>
            <w:r>
              <w:rPr>
                <w:rFonts w:hint="eastAsia" w:ascii="宋体" w:hAnsi="宋体" w:eastAsia="宋体" w:cs="宋体"/>
                <w:color w:val="auto"/>
                <w:kern w:val="0"/>
                <w:sz w:val="24"/>
                <w:szCs w:val="24"/>
                <w:highlight w:val="none"/>
                <w:lang w:bidi="ar-SA"/>
              </w:rPr>
              <w:t>3）电气线路绝缘完好，PE线（保护零线）连接规范可靠有效。</w:t>
            </w:r>
            <w:r>
              <w:rPr>
                <w:rFonts w:hint="eastAsia" w:ascii="宋体" w:hAnsi="宋体" w:eastAsia="宋体" w:cs="宋体"/>
                <w:color w:val="auto"/>
                <w:kern w:val="0"/>
                <w:sz w:val="24"/>
                <w:szCs w:val="24"/>
                <w:highlight w:val="none"/>
                <w:lang w:bidi="ar-SA"/>
              </w:rPr>
              <w:br w:type="textWrapping"/>
            </w:r>
            <w:r>
              <w:rPr>
                <w:rFonts w:hint="eastAsia" w:ascii="宋体" w:hAnsi="宋体" w:eastAsia="宋体" w:cs="宋体"/>
                <w:color w:val="auto"/>
                <w:kern w:val="0"/>
                <w:sz w:val="24"/>
                <w:szCs w:val="24"/>
                <w:highlight w:val="none"/>
                <w:lang w:bidi="ar-SA"/>
              </w:rPr>
              <w:t>4）设有警示标识。</w:t>
            </w:r>
          </w:p>
        </w:tc>
      </w:tr>
      <w:tr w14:paraId="465AF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continue"/>
            <w:tcBorders>
              <w:tl2br w:val="nil"/>
              <w:tr2bl w:val="nil"/>
            </w:tcBorders>
            <w:noWrap w:val="0"/>
            <w:vAlign w:val="center"/>
          </w:tcPr>
          <w:p w14:paraId="3D3D93ED">
            <w:pPr>
              <w:keepNext w:val="0"/>
              <w:keepLines w:val="0"/>
              <w:pageBreakBefore w:val="0"/>
              <w:kinsoku/>
              <w:wordWrap/>
              <w:overflowPunct/>
              <w:topLinePunct w:val="0"/>
              <w:bidi w:val="0"/>
              <w:snapToGrid/>
              <w:spacing w:line="288" w:lineRule="auto"/>
              <w:rPr>
                <w:rFonts w:hint="eastAsia" w:ascii="宋体" w:hAnsi="宋体" w:eastAsia="宋体" w:cs="宋体"/>
                <w:color w:val="auto"/>
                <w:highlight w:val="none"/>
              </w:rPr>
            </w:pPr>
          </w:p>
        </w:tc>
        <w:tc>
          <w:tcPr>
            <w:tcW w:w="8324" w:type="dxa"/>
            <w:tcBorders>
              <w:tl2br w:val="nil"/>
              <w:tr2bl w:val="nil"/>
            </w:tcBorders>
            <w:noWrap w:val="0"/>
            <w:vAlign w:val="center"/>
          </w:tcPr>
          <w:p w14:paraId="5649C6B4">
            <w:pPr>
              <w:keepNext w:val="0"/>
              <w:keepLines w:val="0"/>
              <w:pageBreakBefore w:val="0"/>
              <w:widowControl/>
              <w:kinsoku/>
              <w:wordWrap/>
              <w:overflowPunct/>
              <w:topLinePunct w:val="0"/>
              <w:bidi w:val="0"/>
              <w:snapToGrid/>
              <w:spacing w:line="288" w:lineRule="auto"/>
              <w:jc w:val="left"/>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5.8移动电气设备、手持电动工具：电源线应用护管软线，无接头，绝缘层无破损；不跨越通道，长度不超过5米；PE线连接可靠。电焊机应设置独立的电源开关或控制柜，电气线路绝缘完好，使用的输气、输油、输水管道应安装规范、运行可靠；一次侧电源线长度不超过5米，电源进线处必须设置防护罩；二次线应连接紧固</w:t>
            </w:r>
            <w:r>
              <w:rPr>
                <w:rFonts w:hint="eastAsia" w:ascii="宋体" w:hAnsi="宋体" w:eastAsia="宋体" w:cs="宋体"/>
                <w:color w:val="auto"/>
                <w:kern w:val="0"/>
                <w:sz w:val="24"/>
                <w:szCs w:val="24"/>
                <w:highlight w:val="none"/>
                <w:lang w:eastAsia="zh-CN" w:bidi="ar-SA"/>
              </w:rPr>
              <w:t>，</w:t>
            </w:r>
            <w:r>
              <w:rPr>
                <w:rFonts w:hint="eastAsia" w:ascii="宋体" w:hAnsi="宋体" w:eastAsia="宋体" w:cs="宋体"/>
                <w:color w:val="auto"/>
                <w:kern w:val="0"/>
                <w:sz w:val="24"/>
                <w:szCs w:val="24"/>
                <w:highlight w:val="none"/>
                <w:lang w:bidi="ar-SA"/>
              </w:rPr>
              <w:t>无松动，接头不超过3个，长度不超过30米；变压器、控制器线路的绝缘应每半年检测一次，并保存其记录；二次回路保持其独立性和隔离要求；工作场所通风良好，周边无可燃爆物品，并设有警示标识。</w:t>
            </w:r>
          </w:p>
        </w:tc>
      </w:tr>
      <w:tr w14:paraId="2D0AA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continue"/>
            <w:tcBorders>
              <w:tl2br w:val="nil"/>
              <w:tr2bl w:val="nil"/>
            </w:tcBorders>
            <w:noWrap w:val="0"/>
            <w:vAlign w:val="center"/>
          </w:tcPr>
          <w:p w14:paraId="3BB4E073">
            <w:pPr>
              <w:keepNext w:val="0"/>
              <w:keepLines w:val="0"/>
              <w:pageBreakBefore w:val="0"/>
              <w:kinsoku/>
              <w:wordWrap/>
              <w:overflowPunct/>
              <w:topLinePunct w:val="0"/>
              <w:bidi w:val="0"/>
              <w:snapToGrid/>
              <w:spacing w:line="288" w:lineRule="auto"/>
              <w:rPr>
                <w:rFonts w:hint="eastAsia" w:ascii="宋体" w:hAnsi="宋体" w:eastAsia="宋体" w:cs="宋体"/>
                <w:color w:val="auto"/>
                <w:highlight w:val="none"/>
              </w:rPr>
            </w:pPr>
          </w:p>
        </w:tc>
        <w:tc>
          <w:tcPr>
            <w:tcW w:w="8324" w:type="dxa"/>
            <w:tcBorders>
              <w:tl2br w:val="nil"/>
              <w:tr2bl w:val="nil"/>
            </w:tcBorders>
            <w:noWrap w:val="0"/>
            <w:vAlign w:val="center"/>
          </w:tcPr>
          <w:p w14:paraId="6E545A53">
            <w:pPr>
              <w:keepNext w:val="0"/>
              <w:keepLines w:val="0"/>
              <w:pageBreakBefore w:val="0"/>
              <w:widowControl/>
              <w:kinsoku/>
              <w:wordWrap/>
              <w:overflowPunct/>
              <w:topLinePunct w:val="0"/>
              <w:bidi w:val="0"/>
              <w:snapToGrid/>
              <w:spacing w:line="288" w:lineRule="auto"/>
              <w:jc w:val="left"/>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5.9 自行建立的专用设备设施，防护罩、盖、栏应完整可靠；各联锁、紧停、控制装置灵敏可靠；局部照明应为安全电压；PE等电器完好可靠；梯台符合要求。</w:t>
            </w:r>
          </w:p>
        </w:tc>
      </w:tr>
      <w:tr w14:paraId="1AC6F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continue"/>
            <w:tcBorders>
              <w:tl2br w:val="nil"/>
              <w:tr2bl w:val="nil"/>
            </w:tcBorders>
            <w:noWrap w:val="0"/>
            <w:vAlign w:val="center"/>
          </w:tcPr>
          <w:p w14:paraId="36D0DCFA">
            <w:pPr>
              <w:keepNext w:val="0"/>
              <w:keepLines w:val="0"/>
              <w:pageBreakBefore w:val="0"/>
              <w:kinsoku/>
              <w:wordWrap/>
              <w:overflowPunct/>
              <w:topLinePunct w:val="0"/>
              <w:bidi w:val="0"/>
              <w:snapToGrid/>
              <w:spacing w:line="288" w:lineRule="auto"/>
              <w:rPr>
                <w:rFonts w:hint="eastAsia" w:ascii="宋体" w:hAnsi="宋体" w:eastAsia="宋体" w:cs="宋体"/>
                <w:color w:val="auto"/>
                <w:highlight w:val="none"/>
              </w:rPr>
            </w:pPr>
          </w:p>
        </w:tc>
        <w:tc>
          <w:tcPr>
            <w:tcW w:w="8324" w:type="dxa"/>
            <w:tcBorders>
              <w:tl2br w:val="nil"/>
              <w:tr2bl w:val="nil"/>
            </w:tcBorders>
            <w:noWrap w:val="0"/>
            <w:vAlign w:val="center"/>
          </w:tcPr>
          <w:p w14:paraId="38E2942E">
            <w:pPr>
              <w:keepNext w:val="0"/>
              <w:keepLines w:val="0"/>
              <w:pageBreakBefore w:val="0"/>
              <w:widowControl/>
              <w:kinsoku/>
              <w:wordWrap/>
              <w:overflowPunct/>
              <w:topLinePunct w:val="0"/>
              <w:bidi w:val="0"/>
              <w:snapToGrid/>
              <w:spacing w:line="288" w:lineRule="auto"/>
              <w:jc w:val="left"/>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5.10特种设备应有产品合格证、使用登记证、法定资质单位的定期检测报告；各类安全装置可靠、有效，在检验有效期内使用；运行状态正常。</w:t>
            </w:r>
            <w:r>
              <w:rPr>
                <w:rFonts w:hint="eastAsia" w:ascii="宋体" w:hAnsi="宋体" w:eastAsia="宋体" w:cs="宋体"/>
                <w:color w:val="auto"/>
                <w:kern w:val="0"/>
                <w:sz w:val="24"/>
                <w:szCs w:val="24"/>
                <w:highlight w:val="none"/>
                <w:lang w:bidi="ar-SA"/>
              </w:rPr>
              <w:br w:type="textWrapping"/>
            </w:r>
            <w:r>
              <w:rPr>
                <w:rFonts w:hint="eastAsia" w:ascii="宋体" w:hAnsi="宋体" w:eastAsia="宋体" w:cs="宋体"/>
                <w:color w:val="auto"/>
                <w:kern w:val="0"/>
                <w:sz w:val="24"/>
                <w:szCs w:val="24"/>
                <w:highlight w:val="none"/>
                <w:lang w:bidi="ar-SA"/>
              </w:rPr>
              <w:t>工业气瓶安全附件齐全、完好，储存、使用应设置防倾倒措施，存放量、与明火的间距符合规定。</w:t>
            </w:r>
          </w:p>
        </w:tc>
      </w:tr>
      <w:tr w14:paraId="29876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continue"/>
            <w:tcBorders>
              <w:tl2br w:val="nil"/>
              <w:tr2bl w:val="nil"/>
            </w:tcBorders>
            <w:noWrap w:val="0"/>
            <w:vAlign w:val="center"/>
          </w:tcPr>
          <w:p w14:paraId="11627F5B">
            <w:pPr>
              <w:keepNext w:val="0"/>
              <w:keepLines w:val="0"/>
              <w:pageBreakBefore w:val="0"/>
              <w:kinsoku/>
              <w:wordWrap/>
              <w:overflowPunct/>
              <w:topLinePunct w:val="0"/>
              <w:bidi w:val="0"/>
              <w:snapToGrid/>
              <w:spacing w:line="288" w:lineRule="auto"/>
              <w:rPr>
                <w:rFonts w:hint="eastAsia" w:ascii="宋体" w:hAnsi="宋体" w:eastAsia="宋体" w:cs="宋体"/>
                <w:color w:val="auto"/>
                <w:highlight w:val="none"/>
              </w:rPr>
            </w:pPr>
          </w:p>
        </w:tc>
        <w:tc>
          <w:tcPr>
            <w:tcW w:w="8324" w:type="dxa"/>
            <w:tcBorders>
              <w:tl2br w:val="nil"/>
              <w:tr2bl w:val="nil"/>
            </w:tcBorders>
            <w:noWrap w:val="0"/>
            <w:vAlign w:val="center"/>
          </w:tcPr>
          <w:p w14:paraId="745EA1BD">
            <w:pPr>
              <w:keepNext w:val="0"/>
              <w:keepLines w:val="0"/>
              <w:pageBreakBefore w:val="0"/>
              <w:widowControl/>
              <w:kinsoku/>
              <w:wordWrap/>
              <w:overflowPunct/>
              <w:topLinePunct w:val="0"/>
              <w:bidi w:val="0"/>
              <w:snapToGrid/>
              <w:spacing w:line="288" w:lineRule="auto"/>
              <w:jc w:val="left"/>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5.11电气设施、设备</w:t>
            </w:r>
            <w:r>
              <w:rPr>
                <w:rFonts w:hint="eastAsia" w:ascii="宋体" w:hAnsi="宋体" w:eastAsia="宋体" w:cs="宋体"/>
                <w:color w:val="auto"/>
                <w:kern w:val="0"/>
                <w:sz w:val="24"/>
                <w:szCs w:val="24"/>
                <w:highlight w:val="none"/>
                <w:lang w:eastAsia="zh-CN" w:bidi="ar-SA"/>
              </w:rPr>
              <w:t>：</w:t>
            </w:r>
            <w:r>
              <w:rPr>
                <w:rFonts w:hint="eastAsia" w:ascii="宋体" w:hAnsi="宋体" w:eastAsia="宋体" w:cs="宋体"/>
                <w:color w:val="auto"/>
                <w:kern w:val="0"/>
                <w:sz w:val="24"/>
                <w:szCs w:val="24"/>
                <w:highlight w:val="none"/>
                <w:lang w:bidi="ar-SA"/>
              </w:rPr>
              <w:t>1）配电间：门外道路畅通；门口有安全警示标识；门应向外开，并使用防火</w:t>
            </w:r>
            <w:r>
              <w:rPr>
                <w:rFonts w:hint="eastAsia" w:ascii="宋体" w:hAnsi="宋体" w:eastAsia="宋体" w:cs="宋体"/>
                <w:color w:val="auto"/>
                <w:kern w:val="0"/>
                <w:sz w:val="24"/>
                <w:szCs w:val="24"/>
                <w:highlight w:val="none"/>
                <w:lang w:eastAsia="zh-CN" w:bidi="ar-SA"/>
              </w:rPr>
              <w:t>材料</w:t>
            </w:r>
            <w:r>
              <w:rPr>
                <w:rFonts w:hint="eastAsia" w:ascii="宋体" w:hAnsi="宋体" w:eastAsia="宋体" w:cs="宋体"/>
                <w:color w:val="auto"/>
                <w:kern w:val="0"/>
                <w:sz w:val="24"/>
                <w:szCs w:val="24"/>
                <w:highlight w:val="none"/>
                <w:lang w:bidi="ar-SA"/>
              </w:rPr>
              <w:t>；进出门处应设置高度不低于0.3米的挡鼠板，窗应设网孔小于1×1厘米金属网，与外界相通的孔洞应用建筑材料封闭；配电室进出制度、防火制度、巡回检查制度、电工安全操作规程应上墙；应有照明及应急照明等设施；应有绝缘操作工具。2）电网接地：接地系统应接地连接可靠；接地网直接引入配电箱、柜或用电设备时，应接至主PE端子排；一般低压电力网中电源系统中性点工作接地应小于4Ω，TN系统每处重复接地网的接地电阻应小于10Ω； PE线应采用绿、黄相间的双色线。3）配电箱（柜）：箱面有安全警示标识；内外整洁、完好、无杂物和积水；各电气元件及线路接触良好，连接可靠；箱内插座接线正确，并配有漏电保护器；箱体应连接PE线；箱前应划出操作空间，道路畅通。4）固定电气线路：线路布线安装应排列整齐、无影响线路安全的障碍物；线路敷设时都应穿管或采取其他保护；地埋敷设时应穿金属管，管口应加装软套；绝缘导线穿管敷设时，导管内导线的总面积应小于管子截面积的40%；室外埋设，上面应有保护层；电缆沟应有防火、排水设施；线路应一路一保（漏电保护器），且与负载匹配合理；线路的性能和机械强度符合要求；线路相序、相色应正确；固定的电器（空开、继电器等）不应裸装。</w:t>
            </w:r>
            <w:r>
              <w:rPr>
                <w:rFonts w:hint="eastAsia" w:ascii="宋体" w:hAnsi="宋体" w:eastAsia="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bidi="ar-SA"/>
              </w:rPr>
              <w:t>）固定电气线路：线路布线安装应排列整齐、无影响线路安全的障碍物；线路敷设时都应穿管或采取其他保护；地埋敷设时应穿金属管，管口应加装软套；绝缘导线穿管敷设时，导管内导线的总面积应小于管子截面积的40%；室外埋设，上面应有保护层；电缆沟应有防火、排水设施；线路应一路一保（漏电保护器），且与负载匹配合理；线路的性能和机械强度符合要求；线路相序、相色应正确；固定的电器（空开、继电器等）不应裸装。</w:t>
            </w:r>
            <w:r>
              <w:rPr>
                <w:rFonts w:hint="eastAsia" w:ascii="宋体" w:hAnsi="宋体" w:eastAsia="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bidi="ar-SA"/>
              </w:rPr>
              <w:t>）临时低压电气线路：线路绝缘、屏护良好，路径应避开易造成绝缘损坏的危险地方，严禁在有爆炸和火灾危险的环境中架设；所有用电设备、插座电路、移动线盘等应与主干PE线连接可靠；前端应设有漏电保护器。</w:t>
            </w:r>
          </w:p>
        </w:tc>
      </w:tr>
      <w:tr w14:paraId="5CDB8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restart"/>
            <w:tcBorders>
              <w:tl2br w:val="nil"/>
              <w:tr2bl w:val="nil"/>
            </w:tcBorders>
            <w:noWrap w:val="0"/>
            <w:vAlign w:val="center"/>
          </w:tcPr>
          <w:p w14:paraId="750FC0F4">
            <w:pPr>
              <w:keepNext w:val="0"/>
              <w:keepLines w:val="0"/>
              <w:pageBreakBefore w:val="0"/>
              <w:widowControl/>
              <w:kinsoku/>
              <w:wordWrap/>
              <w:overflowPunct/>
              <w:topLinePunct w:val="0"/>
              <w:bidi w:val="0"/>
              <w:snapToGrid/>
              <w:spacing w:line="288" w:lineRule="auto"/>
              <w:jc w:val="center"/>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六、作业安全</w:t>
            </w:r>
          </w:p>
        </w:tc>
        <w:tc>
          <w:tcPr>
            <w:tcW w:w="8324" w:type="dxa"/>
            <w:tcBorders>
              <w:tl2br w:val="nil"/>
              <w:tr2bl w:val="nil"/>
            </w:tcBorders>
            <w:noWrap w:val="0"/>
            <w:vAlign w:val="center"/>
          </w:tcPr>
          <w:p w14:paraId="0F5C0857">
            <w:pPr>
              <w:keepNext w:val="0"/>
              <w:keepLines w:val="0"/>
              <w:pageBreakBefore w:val="0"/>
              <w:widowControl/>
              <w:kinsoku/>
              <w:wordWrap/>
              <w:overflowPunct/>
              <w:topLinePunct w:val="0"/>
              <w:bidi w:val="0"/>
              <w:snapToGrid/>
              <w:spacing w:line="288" w:lineRule="auto"/>
              <w:jc w:val="left"/>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6.1厂区、车间、仓库道路平整、通畅、整洁，并按功能要求和实际情况划出分隔线；实行定置管理，物品摆放在规定的区域内。</w:t>
            </w:r>
          </w:p>
        </w:tc>
      </w:tr>
      <w:tr w14:paraId="6C95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continue"/>
            <w:tcBorders>
              <w:tl2br w:val="nil"/>
              <w:tr2bl w:val="nil"/>
            </w:tcBorders>
            <w:noWrap w:val="0"/>
            <w:vAlign w:val="center"/>
          </w:tcPr>
          <w:p w14:paraId="1BFB628B">
            <w:pPr>
              <w:keepNext w:val="0"/>
              <w:keepLines w:val="0"/>
              <w:pageBreakBefore w:val="0"/>
              <w:kinsoku/>
              <w:wordWrap/>
              <w:overflowPunct/>
              <w:topLinePunct w:val="0"/>
              <w:bidi w:val="0"/>
              <w:snapToGrid/>
              <w:spacing w:line="288" w:lineRule="auto"/>
              <w:rPr>
                <w:rFonts w:hint="eastAsia" w:ascii="宋体" w:hAnsi="宋体" w:eastAsia="宋体" w:cs="宋体"/>
                <w:color w:val="auto"/>
                <w:highlight w:val="none"/>
              </w:rPr>
            </w:pPr>
          </w:p>
        </w:tc>
        <w:tc>
          <w:tcPr>
            <w:tcW w:w="8324" w:type="dxa"/>
            <w:tcBorders>
              <w:tl2br w:val="nil"/>
              <w:tr2bl w:val="nil"/>
            </w:tcBorders>
            <w:noWrap w:val="0"/>
            <w:vAlign w:val="center"/>
          </w:tcPr>
          <w:p w14:paraId="623D5501">
            <w:pPr>
              <w:keepNext w:val="0"/>
              <w:keepLines w:val="0"/>
              <w:pageBreakBefore w:val="0"/>
              <w:widowControl/>
              <w:kinsoku/>
              <w:wordWrap/>
              <w:overflowPunct/>
              <w:topLinePunct w:val="0"/>
              <w:bidi w:val="0"/>
              <w:snapToGrid/>
              <w:spacing w:line="288" w:lineRule="auto"/>
              <w:jc w:val="left"/>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6.2危险作业应执行审批许可制度；作业许可证应包含危害分析、安全措施和应急措施等内容；作业前需经企业负责人审批，作业时需有人监护。</w:t>
            </w:r>
          </w:p>
        </w:tc>
      </w:tr>
      <w:tr w14:paraId="3D09F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411" w:type="dxa"/>
            <w:vMerge w:val="continue"/>
            <w:tcBorders>
              <w:tl2br w:val="nil"/>
              <w:tr2bl w:val="nil"/>
            </w:tcBorders>
            <w:noWrap w:val="0"/>
            <w:vAlign w:val="center"/>
          </w:tcPr>
          <w:p w14:paraId="72DE23E4">
            <w:pPr>
              <w:keepNext w:val="0"/>
              <w:keepLines w:val="0"/>
              <w:pageBreakBefore w:val="0"/>
              <w:kinsoku/>
              <w:wordWrap/>
              <w:overflowPunct/>
              <w:topLinePunct w:val="0"/>
              <w:bidi w:val="0"/>
              <w:snapToGrid/>
              <w:spacing w:line="288" w:lineRule="auto"/>
              <w:rPr>
                <w:rFonts w:hint="eastAsia" w:ascii="宋体" w:hAnsi="宋体" w:eastAsia="宋体" w:cs="宋体"/>
                <w:color w:val="auto"/>
                <w:highlight w:val="none"/>
              </w:rPr>
            </w:pPr>
          </w:p>
        </w:tc>
        <w:tc>
          <w:tcPr>
            <w:tcW w:w="8324" w:type="dxa"/>
            <w:tcBorders>
              <w:tl2br w:val="nil"/>
              <w:tr2bl w:val="nil"/>
            </w:tcBorders>
            <w:noWrap w:val="0"/>
            <w:vAlign w:val="center"/>
          </w:tcPr>
          <w:p w14:paraId="002E55B3">
            <w:pPr>
              <w:keepNext w:val="0"/>
              <w:keepLines w:val="0"/>
              <w:pageBreakBefore w:val="0"/>
              <w:widowControl/>
              <w:kinsoku/>
              <w:wordWrap/>
              <w:overflowPunct/>
              <w:topLinePunct w:val="0"/>
              <w:bidi w:val="0"/>
              <w:snapToGrid/>
              <w:spacing w:line="288" w:lineRule="auto"/>
              <w:jc w:val="left"/>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6.3对“三违”行为进行现场检查、管理。</w:t>
            </w:r>
          </w:p>
        </w:tc>
      </w:tr>
      <w:tr w14:paraId="4F595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continue"/>
            <w:tcBorders>
              <w:tl2br w:val="nil"/>
              <w:tr2bl w:val="nil"/>
            </w:tcBorders>
            <w:noWrap w:val="0"/>
            <w:vAlign w:val="center"/>
          </w:tcPr>
          <w:p w14:paraId="1C2C6787">
            <w:pPr>
              <w:keepNext w:val="0"/>
              <w:keepLines w:val="0"/>
              <w:pageBreakBefore w:val="0"/>
              <w:kinsoku/>
              <w:wordWrap/>
              <w:overflowPunct/>
              <w:topLinePunct w:val="0"/>
              <w:bidi w:val="0"/>
              <w:snapToGrid/>
              <w:spacing w:line="288" w:lineRule="auto"/>
              <w:rPr>
                <w:rFonts w:hint="eastAsia" w:ascii="宋体" w:hAnsi="宋体" w:eastAsia="宋体" w:cs="宋体"/>
                <w:color w:val="auto"/>
                <w:highlight w:val="none"/>
              </w:rPr>
            </w:pPr>
          </w:p>
        </w:tc>
        <w:tc>
          <w:tcPr>
            <w:tcW w:w="8324" w:type="dxa"/>
            <w:tcBorders>
              <w:tl2br w:val="nil"/>
              <w:tr2bl w:val="nil"/>
            </w:tcBorders>
            <w:noWrap w:val="0"/>
            <w:vAlign w:val="center"/>
          </w:tcPr>
          <w:p w14:paraId="223A8EDE">
            <w:pPr>
              <w:keepNext w:val="0"/>
              <w:keepLines w:val="0"/>
              <w:pageBreakBefore w:val="0"/>
              <w:widowControl/>
              <w:kinsoku/>
              <w:wordWrap/>
              <w:overflowPunct/>
              <w:topLinePunct w:val="0"/>
              <w:bidi w:val="0"/>
              <w:snapToGrid/>
              <w:spacing w:line="288" w:lineRule="auto"/>
              <w:jc w:val="left"/>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6.4在全部停电或部分停电的电气设备上作业，应遵守下列规定：</w:t>
            </w:r>
            <w:r>
              <w:rPr>
                <w:rFonts w:hint="eastAsia" w:ascii="宋体" w:hAnsi="宋体" w:eastAsia="宋体" w:cs="宋体"/>
                <w:color w:val="auto"/>
                <w:kern w:val="0"/>
                <w:sz w:val="24"/>
                <w:szCs w:val="24"/>
                <w:highlight w:val="none"/>
                <w:lang w:bidi="ar-SA"/>
              </w:rPr>
              <w:br w:type="textWrapping"/>
            </w:r>
            <w:r>
              <w:rPr>
                <w:rFonts w:hint="eastAsia" w:ascii="宋体" w:hAnsi="宋体" w:eastAsia="宋体" w:cs="宋体"/>
                <w:color w:val="auto"/>
                <w:kern w:val="0"/>
                <w:sz w:val="24"/>
                <w:szCs w:val="24"/>
                <w:highlight w:val="none"/>
                <w:lang w:bidi="ar-SA"/>
              </w:rPr>
              <w:t>（1）拉闸断电，并采取开关箱上锁等措施；</w:t>
            </w:r>
            <w:r>
              <w:rPr>
                <w:rFonts w:hint="eastAsia" w:ascii="宋体" w:hAnsi="宋体" w:eastAsia="宋体" w:cs="宋体"/>
                <w:color w:val="auto"/>
                <w:kern w:val="0"/>
                <w:sz w:val="24"/>
                <w:szCs w:val="24"/>
                <w:highlight w:val="none"/>
                <w:lang w:bidi="ar-SA"/>
              </w:rPr>
              <w:br w:type="textWrapping"/>
            </w:r>
            <w:r>
              <w:rPr>
                <w:rFonts w:hint="eastAsia" w:ascii="宋体" w:hAnsi="宋体" w:eastAsia="宋体" w:cs="宋体"/>
                <w:color w:val="auto"/>
                <w:kern w:val="0"/>
                <w:sz w:val="24"/>
                <w:szCs w:val="24"/>
                <w:highlight w:val="none"/>
                <w:lang w:bidi="ar-SA"/>
              </w:rPr>
              <w:t>（2）验电、放电；</w:t>
            </w:r>
            <w:r>
              <w:rPr>
                <w:rFonts w:hint="eastAsia" w:ascii="宋体" w:hAnsi="宋体" w:eastAsia="宋体" w:cs="宋体"/>
                <w:color w:val="auto"/>
                <w:kern w:val="0"/>
                <w:sz w:val="24"/>
                <w:szCs w:val="24"/>
                <w:highlight w:val="none"/>
                <w:lang w:bidi="ar-SA"/>
              </w:rPr>
              <w:br w:type="textWrapping"/>
            </w:r>
            <w:r>
              <w:rPr>
                <w:rFonts w:hint="eastAsia" w:ascii="宋体" w:hAnsi="宋体" w:eastAsia="宋体" w:cs="宋体"/>
                <w:color w:val="auto"/>
                <w:kern w:val="0"/>
                <w:sz w:val="24"/>
                <w:szCs w:val="24"/>
                <w:highlight w:val="none"/>
                <w:lang w:bidi="ar-SA"/>
              </w:rPr>
              <w:t>（3）各相短路接地；</w:t>
            </w:r>
            <w:r>
              <w:rPr>
                <w:rFonts w:hint="eastAsia" w:ascii="宋体" w:hAnsi="宋体" w:eastAsia="宋体" w:cs="宋体"/>
                <w:color w:val="auto"/>
                <w:kern w:val="0"/>
                <w:sz w:val="24"/>
                <w:szCs w:val="24"/>
                <w:highlight w:val="none"/>
                <w:lang w:bidi="ar-SA"/>
              </w:rPr>
              <w:br w:type="textWrapping"/>
            </w:r>
            <w:r>
              <w:rPr>
                <w:rFonts w:hint="eastAsia" w:ascii="宋体" w:hAnsi="宋体" w:eastAsia="宋体" w:cs="宋体"/>
                <w:color w:val="auto"/>
                <w:kern w:val="0"/>
                <w:sz w:val="24"/>
                <w:szCs w:val="24"/>
                <w:highlight w:val="none"/>
                <w:lang w:bidi="ar-SA"/>
              </w:rPr>
              <w:t>（4）悬挂“禁止合闸，有人工作”的标示牌和装设遮拦。</w:t>
            </w:r>
          </w:p>
        </w:tc>
      </w:tr>
      <w:tr w14:paraId="437B8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continue"/>
            <w:tcBorders>
              <w:tl2br w:val="nil"/>
              <w:tr2bl w:val="nil"/>
            </w:tcBorders>
            <w:noWrap w:val="0"/>
            <w:vAlign w:val="center"/>
          </w:tcPr>
          <w:p w14:paraId="66E8AC1A">
            <w:pPr>
              <w:keepNext w:val="0"/>
              <w:keepLines w:val="0"/>
              <w:pageBreakBefore w:val="0"/>
              <w:kinsoku/>
              <w:wordWrap/>
              <w:overflowPunct/>
              <w:topLinePunct w:val="0"/>
              <w:bidi w:val="0"/>
              <w:snapToGrid/>
              <w:spacing w:line="288" w:lineRule="auto"/>
              <w:rPr>
                <w:rFonts w:hint="eastAsia" w:ascii="宋体" w:hAnsi="宋体" w:eastAsia="宋体" w:cs="宋体"/>
                <w:color w:val="auto"/>
                <w:highlight w:val="none"/>
              </w:rPr>
            </w:pPr>
          </w:p>
        </w:tc>
        <w:tc>
          <w:tcPr>
            <w:tcW w:w="8324" w:type="dxa"/>
            <w:tcBorders>
              <w:tl2br w:val="nil"/>
              <w:tr2bl w:val="nil"/>
            </w:tcBorders>
            <w:noWrap w:val="0"/>
            <w:vAlign w:val="center"/>
          </w:tcPr>
          <w:p w14:paraId="03BB5B8F">
            <w:pPr>
              <w:keepNext w:val="0"/>
              <w:keepLines w:val="0"/>
              <w:pageBreakBefore w:val="0"/>
              <w:widowControl/>
              <w:kinsoku/>
              <w:wordWrap/>
              <w:overflowPunct/>
              <w:topLinePunct w:val="0"/>
              <w:bidi w:val="0"/>
              <w:snapToGrid/>
              <w:spacing w:line="288" w:lineRule="auto"/>
              <w:jc w:val="left"/>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6.5在危险作业场所和有关设备、设施区域，设置相关安全警示标志、安全色。</w:t>
            </w:r>
          </w:p>
        </w:tc>
      </w:tr>
      <w:tr w14:paraId="0BB8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continue"/>
            <w:tcBorders>
              <w:tl2br w:val="nil"/>
              <w:tr2bl w:val="nil"/>
            </w:tcBorders>
            <w:noWrap w:val="0"/>
            <w:vAlign w:val="center"/>
          </w:tcPr>
          <w:p w14:paraId="3007B575">
            <w:pPr>
              <w:keepNext w:val="0"/>
              <w:keepLines w:val="0"/>
              <w:pageBreakBefore w:val="0"/>
              <w:kinsoku/>
              <w:wordWrap/>
              <w:overflowPunct/>
              <w:topLinePunct w:val="0"/>
              <w:bidi w:val="0"/>
              <w:snapToGrid/>
              <w:spacing w:line="288" w:lineRule="auto"/>
              <w:rPr>
                <w:rFonts w:hint="eastAsia" w:ascii="宋体" w:hAnsi="宋体" w:eastAsia="宋体" w:cs="宋体"/>
                <w:color w:val="auto"/>
                <w:highlight w:val="none"/>
              </w:rPr>
            </w:pPr>
          </w:p>
        </w:tc>
        <w:tc>
          <w:tcPr>
            <w:tcW w:w="8324" w:type="dxa"/>
            <w:tcBorders>
              <w:tl2br w:val="nil"/>
              <w:tr2bl w:val="nil"/>
            </w:tcBorders>
            <w:noWrap w:val="0"/>
            <w:vAlign w:val="center"/>
          </w:tcPr>
          <w:p w14:paraId="11DD0DA4">
            <w:pPr>
              <w:keepNext w:val="0"/>
              <w:keepLines w:val="0"/>
              <w:pageBreakBefore w:val="0"/>
              <w:widowControl/>
              <w:kinsoku/>
              <w:wordWrap/>
              <w:overflowPunct/>
              <w:topLinePunct w:val="0"/>
              <w:bidi w:val="0"/>
              <w:snapToGrid/>
              <w:spacing w:line="288" w:lineRule="auto"/>
              <w:jc w:val="left"/>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6.6出租或承包生产经营项目、场所、设备必须</w:t>
            </w:r>
            <w:r>
              <w:rPr>
                <w:rFonts w:hint="eastAsia" w:ascii="宋体" w:hAnsi="宋体" w:eastAsia="宋体" w:cs="宋体"/>
                <w:color w:val="auto"/>
                <w:kern w:val="0"/>
                <w:sz w:val="24"/>
                <w:szCs w:val="24"/>
                <w:highlight w:val="none"/>
              </w:rPr>
              <w:t>具备安全生产条件</w:t>
            </w:r>
            <w:r>
              <w:rPr>
                <w:rFonts w:hint="eastAsia" w:ascii="宋体" w:hAnsi="宋体" w:eastAsia="宋体" w:cs="宋体"/>
                <w:color w:val="auto"/>
                <w:kern w:val="0"/>
                <w:sz w:val="24"/>
                <w:szCs w:val="24"/>
                <w:highlight w:val="none"/>
                <w:lang w:bidi="ar-SA"/>
              </w:rPr>
              <w:t>，并与出租或承包方</w:t>
            </w:r>
            <w:r>
              <w:rPr>
                <w:rFonts w:hint="eastAsia" w:ascii="宋体" w:hAnsi="宋体" w:eastAsia="宋体" w:cs="宋体"/>
                <w:color w:val="auto"/>
                <w:kern w:val="0"/>
                <w:sz w:val="24"/>
                <w:szCs w:val="24"/>
                <w:highlight w:val="none"/>
              </w:rPr>
              <w:t>签订专门的安全生产管理协议，明确各自的安全生产管理职责。</w:t>
            </w:r>
          </w:p>
        </w:tc>
      </w:tr>
      <w:tr w14:paraId="1431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restart"/>
            <w:tcBorders>
              <w:tl2br w:val="nil"/>
              <w:tr2bl w:val="nil"/>
            </w:tcBorders>
            <w:noWrap w:val="0"/>
            <w:vAlign w:val="center"/>
          </w:tcPr>
          <w:p w14:paraId="160BF11F">
            <w:pPr>
              <w:keepNext w:val="0"/>
              <w:keepLines w:val="0"/>
              <w:pageBreakBefore w:val="0"/>
              <w:widowControl/>
              <w:kinsoku/>
              <w:wordWrap/>
              <w:overflowPunct/>
              <w:topLinePunct w:val="0"/>
              <w:bidi w:val="0"/>
              <w:snapToGrid/>
              <w:spacing w:line="288" w:lineRule="auto"/>
              <w:jc w:val="center"/>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七、隐患排查和治理</w:t>
            </w:r>
          </w:p>
        </w:tc>
        <w:tc>
          <w:tcPr>
            <w:tcW w:w="8324" w:type="dxa"/>
            <w:tcBorders>
              <w:tl2br w:val="nil"/>
              <w:tr2bl w:val="nil"/>
            </w:tcBorders>
            <w:noWrap w:val="0"/>
            <w:vAlign w:val="center"/>
          </w:tcPr>
          <w:p w14:paraId="4200232F">
            <w:pPr>
              <w:keepNext w:val="0"/>
              <w:keepLines w:val="0"/>
              <w:pageBreakBefore w:val="0"/>
              <w:widowControl/>
              <w:kinsoku/>
              <w:wordWrap/>
              <w:overflowPunct/>
              <w:topLinePunct w:val="0"/>
              <w:bidi w:val="0"/>
              <w:snapToGrid/>
              <w:spacing w:line="288" w:lineRule="auto"/>
              <w:jc w:val="left"/>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7.1企业应定期组织事故隐患排查，发现隐患及时治理，并对治理情况登记建档。</w:t>
            </w:r>
          </w:p>
        </w:tc>
      </w:tr>
      <w:tr w14:paraId="61493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continue"/>
            <w:tcBorders>
              <w:tl2br w:val="nil"/>
              <w:tr2bl w:val="nil"/>
            </w:tcBorders>
            <w:noWrap w:val="0"/>
            <w:vAlign w:val="center"/>
          </w:tcPr>
          <w:p w14:paraId="4D71CEC9">
            <w:pPr>
              <w:keepNext w:val="0"/>
              <w:keepLines w:val="0"/>
              <w:pageBreakBefore w:val="0"/>
              <w:kinsoku/>
              <w:wordWrap/>
              <w:overflowPunct/>
              <w:topLinePunct w:val="0"/>
              <w:bidi w:val="0"/>
              <w:snapToGrid/>
              <w:spacing w:line="288" w:lineRule="auto"/>
              <w:rPr>
                <w:rFonts w:hint="eastAsia" w:ascii="宋体" w:hAnsi="宋体" w:eastAsia="宋体" w:cs="宋体"/>
                <w:color w:val="auto"/>
                <w:highlight w:val="none"/>
              </w:rPr>
            </w:pPr>
          </w:p>
        </w:tc>
        <w:tc>
          <w:tcPr>
            <w:tcW w:w="8324" w:type="dxa"/>
            <w:tcBorders>
              <w:tl2br w:val="nil"/>
              <w:tr2bl w:val="nil"/>
            </w:tcBorders>
            <w:noWrap w:val="0"/>
            <w:vAlign w:val="center"/>
          </w:tcPr>
          <w:p w14:paraId="7F78ED87">
            <w:pPr>
              <w:keepNext w:val="0"/>
              <w:keepLines w:val="0"/>
              <w:pageBreakBefore w:val="0"/>
              <w:widowControl/>
              <w:kinsoku/>
              <w:wordWrap/>
              <w:overflowPunct/>
              <w:topLinePunct w:val="0"/>
              <w:bidi w:val="0"/>
              <w:snapToGrid/>
              <w:spacing w:line="288" w:lineRule="auto"/>
              <w:jc w:val="left"/>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7.2对发现的重大事故隐患按规定应及时向有关部门报告。</w:t>
            </w:r>
          </w:p>
        </w:tc>
      </w:tr>
      <w:tr w14:paraId="3EF53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restart"/>
            <w:tcBorders>
              <w:tl2br w:val="nil"/>
              <w:tr2bl w:val="nil"/>
            </w:tcBorders>
            <w:noWrap w:val="0"/>
            <w:vAlign w:val="center"/>
          </w:tcPr>
          <w:p w14:paraId="52413202">
            <w:pPr>
              <w:keepNext w:val="0"/>
              <w:keepLines w:val="0"/>
              <w:pageBreakBefore w:val="0"/>
              <w:widowControl/>
              <w:kinsoku/>
              <w:wordWrap/>
              <w:overflowPunct/>
              <w:topLinePunct w:val="0"/>
              <w:bidi w:val="0"/>
              <w:snapToGrid/>
              <w:spacing w:line="288" w:lineRule="auto"/>
              <w:jc w:val="center"/>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八、危险源管理</w:t>
            </w:r>
          </w:p>
        </w:tc>
        <w:tc>
          <w:tcPr>
            <w:tcW w:w="8324" w:type="dxa"/>
            <w:tcBorders>
              <w:tl2br w:val="nil"/>
              <w:tr2bl w:val="nil"/>
            </w:tcBorders>
            <w:noWrap w:val="0"/>
            <w:vAlign w:val="center"/>
          </w:tcPr>
          <w:p w14:paraId="7F2EB96F">
            <w:pPr>
              <w:keepNext w:val="0"/>
              <w:keepLines w:val="0"/>
              <w:pageBreakBefore w:val="0"/>
              <w:widowControl/>
              <w:kinsoku/>
              <w:wordWrap/>
              <w:overflowPunct/>
              <w:topLinePunct w:val="0"/>
              <w:bidi w:val="0"/>
              <w:snapToGrid/>
              <w:spacing w:line="288" w:lineRule="auto"/>
              <w:jc w:val="left"/>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8.1按照相关规定对本单位的生产设施或场所进行危险源辨识。</w:t>
            </w:r>
          </w:p>
        </w:tc>
      </w:tr>
      <w:tr w14:paraId="27EF9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continue"/>
            <w:tcBorders>
              <w:tl2br w:val="nil"/>
              <w:tr2bl w:val="nil"/>
            </w:tcBorders>
            <w:noWrap w:val="0"/>
            <w:vAlign w:val="center"/>
          </w:tcPr>
          <w:p w14:paraId="36950FF5">
            <w:pPr>
              <w:keepNext w:val="0"/>
              <w:keepLines w:val="0"/>
              <w:pageBreakBefore w:val="0"/>
              <w:kinsoku/>
              <w:wordWrap/>
              <w:overflowPunct/>
              <w:topLinePunct w:val="0"/>
              <w:bidi w:val="0"/>
              <w:snapToGrid/>
              <w:spacing w:line="288" w:lineRule="auto"/>
              <w:rPr>
                <w:rFonts w:hint="eastAsia" w:ascii="宋体" w:hAnsi="宋体" w:eastAsia="宋体" w:cs="宋体"/>
                <w:color w:val="auto"/>
                <w:highlight w:val="none"/>
              </w:rPr>
            </w:pPr>
          </w:p>
        </w:tc>
        <w:tc>
          <w:tcPr>
            <w:tcW w:w="8324" w:type="dxa"/>
            <w:tcBorders>
              <w:tl2br w:val="nil"/>
              <w:tr2bl w:val="nil"/>
            </w:tcBorders>
            <w:noWrap w:val="0"/>
            <w:vAlign w:val="center"/>
          </w:tcPr>
          <w:p w14:paraId="6638CA4E">
            <w:pPr>
              <w:keepNext w:val="0"/>
              <w:keepLines w:val="0"/>
              <w:pageBreakBefore w:val="0"/>
              <w:widowControl/>
              <w:kinsoku/>
              <w:wordWrap/>
              <w:overflowPunct/>
              <w:topLinePunct w:val="0"/>
              <w:bidi w:val="0"/>
              <w:snapToGrid/>
              <w:spacing w:line="288" w:lineRule="auto"/>
              <w:jc w:val="left"/>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8.2对已确认的危险源实施管理，对确定的重大危险源向安全监管部门或相关部门备案，并采取有效防范措施。</w:t>
            </w:r>
          </w:p>
        </w:tc>
      </w:tr>
      <w:tr w14:paraId="167EA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restart"/>
            <w:tcBorders>
              <w:tl2br w:val="nil"/>
              <w:tr2bl w:val="nil"/>
            </w:tcBorders>
            <w:noWrap w:val="0"/>
            <w:vAlign w:val="center"/>
          </w:tcPr>
          <w:p w14:paraId="39905EF6">
            <w:pPr>
              <w:keepNext w:val="0"/>
              <w:keepLines w:val="0"/>
              <w:pageBreakBefore w:val="0"/>
              <w:widowControl/>
              <w:kinsoku/>
              <w:wordWrap/>
              <w:overflowPunct/>
              <w:topLinePunct w:val="0"/>
              <w:bidi w:val="0"/>
              <w:snapToGrid/>
              <w:spacing w:line="288" w:lineRule="auto"/>
              <w:jc w:val="center"/>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九、职业卫生</w:t>
            </w:r>
          </w:p>
        </w:tc>
        <w:tc>
          <w:tcPr>
            <w:tcW w:w="8324" w:type="dxa"/>
            <w:tcBorders>
              <w:tl2br w:val="nil"/>
              <w:tr2bl w:val="nil"/>
            </w:tcBorders>
            <w:noWrap w:val="0"/>
            <w:vAlign w:val="center"/>
          </w:tcPr>
          <w:p w14:paraId="31C4E62E">
            <w:pPr>
              <w:keepNext w:val="0"/>
              <w:keepLines w:val="0"/>
              <w:pageBreakBefore w:val="0"/>
              <w:widowControl/>
              <w:kinsoku/>
              <w:wordWrap/>
              <w:overflowPunct/>
              <w:topLinePunct w:val="0"/>
              <w:bidi w:val="0"/>
              <w:snapToGrid/>
              <w:spacing w:line="288" w:lineRule="auto"/>
              <w:jc w:val="left"/>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9.1依法组织职业病危害岗位的作业人员进行岗前、岗中和离岗的职业健康体检，并提供有效的职业健康防护设备设施。</w:t>
            </w:r>
          </w:p>
        </w:tc>
      </w:tr>
      <w:tr w14:paraId="2F1A7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continue"/>
            <w:tcBorders>
              <w:tl2br w:val="nil"/>
              <w:tr2bl w:val="nil"/>
            </w:tcBorders>
            <w:noWrap w:val="0"/>
            <w:vAlign w:val="center"/>
          </w:tcPr>
          <w:p w14:paraId="56AAE1F6">
            <w:pPr>
              <w:keepNext w:val="0"/>
              <w:keepLines w:val="0"/>
              <w:pageBreakBefore w:val="0"/>
              <w:kinsoku/>
              <w:wordWrap/>
              <w:overflowPunct/>
              <w:topLinePunct w:val="0"/>
              <w:bidi w:val="0"/>
              <w:snapToGrid/>
              <w:spacing w:line="288" w:lineRule="auto"/>
              <w:rPr>
                <w:rFonts w:hint="eastAsia" w:ascii="宋体" w:hAnsi="宋体" w:eastAsia="宋体" w:cs="宋体"/>
                <w:color w:val="auto"/>
                <w:highlight w:val="none"/>
              </w:rPr>
            </w:pPr>
          </w:p>
        </w:tc>
        <w:tc>
          <w:tcPr>
            <w:tcW w:w="8324" w:type="dxa"/>
            <w:tcBorders>
              <w:tl2br w:val="nil"/>
              <w:tr2bl w:val="nil"/>
            </w:tcBorders>
            <w:noWrap w:val="0"/>
            <w:vAlign w:val="center"/>
          </w:tcPr>
          <w:p w14:paraId="54F658DA">
            <w:pPr>
              <w:keepNext w:val="0"/>
              <w:keepLines w:val="0"/>
              <w:pageBreakBefore w:val="0"/>
              <w:widowControl/>
              <w:kinsoku/>
              <w:wordWrap/>
              <w:overflowPunct/>
              <w:topLinePunct w:val="0"/>
              <w:bidi w:val="0"/>
              <w:snapToGrid/>
              <w:spacing w:line="288" w:lineRule="auto"/>
              <w:jc w:val="left"/>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9.2按规定配备劳动防护用品，并教育从业人员按照使用规则佩戴、使用。</w:t>
            </w:r>
          </w:p>
        </w:tc>
      </w:tr>
      <w:tr w14:paraId="788F6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restart"/>
            <w:tcBorders>
              <w:tl2br w:val="nil"/>
              <w:tr2bl w:val="nil"/>
            </w:tcBorders>
            <w:noWrap w:val="0"/>
            <w:vAlign w:val="center"/>
          </w:tcPr>
          <w:p w14:paraId="5E8F2252">
            <w:pPr>
              <w:keepNext w:val="0"/>
              <w:keepLines w:val="0"/>
              <w:pageBreakBefore w:val="0"/>
              <w:widowControl/>
              <w:kinsoku/>
              <w:wordWrap/>
              <w:overflowPunct/>
              <w:topLinePunct w:val="0"/>
              <w:bidi w:val="0"/>
              <w:snapToGrid/>
              <w:spacing w:line="288" w:lineRule="auto"/>
              <w:jc w:val="center"/>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十、应急</w:t>
            </w:r>
          </w:p>
          <w:p w14:paraId="64ED31B0">
            <w:pPr>
              <w:keepNext w:val="0"/>
              <w:keepLines w:val="0"/>
              <w:pageBreakBefore w:val="0"/>
              <w:widowControl/>
              <w:kinsoku/>
              <w:wordWrap/>
              <w:overflowPunct/>
              <w:topLinePunct w:val="0"/>
              <w:bidi w:val="0"/>
              <w:snapToGrid/>
              <w:spacing w:line="288" w:lineRule="auto"/>
              <w:jc w:val="center"/>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救援</w:t>
            </w:r>
          </w:p>
        </w:tc>
        <w:tc>
          <w:tcPr>
            <w:tcW w:w="8324" w:type="dxa"/>
            <w:tcBorders>
              <w:tl2br w:val="nil"/>
              <w:tr2bl w:val="nil"/>
            </w:tcBorders>
            <w:noWrap w:val="0"/>
            <w:vAlign w:val="center"/>
          </w:tcPr>
          <w:p w14:paraId="377BC92E">
            <w:pPr>
              <w:keepNext w:val="0"/>
              <w:keepLines w:val="0"/>
              <w:pageBreakBefore w:val="0"/>
              <w:widowControl/>
              <w:kinsoku/>
              <w:wordWrap/>
              <w:overflowPunct/>
              <w:topLinePunct w:val="0"/>
              <w:bidi w:val="0"/>
              <w:snapToGrid/>
              <w:spacing w:line="288" w:lineRule="auto"/>
              <w:jc w:val="left"/>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10.1结合实际制定生产安全事故应急预案，配备必要的应急救援装备物资，并指定应急救援人员。</w:t>
            </w:r>
          </w:p>
        </w:tc>
      </w:tr>
      <w:tr w14:paraId="1DEA3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1" w:type="dxa"/>
            <w:vMerge w:val="continue"/>
            <w:tcBorders>
              <w:tl2br w:val="nil"/>
              <w:tr2bl w:val="nil"/>
            </w:tcBorders>
            <w:noWrap w:val="0"/>
            <w:vAlign w:val="center"/>
          </w:tcPr>
          <w:p w14:paraId="34EA84D4">
            <w:pPr>
              <w:keepNext w:val="0"/>
              <w:keepLines w:val="0"/>
              <w:pageBreakBefore w:val="0"/>
              <w:kinsoku/>
              <w:wordWrap/>
              <w:overflowPunct/>
              <w:topLinePunct w:val="0"/>
              <w:bidi w:val="0"/>
              <w:snapToGrid/>
              <w:spacing w:line="288" w:lineRule="auto"/>
              <w:rPr>
                <w:rFonts w:hint="eastAsia" w:ascii="宋体" w:hAnsi="宋体" w:eastAsia="宋体" w:cs="宋体"/>
                <w:color w:val="auto"/>
                <w:highlight w:val="none"/>
              </w:rPr>
            </w:pPr>
          </w:p>
        </w:tc>
        <w:tc>
          <w:tcPr>
            <w:tcW w:w="8324" w:type="dxa"/>
            <w:tcBorders>
              <w:tl2br w:val="nil"/>
              <w:tr2bl w:val="nil"/>
            </w:tcBorders>
            <w:noWrap w:val="0"/>
            <w:vAlign w:val="center"/>
          </w:tcPr>
          <w:p w14:paraId="48D7E91C">
            <w:pPr>
              <w:keepNext w:val="0"/>
              <w:keepLines w:val="0"/>
              <w:pageBreakBefore w:val="0"/>
              <w:widowControl/>
              <w:kinsoku/>
              <w:wordWrap/>
              <w:overflowPunct/>
              <w:topLinePunct w:val="0"/>
              <w:bidi w:val="0"/>
              <w:snapToGrid/>
              <w:spacing w:line="288" w:lineRule="auto"/>
              <w:jc w:val="left"/>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10.2开展应急救援预案演练，员工应掌握必要的应急救援措施以及基本救援技能。</w:t>
            </w:r>
          </w:p>
        </w:tc>
      </w:tr>
    </w:tbl>
    <w:p w14:paraId="58BFA178">
      <w:pPr>
        <w:keepNext w:val="0"/>
        <w:keepLines w:val="0"/>
        <w:pageBreakBefore w:val="0"/>
        <w:widowControl w:val="0"/>
        <w:kinsoku/>
        <w:wordWrap/>
        <w:overflowPunct/>
        <w:topLinePunct w:val="0"/>
        <w:autoSpaceDE/>
        <w:autoSpaceDN/>
        <w:bidi w:val="0"/>
        <w:adjustRightInd w:val="0"/>
        <w:snapToGrid/>
        <w:spacing w:line="288" w:lineRule="auto"/>
        <w:textAlignment w:val="auto"/>
        <w:rPr>
          <w:rFonts w:hint="eastAsia" w:ascii="宋体" w:hAnsi="宋体" w:eastAsia="宋体" w:cs="宋体"/>
          <w:b/>
          <w:color w:val="auto"/>
          <w:sz w:val="24"/>
          <w:highlight w:val="none"/>
          <w:lang w:eastAsia="zh-CN"/>
        </w:rPr>
      </w:pPr>
      <w:r>
        <w:rPr>
          <w:rFonts w:hint="eastAsia" w:ascii="宋体" w:hAnsi="宋体" w:eastAsia="宋体" w:cs="宋体"/>
          <w:color w:val="auto"/>
          <w:kern w:val="0"/>
          <w:sz w:val="24"/>
          <w:szCs w:val="24"/>
          <w:highlight w:val="none"/>
          <w:lang w:bidi="ar-SA"/>
        </w:rPr>
        <w:t>注</w:t>
      </w:r>
      <w:r>
        <w:rPr>
          <w:rFonts w:hint="eastAsia" w:ascii="宋体" w:hAnsi="宋体" w:eastAsia="宋体" w:cs="宋体"/>
          <w:color w:val="auto"/>
          <w:kern w:val="0"/>
          <w:sz w:val="24"/>
          <w:szCs w:val="24"/>
          <w:highlight w:val="none"/>
          <w:lang w:eastAsia="zh-CN" w:bidi="ar-SA"/>
        </w:rPr>
        <w:t>：</w:t>
      </w:r>
      <w:r>
        <w:rPr>
          <w:rFonts w:hint="eastAsia" w:ascii="宋体" w:hAnsi="宋体" w:eastAsia="宋体" w:cs="宋体"/>
          <w:color w:val="auto"/>
          <w:kern w:val="0"/>
          <w:sz w:val="24"/>
          <w:szCs w:val="24"/>
          <w:highlight w:val="none"/>
          <w:lang w:bidi="ar-SA"/>
        </w:rPr>
        <w:t>中标单位须按照但不限于以上所列考核内容对企业进行隐患排查。</w:t>
      </w:r>
    </w:p>
    <w:sectPr>
      <w:headerReference r:id="rId3" w:type="default"/>
      <w:footerReference r:id="rId4" w:type="default"/>
      <w:pgSz w:w="11906" w:h="16838"/>
      <w:pgMar w:top="1349" w:right="1349" w:bottom="1349" w:left="1349"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FB7CF">
    <w:pPr>
      <w:pStyle w:val="14"/>
      <w:tabs>
        <w:tab w:val="right" w:pos="9548"/>
        <w:tab w:val="clear" w:pos="4153"/>
      </w:tabs>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7F4553">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7F4553">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F54B9">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24A05"/>
    <w:multiLevelType w:val="multilevel"/>
    <w:tmpl w:val="70524A05"/>
    <w:lvl w:ilvl="0" w:tentative="0">
      <w:start w:val="1"/>
      <w:numFmt w:val="decimal"/>
      <w:lvlText w:val="%1"/>
      <w:lvlJc w:val="left"/>
      <w:pPr>
        <w:tabs>
          <w:tab w:val="left" w:pos="857"/>
        </w:tabs>
        <w:ind w:left="857" w:hanging="432"/>
      </w:pPr>
      <w:rPr>
        <w:rFonts w:hint="eastAsia"/>
      </w:rPr>
    </w:lvl>
    <w:lvl w:ilvl="1" w:tentative="0">
      <w:start w:val="1"/>
      <w:numFmt w:val="decimal"/>
      <w:lvlText w:val="%1.%2"/>
      <w:lvlJc w:val="left"/>
      <w:pPr>
        <w:tabs>
          <w:tab w:val="left" w:pos="1852"/>
        </w:tabs>
        <w:ind w:left="1852" w:hanging="576"/>
      </w:pPr>
      <w:rPr>
        <w:rFonts w:hint="eastAsia" w:ascii="黑体" w:hAnsi="黑体" w:eastAsia="黑体"/>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tentative="0">
      <w:start w:val="1"/>
      <w:numFmt w:val="decimal"/>
      <w:pStyle w:val="4"/>
      <w:lvlText w:val="%1.%2.%3"/>
      <w:lvlJc w:val="left"/>
      <w:pPr>
        <w:tabs>
          <w:tab w:val="left" w:pos="900"/>
        </w:tabs>
        <w:ind w:left="900" w:hanging="720"/>
      </w:pPr>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tentative="0">
      <w:start w:val="1"/>
      <w:numFmt w:val="decimal"/>
      <w:lvlText w:val="%1.%2.%3.%4"/>
      <w:lvlJc w:val="left"/>
      <w:pPr>
        <w:tabs>
          <w:tab w:val="left" w:pos="1224"/>
        </w:tabs>
        <w:ind w:left="1222" w:hanging="862"/>
      </w:pPr>
      <w:rPr>
        <w:rFonts w:hint="eastAsia" w:ascii="黑体" w:hAnsi="黑体" w:eastAsia="黑体"/>
        <w:color w:val="auto"/>
      </w:rPr>
    </w:lvl>
    <w:lvl w:ilvl="4" w:tentative="0">
      <w:start w:val="1"/>
      <w:numFmt w:val="decimal"/>
      <w:lvlText w:val="%1.%2.%3.%4.%5"/>
      <w:lvlJc w:val="left"/>
      <w:pPr>
        <w:tabs>
          <w:tab w:val="left" w:pos="1188"/>
        </w:tabs>
        <w:ind w:left="1188" w:hanging="1008"/>
      </w:pPr>
      <w:rPr>
        <w:rFonts w:hint="eastAsia"/>
        <w:b w:val="0"/>
      </w:rPr>
    </w:lvl>
    <w:lvl w:ilvl="5" w:tentative="0">
      <w:start w:val="1"/>
      <w:numFmt w:val="decimal"/>
      <w:lvlText w:val="%1.%2.%3.%4.%5.%6"/>
      <w:lvlJc w:val="left"/>
      <w:pPr>
        <w:tabs>
          <w:tab w:val="left" w:pos="1332"/>
        </w:tabs>
        <w:ind w:left="1332" w:hanging="1152"/>
      </w:pPr>
      <w:rPr>
        <w:rFonts w:hint="eastAsia"/>
      </w:rPr>
    </w:lvl>
    <w:lvl w:ilvl="6" w:tentative="0">
      <w:start w:val="1"/>
      <w:numFmt w:val="decimal"/>
      <w:lvlText w:val="%1.%2.%3.%4.%5.%6.%7"/>
      <w:lvlJc w:val="left"/>
      <w:pPr>
        <w:tabs>
          <w:tab w:val="left" w:pos="1476"/>
        </w:tabs>
        <w:ind w:left="1476" w:hanging="1296"/>
      </w:pPr>
      <w:rPr>
        <w:rFonts w:hint="eastAsia"/>
      </w:rPr>
    </w:lvl>
    <w:lvl w:ilvl="7" w:tentative="0">
      <w:start w:val="1"/>
      <w:numFmt w:val="decimal"/>
      <w:lvlText w:val="%1.%2.%3.%4.%5.%6.%7.%8"/>
      <w:lvlJc w:val="left"/>
      <w:pPr>
        <w:tabs>
          <w:tab w:val="left" w:pos="1620"/>
        </w:tabs>
        <w:ind w:left="1620" w:hanging="1440"/>
      </w:pPr>
      <w:rPr>
        <w:rFonts w:hint="eastAsia"/>
      </w:rPr>
    </w:lvl>
    <w:lvl w:ilvl="8" w:tentative="0">
      <w:start w:val="1"/>
      <w:numFmt w:val="decimal"/>
      <w:lvlText w:val="%1.%2.%3.%4.%5.%6.%7.%8.%9"/>
      <w:lvlJc w:val="left"/>
      <w:pPr>
        <w:tabs>
          <w:tab w:val="left" w:pos="1764"/>
        </w:tabs>
        <w:ind w:left="176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2YyMjU4MjYxNDQzNzZjNDA2NmQxNGRiZGYwNzcifQ=="/>
    <w:docVar w:name="KSO_WPS_MARK_KEY" w:val="5d03f1cb-3660-4678-934b-8c5d56e65b38"/>
  </w:docVars>
  <w:rsids>
    <w:rsidRoot w:val="662408E1"/>
    <w:rsid w:val="002E6413"/>
    <w:rsid w:val="003473BC"/>
    <w:rsid w:val="003A44A6"/>
    <w:rsid w:val="005A2D64"/>
    <w:rsid w:val="006D7635"/>
    <w:rsid w:val="00A6244D"/>
    <w:rsid w:val="00B76261"/>
    <w:rsid w:val="00D13D32"/>
    <w:rsid w:val="00F6099C"/>
    <w:rsid w:val="00FB4613"/>
    <w:rsid w:val="01085787"/>
    <w:rsid w:val="018133FF"/>
    <w:rsid w:val="01B97F5E"/>
    <w:rsid w:val="023575E5"/>
    <w:rsid w:val="025657AD"/>
    <w:rsid w:val="02720839"/>
    <w:rsid w:val="027537F3"/>
    <w:rsid w:val="02A635C9"/>
    <w:rsid w:val="030559EB"/>
    <w:rsid w:val="030733BB"/>
    <w:rsid w:val="03620118"/>
    <w:rsid w:val="03A001C2"/>
    <w:rsid w:val="03E57195"/>
    <w:rsid w:val="040E6340"/>
    <w:rsid w:val="0433224A"/>
    <w:rsid w:val="04863ACD"/>
    <w:rsid w:val="04956E37"/>
    <w:rsid w:val="04A1265B"/>
    <w:rsid w:val="04F8313E"/>
    <w:rsid w:val="06570D80"/>
    <w:rsid w:val="0680729D"/>
    <w:rsid w:val="06BF4453"/>
    <w:rsid w:val="06E33324"/>
    <w:rsid w:val="07287D60"/>
    <w:rsid w:val="07746E01"/>
    <w:rsid w:val="0789541A"/>
    <w:rsid w:val="078D1C71"/>
    <w:rsid w:val="079E1C34"/>
    <w:rsid w:val="07A07BF6"/>
    <w:rsid w:val="07F573D1"/>
    <w:rsid w:val="081D3977"/>
    <w:rsid w:val="08326375"/>
    <w:rsid w:val="085F423C"/>
    <w:rsid w:val="089A4646"/>
    <w:rsid w:val="091A12E3"/>
    <w:rsid w:val="0969226A"/>
    <w:rsid w:val="09B74D83"/>
    <w:rsid w:val="0A7333A0"/>
    <w:rsid w:val="0ACD6B49"/>
    <w:rsid w:val="0AD61B81"/>
    <w:rsid w:val="0AE12304"/>
    <w:rsid w:val="0B395C39"/>
    <w:rsid w:val="0C5915EE"/>
    <w:rsid w:val="0C65576F"/>
    <w:rsid w:val="0C923886"/>
    <w:rsid w:val="0C974CE8"/>
    <w:rsid w:val="0D1D5FFD"/>
    <w:rsid w:val="0D837D9E"/>
    <w:rsid w:val="0D9A07CB"/>
    <w:rsid w:val="0DB37F58"/>
    <w:rsid w:val="0E2D1AB8"/>
    <w:rsid w:val="0E8F5D32"/>
    <w:rsid w:val="0E9953A0"/>
    <w:rsid w:val="0E9B448D"/>
    <w:rsid w:val="0ED939EE"/>
    <w:rsid w:val="0EE94ED6"/>
    <w:rsid w:val="0EF32D02"/>
    <w:rsid w:val="0F5170EA"/>
    <w:rsid w:val="0F7D641A"/>
    <w:rsid w:val="0FB81855"/>
    <w:rsid w:val="0FDC7DD6"/>
    <w:rsid w:val="0FFF1232"/>
    <w:rsid w:val="1043347E"/>
    <w:rsid w:val="11513BF8"/>
    <w:rsid w:val="119F00D1"/>
    <w:rsid w:val="11C12C43"/>
    <w:rsid w:val="12386C7D"/>
    <w:rsid w:val="124E024F"/>
    <w:rsid w:val="127F5A63"/>
    <w:rsid w:val="131B16E4"/>
    <w:rsid w:val="1323348A"/>
    <w:rsid w:val="13315A3C"/>
    <w:rsid w:val="1379754E"/>
    <w:rsid w:val="13AC16D1"/>
    <w:rsid w:val="143F2545"/>
    <w:rsid w:val="145F3F63"/>
    <w:rsid w:val="148562AE"/>
    <w:rsid w:val="14900FF3"/>
    <w:rsid w:val="14A4637A"/>
    <w:rsid w:val="14F60FB2"/>
    <w:rsid w:val="154345F4"/>
    <w:rsid w:val="15A82A07"/>
    <w:rsid w:val="15E6711C"/>
    <w:rsid w:val="166938A9"/>
    <w:rsid w:val="16D5509D"/>
    <w:rsid w:val="16D95624"/>
    <w:rsid w:val="16FF7D6A"/>
    <w:rsid w:val="17111B32"/>
    <w:rsid w:val="177351F0"/>
    <w:rsid w:val="177B1AE6"/>
    <w:rsid w:val="178766DD"/>
    <w:rsid w:val="178848B8"/>
    <w:rsid w:val="17EF41C0"/>
    <w:rsid w:val="183140D2"/>
    <w:rsid w:val="186B3909"/>
    <w:rsid w:val="18A233A8"/>
    <w:rsid w:val="18EF5DA5"/>
    <w:rsid w:val="191F7D4F"/>
    <w:rsid w:val="192D7E1D"/>
    <w:rsid w:val="19371A3D"/>
    <w:rsid w:val="193E101D"/>
    <w:rsid w:val="194A1770"/>
    <w:rsid w:val="19684479"/>
    <w:rsid w:val="19792371"/>
    <w:rsid w:val="19BE68BB"/>
    <w:rsid w:val="19F45B80"/>
    <w:rsid w:val="1A2E1092"/>
    <w:rsid w:val="1A4F2DB6"/>
    <w:rsid w:val="1A50725A"/>
    <w:rsid w:val="1A9A4AA1"/>
    <w:rsid w:val="1AA57780"/>
    <w:rsid w:val="1AAA0631"/>
    <w:rsid w:val="1AB01AA7"/>
    <w:rsid w:val="1B2F50C2"/>
    <w:rsid w:val="1BC24437"/>
    <w:rsid w:val="1BEB1CB1"/>
    <w:rsid w:val="1BF43C15"/>
    <w:rsid w:val="1C4D36AB"/>
    <w:rsid w:val="1C7F3E27"/>
    <w:rsid w:val="1CD37CCF"/>
    <w:rsid w:val="1D2C6435"/>
    <w:rsid w:val="1D305121"/>
    <w:rsid w:val="1D4C6F21"/>
    <w:rsid w:val="1DA71F78"/>
    <w:rsid w:val="1DE008F5"/>
    <w:rsid w:val="1DEC5C92"/>
    <w:rsid w:val="1E995080"/>
    <w:rsid w:val="1EA731C1"/>
    <w:rsid w:val="1EEE7B48"/>
    <w:rsid w:val="1EFB75D9"/>
    <w:rsid w:val="1FAB0047"/>
    <w:rsid w:val="1FAE057F"/>
    <w:rsid w:val="208A2D9A"/>
    <w:rsid w:val="20987265"/>
    <w:rsid w:val="20BC481D"/>
    <w:rsid w:val="214B46A2"/>
    <w:rsid w:val="2177331E"/>
    <w:rsid w:val="21ED1832"/>
    <w:rsid w:val="22156911"/>
    <w:rsid w:val="22C56B3B"/>
    <w:rsid w:val="22C9509E"/>
    <w:rsid w:val="22F665C4"/>
    <w:rsid w:val="231E77CA"/>
    <w:rsid w:val="239D2EE6"/>
    <w:rsid w:val="24066BDB"/>
    <w:rsid w:val="24637B8A"/>
    <w:rsid w:val="24977834"/>
    <w:rsid w:val="24A23598"/>
    <w:rsid w:val="24E0742D"/>
    <w:rsid w:val="25106DF3"/>
    <w:rsid w:val="254C4AC2"/>
    <w:rsid w:val="25555909"/>
    <w:rsid w:val="25587E08"/>
    <w:rsid w:val="26035B0A"/>
    <w:rsid w:val="263E265D"/>
    <w:rsid w:val="2644442D"/>
    <w:rsid w:val="269425EF"/>
    <w:rsid w:val="269B7AAF"/>
    <w:rsid w:val="26C258F6"/>
    <w:rsid w:val="270F224B"/>
    <w:rsid w:val="270F3ECA"/>
    <w:rsid w:val="2767095D"/>
    <w:rsid w:val="280D2742"/>
    <w:rsid w:val="28497097"/>
    <w:rsid w:val="285E6FE6"/>
    <w:rsid w:val="28844BDA"/>
    <w:rsid w:val="2885273C"/>
    <w:rsid w:val="288A0B52"/>
    <w:rsid w:val="28B61AF9"/>
    <w:rsid w:val="296E3259"/>
    <w:rsid w:val="29BE46B6"/>
    <w:rsid w:val="29DD03DE"/>
    <w:rsid w:val="29EA6657"/>
    <w:rsid w:val="2A1E70BF"/>
    <w:rsid w:val="2A2D4EC2"/>
    <w:rsid w:val="2A7D001B"/>
    <w:rsid w:val="2A841F63"/>
    <w:rsid w:val="2A842608"/>
    <w:rsid w:val="2A901BBF"/>
    <w:rsid w:val="2AB16E31"/>
    <w:rsid w:val="2AE33D87"/>
    <w:rsid w:val="2AF60BF3"/>
    <w:rsid w:val="2AF83194"/>
    <w:rsid w:val="2BEF4F82"/>
    <w:rsid w:val="2C475FE0"/>
    <w:rsid w:val="2C6A7B12"/>
    <w:rsid w:val="2C994A91"/>
    <w:rsid w:val="2CAB0EA1"/>
    <w:rsid w:val="2D0D1156"/>
    <w:rsid w:val="2D1C6606"/>
    <w:rsid w:val="2D263E4A"/>
    <w:rsid w:val="2D265BF9"/>
    <w:rsid w:val="2D507703"/>
    <w:rsid w:val="2D7F70CB"/>
    <w:rsid w:val="2E224612"/>
    <w:rsid w:val="2E425517"/>
    <w:rsid w:val="2E47047D"/>
    <w:rsid w:val="2EE67CD4"/>
    <w:rsid w:val="2EEA0214"/>
    <w:rsid w:val="2F340C40"/>
    <w:rsid w:val="2F4C30EE"/>
    <w:rsid w:val="2F8045BD"/>
    <w:rsid w:val="2F923A19"/>
    <w:rsid w:val="3025488D"/>
    <w:rsid w:val="30536D05"/>
    <w:rsid w:val="307F62FF"/>
    <w:rsid w:val="30C60A20"/>
    <w:rsid w:val="30E20834"/>
    <w:rsid w:val="30FA1876"/>
    <w:rsid w:val="315F792B"/>
    <w:rsid w:val="317D3526"/>
    <w:rsid w:val="31BD4192"/>
    <w:rsid w:val="31EB1C40"/>
    <w:rsid w:val="320209E2"/>
    <w:rsid w:val="32B342C3"/>
    <w:rsid w:val="32BD0DAD"/>
    <w:rsid w:val="32DA54BB"/>
    <w:rsid w:val="32EF5F16"/>
    <w:rsid w:val="33114C55"/>
    <w:rsid w:val="336B25B7"/>
    <w:rsid w:val="33CF5217"/>
    <w:rsid w:val="33D34361"/>
    <w:rsid w:val="345C3BFB"/>
    <w:rsid w:val="34AE2C27"/>
    <w:rsid w:val="34B42CD7"/>
    <w:rsid w:val="34C65C1B"/>
    <w:rsid w:val="34CE4C2F"/>
    <w:rsid w:val="352B0250"/>
    <w:rsid w:val="357A2F85"/>
    <w:rsid w:val="3593128D"/>
    <w:rsid w:val="359327BC"/>
    <w:rsid w:val="35935DF5"/>
    <w:rsid w:val="35C6441D"/>
    <w:rsid w:val="35D22DC1"/>
    <w:rsid w:val="3617544D"/>
    <w:rsid w:val="36877708"/>
    <w:rsid w:val="36D956AC"/>
    <w:rsid w:val="36EF1367"/>
    <w:rsid w:val="37906A90"/>
    <w:rsid w:val="379F0A81"/>
    <w:rsid w:val="37DE3E30"/>
    <w:rsid w:val="37F1549D"/>
    <w:rsid w:val="37F7266B"/>
    <w:rsid w:val="37FC34C5"/>
    <w:rsid w:val="38170F5F"/>
    <w:rsid w:val="3867564D"/>
    <w:rsid w:val="38BA02F6"/>
    <w:rsid w:val="39290F4A"/>
    <w:rsid w:val="39397CDD"/>
    <w:rsid w:val="396E1F85"/>
    <w:rsid w:val="39B12CEE"/>
    <w:rsid w:val="39F257E0"/>
    <w:rsid w:val="3A3E06F2"/>
    <w:rsid w:val="3A7B56C6"/>
    <w:rsid w:val="3AA30888"/>
    <w:rsid w:val="3AC473FC"/>
    <w:rsid w:val="3AD322FE"/>
    <w:rsid w:val="3AF32D8B"/>
    <w:rsid w:val="3B2C087E"/>
    <w:rsid w:val="3B7A1023"/>
    <w:rsid w:val="3B923B22"/>
    <w:rsid w:val="3BEC179B"/>
    <w:rsid w:val="3C12216A"/>
    <w:rsid w:val="3CE93077"/>
    <w:rsid w:val="3D9237DD"/>
    <w:rsid w:val="3DC824ED"/>
    <w:rsid w:val="3DE11DF4"/>
    <w:rsid w:val="3DF776F4"/>
    <w:rsid w:val="3E0077CE"/>
    <w:rsid w:val="3E155F41"/>
    <w:rsid w:val="3E430EB6"/>
    <w:rsid w:val="3EB21A66"/>
    <w:rsid w:val="3F057D64"/>
    <w:rsid w:val="3F23468E"/>
    <w:rsid w:val="3FB2368A"/>
    <w:rsid w:val="3FE060DB"/>
    <w:rsid w:val="3FF83425"/>
    <w:rsid w:val="400E252D"/>
    <w:rsid w:val="40302BBE"/>
    <w:rsid w:val="407D5FFC"/>
    <w:rsid w:val="40E37C31"/>
    <w:rsid w:val="41405083"/>
    <w:rsid w:val="4170343C"/>
    <w:rsid w:val="427E044B"/>
    <w:rsid w:val="429F402B"/>
    <w:rsid w:val="42D4469C"/>
    <w:rsid w:val="42F95752"/>
    <w:rsid w:val="43140575"/>
    <w:rsid w:val="432A3781"/>
    <w:rsid w:val="43487189"/>
    <w:rsid w:val="435941F1"/>
    <w:rsid w:val="43706221"/>
    <w:rsid w:val="4374370A"/>
    <w:rsid w:val="43A517BF"/>
    <w:rsid w:val="43B835F7"/>
    <w:rsid w:val="442C4D39"/>
    <w:rsid w:val="44C1472D"/>
    <w:rsid w:val="44C821E7"/>
    <w:rsid w:val="44F120B6"/>
    <w:rsid w:val="45E87A97"/>
    <w:rsid w:val="45F4643C"/>
    <w:rsid w:val="460C64A9"/>
    <w:rsid w:val="461213DA"/>
    <w:rsid w:val="46EC35B7"/>
    <w:rsid w:val="470703F1"/>
    <w:rsid w:val="474B3CA1"/>
    <w:rsid w:val="47584820"/>
    <w:rsid w:val="47732328"/>
    <w:rsid w:val="477F1FBE"/>
    <w:rsid w:val="47A90DB8"/>
    <w:rsid w:val="47EA5D49"/>
    <w:rsid w:val="47FFF0F2"/>
    <w:rsid w:val="48A16EB0"/>
    <w:rsid w:val="48A560A8"/>
    <w:rsid w:val="492C413F"/>
    <w:rsid w:val="49407C86"/>
    <w:rsid w:val="49413E94"/>
    <w:rsid w:val="494871CB"/>
    <w:rsid w:val="494B2817"/>
    <w:rsid w:val="49644ABA"/>
    <w:rsid w:val="49BB5BEF"/>
    <w:rsid w:val="49C61CE6"/>
    <w:rsid w:val="49C8156E"/>
    <w:rsid w:val="49EF7646"/>
    <w:rsid w:val="4A3B7906"/>
    <w:rsid w:val="4A784CE4"/>
    <w:rsid w:val="4A8A736F"/>
    <w:rsid w:val="4AA91EEB"/>
    <w:rsid w:val="4B3D39E3"/>
    <w:rsid w:val="4B647BC0"/>
    <w:rsid w:val="4B7176CB"/>
    <w:rsid w:val="4BE86A43"/>
    <w:rsid w:val="4BF90C50"/>
    <w:rsid w:val="4BFB45B0"/>
    <w:rsid w:val="4C0373D9"/>
    <w:rsid w:val="4C434D7C"/>
    <w:rsid w:val="4CB37FEA"/>
    <w:rsid w:val="4CE924D7"/>
    <w:rsid w:val="4D135D42"/>
    <w:rsid w:val="4D3D691B"/>
    <w:rsid w:val="4D7C38E7"/>
    <w:rsid w:val="4D9329DF"/>
    <w:rsid w:val="4DB2378B"/>
    <w:rsid w:val="4DD23507"/>
    <w:rsid w:val="4DDC7B96"/>
    <w:rsid w:val="4DDFDC7C"/>
    <w:rsid w:val="4DE54BBF"/>
    <w:rsid w:val="4E3177BD"/>
    <w:rsid w:val="4E341EEA"/>
    <w:rsid w:val="4E3C2C47"/>
    <w:rsid w:val="4E521770"/>
    <w:rsid w:val="4E981C6C"/>
    <w:rsid w:val="4ED51FCD"/>
    <w:rsid w:val="4F4D60FB"/>
    <w:rsid w:val="4F9A1DAF"/>
    <w:rsid w:val="4FA35CE3"/>
    <w:rsid w:val="502D743F"/>
    <w:rsid w:val="503D3CF9"/>
    <w:rsid w:val="505C355C"/>
    <w:rsid w:val="50EC0D83"/>
    <w:rsid w:val="512731D9"/>
    <w:rsid w:val="513059A2"/>
    <w:rsid w:val="513D7A78"/>
    <w:rsid w:val="51637D72"/>
    <w:rsid w:val="51656957"/>
    <w:rsid w:val="51F003FF"/>
    <w:rsid w:val="525F0910"/>
    <w:rsid w:val="52666914"/>
    <w:rsid w:val="527252B8"/>
    <w:rsid w:val="528A179E"/>
    <w:rsid w:val="52952D55"/>
    <w:rsid w:val="52AF7748"/>
    <w:rsid w:val="52EF3A8D"/>
    <w:rsid w:val="53237EE3"/>
    <w:rsid w:val="535D3873"/>
    <w:rsid w:val="537A08C9"/>
    <w:rsid w:val="53B12EB6"/>
    <w:rsid w:val="54203265"/>
    <w:rsid w:val="54D2203E"/>
    <w:rsid w:val="554D5A93"/>
    <w:rsid w:val="55665D0A"/>
    <w:rsid w:val="55766E6E"/>
    <w:rsid w:val="557E5D22"/>
    <w:rsid w:val="55CC45C9"/>
    <w:rsid w:val="55CE1649"/>
    <w:rsid w:val="55F61BC2"/>
    <w:rsid w:val="57014E5D"/>
    <w:rsid w:val="573945F7"/>
    <w:rsid w:val="57432642"/>
    <w:rsid w:val="57940DC9"/>
    <w:rsid w:val="57AD0C51"/>
    <w:rsid w:val="583077A8"/>
    <w:rsid w:val="585A2A77"/>
    <w:rsid w:val="58847AF3"/>
    <w:rsid w:val="59172C4D"/>
    <w:rsid w:val="594B18E9"/>
    <w:rsid w:val="598765ED"/>
    <w:rsid w:val="59960F02"/>
    <w:rsid w:val="59EC476E"/>
    <w:rsid w:val="5A587B11"/>
    <w:rsid w:val="5A9D080D"/>
    <w:rsid w:val="5AA30F9C"/>
    <w:rsid w:val="5ADF7263"/>
    <w:rsid w:val="5AF039BF"/>
    <w:rsid w:val="5B02147C"/>
    <w:rsid w:val="5B046CCA"/>
    <w:rsid w:val="5BE24B0A"/>
    <w:rsid w:val="5C0351D3"/>
    <w:rsid w:val="5C1B6DE9"/>
    <w:rsid w:val="5C9664F6"/>
    <w:rsid w:val="5D032102"/>
    <w:rsid w:val="5D210B98"/>
    <w:rsid w:val="5D6B3030"/>
    <w:rsid w:val="5D730D1E"/>
    <w:rsid w:val="5D8A199E"/>
    <w:rsid w:val="5D98158E"/>
    <w:rsid w:val="5DB057B9"/>
    <w:rsid w:val="5DC023F9"/>
    <w:rsid w:val="5DDD0D63"/>
    <w:rsid w:val="5DF748C4"/>
    <w:rsid w:val="5DFA32E2"/>
    <w:rsid w:val="5E590E90"/>
    <w:rsid w:val="5E76511E"/>
    <w:rsid w:val="5E7E05A8"/>
    <w:rsid w:val="5F0B4ACB"/>
    <w:rsid w:val="5F950838"/>
    <w:rsid w:val="5FAC34CC"/>
    <w:rsid w:val="60150B9A"/>
    <w:rsid w:val="601B6E1A"/>
    <w:rsid w:val="608B5AEC"/>
    <w:rsid w:val="608C09CC"/>
    <w:rsid w:val="60B66CB8"/>
    <w:rsid w:val="610C68D8"/>
    <w:rsid w:val="61623F82"/>
    <w:rsid w:val="619F2C25"/>
    <w:rsid w:val="61B93A4D"/>
    <w:rsid w:val="61F9246E"/>
    <w:rsid w:val="62272B1E"/>
    <w:rsid w:val="628E1C9B"/>
    <w:rsid w:val="6321792E"/>
    <w:rsid w:val="63534F55"/>
    <w:rsid w:val="63585E05"/>
    <w:rsid w:val="636E761A"/>
    <w:rsid w:val="64191A38"/>
    <w:rsid w:val="642A77A1"/>
    <w:rsid w:val="64360FB5"/>
    <w:rsid w:val="64847D15"/>
    <w:rsid w:val="64990F49"/>
    <w:rsid w:val="64AD3F2E"/>
    <w:rsid w:val="64D836A1"/>
    <w:rsid w:val="6512665D"/>
    <w:rsid w:val="654E5C6C"/>
    <w:rsid w:val="65502AFE"/>
    <w:rsid w:val="65FE31D0"/>
    <w:rsid w:val="662408E1"/>
    <w:rsid w:val="6644153F"/>
    <w:rsid w:val="66442670"/>
    <w:rsid w:val="664B0063"/>
    <w:rsid w:val="66707909"/>
    <w:rsid w:val="66D84097"/>
    <w:rsid w:val="66DB2FD4"/>
    <w:rsid w:val="66EA155B"/>
    <w:rsid w:val="6759586E"/>
    <w:rsid w:val="676B4BBF"/>
    <w:rsid w:val="684E58C1"/>
    <w:rsid w:val="69176944"/>
    <w:rsid w:val="692E7D33"/>
    <w:rsid w:val="699F653B"/>
    <w:rsid w:val="69AC2A06"/>
    <w:rsid w:val="69E76134"/>
    <w:rsid w:val="6A707ED8"/>
    <w:rsid w:val="6AE85CC0"/>
    <w:rsid w:val="6AF74F6E"/>
    <w:rsid w:val="6B3233DF"/>
    <w:rsid w:val="6B6A1A47"/>
    <w:rsid w:val="6B737921"/>
    <w:rsid w:val="6C797D50"/>
    <w:rsid w:val="6CFB10D7"/>
    <w:rsid w:val="6D49739B"/>
    <w:rsid w:val="6D4B00CA"/>
    <w:rsid w:val="6D640E05"/>
    <w:rsid w:val="6D7D4DE5"/>
    <w:rsid w:val="6DAE579B"/>
    <w:rsid w:val="6E8C2E06"/>
    <w:rsid w:val="6EA91C0A"/>
    <w:rsid w:val="6EB04D47"/>
    <w:rsid w:val="6EC425A0"/>
    <w:rsid w:val="6ED50C51"/>
    <w:rsid w:val="6ED76777"/>
    <w:rsid w:val="6EE90D5D"/>
    <w:rsid w:val="6F35524C"/>
    <w:rsid w:val="6F372669"/>
    <w:rsid w:val="6F602CB4"/>
    <w:rsid w:val="6F8A37EA"/>
    <w:rsid w:val="6F8E3C83"/>
    <w:rsid w:val="6F9C758C"/>
    <w:rsid w:val="6FB1A680"/>
    <w:rsid w:val="6FF9096F"/>
    <w:rsid w:val="700E1EC1"/>
    <w:rsid w:val="70497201"/>
    <w:rsid w:val="7169675E"/>
    <w:rsid w:val="720011E0"/>
    <w:rsid w:val="723914F7"/>
    <w:rsid w:val="728C4C25"/>
    <w:rsid w:val="72CB1664"/>
    <w:rsid w:val="72D66D46"/>
    <w:rsid w:val="72F773E8"/>
    <w:rsid w:val="72F86CBC"/>
    <w:rsid w:val="7349576A"/>
    <w:rsid w:val="73507898"/>
    <w:rsid w:val="7384307F"/>
    <w:rsid w:val="738C5B92"/>
    <w:rsid w:val="739A25B6"/>
    <w:rsid w:val="73F466FA"/>
    <w:rsid w:val="74402617"/>
    <w:rsid w:val="74D15A17"/>
    <w:rsid w:val="75381706"/>
    <w:rsid w:val="758D5DE2"/>
    <w:rsid w:val="75D752AF"/>
    <w:rsid w:val="763444AF"/>
    <w:rsid w:val="763C08AB"/>
    <w:rsid w:val="76457884"/>
    <w:rsid w:val="766C3C49"/>
    <w:rsid w:val="76A11D14"/>
    <w:rsid w:val="76A52FA5"/>
    <w:rsid w:val="76D90BB3"/>
    <w:rsid w:val="76FB76A4"/>
    <w:rsid w:val="77194B2C"/>
    <w:rsid w:val="776E1C43"/>
    <w:rsid w:val="777C4A40"/>
    <w:rsid w:val="7784605C"/>
    <w:rsid w:val="780141BC"/>
    <w:rsid w:val="78393EF5"/>
    <w:rsid w:val="78580517"/>
    <w:rsid w:val="787E7C64"/>
    <w:rsid w:val="789D36FC"/>
    <w:rsid w:val="78A57DDA"/>
    <w:rsid w:val="78DB550B"/>
    <w:rsid w:val="78DF4BA6"/>
    <w:rsid w:val="78FF0DA4"/>
    <w:rsid w:val="793C2330"/>
    <w:rsid w:val="79505B25"/>
    <w:rsid w:val="79840FA7"/>
    <w:rsid w:val="798F3E68"/>
    <w:rsid w:val="79DA55EA"/>
    <w:rsid w:val="7AA75B44"/>
    <w:rsid w:val="7B116B6D"/>
    <w:rsid w:val="7B826448"/>
    <w:rsid w:val="7BFDBCA0"/>
    <w:rsid w:val="7C5A5518"/>
    <w:rsid w:val="7CCD11BA"/>
    <w:rsid w:val="7CCF6CE0"/>
    <w:rsid w:val="7CE86B63"/>
    <w:rsid w:val="7CF8312F"/>
    <w:rsid w:val="7D1670C9"/>
    <w:rsid w:val="7DA41F1A"/>
    <w:rsid w:val="7DF84014"/>
    <w:rsid w:val="7E0C5FA4"/>
    <w:rsid w:val="7E174A7E"/>
    <w:rsid w:val="7E5F7095"/>
    <w:rsid w:val="7F080287"/>
    <w:rsid w:val="7F0D3AEF"/>
    <w:rsid w:val="7F3FAABE"/>
    <w:rsid w:val="7F6A686B"/>
    <w:rsid w:val="7FBD4AF9"/>
    <w:rsid w:val="7FD02953"/>
    <w:rsid w:val="BFBC9664"/>
    <w:rsid w:val="DBFFB737"/>
    <w:rsid w:val="DEBFA7DF"/>
    <w:rsid w:val="E5335E21"/>
    <w:rsid w:val="E5F9B933"/>
    <w:rsid w:val="EFFB1789"/>
    <w:rsid w:val="EFFE07FA"/>
    <w:rsid w:val="F26E3249"/>
    <w:rsid w:val="F4DF35A9"/>
    <w:rsid w:val="F6BA4BCA"/>
    <w:rsid w:val="FFFB30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keepNext/>
      <w:keepLines/>
      <w:numPr>
        <w:ilvl w:val="2"/>
        <w:numId w:val="1"/>
      </w:numPr>
      <w:spacing w:before="60" w:after="60" w:line="360" w:lineRule="auto"/>
      <w:outlineLvl w:val="2"/>
    </w:pPr>
    <w:rPr>
      <w:rFonts w:ascii="黑体" w:eastAsia="黑体"/>
      <w:bCs/>
      <w:sz w:val="24"/>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style>
  <w:style w:type="paragraph" w:styleId="6">
    <w:name w:val="index 5"/>
    <w:basedOn w:val="1"/>
    <w:next w:val="1"/>
    <w:qFormat/>
    <w:uiPriority w:val="0"/>
    <w:pPr>
      <w:ind w:left="800" w:leftChars="800"/>
    </w:pPr>
  </w:style>
  <w:style w:type="paragraph" w:styleId="7">
    <w:name w:val="toa heading"/>
    <w:basedOn w:val="1"/>
    <w:next w:val="1"/>
    <w:unhideWhenUsed/>
    <w:qFormat/>
    <w:uiPriority w:val="99"/>
    <w:pPr>
      <w:spacing w:before="120"/>
    </w:pPr>
    <w:rPr>
      <w:rFonts w:ascii="Arial" w:hAnsi="Arial" w:eastAsia="仿宋_GB2312" w:cs="Arial"/>
      <w:b/>
      <w:bCs/>
      <w:color w:val="000000"/>
      <w:kern w:val="0"/>
      <w:sz w:val="24"/>
      <w:szCs w:val="21"/>
    </w:rPr>
  </w:style>
  <w:style w:type="paragraph" w:styleId="8">
    <w:name w:val="annotation text"/>
    <w:basedOn w:val="1"/>
    <w:qFormat/>
    <w:uiPriority w:val="0"/>
    <w:pPr>
      <w:jc w:val="left"/>
    </w:pPr>
  </w:style>
  <w:style w:type="paragraph" w:styleId="9">
    <w:name w:val="Body Text 3"/>
    <w:basedOn w:val="1"/>
    <w:qFormat/>
    <w:uiPriority w:val="0"/>
    <w:pPr>
      <w:spacing w:after="120" w:afterLines="0"/>
    </w:pPr>
    <w:rPr>
      <w:sz w:val="16"/>
      <w:szCs w:val="16"/>
    </w:rPr>
  </w:style>
  <w:style w:type="paragraph" w:styleId="10">
    <w:name w:val="Body Text"/>
    <w:basedOn w:val="1"/>
    <w:next w:val="1"/>
    <w:qFormat/>
    <w:uiPriority w:val="0"/>
    <w:pPr>
      <w:spacing w:after="120"/>
    </w:pPr>
  </w:style>
  <w:style w:type="paragraph" w:styleId="11">
    <w:name w:val="Body Text Indent"/>
    <w:basedOn w:val="1"/>
    <w:next w:val="1"/>
    <w:qFormat/>
    <w:uiPriority w:val="99"/>
    <w:pPr>
      <w:spacing w:line="480" w:lineRule="exact"/>
      <w:ind w:firstLine="480" w:firstLineChars="200"/>
    </w:pPr>
    <w:rPr>
      <w:rFonts w:ascii="宋体" w:hAnsi="宋体"/>
      <w:sz w:val="24"/>
    </w:rPr>
  </w:style>
  <w:style w:type="paragraph" w:styleId="12">
    <w:name w:val="Plain Text"/>
    <w:basedOn w:val="1"/>
    <w:next w:val="10"/>
    <w:qFormat/>
    <w:uiPriority w:val="0"/>
    <w:pPr>
      <w:adjustRightInd w:val="0"/>
      <w:snapToGrid w:val="0"/>
    </w:pPr>
    <w:rPr>
      <w:rFonts w:ascii="宋体" w:hAnsi="Courier New" w:cs="Courier New"/>
      <w:sz w:val="21"/>
      <w:szCs w:val="21"/>
    </w:rPr>
  </w:style>
  <w:style w:type="paragraph" w:styleId="13">
    <w:name w:val="Body Text Indent 2"/>
    <w:basedOn w:val="1"/>
    <w:qFormat/>
    <w:uiPriority w:val="0"/>
    <w:pPr>
      <w:ind w:firstLine="560" w:firstLineChars="200"/>
    </w:pPr>
    <w:rPr>
      <w:rFonts w:ascii="宋体" w:hAnsi="宋体"/>
      <w:szCs w:val="20"/>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qFormat/>
    <w:uiPriority w:val="0"/>
    <w:pPr>
      <w:ind w:firstLine="419" w:firstLineChars="161"/>
    </w:pPr>
    <w:rPr>
      <w:rFonts w:ascii="宋体" w:hAnsi="宋体"/>
      <w:szCs w:val="20"/>
    </w:rPr>
  </w:style>
  <w:style w:type="paragraph" w:styleId="17">
    <w:name w:val="Normal (Web)"/>
    <w:basedOn w:val="1"/>
    <w:qFormat/>
    <w:uiPriority w:val="99"/>
    <w:pPr>
      <w:widowControl/>
      <w:spacing w:before="100" w:beforeAutospacing="1" w:after="100" w:afterAutospacing="1"/>
      <w:jc w:val="left"/>
    </w:pPr>
    <w:rPr>
      <w:rFonts w:ascii="宋体" w:hAnsi="宋体"/>
      <w:kern w:val="0"/>
      <w:sz w:val="24"/>
    </w:rPr>
  </w:style>
  <w:style w:type="paragraph" w:styleId="18">
    <w:name w:val="Body Text First Indent"/>
    <w:basedOn w:val="10"/>
    <w:next w:val="1"/>
    <w:qFormat/>
    <w:uiPriority w:val="0"/>
    <w:pPr>
      <w:spacing w:line="312" w:lineRule="auto"/>
      <w:ind w:firstLine="420"/>
    </w:pPr>
  </w:style>
  <w:style w:type="paragraph" w:styleId="19">
    <w:name w:val="Body Text First Indent 2"/>
    <w:basedOn w:val="11"/>
    <w:next w:val="7"/>
    <w:qFormat/>
    <w:uiPriority w:val="99"/>
    <w:pPr>
      <w:adjustRightInd/>
      <w:spacing w:after="120" w:line="240" w:lineRule="auto"/>
      <w:ind w:left="420" w:leftChars="200" w:firstLine="210"/>
    </w:pPr>
    <w:rPr>
      <w:sz w:val="21"/>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rPr>
  </w:style>
  <w:style w:type="character" w:styleId="24">
    <w:name w:val="page number"/>
    <w:qFormat/>
    <w:uiPriority w:val="0"/>
    <w:rPr>
      <w:rFonts w:ascii="Times New Roman" w:hAnsi="Times New Roman" w:eastAsia="宋体" w:cs="Times New Roman"/>
      <w:color w:val="auto"/>
      <w:kern w:val="2"/>
      <w:sz w:val="24"/>
      <w:szCs w:val="20"/>
    </w:rPr>
  </w:style>
  <w:style w:type="paragraph" w:customStyle="1" w:styleId="25">
    <w:name w:val="Body Text 31"/>
    <w:basedOn w:val="1"/>
    <w:qFormat/>
    <w:uiPriority w:val="0"/>
    <w:pPr>
      <w:spacing w:after="120" w:afterLines="0"/>
    </w:pPr>
    <w:rPr>
      <w:sz w:val="16"/>
      <w:szCs w:val="16"/>
    </w:rPr>
  </w:style>
  <w:style w:type="paragraph" w:customStyle="1" w:styleId="26">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paragraph" w:customStyle="1" w:styleId="27">
    <w:name w:val="Body Text First Indent 21"/>
    <w:basedOn w:val="28"/>
    <w:qFormat/>
    <w:uiPriority w:val="0"/>
    <w:pPr>
      <w:ind w:firstLine="420"/>
    </w:pPr>
    <w:rPr>
      <w:rFonts w:cs="宋体"/>
    </w:rPr>
  </w:style>
  <w:style w:type="paragraph" w:customStyle="1" w:styleId="28">
    <w:name w:val="Body Text Indent1"/>
    <w:basedOn w:val="1"/>
    <w:next w:val="1"/>
    <w:qFormat/>
    <w:uiPriority w:val="0"/>
    <w:pPr>
      <w:spacing w:after="120"/>
      <w:ind w:left="420" w:leftChars="200"/>
    </w:pPr>
  </w:style>
  <w:style w:type="paragraph" w:customStyle="1" w:styleId="29">
    <w:name w:val="正文段"/>
    <w:basedOn w:val="1"/>
    <w:next w:val="6"/>
    <w:qFormat/>
    <w:uiPriority w:val="0"/>
    <w:pPr>
      <w:widowControl/>
      <w:snapToGrid w:val="0"/>
      <w:spacing w:after="156" w:afterLines="50"/>
      <w:ind w:firstLine="200" w:firstLineChars="200"/>
    </w:pPr>
    <w:rPr>
      <w:kern w:val="0"/>
      <w:sz w:val="24"/>
      <w:szCs w:val="20"/>
    </w:rPr>
  </w:style>
  <w:style w:type="paragraph" w:customStyle="1" w:styleId="30">
    <w:name w:val="Body Text First Indent 2"/>
    <w:basedOn w:val="31"/>
    <w:qFormat/>
    <w:uiPriority w:val="0"/>
    <w:pPr>
      <w:spacing w:after="120" w:line="240" w:lineRule="auto"/>
      <w:ind w:left="420" w:leftChars="200" w:firstLine="420"/>
    </w:pPr>
    <w:rPr>
      <w:rFonts w:ascii="Times New Roman" w:hAnsi="Times New Roman" w:eastAsia="宋体" w:cs="宋体"/>
      <w:sz w:val="21"/>
      <w:szCs w:val="21"/>
    </w:rPr>
  </w:style>
  <w:style w:type="paragraph" w:customStyle="1" w:styleId="31">
    <w:name w:val="Body Text Indent"/>
    <w:basedOn w:val="1"/>
    <w:next w:val="1"/>
    <w:qFormat/>
    <w:uiPriority w:val="0"/>
    <w:pPr>
      <w:spacing w:after="120"/>
      <w:ind w:left="420" w:leftChars="200"/>
    </w:pPr>
    <w:rPr>
      <w:color w:val="000000"/>
      <w:sz w:val="21"/>
      <w:szCs w:val="21"/>
    </w:rPr>
  </w:style>
  <w:style w:type="paragraph" w:customStyle="1" w:styleId="32">
    <w:name w:val="_Style 49"/>
    <w:basedOn w:val="1"/>
    <w:next w:val="12"/>
    <w:qFormat/>
    <w:uiPriority w:val="0"/>
    <w:rPr>
      <w:rFonts w:ascii="宋体" w:hAnsi="Courier New"/>
      <w:kern w:val="0"/>
      <w:sz w:val="24"/>
    </w:rPr>
  </w:style>
  <w:style w:type="paragraph" w:customStyle="1" w:styleId="33">
    <w:name w:val="正文文本1"/>
    <w:basedOn w:val="1"/>
    <w:next w:val="34"/>
    <w:qFormat/>
    <w:uiPriority w:val="0"/>
    <w:rPr>
      <w:rFonts w:eastAsia="仿宋_GB2312"/>
      <w:sz w:val="24"/>
    </w:rPr>
  </w:style>
  <w:style w:type="paragraph" w:customStyle="1" w:styleId="34">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Normal_0"/>
    <w:qFormat/>
    <w:uiPriority w:val="0"/>
    <w:rPr>
      <w:rFonts w:ascii="Times New Roman" w:hAnsi="Times New Roman" w:eastAsia="Times New Roman" w:cs="Times New Roman"/>
      <w:kern w:val="0"/>
      <w:sz w:val="24"/>
      <w:szCs w:val="24"/>
      <w:lang w:val="en-US" w:eastAsia="zh-CN" w:bidi="ar-SA"/>
    </w:rPr>
  </w:style>
  <w:style w:type="paragraph" w:customStyle="1" w:styleId="36">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列出段落1"/>
    <w:basedOn w:val="1"/>
    <w:qFormat/>
    <w:uiPriority w:val="34"/>
    <w:pPr>
      <w:spacing w:line="240" w:lineRule="auto"/>
      <w:ind w:firstLine="420" w:firstLineChars="200"/>
    </w:pPr>
    <w:rPr>
      <w:rFonts w:ascii="宋体"/>
      <w:kern w:val="0"/>
      <w:sz w:val="34"/>
      <w:szCs w:val="20"/>
    </w:rPr>
  </w:style>
  <w:style w:type="paragraph" w:customStyle="1" w:styleId="38">
    <w:name w:val="列表段落1"/>
    <w:basedOn w:val="1"/>
    <w:qFormat/>
    <w:uiPriority w:val="0"/>
    <w:pPr>
      <w:autoSpaceDE/>
      <w:autoSpaceDN/>
      <w:adjustRightInd/>
      <w:ind w:firstLine="420" w:firstLineChars="200"/>
    </w:pPr>
    <w:rPr>
      <w:rFonts w:ascii="Calibri" w:hAnsi="Calibri" w:eastAsia="宋体" w:cs="Times New Roman"/>
      <w:color w:val="auto"/>
      <w:kern w:val="2"/>
      <w:szCs w:val="22"/>
    </w:rPr>
  </w:style>
  <w:style w:type="paragraph" w:customStyle="1" w:styleId="39">
    <w:name w:val="彩色列表 - 强调文字颜色 11"/>
    <w:basedOn w:val="1"/>
    <w:qFormat/>
    <w:uiPriority w:val="99"/>
    <w:pPr>
      <w:adjustRightInd/>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5809</Words>
  <Characters>6000</Characters>
  <Lines>23</Lines>
  <Paragraphs>6</Paragraphs>
  <TotalTime>22</TotalTime>
  <ScaleCrop>false</ScaleCrop>
  <LinksUpToDate>false</LinksUpToDate>
  <CharactersWithSpaces>6002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2024-07-15T01:07:00Z</dcterms:created>
  <dc:creator>k i ng</dc:creator>
  <cp:lastModifiedBy>路飞</cp:lastModifiedBy>
  <dcterms:modified xsi:type="dcterms:W3CDTF">2025-03-12T06:28:51Z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ACB7BAA7EA4D46608A763074CD1DDE04</vt:lpwstr>
  </property>
  <property fmtid="{D5CDD505-2E9C-101B-9397-08002B2CF9AE}" pid="4" name="KSOTemplateDocerSaveRecord">
    <vt:lpwstr>eyJoZGlkIjoiOGY5ZDhmYTFkMmNmMjcwMzdkMjNhYmVlZTExMGExZjgiLCJ1c2VySWQiOiI3MTQxNzcxODMifQ==</vt:lpwstr>
  </property>
</Properties>
</file>