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4C7CE6">
      <w:pPr>
        <w:autoSpaceDE w:val="0"/>
        <w:autoSpaceDN w:val="0"/>
        <w:adjustRightInd w:val="0"/>
        <w:spacing w:line="360" w:lineRule="auto"/>
        <w:ind w:firstLine="0" w:firstLineChars="0"/>
        <w:jc w:val="center"/>
        <w:rPr>
          <w:rFonts w:ascii="宋体" w:hAnsi="宋体" w:cs="宋体"/>
          <w:b/>
          <w:color w:val="000000"/>
          <w:kern w:val="0"/>
          <w:sz w:val="32"/>
          <w:szCs w:val="32"/>
        </w:rPr>
      </w:pPr>
      <w:r>
        <w:rPr>
          <w:rFonts w:hint="eastAsia" w:ascii="宋体" w:hAnsi="宋体" w:cs="宋体"/>
          <w:b/>
          <w:color w:val="000000"/>
          <w:kern w:val="0"/>
          <w:sz w:val="32"/>
          <w:szCs w:val="32"/>
        </w:rPr>
        <w:t>工程清单编制说明</w:t>
      </w:r>
    </w:p>
    <w:p w14:paraId="18DF2CA7">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一、工程概况</w:t>
      </w:r>
    </w:p>
    <w:p w14:paraId="50904666">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1、工程名称：</w:t>
      </w:r>
      <w:r>
        <w:rPr>
          <w:rFonts w:hint="eastAsia" w:ascii="宋体" w:hAnsi="宋体" w:eastAsia="宋体" w:cs="宋体"/>
          <w:sz w:val="28"/>
          <w:szCs w:val="28"/>
          <w:lang w:val="en-US" w:eastAsia="zh-CN"/>
        </w:rPr>
        <w:t>浙江省十里丰监狱</w:t>
      </w:r>
      <w:r>
        <w:rPr>
          <w:rFonts w:hint="eastAsia" w:ascii="宋体" w:hAnsi="宋体" w:eastAsia="宋体" w:cs="宋体"/>
          <w:sz w:val="28"/>
          <w:szCs w:val="28"/>
        </w:rPr>
        <w:t>武警十八中队电气线路改造工程。</w:t>
      </w:r>
    </w:p>
    <w:p w14:paraId="443D531F">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2、工程规模：本项目为</w:t>
      </w:r>
      <w:r>
        <w:rPr>
          <w:rFonts w:hint="eastAsia" w:ascii="宋体" w:hAnsi="宋体" w:eastAsia="宋体" w:cs="宋体"/>
          <w:sz w:val="28"/>
          <w:szCs w:val="28"/>
          <w:lang w:val="en-US" w:eastAsia="zh-CN"/>
        </w:rPr>
        <w:t>浙江省十里丰监狱</w:t>
      </w:r>
      <w:r>
        <w:rPr>
          <w:rFonts w:hint="eastAsia" w:ascii="宋体" w:hAnsi="宋体" w:eastAsia="宋体" w:cs="宋体"/>
          <w:sz w:val="28"/>
          <w:szCs w:val="28"/>
        </w:rPr>
        <w:t>武</w:t>
      </w:r>
      <w:bookmarkStart w:id="0" w:name="_GoBack"/>
      <w:bookmarkEnd w:id="0"/>
      <w:r>
        <w:rPr>
          <w:rFonts w:hint="eastAsia" w:ascii="宋体" w:hAnsi="宋体" w:eastAsia="宋体" w:cs="宋体"/>
          <w:sz w:val="28"/>
          <w:szCs w:val="28"/>
        </w:rPr>
        <w:t>警十八中队电气线路改造工程，主要工作内容为</w:t>
      </w:r>
      <w:r>
        <w:rPr>
          <w:rFonts w:hint="eastAsia" w:ascii="宋体" w:hAnsi="宋体" w:eastAsia="宋体" w:cs="宋体"/>
          <w:sz w:val="28"/>
          <w:szCs w:val="28"/>
          <w:lang w:val="en-US" w:eastAsia="zh-CN"/>
        </w:rPr>
        <w:t>电气线路进行改造、</w:t>
      </w:r>
      <w:r>
        <w:rPr>
          <w:rFonts w:hint="eastAsia" w:ascii="宋体" w:hAnsi="宋体" w:eastAsia="宋体" w:cs="宋体"/>
          <w:sz w:val="28"/>
          <w:szCs w:val="28"/>
          <w:lang w:eastAsia="zh-CN"/>
        </w:rPr>
        <w:t>敷设</w:t>
      </w:r>
      <w:r>
        <w:rPr>
          <w:rFonts w:hint="eastAsia" w:ascii="宋体" w:hAnsi="宋体" w:eastAsia="宋体" w:cs="宋体"/>
          <w:sz w:val="28"/>
          <w:szCs w:val="28"/>
          <w:lang w:val="en-US" w:eastAsia="zh-CN"/>
        </w:rPr>
        <w:t>电力电缆、新增低压开关柜、配电箱</w:t>
      </w:r>
      <w:r>
        <w:rPr>
          <w:rFonts w:hint="eastAsia" w:ascii="宋体" w:hAnsi="宋体" w:eastAsia="宋体" w:cs="宋体"/>
          <w:sz w:val="28"/>
          <w:szCs w:val="28"/>
        </w:rPr>
        <w:t>等。</w:t>
      </w:r>
    </w:p>
    <w:p w14:paraId="7CC5C3B4">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3、工程地点：</w:t>
      </w:r>
      <w:r>
        <w:rPr>
          <w:rFonts w:hint="eastAsia" w:ascii="宋体" w:hAnsi="宋体" w:eastAsia="宋体" w:cs="宋体"/>
          <w:sz w:val="28"/>
          <w:szCs w:val="28"/>
          <w:lang w:val="en-US" w:eastAsia="zh-CN"/>
        </w:rPr>
        <w:t>浙江省十里丰监狱西龙</w:t>
      </w:r>
      <w:r>
        <w:rPr>
          <w:rFonts w:hint="eastAsia" w:ascii="宋体" w:hAnsi="宋体" w:eastAsia="宋体" w:cs="宋体"/>
          <w:sz w:val="28"/>
          <w:szCs w:val="28"/>
        </w:rPr>
        <w:t>。</w:t>
      </w:r>
    </w:p>
    <w:p w14:paraId="6E2BDB19">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二、编制依据：</w:t>
      </w:r>
    </w:p>
    <w:p w14:paraId="529AD685">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1、《建设工程工程量清单计价规范》(GB50500-2013)及浙江省有关补充规定；</w:t>
      </w:r>
    </w:p>
    <w:p w14:paraId="20979356">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2、浙江省建筑工程计价规则（2018版）；</w:t>
      </w:r>
    </w:p>
    <w:p w14:paraId="6EB16D8D">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3、浙江省工程预算定额（2018版）；</w:t>
      </w:r>
    </w:p>
    <w:p w14:paraId="77A9D593">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4、施工取费按浙江省建设工程计价规则（2018版）；</w:t>
      </w:r>
    </w:p>
    <w:p w14:paraId="5C485134">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5、浙江省、衢州市有关文件及法律法规和省造价管理总站的有关定额解释及衢州</w:t>
      </w:r>
      <w:r>
        <w:rPr>
          <w:rFonts w:hint="eastAsia" w:ascii="宋体" w:hAnsi="宋体" w:eastAsia="宋体" w:cs="宋体"/>
          <w:sz w:val="28"/>
          <w:szCs w:val="28"/>
          <w:lang w:val="en-US" w:eastAsia="zh-CN"/>
        </w:rPr>
        <w:t>2025年第2期</w:t>
      </w:r>
      <w:r>
        <w:rPr>
          <w:rFonts w:hint="eastAsia" w:ascii="宋体" w:hAnsi="宋体" w:eastAsia="宋体" w:cs="宋体"/>
          <w:sz w:val="28"/>
          <w:szCs w:val="28"/>
        </w:rPr>
        <w:t>造价信息、浙江省</w:t>
      </w:r>
      <w:r>
        <w:rPr>
          <w:rFonts w:hint="eastAsia" w:ascii="宋体" w:hAnsi="宋体" w:eastAsia="宋体" w:cs="宋体"/>
          <w:sz w:val="28"/>
          <w:szCs w:val="28"/>
          <w:lang w:val="en-US" w:eastAsia="zh-CN"/>
        </w:rPr>
        <w:t>2025年第</w:t>
      </w:r>
      <w:r>
        <w:rPr>
          <w:rFonts w:hint="eastAsia" w:cs="宋体"/>
          <w:sz w:val="28"/>
          <w:szCs w:val="28"/>
          <w:lang w:val="en-US" w:eastAsia="zh-CN"/>
        </w:rPr>
        <w:t>2</w:t>
      </w:r>
      <w:r>
        <w:rPr>
          <w:rFonts w:hint="eastAsia" w:ascii="宋体" w:hAnsi="宋体" w:eastAsia="宋体" w:cs="宋体"/>
          <w:sz w:val="28"/>
          <w:szCs w:val="28"/>
          <w:lang w:val="en-US" w:eastAsia="zh-CN"/>
        </w:rPr>
        <w:t>期</w:t>
      </w:r>
      <w:r>
        <w:rPr>
          <w:rFonts w:hint="eastAsia" w:ascii="宋体" w:hAnsi="宋体" w:eastAsia="宋体" w:cs="宋体"/>
          <w:sz w:val="28"/>
          <w:szCs w:val="28"/>
        </w:rPr>
        <w:t>造价信息；</w:t>
      </w:r>
    </w:p>
    <w:p w14:paraId="6D385CC0">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6、中城科泽工程设计集团有限责任公司图纸；</w:t>
      </w:r>
    </w:p>
    <w:p w14:paraId="759CF6FC">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7、业主对工程要求。</w:t>
      </w:r>
    </w:p>
    <w:p w14:paraId="5388BFB7">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三、编制说明：</w:t>
      </w:r>
    </w:p>
    <w:p w14:paraId="7F59CBAA">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1、投标单位在投标报价时结合业主提供的书面资料及施工图综合考虑投标报价，清单项目特征未能对各节点详图进行完全性描述的必须按施工图或施工图注明图集进行报价，否则视为已计入相应项目综合单价中，中标后将不调整综合单价。</w:t>
      </w:r>
    </w:p>
    <w:p w14:paraId="3F538DAA">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2、施工图做法与清单不一致时，请在招标答疑时提出，否则以清单内容为准进行报价。</w:t>
      </w:r>
    </w:p>
    <w:p w14:paraId="4A760F56">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3、中标单位在施工中产生的水电费用由施工单位单独装表计量支付。</w:t>
      </w:r>
    </w:p>
    <w:p w14:paraId="775D24DF">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4、定额人工及市场人工价差调整按省市相关规定自行报价，中标后不做调整。</w:t>
      </w:r>
    </w:p>
    <w:p w14:paraId="7493BEBD">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5、因施工引起砼地坪、绿化破损、移植及修复，管、沟遇障碍物避让破路及修复，废弃雨、污井、池等空洞回填夯实，有些清单未具体注明(招标控制价已考虑)，但要投标单位全部考虑，中标后施工单位按业主要求完成，不得以未列项、漏项增加。</w:t>
      </w:r>
    </w:p>
    <w:p w14:paraId="29DE7A14">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6、施工区域内废弃物品、建筑垃圾、多余土方由施工单位拆除、外运。业主利用物品搬至业主指定地方堆放，其它有残值的物品折价考虑在相应综合单价或其它技术措施费中，中标后不做调整。</w:t>
      </w:r>
    </w:p>
    <w:p w14:paraId="6A3F62F9">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7、因业主特殊环境，开标后开、停工时间确立及施工期间不可抗力造成损失投标单位报价时自行考虑，综合考虑在其它技术措施费中，中标后不做调整。</w:t>
      </w:r>
    </w:p>
    <w:p w14:paraId="76F0F435">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8、安全提示条(牌)，三通一平，道路及现场封闭维护，现场封闭维护材质及方案报业主同意后方可施工，因改造零星破损修缮、明或暗装引起修复，施工配合，材料搬运，场地保洁，垂直运输，特殊环境施工增加费(每人每日进场及收工审批检查的误工费等)等费用均列入相应综合单价中或在其他技术措施费里考虑。如需要增加的请计入到其他技术措施费一项中，投标时未列项、漏项的均按优惠考虑。</w:t>
      </w:r>
    </w:p>
    <w:p w14:paraId="06493C25">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9、本工程项目特征未祥之处均按规范执行并满足业主使用要求，清单中不一一描述，相应费用考虑在综合单价中，中标后将不调整综合单价。</w:t>
      </w:r>
    </w:p>
    <w:p w14:paraId="403C25B3">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10、本工程中所涉及到的所有材料品质均为合格品以上，环保要求必须达到国家强制性标准以上。</w:t>
      </w:r>
    </w:p>
    <w:p w14:paraId="51E1AC2B">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四、各费率取费表</w:t>
      </w:r>
    </w:p>
    <w:p w14:paraId="1D558342">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 xml:space="preserve">序号 项目名称 计算基数 费率（%） </w:t>
      </w:r>
    </w:p>
    <w:p w14:paraId="751CBF80">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1、规费 安装工程 人工费+机械费 30.63</w:t>
      </w:r>
    </w:p>
    <w:p w14:paraId="17842E54">
      <w:pPr>
        <w:pStyle w:val="4"/>
        <w:keepNext w:val="0"/>
        <w:keepLines w:val="0"/>
        <w:widowControl/>
        <w:suppressLineNumbers w:val="0"/>
        <w:spacing w:before="0" w:beforeAutospacing="0" w:after="0" w:afterAutospacing="0"/>
        <w:ind w:left="0" w:right="0" w:firstLine="840" w:firstLineChars="300"/>
        <w:rPr>
          <w:sz w:val="28"/>
          <w:szCs w:val="28"/>
        </w:rPr>
      </w:pPr>
      <w:r>
        <w:rPr>
          <w:rFonts w:hint="eastAsia" w:ascii="宋体" w:hAnsi="宋体" w:eastAsia="宋体" w:cs="宋体"/>
          <w:sz w:val="28"/>
          <w:szCs w:val="28"/>
        </w:rPr>
        <w:t>市政工程 人工费+机械费 18.75</w:t>
      </w:r>
    </w:p>
    <w:p w14:paraId="55AADC4C">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 xml:space="preserve">2、税金 9.00 </w:t>
      </w:r>
    </w:p>
    <w:p w14:paraId="5BC1A0FA">
      <w:pPr>
        <w:pStyle w:val="4"/>
        <w:keepNext w:val="0"/>
        <w:keepLines w:val="0"/>
        <w:widowControl/>
        <w:suppressLineNumbers w:val="0"/>
        <w:spacing w:before="0" w:beforeAutospacing="0" w:after="0" w:afterAutospacing="0"/>
        <w:ind w:left="0" w:right="0" w:firstLine="840" w:firstLineChars="300"/>
        <w:rPr>
          <w:sz w:val="28"/>
          <w:szCs w:val="28"/>
        </w:rPr>
      </w:pPr>
      <w:r>
        <w:rPr>
          <w:rFonts w:hint="eastAsia" w:ascii="宋体" w:hAnsi="宋体" w:eastAsia="宋体" w:cs="宋体"/>
          <w:sz w:val="28"/>
          <w:szCs w:val="28"/>
        </w:rPr>
        <w:t>安全文明施工基本费</w:t>
      </w:r>
    </w:p>
    <w:p w14:paraId="66D2F054">
      <w:pPr>
        <w:pStyle w:val="4"/>
        <w:keepNext w:val="0"/>
        <w:keepLines w:val="0"/>
        <w:widowControl/>
        <w:suppressLineNumbers w:val="0"/>
        <w:spacing w:before="0" w:beforeAutospacing="0" w:after="0" w:afterAutospacing="0"/>
        <w:ind w:left="0" w:right="0" w:firstLine="840" w:firstLineChars="300"/>
        <w:rPr>
          <w:sz w:val="28"/>
          <w:szCs w:val="28"/>
        </w:rPr>
      </w:pPr>
      <w:r>
        <w:rPr>
          <w:rFonts w:hint="eastAsia" w:ascii="宋体" w:hAnsi="宋体" w:eastAsia="宋体" w:cs="宋体"/>
          <w:sz w:val="28"/>
          <w:szCs w:val="28"/>
        </w:rPr>
        <w:t>安装工程 非市区工程 人工费+机械费 6.13~7.49</w:t>
      </w:r>
    </w:p>
    <w:p w14:paraId="202162C1">
      <w:pPr>
        <w:pStyle w:val="4"/>
        <w:keepNext w:val="0"/>
        <w:keepLines w:val="0"/>
        <w:widowControl/>
        <w:suppressLineNumbers w:val="0"/>
        <w:spacing w:before="0" w:beforeAutospacing="0" w:after="0" w:afterAutospacing="0"/>
        <w:ind w:left="0" w:right="0" w:firstLine="840" w:firstLineChars="300"/>
        <w:rPr>
          <w:sz w:val="28"/>
          <w:szCs w:val="28"/>
        </w:rPr>
      </w:pPr>
      <w:r>
        <w:rPr>
          <w:rFonts w:hint="eastAsia" w:ascii="宋体" w:hAnsi="宋体" w:eastAsia="宋体" w:cs="宋体"/>
          <w:sz w:val="28"/>
          <w:szCs w:val="28"/>
        </w:rPr>
        <w:t>市政工程 非市区工程 人工费+机械费 7.56~9.23</w:t>
      </w:r>
    </w:p>
    <w:p w14:paraId="51A346E7">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五、暂定品牌部分：备选品牌投标单位在报价时必须选其一，并在主材表或编制说明中注明所选品牌；没有注明所选品牌的，不作废标处理，但评标委员会将认定投标人同意招标文件规定的备选品牌；施工时，招标人有权决定选用招标文件规定备选品牌中的任一品牌，单价不变，具体详见品牌推荐表。</w:t>
      </w:r>
    </w:p>
    <w:p w14:paraId="2D85A232">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1、非金属管材：</w:t>
      </w:r>
      <w:r>
        <w:rPr>
          <w:rFonts w:hint="eastAsia" w:ascii="宋体" w:hAnsi="宋体" w:eastAsia="宋体" w:cs="宋体"/>
          <w:sz w:val="28"/>
          <w:szCs w:val="28"/>
          <w:lang w:val="zh-CN" w:eastAsia="zh-CN"/>
        </w:rPr>
        <w:t>中财管道</w:t>
      </w:r>
      <w:r>
        <w:rPr>
          <w:rFonts w:hint="eastAsia" w:ascii="宋体" w:hAnsi="宋体" w:eastAsia="宋体" w:cs="宋体"/>
          <w:sz w:val="28"/>
          <w:szCs w:val="28"/>
          <w:lang w:val="en-US" w:eastAsia="zh-CN"/>
        </w:rPr>
        <w:t>ZHONGCAI（</w:t>
      </w:r>
      <w:r>
        <w:rPr>
          <w:rFonts w:hint="eastAsia" w:ascii="宋体" w:hAnsi="宋体" w:eastAsia="宋体" w:cs="宋体"/>
          <w:sz w:val="28"/>
          <w:szCs w:val="28"/>
          <w:lang w:val="zh-CN" w:eastAsia="zh-CN"/>
        </w:rPr>
        <w:t>绍兴</w:t>
      </w:r>
      <w:r>
        <w:rPr>
          <w:rFonts w:hint="eastAsia" w:ascii="宋体" w:hAnsi="宋体" w:eastAsia="宋体" w:cs="宋体"/>
          <w:sz w:val="28"/>
          <w:szCs w:val="28"/>
          <w:lang w:val="en-US" w:eastAsia="zh-CN"/>
        </w:rPr>
        <w:t>）</w:t>
      </w:r>
      <w:r>
        <w:rPr>
          <w:rFonts w:hint="eastAsia" w:ascii="宋体" w:hAnsi="宋体" w:eastAsia="宋体" w:cs="宋体"/>
          <w:sz w:val="28"/>
          <w:szCs w:val="28"/>
          <w:lang w:val="zh-CN" w:eastAsia="zh-CN"/>
        </w:rPr>
        <w:t>、伟星新材</w:t>
      </w:r>
      <w:r>
        <w:rPr>
          <w:rFonts w:hint="eastAsia" w:ascii="宋体" w:hAnsi="宋体" w:eastAsia="宋体" w:cs="宋体"/>
          <w:sz w:val="28"/>
          <w:szCs w:val="28"/>
          <w:lang w:val="en-US" w:eastAsia="zh-CN"/>
        </w:rPr>
        <w:t>vasen（</w:t>
      </w:r>
      <w:r>
        <w:rPr>
          <w:rFonts w:hint="eastAsia" w:ascii="宋体" w:hAnsi="宋体" w:eastAsia="宋体" w:cs="宋体"/>
          <w:sz w:val="28"/>
          <w:szCs w:val="28"/>
          <w:lang w:val="zh-CN" w:eastAsia="zh-CN"/>
        </w:rPr>
        <w:t>台州</w:t>
      </w:r>
      <w:r>
        <w:rPr>
          <w:rFonts w:hint="eastAsia" w:ascii="宋体" w:hAnsi="宋体" w:eastAsia="宋体" w:cs="宋体"/>
          <w:sz w:val="28"/>
          <w:szCs w:val="28"/>
          <w:lang w:val="en-US" w:eastAsia="zh-CN"/>
        </w:rPr>
        <w:t>）</w:t>
      </w:r>
      <w:r>
        <w:rPr>
          <w:rFonts w:hint="eastAsia" w:ascii="宋体" w:hAnsi="宋体" w:eastAsia="宋体" w:cs="宋体"/>
          <w:sz w:val="28"/>
          <w:szCs w:val="28"/>
          <w:lang w:val="zh-CN" w:eastAsia="zh-CN"/>
        </w:rPr>
        <w:t>、公元</w:t>
      </w:r>
      <w:r>
        <w:rPr>
          <w:rFonts w:hint="eastAsia" w:ascii="宋体" w:hAnsi="宋体" w:eastAsia="宋体" w:cs="宋体"/>
          <w:sz w:val="28"/>
          <w:szCs w:val="28"/>
          <w:lang w:val="en-US" w:eastAsia="zh-CN"/>
        </w:rPr>
        <w:t>ERA（</w:t>
      </w:r>
      <w:r>
        <w:rPr>
          <w:rFonts w:hint="eastAsia" w:ascii="宋体" w:hAnsi="宋体" w:eastAsia="宋体" w:cs="宋体"/>
          <w:sz w:val="28"/>
          <w:szCs w:val="28"/>
          <w:lang w:val="zh-CN" w:eastAsia="zh-CN"/>
        </w:rPr>
        <w:t>台州</w:t>
      </w:r>
      <w:r>
        <w:rPr>
          <w:rFonts w:hint="eastAsia" w:ascii="宋体" w:hAnsi="宋体" w:eastAsia="宋体" w:cs="宋体"/>
          <w:sz w:val="28"/>
          <w:szCs w:val="28"/>
          <w:lang w:val="en-US" w:eastAsia="zh-CN"/>
        </w:rPr>
        <w:t>）</w:t>
      </w:r>
      <w:r>
        <w:rPr>
          <w:rFonts w:hint="eastAsia" w:ascii="宋体" w:hAnsi="宋体" w:eastAsia="宋体" w:cs="宋体"/>
          <w:sz w:val="28"/>
          <w:szCs w:val="28"/>
          <w:lang w:val="zh-CN" w:eastAsia="zh-CN"/>
        </w:rPr>
        <w:t>、金德</w:t>
      </w:r>
      <w:r>
        <w:rPr>
          <w:rFonts w:hint="eastAsia" w:ascii="宋体" w:hAnsi="宋体" w:eastAsia="宋体" w:cs="宋体"/>
          <w:sz w:val="28"/>
          <w:szCs w:val="28"/>
          <w:lang w:val="en-US" w:eastAsia="zh-CN"/>
        </w:rPr>
        <w:t>Ginde（</w:t>
      </w:r>
      <w:r>
        <w:rPr>
          <w:rFonts w:hint="eastAsia" w:ascii="宋体" w:hAnsi="宋体" w:eastAsia="宋体" w:cs="宋体"/>
          <w:sz w:val="28"/>
          <w:szCs w:val="28"/>
          <w:lang w:val="zh-CN" w:eastAsia="zh-CN"/>
        </w:rPr>
        <w:t>沈阳</w:t>
      </w:r>
      <w:r>
        <w:rPr>
          <w:rFonts w:hint="eastAsia" w:ascii="宋体" w:hAnsi="宋体" w:eastAsia="宋体" w:cs="宋体"/>
          <w:sz w:val="28"/>
          <w:szCs w:val="28"/>
          <w:lang w:val="en-US" w:eastAsia="zh-CN"/>
        </w:rPr>
        <w:t>）</w:t>
      </w:r>
      <w:r>
        <w:rPr>
          <w:rFonts w:hint="eastAsia" w:ascii="宋体" w:hAnsi="宋体" w:eastAsia="宋体" w:cs="宋体"/>
          <w:sz w:val="28"/>
          <w:szCs w:val="28"/>
          <w:lang w:val="zh-CN" w:eastAsia="zh-CN"/>
        </w:rPr>
        <w:t>、上海白蝶</w:t>
      </w:r>
      <w:r>
        <w:rPr>
          <w:rFonts w:hint="eastAsia" w:ascii="宋体" w:hAnsi="宋体" w:eastAsia="宋体" w:cs="宋体"/>
          <w:sz w:val="28"/>
          <w:szCs w:val="28"/>
          <w:lang w:val="en-US" w:eastAsia="zh-CN"/>
        </w:rPr>
        <w:t>（</w:t>
      </w:r>
      <w:r>
        <w:rPr>
          <w:rFonts w:hint="eastAsia" w:ascii="宋体" w:hAnsi="宋体" w:eastAsia="宋体" w:cs="宋体"/>
          <w:sz w:val="28"/>
          <w:szCs w:val="28"/>
          <w:lang w:val="zh-CN" w:eastAsia="zh-CN"/>
        </w:rPr>
        <w:t>上海</w:t>
      </w:r>
      <w:r>
        <w:rPr>
          <w:rFonts w:hint="eastAsia" w:ascii="宋体" w:hAnsi="宋体" w:eastAsia="宋体" w:cs="宋体"/>
          <w:sz w:val="28"/>
          <w:szCs w:val="28"/>
          <w:lang w:val="en-US" w:eastAsia="zh-CN"/>
        </w:rPr>
        <w:t>）</w:t>
      </w:r>
      <w:r>
        <w:rPr>
          <w:rFonts w:hint="eastAsia" w:ascii="宋体" w:hAnsi="宋体" w:eastAsia="宋体" w:cs="宋体"/>
          <w:sz w:val="28"/>
          <w:szCs w:val="28"/>
        </w:rPr>
        <w:t xml:space="preserve"> 优等品；</w:t>
      </w:r>
    </w:p>
    <w:p w14:paraId="35688742">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2、金属管材：</w:t>
      </w:r>
      <w:r>
        <w:rPr>
          <w:rFonts w:hint="eastAsia" w:ascii="宋体" w:hAnsi="宋体" w:eastAsia="宋体" w:cs="宋体"/>
          <w:sz w:val="28"/>
          <w:szCs w:val="28"/>
          <w:lang w:val="zh-CN" w:eastAsia="zh-CN"/>
        </w:rPr>
        <w:t>金洲</w:t>
      </w:r>
      <w:r>
        <w:rPr>
          <w:rFonts w:hint="eastAsia" w:ascii="宋体" w:hAnsi="宋体" w:eastAsia="宋体" w:cs="宋体"/>
          <w:sz w:val="28"/>
          <w:szCs w:val="28"/>
          <w:lang w:val="en-US" w:eastAsia="zh-CN"/>
        </w:rPr>
        <w:t>Kingland(</w:t>
      </w:r>
      <w:r>
        <w:rPr>
          <w:rFonts w:hint="eastAsia" w:ascii="宋体" w:hAnsi="宋体" w:eastAsia="宋体" w:cs="宋体"/>
          <w:sz w:val="28"/>
          <w:szCs w:val="28"/>
          <w:lang w:val="zh-CN" w:eastAsia="zh-CN"/>
        </w:rPr>
        <w:t>湖州</w:t>
      </w:r>
      <w:r>
        <w:rPr>
          <w:rFonts w:hint="eastAsia" w:ascii="宋体" w:hAnsi="宋体" w:eastAsia="宋体" w:cs="宋体"/>
          <w:sz w:val="28"/>
          <w:szCs w:val="28"/>
          <w:lang w:val="en-US" w:eastAsia="zh-CN"/>
        </w:rPr>
        <w:t>)</w:t>
      </w:r>
      <w:r>
        <w:rPr>
          <w:rFonts w:hint="eastAsia" w:ascii="宋体" w:hAnsi="宋体" w:eastAsia="宋体" w:cs="宋体"/>
          <w:sz w:val="28"/>
          <w:szCs w:val="28"/>
          <w:lang w:val="zh-CN" w:eastAsia="zh-CN"/>
        </w:rPr>
        <w:t>、天应泰(天津)、友发(天津)</w:t>
      </w:r>
      <w:r>
        <w:rPr>
          <w:rFonts w:hint="eastAsia" w:ascii="宋体" w:hAnsi="宋体" w:eastAsia="宋体" w:cs="宋体"/>
          <w:sz w:val="28"/>
          <w:szCs w:val="28"/>
        </w:rPr>
        <w:t xml:space="preserve"> 优等品；</w:t>
      </w:r>
    </w:p>
    <w:p w14:paraId="2D0D7210">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3、低压断路器：杭州之江、浙江常控、华通电气 优等品；</w:t>
      </w:r>
    </w:p>
    <w:p w14:paraId="22B481D4">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4、互感器：金华互感器厂、浙江天际、浙江东华 优等品；</w:t>
      </w:r>
    </w:p>
    <w:p w14:paraId="24A81FAF">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5、箱变、柜厂家：浙江辉博、浙江衢州华通、浙江川力 优等品；</w:t>
      </w:r>
    </w:p>
    <w:p w14:paraId="398B193F">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6、仪表：浙江南井、双吉电气、安科瑞 优等品；</w:t>
      </w:r>
    </w:p>
    <w:p w14:paraId="12F65B2B">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7、电线电缆：亘古（浙江）、万马(浙江)、科齐(浙江)、启超（浙江）、上上（江苏） 优等品；</w:t>
      </w:r>
    </w:p>
    <w:p w14:paraId="17288831">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8、水泥：江山虎（衢州）、尖峰（金华）、虎山（衢州）、红狮（金华） 优等品；</w:t>
      </w:r>
    </w:p>
    <w:p w14:paraId="4EA7F31A">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9、钢筋：元立（丽水）、沙钢（江苏）、本钢（本溪）、西城（江苏） 优等品；</w:t>
      </w:r>
    </w:p>
    <w:p w14:paraId="5B3324A9">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10、镀锌钢管：金洲Kingland（湖州）、天应泰（天津）、友发（天津） 优等品；</w:t>
      </w:r>
    </w:p>
    <w:p w14:paraId="3F2A3EB9">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11、配电箱(不锈钢外壳，内部元器件)：德力西DELIXI（温州）、正泰CHINT（温州）、人民PEOPLE（温州）、飞雕Feidiao（上海）、长城CNC（温州） 优等品；</w:t>
      </w:r>
    </w:p>
    <w:p w14:paraId="01F3A820">
      <w:pPr>
        <w:pStyle w:val="4"/>
        <w:keepNext w:val="0"/>
        <w:keepLines w:val="0"/>
        <w:widowControl/>
        <w:suppressLineNumbers w:val="0"/>
        <w:spacing w:before="0" w:beforeAutospacing="0" w:after="0" w:afterAutospacing="0"/>
        <w:ind w:left="0" w:right="0" w:firstLine="0"/>
        <w:rPr>
          <w:sz w:val="28"/>
          <w:szCs w:val="28"/>
        </w:rPr>
      </w:pPr>
      <w:r>
        <w:rPr>
          <w:rFonts w:hint="eastAsia" w:ascii="宋体" w:hAnsi="宋体" w:eastAsia="宋体" w:cs="宋体"/>
          <w:sz w:val="28"/>
          <w:szCs w:val="28"/>
        </w:rPr>
        <w:t>六、大型机械每天进出及夜间施工增加费，费用由施工单位自行考虑；</w:t>
      </w:r>
    </w:p>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420"/>
      </w:pPr>
      <w:r>
        <w:separator/>
      </w:r>
    </w:p>
  </w:endnote>
  <w:endnote w:type="continuationSeparator" w:id="1">
    <w:p>
      <w:pPr>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E41A3F">
    <w:pPr>
      <w:pStyle w:val="2"/>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411075">
    <w:pPr>
      <w:pStyle w:val="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B4269E">
    <w:pPr>
      <w:pStyle w:val="2"/>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420"/>
      </w:pPr>
      <w:r>
        <w:separator/>
      </w:r>
    </w:p>
  </w:footnote>
  <w:footnote w:type="continuationSeparator" w:id="1">
    <w:p>
      <w:pPr>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546F7E">
    <w:pPr>
      <w:pStyle w:val="3"/>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4A588">
    <w:pPr>
      <w:pStyle w:val="3"/>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3EB65">
    <w:pPr>
      <w:pStyle w:val="3"/>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3A77F85"/>
    <w:rsid w:val="00155D9A"/>
    <w:rsid w:val="00901560"/>
    <w:rsid w:val="00AB00B0"/>
    <w:rsid w:val="00CC08DA"/>
    <w:rsid w:val="0203317A"/>
    <w:rsid w:val="02703F5D"/>
    <w:rsid w:val="032C2C4B"/>
    <w:rsid w:val="04610526"/>
    <w:rsid w:val="04760B19"/>
    <w:rsid w:val="055B6DB1"/>
    <w:rsid w:val="05787DB2"/>
    <w:rsid w:val="058E1B7B"/>
    <w:rsid w:val="06747489"/>
    <w:rsid w:val="067D6438"/>
    <w:rsid w:val="07625D42"/>
    <w:rsid w:val="08520C48"/>
    <w:rsid w:val="0AC961AB"/>
    <w:rsid w:val="0AED494C"/>
    <w:rsid w:val="0C3B0420"/>
    <w:rsid w:val="0C460001"/>
    <w:rsid w:val="0CC43313"/>
    <w:rsid w:val="0D1D175C"/>
    <w:rsid w:val="0D4760D9"/>
    <w:rsid w:val="0F3834F9"/>
    <w:rsid w:val="10DB3A7A"/>
    <w:rsid w:val="12147E7E"/>
    <w:rsid w:val="12E314BA"/>
    <w:rsid w:val="12F30609"/>
    <w:rsid w:val="13940E1A"/>
    <w:rsid w:val="14012534"/>
    <w:rsid w:val="143445EC"/>
    <w:rsid w:val="14697A6C"/>
    <w:rsid w:val="14A44EB5"/>
    <w:rsid w:val="154F63C3"/>
    <w:rsid w:val="15FA6F2D"/>
    <w:rsid w:val="172C39CC"/>
    <w:rsid w:val="176E1192"/>
    <w:rsid w:val="1791713F"/>
    <w:rsid w:val="191E0395"/>
    <w:rsid w:val="19734F92"/>
    <w:rsid w:val="1B3745F0"/>
    <w:rsid w:val="1C4F4518"/>
    <w:rsid w:val="1CE858BD"/>
    <w:rsid w:val="1D9D666C"/>
    <w:rsid w:val="1F200FFA"/>
    <w:rsid w:val="1F8345C2"/>
    <w:rsid w:val="20651763"/>
    <w:rsid w:val="207C5491"/>
    <w:rsid w:val="21B82B7D"/>
    <w:rsid w:val="21E65B82"/>
    <w:rsid w:val="22343584"/>
    <w:rsid w:val="22C4635A"/>
    <w:rsid w:val="2382734A"/>
    <w:rsid w:val="24FC4977"/>
    <w:rsid w:val="262B64CE"/>
    <w:rsid w:val="26994FC5"/>
    <w:rsid w:val="269D4895"/>
    <w:rsid w:val="26D31EC8"/>
    <w:rsid w:val="270D6296"/>
    <w:rsid w:val="27A938A8"/>
    <w:rsid w:val="2A021E21"/>
    <w:rsid w:val="2B803BF1"/>
    <w:rsid w:val="2BD73E59"/>
    <w:rsid w:val="2E825006"/>
    <w:rsid w:val="2E931F8F"/>
    <w:rsid w:val="2FA7110D"/>
    <w:rsid w:val="30272414"/>
    <w:rsid w:val="30F307F7"/>
    <w:rsid w:val="32012804"/>
    <w:rsid w:val="33A77F85"/>
    <w:rsid w:val="34046CA9"/>
    <w:rsid w:val="3547014C"/>
    <w:rsid w:val="368114DD"/>
    <w:rsid w:val="370B5B85"/>
    <w:rsid w:val="379A6F4E"/>
    <w:rsid w:val="390A7E13"/>
    <w:rsid w:val="398117DE"/>
    <w:rsid w:val="3BE378E4"/>
    <w:rsid w:val="3DB86159"/>
    <w:rsid w:val="3E387031"/>
    <w:rsid w:val="3EDF34E4"/>
    <w:rsid w:val="40BE2E8E"/>
    <w:rsid w:val="41FA2993"/>
    <w:rsid w:val="429D2439"/>
    <w:rsid w:val="42E82BA1"/>
    <w:rsid w:val="43861633"/>
    <w:rsid w:val="43E02B59"/>
    <w:rsid w:val="43F913E0"/>
    <w:rsid w:val="45DF0781"/>
    <w:rsid w:val="497F3E48"/>
    <w:rsid w:val="49F92315"/>
    <w:rsid w:val="4A0A4B3D"/>
    <w:rsid w:val="4D5F0656"/>
    <w:rsid w:val="4D99327A"/>
    <w:rsid w:val="4DC1641A"/>
    <w:rsid w:val="4FE76532"/>
    <w:rsid w:val="50585BB1"/>
    <w:rsid w:val="50EB58F2"/>
    <w:rsid w:val="5223138E"/>
    <w:rsid w:val="52C017AE"/>
    <w:rsid w:val="532B314A"/>
    <w:rsid w:val="532D3961"/>
    <w:rsid w:val="555C7431"/>
    <w:rsid w:val="56243F92"/>
    <w:rsid w:val="564F4F92"/>
    <w:rsid w:val="57C45F88"/>
    <w:rsid w:val="57EC6C0A"/>
    <w:rsid w:val="5834378D"/>
    <w:rsid w:val="58580761"/>
    <w:rsid w:val="59FF0D46"/>
    <w:rsid w:val="5A5D05FC"/>
    <w:rsid w:val="5A932EA1"/>
    <w:rsid w:val="5AE35BA6"/>
    <w:rsid w:val="5C192985"/>
    <w:rsid w:val="5C947770"/>
    <w:rsid w:val="5CC4437F"/>
    <w:rsid w:val="5D140E85"/>
    <w:rsid w:val="5D364E8D"/>
    <w:rsid w:val="5F36675D"/>
    <w:rsid w:val="5FF42682"/>
    <w:rsid w:val="60501295"/>
    <w:rsid w:val="614B76BF"/>
    <w:rsid w:val="615D7965"/>
    <w:rsid w:val="61C757E2"/>
    <w:rsid w:val="63AC1283"/>
    <w:rsid w:val="64465220"/>
    <w:rsid w:val="654E6D39"/>
    <w:rsid w:val="65CB699F"/>
    <w:rsid w:val="65D97277"/>
    <w:rsid w:val="662F7D99"/>
    <w:rsid w:val="66315D67"/>
    <w:rsid w:val="66A63204"/>
    <w:rsid w:val="66A91691"/>
    <w:rsid w:val="67441F6C"/>
    <w:rsid w:val="674E56CF"/>
    <w:rsid w:val="67FA51D7"/>
    <w:rsid w:val="6841625D"/>
    <w:rsid w:val="69B80270"/>
    <w:rsid w:val="6A767734"/>
    <w:rsid w:val="6B65735E"/>
    <w:rsid w:val="6B992859"/>
    <w:rsid w:val="6C345B60"/>
    <w:rsid w:val="6C517B8F"/>
    <w:rsid w:val="6C8454E8"/>
    <w:rsid w:val="6D0523BC"/>
    <w:rsid w:val="6D10249C"/>
    <w:rsid w:val="6DEA3B7D"/>
    <w:rsid w:val="6DEB2E74"/>
    <w:rsid w:val="6E13638F"/>
    <w:rsid w:val="6E1C7F60"/>
    <w:rsid w:val="6E2219EF"/>
    <w:rsid w:val="6E3936FC"/>
    <w:rsid w:val="6E454DAE"/>
    <w:rsid w:val="6E496BAF"/>
    <w:rsid w:val="6F227A08"/>
    <w:rsid w:val="6F890DA7"/>
    <w:rsid w:val="71022712"/>
    <w:rsid w:val="71682782"/>
    <w:rsid w:val="71BD2657"/>
    <w:rsid w:val="723560AB"/>
    <w:rsid w:val="723F73FB"/>
    <w:rsid w:val="72942B9B"/>
    <w:rsid w:val="738C188E"/>
    <w:rsid w:val="74507280"/>
    <w:rsid w:val="749F3594"/>
    <w:rsid w:val="757434F8"/>
    <w:rsid w:val="76B971CB"/>
    <w:rsid w:val="77267A1A"/>
    <w:rsid w:val="77502529"/>
    <w:rsid w:val="775B68A7"/>
    <w:rsid w:val="78851175"/>
    <w:rsid w:val="78BD6F1E"/>
    <w:rsid w:val="79695A2F"/>
    <w:rsid w:val="7A0805FF"/>
    <w:rsid w:val="7A63452A"/>
    <w:rsid w:val="7AF00D46"/>
    <w:rsid w:val="7B6E54CF"/>
    <w:rsid w:val="7C535D97"/>
    <w:rsid w:val="7E124721"/>
    <w:rsid w:val="7E1413B3"/>
    <w:rsid w:val="7E302CA5"/>
    <w:rsid w:val="7E51214B"/>
    <w:rsid w:val="7E9B3FB1"/>
    <w:rsid w:val="7FAE72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00" w:firstLineChars="200"/>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4">
    <w:name w:val="Normal (Web)"/>
    <w:basedOn w:val="1"/>
    <w:qFormat/>
    <w:uiPriority w:val="0"/>
    <w:pPr>
      <w:widowControl/>
      <w:spacing w:before="100" w:beforeAutospacing="1" w:after="100" w:afterAutospacing="1"/>
      <w:jc w:val="left"/>
    </w:pPr>
    <w:rPr>
      <w:rFonts w:ascii="宋体" w:hAnsi="宋体"/>
      <w:color w:val="000000"/>
      <w:kern w:val="0"/>
      <w:sz w:val="24"/>
    </w:rPr>
  </w:style>
  <w:style w:type="table" w:styleId="6">
    <w:name w:val="Table Grid"/>
    <w:basedOn w:val="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1774</Words>
  <Characters>1980</Characters>
  <Lines>0</Lines>
  <Paragraphs>0</Paragraphs>
  <TotalTime>0</TotalTime>
  <ScaleCrop>false</ScaleCrop>
  <LinksUpToDate>false</LinksUpToDate>
  <CharactersWithSpaces>2008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2025-03-18T02:40:00Z</dcterms:created>
  <dc:creator>徐彬</dc:creator>
  <cp:lastModifiedBy>余渭</cp:lastModifiedBy>
  <cp:lastPrinted>2025-03-18T02:57:00Z</cp:lastPrinted>
  <dcterms:modified xsi:type="dcterms:W3CDTF">2025-03-27T01:26:11Z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eyJoZGlkIjoiZDgzN2ZjYmRiNTBjOGUwYmFmYjEzZDViZGQzNGIzYzQiLCJ1c2VySWQiOiI0MjYwMTk5NTEifQ==</vt:lpwstr>
  </property>
  <property fmtid="{D5CDD505-2E9C-101B-9397-08002B2CF9AE}" pid="4" name="ICV">
    <vt:lpwstr>E726C890B7FD44A88AB849C80BCB211B_12</vt:lpwstr>
  </property>
</Properties>
</file>