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color w:val="000000"/>
          <w:kern w:val="0"/>
          <w:sz w:val="48"/>
          <w:szCs w:val="48"/>
          <w:lang w:val="en-US" w:eastAsia="zh-CN" w:bidi="ar"/>
        </w:rPr>
      </w:pPr>
      <w:r>
        <w:rPr>
          <w:rFonts w:hint="eastAsia" w:ascii="宋体" w:hAnsi="宋体" w:eastAsia="宋体" w:cs="宋体"/>
          <w:b/>
          <w:bCs/>
          <w:color w:val="000000"/>
          <w:kern w:val="0"/>
          <w:sz w:val="48"/>
          <w:szCs w:val="48"/>
          <w:lang w:val="en-US" w:eastAsia="zh-CN" w:bidi="ar"/>
        </w:rPr>
        <w:t>编制说明</w:t>
      </w:r>
    </w:p>
    <w:p>
      <w:pPr>
        <w:spacing w:line="500" w:lineRule="exact"/>
        <w:ind w:right="-178" w:rightChars="-85" w:firstLine="236" w:firstLineChars="98"/>
        <w:rPr>
          <w:rFonts w:hint="eastAsia" w:ascii="宋体" w:hAnsi="宋体"/>
          <w:sz w:val="24"/>
          <w:szCs w:val="28"/>
        </w:rPr>
      </w:pPr>
      <w:r>
        <w:rPr>
          <w:rFonts w:hint="eastAsia" w:ascii="宋体" w:hAnsi="宋体"/>
          <w:b/>
          <w:bCs/>
          <w:sz w:val="24"/>
        </w:rPr>
        <w:t>一、工程</w:t>
      </w:r>
      <w:r>
        <w:rPr>
          <w:rFonts w:hint="eastAsia" w:ascii="宋体" w:hAnsi="宋体"/>
          <w:b/>
          <w:bCs/>
          <w:sz w:val="24"/>
          <w:szCs w:val="28"/>
        </w:rPr>
        <w:t>名称：</w:t>
      </w:r>
      <w:r>
        <w:rPr>
          <w:rFonts w:hint="eastAsia" w:ascii="宋体" w:hAnsi="宋体"/>
          <w:sz w:val="24"/>
          <w:szCs w:val="28"/>
          <w:lang w:eastAsia="zh-CN"/>
        </w:rPr>
        <w:t xml:space="preserve">电瓶厂停车场改造   </w:t>
      </w:r>
    </w:p>
    <w:p>
      <w:pPr>
        <w:adjustRightInd w:val="0"/>
        <w:snapToGrid w:val="0"/>
        <w:spacing w:line="500" w:lineRule="exact"/>
        <w:ind w:firstLine="241" w:firstLineChars="100"/>
        <w:rPr>
          <w:rFonts w:ascii="宋体" w:hAnsi="宋体"/>
          <w:color w:val="000000"/>
          <w:sz w:val="24"/>
        </w:rPr>
      </w:pPr>
      <w:r>
        <w:rPr>
          <w:rFonts w:hint="eastAsia" w:ascii="宋体" w:hAnsi="宋体"/>
          <w:b/>
          <w:bCs/>
          <w:sz w:val="24"/>
        </w:rPr>
        <w:t>二、</w:t>
      </w:r>
      <w:r>
        <w:rPr>
          <w:rFonts w:hint="eastAsia" w:ascii="新宋体" w:hAnsi="新宋体" w:eastAsia="新宋体" w:cs="新宋体"/>
          <w:b/>
          <w:bCs/>
          <w:sz w:val="24"/>
        </w:rPr>
        <w:t>编制范围及内容：</w:t>
      </w:r>
      <w:r>
        <w:rPr>
          <w:rFonts w:hint="eastAsia" w:ascii="新宋体" w:hAnsi="新宋体" w:eastAsia="新宋体" w:cs="新宋体"/>
          <w:sz w:val="24"/>
        </w:rPr>
        <w:t>主要包括</w:t>
      </w:r>
      <w:r>
        <w:rPr>
          <w:rFonts w:hint="eastAsia" w:ascii="宋体" w:hAnsi="宋体" w:cs="宋体"/>
          <w:sz w:val="24"/>
          <w:szCs w:val="24"/>
        </w:rPr>
        <w:t>新建膜结构车棚</w:t>
      </w:r>
      <w:r>
        <w:rPr>
          <w:rFonts w:hint="eastAsia" w:ascii="新宋体" w:hAnsi="新宋体" w:eastAsia="新宋体" w:cs="新宋体"/>
          <w:color w:val="000000"/>
          <w:sz w:val="24"/>
          <w:lang w:val="en-US" w:eastAsia="zh-CN"/>
        </w:rPr>
        <w:t>等</w:t>
      </w:r>
      <w:r>
        <w:rPr>
          <w:rFonts w:hint="eastAsia" w:ascii="新宋体" w:hAnsi="新宋体" w:eastAsia="新宋体" w:cs="新宋体"/>
          <w:color w:val="000000"/>
          <w:sz w:val="24"/>
          <w:lang w:eastAsia="zh-CN"/>
        </w:rPr>
        <w:t>，</w:t>
      </w:r>
      <w:r>
        <w:rPr>
          <w:rFonts w:hint="eastAsia" w:ascii="新宋体" w:hAnsi="新宋体" w:eastAsia="新宋体" w:cs="新宋体"/>
          <w:color w:val="000000"/>
          <w:sz w:val="24"/>
          <w:lang w:val="en-US" w:eastAsia="zh-CN"/>
        </w:rPr>
        <w:t>具体</w:t>
      </w:r>
      <w:r>
        <w:rPr>
          <w:rFonts w:hint="eastAsia" w:ascii="新宋体" w:hAnsi="新宋体" w:eastAsia="新宋体" w:cs="新宋体"/>
          <w:color w:val="000000"/>
          <w:sz w:val="24"/>
        </w:rPr>
        <w:t>详见施工图纸。</w:t>
      </w:r>
    </w:p>
    <w:p>
      <w:pPr>
        <w:spacing w:line="500" w:lineRule="exact"/>
        <w:ind w:right="-178" w:rightChars="-85" w:firstLine="236" w:firstLineChars="98"/>
        <w:rPr>
          <w:rFonts w:ascii="宋体" w:hAnsi="宋体"/>
          <w:b/>
          <w:bCs/>
          <w:sz w:val="24"/>
        </w:rPr>
      </w:pPr>
      <w:r>
        <w:rPr>
          <w:rFonts w:hint="eastAsia" w:ascii="宋体" w:hAnsi="宋体"/>
          <w:b/>
          <w:bCs/>
          <w:sz w:val="24"/>
        </w:rPr>
        <w:t>三、工程标底编制依据及口径：</w:t>
      </w:r>
    </w:p>
    <w:p>
      <w:pPr>
        <w:spacing w:line="360" w:lineRule="auto"/>
        <w:ind w:firstLine="480" w:firstLineChars="200"/>
        <w:rPr>
          <w:rFonts w:ascii="宋体" w:hAnsi="宋体"/>
          <w:sz w:val="24"/>
        </w:rPr>
      </w:pPr>
      <w:r>
        <w:rPr>
          <w:rFonts w:hint="eastAsia" w:ascii="宋体" w:hAnsi="宋体"/>
          <w:sz w:val="24"/>
        </w:rPr>
        <w:t>（一）工程量：</w:t>
      </w:r>
    </w:p>
    <w:p>
      <w:pPr>
        <w:spacing w:line="500" w:lineRule="exact"/>
        <w:ind w:right="-178" w:rightChars="-85"/>
        <w:rPr>
          <w:rFonts w:ascii="宋体" w:hAnsi="宋体"/>
          <w:color w:val="FF0000"/>
          <w:sz w:val="24"/>
          <w:szCs w:val="22"/>
        </w:rPr>
      </w:pPr>
      <w:r>
        <w:rPr>
          <w:rFonts w:hint="eastAsia" w:ascii="宋体" w:hAnsi="宋体"/>
          <w:color w:val="auto"/>
          <w:sz w:val="24"/>
          <w:szCs w:val="22"/>
          <w:highlight w:val="none"/>
          <w:shd w:val="clear" w:color="auto" w:fill="auto"/>
        </w:rPr>
        <w:t>根据业主提供设计的《</w:t>
      </w:r>
      <w:r>
        <w:rPr>
          <w:rFonts w:hint="eastAsia" w:ascii="宋体" w:hAnsi="宋体"/>
          <w:sz w:val="24"/>
          <w:szCs w:val="28"/>
          <w:lang w:eastAsia="zh-CN"/>
        </w:rPr>
        <w:t>电瓶厂停车场改造</w:t>
      </w:r>
      <w:r>
        <w:rPr>
          <w:rFonts w:hint="eastAsia" w:ascii="宋体" w:hAnsi="宋体"/>
          <w:color w:val="auto"/>
          <w:sz w:val="24"/>
          <w:szCs w:val="22"/>
          <w:highlight w:val="none"/>
          <w:shd w:val="clear" w:color="auto" w:fill="auto"/>
        </w:rPr>
        <w:t>》施工图纸等。</w:t>
      </w:r>
    </w:p>
    <w:p>
      <w:pPr>
        <w:adjustRightInd w:val="0"/>
        <w:snapToGrid w:val="0"/>
        <w:spacing w:line="500" w:lineRule="exact"/>
        <w:ind w:firstLine="240" w:firstLineChars="100"/>
        <w:rPr>
          <w:rFonts w:ascii="宋体" w:hAnsi="宋体"/>
          <w:sz w:val="24"/>
        </w:rPr>
      </w:pPr>
      <w:r>
        <w:rPr>
          <w:rFonts w:hint="eastAsia" w:ascii="宋体" w:hAnsi="宋体"/>
          <w:sz w:val="24"/>
        </w:rPr>
        <w:t>（二）定额套用：</w:t>
      </w:r>
    </w:p>
    <w:p>
      <w:pPr>
        <w:spacing w:line="440" w:lineRule="exact"/>
        <w:jc w:val="left"/>
        <w:rPr>
          <w:rFonts w:ascii="宋体" w:hAnsi="宋体"/>
          <w:sz w:val="24"/>
          <w:szCs w:val="22"/>
        </w:rPr>
      </w:pPr>
      <w:r>
        <w:rPr>
          <w:rFonts w:hint="eastAsia" w:ascii="宋体" w:hAnsi="宋体"/>
          <w:sz w:val="24"/>
          <w:szCs w:val="22"/>
        </w:rPr>
        <w:t>《浙江省建设工程计价规则》（2018版）、《浙江省房屋建筑与装饰工程预算定额》（2018版）、《浙江省通用安装工程预算定额》（2018版）、《浙江省市政工程预算定额》（2018版）、《浙江省园林绿化及仿古建筑工程预算定额》（2018版）、《浙江省建筑安装材料基期价格》(2018版)、《浙江省建设工程施工机械台班费用定额》（2018版）、《建设工程工程量清单计价规范GB50500-2013）》、《建设工程工程量计算规范（2013）浙江省补充规定》、浙建建[2018]61号及《关于增值税调整后我省建设工程计价依据增值税税率及有关计价调整的通知》(浙建建发[2019]92号)文件（税金遇政策性文件可以调整）等。</w:t>
      </w:r>
    </w:p>
    <w:p>
      <w:pPr>
        <w:adjustRightInd w:val="0"/>
        <w:snapToGrid w:val="0"/>
        <w:spacing w:line="500" w:lineRule="exact"/>
        <w:ind w:firstLine="240" w:firstLineChars="100"/>
        <w:rPr>
          <w:rFonts w:ascii="宋体" w:hAnsi="宋体"/>
          <w:sz w:val="24"/>
        </w:rPr>
      </w:pPr>
      <w:r>
        <w:rPr>
          <w:rFonts w:hint="eastAsia" w:ascii="宋体" w:hAnsi="宋体"/>
          <w:sz w:val="24"/>
        </w:rPr>
        <w:t>（三）费用计取：</w:t>
      </w:r>
    </w:p>
    <w:p>
      <w:pPr>
        <w:spacing w:line="460" w:lineRule="exact"/>
        <w:ind w:firstLine="480"/>
        <w:rPr>
          <w:rFonts w:hint="eastAsia" w:ascii="宋体" w:hAnsi="宋体" w:eastAsia="宋体"/>
          <w:kern w:val="16"/>
          <w:sz w:val="24"/>
          <w:lang w:eastAsia="zh-CN"/>
        </w:rPr>
      </w:pPr>
      <w:r>
        <w:rPr>
          <w:rFonts w:hint="eastAsia" w:ascii="宋体" w:hAnsi="宋体"/>
          <w:sz w:val="24"/>
        </w:rPr>
        <w:t>1、工程费用执行</w:t>
      </w:r>
      <w:r>
        <w:rPr>
          <w:rFonts w:ascii="宋体" w:hAnsi="宋体" w:cs="宋体"/>
          <w:kern w:val="0"/>
          <w:sz w:val="24"/>
        </w:rPr>
        <w:t>《浙江省建设工程计价规则》（2018版）</w:t>
      </w:r>
      <w:r>
        <w:rPr>
          <w:rFonts w:hint="eastAsia" w:ascii="宋体" w:hAnsi="宋体"/>
          <w:sz w:val="24"/>
        </w:rPr>
        <w:t>及造价相关文件规定编制</w:t>
      </w:r>
      <w:r>
        <w:rPr>
          <w:rFonts w:hint="eastAsia" w:ascii="宋体" w:hAnsi="宋体"/>
          <w:sz w:val="24"/>
          <w:lang w:eastAsia="zh-CN"/>
        </w:rPr>
        <w:t>，</w:t>
      </w:r>
      <w:r>
        <w:rPr>
          <w:rFonts w:hint="eastAsia" w:ascii="宋体" w:hAnsi="宋体"/>
          <w:sz w:val="24"/>
        </w:rPr>
        <w:t>企业管理费、利润、规费费率：工程类别</w:t>
      </w:r>
      <w:r>
        <w:rPr>
          <w:rFonts w:hint="eastAsia" w:ascii="宋体" w:hAnsi="宋体" w:cs="宋体"/>
          <w:sz w:val="24"/>
        </w:rPr>
        <w:t>建筑工程按房屋建筑及构筑物工程中值计取</w:t>
      </w:r>
      <w:r>
        <w:rPr>
          <w:rFonts w:hint="eastAsia" w:ascii="宋体" w:hAnsi="宋体"/>
          <w:sz w:val="24"/>
          <w:szCs w:val="28"/>
        </w:rPr>
        <w:t>；</w:t>
      </w:r>
      <w:r>
        <w:rPr>
          <w:rFonts w:hint="eastAsia" w:ascii="宋体" w:hAnsi="宋体"/>
          <w:sz w:val="24"/>
          <w:lang w:val="en-US" w:eastAsia="zh-CN"/>
        </w:rPr>
        <w:t>安装工程按通用安装工程计取</w:t>
      </w:r>
      <w:r>
        <w:rPr>
          <w:rFonts w:hint="eastAsia"/>
          <w:sz w:val="24"/>
        </w:rPr>
        <w:t>。</w:t>
      </w:r>
    </w:p>
    <w:p>
      <w:pPr>
        <w:tabs>
          <w:tab w:val="center" w:pos="4563"/>
        </w:tabs>
        <w:spacing w:line="460" w:lineRule="exact"/>
        <w:ind w:firstLine="480"/>
        <w:rPr>
          <w:rFonts w:hint="eastAsia" w:ascii="宋体" w:hAnsi="宋体" w:eastAsia="宋体"/>
          <w:sz w:val="24"/>
          <w:lang w:eastAsia="zh-CN"/>
        </w:rPr>
      </w:pPr>
      <w:r>
        <w:rPr>
          <w:rFonts w:hint="eastAsia" w:ascii="宋体" w:hAnsi="宋体"/>
          <w:sz w:val="24"/>
        </w:rPr>
        <w:t>2、计税方式：增值税一般计税法</w:t>
      </w:r>
      <w:r>
        <w:rPr>
          <w:rFonts w:hint="eastAsia" w:ascii="宋体" w:hAnsi="宋体"/>
          <w:sz w:val="24"/>
          <w:lang w:eastAsia="zh-CN"/>
        </w:rPr>
        <w:t>，</w:t>
      </w:r>
      <w:r>
        <w:rPr>
          <w:rFonts w:hint="eastAsia" w:ascii="Times New Roman" w:hAnsi="Times New Roman" w:eastAsia="宋体" w:cs="Times New Roman"/>
          <w:color w:val="auto"/>
          <w:sz w:val="24"/>
          <w:highlight w:val="none"/>
          <w:lang w:val="en-US" w:eastAsia="zh-CN"/>
        </w:rPr>
        <w:t>税金按增值税（9%）计取</w:t>
      </w:r>
      <w:r>
        <w:rPr>
          <w:rFonts w:hint="default" w:ascii="Times New Roman" w:hAnsi="Times New Roman" w:eastAsia="宋体" w:cs="Times New Roman"/>
          <w:color w:val="auto"/>
          <w:sz w:val="24"/>
          <w:highlight w:val="none"/>
          <w:lang w:val="en-US" w:eastAsia="zh-CN"/>
        </w:rPr>
        <w:t>。</w:t>
      </w:r>
    </w:p>
    <w:p>
      <w:pPr>
        <w:spacing w:line="460" w:lineRule="exact"/>
        <w:ind w:firstLine="480" w:firstLineChars="200"/>
        <w:rPr>
          <w:rFonts w:hint="eastAsia" w:ascii="宋体" w:hAnsi="宋体"/>
          <w:sz w:val="24"/>
        </w:rPr>
      </w:pPr>
      <w:r>
        <w:rPr>
          <w:rFonts w:hint="eastAsia" w:ascii="宋体" w:hAnsi="宋体"/>
          <w:sz w:val="24"/>
        </w:rPr>
        <w:t>3、根据绍市建设办</w:t>
      </w:r>
      <w:r>
        <w:rPr>
          <w:rFonts w:hint="eastAsia" w:ascii="Times New Roman" w:hAnsi="Times New Roman" w:eastAsia="宋体" w:cs="Times New Roman"/>
          <w:color w:val="auto"/>
          <w:sz w:val="24"/>
          <w:szCs w:val="24"/>
          <w:highlight w:val="none"/>
          <w:lang w:val="en-US" w:eastAsia="zh-CN"/>
        </w:rPr>
        <w:t>【2022】31</w:t>
      </w:r>
      <w:r>
        <w:rPr>
          <w:rFonts w:hint="eastAsia" w:ascii="宋体" w:hAnsi="宋体"/>
          <w:sz w:val="24"/>
        </w:rPr>
        <w:t>号文件，安全生产责任保险费已计入标底报价内。</w:t>
      </w:r>
    </w:p>
    <w:p>
      <w:pPr>
        <w:keepNext w:val="0"/>
        <w:keepLines w:val="0"/>
        <w:pageBreakBefore w:val="0"/>
        <w:widowControl w:val="0"/>
        <w:kinsoku/>
        <w:wordWrap/>
        <w:overflowPunct/>
        <w:topLinePunct w:val="0"/>
        <w:autoSpaceDE/>
        <w:autoSpaceDN/>
        <w:bidi w:val="0"/>
        <w:adjustRightInd/>
        <w:snapToGrid/>
        <w:spacing w:line="396" w:lineRule="auto"/>
        <w:ind w:firstLine="480" w:firstLineChars="200"/>
        <w:textAlignment w:val="auto"/>
        <w:rPr>
          <w:rFonts w:hint="eastAsia" w:ascii="宋体" w:hAnsi="宋体"/>
          <w:sz w:val="24"/>
        </w:rPr>
      </w:pPr>
      <w:r>
        <w:rPr>
          <w:rFonts w:hint="eastAsia" w:ascii="宋体" w:hAnsi="宋体"/>
          <w:sz w:val="24"/>
          <w:lang w:val="en-US" w:eastAsia="zh-CN"/>
        </w:rPr>
        <w:t>4</w:t>
      </w:r>
      <w:r>
        <w:rPr>
          <w:rFonts w:hint="eastAsia" w:ascii="宋体" w:hAnsi="宋体"/>
          <w:sz w:val="24"/>
        </w:rPr>
        <w:t>、</w:t>
      </w:r>
      <w:r>
        <w:rPr>
          <w:rFonts w:hint="eastAsia" w:ascii="Times New Roman" w:hAnsi="Times New Roman" w:eastAsia="宋体" w:cs="Times New Roman"/>
          <w:color w:val="auto"/>
          <w:sz w:val="24"/>
          <w:szCs w:val="24"/>
          <w:highlight w:val="none"/>
          <w:lang w:val="en-US" w:eastAsia="zh-CN"/>
        </w:rPr>
        <w:t>根据浙建建发【2022】37号文，疫情常态化防控、“智慧工地”增加费已计入标底报价内。</w:t>
      </w:r>
    </w:p>
    <w:p>
      <w:pPr>
        <w:spacing w:line="500" w:lineRule="exact"/>
        <w:ind w:firstLine="480" w:firstLineChars="200"/>
        <w:rPr>
          <w:rFonts w:ascii="宋体" w:hAnsi="宋体"/>
          <w:sz w:val="24"/>
        </w:rPr>
      </w:pPr>
      <w:r>
        <w:rPr>
          <w:rFonts w:hint="eastAsia" w:ascii="宋体" w:hAnsi="宋体"/>
          <w:sz w:val="24"/>
        </w:rPr>
        <w:t>（四）所选用材料及人工的计价依据：</w:t>
      </w:r>
    </w:p>
    <w:p>
      <w:pPr>
        <w:tabs>
          <w:tab w:val="left" w:pos="-63"/>
          <w:tab w:val="left" w:pos="360"/>
          <w:tab w:val="left" w:pos="540"/>
          <w:tab w:val="left" w:pos="780"/>
        </w:tabs>
        <w:spacing w:line="360" w:lineRule="auto"/>
        <w:ind w:left="-31" w:leftChars="-15" w:firstLine="480" w:firstLineChars="200"/>
        <w:rPr>
          <w:rFonts w:hint="eastAsia" w:ascii="宋体" w:hAnsi="宋体"/>
          <w:color w:val="000000"/>
          <w:sz w:val="24"/>
        </w:rPr>
      </w:pPr>
      <w:r>
        <w:rPr>
          <w:rFonts w:ascii="宋体" w:hAnsi="宋体"/>
          <w:color w:val="000000"/>
          <w:sz w:val="24"/>
        </w:rPr>
        <w:t>1、材料价格按</w:t>
      </w:r>
      <w:r>
        <w:rPr>
          <w:rFonts w:hint="eastAsia" w:ascii="宋体" w:hAnsi="宋体"/>
          <w:sz w:val="24"/>
        </w:rPr>
        <w:t>202</w:t>
      </w:r>
      <w:r>
        <w:rPr>
          <w:rFonts w:hint="eastAsia" w:ascii="宋体" w:hAnsi="宋体"/>
          <w:sz w:val="24"/>
          <w:lang w:val="en-US" w:eastAsia="zh-CN"/>
        </w:rPr>
        <w:t>4</w:t>
      </w:r>
      <w:r>
        <w:rPr>
          <w:rFonts w:ascii="宋体" w:hAnsi="宋体"/>
          <w:sz w:val="24"/>
        </w:rPr>
        <w:t>年第</w:t>
      </w:r>
      <w:r>
        <w:rPr>
          <w:rFonts w:hint="eastAsia" w:ascii="宋体" w:hAnsi="宋体"/>
          <w:color w:val="FF0000"/>
          <w:sz w:val="24"/>
          <w:lang w:val="en-US" w:eastAsia="zh-CN"/>
        </w:rPr>
        <w:t>4</w:t>
      </w:r>
      <w:r>
        <w:rPr>
          <w:rFonts w:ascii="宋体" w:hAnsi="宋体"/>
          <w:sz w:val="24"/>
        </w:rPr>
        <w:t>期《绍</w:t>
      </w:r>
      <w:r>
        <w:rPr>
          <w:rFonts w:ascii="宋体" w:hAnsi="宋体"/>
          <w:color w:val="000000"/>
          <w:sz w:val="24"/>
        </w:rPr>
        <w:t>兴市建设工程造价管理信息》、近期《浙江造价管理信息》及市场调查</w:t>
      </w:r>
      <w:r>
        <w:rPr>
          <w:rFonts w:hint="eastAsia" w:ascii="宋体" w:hAnsi="宋体"/>
          <w:color w:val="000000"/>
          <w:sz w:val="24"/>
        </w:rPr>
        <w:t>除税信息</w:t>
      </w:r>
      <w:r>
        <w:rPr>
          <w:rFonts w:ascii="宋体" w:hAnsi="宋体"/>
          <w:color w:val="000000"/>
          <w:sz w:val="24"/>
        </w:rPr>
        <w:t>价；人工单价</w:t>
      </w:r>
      <w:r>
        <w:rPr>
          <w:rFonts w:hint="eastAsia" w:ascii="宋体" w:hAnsi="宋体"/>
          <w:color w:val="000000"/>
          <w:sz w:val="24"/>
        </w:rPr>
        <w:t>（包括机械人工单价）</w:t>
      </w:r>
      <w:r>
        <w:rPr>
          <w:rFonts w:ascii="宋体" w:hAnsi="宋体"/>
          <w:color w:val="000000"/>
          <w:sz w:val="24"/>
        </w:rPr>
        <w:t>按</w:t>
      </w:r>
      <w:r>
        <w:rPr>
          <w:rFonts w:hint="eastAsia" w:ascii="宋体" w:hAnsi="宋体"/>
          <w:color w:val="000000"/>
          <w:sz w:val="24"/>
        </w:rPr>
        <w:t>202</w:t>
      </w:r>
      <w:r>
        <w:rPr>
          <w:rFonts w:hint="eastAsia" w:ascii="宋体" w:hAnsi="宋体"/>
          <w:color w:val="000000"/>
          <w:sz w:val="24"/>
          <w:lang w:val="en-US" w:eastAsia="zh-CN"/>
        </w:rPr>
        <w:t>4</w:t>
      </w:r>
      <w:r>
        <w:rPr>
          <w:rFonts w:ascii="宋体" w:hAnsi="宋体"/>
          <w:color w:val="000000"/>
          <w:sz w:val="24"/>
        </w:rPr>
        <w:t>年</w:t>
      </w:r>
      <w:r>
        <w:rPr>
          <w:rFonts w:hint="eastAsia" w:ascii="宋体" w:hAnsi="宋体"/>
          <w:color w:val="FF0000"/>
          <w:sz w:val="24"/>
          <w:lang w:val="en-US" w:eastAsia="zh-CN"/>
        </w:rPr>
        <w:t>4</w:t>
      </w:r>
      <w:r>
        <w:rPr>
          <w:rFonts w:ascii="宋体" w:hAnsi="宋体"/>
          <w:color w:val="000000"/>
          <w:sz w:val="24"/>
        </w:rPr>
        <w:t>月份《绍兴市建设工程造价管理信息价》中的人工市场信息价进行补差，差价仅计</w:t>
      </w:r>
      <w:r>
        <w:rPr>
          <w:rFonts w:hint="eastAsia" w:ascii="宋体" w:hAnsi="宋体"/>
          <w:color w:val="000000"/>
          <w:sz w:val="24"/>
        </w:rPr>
        <w:t>取增值税。</w:t>
      </w:r>
    </w:p>
    <w:p>
      <w:pPr>
        <w:tabs>
          <w:tab w:val="left" w:pos="-63"/>
          <w:tab w:val="left" w:pos="360"/>
          <w:tab w:val="left" w:pos="540"/>
          <w:tab w:val="left" w:pos="780"/>
        </w:tabs>
        <w:spacing w:line="360" w:lineRule="auto"/>
        <w:ind w:left="-31" w:leftChars="-15" w:firstLine="480" w:firstLineChars="200"/>
        <w:rPr>
          <w:rFonts w:hint="default" w:ascii="宋体" w:hAnsi="宋体"/>
          <w:color w:val="000000"/>
          <w:sz w:val="24"/>
          <w:lang w:val="en-US" w:eastAsia="zh-CN"/>
        </w:rPr>
      </w:pPr>
      <w:r>
        <w:rPr>
          <w:rFonts w:hint="eastAsia" w:ascii="宋体" w:hAnsi="宋体"/>
          <w:color w:val="000000"/>
          <w:sz w:val="24"/>
          <w:lang w:val="en-US" w:eastAsia="zh-CN"/>
        </w:rPr>
        <w:t>2、本工程砂浆按现拌考虑。</w:t>
      </w:r>
    </w:p>
    <w:p>
      <w:pPr>
        <w:tabs>
          <w:tab w:val="left" w:pos="-63"/>
          <w:tab w:val="left" w:pos="360"/>
          <w:tab w:val="left" w:pos="540"/>
          <w:tab w:val="left" w:pos="780"/>
        </w:tabs>
        <w:spacing w:line="360" w:lineRule="auto"/>
        <w:ind w:left="-31" w:leftChars="-15" w:firstLine="480" w:firstLineChars="200"/>
        <w:rPr>
          <w:rFonts w:hint="eastAsia" w:ascii="宋体" w:hAnsi="宋体"/>
          <w:color w:val="000000"/>
          <w:sz w:val="24"/>
        </w:rPr>
      </w:pPr>
      <w:r>
        <w:rPr>
          <w:rFonts w:hint="eastAsia" w:ascii="宋体" w:hAnsi="宋体"/>
          <w:color w:val="000000"/>
          <w:sz w:val="24"/>
          <w:lang w:val="en-US" w:eastAsia="zh-CN"/>
        </w:rPr>
        <w:t>3</w:t>
      </w:r>
      <w:r>
        <w:rPr>
          <w:rFonts w:hint="eastAsia" w:ascii="宋体" w:hAnsi="宋体"/>
          <w:color w:val="000000"/>
          <w:sz w:val="24"/>
        </w:rPr>
        <w:t>、水泥按</w:t>
      </w:r>
      <w:r>
        <w:rPr>
          <w:rFonts w:hint="eastAsia" w:ascii="宋体" w:hAnsi="宋体"/>
          <w:color w:val="000000"/>
          <w:sz w:val="24"/>
          <w:lang w:val="en-US" w:eastAsia="zh-CN"/>
        </w:rPr>
        <w:t>散</w:t>
      </w:r>
      <w:r>
        <w:rPr>
          <w:rFonts w:hint="eastAsia" w:ascii="宋体" w:hAnsi="宋体"/>
          <w:color w:val="000000"/>
          <w:sz w:val="24"/>
        </w:rPr>
        <w:t>装计取。</w:t>
      </w:r>
    </w:p>
    <w:p>
      <w:pPr>
        <w:tabs>
          <w:tab w:val="left" w:pos="-63"/>
          <w:tab w:val="left" w:pos="360"/>
          <w:tab w:val="left" w:pos="540"/>
          <w:tab w:val="left" w:pos="780"/>
        </w:tabs>
        <w:spacing w:line="360" w:lineRule="auto"/>
        <w:ind w:left="-31" w:leftChars="-15" w:firstLine="480" w:firstLineChars="200"/>
        <w:rPr>
          <w:rFonts w:ascii="宋体" w:hAnsi="宋体"/>
          <w:color w:val="000000"/>
          <w:sz w:val="24"/>
        </w:rPr>
      </w:pPr>
      <w:r>
        <w:rPr>
          <w:rFonts w:hint="eastAsia" w:ascii="宋体" w:hAnsi="宋体"/>
          <w:color w:val="000000"/>
          <w:sz w:val="24"/>
          <w:lang w:val="en-US" w:eastAsia="zh-CN"/>
        </w:rPr>
        <w:t>4</w:t>
      </w:r>
      <w:r>
        <w:rPr>
          <w:rFonts w:hint="eastAsia" w:ascii="宋体" w:hAnsi="宋体"/>
          <w:color w:val="000000"/>
          <w:sz w:val="24"/>
        </w:rPr>
        <w:t>、</w:t>
      </w:r>
      <w:r>
        <w:rPr>
          <w:rFonts w:ascii="宋体" w:hAnsi="宋体"/>
          <w:color w:val="000000"/>
          <w:sz w:val="24"/>
        </w:rPr>
        <w:t>“综合价”包括主辅材、材料制作、安装费、运输损耗及定额</w:t>
      </w:r>
      <w:r>
        <w:rPr>
          <w:rFonts w:hint="eastAsia" w:ascii="宋体" w:hAnsi="宋体"/>
          <w:sz w:val="24"/>
        </w:rPr>
        <w:t>损耗</w:t>
      </w:r>
      <w:r>
        <w:rPr>
          <w:rFonts w:ascii="宋体" w:hAnsi="宋体"/>
          <w:color w:val="000000"/>
          <w:sz w:val="24"/>
        </w:rPr>
        <w:t>等各种损耗、运输费、采保费、管理费、利润、规费等所有因素的相关费用，未包括</w:t>
      </w:r>
      <w:r>
        <w:rPr>
          <w:rFonts w:hint="eastAsia" w:ascii="宋体" w:hAnsi="宋体"/>
          <w:color w:val="000000"/>
          <w:sz w:val="24"/>
        </w:rPr>
        <w:t>税金</w:t>
      </w:r>
      <w:r>
        <w:rPr>
          <w:rFonts w:ascii="宋体" w:hAnsi="宋体"/>
          <w:color w:val="000000"/>
          <w:sz w:val="24"/>
        </w:rPr>
        <w:t>。</w:t>
      </w:r>
    </w:p>
    <w:p>
      <w:pPr>
        <w:tabs>
          <w:tab w:val="left" w:pos="-63"/>
          <w:tab w:val="left" w:pos="360"/>
          <w:tab w:val="left" w:pos="540"/>
          <w:tab w:val="left" w:pos="780"/>
          <w:tab w:val="left" w:pos="1800"/>
        </w:tabs>
        <w:spacing w:line="360" w:lineRule="auto"/>
        <w:ind w:firstLine="480" w:firstLineChars="200"/>
        <w:rPr>
          <w:rFonts w:ascii="宋体" w:hAnsi="宋体"/>
          <w:color w:val="000000"/>
          <w:sz w:val="24"/>
        </w:rPr>
      </w:pPr>
      <w:r>
        <w:rPr>
          <w:rFonts w:hint="eastAsia" w:ascii="宋体" w:hAnsi="宋体"/>
          <w:color w:val="000000"/>
          <w:sz w:val="24"/>
          <w:lang w:val="en-US" w:eastAsia="zh-CN"/>
        </w:rPr>
        <w:t>5</w:t>
      </w:r>
      <w:r>
        <w:rPr>
          <w:rFonts w:ascii="宋体" w:hAnsi="宋体"/>
          <w:color w:val="000000"/>
          <w:sz w:val="24"/>
        </w:rPr>
        <w:t>、“材料价”包括材料、运输损耗、运输费、采保费、管理费、利润等所有因素的相关费用，未包括</w:t>
      </w:r>
      <w:r>
        <w:rPr>
          <w:rFonts w:hint="eastAsia" w:ascii="宋体" w:hAnsi="宋体"/>
          <w:color w:val="000000"/>
          <w:sz w:val="24"/>
        </w:rPr>
        <w:t>税金</w:t>
      </w:r>
      <w:r>
        <w:rPr>
          <w:rFonts w:ascii="宋体" w:hAnsi="宋体"/>
          <w:color w:val="000000"/>
          <w:sz w:val="24"/>
        </w:rPr>
        <w:t>。</w:t>
      </w:r>
    </w:p>
    <w:p>
      <w:pPr>
        <w:tabs>
          <w:tab w:val="left" w:pos="540"/>
        </w:tabs>
        <w:spacing w:line="400" w:lineRule="exact"/>
        <w:rPr>
          <w:rFonts w:ascii="宋体" w:hAnsi="宋体"/>
          <w:sz w:val="24"/>
        </w:rPr>
      </w:pPr>
      <w:r>
        <w:rPr>
          <w:rFonts w:hint="eastAsia" w:ascii="宋体" w:hAnsi="宋体"/>
          <w:sz w:val="24"/>
        </w:rPr>
        <w:t>（五）本标底的计价方式：1、工程采用综合单价（2013国标）方式进行计价。</w:t>
      </w:r>
    </w:p>
    <w:p>
      <w:pPr>
        <w:tabs>
          <w:tab w:val="left" w:pos="540"/>
        </w:tabs>
        <w:spacing w:line="500" w:lineRule="exact"/>
        <w:rPr>
          <w:rFonts w:ascii="宋体" w:hAnsi="宋体"/>
          <w:sz w:val="24"/>
        </w:rPr>
      </w:pPr>
      <w:r>
        <w:rPr>
          <w:rFonts w:hint="eastAsia" w:ascii="宋体" w:hAnsi="宋体"/>
          <w:sz w:val="24"/>
        </w:rPr>
        <w:t>（六）标底编制的其他事项：</w:t>
      </w:r>
    </w:p>
    <w:p>
      <w:pPr>
        <w:spacing w:line="360" w:lineRule="auto"/>
        <w:ind w:firstLine="480" w:firstLineChars="200"/>
        <w:rPr>
          <w:rFonts w:ascii="宋体" w:hAnsi="宋体" w:cs="宋体"/>
          <w:b/>
          <w:sz w:val="24"/>
        </w:rPr>
      </w:pPr>
      <w:r>
        <w:rPr>
          <w:rFonts w:hint="eastAsia" w:ascii="宋体" w:hAnsi="宋体"/>
          <w:sz w:val="24"/>
        </w:rPr>
        <w:t>1、投标人必须严格按照施工图纸、标底编制说明、工程技术要求及国家颁布的现行建筑工程施工规范、规程、强制性规定和标准及省市有关规定进行施工，有关费用应包括在投标报价中。</w:t>
      </w:r>
    </w:p>
    <w:p>
      <w:pPr>
        <w:spacing w:line="360" w:lineRule="auto"/>
        <w:ind w:firstLine="480" w:firstLineChars="200"/>
        <w:rPr>
          <w:rFonts w:ascii="宋体" w:hAnsi="宋体" w:cs="宋体"/>
          <w:sz w:val="24"/>
        </w:rPr>
      </w:pPr>
      <w:r>
        <w:rPr>
          <w:rFonts w:hint="eastAsia" w:ascii="宋体" w:hAnsi="宋体" w:cs="宋体"/>
          <w:sz w:val="24"/>
        </w:rPr>
        <w:t>2、本</w:t>
      </w:r>
      <w:r>
        <w:rPr>
          <w:rFonts w:hint="eastAsia" w:ascii="宋体" w:hAnsi="宋体"/>
          <w:sz w:val="24"/>
        </w:rPr>
        <w:t>工程</w:t>
      </w:r>
      <w:r>
        <w:rPr>
          <w:rFonts w:hint="eastAsia" w:ascii="宋体" w:hAnsi="宋体" w:cs="宋体"/>
          <w:sz w:val="24"/>
        </w:rPr>
        <w:t>标底清单项目中特征（工作内容）描述未详尽的，投标人须结合《建设工程工程量清单计价规范》（</w:t>
      </w:r>
      <w:r>
        <w:rPr>
          <w:rFonts w:ascii="宋体" w:hAnsi="宋体" w:cs="宋体"/>
          <w:sz w:val="24"/>
        </w:rPr>
        <w:t>GB50500-</w:t>
      </w:r>
      <w:r>
        <w:rPr>
          <w:rFonts w:hint="eastAsia" w:ascii="宋体" w:hAnsi="宋体" w:cs="宋体"/>
          <w:sz w:val="24"/>
        </w:rPr>
        <w:t>2013）、施工图纸、相关图集及施工验收规范要求进行报价。</w:t>
      </w:r>
    </w:p>
    <w:p>
      <w:pPr>
        <w:spacing w:line="360" w:lineRule="auto"/>
        <w:ind w:firstLine="480" w:firstLineChars="200"/>
        <w:rPr>
          <w:rFonts w:ascii="宋体" w:hAnsi="宋体"/>
          <w:sz w:val="24"/>
        </w:rPr>
      </w:pPr>
      <w:r>
        <w:rPr>
          <w:rFonts w:hint="eastAsia" w:ascii="宋体" w:hAnsi="宋体"/>
          <w:sz w:val="24"/>
        </w:rPr>
        <w:t>3、投标人须按施工规范和施工工艺要求考虑所有每个清单项目应有的主要材料及相应的构配件、零星辅材，对无法具体量化的零星材料，各投标人须将其所需费用列入到其他材料费中，否则，将视为已包含在总价中。</w:t>
      </w:r>
    </w:p>
    <w:p>
      <w:pPr>
        <w:spacing w:line="360" w:lineRule="auto"/>
        <w:ind w:firstLine="480" w:firstLineChars="200"/>
        <w:rPr>
          <w:rFonts w:ascii="宋体" w:hAnsi="宋体"/>
          <w:sz w:val="24"/>
        </w:rPr>
      </w:pPr>
      <w:r>
        <w:rPr>
          <w:rFonts w:hint="eastAsia" w:ascii="宋体" w:hAnsi="宋体"/>
          <w:sz w:val="24"/>
        </w:rPr>
        <w:t>4、本标底中的技术措施项目是按常规列项的，如果实际施工中增加的其它技术措施费用、改变施工方法增加的费用等，结算时不增加费用。</w:t>
      </w:r>
    </w:p>
    <w:p>
      <w:pPr>
        <w:spacing w:line="360" w:lineRule="auto"/>
        <w:ind w:firstLine="477" w:firstLineChars="199"/>
        <w:jc w:val="left"/>
        <w:rPr>
          <w:rFonts w:ascii="宋体" w:hAnsi="宋体"/>
          <w:sz w:val="24"/>
        </w:rPr>
      </w:pPr>
      <w:r>
        <w:rPr>
          <w:rFonts w:hint="eastAsia" w:ascii="宋体" w:hAnsi="宋体" w:cs="宋体"/>
          <w:sz w:val="24"/>
        </w:rPr>
        <w:t>5、施工单位离场时，应自行清理、外运建筑垃圾和生活垃圾</w:t>
      </w:r>
      <w:r>
        <w:rPr>
          <w:rFonts w:hint="eastAsia" w:ascii="宋体" w:hAnsi="宋体"/>
          <w:sz w:val="24"/>
        </w:rPr>
        <w:t>等离场时粉碎</w:t>
      </w:r>
      <w:r>
        <w:rPr>
          <w:rFonts w:hint="eastAsia" w:ascii="宋体" w:hAnsi="宋体" w:cs="宋体"/>
          <w:sz w:val="24"/>
        </w:rPr>
        <w:t>外运、处置</w:t>
      </w:r>
      <w:r>
        <w:rPr>
          <w:rFonts w:hint="eastAsia" w:ascii="宋体" w:hAnsi="宋体"/>
          <w:sz w:val="24"/>
        </w:rPr>
        <w:t>，</w:t>
      </w:r>
      <w:r>
        <w:rPr>
          <w:rFonts w:hint="eastAsia" w:ascii="宋体" w:hAnsi="宋体" w:cs="宋体"/>
          <w:sz w:val="24"/>
        </w:rPr>
        <w:t>投标单位报价时综合考虑</w:t>
      </w:r>
      <w:r>
        <w:rPr>
          <w:rFonts w:ascii="宋体" w:hAnsi="宋体" w:cs="宋体"/>
          <w:sz w:val="24"/>
        </w:rPr>
        <w:t>,</w:t>
      </w:r>
      <w:r>
        <w:rPr>
          <w:rFonts w:hint="eastAsia" w:ascii="宋体" w:hAnsi="宋体" w:cs="宋体"/>
          <w:sz w:val="24"/>
        </w:rPr>
        <w:t>结算时不另增加费用。</w:t>
      </w:r>
    </w:p>
    <w:p>
      <w:pPr>
        <w:spacing w:line="360" w:lineRule="auto"/>
        <w:ind w:firstLine="480" w:firstLineChars="200"/>
        <w:rPr>
          <w:rFonts w:ascii="宋体" w:hAnsi="宋体"/>
          <w:kern w:val="28"/>
          <w:sz w:val="24"/>
        </w:rPr>
      </w:pPr>
      <w:r>
        <w:rPr>
          <w:rFonts w:hint="eastAsia" w:ascii="宋体" w:hAnsi="宋体"/>
          <w:sz w:val="24"/>
        </w:rPr>
        <w:t>6、“材料定价表” 中已选定材料品牌，实际施工时根据业主要求选用，施工方需提供样品、其色泽、规格、品牌、型号等需经甲方和监理方共同看样确认</w:t>
      </w:r>
      <w:r>
        <w:rPr>
          <w:rFonts w:hint="eastAsia" w:ascii="宋体" w:hAnsi="宋体"/>
          <w:sz w:val="24"/>
          <w:lang w:eastAsia="zh-CN"/>
        </w:rPr>
        <w:t>，</w:t>
      </w:r>
      <w:r>
        <w:rPr>
          <w:rFonts w:hint="eastAsia" w:ascii="宋体" w:hAnsi="宋体"/>
          <w:sz w:val="24"/>
        </w:rPr>
        <w:t>施工单位报价时综合考虑，结算按中标单价不作调整。</w:t>
      </w:r>
    </w:p>
    <w:p>
      <w:pPr>
        <w:adjustRightInd w:val="0"/>
        <w:snapToGrid w:val="0"/>
        <w:spacing w:line="360" w:lineRule="auto"/>
        <w:ind w:firstLine="566" w:firstLineChars="236"/>
        <w:rPr>
          <w:rFonts w:ascii="宋体" w:hAnsi="宋体"/>
          <w:kern w:val="28"/>
          <w:sz w:val="24"/>
        </w:rPr>
      </w:pPr>
      <w:r>
        <w:rPr>
          <w:rFonts w:hint="eastAsia" w:ascii="宋体" w:hAnsi="宋体"/>
          <w:kern w:val="28"/>
          <w:sz w:val="24"/>
          <w:lang w:val="en-US" w:eastAsia="zh-CN"/>
        </w:rPr>
        <w:t>7</w:t>
      </w:r>
      <w:r>
        <w:rPr>
          <w:rFonts w:hint="eastAsia" w:ascii="宋体" w:hAnsi="宋体"/>
          <w:kern w:val="28"/>
          <w:sz w:val="24"/>
        </w:rPr>
        <w:t>、场地内临时设施搭建按市标化规定的文明施工要求执行，由此增加的费用由中标方自理。</w:t>
      </w:r>
    </w:p>
    <w:p>
      <w:pPr>
        <w:adjustRightInd w:val="0"/>
        <w:snapToGrid w:val="0"/>
        <w:spacing w:line="360" w:lineRule="auto"/>
        <w:ind w:firstLine="566" w:firstLineChars="236"/>
        <w:rPr>
          <w:rFonts w:ascii="宋体" w:hAnsi="宋体" w:cs="宋体"/>
          <w:color w:val="C00000"/>
          <w:sz w:val="24"/>
        </w:rPr>
      </w:pPr>
      <w:r>
        <w:rPr>
          <w:rFonts w:hint="eastAsia" w:ascii="宋体" w:hAnsi="宋体"/>
          <w:kern w:val="28"/>
          <w:sz w:val="24"/>
          <w:lang w:val="en-US" w:eastAsia="zh-CN"/>
        </w:rPr>
        <w:t>8</w:t>
      </w:r>
      <w:r>
        <w:rPr>
          <w:rFonts w:hint="eastAsia" w:ascii="宋体" w:hAnsi="宋体"/>
          <w:kern w:val="28"/>
          <w:sz w:val="24"/>
        </w:rPr>
        <w:t>、</w:t>
      </w:r>
      <w:r>
        <w:rPr>
          <w:rFonts w:hint="eastAsia" w:ascii="宋体" w:hAnsi="宋体" w:cs="宋体"/>
          <w:color w:val="C00000"/>
          <w:sz w:val="24"/>
          <w:szCs w:val="22"/>
        </w:rPr>
        <w:t>标底考虑机械费用：履带式挖掘机1m3以内共计1台</w:t>
      </w:r>
      <w:r>
        <w:rPr>
          <w:rFonts w:hint="eastAsia" w:ascii="宋体" w:hAnsi="宋体" w:cs="宋体"/>
          <w:color w:val="C00000"/>
          <w:sz w:val="24"/>
          <w:szCs w:val="22"/>
          <w:lang w:val="en-US" w:eastAsia="zh-CN"/>
        </w:rPr>
        <w:t>计入建筑工程措施项目中</w:t>
      </w:r>
      <w:r>
        <w:rPr>
          <w:rFonts w:hint="eastAsia" w:ascii="宋体" w:hAnsi="宋体" w:cs="宋体"/>
          <w:color w:val="C00000"/>
          <w:sz w:val="24"/>
          <w:szCs w:val="22"/>
        </w:rPr>
        <w:t>。</w:t>
      </w:r>
      <w:r>
        <w:rPr>
          <w:rFonts w:hint="eastAsia" w:ascii="宋体" w:hAnsi="宋体" w:cs="宋体"/>
          <w:color w:val="C00000"/>
          <w:sz w:val="24"/>
        </w:rPr>
        <w:t>如实际施工机械台数多于标底机械台数，结算不作调整；少于标底数量，结算时按实调减费用。</w:t>
      </w:r>
    </w:p>
    <w:p>
      <w:pPr>
        <w:spacing w:line="360" w:lineRule="auto"/>
        <w:ind w:firstLine="477" w:firstLineChars="199"/>
        <w:jc w:val="left"/>
        <w:rPr>
          <w:rFonts w:ascii="宋体" w:hAnsi="宋体" w:cs="宋体"/>
          <w:sz w:val="24"/>
          <w:szCs w:val="22"/>
        </w:rPr>
      </w:pPr>
      <w:r>
        <w:rPr>
          <w:rFonts w:hint="eastAsia" w:ascii="宋体" w:hAnsi="宋体"/>
          <w:kern w:val="28"/>
          <w:sz w:val="24"/>
        </w:rPr>
        <w:t xml:space="preserve"> </w:t>
      </w:r>
      <w:r>
        <w:rPr>
          <w:rFonts w:hint="eastAsia" w:ascii="宋体" w:hAnsi="宋体"/>
          <w:kern w:val="28"/>
          <w:sz w:val="24"/>
          <w:lang w:val="en-US" w:eastAsia="zh-CN"/>
        </w:rPr>
        <w:t>9</w:t>
      </w:r>
      <w:r>
        <w:rPr>
          <w:rFonts w:hint="eastAsia" w:ascii="宋体" w:hAnsi="宋体"/>
          <w:kern w:val="28"/>
          <w:sz w:val="24"/>
        </w:rPr>
        <w:t>、 土方类别按</w:t>
      </w:r>
      <w:r>
        <w:rPr>
          <w:rFonts w:hint="eastAsia" w:ascii="宋体" w:hAnsi="宋体"/>
          <w:kern w:val="28"/>
          <w:sz w:val="24"/>
          <w:lang w:val="en-US" w:eastAsia="zh-CN"/>
        </w:rPr>
        <w:t>三</w:t>
      </w:r>
      <w:r>
        <w:rPr>
          <w:rFonts w:hint="eastAsia" w:ascii="宋体" w:hAnsi="宋体"/>
          <w:kern w:val="28"/>
          <w:sz w:val="24"/>
        </w:rPr>
        <w:t>类土计算，</w:t>
      </w:r>
      <w:r>
        <w:rPr>
          <w:rFonts w:hint="eastAsia" w:ascii="宋体" w:hAnsi="宋体" w:eastAsia="宋体" w:cs="Times New Roman"/>
          <w:kern w:val="28"/>
          <w:sz w:val="24"/>
        </w:rPr>
        <w:t>土方综合利用后，多余土方外运，运距按</w:t>
      </w:r>
      <w:r>
        <w:rPr>
          <w:rFonts w:hint="eastAsia" w:ascii="宋体" w:hAnsi="宋体" w:cs="Times New Roman"/>
          <w:kern w:val="28"/>
          <w:sz w:val="24"/>
          <w:lang w:val="en-US" w:eastAsia="zh-CN"/>
        </w:rPr>
        <w:t>15</w:t>
      </w:r>
      <w:r>
        <w:rPr>
          <w:rFonts w:hint="eastAsia" w:ascii="宋体" w:hAnsi="宋体" w:eastAsia="宋体" w:cs="Times New Roman"/>
          <w:kern w:val="28"/>
          <w:sz w:val="24"/>
          <w:lang w:val="en-US" w:eastAsia="zh-CN"/>
        </w:rPr>
        <w:t>k</w:t>
      </w:r>
      <w:r>
        <w:rPr>
          <w:rFonts w:hint="eastAsia" w:ascii="宋体" w:hAnsi="宋体" w:eastAsia="宋体" w:cs="Times New Roman"/>
          <w:kern w:val="28"/>
          <w:sz w:val="24"/>
        </w:rPr>
        <w:t>m计算，结算时不作调整</w:t>
      </w:r>
      <w:r>
        <w:rPr>
          <w:rFonts w:hint="eastAsia" w:ascii="宋体" w:hAnsi="宋体"/>
          <w:kern w:val="28"/>
          <w:sz w:val="24"/>
        </w:rPr>
        <w:t>。</w:t>
      </w:r>
    </w:p>
    <w:p>
      <w:pPr>
        <w:spacing w:line="360" w:lineRule="auto"/>
        <w:ind w:firstLine="477" w:firstLineChars="199"/>
        <w:jc w:val="left"/>
        <w:rPr>
          <w:rFonts w:ascii="宋体" w:hAnsi="宋体"/>
          <w:sz w:val="24"/>
        </w:rPr>
      </w:pPr>
      <w:r>
        <w:rPr>
          <w:rFonts w:hint="eastAsia" w:ascii="宋体" w:hAnsi="宋体"/>
          <w:kern w:val="28"/>
          <w:sz w:val="24"/>
        </w:rPr>
        <w:t xml:space="preserve"> 1</w:t>
      </w:r>
      <w:r>
        <w:rPr>
          <w:rFonts w:hint="eastAsia" w:ascii="宋体" w:hAnsi="宋体"/>
          <w:kern w:val="28"/>
          <w:sz w:val="24"/>
          <w:lang w:val="en-US" w:eastAsia="zh-CN"/>
        </w:rPr>
        <w:t>0</w:t>
      </w:r>
      <w:r>
        <w:rPr>
          <w:rFonts w:hint="eastAsia" w:ascii="宋体" w:hAnsi="宋体"/>
          <w:kern w:val="28"/>
          <w:sz w:val="24"/>
        </w:rPr>
        <w:t>、</w:t>
      </w:r>
      <w:r>
        <w:rPr>
          <w:rFonts w:hint="eastAsia" w:ascii="宋体" w:hAnsi="宋体"/>
          <w:sz w:val="24"/>
        </w:rPr>
        <w:t>本工程模板按复合模板考虑，工程量按混凝土与模板的实际接触面积计算，实际施工时如模板品种有不同不作调整，请投标单位投标时考虑该因素。</w:t>
      </w:r>
    </w:p>
    <w:p>
      <w:pPr>
        <w:tabs>
          <w:tab w:val="left" w:pos="425"/>
        </w:tabs>
        <w:spacing w:line="520" w:lineRule="exact"/>
        <w:ind w:left="-1" w:leftChars="-190" w:hanging="398" w:hangingChars="166"/>
        <w:jc w:val="left"/>
        <w:rPr>
          <w:rFonts w:hint="default" w:ascii="宋体" w:hAnsi="宋体"/>
          <w:sz w:val="24"/>
          <w:lang w:eastAsia="zh-CN"/>
        </w:rPr>
      </w:pPr>
      <w:r>
        <w:rPr>
          <w:rFonts w:hint="eastAsia" w:ascii="宋体" w:hAnsi="宋体"/>
          <w:sz w:val="24"/>
        </w:rPr>
        <w:t xml:space="preserve">       </w:t>
      </w:r>
      <w:r>
        <w:rPr>
          <w:rFonts w:hint="eastAsia" w:ascii="宋体" w:hAnsi="宋体"/>
          <w:sz w:val="24"/>
          <w:lang w:val="en-US" w:eastAsia="zh-CN"/>
        </w:rPr>
        <w:t xml:space="preserve"> 11</w:t>
      </w:r>
      <w:r>
        <w:rPr>
          <w:rFonts w:hint="eastAsia" w:ascii="宋体" w:hAnsi="宋体"/>
          <w:sz w:val="24"/>
        </w:rPr>
        <w:t>、</w:t>
      </w:r>
      <w:r>
        <w:rPr>
          <w:rFonts w:hint="eastAsia" w:ascii="宋体" w:hAnsi="宋体" w:eastAsia="宋体"/>
          <w:sz w:val="24"/>
          <w:lang w:val="en-US" w:eastAsia="zh-CN"/>
        </w:rPr>
        <w:t>本工程安装</w:t>
      </w:r>
      <w:r>
        <w:rPr>
          <w:rFonts w:hint="eastAsia" w:ascii="宋体" w:hAnsi="宋体"/>
          <w:sz w:val="24"/>
          <w:lang w:val="en-US" w:eastAsia="zh-CN"/>
        </w:rPr>
        <w:t>部分室外</w:t>
      </w:r>
      <w:r>
        <w:rPr>
          <w:rFonts w:hint="eastAsia" w:ascii="宋体" w:hAnsi="宋体" w:eastAsia="宋体"/>
          <w:sz w:val="24"/>
          <w:lang w:val="en-US" w:eastAsia="zh-CN"/>
        </w:rPr>
        <w:t>电缆规格按YJV-5*4暂估400m考虑</w:t>
      </w:r>
      <w:r>
        <w:rPr>
          <w:rFonts w:hint="eastAsia" w:ascii="宋体" w:hAnsi="宋体"/>
          <w:sz w:val="24"/>
          <w:lang w:val="en-US" w:eastAsia="zh-CN"/>
        </w:rPr>
        <w:t>计入</w:t>
      </w:r>
      <w:r>
        <w:rPr>
          <w:rFonts w:hint="eastAsia" w:ascii="宋体" w:hAnsi="宋体" w:eastAsia="宋体"/>
          <w:sz w:val="24"/>
          <w:lang w:val="en-US" w:eastAsia="zh-CN"/>
        </w:rPr>
        <w:t>、配线按BV1.5暂估900m计入，结算时按实调整</w:t>
      </w:r>
      <w:r>
        <w:rPr>
          <w:rFonts w:hint="default" w:ascii="宋体" w:hAnsi="宋体"/>
          <w:sz w:val="24"/>
          <w:lang w:eastAsia="zh-CN"/>
        </w:rPr>
        <w:t>。</w:t>
      </w:r>
    </w:p>
    <w:p>
      <w:pPr>
        <w:tabs>
          <w:tab w:val="left" w:pos="425"/>
        </w:tabs>
        <w:spacing w:line="520" w:lineRule="exact"/>
        <w:ind w:firstLine="480" w:firstLineChars="200"/>
        <w:rPr>
          <w:rFonts w:hint="default" w:ascii="宋体" w:hAnsi="宋体"/>
          <w:sz w:val="24"/>
          <w:lang w:val="en-US" w:eastAsia="zh-CN"/>
        </w:rPr>
      </w:pPr>
      <w:r>
        <w:rPr>
          <w:rFonts w:hint="eastAsia" w:ascii="宋体" w:hAnsi="宋体"/>
          <w:sz w:val="24"/>
          <w:lang w:val="en-US" w:eastAsia="zh-CN"/>
        </w:rPr>
        <w:t>12</w:t>
      </w:r>
      <w:r>
        <w:rPr>
          <w:rFonts w:hint="eastAsia" w:ascii="宋体" w:hAnsi="宋体"/>
          <w:sz w:val="24"/>
        </w:rPr>
        <w:t>、</w:t>
      </w:r>
      <w:r>
        <w:rPr>
          <w:rFonts w:hint="eastAsia" w:ascii="宋体" w:hAnsi="宋体"/>
          <w:sz w:val="24"/>
          <w:szCs w:val="28"/>
        </w:rPr>
        <w:t>本工程膜结构棚按</w:t>
      </w:r>
      <w:r>
        <w:rPr>
          <w:rFonts w:hint="eastAsia" w:ascii="宋体" w:hAnsi="宋体"/>
          <w:sz w:val="24"/>
          <w:szCs w:val="28"/>
          <w:lang w:val="en-US" w:eastAsia="zh-CN"/>
        </w:rPr>
        <w:t>300</w:t>
      </w:r>
      <w:r>
        <w:rPr>
          <w:rFonts w:hint="eastAsia" w:ascii="宋体" w:hAnsi="宋体"/>
          <w:sz w:val="24"/>
          <w:szCs w:val="28"/>
        </w:rPr>
        <w:t>元/m2综合价计入，工程量结算口径按</w:t>
      </w:r>
      <w:r>
        <w:rPr>
          <w:rFonts w:hint="eastAsia" w:ascii="宋体" w:hAnsi="宋体"/>
          <w:sz w:val="24"/>
          <w:szCs w:val="28"/>
          <w:lang w:val="en-US" w:eastAsia="zh-CN"/>
        </w:rPr>
        <w:t>展开</w:t>
      </w:r>
      <w:r>
        <w:rPr>
          <w:rFonts w:hint="eastAsia" w:ascii="宋体" w:hAnsi="宋体"/>
          <w:sz w:val="24"/>
          <w:szCs w:val="28"/>
        </w:rPr>
        <w:t>面积计取，请投标单位投标报价时综合考虑该因素，结算时不作调整；</w:t>
      </w:r>
    </w:p>
    <w:p>
      <w:pPr>
        <w:spacing w:line="360" w:lineRule="auto"/>
        <w:ind w:left="1" w:firstLine="2"/>
        <w:rPr>
          <w:rFonts w:hint="default" w:ascii="宋体" w:hAnsi="宋体" w:eastAsia="宋体"/>
          <w:sz w:val="24"/>
          <w:lang w:val="en-US" w:eastAsia="zh-CN"/>
        </w:rPr>
      </w:pPr>
      <w:r>
        <w:rPr>
          <w:rFonts w:hint="eastAsia" w:ascii="宋体" w:hAnsi="宋体"/>
          <w:sz w:val="24"/>
          <w:lang w:val="en-US" w:eastAsia="zh-CN"/>
        </w:rPr>
        <w:t xml:space="preserve">    13、</w:t>
      </w:r>
      <w:r>
        <w:rPr>
          <w:rFonts w:hint="eastAsia" w:ascii="宋体" w:hAnsi="宋体"/>
          <w:sz w:val="24"/>
          <w:szCs w:val="28"/>
        </w:rPr>
        <w:t>本工程</w:t>
      </w:r>
      <w:r>
        <w:rPr>
          <w:rFonts w:hint="eastAsia" w:ascii="宋体" w:hAnsi="宋体"/>
          <w:sz w:val="24"/>
          <w:szCs w:val="28"/>
          <w:lang w:val="en-US" w:eastAsia="zh-CN"/>
        </w:rPr>
        <w:t>施工过程中</w:t>
      </w:r>
      <w:r>
        <w:rPr>
          <w:rFonts w:hint="eastAsia" w:ascii="宋体" w:hAnsi="宋体"/>
          <w:sz w:val="24"/>
          <w:szCs w:val="28"/>
        </w:rPr>
        <w:t>拆除混凝土路、修复混凝土路</w:t>
      </w:r>
      <w:r>
        <w:rPr>
          <w:rFonts w:hint="eastAsia" w:ascii="宋体" w:hAnsi="宋体"/>
          <w:sz w:val="24"/>
          <w:szCs w:val="28"/>
          <w:lang w:val="en-US" w:eastAsia="zh-CN"/>
        </w:rPr>
        <w:t>的费用暂不考虑计入，结算时按实调整</w:t>
      </w:r>
      <w:r>
        <w:rPr>
          <w:rFonts w:hint="eastAsia" w:ascii="宋体" w:hAnsi="宋体"/>
          <w:sz w:val="24"/>
          <w:szCs w:val="28"/>
        </w:rPr>
        <w:t>，请投标单位投标报价时综合考虑该因素</w:t>
      </w:r>
      <w:r>
        <w:rPr>
          <w:rFonts w:hint="eastAsia" w:ascii="宋体" w:hAnsi="宋体"/>
          <w:sz w:val="24"/>
          <w:szCs w:val="28"/>
          <w:lang w:val="en-US" w:eastAsia="zh-CN"/>
        </w:rPr>
        <w:t>。</w:t>
      </w:r>
    </w:p>
    <w:p>
      <w:pPr>
        <w:spacing w:line="360" w:lineRule="auto"/>
        <w:ind w:firstLine="480" w:firstLineChars="200"/>
        <w:rPr>
          <w:rFonts w:hint="default" w:ascii="宋体" w:hAnsi="宋体" w:eastAsia="宋体"/>
          <w:sz w:val="24"/>
          <w:lang w:val="en-US" w:eastAsia="zh-CN"/>
        </w:rPr>
      </w:pPr>
      <w:r>
        <w:rPr>
          <w:rFonts w:hint="eastAsia" w:ascii="宋体" w:hAnsi="宋体"/>
          <w:sz w:val="24"/>
          <w:szCs w:val="24"/>
          <w:lang w:val="en-US" w:eastAsia="zh-CN"/>
        </w:rPr>
        <w:t>14、</w:t>
      </w:r>
      <w:r>
        <w:rPr>
          <w:rFonts w:hint="eastAsia" w:ascii="宋体" w:hAnsi="宋体"/>
          <w:sz w:val="24"/>
          <w:szCs w:val="24"/>
        </w:rPr>
        <w:t>说明不详之处详见预算书。</w:t>
      </w:r>
    </w:p>
    <w:p>
      <w:pPr>
        <w:spacing w:line="470" w:lineRule="exact"/>
        <w:rPr>
          <w:rFonts w:ascii="宋体" w:hAnsi="宋体"/>
          <w:b/>
          <w:bCs/>
          <w:sz w:val="24"/>
        </w:rPr>
      </w:pPr>
      <w:r>
        <w:rPr>
          <w:rFonts w:hint="eastAsia" w:ascii="宋体" w:hAnsi="宋体"/>
          <w:b/>
          <w:bCs/>
          <w:sz w:val="24"/>
        </w:rPr>
        <w:t>四、招标人标底的复核及调整</w:t>
      </w:r>
    </w:p>
    <w:p>
      <w:pPr>
        <w:spacing w:line="360" w:lineRule="auto"/>
        <w:ind w:firstLine="480" w:firstLineChars="200"/>
        <w:rPr>
          <w:rFonts w:hint="eastAsia" w:ascii="宋体" w:hAnsi="宋体"/>
          <w:sz w:val="24"/>
        </w:rPr>
      </w:pPr>
      <w:r>
        <w:rPr>
          <w:rFonts w:hint="eastAsia" w:ascii="宋体" w:hAnsi="宋体"/>
          <w:sz w:val="24"/>
        </w:rPr>
        <w:t>投标人应对招标人提供的标底进行复核，如标底中存在除工程量清单项目漏项、项目多列或重复列项、清单项目工程量有误以外的定额错套、信息价输入差错、清单组合子目缺漏及清单组合子目工程量有误等错误的，应在招标答疑时提出，经招标人确认后，在答疑纪要中明确并调整，如不提出，今后不予调整。工程量清单所列的工程量暂定（明细内容中已写明一次性包干的工程量除外），竣工结算时按实结算确定。</w:t>
      </w:r>
    </w:p>
    <w:p>
      <w:pPr>
        <w:widowControl w:val="0"/>
        <w:numPr>
          <w:ilvl w:val="0"/>
          <w:numId w:val="0"/>
        </w:numPr>
        <w:spacing w:line="520" w:lineRule="exact"/>
        <w:ind w:firstLine="482" w:firstLineChars="200"/>
        <w:jc w:val="righ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绍兴市嘉华项目管理有限公司</w:t>
      </w:r>
    </w:p>
    <w:p>
      <w:pPr>
        <w:spacing w:line="500" w:lineRule="exact"/>
        <w:jc w:val="right"/>
        <w:rPr>
          <w:rFonts w:ascii="宋体" w:hAnsi="宋体"/>
          <w:color w:val="FF0000"/>
          <w:sz w:val="24"/>
          <w:szCs w:val="28"/>
        </w:rPr>
      </w:pPr>
      <w:r>
        <w:rPr>
          <w:rFonts w:hint="eastAsia" w:ascii="宋体" w:hAnsi="宋体" w:eastAsia="宋体" w:cs="宋体"/>
          <w:b/>
          <w:bCs/>
          <w:sz w:val="24"/>
          <w:szCs w:val="24"/>
          <w:lang w:val="en-US" w:eastAsia="zh-CN"/>
        </w:rPr>
        <w:t>20</w:t>
      </w:r>
      <w:r>
        <w:rPr>
          <w:rFonts w:hint="eastAsia" w:ascii="宋体" w:hAnsi="宋体" w:cs="宋体"/>
          <w:b/>
          <w:bCs/>
          <w:sz w:val="24"/>
          <w:szCs w:val="24"/>
          <w:lang w:val="en-US" w:eastAsia="zh-CN"/>
        </w:rPr>
        <w:t>24</w:t>
      </w:r>
      <w:r>
        <w:rPr>
          <w:rFonts w:hint="eastAsia" w:ascii="宋体" w:hAnsi="宋体" w:eastAsia="宋体" w:cs="宋体"/>
          <w:b/>
          <w:bCs/>
          <w:sz w:val="24"/>
          <w:szCs w:val="24"/>
          <w:lang w:val="en-US" w:eastAsia="zh-CN"/>
        </w:rPr>
        <w:t>年</w:t>
      </w:r>
      <w:r>
        <w:rPr>
          <w:rFonts w:hint="eastAsia" w:ascii="宋体" w:hAnsi="宋体" w:cs="宋体"/>
          <w:b/>
          <w:bCs/>
          <w:sz w:val="24"/>
          <w:szCs w:val="24"/>
          <w:lang w:val="en-US" w:eastAsia="zh-CN"/>
        </w:rPr>
        <w:t>6</w:t>
      </w:r>
      <w:r>
        <w:rPr>
          <w:rFonts w:hint="eastAsia" w:ascii="宋体" w:hAnsi="宋体" w:eastAsia="宋体" w:cs="宋体"/>
          <w:b/>
          <w:bCs/>
          <w:sz w:val="24"/>
          <w:szCs w:val="24"/>
          <w:lang w:val="en-US" w:eastAsia="zh-CN"/>
        </w:rPr>
        <w:t>月</w:t>
      </w:r>
      <w:r>
        <w:rPr>
          <w:rFonts w:hint="eastAsia" w:ascii="宋体" w:hAnsi="宋体" w:cs="宋体"/>
          <w:b/>
          <w:bCs/>
          <w:sz w:val="24"/>
          <w:szCs w:val="24"/>
          <w:lang w:val="en-US" w:eastAsia="zh-CN"/>
        </w:rPr>
        <w:t>4</w:t>
      </w:r>
      <w:bookmarkStart w:id="0" w:name="_GoBack"/>
      <w:bookmarkEnd w:id="0"/>
      <w:r>
        <w:rPr>
          <w:rFonts w:hint="eastAsia" w:ascii="宋体" w:hAnsi="宋体" w:eastAsia="宋体" w:cs="宋体"/>
          <w:b/>
          <w:bCs/>
          <w:sz w:val="24"/>
          <w:szCs w:val="24"/>
          <w:lang w:val="en-US" w:eastAsia="zh-CN"/>
        </w:rPr>
        <w:t>日</w:t>
      </w:r>
    </w:p>
    <w:sectPr>
      <w:headerReference r:id="rId3" w:type="default"/>
      <w:footerReference r:id="rId4" w:type="default"/>
      <w:footerReference r:id="rId5" w:type="even"/>
      <w:pgSz w:w="11906" w:h="16838"/>
      <w:pgMar w:top="1474" w:right="1361" w:bottom="1361"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jc w:val="right"/>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共10页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4</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1OTE5Mjc1YjlhMWI4MjIyZmIyNDA3N2RhNGFkZDQifQ=="/>
  </w:docVars>
  <w:rsids>
    <w:rsidRoot w:val="00172A27"/>
    <w:rsid w:val="00012CC0"/>
    <w:rsid w:val="000203AD"/>
    <w:rsid w:val="00022426"/>
    <w:rsid w:val="00023EFC"/>
    <w:rsid w:val="00025AF5"/>
    <w:rsid w:val="00025CE6"/>
    <w:rsid w:val="00026084"/>
    <w:rsid w:val="00042594"/>
    <w:rsid w:val="00043039"/>
    <w:rsid w:val="00051B51"/>
    <w:rsid w:val="00052A71"/>
    <w:rsid w:val="00052EE8"/>
    <w:rsid w:val="00053FE3"/>
    <w:rsid w:val="00066DAB"/>
    <w:rsid w:val="00080071"/>
    <w:rsid w:val="000807FF"/>
    <w:rsid w:val="00080BDD"/>
    <w:rsid w:val="00080C1A"/>
    <w:rsid w:val="00080DED"/>
    <w:rsid w:val="000A04E7"/>
    <w:rsid w:val="000A2608"/>
    <w:rsid w:val="000A6971"/>
    <w:rsid w:val="000A7B1E"/>
    <w:rsid w:val="000B5040"/>
    <w:rsid w:val="000C1071"/>
    <w:rsid w:val="000C5B2B"/>
    <w:rsid w:val="000E3A44"/>
    <w:rsid w:val="000E5B0B"/>
    <w:rsid w:val="000E7D52"/>
    <w:rsid w:val="000F3F7B"/>
    <w:rsid w:val="000F4A45"/>
    <w:rsid w:val="00107591"/>
    <w:rsid w:val="00110670"/>
    <w:rsid w:val="001179E3"/>
    <w:rsid w:val="00120C04"/>
    <w:rsid w:val="00124589"/>
    <w:rsid w:val="00124D2C"/>
    <w:rsid w:val="00126FE6"/>
    <w:rsid w:val="001326B4"/>
    <w:rsid w:val="001409B7"/>
    <w:rsid w:val="0015034F"/>
    <w:rsid w:val="00155C01"/>
    <w:rsid w:val="00156547"/>
    <w:rsid w:val="00156E29"/>
    <w:rsid w:val="00160DFB"/>
    <w:rsid w:val="00161448"/>
    <w:rsid w:val="0016420D"/>
    <w:rsid w:val="00166394"/>
    <w:rsid w:val="00170813"/>
    <w:rsid w:val="00172A27"/>
    <w:rsid w:val="00172F9D"/>
    <w:rsid w:val="00190FCC"/>
    <w:rsid w:val="00196C13"/>
    <w:rsid w:val="00196DAF"/>
    <w:rsid w:val="001A1906"/>
    <w:rsid w:val="001A7C52"/>
    <w:rsid w:val="001B0F18"/>
    <w:rsid w:val="001B3772"/>
    <w:rsid w:val="001B59A6"/>
    <w:rsid w:val="001B6723"/>
    <w:rsid w:val="001C00DA"/>
    <w:rsid w:val="001C1E7E"/>
    <w:rsid w:val="001C3310"/>
    <w:rsid w:val="001C3955"/>
    <w:rsid w:val="001C3AA4"/>
    <w:rsid w:val="001C7D4B"/>
    <w:rsid w:val="001D4A33"/>
    <w:rsid w:val="001E3B42"/>
    <w:rsid w:val="0020087B"/>
    <w:rsid w:val="00213E6E"/>
    <w:rsid w:val="00213F67"/>
    <w:rsid w:val="00215FE5"/>
    <w:rsid w:val="00217C19"/>
    <w:rsid w:val="002273F4"/>
    <w:rsid w:val="00230B83"/>
    <w:rsid w:val="00231E48"/>
    <w:rsid w:val="002412B8"/>
    <w:rsid w:val="00241E69"/>
    <w:rsid w:val="00242110"/>
    <w:rsid w:val="002465D4"/>
    <w:rsid w:val="00265C04"/>
    <w:rsid w:val="0026791C"/>
    <w:rsid w:val="00291D9A"/>
    <w:rsid w:val="002A158D"/>
    <w:rsid w:val="002B181E"/>
    <w:rsid w:val="002B36B0"/>
    <w:rsid w:val="002B52CF"/>
    <w:rsid w:val="002C4F4E"/>
    <w:rsid w:val="002D267C"/>
    <w:rsid w:val="002E0936"/>
    <w:rsid w:val="002E34DC"/>
    <w:rsid w:val="002F1B85"/>
    <w:rsid w:val="002F5562"/>
    <w:rsid w:val="002F6609"/>
    <w:rsid w:val="0030008E"/>
    <w:rsid w:val="00305605"/>
    <w:rsid w:val="00312D9E"/>
    <w:rsid w:val="003214C7"/>
    <w:rsid w:val="00321E14"/>
    <w:rsid w:val="00324A44"/>
    <w:rsid w:val="00326ACE"/>
    <w:rsid w:val="0033235D"/>
    <w:rsid w:val="003356F7"/>
    <w:rsid w:val="00342166"/>
    <w:rsid w:val="00345C24"/>
    <w:rsid w:val="00350105"/>
    <w:rsid w:val="00350B01"/>
    <w:rsid w:val="00354A12"/>
    <w:rsid w:val="003559B9"/>
    <w:rsid w:val="0035668D"/>
    <w:rsid w:val="00361AAE"/>
    <w:rsid w:val="0037034D"/>
    <w:rsid w:val="0038091F"/>
    <w:rsid w:val="003813D0"/>
    <w:rsid w:val="003819A1"/>
    <w:rsid w:val="003827E7"/>
    <w:rsid w:val="003848D1"/>
    <w:rsid w:val="003862A6"/>
    <w:rsid w:val="00387881"/>
    <w:rsid w:val="003A0AE9"/>
    <w:rsid w:val="003A423C"/>
    <w:rsid w:val="003A653F"/>
    <w:rsid w:val="003B2F17"/>
    <w:rsid w:val="003B468A"/>
    <w:rsid w:val="003B4B5A"/>
    <w:rsid w:val="003C1D76"/>
    <w:rsid w:val="003D366E"/>
    <w:rsid w:val="003D397D"/>
    <w:rsid w:val="003D70F9"/>
    <w:rsid w:val="003D7740"/>
    <w:rsid w:val="003E7C51"/>
    <w:rsid w:val="003F2E44"/>
    <w:rsid w:val="003F33E7"/>
    <w:rsid w:val="003F49AF"/>
    <w:rsid w:val="003F5710"/>
    <w:rsid w:val="003F58E2"/>
    <w:rsid w:val="003F790F"/>
    <w:rsid w:val="00410E35"/>
    <w:rsid w:val="004206EA"/>
    <w:rsid w:val="00436FBD"/>
    <w:rsid w:val="0044158E"/>
    <w:rsid w:val="00441CA7"/>
    <w:rsid w:val="00447401"/>
    <w:rsid w:val="00450E23"/>
    <w:rsid w:val="00452BA0"/>
    <w:rsid w:val="00456328"/>
    <w:rsid w:val="004567B2"/>
    <w:rsid w:val="00457B20"/>
    <w:rsid w:val="00457E4C"/>
    <w:rsid w:val="0046051C"/>
    <w:rsid w:val="0046492A"/>
    <w:rsid w:val="00464E74"/>
    <w:rsid w:val="00465921"/>
    <w:rsid w:val="00471C10"/>
    <w:rsid w:val="0047239A"/>
    <w:rsid w:val="00472DC7"/>
    <w:rsid w:val="004741FA"/>
    <w:rsid w:val="004746A3"/>
    <w:rsid w:val="004756BA"/>
    <w:rsid w:val="00481AEB"/>
    <w:rsid w:val="00483A89"/>
    <w:rsid w:val="0048674F"/>
    <w:rsid w:val="00495B7C"/>
    <w:rsid w:val="004A0F16"/>
    <w:rsid w:val="004A2F2D"/>
    <w:rsid w:val="004C01D0"/>
    <w:rsid w:val="004C0E1D"/>
    <w:rsid w:val="004C21C1"/>
    <w:rsid w:val="004C73D2"/>
    <w:rsid w:val="004E007A"/>
    <w:rsid w:val="004E2613"/>
    <w:rsid w:val="004E35A4"/>
    <w:rsid w:val="004E3CAD"/>
    <w:rsid w:val="004F32B8"/>
    <w:rsid w:val="004F5391"/>
    <w:rsid w:val="004F53A6"/>
    <w:rsid w:val="004F555F"/>
    <w:rsid w:val="004F5DD1"/>
    <w:rsid w:val="004F644F"/>
    <w:rsid w:val="004F6C7D"/>
    <w:rsid w:val="00501264"/>
    <w:rsid w:val="00505F4C"/>
    <w:rsid w:val="00506BB5"/>
    <w:rsid w:val="0051375E"/>
    <w:rsid w:val="00517F78"/>
    <w:rsid w:val="00521AED"/>
    <w:rsid w:val="00524173"/>
    <w:rsid w:val="00532AE7"/>
    <w:rsid w:val="00541121"/>
    <w:rsid w:val="0054392A"/>
    <w:rsid w:val="00545407"/>
    <w:rsid w:val="00546371"/>
    <w:rsid w:val="005500D2"/>
    <w:rsid w:val="00557C51"/>
    <w:rsid w:val="00563195"/>
    <w:rsid w:val="005713ED"/>
    <w:rsid w:val="0057213C"/>
    <w:rsid w:val="00585FBA"/>
    <w:rsid w:val="00586149"/>
    <w:rsid w:val="0059191C"/>
    <w:rsid w:val="005A520A"/>
    <w:rsid w:val="005B5B43"/>
    <w:rsid w:val="005B6EA7"/>
    <w:rsid w:val="005B7F79"/>
    <w:rsid w:val="005C474C"/>
    <w:rsid w:val="005C6565"/>
    <w:rsid w:val="005D1EB8"/>
    <w:rsid w:val="005E1B2F"/>
    <w:rsid w:val="005F76C4"/>
    <w:rsid w:val="00600078"/>
    <w:rsid w:val="00600C4B"/>
    <w:rsid w:val="00606A7F"/>
    <w:rsid w:val="00625DD4"/>
    <w:rsid w:val="00634B7C"/>
    <w:rsid w:val="00642B96"/>
    <w:rsid w:val="00644412"/>
    <w:rsid w:val="006472BC"/>
    <w:rsid w:val="00647E02"/>
    <w:rsid w:val="00652847"/>
    <w:rsid w:val="00655413"/>
    <w:rsid w:val="0066316A"/>
    <w:rsid w:val="00673C8F"/>
    <w:rsid w:val="006749AF"/>
    <w:rsid w:val="00676927"/>
    <w:rsid w:val="00681A06"/>
    <w:rsid w:val="00683364"/>
    <w:rsid w:val="006921D3"/>
    <w:rsid w:val="00695341"/>
    <w:rsid w:val="00695F06"/>
    <w:rsid w:val="006A0929"/>
    <w:rsid w:val="006A3E17"/>
    <w:rsid w:val="006A75F1"/>
    <w:rsid w:val="006A790E"/>
    <w:rsid w:val="006B2F17"/>
    <w:rsid w:val="006C070D"/>
    <w:rsid w:val="006C0729"/>
    <w:rsid w:val="006C3566"/>
    <w:rsid w:val="006C3E05"/>
    <w:rsid w:val="006D0770"/>
    <w:rsid w:val="006D2DC8"/>
    <w:rsid w:val="006D46E5"/>
    <w:rsid w:val="006D50BF"/>
    <w:rsid w:val="006D6621"/>
    <w:rsid w:val="006D707A"/>
    <w:rsid w:val="006D74F6"/>
    <w:rsid w:val="006E0DDE"/>
    <w:rsid w:val="006E1EED"/>
    <w:rsid w:val="006E2259"/>
    <w:rsid w:val="006E3364"/>
    <w:rsid w:val="006E4780"/>
    <w:rsid w:val="006E4829"/>
    <w:rsid w:val="006E6E83"/>
    <w:rsid w:val="007028DD"/>
    <w:rsid w:val="00707551"/>
    <w:rsid w:val="00707F8B"/>
    <w:rsid w:val="0072268F"/>
    <w:rsid w:val="00722B13"/>
    <w:rsid w:val="00723E0B"/>
    <w:rsid w:val="0073218F"/>
    <w:rsid w:val="007424B9"/>
    <w:rsid w:val="00742AB7"/>
    <w:rsid w:val="007436AA"/>
    <w:rsid w:val="00750DD4"/>
    <w:rsid w:val="00752386"/>
    <w:rsid w:val="00753354"/>
    <w:rsid w:val="00754976"/>
    <w:rsid w:val="00755B42"/>
    <w:rsid w:val="00757BE9"/>
    <w:rsid w:val="00770977"/>
    <w:rsid w:val="007755DB"/>
    <w:rsid w:val="0078014A"/>
    <w:rsid w:val="00781698"/>
    <w:rsid w:val="00782584"/>
    <w:rsid w:val="00785DC6"/>
    <w:rsid w:val="007A739C"/>
    <w:rsid w:val="007B10B5"/>
    <w:rsid w:val="007C1DF1"/>
    <w:rsid w:val="007C3F32"/>
    <w:rsid w:val="007C4996"/>
    <w:rsid w:val="007D3983"/>
    <w:rsid w:val="007E0A73"/>
    <w:rsid w:val="007E354D"/>
    <w:rsid w:val="007E3F43"/>
    <w:rsid w:val="007E61D4"/>
    <w:rsid w:val="007F5543"/>
    <w:rsid w:val="007F5695"/>
    <w:rsid w:val="007F56B9"/>
    <w:rsid w:val="008214C3"/>
    <w:rsid w:val="00822CFB"/>
    <w:rsid w:val="008243E6"/>
    <w:rsid w:val="00830C2E"/>
    <w:rsid w:val="00832A8B"/>
    <w:rsid w:val="008348AA"/>
    <w:rsid w:val="00836AA7"/>
    <w:rsid w:val="008462A8"/>
    <w:rsid w:val="00851918"/>
    <w:rsid w:val="008524F1"/>
    <w:rsid w:val="00861178"/>
    <w:rsid w:val="008734FB"/>
    <w:rsid w:val="00874B1B"/>
    <w:rsid w:val="00880EC7"/>
    <w:rsid w:val="00881F04"/>
    <w:rsid w:val="00895A0A"/>
    <w:rsid w:val="00895F1B"/>
    <w:rsid w:val="008A09B4"/>
    <w:rsid w:val="008A1CCE"/>
    <w:rsid w:val="008A3459"/>
    <w:rsid w:val="008A5ECA"/>
    <w:rsid w:val="008B4648"/>
    <w:rsid w:val="008C684A"/>
    <w:rsid w:val="008D2E51"/>
    <w:rsid w:val="008D6C55"/>
    <w:rsid w:val="008E4250"/>
    <w:rsid w:val="008E6C44"/>
    <w:rsid w:val="008F2B0B"/>
    <w:rsid w:val="008F7665"/>
    <w:rsid w:val="009005C2"/>
    <w:rsid w:val="00907720"/>
    <w:rsid w:val="00915416"/>
    <w:rsid w:val="00925F92"/>
    <w:rsid w:val="00932F8D"/>
    <w:rsid w:val="00933A99"/>
    <w:rsid w:val="00934970"/>
    <w:rsid w:val="00936379"/>
    <w:rsid w:val="00940DC8"/>
    <w:rsid w:val="00952A49"/>
    <w:rsid w:val="00963A5F"/>
    <w:rsid w:val="00963B64"/>
    <w:rsid w:val="009723F5"/>
    <w:rsid w:val="00972D35"/>
    <w:rsid w:val="00976C1B"/>
    <w:rsid w:val="009840F5"/>
    <w:rsid w:val="00987B70"/>
    <w:rsid w:val="00992099"/>
    <w:rsid w:val="009977A2"/>
    <w:rsid w:val="009A256B"/>
    <w:rsid w:val="009A3186"/>
    <w:rsid w:val="009B035C"/>
    <w:rsid w:val="009C0418"/>
    <w:rsid w:val="009C1FB4"/>
    <w:rsid w:val="009C4384"/>
    <w:rsid w:val="009C5349"/>
    <w:rsid w:val="009D0FDD"/>
    <w:rsid w:val="009D5177"/>
    <w:rsid w:val="009E6E0B"/>
    <w:rsid w:val="009F2C15"/>
    <w:rsid w:val="009F2E7A"/>
    <w:rsid w:val="00A136EA"/>
    <w:rsid w:val="00A16976"/>
    <w:rsid w:val="00A2239F"/>
    <w:rsid w:val="00A251B9"/>
    <w:rsid w:val="00A26854"/>
    <w:rsid w:val="00A4182B"/>
    <w:rsid w:val="00A52E6B"/>
    <w:rsid w:val="00A61BB9"/>
    <w:rsid w:val="00A63E04"/>
    <w:rsid w:val="00A73A08"/>
    <w:rsid w:val="00A90C0E"/>
    <w:rsid w:val="00A91890"/>
    <w:rsid w:val="00A948B0"/>
    <w:rsid w:val="00A94E60"/>
    <w:rsid w:val="00A96003"/>
    <w:rsid w:val="00AB428A"/>
    <w:rsid w:val="00AB5763"/>
    <w:rsid w:val="00AC17B8"/>
    <w:rsid w:val="00AC29CF"/>
    <w:rsid w:val="00AC3AE3"/>
    <w:rsid w:val="00AD01C1"/>
    <w:rsid w:val="00AE79A0"/>
    <w:rsid w:val="00AF127C"/>
    <w:rsid w:val="00AF3743"/>
    <w:rsid w:val="00AF59BB"/>
    <w:rsid w:val="00AF59C8"/>
    <w:rsid w:val="00B04983"/>
    <w:rsid w:val="00B11CF5"/>
    <w:rsid w:val="00B30D3C"/>
    <w:rsid w:val="00B33041"/>
    <w:rsid w:val="00B420D8"/>
    <w:rsid w:val="00B4561C"/>
    <w:rsid w:val="00B45CA9"/>
    <w:rsid w:val="00B46A3E"/>
    <w:rsid w:val="00B51575"/>
    <w:rsid w:val="00B61C85"/>
    <w:rsid w:val="00B71414"/>
    <w:rsid w:val="00B726FD"/>
    <w:rsid w:val="00B80F46"/>
    <w:rsid w:val="00B824DE"/>
    <w:rsid w:val="00B91BD8"/>
    <w:rsid w:val="00B91D13"/>
    <w:rsid w:val="00B959A6"/>
    <w:rsid w:val="00B96322"/>
    <w:rsid w:val="00B96363"/>
    <w:rsid w:val="00B97656"/>
    <w:rsid w:val="00BA2C2E"/>
    <w:rsid w:val="00BA5874"/>
    <w:rsid w:val="00BB5DBF"/>
    <w:rsid w:val="00BB69E4"/>
    <w:rsid w:val="00BC0334"/>
    <w:rsid w:val="00BC33DA"/>
    <w:rsid w:val="00BC3A3D"/>
    <w:rsid w:val="00BC6AAF"/>
    <w:rsid w:val="00BC7688"/>
    <w:rsid w:val="00BD08AE"/>
    <w:rsid w:val="00BF1A9F"/>
    <w:rsid w:val="00BF2A06"/>
    <w:rsid w:val="00C06302"/>
    <w:rsid w:val="00C0685D"/>
    <w:rsid w:val="00C10CA4"/>
    <w:rsid w:val="00C14C33"/>
    <w:rsid w:val="00C34B9B"/>
    <w:rsid w:val="00C36D9E"/>
    <w:rsid w:val="00C40917"/>
    <w:rsid w:val="00C420B0"/>
    <w:rsid w:val="00C43BA3"/>
    <w:rsid w:val="00C441B8"/>
    <w:rsid w:val="00C51EE7"/>
    <w:rsid w:val="00C53F2F"/>
    <w:rsid w:val="00C54A72"/>
    <w:rsid w:val="00C54D56"/>
    <w:rsid w:val="00C57DA1"/>
    <w:rsid w:val="00C60684"/>
    <w:rsid w:val="00C6237E"/>
    <w:rsid w:val="00C6520F"/>
    <w:rsid w:val="00C754F4"/>
    <w:rsid w:val="00C85CD5"/>
    <w:rsid w:val="00C91506"/>
    <w:rsid w:val="00C92ED8"/>
    <w:rsid w:val="00C9529D"/>
    <w:rsid w:val="00CB1EB3"/>
    <w:rsid w:val="00CD1EB5"/>
    <w:rsid w:val="00CE7D19"/>
    <w:rsid w:val="00CF1B56"/>
    <w:rsid w:val="00CF2656"/>
    <w:rsid w:val="00D01DC8"/>
    <w:rsid w:val="00D10283"/>
    <w:rsid w:val="00D1390C"/>
    <w:rsid w:val="00D34A7E"/>
    <w:rsid w:val="00D368E8"/>
    <w:rsid w:val="00D36D9A"/>
    <w:rsid w:val="00D446E9"/>
    <w:rsid w:val="00D455D4"/>
    <w:rsid w:val="00D456A0"/>
    <w:rsid w:val="00D46A3E"/>
    <w:rsid w:val="00D46D4C"/>
    <w:rsid w:val="00D61012"/>
    <w:rsid w:val="00D645EB"/>
    <w:rsid w:val="00D71D6A"/>
    <w:rsid w:val="00D734F4"/>
    <w:rsid w:val="00D75FEA"/>
    <w:rsid w:val="00D8118D"/>
    <w:rsid w:val="00D836A5"/>
    <w:rsid w:val="00D848AD"/>
    <w:rsid w:val="00D87E96"/>
    <w:rsid w:val="00D92E66"/>
    <w:rsid w:val="00D9346B"/>
    <w:rsid w:val="00D97B6B"/>
    <w:rsid w:val="00DC1C55"/>
    <w:rsid w:val="00DC27BB"/>
    <w:rsid w:val="00DC2F8E"/>
    <w:rsid w:val="00DC5605"/>
    <w:rsid w:val="00DD3594"/>
    <w:rsid w:val="00DF26A3"/>
    <w:rsid w:val="00DF5FCE"/>
    <w:rsid w:val="00E01FA5"/>
    <w:rsid w:val="00E10982"/>
    <w:rsid w:val="00E1296F"/>
    <w:rsid w:val="00E12F69"/>
    <w:rsid w:val="00E30DA1"/>
    <w:rsid w:val="00E335B4"/>
    <w:rsid w:val="00E420AB"/>
    <w:rsid w:val="00E438D1"/>
    <w:rsid w:val="00E45B57"/>
    <w:rsid w:val="00E52CBE"/>
    <w:rsid w:val="00E57BC2"/>
    <w:rsid w:val="00E57C08"/>
    <w:rsid w:val="00E72EA9"/>
    <w:rsid w:val="00E74EE7"/>
    <w:rsid w:val="00E805F7"/>
    <w:rsid w:val="00E80A6A"/>
    <w:rsid w:val="00E8204E"/>
    <w:rsid w:val="00E957AE"/>
    <w:rsid w:val="00E96588"/>
    <w:rsid w:val="00E96A10"/>
    <w:rsid w:val="00EA5FFA"/>
    <w:rsid w:val="00ED6824"/>
    <w:rsid w:val="00EE37D7"/>
    <w:rsid w:val="00EE435A"/>
    <w:rsid w:val="00EE5BCF"/>
    <w:rsid w:val="00EE744D"/>
    <w:rsid w:val="00EF0504"/>
    <w:rsid w:val="00EF05F5"/>
    <w:rsid w:val="00EF327C"/>
    <w:rsid w:val="00EF70F9"/>
    <w:rsid w:val="00EF7D4B"/>
    <w:rsid w:val="00F00B15"/>
    <w:rsid w:val="00F04E59"/>
    <w:rsid w:val="00F11F00"/>
    <w:rsid w:val="00F12B44"/>
    <w:rsid w:val="00F14B62"/>
    <w:rsid w:val="00F16577"/>
    <w:rsid w:val="00F168D4"/>
    <w:rsid w:val="00F278EA"/>
    <w:rsid w:val="00F36C95"/>
    <w:rsid w:val="00F36F4C"/>
    <w:rsid w:val="00F42049"/>
    <w:rsid w:val="00F4528E"/>
    <w:rsid w:val="00F466FD"/>
    <w:rsid w:val="00F47A95"/>
    <w:rsid w:val="00F5018B"/>
    <w:rsid w:val="00F51B35"/>
    <w:rsid w:val="00F53C73"/>
    <w:rsid w:val="00F56159"/>
    <w:rsid w:val="00F56933"/>
    <w:rsid w:val="00F63B6B"/>
    <w:rsid w:val="00F65291"/>
    <w:rsid w:val="00F70415"/>
    <w:rsid w:val="00F71B6A"/>
    <w:rsid w:val="00F727C1"/>
    <w:rsid w:val="00F76D7E"/>
    <w:rsid w:val="00F824D5"/>
    <w:rsid w:val="00F95DA2"/>
    <w:rsid w:val="00FA39A1"/>
    <w:rsid w:val="00FA39AC"/>
    <w:rsid w:val="00FB1C7C"/>
    <w:rsid w:val="00FB405E"/>
    <w:rsid w:val="00FB4EBB"/>
    <w:rsid w:val="00FE17D7"/>
    <w:rsid w:val="00FE1DFE"/>
    <w:rsid w:val="00FE3EE6"/>
    <w:rsid w:val="00FE4213"/>
    <w:rsid w:val="00FF272E"/>
    <w:rsid w:val="00FF3A58"/>
    <w:rsid w:val="01AA1934"/>
    <w:rsid w:val="026708E1"/>
    <w:rsid w:val="045A4EDB"/>
    <w:rsid w:val="05BF6486"/>
    <w:rsid w:val="06055520"/>
    <w:rsid w:val="06095815"/>
    <w:rsid w:val="061B2F96"/>
    <w:rsid w:val="07892E35"/>
    <w:rsid w:val="0AE56C6A"/>
    <w:rsid w:val="0B006137"/>
    <w:rsid w:val="0BC26E43"/>
    <w:rsid w:val="0D087D92"/>
    <w:rsid w:val="0DD674E6"/>
    <w:rsid w:val="0E72627E"/>
    <w:rsid w:val="12293C0A"/>
    <w:rsid w:val="125B0021"/>
    <w:rsid w:val="133D09EF"/>
    <w:rsid w:val="1473051D"/>
    <w:rsid w:val="14CD39E8"/>
    <w:rsid w:val="184622DF"/>
    <w:rsid w:val="196547FC"/>
    <w:rsid w:val="196B02AF"/>
    <w:rsid w:val="1C1F125B"/>
    <w:rsid w:val="1CF274A2"/>
    <w:rsid w:val="1D6501EC"/>
    <w:rsid w:val="1FDC333E"/>
    <w:rsid w:val="205C7EF1"/>
    <w:rsid w:val="215F388A"/>
    <w:rsid w:val="22913EA7"/>
    <w:rsid w:val="230924A0"/>
    <w:rsid w:val="28A6246B"/>
    <w:rsid w:val="2BED1693"/>
    <w:rsid w:val="2C710E56"/>
    <w:rsid w:val="30B51A3A"/>
    <w:rsid w:val="31411A67"/>
    <w:rsid w:val="32C4213C"/>
    <w:rsid w:val="34687825"/>
    <w:rsid w:val="34F0112A"/>
    <w:rsid w:val="36450A5B"/>
    <w:rsid w:val="377D19E8"/>
    <w:rsid w:val="39C64DBD"/>
    <w:rsid w:val="3B710987"/>
    <w:rsid w:val="3D251A29"/>
    <w:rsid w:val="3E86299B"/>
    <w:rsid w:val="40E03FF7"/>
    <w:rsid w:val="41F700F7"/>
    <w:rsid w:val="42654645"/>
    <w:rsid w:val="43811C58"/>
    <w:rsid w:val="44447278"/>
    <w:rsid w:val="45E17142"/>
    <w:rsid w:val="46B50E5F"/>
    <w:rsid w:val="471456F6"/>
    <w:rsid w:val="47B65A57"/>
    <w:rsid w:val="48D151BE"/>
    <w:rsid w:val="4977360C"/>
    <w:rsid w:val="4C526641"/>
    <w:rsid w:val="4C794B87"/>
    <w:rsid w:val="4CAC49EE"/>
    <w:rsid w:val="4EB175C0"/>
    <w:rsid w:val="509103BA"/>
    <w:rsid w:val="53A52B3A"/>
    <w:rsid w:val="58515970"/>
    <w:rsid w:val="58623660"/>
    <w:rsid w:val="5A2258F7"/>
    <w:rsid w:val="5CC45466"/>
    <w:rsid w:val="5D792DD5"/>
    <w:rsid w:val="606716BD"/>
    <w:rsid w:val="60D530E2"/>
    <w:rsid w:val="62BA49DD"/>
    <w:rsid w:val="638C5B1B"/>
    <w:rsid w:val="64E525F7"/>
    <w:rsid w:val="66B52AFC"/>
    <w:rsid w:val="67CD0D33"/>
    <w:rsid w:val="6890622D"/>
    <w:rsid w:val="68D2028F"/>
    <w:rsid w:val="690D6ABA"/>
    <w:rsid w:val="69DF4587"/>
    <w:rsid w:val="6AC65D4A"/>
    <w:rsid w:val="6C3D0DF3"/>
    <w:rsid w:val="6C4909E0"/>
    <w:rsid w:val="6C503B22"/>
    <w:rsid w:val="6DE346D4"/>
    <w:rsid w:val="72742E58"/>
    <w:rsid w:val="72E10BBB"/>
    <w:rsid w:val="74700D07"/>
    <w:rsid w:val="75757E8D"/>
    <w:rsid w:val="75FE1A03"/>
    <w:rsid w:val="76DC111C"/>
    <w:rsid w:val="771A335B"/>
    <w:rsid w:val="78367945"/>
    <w:rsid w:val="79987F47"/>
    <w:rsid w:val="7A1C7BE9"/>
    <w:rsid w:val="7AA80FC8"/>
    <w:rsid w:val="7BDE519E"/>
    <w:rsid w:val="7CD90968"/>
    <w:rsid w:val="7E682424"/>
    <w:rsid w:val="7E7A539B"/>
    <w:rsid w:val="7EDD1C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Body Text"/>
    <w:basedOn w:val="1"/>
    <w:autoRedefine/>
    <w:qFormat/>
    <w:uiPriority w:val="0"/>
    <w:pPr>
      <w:spacing w:after="120"/>
    </w:pPr>
  </w:style>
  <w:style w:type="paragraph" w:styleId="4">
    <w:name w:val="Body Text Indent"/>
    <w:basedOn w:val="1"/>
    <w:autoRedefine/>
    <w:qFormat/>
    <w:uiPriority w:val="0"/>
    <w:pPr>
      <w:ind w:left="360"/>
    </w:pPr>
    <w:rPr>
      <w:sz w:val="24"/>
    </w:rPr>
  </w:style>
  <w:style w:type="paragraph" w:styleId="5">
    <w:name w:val="Balloon Text"/>
    <w:basedOn w:val="1"/>
    <w:autoRedefine/>
    <w:qFormat/>
    <w:uiPriority w:val="0"/>
    <w:rPr>
      <w:sz w:val="18"/>
      <w:szCs w:val="18"/>
    </w:rPr>
  </w:style>
  <w:style w:type="paragraph" w:styleId="6">
    <w:name w:val="footer"/>
    <w:basedOn w:val="1"/>
    <w:autoRedefine/>
    <w:qFormat/>
    <w:uiPriority w:val="0"/>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autoRedefine/>
    <w:qFormat/>
    <w:uiPriority w:val="0"/>
    <w:pPr>
      <w:spacing w:after="120"/>
      <w:ind w:left="420" w:leftChars="200"/>
    </w:pPr>
    <w:rPr>
      <w:sz w:val="16"/>
      <w:szCs w:val="16"/>
    </w:rPr>
  </w:style>
  <w:style w:type="paragraph" w:styleId="9">
    <w:name w:val="annotation subject"/>
    <w:basedOn w:val="2"/>
    <w:next w:val="2"/>
    <w:autoRedefine/>
    <w:qFormat/>
    <w:uiPriority w:val="0"/>
    <w:rPr>
      <w:b/>
      <w:bCs/>
    </w:rPr>
  </w:style>
  <w:style w:type="character" w:styleId="12">
    <w:name w:val="page number"/>
    <w:basedOn w:val="11"/>
    <w:autoRedefine/>
    <w:qFormat/>
    <w:uiPriority w:val="0"/>
  </w:style>
  <w:style w:type="character" w:styleId="13">
    <w:name w:val="annotation reference"/>
    <w:autoRedefine/>
    <w:qFormat/>
    <w:uiPriority w:val="0"/>
    <w:rPr>
      <w:rFonts w:ascii="Tahoma" w:hAnsi="Tahoma"/>
      <w:sz w:val="21"/>
      <w:szCs w:val="21"/>
    </w:rPr>
  </w:style>
  <w:style w:type="paragraph" w:styleId="14">
    <w:name w:val="List Paragraph"/>
    <w:basedOn w:val="1"/>
    <w:autoRedefine/>
    <w:qFormat/>
    <w:uiPriority w:val="0"/>
    <w:pPr>
      <w:ind w:firstLine="420" w:firstLineChars="200"/>
    </w:pPr>
  </w:style>
  <w:style w:type="paragraph" w:customStyle="1" w:styleId="15">
    <w:name w:val="Char Char Char Char Char Char Char Char Char Char Char Char Char"/>
    <w:basedOn w:val="1"/>
    <w:autoRedefine/>
    <w:qFormat/>
    <w:uiPriority w:val="0"/>
    <w:rPr>
      <w:rFonts w:ascii="Tahoma" w:hAnsi="Tahoma"/>
      <w:sz w:val="24"/>
      <w:szCs w:val="20"/>
    </w:rPr>
  </w:style>
  <w:style w:type="paragraph" w:customStyle="1" w:styleId="16">
    <w:name w:val="默认段落字体 Para Char Char Char Char Char Char Char Char Char1 Char Char Char Char"/>
    <w:basedOn w:val="1"/>
    <w:autoRedefine/>
    <w:qFormat/>
    <w:uiPriority w:val="0"/>
    <w:rPr>
      <w:rFonts w:ascii="Tahoma" w:hAnsi="Tahoma"/>
      <w:sz w:val="24"/>
      <w:szCs w:val="20"/>
    </w:rPr>
  </w:style>
  <w:style w:type="paragraph" w:customStyle="1" w:styleId="17">
    <w:name w:val="Char Char Char Char"/>
    <w:basedOn w:val="1"/>
    <w:autoRedefine/>
    <w:qFormat/>
    <w:uiPriority w:val="0"/>
    <w:rPr>
      <w:rFonts w:ascii="Tahoma" w:hAnsi="Tahoma"/>
      <w:sz w:val="24"/>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F600E-6CBC-4033-8CAF-C813B3DCEF46}">
  <ds:schemaRefs/>
</ds:datastoreItem>
</file>

<file path=docProps/app.xml><?xml version="1.0" encoding="utf-8"?>
<Properties xmlns="http://schemas.openxmlformats.org/officeDocument/2006/extended-properties" xmlns:vt="http://schemas.openxmlformats.org/officeDocument/2006/docPropsVTypes">
  <Template>Normal</Template>
  <Company>sxcx</Company>
  <Pages>3</Pages>
  <Words>1969</Words>
  <Characters>2085</Characters>
  <Lines>59</Lines>
  <Paragraphs>16</Paragraphs>
  <TotalTime>0</TotalTime>
  <ScaleCrop>false</ScaleCrop>
  <LinksUpToDate>false</LinksUpToDate>
  <CharactersWithSpaces>2104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2020-07-15T01:32:00Z</dcterms:created>
  <dc:creator>sxcx1</dc:creator>
  <cp:lastModifiedBy>晚安</cp:lastModifiedBy>
  <cp:lastPrinted>2020-08-05T01:29:00Z</cp:lastPrinted>
  <dcterms:modified xsi:type="dcterms:W3CDTF">2024-06-04T08:18:38Z</dcterms:modified>
  <dc:title>绍兴县政府性投资项目标底编制说明</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B9EF35AA11E3470BB98F33311A016E3D_13</vt:lpwstr>
  </property>
</Properties>
</file>