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187914165"/>
      <w:r>
        <w:rPr>
          <w:rFonts w:hint="eastAsia"/>
        </w:rPr>
        <w:t>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轮报价明细表</w:t>
      </w:r>
      <w:bookmarkEnd w:id="0"/>
    </w:p>
    <w:p>
      <w:pPr>
        <w:pStyle w:val="5"/>
        <w:shd w:val="clear" w:color="auto" w:fill="FFFFFF"/>
        <w:snapToGrid w:val="0"/>
        <w:spacing w:line="560" w:lineRule="exact"/>
        <w:jc w:val="center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第</w:t>
      </w:r>
      <w:r>
        <w:rPr>
          <w:rFonts w:hint="eastAsia" w:hAnsi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hAnsi="宋体"/>
          <w:b/>
          <w:bCs/>
          <w:sz w:val="30"/>
          <w:szCs w:val="30"/>
        </w:rPr>
        <w:t>轮报价明细表</w:t>
      </w:r>
    </w:p>
    <w:p>
      <w:pPr>
        <w:pStyle w:val="5"/>
        <w:shd w:val="clear" w:color="auto" w:fill="FFFFFF"/>
        <w:snapToGrid w:val="0"/>
        <w:spacing w:line="560" w:lineRule="exact"/>
        <w:rPr>
          <w:rFonts w:hint="eastAsia" w:hAnsi="宋体"/>
          <w:sz w:val="21"/>
          <w:u w:val="single"/>
        </w:rPr>
      </w:pPr>
      <w:r>
        <w:rPr>
          <w:rFonts w:hint="eastAsia" w:hAnsi="宋体"/>
          <w:bCs/>
        </w:rPr>
        <w:t>项目编号：</w:t>
      </w:r>
      <w:r>
        <w:rPr>
          <w:rFonts w:hint="eastAsia" w:hAnsi="宋体"/>
          <w:bCs/>
          <w:u w:val="single"/>
        </w:rPr>
        <w:t>浙圣加采（2024）163号</w:t>
      </w:r>
    </w:p>
    <w:p>
      <w:pPr>
        <w:pStyle w:val="5"/>
        <w:shd w:val="clear" w:color="auto" w:fill="FFFFFF"/>
        <w:snapToGrid w:val="0"/>
        <w:spacing w:line="560" w:lineRule="exact"/>
        <w:rPr>
          <w:rFonts w:hint="eastAsia" w:hAnsi="宋体"/>
          <w:bCs/>
        </w:rPr>
      </w:pPr>
      <w:r>
        <w:rPr>
          <w:rFonts w:hint="eastAsia" w:hAnsi="宋体"/>
          <w:bCs/>
        </w:rPr>
        <w:t>项目名称：</w:t>
      </w:r>
      <w:r>
        <w:rPr>
          <w:rFonts w:hint="eastAsia" w:hAnsi="宋体"/>
          <w:u w:val="single"/>
        </w:rPr>
        <w:t>海盐县自然灾害应急能力提升工程</w:t>
      </w:r>
      <w:bookmarkStart w:id="2" w:name="_GoBack"/>
      <w:bookmarkEnd w:id="2"/>
      <w:r>
        <w:rPr>
          <w:rFonts w:hint="eastAsia" w:hAnsi="宋体"/>
          <w:u w:val="single"/>
        </w:rPr>
        <w:t>部分预警设备采购项目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900"/>
        <w:gridCol w:w="900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小计（元）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370MHz移动站★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eastAsia="宋体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eastAsia="宋体" w:cs="仿宋_GB2312"/>
                <w:lang w:val="en-US" w:eastAsia="zh-CN"/>
              </w:rPr>
            </w:pPr>
            <w:r>
              <w:rPr>
                <w:rFonts w:hint="eastAsia" w:cs="仿宋_GB2312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eastAsia="宋体" w:cs="仿宋_GB2312"/>
                <w:lang w:val="en-US" w:eastAsia="zh-CN"/>
              </w:rPr>
            </w:pPr>
            <w:r>
              <w:rPr>
                <w:rFonts w:hint="eastAsia" w:cs="仿宋_GB2312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  <w:r>
              <w:rPr>
                <w:rFonts w:hint="eastAsia" w:cs="仿宋_GB2312"/>
              </w:rPr>
              <w:t>370MHz终端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  <w:r>
              <w:rPr>
                <w:rFonts w:hint="eastAsia" w:cs="仿宋_GB2312"/>
              </w:rPr>
              <w:t>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  <w:r>
              <w:rPr>
                <w:rFonts w:hint="eastAsia" w:cs="仿宋_GB2312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eastAsia="宋体" w:cs="仿宋_GB2312"/>
                <w:lang w:val="en-US" w:eastAsia="zh-CN"/>
              </w:rPr>
            </w:pPr>
            <w:r>
              <w:rPr>
                <w:rFonts w:hint="eastAsia" w:cs="仿宋_GB2312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  <w:r>
              <w:rPr>
                <w:rFonts w:hint="eastAsia" w:cs="仿宋_GB2312"/>
              </w:rPr>
              <w:t>卫星电话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  <w:r>
              <w:rPr>
                <w:rFonts w:hint="eastAsia" w:cs="仿宋_GB2312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  <w:r>
              <w:rPr>
                <w:rFonts w:hint="eastAsia" w:cs="仿宋_GB2312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cs="Times New Roman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601600</w:t>
            </w:r>
          </w:p>
        </w:tc>
      </w:tr>
    </w:tbl>
    <w:p>
      <w:pPr>
        <w:snapToGrid w:val="0"/>
        <w:spacing w:before="50" w:after="50" w:line="360" w:lineRule="exact"/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/>
        </w:rPr>
        <w:t>注:</w:t>
      </w:r>
    </w:p>
    <w:p>
      <w:pPr>
        <w:adjustRightInd w:val="0"/>
        <w:snapToGrid w:val="0"/>
        <w:spacing w:before="156" w:beforeLines="50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总报价包括（且不限于）设备费、运输及运输保险费、材料费、装卸费、保管费、安装调试费、验收费、税金、各类保险、质保期内维修保养费、备品备件费、特殊工具费、政策性文件规定及合同包含的所有风险、责任等完成本项目的各项全部费用。</w:t>
      </w:r>
    </w:p>
    <w:p>
      <w:pPr>
        <w:ind w:firstLine="480" w:firstLineChars="200"/>
        <w:rPr>
          <w:rFonts w:hint="eastAsia" w:ascii="宋体" w:hAnsi="宋体" w:cs="仿宋_GB2312"/>
        </w:rPr>
      </w:pPr>
      <w:r>
        <w:rPr>
          <w:rFonts w:hint="eastAsia" w:ascii="宋体" w:hAnsi="宋体"/>
        </w:rPr>
        <w:t>2.总价高于最高限价的报价作无效标处理。</w:t>
      </w:r>
    </w:p>
    <w:p>
      <w:pPr>
        <w:spacing w:before="156" w:beforeLines="50" w:after="156" w:afterLines="50"/>
        <w:ind w:right="-24" w:rightChars="-10"/>
        <w:rPr>
          <w:rFonts w:ascii="Arial" w:hAnsi="Arial" w:cs="Arial"/>
          <w:sz w:val="21"/>
          <w:szCs w:val="21"/>
        </w:rPr>
      </w:pPr>
      <w:bookmarkStart w:id="1" w:name="OLE_LINK8"/>
      <w:r>
        <w:rPr>
          <w:rFonts w:hint="eastAsia" w:ascii="宋体" w:hAnsi="宋体" w:cs="Arial"/>
        </w:rPr>
        <w:t>竞争性磋商供应商</w:t>
      </w:r>
      <w:r>
        <w:rPr>
          <w:rFonts w:ascii="宋体" w:hAnsi="宋体" w:cs="Arial"/>
        </w:rPr>
        <w:t>全称（公章）：</w:t>
      </w:r>
      <w:r>
        <w:rPr>
          <w:rFonts w:hint="eastAsia" w:ascii="宋体" w:hAnsi="宋体" w:cs="Arial"/>
        </w:rPr>
        <w:t>中国移动通信集团浙江有限公司嘉兴分公司</w:t>
      </w:r>
    </w:p>
    <w:p>
      <w:pPr>
        <w:spacing w:before="156" w:beforeLines="50" w:after="156" w:afterLines="50"/>
        <w:ind w:right="-10"/>
        <w:rPr>
          <w:rFonts w:ascii="Arial" w:hAnsi="Arial" w:cs="Arial"/>
        </w:rPr>
      </w:pPr>
      <w:r>
        <w:rPr>
          <w:rFonts w:ascii="宋体" w:hAnsi="宋体" w:cs="Arial"/>
        </w:rPr>
        <w:t>法定代表人或授权代表（签字或盖章）：</w:t>
      </w:r>
    </w:p>
    <w:p>
      <w:pPr>
        <w:spacing w:before="156" w:beforeLines="50" w:after="156" w:afterLines="50"/>
        <w:ind w:right="-24" w:rightChars="-10"/>
        <w:rPr>
          <w:rFonts w:hint="eastAsia"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2025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1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20  </w:t>
      </w:r>
      <w:r>
        <w:rPr>
          <w:rFonts w:hint="eastAsia" w:ascii="宋体" w:hAnsi="宋体"/>
        </w:rPr>
        <w:t>日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3A20D"/>
    <w:multiLevelType w:val="multilevel"/>
    <w:tmpl w:val="ABF3A20D"/>
    <w:lvl w:ilvl="0" w:tentative="0">
      <w:start w:val="1"/>
      <w:numFmt w:val="decimal"/>
      <w:pStyle w:val="4"/>
      <w:suff w:val="space"/>
      <w:lvlText w:val="第%1章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 w:ascii="Times New Roman" w:hAnsi="Times New Roman" w:eastAsia="宋体" w:cs="宋体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 w:ascii="Times New Roman" w:hAnsi="Times New Roman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6507F"/>
    <w:rsid w:val="6C56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spacing w:after="0"/>
      <w:ind w:firstLine="200" w:firstLineChars="200"/>
    </w:pPr>
  </w:style>
  <w:style w:type="paragraph" w:styleId="5">
    <w:name w:val="Plain Text"/>
    <w:basedOn w:val="1"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1"/>
    </w:rPr>
  </w:style>
  <w:style w:type="paragraph" w:customStyle="1" w:styleId="8">
    <w:name w:val="表格居中"/>
    <w:next w:val="1"/>
    <w:qFormat/>
    <w:uiPriority w:val="1"/>
    <w:pPr>
      <w:widowControl w:val="0"/>
      <w:spacing w:line="264" w:lineRule="auto"/>
      <w:jc w:val="center"/>
    </w:pPr>
    <w:rPr>
      <w:rFonts w:ascii="宋体" w:hAnsi="宋体" w:eastAsia="宋体" w:cstheme="minorBidi"/>
      <w:kern w:val="2"/>
      <w:sz w:val="21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2025-01-20T08:04:00Z</dcterms:created>
  <dc:creator>zhangchunping1@zj.cmcc</dc:creator>
  <cp:lastModifiedBy>zhangchunping1@zj.cmcc</cp:lastModifiedBy>
  <dcterms:modified xsi:type="dcterms:W3CDTF">2025-01-20T08:05:51Z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FA04623AD126433D8E1BFFF9995AAE7D</vt:lpwstr>
  </property>
</Properties>
</file>