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12.odttf" ContentType="application/vnd.openxmlformats-officedocument.obfuscatedFont"/>
  <Override PartName="/word/fonts/font13.odttf" ContentType="application/vnd.openxmlformats-officedocument.obfuscatedFont"/>
  <Override PartName="/word/fonts/font14.odttf" ContentType="application/vnd.openxmlformats-officedocument.obfuscatedFont"/>
  <Override PartName="/word/fonts/font15.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1E6DEC3">
      <w:pPr>
        <w:ind w:left="599" w:leftChars="-202" w:right="-521" w:rightChars="-248" w:hanging="1023" w:hangingChars="142"/>
        <w:jc w:val="center"/>
        <w:outlineLvl w:val="0"/>
        <w:rPr>
          <w:rFonts w:ascii="微软雅黑" w:hAnsi="微软雅黑" w:cs="微软雅黑"/>
          <w:b/>
          <w:bCs/>
          <w:color w:val="auto"/>
          <w:sz w:val="72"/>
          <w:szCs w:val="72"/>
          <w:highlight w:val="none"/>
        </w:rPr>
      </w:pPr>
      <w:bookmarkStart w:id="0" w:name="_Toc29593"/>
      <w:bookmarkStart w:id="1" w:name="_Toc11060"/>
      <w:bookmarkStart w:id="2" w:name="_Toc24825"/>
      <w:bookmarkStart w:id="3" w:name="_Toc12262"/>
      <w:r>
        <w:rPr>
          <w:rFonts w:hint="eastAsia" w:ascii="微软雅黑" w:hAnsi="微软雅黑" w:cs="微软雅黑"/>
          <w:b/>
          <w:bCs/>
          <w:color w:val="auto"/>
          <w:sz w:val="72"/>
          <w:szCs w:val="72"/>
          <w:highlight w:val="none"/>
        </w:rPr>
        <w:t>政府采购电子交易项目</w:t>
      </w:r>
      <w:bookmarkEnd w:id="0"/>
      <w:bookmarkEnd w:id="1"/>
      <w:bookmarkEnd w:id="2"/>
      <w:bookmarkEnd w:id="3"/>
    </w:p>
    <w:p w14:paraId="20FCC02D">
      <w:pPr>
        <w:pStyle w:val="277"/>
        <w:jc w:val="center"/>
        <w:outlineLvl w:val="0"/>
        <w:rPr>
          <w:rFonts w:ascii="微软雅黑" w:hAnsi="微软雅黑" w:eastAsia="微软雅黑" w:cs="宋体"/>
          <w:b/>
          <w:bCs/>
          <w:color w:val="auto"/>
          <w:sz w:val="72"/>
          <w:szCs w:val="72"/>
          <w:highlight w:val="none"/>
        </w:rPr>
      </w:pPr>
      <w:bookmarkStart w:id="4" w:name="_Toc9741"/>
      <w:r>
        <w:rPr>
          <w:rFonts w:hint="eastAsia" w:ascii="微软雅黑" w:hAnsi="微软雅黑" w:eastAsia="微软雅黑" w:cs="宋体"/>
          <w:b/>
          <w:bCs/>
          <w:color w:val="auto"/>
          <w:sz w:val="72"/>
          <w:szCs w:val="72"/>
          <w:highlight w:val="none"/>
        </w:rPr>
        <w:t>公开招标采购文件</w:t>
      </w:r>
      <w:bookmarkEnd w:id="4"/>
    </w:p>
    <w:p w14:paraId="1B652FF4">
      <w:pPr>
        <w:pStyle w:val="277"/>
        <w:jc w:val="center"/>
        <w:rPr>
          <w:rFonts w:ascii="方正粗黑宋简体" w:hAnsi="方正粗黑宋简体" w:eastAsia="方正粗黑宋简体"/>
          <w:color w:val="auto"/>
          <w:sz w:val="52"/>
          <w:szCs w:val="52"/>
          <w:highlight w:val="none"/>
        </w:rPr>
      </w:pPr>
    </w:p>
    <w:p w14:paraId="13ED608F">
      <w:pPr>
        <w:ind w:left="120" w:leftChars="-337" w:right="-804" w:rightChars="-383" w:hanging="828" w:hangingChars="230"/>
        <w:jc w:val="center"/>
        <w:rPr>
          <w:rFonts w:ascii="微软雅黑" w:hAnsi="微软雅黑"/>
          <w:b/>
          <w:bCs/>
          <w:color w:val="auto"/>
          <w:sz w:val="36"/>
          <w:szCs w:val="36"/>
          <w:highlight w:val="none"/>
        </w:rPr>
      </w:pPr>
      <w:r>
        <w:rPr>
          <w:rFonts w:ascii="微软雅黑" w:hAnsi="微软雅黑"/>
          <w:b/>
          <w:bCs/>
          <w:color w:val="auto"/>
          <w:sz w:val="36"/>
          <w:szCs w:val="36"/>
          <w:highlight w:val="none"/>
        </w:rPr>
        <w:drawing>
          <wp:inline distT="0" distB="0" distL="0" distR="0">
            <wp:extent cx="1713865" cy="1630045"/>
            <wp:effectExtent l="0" t="0" r="635" b="8255"/>
            <wp:docPr id="10" name="图片 1" descr="C:\Users\ADMINI~1\AppData\Local\Temp\163945116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 descr="C:\Users\ADMINI~1\AppData\Local\Temp\1639451168.jpg"/>
                    <pic:cNvPicPr>
                      <a:picLocks noChangeAspect="1" noChangeArrowheads="1"/>
                    </pic:cNvPicPr>
                  </pic:nvPicPr>
                  <pic:blipFill>
                    <a:blip r:embed="rId35" cstate="print"/>
                    <a:srcRect/>
                    <a:stretch>
                      <a:fillRect/>
                    </a:stretch>
                  </pic:blipFill>
                  <pic:spPr>
                    <a:xfrm>
                      <a:off x="0" y="0"/>
                      <a:ext cx="1713865" cy="1630045"/>
                    </a:xfrm>
                    <a:prstGeom prst="rect">
                      <a:avLst/>
                    </a:prstGeom>
                    <a:noFill/>
                    <a:ln w="9525">
                      <a:noFill/>
                      <a:miter lim="800000"/>
                      <a:headEnd/>
                      <a:tailEnd/>
                    </a:ln>
                  </pic:spPr>
                </pic:pic>
              </a:graphicData>
            </a:graphic>
          </wp:inline>
        </w:drawing>
      </w:r>
    </w:p>
    <w:p w14:paraId="149E1B47">
      <w:pPr>
        <w:pStyle w:val="28"/>
        <w:pBdr>
          <w:bottom w:val="thinThickThinMediumGap" w:color="auto" w:sz="18" w:space="1"/>
        </w:pBdr>
        <w:ind w:firstLine="532"/>
        <w:jc w:val="distribute"/>
        <w:rPr>
          <w:rFonts w:ascii="微软雅黑" w:hAnsi="微软雅黑"/>
          <w:b/>
          <w:bCs/>
          <w:color w:val="auto"/>
          <w:w w:val="95"/>
          <w:sz w:val="28"/>
          <w:szCs w:val="28"/>
          <w:highlight w:val="none"/>
        </w:rPr>
      </w:pPr>
    </w:p>
    <w:p w14:paraId="108937A8">
      <w:pPr>
        <w:pStyle w:val="28"/>
        <w:pBdr>
          <w:bottom w:val="thinThickThinMediumGap" w:color="auto" w:sz="18" w:space="1"/>
        </w:pBdr>
        <w:ind w:firstLine="0" w:firstLineChars="0"/>
        <w:jc w:val="distribute"/>
        <w:outlineLvl w:val="0"/>
        <w:rPr>
          <w:rFonts w:ascii="微软雅黑" w:hAnsi="微软雅黑"/>
          <w:b/>
          <w:bCs/>
          <w:color w:val="auto"/>
          <w:w w:val="95"/>
          <w:sz w:val="28"/>
          <w:szCs w:val="28"/>
          <w:highlight w:val="none"/>
        </w:rPr>
      </w:pPr>
      <w:bookmarkStart w:id="5" w:name="_Toc32224"/>
      <w:bookmarkStart w:id="6" w:name="_Toc29976"/>
      <w:bookmarkStart w:id="7" w:name="_Toc18138"/>
      <w:bookmarkStart w:id="8" w:name="_Toc31634"/>
      <w:r>
        <w:rPr>
          <w:rFonts w:hint="eastAsia" w:ascii="微软雅黑" w:hAnsi="微软雅黑"/>
          <w:b/>
          <w:bCs/>
          <w:color w:val="auto"/>
          <w:w w:val="95"/>
          <w:sz w:val="28"/>
          <w:szCs w:val="28"/>
          <w:highlight w:val="none"/>
        </w:rPr>
        <w:t>嘉兴市千秋工程咨询有限公司</w:t>
      </w:r>
      <w:bookmarkEnd w:id="5"/>
      <w:bookmarkEnd w:id="6"/>
      <w:bookmarkEnd w:id="7"/>
      <w:bookmarkEnd w:id="8"/>
    </w:p>
    <w:p w14:paraId="7B28D8BB">
      <w:pPr>
        <w:pStyle w:val="28"/>
        <w:pBdr>
          <w:bottom w:val="thinThickThinMediumGap" w:color="auto" w:sz="18" w:space="1"/>
        </w:pBdr>
        <w:ind w:firstLine="0" w:firstLineChars="0"/>
        <w:jc w:val="distribute"/>
        <w:rPr>
          <w:rFonts w:ascii="微软雅黑" w:hAnsi="微软雅黑"/>
          <w:b/>
          <w:bCs/>
          <w:color w:val="auto"/>
          <w:w w:val="95"/>
          <w:sz w:val="28"/>
          <w:szCs w:val="28"/>
          <w:highlight w:val="none"/>
        </w:rPr>
      </w:pPr>
      <w:r>
        <w:rPr>
          <w:rFonts w:hint="eastAsia" w:ascii="微软雅黑" w:hAnsi="微软雅黑"/>
          <w:b/>
          <w:bCs/>
          <w:color w:val="auto"/>
          <w:w w:val="95"/>
          <w:sz w:val="28"/>
          <w:szCs w:val="28"/>
          <w:highlight w:val="none"/>
        </w:rPr>
        <w:t>Jiaxing Qianqiu Engineering Consulting Co., Ltd</w:t>
      </w:r>
    </w:p>
    <w:p w14:paraId="6240227D">
      <w:pPr>
        <w:pStyle w:val="28"/>
        <w:spacing w:after="0"/>
        <w:ind w:firstLine="0" w:firstLineChars="0"/>
        <w:rPr>
          <w:rFonts w:hint="eastAsia" w:ascii="微软雅黑" w:hAnsi="微软雅黑"/>
          <w:bCs/>
          <w:color w:val="auto"/>
          <w:w w:val="95"/>
          <w:sz w:val="24"/>
          <w:szCs w:val="24"/>
          <w:highlight w:val="none"/>
          <w:lang w:eastAsia="zh-CN"/>
        </w:rPr>
      </w:pPr>
      <w:r>
        <w:rPr>
          <w:rFonts w:hint="eastAsia" w:ascii="微软雅黑" w:hAnsi="微软雅黑"/>
          <w:bCs/>
          <w:color w:val="auto"/>
          <w:w w:val="95"/>
          <w:sz w:val="24"/>
          <w:szCs w:val="24"/>
          <w:highlight w:val="none"/>
        </w:rPr>
        <w:t>项目名称：</w:t>
      </w:r>
      <w:r>
        <w:rPr>
          <w:rFonts w:hint="eastAsia" w:ascii="微软雅黑" w:hAnsi="微软雅黑"/>
          <w:bCs/>
          <w:color w:val="auto"/>
          <w:w w:val="95"/>
          <w:sz w:val="24"/>
          <w:szCs w:val="24"/>
          <w:highlight w:val="none"/>
          <w:lang w:eastAsia="zh-CN"/>
        </w:rPr>
        <w:t>嘉兴南湖学院化工基础实验室采购项目</w:t>
      </w:r>
    </w:p>
    <w:p w14:paraId="12C89211">
      <w:pPr>
        <w:pStyle w:val="28"/>
        <w:spacing w:after="0"/>
        <w:ind w:firstLine="0" w:firstLineChars="0"/>
        <w:rPr>
          <w:rFonts w:hint="eastAsia" w:ascii="微软雅黑" w:hAnsi="微软雅黑"/>
          <w:bCs/>
          <w:color w:val="auto"/>
          <w:w w:val="95"/>
          <w:sz w:val="24"/>
          <w:szCs w:val="24"/>
          <w:highlight w:val="none"/>
        </w:rPr>
      </w:pPr>
      <w:r>
        <w:rPr>
          <w:rFonts w:hint="eastAsia" w:ascii="微软雅黑" w:hAnsi="微软雅黑"/>
          <w:bCs/>
          <w:color w:val="auto"/>
          <w:w w:val="95"/>
          <w:sz w:val="24"/>
          <w:szCs w:val="24"/>
          <w:highlight w:val="none"/>
        </w:rPr>
        <w:t xml:space="preserve">招标编号：南湖采招[2025]2号 </w:t>
      </w:r>
    </w:p>
    <w:p w14:paraId="33985D82">
      <w:pPr>
        <w:pStyle w:val="28"/>
        <w:spacing w:after="0"/>
        <w:ind w:firstLine="0" w:firstLineChars="0"/>
        <w:rPr>
          <w:rFonts w:ascii="微软雅黑" w:hAnsi="微软雅黑"/>
          <w:bCs/>
          <w:color w:val="auto"/>
          <w:w w:val="95"/>
          <w:sz w:val="24"/>
          <w:szCs w:val="24"/>
          <w:highlight w:val="none"/>
        </w:rPr>
      </w:pPr>
      <w:r>
        <w:rPr>
          <w:rFonts w:hint="eastAsia" w:ascii="微软雅黑" w:hAnsi="微软雅黑"/>
          <w:bCs/>
          <w:color w:val="auto"/>
          <w:w w:val="95"/>
          <w:sz w:val="24"/>
          <w:szCs w:val="24"/>
          <w:highlight w:val="none"/>
        </w:rPr>
        <w:t>采 购 人：嘉兴南湖学院</w:t>
      </w:r>
    </w:p>
    <w:p w14:paraId="77481B11">
      <w:pPr>
        <w:pStyle w:val="28"/>
        <w:spacing w:after="0"/>
        <w:ind w:firstLine="0" w:firstLineChars="0"/>
        <w:rPr>
          <w:rFonts w:ascii="微软雅黑" w:hAnsi="微软雅黑"/>
          <w:bCs/>
          <w:color w:val="auto"/>
          <w:w w:val="95"/>
          <w:sz w:val="24"/>
          <w:szCs w:val="24"/>
          <w:highlight w:val="none"/>
        </w:rPr>
      </w:pPr>
      <w:r>
        <w:rPr>
          <w:rFonts w:hint="eastAsia" w:ascii="微软雅黑" w:hAnsi="微软雅黑"/>
          <w:bCs/>
          <w:color w:val="auto"/>
          <w:w w:val="95"/>
          <w:sz w:val="24"/>
          <w:szCs w:val="24"/>
          <w:highlight w:val="none"/>
        </w:rPr>
        <w:t>代理机构：嘉兴市千秋工程咨询有限公司</w:t>
      </w:r>
    </w:p>
    <w:p w14:paraId="24434906">
      <w:pPr>
        <w:pStyle w:val="28"/>
        <w:spacing w:after="0"/>
        <w:ind w:firstLine="0" w:firstLineChars="0"/>
        <w:rPr>
          <w:rFonts w:ascii="微软雅黑" w:hAnsi="微软雅黑"/>
          <w:b/>
          <w:color w:val="auto"/>
          <w:sz w:val="24"/>
          <w:szCs w:val="24"/>
          <w:highlight w:val="none"/>
        </w:rPr>
      </w:pPr>
      <w:bookmarkStart w:id="9" w:name="_Toc50012812"/>
      <w:r>
        <w:rPr>
          <w:rFonts w:hint="eastAsia" w:ascii="微软雅黑" w:hAnsi="微软雅黑"/>
          <w:bCs/>
          <w:color w:val="auto"/>
          <w:w w:val="95"/>
          <w:sz w:val="24"/>
          <w:szCs w:val="24"/>
          <w:highlight w:val="none"/>
        </w:rPr>
        <w:t>日    期：2025年    月    日</w:t>
      </w:r>
      <w:bookmarkEnd w:id="9"/>
    </w:p>
    <w:p w14:paraId="107A2C82">
      <w:pPr>
        <w:pStyle w:val="129"/>
        <w:spacing w:before="0" w:after="0" w:line="360" w:lineRule="auto"/>
        <w:rPr>
          <w:rFonts w:ascii="微软雅黑" w:hAnsi="微软雅黑"/>
          <w:color w:val="auto"/>
          <w:sz w:val="24"/>
          <w:szCs w:val="24"/>
          <w:highlight w:val="none"/>
          <w:lang w:val="zh-CN"/>
        </w:rPr>
        <w:sectPr>
          <w:headerReference r:id="rId7" w:type="first"/>
          <w:footerReference r:id="rId10" w:type="first"/>
          <w:headerReference r:id="rId5" w:type="default"/>
          <w:footerReference r:id="rId8" w:type="default"/>
          <w:headerReference r:id="rId6" w:type="even"/>
          <w:footerReference r:id="rId9" w:type="even"/>
          <w:type w:val="continuous"/>
          <w:pgSz w:w="11907" w:h="16840"/>
          <w:pgMar w:top="1474" w:right="1797" w:bottom="1247" w:left="1797" w:header="851" w:footer="851" w:gutter="0"/>
          <w:cols w:space="720" w:num="1"/>
          <w:docGrid w:linePitch="312" w:charSpace="0"/>
        </w:sectPr>
      </w:pPr>
    </w:p>
    <w:p w14:paraId="122F5191">
      <w:pPr>
        <w:pStyle w:val="298"/>
        <w:rPr>
          <w:color w:val="auto"/>
          <w:sz w:val="40"/>
          <w:szCs w:val="40"/>
          <w:highlight w:val="none"/>
        </w:rPr>
      </w:pPr>
    </w:p>
    <w:sdt>
      <w:sdtPr>
        <w:rPr>
          <w:rFonts w:ascii="宋体" w:hAnsi="宋体" w:eastAsia="宋体"/>
          <w:color w:val="auto"/>
          <w:highlight w:val="none"/>
        </w:rPr>
        <w:id w:val="147465393"/>
        <w:docPartObj>
          <w:docPartGallery w:val="Table of Contents"/>
          <w:docPartUnique/>
        </w:docPartObj>
      </w:sdtPr>
      <w:sdtEndPr>
        <w:rPr>
          <w:rFonts w:hint="eastAsia" w:ascii="微软雅黑" w:hAnsi="微软雅黑" w:eastAsia="微软雅黑" w:cs="微软雅黑"/>
          <w:color w:val="auto"/>
          <w:sz w:val="28"/>
          <w:szCs w:val="28"/>
          <w:highlight w:val="none"/>
        </w:rPr>
      </w:sdtEndPr>
      <w:sdtContent>
        <w:p w14:paraId="3C58DE99">
          <w:pPr>
            <w:spacing w:after="0" w:line="240" w:lineRule="auto"/>
            <w:ind w:firstLine="0" w:firstLineChars="0"/>
            <w:jc w:val="center"/>
            <w:rPr>
              <w:color w:val="auto"/>
              <w:highlight w:val="none"/>
            </w:rPr>
          </w:pPr>
          <w:r>
            <w:rPr>
              <w:rFonts w:ascii="宋体" w:hAnsi="宋体" w:eastAsia="宋体"/>
              <w:color w:val="auto"/>
              <w:highlight w:val="none"/>
            </w:rPr>
            <w:t>目录</w:t>
          </w:r>
        </w:p>
        <w:p w14:paraId="386072E4">
          <w:pPr>
            <w:pStyle w:val="135"/>
            <w:tabs>
              <w:tab w:val="right" w:leader="dot" w:pos="8313"/>
            </w:tabs>
            <w:rPr>
              <w:rFonts w:ascii="微软雅黑" w:hAnsi="微软雅黑" w:eastAsia="微软雅黑" w:cs="微软雅黑"/>
              <w:color w:val="auto"/>
              <w:sz w:val="28"/>
              <w:szCs w:val="28"/>
              <w:highlight w:val="none"/>
            </w:rPr>
          </w:pPr>
          <w:r>
            <w:rPr>
              <w:rFonts w:hint="eastAsia" w:ascii="微软雅黑" w:hAnsi="微软雅黑" w:eastAsia="微软雅黑" w:cs="微软雅黑"/>
              <w:color w:val="auto"/>
              <w:sz w:val="28"/>
              <w:szCs w:val="28"/>
              <w:highlight w:val="none"/>
            </w:rPr>
            <w:fldChar w:fldCharType="begin"/>
          </w:r>
          <w:r>
            <w:rPr>
              <w:rFonts w:hint="eastAsia" w:ascii="微软雅黑" w:hAnsi="微软雅黑" w:eastAsia="微软雅黑" w:cs="微软雅黑"/>
              <w:color w:val="auto"/>
              <w:sz w:val="28"/>
              <w:szCs w:val="28"/>
              <w:highlight w:val="none"/>
            </w:rPr>
            <w:instrText xml:space="preserve">TOC \o "1-1" \h \u </w:instrText>
          </w:r>
          <w:r>
            <w:rPr>
              <w:rFonts w:hint="eastAsia" w:ascii="微软雅黑" w:hAnsi="微软雅黑" w:eastAsia="微软雅黑" w:cs="微软雅黑"/>
              <w:color w:val="auto"/>
              <w:sz w:val="28"/>
              <w:szCs w:val="28"/>
              <w:highlight w:val="none"/>
            </w:rPr>
            <w:fldChar w:fldCharType="separate"/>
          </w:r>
        </w:p>
        <w:p w14:paraId="67247077">
          <w:pPr>
            <w:pStyle w:val="135"/>
            <w:tabs>
              <w:tab w:val="right" w:leader="dot" w:pos="8313"/>
            </w:tabs>
            <w:rPr>
              <w:rFonts w:ascii="微软雅黑" w:hAnsi="微软雅黑" w:eastAsia="微软雅黑" w:cs="微软雅黑"/>
              <w:color w:val="auto"/>
              <w:sz w:val="28"/>
              <w:szCs w:val="28"/>
              <w:highlight w:val="none"/>
            </w:rPr>
          </w:pPr>
          <w:r>
            <w:rPr>
              <w:color w:val="auto"/>
              <w:highlight w:val="none"/>
            </w:rPr>
            <w:fldChar w:fldCharType="begin"/>
          </w:r>
          <w:r>
            <w:rPr>
              <w:color w:val="auto"/>
              <w:highlight w:val="none"/>
            </w:rPr>
            <w:instrText xml:space="preserve"> HYPERLINK \l "_Toc11633" </w:instrText>
          </w:r>
          <w:r>
            <w:rPr>
              <w:color w:val="auto"/>
              <w:highlight w:val="none"/>
            </w:rPr>
            <w:fldChar w:fldCharType="separate"/>
          </w:r>
          <w:r>
            <w:rPr>
              <w:rFonts w:hint="eastAsia" w:ascii="微软雅黑" w:hAnsi="微软雅黑" w:eastAsia="微软雅黑" w:cs="微软雅黑"/>
              <w:bCs/>
              <w:color w:val="auto"/>
              <w:sz w:val="28"/>
              <w:szCs w:val="28"/>
              <w:highlight w:val="none"/>
            </w:rPr>
            <w:t>第一章 公开招标采购公告</w:t>
          </w:r>
          <w:r>
            <w:rPr>
              <w:rFonts w:hint="eastAsia" w:ascii="微软雅黑" w:hAnsi="微软雅黑" w:eastAsia="微软雅黑" w:cs="微软雅黑"/>
              <w:color w:val="auto"/>
              <w:sz w:val="28"/>
              <w:szCs w:val="28"/>
              <w:highlight w:val="none"/>
            </w:rPr>
            <w:tab/>
          </w:r>
          <w:r>
            <w:rPr>
              <w:rFonts w:hint="eastAsia" w:ascii="微软雅黑" w:hAnsi="微软雅黑" w:eastAsia="微软雅黑" w:cs="微软雅黑"/>
              <w:color w:val="auto"/>
              <w:sz w:val="28"/>
              <w:szCs w:val="28"/>
              <w:highlight w:val="none"/>
            </w:rPr>
            <w:fldChar w:fldCharType="begin"/>
          </w:r>
          <w:r>
            <w:rPr>
              <w:rFonts w:hint="eastAsia" w:ascii="微软雅黑" w:hAnsi="微软雅黑" w:eastAsia="微软雅黑" w:cs="微软雅黑"/>
              <w:color w:val="auto"/>
              <w:sz w:val="28"/>
              <w:szCs w:val="28"/>
              <w:highlight w:val="none"/>
            </w:rPr>
            <w:instrText xml:space="preserve"> PAGEREF _Toc11633 \h </w:instrText>
          </w:r>
          <w:r>
            <w:rPr>
              <w:rFonts w:hint="eastAsia" w:ascii="微软雅黑" w:hAnsi="微软雅黑" w:eastAsia="微软雅黑" w:cs="微软雅黑"/>
              <w:color w:val="auto"/>
              <w:sz w:val="28"/>
              <w:szCs w:val="28"/>
              <w:highlight w:val="none"/>
            </w:rPr>
            <w:fldChar w:fldCharType="separate"/>
          </w:r>
          <w:r>
            <w:rPr>
              <w:rFonts w:hint="eastAsia" w:ascii="微软雅黑" w:hAnsi="微软雅黑" w:eastAsia="微软雅黑" w:cs="微软雅黑"/>
              <w:color w:val="auto"/>
              <w:sz w:val="28"/>
              <w:szCs w:val="28"/>
              <w:highlight w:val="none"/>
            </w:rPr>
            <w:t>3</w:t>
          </w:r>
          <w:r>
            <w:rPr>
              <w:rFonts w:hint="eastAsia" w:ascii="微软雅黑" w:hAnsi="微软雅黑" w:eastAsia="微软雅黑" w:cs="微软雅黑"/>
              <w:color w:val="auto"/>
              <w:sz w:val="28"/>
              <w:szCs w:val="28"/>
              <w:highlight w:val="none"/>
            </w:rPr>
            <w:fldChar w:fldCharType="end"/>
          </w:r>
          <w:r>
            <w:rPr>
              <w:rFonts w:hint="eastAsia" w:ascii="微软雅黑" w:hAnsi="微软雅黑" w:eastAsia="微软雅黑" w:cs="微软雅黑"/>
              <w:color w:val="auto"/>
              <w:sz w:val="28"/>
              <w:szCs w:val="28"/>
              <w:highlight w:val="none"/>
            </w:rPr>
            <w:fldChar w:fldCharType="end"/>
          </w:r>
        </w:p>
        <w:p w14:paraId="7BFB64B0">
          <w:pPr>
            <w:pStyle w:val="135"/>
            <w:tabs>
              <w:tab w:val="right" w:leader="dot" w:pos="8313"/>
            </w:tabs>
            <w:rPr>
              <w:rFonts w:ascii="微软雅黑" w:hAnsi="微软雅黑" w:eastAsia="微软雅黑" w:cs="微软雅黑"/>
              <w:color w:val="auto"/>
              <w:sz w:val="28"/>
              <w:szCs w:val="28"/>
              <w:highlight w:val="none"/>
            </w:rPr>
          </w:pPr>
          <w:r>
            <w:rPr>
              <w:color w:val="auto"/>
              <w:highlight w:val="none"/>
            </w:rPr>
            <w:fldChar w:fldCharType="begin"/>
          </w:r>
          <w:r>
            <w:rPr>
              <w:color w:val="auto"/>
              <w:highlight w:val="none"/>
            </w:rPr>
            <w:instrText xml:space="preserve"> HYPERLINK \l "_Toc765" </w:instrText>
          </w:r>
          <w:r>
            <w:rPr>
              <w:color w:val="auto"/>
              <w:highlight w:val="none"/>
            </w:rPr>
            <w:fldChar w:fldCharType="separate"/>
          </w:r>
          <w:r>
            <w:rPr>
              <w:rFonts w:hint="eastAsia" w:ascii="微软雅黑" w:hAnsi="微软雅黑" w:eastAsia="微软雅黑" w:cs="微软雅黑"/>
              <w:bCs/>
              <w:color w:val="auto"/>
              <w:sz w:val="28"/>
              <w:szCs w:val="28"/>
              <w:highlight w:val="none"/>
            </w:rPr>
            <w:t>第二章 招标项目要求</w:t>
          </w:r>
          <w:r>
            <w:rPr>
              <w:rFonts w:hint="eastAsia" w:ascii="微软雅黑" w:hAnsi="微软雅黑" w:eastAsia="微软雅黑" w:cs="微软雅黑"/>
              <w:color w:val="auto"/>
              <w:sz w:val="28"/>
              <w:szCs w:val="28"/>
              <w:highlight w:val="none"/>
            </w:rPr>
            <w:tab/>
          </w:r>
          <w:r>
            <w:rPr>
              <w:rFonts w:hint="eastAsia" w:ascii="微软雅黑" w:hAnsi="微软雅黑" w:eastAsia="微软雅黑" w:cs="微软雅黑"/>
              <w:color w:val="auto"/>
              <w:sz w:val="28"/>
              <w:szCs w:val="28"/>
              <w:highlight w:val="none"/>
            </w:rPr>
            <w:fldChar w:fldCharType="begin"/>
          </w:r>
          <w:r>
            <w:rPr>
              <w:rFonts w:hint="eastAsia" w:ascii="微软雅黑" w:hAnsi="微软雅黑" w:eastAsia="微软雅黑" w:cs="微软雅黑"/>
              <w:color w:val="auto"/>
              <w:sz w:val="28"/>
              <w:szCs w:val="28"/>
              <w:highlight w:val="none"/>
            </w:rPr>
            <w:instrText xml:space="preserve"> PAGEREF _Toc765 \h </w:instrText>
          </w:r>
          <w:r>
            <w:rPr>
              <w:rFonts w:hint="eastAsia" w:ascii="微软雅黑" w:hAnsi="微软雅黑" w:eastAsia="微软雅黑" w:cs="微软雅黑"/>
              <w:color w:val="auto"/>
              <w:sz w:val="28"/>
              <w:szCs w:val="28"/>
              <w:highlight w:val="none"/>
            </w:rPr>
            <w:fldChar w:fldCharType="separate"/>
          </w:r>
          <w:r>
            <w:rPr>
              <w:rFonts w:hint="eastAsia" w:ascii="微软雅黑" w:hAnsi="微软雅黑" w:eastAsia="微软雅黑" w:cs="微软雅黑"/>
              <w:color w:val="auto"/>
              <w:sz w:val="28"/>
              <w:szCs w:val="28"/>
              <w:highlight w:val="none"/>
            </w:rPr>
            <w:t>10</w:t>
          </w:r>
          <w:r>
            <w:rPr>
              <w:rFonts w:hint="eastAsia" w:ascii="微软雅黑" w:hAnsi="微软雅黑" w:eastAsia="微软雅黑" w:cs="微软雅黑"/>
              <w:color w:val="auto"/>
              <w:sz w:val="28"/>
              <w:szCs w:val="28"/>
              <w:highlight w:val="none"/>
            </w:rPr>
            <w:fldChar w:fldCharType="end"/>
          </w:r>
          <w:r>
            <w:rPr>
              <w:rFonts w:hint="eastAsia" w:ascii="微软雅黑" w:hAnsi="微软雅黑" w:eastAsia="微软雅黑" w:cs="微软雅黑"/>
              <w:color w:val="auto"/>
              <w:sz w:val="28"/>
              <w:szCs w:val="28"/>
              <w:highlight w:val="none"/>
            </w:rPr>
            <w:fldChar w:fldCharType="end"/>
          </w:r>
        </w:p>
        <w:p w14:paraId="76529D82">
          <w:pPr>
            <w:pStyle w:val="135"/>
            <w:tabs>
              <w:tab w:val="right" w:leader="dot" w:pos="8313"/>
            </w:tabs>
            <w:rPr>
              <w:rFonts w:ascii="微软雅黑" w:hAnsi="微软雅黑" w:eastAsia="微软雅黑" w:cs="微软雅黑"/>
              <w:color w:val="auto"/>
              <w:sz w:val="28"/>
              <w:szCs w:val="28"/>
              <w:highlight w:val="none"/>
            </w:rPr>
          </w:pPr>
          <w:r>
            <w:rPr>
              <w:color w:val="auto"/>
              <w:highlight w:val="none"/>
            </w:rPr>
            <w:fldChar w:fldCharType="begin"/>
          </w:r>
          <w:r>
            <w:rPr>
              <w:color w:val="auto"/>
              <w:highlight w:val="none"/>
            </w:rPr>
            <w:instrText xml:space="preserve"> HYPERLINK \l "_Toc19017" </w:instrText>
          </w:r>
          <w:r>
            <w:rPr>
              <w:color w:val="auto"/>
              <w:highlight w:val="none"/>
            </w:rPr>
            <w:fldChar w:fldCharType="separate"/>
          </w:r>
          <w:r>
            <w:rPr>
              <w:rFonts w:hint="eastAsia" w:ascii="微软雅黑" w:hAnsi="微软雅黑" w:eastAsia="微软雅黑" w:cs="微软雅黑"/>
              <w:bCs/>
              <w:color w:val="auto"/>
              <w:sz w:val="28"/>
              <w:szCs w:val="28"/>
              <w:highlight w:val="none"/>
            </w:rPr>
            <w:t>第三章 投标人须知</w:t>
          </w:r>
          <w:r>
            <w:rPr>
              <w:rFonts w:hint="eastAsia" w:ascii="微软雅黑" w:hAnsi="微软雅黑" w:eastAsia="微软雅黑" w:cs="微软雅黑"/>
              <w:color w:val="auto"/>
              <w:sz w:val="28"/>
              <w:szCs w:val="28"/>
              <w:highlight w:val="none"/>
            </w:rPr>
            <w:tab/>
          </w:r>
          <w:r>
            <w:rPr>
              <w:rFonts w:hint="eastAsia" w:ascii="微软雅黑" w:hAnsi="微软雅黑" w:eastAsia="微软雅黑" w:cs="微软雅黑"/>
              <w:color w:val="auto"/>
              <w:sz w:val="28"/>
              <w:szCs w:val="28"/>
              <w:highlight w:val="none"/>
            </w:rPr>
            <w:fldChar w:fldCharType="begin"/>
          </w:r>
          <w:r>
            <w:rPr>
              <w:rFonts w:hint="eastAsia" w:ascii="微软雅黑" w:hAnsi="微软雅黑" w:eastAsia="微软雅黑" w:cs="微软雅黑"/>
              <w:color w:val="auto"/>
              <w:sz w:val="28"/>
              <w:szCs w:val="28"/>
              <w:highlight w:val="none"/>
            </w:rPr>
            <w:instrText xml:space="preserve"> PAGEREF _Toc19017 \h </w:instrText>
          </w:r>
          <w:r>
            <w:rPr>
              <w:rFonts w:hint="eastAsia" w:ascii="微软雅黑" w:hAnsi="微软雅黑" w:eastAsia="微软雅黑" w:cs="微软雅黑"/>
              <w:color w:val="auto"/>
              <w:sz w:val="28"/>
              <w:szCs w:val="28"/>
              <w:highlight w:val="none"/>
            </w:rPr>
            <w:fldChar w:fldCharType="separate"/>
          </w:r>
          <w:r>
            <w:rPr>
              <w:rFonts w:hint="eastAsia" w:ascii="微软雅黑" w:hAnsi="微软雅黑" w:eastAsia="微软雅黑" w:cs="微软雅黑"/>
              <w:color w:val="auto"/>
              <w:sz w:val="28"/>
              <w:szCs w:val="28"/>
              <w:highlight w:val="none"/>
            </w:rPr>
            <w:t>52</w:t>
          </w:r>
          <w:r>
            <w:rPr>
              <w:rFonts w:hint="eastAsia" w:ascii="微软雅黑" w:hAnsi="微软雅黑" w:eastAsia="微软雅黑" w:cs="微软雅黑"/>
              <w:color w:val="auto"/>
              <w:sz w:val="28"/>
              <w:szCs w:val="28"/>
              <w:highlight w:val="none"/>
            </w:rPr>
            <w:fldChar w:fldCharType="end"/>
          </w:r>
          <w:r>
            <w:rPr>
              <w:rFonts w:hint="eastAsia" w:ascii="微软雅黑" w:hAnsi="微软雅黑" w:eastAsia="微软雅黑" w:cs="微软雅黑"/>
              <w:color w:val="auto"/>
              <w:sz w:val="28"/>
              <w:szCs w:val="28"/>
              <w:highlight w:val="none"/>
            </w:rPr>
            <w:fldChar w:fldCharType="end"/>
          </w:r>
        </w:p>
        <w:p w14:paraId="5A7181E1">
          <w:pPr>
            <w:pStyle w:val="135"/>
            <w:tabs>
              <w:tab w:val="right" w:leader="dot" w:pos="8313"/>
            </w:tabs>
            <w:rPr>
              <w:rFonts w:ascii="微软雅黑" w:hAnsi="微软雅黑" w:eastAsia="微软雅黑" w:cs="微软雅黑"/>
              <w:color w:val="auto"/>
              <w:sz w:val="28"/>
              <w:szCs w:val="28"/>
              <w:highlight w:val="none"/>
            </w:rPr>
          </w:pPr>
          <w:r>
            <w:rPr>
              <w:color w:val="auto"/>
              <w:highlight w:val="none"/>
            </w:rPr>
            <w:fldChar w:fldCharType="begin"/>
          </w:r>
          <w:r>
            <w:rPr>
              <w:color w:val="auto"/>
              <w:highlight w:val="none"/>
            </w:rPr>
            <w:instrText xml:space="preserve"> HYPERLINK \l "_Toc29786" </w:instrText>
          </w:r>
          <w:r>
            <w:rPr>
              <w:color w:val="auto"/>
              <w:highlight w:val="none"/>
            </w:rPr>
            <w:fldChar w:fldCharType="separate"/>
          </w:r>
          <w:r>
            <w:rPr>
              <w:rFonts w:hint="eastAsia" w:ascii="微软雅黑" w:hAnsi="微软雅黑" w:eastAsia="微软雅黑" w:cs="微软雅黑"/>
              <w:bCs/>
              <w:color w:val="auto"/>
              <w:sz w:val="28"/>
              <w:szCs w:val="28"/>
              <w:highlight w:val="none"/>
            </w:rPr>
            <w:t>第四章 评标办法及评分标准</w:t>
          </w:r>
          <w:r>
            <w:rPr>
              <w:rFonts w:hint="eastAsia" w:ascii="微软雅黑" w:hAnsi="微软雅黑" w:eastAsia="微软雅黑" w:cs="微软雅黑"/>
              <w:color w:val="auto"/>
              <w:sz w:val="28"/>
              <w:szCs w:val="28"/>
              <w:highlight w:val="none"/>
            </w:rPr>
            <w:tab/>
          </w:r>
          <w:r>
            <w:rPr>
              <w:rFonts w:hint="eastAsia" w:ascii="微软雅黑" w:hAnsi="微软雅黑" w:eastAsia="微软雅黑" w:cs="微软雅黑"/>
              <w:color w:val="auto"/>
              <w:sz w:val="28"/>
              <w:szCs w:val="28"/>
              <w:highlight w:val="none"/>
            </w:rPr>
            <w:fldChar w:fldCharType="begin"/>
          </w:r>
          <w:r>
            <w:rPr>
              <w:rFonts w:hint="eastAsia" w:ascii="微软雅黑" w:hAnsi="微软雅黑" w:eastAsia="微软雅黑" w:cs="微软雅黑"/>
              <w:color w:val="auto"/>
              <w:sz w:val="28"/>
              <w:szCs w:val="28"/>
              <w:highlight w:val="none"/>
            </w:rPr>
            <w:instrText xml:space="preserve"> PAGEREF _Toc29786 \h </w:instrText>
          </w:r>
          <w:r>
            <w:rPr>
              <w:rFonts w:hint="eastAsia" w:ascii="微软雅黑" w:hAnsi="微软雅黑" w:eastAsia="微软雅黑" w:cs="微软雅黑"/>
              <w:color w:val="auto"/>
              <w:sz w:val="28"/>
              <w:szCs w:val="28"/>
              <w:highlight w:val="none"/>
            </w:rPr>
            <w:fldChar w:fldCharType="separate"/>
          </w:r>
          <w:r>
            <w:rPr>
              <w:rFonts w:hint="eastAsia" w:ascii="微软雅黑" w:hAnsi="微软雅黑" w:eastAsia="微软雅黑" w:cs="微软雅黑"/>
              <w:color w:val="auto"/>
              <w:sz w:val="28"/>
              <w:szCs w:val="28"/>
              <w:highlight w:val="none"/>
            </w:rPr>
            <w:t>74</w:t>
          </w:r>
          <w:r>
            <w:rPr>
              <w:rFonts w:hint="eastAsia" w:ascii="微软雅黑" w:hAnsi="微软雅黑" w:eastAsia="微软雅黑" w:cs="微软雅黑"/>
              <w:color w:val="auto"/>
              <w:sz w:val="28"/>
              <w:szCs w:val="28"/>
              <w:highlight w:val="none"/>
            </w:rPr>
            <w:fldChar w:fldCharType="end"/>
          </w:r>
          <w:r>
            <w:rPr>
              <w:rFonts w:hint="eastAsia" w:ascii="微软雅黑" w:hAnsi="微软雅黑" w:eastAsia="微软雅黑" w:cs="微软雅黑"/>
              <w:color w:val="auto"/>
              <w:sz w:val="28"/>
              <w:szCs w:val="28"/>
              <w:highlight w:val="none"/>
            </w:rPr>
            <w:fldChar w:fldCharType="end"/>
          </w:r>
        </w:p>
        <w:p w14:paraId="4F90861B">
          <w:pPr>
            <w:pStyle w:val="135"/>
            <w:tabs>
              <w:tab w:val="right" w:leader="dot" w:pos="8313"/>
            </w:tabs>
            <w:rPr>
              <w:rFonts w:ascii="微软雅黑" w:hAnsi="微软雅黑" w:eastAsia="微软雅黑" w:cs="微软雅黑"/>
              <w:color w:val="auto"/>
              <w:sz w:val="28"/>
              <w:szCs w:val="28"/>
              <w:highlight w:val="none"/>
            </w:rPr>
          </w:pPr>
          <w:r>
            <w:rPr>
              <w:color w:val="auto"/>
              <w:highlight w:val="none"/>
            </w:rPr>
            <w:fldChar w:fldCharType="begin"/>
          </w:r>
          <w:r>
            <w:rPr>
              <w:color w:val="auto"/>
              <w:highlight w:val="none"/>
            </w:rPr>
            <w:instrText xml:space="preserve"> HYPERLINK \l "_Toc10659" </w:instrText>
          </w:r>
          <w:r>
            <w:rPr>
              <w:color w:val="auto"/>
              <w:highlight w:val="none"/>
            </w:rPr>
            <w:fldChar w:fldCharType="separate"/>
          </w:r>
          <w:r>
            <w:rPr>
              <w:rFonts w:hint="eastAsia" w:ascii="微软雅黑" w:hAnsi="微软雅黑" w:eastAsia="微软雅黑" w:cs="微软雅黑"/>
              <w:bCs/>
              <w:color w:val="auto"/>
              <w:sz w:val="28"/>
              <w:szCs w:val="28"/>
              <w:highlight w:val="none"/>
            </w:rPr>
            <w:t>第五章 嘉兴南湖学院采购合同（指引）</w:t>
          </w:r>
          <w:r>
            <w:rPr>
              <w:rFonts w:hint="eastAsia" w:ascii="微软雅黑" w:hAnsi="微软雅黑" w:eastAsia="微软雅黑" w:cs="微软雅黑"/>
              <w:color w:val="auto"/>
              <w:sz w:val="28"/>
              <w:szCs w:val="28"/>
              <w:highlight w:val="none"/>
            </w:rPr>
            <w:tab/>
          </w:r>
          <w:r>
            <w:rPr>
              <w:rFonts w:hint="eastAsia" w:ascii="微软雅黑" w:hAnsi="微软雅黑" w:eastAsia="微软雅黑" w:cs="微软雅黑"/>
              <w:color w:val="auto"/>
              <w:sz w:val="28"/>
              <w:szCs w:val="28"/>
              <w:highlight w:val="none"/>
            </w:rPr>
            <w:fldChar w:fldCharType="begin"/>
          </w:r>
          <w:r>
            <w:rPr>
              <w:rFonts w:hint="eastAsia" w:ascii="微软雅黑" w:hAnsi="微软雅黑" w:eastAsia="微软雅黑" w:cs="微软雅黑"/>
              <w:color w:val="auto"/>
              <w:sz w:val="28"/>
              <w:szCs w:val="28"/>
              <w:highlight w:val="none"/>
            </w:rPr>
            <w:instrText xml:space="preserve"> PAGEREF _Toc10659 \h </w:instrText>
          </w:r>
          <w:r>
            <w:rPr>
              <w:rFonts w:hint="eastAsia" w:ascii="微软雅黑" w:hAnsi="微软雅黑" w:eastAsia="微软雅黑" w:cs="微软雅黑"/>
              <w:color w:val="auto"/>
              <w:sz w:val="28"/>
              <w:szCs w:val="28"/>
              <w:highlight w:val="none"/>
            </w:rPr>
            <w:fldChar w:fldCharType="separate"/>
          </w:r>
          <w:r>
            <w:rPr>
              <w:rFonts w:hint="eastAsia" w:ascii="微软雅黑" w:hAnsi="微软雅黑" w:eastAsia="微软雅黑" w:cs="微软雅黑"/>
              <w:color w:val="auto"/>
              <w:sz w:val="28"/>
              <w:szCs w:val="28"/>
              <w:highlight w:val="none"/>
            </w:rPr>
            <w:t>84</w:t>
          </w:r>
          <w:r>
            <w:rPr>
              <w:rFonts w:hint="eastAsia" w:ascii="微软雅黑" w:hAnsi="微软雅黑" w:eastAsia="微软雅黑" w:cs="微软雅黑"/>
              <w:color w:val="auto"/>
              <w:sz w:val="28"/>
              <w:szCs w:val="28"/>
              <w:highlight w:val="none"/>
            </w:rPr>
            <w:fldChar w:fldCharType="end"/>
          </w:r>
          <w:r>
            <w:rPr>
              <w:rFonts w:hint="eastAsia" w:ascii="微软雅黑" w:hAnsi="微软雅黑" w:eastAsia="微软雅黑" w:cs="微软雅黑"/>
              <w:color w:val="auto"/>
              <w:sz w:val="28"/>
              <w:szCs w:val="28"/>
              <w:highlight w:val="none"/>
            </w:rPr>
            <w:fldChar w:fldCharType="end"/>
          </w:r>
        </w:p>
        <w:p w14:paraId="76758CD3">
          <w:pPr>
            <w:pStyle w:val="135"/>
            <w:tabs>
              <w:tab w:val="right" w:leader="dot" w:pos="8313"/>
            </w:tabs>
            <w:rPr>
              <w:rFonts w:ascii="微软雅黑" w:hAnsi="微软雅黑" w:eastAsia="微软雅黑" w:cs="微软雅黑"/>
              <w:color w:val="auto"/>
              <w:sz w:val="28"/>
              <w:szCs w:val="28"/>
              <w:highlight w:val="none"/>
            </w:rPr>
          </w:pPr>
          <w:r>
            <w:rPr>
              <w:color w:val="auto"/>
              <w:highlight w:val="none"/>
            </w:rPr>
            <w:fldChar w:fldCharType="begin"/>
          </w:r>
          <w:r>
            <w:rPr>
              <w:color w:val="auto"/>
              <w:highlight w:val="none"/>
            </w:rPr>
            <w:instrText xml:space="preserve"> HYPERLINK \l "_Toc26505" </w:instrText>
          </w:r>
          <w:r>
            <w:rPr>
              <w:color w:val="auto"/>
              <w:highlight w:val="none"/>
            </w:rPr>
            <w:fldChar w:fldCharType="separate"/>
          </w:r>
          <w:r>
            <w:rPr>
              <w:rFonts w:hint="eastAsia" w:ascii="微软雅黑" w:hAnsi="微软雅黑" w:eastAsia="微软雅黑" w:cs="微软雅黑"/>
              <w:bCs/>
              <w:color w:val="auto"/>
              <w:sz w:val="28"/>
              <w:szCs w:val="28"/>
              <w:highlight w:val="none"/>
            </w:rPr>
            <w:t>第六章 投标文件相关格式</w:t>
          </w:r>
          <w:r>
            <w:rPr>
              <w:rFonts w:hint="eastAsia" w:ascii="微软雅黑" w:hAnsi="微软雅黑" w:eastAsia="微软雅黑" w:cs="微软雅黑"/>
              <w:color w:val="auto"/>
              <w:sz w:val="28"/>
              <w:szCs w:val="28"/>
              <w:highlight w:val="none"/>
            </w:rPr>
            <w:tab/>
          </w:r>
          <w:r>
            <w:rPr>
              <w:rFonts w:hint="eastAsia" w:ascii="微软雅黑" w:hAnsi="微软雅黑" w:eastAsia="微软雅黑" w:cs="微软雅黑"/>
              <w:color w:val="auto"/>
              <w:sz w:val="28"/>
              <w:szCs w:val="28"/>
              <w:highlight w:val="none"/>
            </w:rPr>
            <w:fldChar w:fldCharType="begin"/>
          </w:r>
          <w:r>
            <w:rPr>
              <w:rFonts w:hint="eastAsia" w:ascii="微软雅黑" w:hAnsi="微软雅黑" w:eastAsia="微软雅黑" w:cs="微软雅黑"/>
              <w:color w:val="auto"/>
              <w:sz w:val="28"/>
              <w:szCs w:val="28"/>
              <w:highlight w:val="none"/>
            </w:rPr>
            <w:instrText xml:space="preserve"> PAGEREF _Toc26505 \h </w:instrText>
          </w:r>
          <w:r>
            <w:rPr>
              <w:rFonts w:hint="eastAsia" w:ascii="微软雅黑" w:hAnsi="微软雅黑" w:eastAsia="微软雅黑" w:cs="微软雅黑"/>
              <w:color w:val="auto"/>
              <w:sz w:val="28"/>
              <w:szCs w:val="28"/>
              <w:highlight w:val="none"/>
            </w:rPr>
            <w:fldChar w:fldCharType="separate"/>
          </w:r>
          <w:r>
            <w:rPr>
              <w:rFonts w:hint="eastAsia" w:ascii="微软雅黑" w:hAnsi="微软雅黑" w:eastAsia="微软雅黑" w:cs="微软雅黑"/>
              <w:color w:val="auto"/>
              <w:sz w:val="28"/>
              <w:szCs w:val="28"/>
              <w:highlight w:val="none"/>
            </w:rPr>
            <w:t>104</w:t>
          </w:r>
          <w:r>
            <w:rPr>
              <w:rFonts w:hint="eastAsia" w:ascii="微软雅黑" w:hAnsi="微软雅黑" w:eastAsia="微软雅黑" w:cs="微软雅黑"/>
              <w:color w:val="auto"/>
              <w:sz w:val="28"/>
              <w:szCs w:val="28"/>
              <w:highlight w:val="none"/>
            </w:rPr>
            <w:fldChar w:fldCharType="end"/>
          </w:r>
          <w:r>
            <w:rPr>
              <w:rFonts w:hint="eastAsia" w:ascii="微软雅黑" w:hAnsi="微软雅黑" w:eastAsia="微软雅黑" w:cs="微软雅黑"/>
              <w:color w:val="auto"/>
              <w:sz w:val="28"/>
              <w:szCs w:val="28"/>
              <w:highlight w:val="none"/>
            </w:rPr>
            <w:fldChar w:fldCharType="end"/>
          </w:r>
        </w:p>
        <w:p w14:paraId="16A884BF">
          <w:pPr>
            <w:ind w:firstLine="560"/>
            <w:rPr>
              <w:rFonts w:ascii="微软雅黑" w:hAnsi="微软雅黑" w:cs="微软雅黑"/>
              <w:color w:val="auto"/>
              <w:sz w:val="28"/>
              <w:szCs w:val="28"/>
              <w:highlight w:val="none"/>
            </w:rPr>
          </w:pPr>
          <w:r>
            <w:rPr>
              <w:rFonts w:hint="eastAsia" w:ascii="微软雅黑" w:hAnsi="微软雅黑" w:cs="微软雅黑"/>
              <w:color w:val="auto"/>
              <w:sz w:val="28"/>
              <w:szCs w:val="28"/>
              <w:highlight w:val="none"/>
            </w:rPr>
            <w:fldChar w:fldCharType="end"/>
          </w:r>
        </w:p>
      </w:sdtContent>
    </w:sdt>
    <w:p w14:paraId="52DBF22F">
      <w:pPr>
        <w:pStyle w:val="2"/>
        <w:numPr>
          <w:ilvl w:val="0"/>
          <w:numId w:val="3"/>
        </w:numPr>
        <w:rPr>
          <w:rStyle w:val="66"/>
          <w:rFonts w:ascii="微软雅黑" w:hAnsi="微软雅黑" w:cs="微软雅黑"/>
          <w:b/>
          <w:bCs/>
          <w:color w:val="auto"/>
          <w:sz w:val="28"/>
          <w:szCs w:val="28"/>
          <w:highlight w:val="none"/>
        </w:rPr>
        <w:sectPr>
          <w:headerReference r:id="rId13" w:type="first"/>
          <w:headerReference r:id="rId11" w:type="default"/>
          <w:footerReference r:id="rId14" w:type="default"/>
          <w:headerReference r:id="rId12" w:type="even"/>
          <w:type w:val="continuous"/>
          <w:pgSz w:w="11907" w:h="16840"/>
          <w:pgMar w:top="1474" w:right="1797" w:bottom="1247" w:left="1797" w:header="851" w:footer="851" w:gutter="0"/>
          <w:cols w:space="720" w:num="1"/>
          <w:docGrid w:linePitch="312" w:charSpace="0"/>
        </w:sectPr>
      </w:pPr>
      <w:bookmarkStart w:id="10" w:name="_Toc19316"/>
    </w:p>
    <w:p w14:paraId="2312CA33">
      <w:pPr>
        <w:pStyle w:val="2"/>
        <w:numPr>
          <w:ilvl w:val="0"/>
          <w:numId w:val="3"/>
        </w:numPr>
        <w:rPr>
          <w:rStyle w:val="66"/>
          <w:b/>
          <w:bCs/>
          <w:color w:val="auto"/>
          <w:highlight w:val="none"/>
        </w:rPr>
        <w:sectPr>
          <w:type w:val="continuous"/>
          <w:pgSz w:w="11907" w:h="16840"/>
          <w:pgMar w:top="1474" w:right="1797" w:bottom="1247" w:left="1797" w:header="851" w:footer="851" w:gutter="0"/>
          <w:cols w:space="720" w:num="1"/>
          <w:docGrid w:linePitch="312" w:charSpace="0"/>
        </w:sectPr>
      </w:pPr>
    </w:p>
    <w:p w14:paraId="0F937E89">
      <w:pPr>
        <w:pStyle w:val="2"/>
        <w:numPr>
          <w:ilvl w:val="0"/>
          <w:numId w:val="3"/>
        </w:numPr>
        <w:rPr>
          <w:rStyle w:val="66"/>
          <w:b/>
          <w:bCs/>
          <w:color w:val="auto"/>
          <w:highlight w:val="none"/>
        </w:rPr>
      </w:pPr>
      <w:bookmarkStart w:id="11" w:name="_Toc11633"/>
      <w:r>
        <w:rPr>
          <w:rStyle w:val="66"/>
          <w:rFonts w:hint="eastAsia"/>
          <w:b/>
          <w:bCs/>
          <w:color w:val="auto"/>
          <w:highlight w:val="none"/>
        </w:rPr>
        <w:t>公开招标采购公告</w:t>
      </w:r>
      <w:bookmarkEnd w:id="10"/>
      <w:bookmarkEnd w:id="11"/>
    </w:p>
    <w:tbl>
      <w:tblPr>
        <w:tblStyle w:val="53"/>
        <w:tblW w:w="85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8"/>
      </w:tblGrid>
      <w:tr w14:paraId="5CF94E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8" w:type="dxa"/>
          </w:tcPr>
          <w:p w14:paraId="286A1567">
            <w:pPr>
              <w:pStyle w:val="47"/>
              <w:spacing w:before="75" w:beforeAutospacing="0" w:after="75" w:afterAutospacing="0" w:line="276" w:lineRule="auto"/>
              <w:ind w:firstLine="0" w:firstLineChars="0"/>
              <w:jc w:val="both"/>
              <w:rPr>
                <w:rFonts w:ascii="微软雅黑" w:hAnsi="微软雅黑" w:cs="Arial"/>
                <w:color w:val="auto"/>
                <w:sz w:val="21"/>
                <w:szCs w:val="21"/>
                <w:highlight w:val="none"/>
              </w:rPr>
            </w:pPr>
            <w:bookmarkStart w:id="12" w:name="_Toc493511541"/>
            <w:bookmarkStart w:id="13" w:name="_Toc177870534"/>
            <w:r>
              <w:rPr>
                <w:rFonts w:hint="eastAsia" w:ascii="微软雅黑" w:hAnsi="微软雅黑" w:cs="Arial"/>
                <w:color w:val="auto"/>
                <w:sz w:val="21"/>
                <w:szCs w:val="21"/>
                <w:highlight w:val="none"/>
              </w:rPr>
              <w:t>项目概况</w:t>
            </w:r>
            <w:r>
              <w:rPr>
                <w:rFonts w:ascii="微软雅黑" w:hAnsi="微软雅黑" w:cs="Arial"/>
                <w:color w:val="auto"/>
                <w:sz w:val="21"/>
                <w:szCs w:val="21"/>
                <w:highlight w:val="none"/>
              </w:rPr>
              <w:t>  </w:t>
            </w:r>
            <w:r>
              <w:rPr>
                <w:rFonts w:hint="eastAsia" w:ascii="微软雅黑" w:hAnsi="微软雅黑" w:cs="Arial"/>
                <w:color w:val="auto"/>
                <w:sz w:val="21"/>
                <w:szCs w:val="21"/>
                <w:highlight w:val="none"/>
              </w:rPr>
              <w:t xml:space="preserve"> </w:t>
            </w:r>
            <w:r>
              <w:rPr>
                <w:rFonts w:ascii="微软雅黑" w:hAnsi="微软雅黑" w:cs="Arial"/>
                <w:color w:val="auto"/>
                <w:sz w:val="21"/>
                <w:szCs w:val="21"/>
                <w:highlight w:val="none"/>
              </w:rPr>
              <w:t> </w:t>
            </w:r>
            <w:r>
              <w:rPr>
                <w:rFonts w:hint="eastAsia" w:ascii="微软雅黑" w:hAnsi="微软雅黑" w:cs="Arial"/>
                <w:color w:val="auto"/>
                <w:sz w:val="21"/>
                <w:szCs w:val="21"/>
                <w:highlight w:val="none"/>
              </w:rPr>
              <w:t xml:space="preserve"> </w:t>
            </w:r>
            <w:r>
              <w:rPr>
                <w:rFonts w:ascii="微软雅黑" w:hAnsi="微软雅黑" w:cs="Arial"/>
                <w:color w:val="auto"/>
                <w:sz w:val="21"/>
                <w:szCs w:val="21"/>
                <w:highlight w:val="none"/>
              </w:rPr>
              <w:t> </w:t>
            </w:r>
            <w:r>
              <w:rPr>
                <w:rFonts w:hint="eastAsia" w:ascii="微软雅黑" w:hAnsi="微软雅黑" w:cs="Arial"/>
                <w:color w:val="auto"/>
                <w:sz w:val="21"/>
                <w:szCs w:val="21"/>
                <w:highlight w:val="none"/>
              </w:rPr>
              <w:t xml:space="preserve"> </w:t>
            </w:r>
            <w:r>
              <w:rPr>
                <w:rFonts w:ascii="微软雅黑" w:hAnsi="微软雅黑" w:cs="Arial"/>
                <w:color w:val="auto"/>
                <w:sz w:val="21"/>
                <w:szCs w:val="21"/>
                <w:highlight w:val="none"/>
              </w:rPr>
              <w:t> </w:t>
            </w:r>
            <w:r>
              <w:rPr>
                <w:rFonts w:hint="eastAsia" w:ascii="微软雅黑" w:hAnsi="微软雅黑" w:cs="Arial"/>
                <w:color w:val="auto"/>
                <w:sz w:val="21"/>
                <w:szCs w:val="21"/>
                <w:highlight w:val="none"/>
              </w:rPr>
              <w:t xml:space="preserve"> </w:t>
            </w:r>
            <w:r>
              <w:rPr>
                <w:rFonts w:ascii="微软雅黑" w:hAnsi="微软雅黑" w:cs="Arial"/>
                <w:color w:val="auto"/>
                <w:sz w:val="21"/>
                <w:szCs w:val="21"/>
                <w:highlight w:val="none"/>
              </w:rPr>
              <w:t> </w:t>
            </w:r>
            <w:r>
              <w:rPr>
                <w:rFonts w:hint="eastAsia" w:ascii="微软雅黑" w:hAnsi="微软雅黑" w:cs="Arial"/>
                <w:color w:val="auto"/>
                <w:sz w:val="21"/>
                <w:szCs w:val="21"/>
                <w:highlight w:val="none"/>
              </w:rPr>
              <w:t xml:space="preserve"> </w:t>
            </w:r>
            <w:r>
              <w:rPr>
                <w:rFonts w:ascii="微软雅黑" w:hAnsi="微软雅黑" w:cs="Arial"/>
                <w:color w:val="auto"/>
                <w:sz w:val="21"/>
                <w:szCs w:val="21"/>
                <w:highlight w:val="none"/>
              </w:rPr>
              <w:t> </w:t>
            </w:r>
            <w:r>
              <w:rPr>
                <w:rFonts w:hint="eastAsia" w:ascii="微软雅黑" w:hAnsi="微软雅黑" w:cs="Arial"/>
                <w:color w:val="auto"/>
                <w:sz w:val="21"/>
                <w:szCs w:val="21"/>
                <w:highlight w:val="none"/>
              </w:rPr>
              <w:t xml:space="preserve"> </w:t>
            </w:r>
            <w:r>
              <w:rPr>
                <w:rFonts w:ascii="微软雅黑" w:hAnsi="微软雅黑" w:cs="Arial"/>
                <w:color w:val="auto"/>
                <w:sz w:val="21"/>
                <w:szCs w:val="21"/>
                <w:highlight w:val="none"/>
              </w:rPr>
              <w:t> </w:t>
            </w:r>
            <w:r>
              <w:rPr>
                <w:rFonts w:hint="eastAsia" w:ascii="微软雅黑" w:hAnsi="微软雅黑" w:cs="Arial"/>
                <w:color w:val="auto"/>
                <w:sz w:val="21"/>
                <w:szCs w:val="21"/>
                <w:highlight w:val="none"/>
              </w:rPr>
              <w:t xml:space="preserve"> </w:t>
            </w:r>
            <w:r>
              <w:rPr>
                <w:rFonts w:ascii="微软雅黑" w:hAnsi="微软雅黑" w:cs="Arial"/>
                <w:color w:val="auto"/>
                <w:sz w:val="21"/>
                <w:szCs w:val="21"/>
                <w:highlight w:val="none"/>
              </w:rPr>
              <w:t> </w:t>
            </w:r>
            <w:r>
              <w:rPr>
                <w:rFonts w:hint="eastAsia" w:ascii="微软雅黑" w:hAnsi="微软雅黑" w:cs="Arial"/>
                <w:color w:val="auto"/>
                <w:sz w:val="21"/>
                <w:szCs w:val="21"/>
                <w:highlight w:val="none"/>
              </w:rPr>
              <w:t xml:space="preserve"> </w:t>
            </w:r>
            <w:r>
              <w:rPr>
                <w:rFonts w:ascii="微软雅黑" w:hAnsi="微软雅黑" w:cs="Arial"/>
                <w:color w:val="auto"/>
                <w:sz w:val="21"/>
                <w:szCs w:val="21"/>
                <w:highlight w:val="none"/>
              </w:rPr>
              <w:t> </w:t>
            </w:r>
            <w:r>
              <w:rPr>
                <w:rFonts w:hint="eastAsia" w:ascii="微软雅黑" w:hAnsi="微软雅黑" w:cs="Arial"/>
                <w:color w:val="auto"/>
                <w:sz w:val="21"/>
                <w:szCs w:val="21"/>
                <w:highlight w:val="none"/>
              </w:rPr>
              <w:t xml:space="preserve"> </w:t>
            </w:r>
            <w:r>
              <w:rPr>
                <w:rFonts w:ascii="微软雅黑" w:hAnsi="微软雅黑" w:cs="Arial"/>
                <w:color w:val="auto"/>
                <w:sz w:val="21"/>
                <w:szCs w:val="21"/>
                <w:highlight w:val="none"/>
              </w:rPr>
              <w:t> </w:t>
            </w:r>
            <w:r>
              <w:rPr>
                <w:rFonts w:hint="eastAsia" w:ascii="微软雅黑" w:hAnsi="微软雅黑" w:cs="Arial"/>
                <w:color w:val="auto"/>
                <w:sz w:val="21"/>
                <w:szCs w:val="21"/>
                <w:highlight w:val="none"/>
              </w:rPr>
              <w:t xml:space="preserve"> </w:t>
            </w:r>
            <w:r>
              <w:rPr>
                <w:rFonts w:ascii="微软雅黑" w:hAnsi="微软雅黑" w:cs="Arial"/>
                <w:color w:val="auto"/>
                <w:sz w:val="21"/>
                <w:szCs w:val="21"/>
                <w:highlight w:val="none"/>
              </w:rPr>
              <w:t> </w:t>
            </w:r>
            <w:r>
              <w:rPr>
                <w:rFonts w:hint="eastAsia" w:ascii="微软雅黑" w:hAnsi="微软雅黑" w:cs="Arial"/>
                <w:color w:val="auto"/>
                <w:sz w:val="21"/>
                <w:szCs w:val="21"/>
                <w:highlight w:val="none"/>
              </w:rPr>
              <w:t xml:space="preserve"> </w:t>
            </w:r>
            <w:r>
              <w:rPr>
                <w:rFonts w:ascii="微软雅黑" w:hAnsi="微软雅黑" w:cs="Arial"/>
                <w:color w:val="auto"/>
                <w:sz w:val="21"/>
                <w:szCs w:val="21"/>
                <w:highlight w:val="none"/>
              </w:rPr>
              <w:t> </w:t>
            </w:r>
            <w:r>
              <w:rPr>
                <w:rFonts w:hint="eastAsia" w:ascii="微软雅黑" w:hAnsi="微软雅黑" w:cs="Arial"/>
                <w:color w:val="auto"/>
                <w:sz w:val="21"/>
                <w:szCs w:val="21"/>
                <w:highlight w:val="none"/>
              </w:rPr>
              <w:t xml:space="preserve"> </w:t>
            </w:r>
            <w:r>
              <w:rPr>
                <w:rFonts w:ascii="微软雅黑" w:hAnsi="微软雅黑" w:cs="Arial"/>
                <w:color w:val="auto"/>
                <w:sz w:val="21"/>
                <w:szCs w:val="21"/>
                <w:highlight w:val="none"/>
              </w:rPr>
              <w:t> </w:t>
            </w:r>
            <w:r>
              <w:rPr>
                <w:rFonts w:hint="eastAsia" w:ascii="微软雅黑" w:hAnsi="微软雅黑" w:cs="Arial"/>
                <w:color w:val="auto"/>
                <w:sz w:val="21"/>
                <w:szCs w:val="21"/>
                <w:highlight w:val="none"/>
              </w:rPr>
              <w:t xml:space="preserve"> </w:t>
            </w:r>
            <w:r>
              <w:rPr>
                <w:rFonts w:ascii="微软雅黑" w:hAnsi="微软雅黑" w:cs="Arial"/>
                <w:color w:val="auto"/>
                <w:sz w:val="21"/>
                <w:szCs w:val="21"/>
                <w:highlight w:val="none"/>
              </w:rPr>
              <w:t> </w:t>
            </w:r>
            <w:r>
              <w:rPr>
                <w:rFonts w:hint="eastAsia" w:ascii="微软雅黑" w:hAnsi="微软雅黑" w:cs="Arial"/>
                <w:color w:val="auto"/>
                <w:sz w:val="21"/>
                <w:szCs w:val="21"/>
                <w:highlight w:val="none"/>
              </w:rPr>
              <w:t xml:space="preserve"> </w:t>
            </w:r>
            <w:r>
              <w:rPr>
                <w:rFonts w:ascii="微软雅黑" w:hAnsi="微软雅黑" w:cs="Arial"/>
                <w:color w:val="auto"/>
                <w:sz w:val="21"/>
                <w:szCs w:val="21"/>
                <w:highlight w:val="none"/>
              </w:rPr>
              <w:t> </w:t>
            </w:r>
            <w:r>
              <w:rPr>
                <w:rFonts w:hint="eastAsia" w:ascii="微软雅黑" w:hAnsi="微软雅黑" w:cs="Arial"/>
                <w:color w:val="auto"/>
                <w:sz w:val="21"/>
                <w:szCs w:val="21"/>
                <w:highlight w:val="none"/>
              </w:rPr>
              <w:t xml:space="preserve"> </w:t>
            </w:r>
            <w:r>
              <w:rPr>
                <w:rFonts w:ascii="微软雅黑" w:hAnsi="微软雅黑" w:cs="Arial"/>
                <w:color w:val="auto"/>
                <w:sz w:val="21"/>
                <w:szCs w:val="21"/>
                <w:highlight w:val="none"/>
              </w:rPr>
              <w:t> </w:t>
            </w:r>
            <w:r>
              <w:rPr>
                <w:rFonts w:hint="eastAsia" w:ascii="微软雅黑" w:hAnsi="微软雅黑" w:cs="Arial"/>
                <w:color w:val="auto"/>
                <w:sz w:val="21"/>
                <w:szCs w:val="21"/>
                <w:highlight w:val="none"/>
              </w:rPr>
              <w:t xml:space="preserve"> </w:t>
            </w:r>
            <w:r>
              <w:rPr>
                <w:rFonts w:ascii="微软雅黑" w:hAnsi="微软雅黑" w:cs="Arial"/>
                <w:color w:val="auto"/>
                <w:sz w:val="21"/>
                <w:szCs w:val="21"/>
                <w:highlight w:val="none"/>
              </w:rPr>
              <w:t> </w:t>
            </w:r>
            <w:r>
              <w:rPr>
                <w:rFonts w:hint="eastAsia" w:ascii="微软雅黑" w:hAnsi="微软雅黑" w:cs="Arial"/>
                <w:color w:val="auto"/>
                <w:sz w:val="21"/>
                <w:szCs w:val="21"/>
                <w:highlight w:val="none"/>
              </w:rPr>
              <w:t xml:space="preserve"> </w:t>
            </w:r>
            <w:r>
              <w:rPr>
                <w:rFonts w:ascii="微软雅黑" w:hAnsi="微软雅黑" w:cs="Arial"/>
                <w:color w:val="auto"/>
                <w:sz w:val="21"/>
                <w:szCs w:val="21"/>
                <w:highlight w:val="none"/>
              </w:rPr>
              <w:t> </w:t>
            </w:r>
            <w:r>
              <w:rPr>
                <w:rFonts w:hint="eastAsia" w:ascii="微软雅黑" w:hAnsi="微软雅黑" w:cs="Arial"/>
                <w:color w:val="auto"/>
                <w:sz w:val="21"/>
                <w:szCs w:val="21"/>
                <w:highlight w:val="none"/>
              </w:rPr>
              <w:t xml:space="preserve"> </w:t>
            </w:r>
            <w:r>
              <w:rPr>
                <w:rFonts w:ascii="微软雅黑" w:hAnsi="微软雅黑" w:cs="Arial"/>
                <w:color w:val="auto"/>
                <w:sz w:val="21"/>
                <w:szCs w:val="21"/>
                <w:highlight w:val="none"/>
              </w:rPr>
              <w:t> </w:t>
            </w:r>
            <w:r>
              <w:rPr>
                <w:rFonts w:hint="eastAsia" w:ascii="微软雅黑" w:hAnsi="微软雅黑" w:cs="Arial"/>
                <w:color w:val="auto"/>
                <w:sz w:val="21"/>
                <w:szCs w:val="21"/>
                <w:highlight w:val="none"/>
              </w:rPr>
              <w:t xml:space="preserve"> </w:t>
            </w:r>
            <w:r>
              <w:rPr>
                <w:rFonts w:ascii="微软雅黑" w:hAnsi="微软雅黑" w:cs="Arial"/>
                <w:color w:val="auto"/>
                <w:sz w:val="21"/>
                <w:szCs w:val="21"/>
                <w:highlight w:val="none"/>
              </w:rPr>
              <w:t> </w:t>
            </w:r>
            <w:r>
              <w:rPr>
                <w:rFonts w:hint="eastAsia" w:ascii="微软雅黑" w:hAnsi="微软雅黑" w:cs="Arial"/>
                <w:color w:val="auto"/>
                <w:sz w:val="21"/>
                <w:szCs w:val="21"/>
                <w:highlight w:val="none"/>
              </w:rPr>
              <w:t xml:space="preserve"> </w:t>
            </w:r>
            <w:r>
              <w:rPr>
                <w:rFonts w:ascii="微软雅黑" w:hAnsi="微软雅黑" w:cs="Arial"/>
                <w:color w:val="auto"/>
                <w:sz w:val="21"/>
                <w:szCs w:val="21"/>
                <w:highlight w:val="none"/>
              </w:rPr>
              <w:t> </w:t>
            </w:r>
            <w:r>
              <w:rPr>
                <w:rFonts w:hint="eastAsia" w:ascii="微软雅黑" w:hAnsi="微软雅黑" w:cs="Arial"/>
                <w:color w:val="auto"/>
                <w:sz w:val="21"/>
                <w:szCs w:val="21"/>
                <w:highlight w:val="none"/>
              </w:rPr>
              <w:t xml:space="preserve"> </w:t>
            </w:r>
            <w:r>
              <w:rPr>
                <w:rFonts w:ascii="微软雅黑" w:hAnsi="微软雅黑" w:cs="Arial"/>
                <w:color w:val="auto"/>
                <w:sz w:val="21"/>
                <w:szCs w:val="21"/>
                <w:highlight w:val="none"/>
              </w:rPr>
              <w:t> </w:t>
            </w:r>
            <w:r>
              <w:rPr>
                <w:rFonts w:hint="eastAsia" w:ascii="微软雅黑" w:hAnsi="微软雅黑" w:cs="Arial"/>
                <w:color w:val="auto"/>
                <w:sz w:val="21"/>
                <w:szCs w:val="21"/>
                <w:highlight w:val="none"/>
              </w:rPr>
              <w:t xml:space="preserve"> </w:t>
            </w:r>
            <w:r>
              <w:rPr>
                <w:rFonts w:ascii="微软雅黑" w:hAnsi="微软雅黑" w:cs="Arial"/>
                <w:color w:val="auto"/>
                <w:sz w:val="21"/>
                <w:szCs w:val="21"/>
                <w:highlight w:val="none"/>
              </w:rPr>
              <w:t> </w:t>
            </w:r>
            <w:r>
              <w:rPr>
                <w:rFonts w:hint="eastAsia" w:ascii="微软雅黑" w:hAnsi="微软雅黑" w:cs="Arial"/>
                <w:color w:val="auto"/>
                <w:sz w:val="21"/>
                <w:szCs w:val="21"/>
                <w:highlight w:val="none"/>
              </w:rPr>
              <w:t xml:space="preserve"> </w:t>
            </w:r>
            <w:r>
              <w:rPr>
                <w:rFonts w:ascii="微软雅黑" w:hAnsi="微软雅黑" w:cs="Arial"/>
                <w:color w:val="auto"/>
                <w:sz w:val="21"/>
                <w:szCs w:val="21"/>
                <w:highlight w:val="none"/>
              </w:rPr>
              <w:t> </w:t>
            </w:r>
            <w:r>
              <w:rPr>
                <w:rFonts w:hint="eastAsia" w:ascii="微软雅黑" w:hAnsi="微软雅黑" w:cs="Arial"/>
                <w:color w:val="auto"/>
                <w:sz w:val="21"/>
                <w:szCs w:val="21"/>
                <w:highlight w:val="none"/>
              </w:rPr>
              <w:t xml:space="preserve"> </w:t>
            </w:r>
            <w:r>
              <w:rPr>
                <w:rFonts w:ascii="微软雅黑" w:hAnsi="微软雅黑" w:cs="Arial"/>
                <w:color w:val="auto"/>
                <w:sz w:val="21"/>
                <w:szCs w:val="21"/>
                <w:highlight w:val="none"/>
              </w:rPr>
              <w:t> </w:t>
            </w:r>
            <w:r>
              <w:rPr>
                <w:rFonts w:hint="eastAsia" w:ascii="微软雅黑" w:hAnsi="微软雅黑" w:cs="Arial"/>
                <w:color w:val="auto"/>
                <w:sz w:val="21"/>
                <w:szCs w:val="21"/>
                <w:highlight w:val="none"/>
              </w:rPr>
              <w:t xml:space="preserve"> </w:t>
            </w:r>
            <w:r>
              <w:rPr>
                <w:rFonts w:ascii="微软雅黑" w:hAnsi="微软雅黑" w:cs="Arial"/>
                <w:color w:val="auto"/>
                <w:sz w:val="21"/>
                <w:szCs w:val="21"/>
                <w:highlight w:val="none"/>
              </w:rPr>
              <w:t> </w:t>
            </w:r>
          </w:p>
          <w:p w14:paraId="08C3DCC6">
            <w:pPr>
              <w:pStyle w:val="47"/>
              <w:spacing w:before="75" w:beforeAutospacing="0" w:after="75" w:afterAutospacing="0" w:line="276" w:lineRule="auto"/>
              <w:ind w:firstLine="420"/>
              <w:rPr>
                <w:rFonts w:ascii="微软雅黑" w:hAnsi="微软雅黑" w:cs="Arial"/>
                <w:color w:val="auto"/>
                <w:sz w:val="21"/>
                <w:szCs w:val="21"/>
                <w:highlight w:val="none"/>
              </w:rPr>
            </w:pPr>
            <w:r>
              <w:rPr>
                <w:rFonts w:hint="eastAsia" w:ascii="微软雅黑" w:hAnsi="微软雅黑" w:cs="Arial"/>
                <w:color w:val="auto"/>
                <w:sz w:val="21"/>
                <w:szCs w:val="21"/>
                <w:highlight w:val="none"/>
              </w:rPr>
              <w:t>嘉兴南湖学院</w:t>
            </w:r>
            <w:r>
              <w:rPr>
                <w:rFonts w:hint="eastAsia" w:ascii="微软雅黑" w:hAnsi="微软雅黑" w:cs="Arial"/>
                <w:color w:val="auto"/>
                <w:sz w:val="21"/>
                <w:szCs w:val="21"/>
                <w:highlight w:val="none"/>
                <w:lang w:eastAsia="zh-CN"/>
              </w:rPr>
              <w:t>嘉兴南湖学院化工基础实验室采购项目</w:t>
            </w:r>
            <w:r>
              <w:rPr>
                <w:rFonts w:hint="eastAsia" w:ascii="微软雅黑" w:hAnsi="微软雅黑" w:cs="Arial"/>
                <w:color w:val="auto"/>
                <w:sz w:val="21"/>
                <w:szCs w:val="21"/>
                <w:highlight w:val="none"/>
              </w:rPr>
              <w:t>的潜在投标人应在https://www.zcygov.cn/获取（下载）招标文件，并于</w:t>
            </w:r>
            <w:r>
              <w:rPr>
                <w:rFonts w:ascii="微软雅黑" w:hAnsi="微软雅黑" w:cs="Arial"/>
                <w:color w:val="auto"/>
                <w:sz w:val="21"/>
                <w:szCs w:val="21"/>
                <w:highlight w:val="none"/>
              </w:rPr>
              <w:t> </w:t>
            </w:r>
            <w:r>
              <w:rPr>
                <w:rFonts w:hint="eastAsia" w:ascii="微软雅黑" w:hAnsi="微软雅黑" w:cs="Arial"/>
                <w:color w:val="auto"/>
                <w:sz w:val="21"/>
                <w:szCs w:val="21"/>
                <w:highlight w:val="none"/>
              </w:rPr>
              <w:t>2025年   月   日   ：   （北京时间）前递交（上传）投标文件。</w:t>
            </w:r>
            <w:r>
              <w:rPr>
                <w:rFonts w:ascii="微软雅黑" w:hAnsi="微软雅黑" w:cs="Arial"/>
                <w:color w:val="auto"/>
                <w:sz w:val="21"/>
                <w:szCs w:val="21"/>
                <w:highlight w:val="none"/>
              </w:rPr>
              <w:t> </w:t>
            </w:r>
            <w:r>
              <w:rPr>
                <w:rFonts w:hint="eastAsia" w:ascii="微软雅黑" w:hAnsi="微软雅黑" w:cs="Arial"/>
                <w:color w:val="auto"/>
                <w:sz w:val="21"/>
                <w:szCs w:val="21"/>
                <w:highlight w:val="none"/>
              </w:rPr>
              <w:t xml:space="preserve"> </w:t>
            </w:r>
            <w:r>
              <w:rPr>
                <w:rFonts w:ascii="微软雅黑" w:hAnsi="微软雅黑" w:cs="Arial"/>
                <w:color w:val="auto"/>
                <w:sz w:val="21"/>
                <w:szCs w:val="21"/>
                <w:highlight w:val="none"/>
              </w:rPr>
              <w:t> </w:t>
            </w:r>
            <w:r>
              <w:rPr>
                <w:rFonts w:hint="eastAsia" w:ascii="微软雅黑" w:hAnsi="微软雅黑" w:cs="Arial"/>
                <w:color w:val="auto"/>
                <w:sz w:val="21"/>
                <w:szCs w:val="21"/>
                <w:highlight w:val="none"/>
              </w:rPr>
              <w:t xml:space="preserve"> </w:t>
            </w:r>
            <w:r>
              <w:rPr>
                <w:rFonts w:ascii="微软雅黑" w:hAnsi="微软雅黑" w:cs="Arial"/>
                <w:color w:val="auto"/>
                <w:sz w:val="21"/>
                <w:szCs w:val="21"/>
                <w:highlight w:val="none"/>
              </w:rPr>
              <w:t> </w:t>
            </w:r>
            <w:r>
              <w:rPr>
                <w:rFonts w:hint="eastAsia" w:ascii="微软雅黑" w:hAnsi="微软雅黑" w:cs="Arial"/>
                <w:color w:val="auto"/>
                <w:sz w:val="21"/>
                <w:szCs w:val="21"/>
                <w:highlight w:val="none"/>
              </w:rPr>
              <w:t xml:space="preserve"> </w:t>
            </w:r>
            <w:r>
              <w:rPr>
                <w:rFonts w:ascii="微软雅黑" w:hAnsi="微软雅黑" w:cs="Arial"/>
                <w:color w:val="auto"/>
                <w:sz w:val="21"/>
                <w:szCs w:val="21"/>
                <w:highlight w:val="none"/>
              </w:rPr>
              <w:t> </w:t>
            </w:r>
            <w:r>
              <w:rPr>
                <w:rFonts w:hint="eastAsia" w:ascii="微软雅黑" w:hAnsi="微软雅黑" w:cs="Arial"/>
                <w:color w:val="auto"/>
                <w:sz w:val="21"/>
                <w:szCs w:val="21"/>
                <w:highlight w:val="none"/>
              </w:rPr>
              <w:t xml:space="preserve"> </w:t>
            </w:r>
            <w:r>
              <w:rPr>
                <w:rFonts w:ascii="微软雅黑" w:hAnsi="微软雅黑" w:cs="Arial"/>
                <w:color w:val="auto"/>
                <w:sz w:val="21"/>
                <w:szCs w:val="21"/>
                <w:highlight w:val="none"/>
              </w:rPr>
              <w:t> </w:t>
            </w:r>
            <w:r>
              <w:rPr>
                <w:rFonts w:hint="eastAsia" w:ascii="微软雅黑" w:hAnsi="微软雅黑" w:cs="Arial"/>
                <w:color w:val="auto"/>
                <w:sz w:val="21"/>
                <w:szCs w:val="21"/>
                <w:highlight w:val="none"/>
              </w:rPr>
              <w:t xml:space="preserve"> </w:t>
            </w:r>
            <w:r>
              <w:rPr>
                <w:rFonts w:ascii="微软雅黑" w:hAnsi="微软雅黑" w:cs="Arial"/>
                <w:color w:val="auto"/>
                <w:sz w:val="21"/>
                <w:szCs w:val="21"/>
                <w:highlight w:val="none"/>
              </w:rPr>
              <w:t> </w:t>
            </w:r>
          </w:p>
        </w:tc>
      </w:tr>
    </w:tbl>
    <w:p w14:paraId="6355C05F">
      <w:pPr>
        <w:widowControl/>
        <w:spacing w:before="255" w:after="255" w:line="300" w:lineRule="atLeast"/>
        <w:ind w:firstLine="0" w:firstLineChars="0"/>
        <w:jc w:val="both"/>
        <w:rPr>
          <w:rFonts w:ascii="微软雅黑" w:hAnsi="微软雅黑" w:cs="Arial"/>
          <w:color w:val="auto"/>
          <w:kern w:val="0"/>
          <w:szCs w:val="21"/>
          <w:highlight w:val="none"/>
        </w:rPr>
      </w:pPr>
      <w:r>
        <w:rPr>
          <w:rFonts w:hint="eastAsia" w:ascii="微软雅黑" w:hAnsi="微软雅黑" w:cs="Arial"/>
          <w:b/>
          <w:bCs/>
          <w:color w:val="auto"/>
          <w:kern w:val="0"/>
          <w:szCs w:val="21"/>
          <w:highlight w:val="none"/>
        </w:rPr>
        <w:t>一、项目基本情况</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p>
    <w:p w14:paraId="6BC1FA64">
      <w:pPr>
        <w:widowControl/>
        <w:spacing w:before="75" w:after="75" w:line="300" w:lineRule="atLeast"/>
        <w:ind w:firstLine="424" w:firstLineChars="202"/>
        <w:rPr>
          <w:rFonts w:hint="eastAsia" w:ascii="微软雅黑" w:hAnsi="微软雅黑" w:eastAsia="微软雅黑" w:cs="Calibri"/>
          <w:color w:val="auto"/>
          <w:kern w:val="0"/>
          <w:szCs w:val="21"/>
          <w:highlight w:val="none"/>
          <w:lang w:eastAsia="zh-CN"/>
        </w:rPr>
      </w:pPr>
      <w:r>
        <w:rPr>
          <w:rFonts w:hint="eastAsia" w:ascii="微软雅黑" w:hAnsi="微软雅黑" w:cs="Calibri"/>
          <w:color w:val="auto"/>
          <w:kern w:val="0"/>
          <w:szCs w:val="21"/>
          <w:highlight w:val="none"/>
        </w:rPr>
        <w:t>采购计划编号：</w:t>
      </w:r>
      <w:r>
        <w:rPr>
          <w:rFonts w:hint="eastAsia"/>
          <w:color w:val="auto"/>
          <w:highlight w:val="none"/>
        </w:rPr>
        <w:t xml:space="preserve"> [2025]1757号</w:t>
      </w:r>
      <w:r>
        <w:rPr>
          <w:rFonts w:hint="eastAsia"/>
          <w:color w:val="auto"/>
          <w:highlight w:val="none"/>
          <w:lang w:eastAsia="zh-CN"/>
        </w:rPr>
        <w:t>、[2025]175</w:t>
      </w:r>
      <w:r>
        <w:rPr>
          <w:rFonts w:hint="eastAsia"/>
          <w:color w:val="auto"/>
          <w:highlight w:val="none"/>
          <w:lang w:val="en-US" w:eastAsia="zh-CN"/>
        </w:rPr>
        <w:t>8</w:t>
      </w:r>
      <w:r>
        <w:rPr>
          <w:rFonts w:hint="eastAsia"/>
          <w:color w:val="auto"/>
          <w:highlight w:val="none"/>
          <w:lang w:eastAsia="zh-CN"/>
        </w:rPr>
        <w:t>号、[2025]1757号</w:t>
      </w:r>
    </w:p>
    <w:p w14:paraId="0BAFAE2A">
      <w:pPr>
        <w:widowControl/>
        <w:spacing w:before="75" w:after="75" w:line="300" w:lineRule="atLeast"/>
        <w:ind w:firstLine="424" w:firstLineChars="202"/>
        <w:rPr>
          <w:rFonts w:ascii="微软雅黑" w:hAnsi="微软雅黑" w:cs="Calibri"/>
          <w:color w:val="auto"/>
          <w:kern w:val="0"/>
          <w:szCs w:val="21"/>
          <w:highlight w:val="none"/>
        </w:rPr>
      </w:pPr>
      <w:r>
        <w:rPr>
          <w:rFonts w:hint="eastAsia" w:ascii="微软雅黑" w:hAnsi="微软雅黑" w:cs="Calibri"/>
          <w:color w:val="auto"/>
          <w:kern w:val="0"/>
          <w:szCs w:val="21"/>
          <w:highlight w:val="none"/>
        </w:rPr>
        <w:t>项目编号：</w:t>
      </w:r>
      <w:r>
        <w:rPr>
          <w:rFonts w:ascii="微软雅黑" w:hAnsi="微软雅黑" w:cs="Calibri"/>
          <w:color w:val="auto"/>
          <w:kern w:val="0"/>
          <w:szCs w:val="21"/>
          <w:highlight w:val="none"/>
        </w:rPr>
        <w:t> </w:t>
      </w:r>
      <w:r>
        <w:rPr>
          <w:rFonts w:hint="eastAsia" w:ascii="微软雅黑" w:hAnsi="微软雅黑" w:cs="Calibri"/>
          <w:color w:val="auto"/>
          <w:kern w:val="0"/>
          <w:szCs w:val="21"/>
          <w:highlight w:val="none"/>
        </w:rPr>
        <w:t>南湖采招[2025]</w:t>
      </w:r>
      <w:r>
        <w:rPr>
          <w:rFonts w:hint="eastAsia" w:ascii="微软雅黑" w:hAnsi="微软雅黑" w:cs="Calibri"/>
          <w:color w:val="auto"/>
          <w:kern w:val="0"/>
          <w:szCs w:val="21"/>
          <w:highlight w:val="none"/>
          <w:lang w:val="en-US" w:eastAsia="zh-CN"/>
        </w:rPr>
        <w:t>2</w:t>
      </w:r>
      <w:r>
        <w:rPr>
          <w:rFonts w:hint="eastAsia" w:ascii="微软雅黑" w:hAnsi="微软雅黑" w:cs="Calibri"/>
          <w:color w:val="auto"/>
          <w:kern w:val="0"/>
          <w:szCs w:val="21"/>
          <w:highlight w:val="none"/>
        </w:rPr>
        <w:t>号</w:t>
      </w:r>
    </w:p>
    <w:p w14:paraId="6DB94105">
      <w:pPr>
        <w:widowControl/>
        <w:spacing w:before="75" w:after="75" w:line="300" w:lineRule="atLeast"/>
        <w:ind w:firstLine="424" w:firstLineChars="202"/>
        <w:rPr>
          <w:rFonts w:hint="eastAsia" w:ascii="微软雅黑" w:hAnsi="微软雅黑" w:eastAsia="微软雅黑" w:cs="Arial"/>
          <w:color w:val="auto"/>
          <w:kern w:val="0"/>
          <w:szCs w:val="21"/>
          <w:highlight w:val="none"/>
          <w:lang w:eastAsia="zh-CN"/>
        </w:rPr>
      </w:pPr>
      <w:r>
        <w:rPr>
          <w:rFonts w:hint="eastAsia" w:ascii="微软雅黑" w:hAnsi="微软雅黑" w:cs="Arial"/>
          <w:color w:val="auto"/>
          <w:kern w:val="0"/>
          <w:szCs w:val="21"/>
          <w:highlight w:val="none"/>
        </w:rPr>
        <w:t>项目名称：</w:t>
      </w:r>
      <w:r>
        <w:rPr>
          <w:rFonts w:hint="eastAsia" w:ascii="微软雅黑" w:hAnsi="微软雅黑" w:cs="Arial"/>
          <w:color w:val="auto"/>
          <w:szCs w:val="21"/>
          <w:highlight w:val="none"/>
          <w:lang w:eastAsia="zh-CN"/>
        </w:rPr>
        <w:t>嘉兴南湖学院化工基础实验室采购项目</w:t>
      </w:r>
    </w:p>
    <w:p w14:paraId="523E755A">
      <w:pPr>
        <w:widowControl/>
        <w:spacing w:before="75" w:after="75" w:line="300" w:lineRule="atLeast"/>
        <w:ind w:firstLine="424" w:firstLineChars="202"/>
        <w:rPr>
          <w:rFonts w:hint="eastAsia" w:ascii="微软雅黑" w:hAnsi="微软雅黑" w:cs="Calibri"/>
          <w:color w:val="auto"/>
          <w:kern w:val="0"/>
          <w:szCs w:val="21"/>
          <w:highlight w:val="none"/>
        </w:rPr>
      </w:pPr>
      <w:r>
        <w:rPr>
          <w:rFonts w:hint="eastAsia" w:ascii="微软雅黑" w:hAnsi="微软雅黑" w:cs="Calibri"/>
          <w:color w:val="auto"/>
          <w:kern w:val="0"/>
          <w:szCs w:val="21"/>
          <w:highlight w:val="none"/>
        </w:rPr>
        <w:t>采购方式 ：公开招标</w:t>
      </w:r>
    </w:p>
    <w:p w14:paraId="3DCCD103">
      <w:pPr>
        <w:widowControl/>
        <w:spacing w:before="75" w:after="75" w:line="300" w:lineRule="atLeast"/>
        <w:ind w:firstLine="424" w:firstLineChars="202"/>
        <w:rPr>
          <w:rFonts w:hint="eastAsia" w:ascii="微软雅黑" w:hAnsi="微软雅黑" w:cs="Calibri"/>
          <w:color w:val="auto"/>
          <w:kern w:val="0"/>
          <w:szCs w:val="21"/>
          <w:highlight w:val="none"/>
        </w:rPr>
      </w:pPr>
      <w:r>
        <w:rPr>
          <w:rFonts w:hint="eastAsia" w:ascii="微软雅黑" w:hAnsi="微软雅黑" w:cs="Calibri"/>
          <w:color w:val="auto"/>
          <w:kern w:val="0"/>
          <w:szCs w:val="21"/>
          <w:highlight w:val="none"/>
        </w:rPr>
        <w:t xml:space="preserve">预算金额（元）： </w:t>
      </w:r>
    </w:p>
    <w:p w14:paraId="546ED57B">
      <w:pPr>
        <w:widowControl/>
        <w:spacing w:before="75" w:after="75" w:line="300" w:lineRule="atLeast"/>
        <w:ind w:firstLine="424" w:firstLineChars="202"/>
        <w:rPr>
          <w:rFonts w:hint="eastAsia" w:ascii="微软雅黑" w:hAnsi="微软雅黑" w:cs="Arial"/>
          <w:color w:val="auto"/>
          <w:szCs w:val="21"/>
          <w:highlight w:val="none"/>
          <w:lang w:val="en-US" w:eastAsia="zh-CN"/>
        </w:rPr>
      </w:pPr>
      <w:r>
        <w:rPr>
          <w:rFonts w:hint="eastAsia" w:ascii="微软雅黑" w:hAnsi="微软雅黑" w:cs="Calibri"/>
          <w:color w:val="auto"/>
          <w:kern w:val="0"/>
          <w:szCs w:val="21"/>
          <w:highlight w:val="none"/>
          <w:lang w:val="en-US" w:eastAsia="zh-CN"/>
        </w:rPr>
        <w:t>标项一、</w:t>
      </w:r>
      <w:r>
        <w:rPr>
          <w:rFonts w:hint="eastAsia" w:ascii="微软雅黑" w:hAnsi="微软雅黑" w:cs="Arial"/>
          <w:color w:val="auto"/>
          <w:szCs w:val="21"/>
          <w:highlight w:val="none"/>
          <w:lang w:eastAsia="zh-CN"/>
        </w:rPr>
        <w:t>化工基础实验室(一)：</w:t>
      </w:r>
      <w:r>
        <w:rPr>
          <w:rFonts w:hint="eastAsia" w:ascii="微软雅黑" w:hAnsi="微软雅黑" w:cs="Arial"/>
          <w:color w:val="auto"/>
          <w:szCs w:val="21"/>
          <w:highlight w:val="none"/>
          <w:lang w:val="en-US" w:eastAsia="zh-CN"/>
        </w:rPr>
        <w:t>1510000.00元；</w:t>
      </w:r>
    </w:p>
    <w:p w14:paraId="1002A8B6">
      <w:pPr>
        <w:widowControl/>
        <w:spacing w:before="75" w:after="75" w:line="300" w:lineRule="atLeast"/>
        <w:ind w:firstLine="424" w:firstLineChars="202"/>
        <w:rPr>
          <w:rFonts w:hint="eastAsia" w:ascii="微软雅黑" w:hAnsi="微软雅黑" w:eastAsia="微软雅黑" w:cs="Arial"/>
          <w:color w:val="auto"/>
          <w:kern w:val="0"/>
          <w:szCs w:val="21"/>
          <w:highlight w:val="none"/>
          <w:lang w:val="en-US" w:eastAsia="zh-CN"/>
        </w:rPr>
      </w:pPr>
      <w:r>
        <w:rPr>
          <w:rFonts w:hint="eastAsia" w:ascii="微软雅黑" w:hAnsi="微软雅黑" w:cs="Calibri"/>
          <w:color w:val="auto"/>
          <w:kern w:val="0"/>
          <w:szCs w:val="21"/>
          <w:highlight w:val="none"/>
          <w:lang w:val="en-US" w:eastAsia="zh-CN"/>
        </w:rPr>
        <w:t>标项二、</w:t>
      </w:r>
      <w:r>
        <w:rPr>
          <w:rFonts w:hint="eastAsia" w:ascii="微软雅黑" w:hAnsi="微软雅黑" w:cs="Arial"/>
          <w:color w:val="auto"/>
          <w:szCs w:val="21"/>
          <w:highlight w:val="none"/>
          <w:lang w:eastAsia="zh-CN"/>
        </w:rPr>
        <w:t>化工基础实验室(二)：</w:t>
      </w:r>
      <w:r>
        <w:rPr>
          <w:rFonts w:hint="eastAsia" w:ascii="微软雅黑" w:hAnsi="微软雅黑" w:cs="Arial"/>
          <w:color w:val="auto"/>
          <w:szCs w:val="21"/>
          <w:highlight w:val="none"/>
          <w:lang w:val="en-US" w:eastAsia="zh-CN"/>
        </w:rPr>
        <w:t>2295000.00元；</w:t>
      </w:r>
    </w:p>
    <w:p w14:paraId="0FDB4458">
      <w:pPr>
        <w:widowControl/>
        <w:spacing w:before="75" w:after="75" w:line="300" w:lineRule="atLeast"/>
        <w:ind w:firstLine="424" w:firstLineChars="202"/>
        <w:rPr>
          <w:rFonts w:hint="default" w:ascii="微软雅黑" w:hAnsi="微软雅黑" w:eastAsia="微软雅黑" w:cs="Calibri"/>
          <w:color w:val="auto"/>
          <w:kern w:val="0"/>
          <w:szCs w:val="21"/>
          <w:highlight w:val="none"/>
          <w:lang w:val="en-US" w:eastAsia="zh-CN"/>
        </w:rPr>
      </w:pPr>
      <w:r>
        <w:rPr>
          <w:rFonts w:hint="eastAsia" w:ascii="微软雅黑" w:hAnsi="微软雅黑" w:cs="Calibri"/>
          <w:color w:val="auto"/>
          <w:kern w:val="0"/>
          <w:szCs w:val="21"/>
          <w:highlight w:val="none"/>
        </w:rPr>
        <w:t xml:space="preserve">最高限价（元）： </w:t>
      </w:r>
      <w:r>
        <w:rPr>
          <w:rFonts w:hint="eastAsia" w:ascii="微软雅黑" w:hAnsi="微软雅黑" w:cs="Calibri"/>
          <w:color w:val="auto"/>
          <w:kern w:val="0"/>
          <w:szCs w:val="21"/>
          <w:highlight w:val="none"/>
          <w:lang w:eastAsia="zh-CN"/>
        </w:rPr>
        <w:t>标项一、</w:t>
      </w:r>
      <w:r>
        <w:rPr>
          <w:rFonts w:hint="eastAsia" w:ascii="微软雅黑" w:hAnsi="微软雅黑" w:cs="Calibri"/>
          <w:color w:val="auto"/>
          <w:kern w:val="0"/>
          <w:szCs w:val="21"/>
          <w:highlight w:val="none"/>
          <w:lang w:val="en-US" w:eastAsia="zh-CN"/>
        </w:rPr>
        <w:t>1510000.00元；标项二、2295000.00元</w:t>
      </w:r>
    </w:p>
    <w:p w14:paraId="69D9AC59">
      <w:pPr>
        <w:widowControl/>
        <w:spacing w:before="75" w:after="75" w:line="300" w:lineRule="atLeast"/>
        <w:ind w:firstLine="424" w:firstLineChars="202"/>
        <w:rPr>
          <w:rFonts w:ascii="微软雅黑" w:hAnsi="微软雅黑"/>
          <w:color w:val="auto"/>
          <w:szCs w:val="21"/>
          <w:highlight w:val="none"/>
        </w:rPr>
      </w:pPr>
      <w:r>
        <w:rPr>
          <w:rFonts w:hint="eastAsia" w:ascii="微软雅黑" w:hAnsi="微软雅黑"/>
          <w:color w:val="auto"/>
          <w:szCs w:val="21"/>
          <w:highlight w:val="none"/>
        </w:rPr>
        <w:t>采购需求：</w:t>
      </w:r>
    </w:p>
    <w:tbl>
      <w:tblPr>
        <w:tblStyle w:val="53"/>
        <w:tblW w:w="787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3544"/>
        <w:gridCol w:w="919"/>
        <w:gridCol w:w="1000"/>
        <w:gridCol w:w="1599"/>
      </w:tblGrid>
      <w:tr w14:paraId="653D47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trPr>
        <w:tc>
          <w:tcPr>
            <w:tcW w:w="817" w:type="dxa"/>
          </w:tcPr>
          <w:p w14:paraId="5EB5BE01">
            <w:pPr>
              <w:widowControl/>
              <w:spacing w:before="75" w:after="75" w:line="300" w:lineRule="atLeast"/>
              <w:ind w:firstLine="0" w:firstLineChars="0"/>
              <w:jc w:val="center"/>
              <w:rPr>
                <w:rFonts w:ascii="微软雅黑" w:hAnsi="微软雅黑" w:cs="微软雅黑"/>
                <w:color w:val="auto"/>
                <w:szCs w:val="21"/>
                <w:highlight w:val="none"/>
              </w:rPr>
            </w:pPr>
            <w:r>
              <w:rPr>
                <w:rFonts w:hint="eastAsia" w:ascii="微软雅黑" w:hAnsi="微软雅黑" w:cs="微软雅黑"/>
                <w:color w:val="auto"/>
                <w:szCs w:val="21"/>
                <w:highlight w:val="none"/>
              </w:rPr>
              <w:t>标项</w:t>
            </w:r>
          </w:p>
        </w:tc>
        <w:tc>
          <w:tcPr>
            <w:tcW w:w="3544" w:type="dxa"/>
          </w:tcPr>
          <w:p w14:paraId="7D4706E0">
            <w:pPr>
              <w:widowControl/>
              <w:spacing w:before="75" w:after="75" w:line="300" w:lineRule="atLeast"/>
              <w:ind w:firstLine="0" w:firstLineChars="0"/>
              <w:rPr>
                <w:rFonts w:ascii="微软雅黑" w:hAnsi="微软雅黑" w:cs="微软雅黑"/>
                <w:color w:val="auto"/>
                <w:szCs w:val="21"/>
                <w:highlight w:val="none"/>
              </w:rPr>
            </w:pPr>
            <w:r>
              <w:rPr>
                <w:rFonts w:hint="eastAsia" w:ascii="微软雅黑" w:hAnsi="微软雅黑" w:cs="微软雅黑"/>
                <w:color w:val="auto"/>
                <w:szCs w:val="21"/>
                <w:highlight w:val="none"/>
              </w:rPr>
              <w:t>采购内容</w:t>
            </w:r>
          </w:p>
        </w:tc>
        <w:tc>
          <w:tcPr>
            <w:tcW w:w="919" w:type="dxa"/>
          </w:tcPr>
          <w:p w14:paraId="28DFA966">
            <w:pPr>
              <w:widowControl/>
              <w:spacing w:before="75" w:after="75" w:line="300" w:lineRule="atLeast"/>
              <w:ind w:firstLine="0" w:firstLineChars="0"/>
              <w:jc w:val="center"/>
              <w:rPr>
                <w:rFonts w:ascii="微软雅黑" w:hAnsi="微软雅黑" w:cs="微软雅黑"/>
                <w:color w:val="auto"/>
                <w:szCs w:val="21"/>
                <w:highlight w:val="none"/>
              </w:rPr>
            </w:pPr>
            <w:r>
              <w:rPr>
                <w:rFonts w:hint="eastAsia" w:ascii="微软雅黑" w:hAnsi="微软雅黑" w:cs="微软雅黑"/>
                <w:color w:val="auto"/>
                <w:szCs w:val="21"/>
                <w:highlight w:val="none"/>
              </w:rPr>
              <w:t>数量</w:t>
            </w:r>
          </w:p>
        </w:tc>
        <w:tc>
          <w:tcPr>
            <w:tcW w:w="1000" w:type="dxa"/>
          </w:tcPr>
          <w:p w14:paraId="277288CB">
            <w:pPr>
              <w:widowControl/>
              <w:spacing w:before="75" w:after="75" w:line="300" w:lineRule="atLeast"/>
              <w:ind w:firstLine="0" w:firstLineChars="0"/>
              <w:jc w:val="center"/>
              <w:rPr>
                <w:rFonts w:ascii="微软雅黑" w:hAnsi="微软雅黑" w:cs="微软雅黑"/>
                <w:color w:val="auto"/>
                <w:szCs w:val="21"/>
                <w:highlight w:val="none"/>
              </w:rPr>
            </w:pPr>
            <w:r>
              <w:rPr>
                <w:rFonts w:hint="eastAsia" w:ascii="微软雅黑" w:hAnsi="微软雅黑" w:cs="微软雅黑"/>
                <w:color w:val="auto"/>
                <w:szCs w:val="21"/>
                <w:highlight w:val="none"/>
              </w:rPr>
              <w:t>单位</w:t>
            </w:r>
          </w:p>
        </w:tc>
        <w:tc>
          <w:tcPr>
            <w:tcW w:w="1599" w:type="dxa"/>
            <w:tcBorders>
              <w:top w:val="single" w:color="auto" w:sz="4" w:space="0"/>
              <w:left w:val="single" w:color="auto" w:sz="4" w:space="0"/>
              <w:bottom w:val="single" w:color="auto" w:sz="4" w:space="0"/>
              <w:right w:val="single" w:color="auto" w:sz="4" w:space="0"/>
            </w:tcBorders>
          </w:tcPr>
          <w:p w14:paraId="6FF6AC4F">
            <w:pPr>
              <w:widowControl/>
              <w:spacing w:before="75" w:after="75" w:line="300" w:lineRule="atLeast"/>
              <w:ind w:firstLine="0" w:firstLineChars="0"/>
              <w:jc w:val="center"/>
              <w:rPr>
                <w:rFonts w:ascii="微软雅黑" w:hAnsi="微软雅黑" w:cs="微软雅黑"/>
                <w:color w:val="auto"/>
                <w:szCs w:val="21"/>
                <w:highlight w:val="none"/>
              </w:rPr>
            </w:pPr>
            <w:r>
              <w:rPr>
                <w:rFonts w:hint="eastAsia" w:ascii="微软雅黑" w:hAnsi="微软雅黑" w:cs="微软雅黑"/>
                <w:color w:val="auto"/>
                <w:szCs w:val="21"/>
                <w:highlight w:val="none"/>
              </w:rPr>
              <w:t>上限金额（元）</w:t>
            </w:r>
          </w:p>
        </w:tc>
      </w:tr>
      <w:tr w14:paraId="46197C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trPr>
        <w:tc>
          <w:tcPr>
            <w:tcW w:w="817" w:type="dxa"/>
          </w:tcPr>
          <w:p w14:paraId="7AE78D94">
            <w:pPr>
              <w:widowControl/>
              <w:spacing w:before="75" w:after="75" w:line="300" w:lineRule="atLeast"/>
              <w:ind w:firstLine="0" w:firstLineChars="0"/>
              <w:jc w:val="center"/>
              <w:rPr>
                <w:rFonts w:ascii="微软雅黑" w:hAnsi="微软雅黑" w:cs="微软雅黑"/>
                <w:color w:val="auto"/>
                <w:szCs w:val="21"/>
                <w:highlight w:val="none"/>
              </w:rPr>
            </w:pPr>
            <w:r>
              <w:rPr>
                <w:rFonts w:hint="eastAsia" w:ascii="微软雅黑" w:hAnsi="微软雅黑" w:cs="微软雅黑"/>
                <w:color w:val="auto"/>
                <w:szCs w:val="21"/>
                <w:highlight w:val="none"/>
              </w:rPr>
              <w:t>1</w:t>
            </w:r>
          </w:p>
        </w:tc>
        <w:tc>
          <w:tcPr>
            <w:tcW w:w="3544" w:type="dxa"/>
          </w:tcPr>
          <w:p w14:paraId="7D90D967">
            <w:pPr>
              <w:widowControl/>
              <w:spacing w:before="75" w:after="75" w:line="300" w:lineRule="atLeast"/>
              <w:ind w:left="0" w:leftChars="0" w:firstLine="0" w:firstLineChars="0"/>
              <w:rPr>
                <w:rFonts w:ascii="微软雅黑" w:hAnsi="微软雅黑" w:cs="微软雅黑"/>
                <w:color w:val="auto"/>
                <w:szCs w:val="21"/>
                <w:highlight w:val="none"/>
              </w:rPr>
            </w:pPr>
            <w:bookmarkStart w:id="311" w:name="_GoBack"/>
            <w:r>
              <w:rPr>
                <w:rFonts w:hint="eastAsia" w:ascii="微软雅黑" w:hAnsi="微软雅黑" w:cs="Arial"/>
                <w:color w:val="auto"/>
                <w:szCs w:val="21"/>
                <w:highlight w:val="none"/>
                <w:lang w:eastAsia="zh-CN"/>
              </w:rPr>
              <w:t>化工基础实验室(一)</w:t>
            </w:r>
            <w:bookmarkEnd w:id="311"/>
          </w:p>
        </w:tc>
        <w:tc>
          <w:tcPr>
            <w:tcW w:w="919" w:type="dxa"/>
          </w:tcPr>
          <w:p w14:paraId="53E77CC7">
            <w:pPr>
              <w:widowControl/>
              <w:spacing w:before="75" w:after="75" w:line="300" w:lineRule="atLeast"/>
              <w:ind w:firstLine="0" w:firstLineChars="0"/>
              <w:jc w:val="center"/>
              <w:rPr>
                <w:rFonts w:ascii="微软雅黑" w:hAnsi="微软雅黑" w:cs="微软雅黑"/>
                <w:color w:val="auto"/>
                <w:szCs w:val="21"/>
                <w:highlight w:val="none"/>
              </w:rPr>
            </w:pPr>
            <w:r>
              <w:rPr>
                <w:rFonts w:hint="eastAsia" w:ascii="微软雅黑" w:hAnsi="微软雅黑" w:cs="微软雅黑"/>
                <w:color w:val="auto"/>
                <w:szCs w:val="21"/>
                <w:highlight w:val="none"/>
              </w:rPr>
              <w:t>1</w:t>
            </w:r>
          </w:p>
        </w:tc>
        <w:tc>
          <w:tcPr>
            <w:tcW w:w="1000" w:type="dxa"/>
          </w:tcPr>
          <w:p w14:paraId="72AAAFAA">
            <w:pPr>
              <w:widowControl/>
              <w:spacing w:before="75" w:after="75" w:line="300" w:lineRule="atLeast"/>
              <w:ind w:firstLine="0" w:firstLineChars="0"/>
              <w:jc w:val="center"/>
              <w:rPr>
                <w:rFonts w:ascii="微软雅黑" w:hAnsi="微软雅黑" w:cs="微软雅黑"/>
                <w:color w:val="auto"/>
                <w:szCs w:val="21"/>
                <w:highlight w:val="none"/>
              </w:rPr>
            </w:pPr>
            <w:r>
              <w:rPr>
                <w:rFonts w:hint="eastAsia" w:ascii="微软雅黑" w:hAnsi="微软雅黑" w:cs="微软雅黑"/>
                <w:color w:val="auto"/>
                <w:szCs w:val="21"/>
                <w:highlight w:val="none"/>
              </w:rPr>
              <w:t>批</w:t>
            </w:r>
          </w:p>
        </w:tc>
        <w:tc>
          <w:tcPr>
            <w:tcW w:w="1599" w:type="dxa"/>
            <w:tcBorders>
              <w:top w:val="single" w:color="auto" w:sz="4" w:space="0"/>
              <w:left w:val="single" w:color="auto" w:sz="4" w:space="0"/>
              <w:bottom w:val="single" w:color="auto" w:sz="4" w:space="0"/>
              <w:right w:val="single" w:color="auto" w:sz="4" w:space="0"/>
            </w:tcBorders>
          </w:tcPr>
          <w:p w14:paraId="1921F0A4">
            <w:pPr>
              <w:widowControl/>
              <w:spacing w:before="75" w:after="75" w:line="300" w:lineRule="atLeast"/>
              <w:ind w:firstLine="0" w:firstLineChars="0"/>
              <w:jc w:val="center"/>
              <w:rPr>
                <w:rFonts w:ascii="微软雅黑" w:hAnsi="微软雅黑" w:cs="微软雅黑"/>
                <w:color w:val="auto"/>
                <w:szCs w:val="21"/>
                <w:highlight w:val="none"/>
              </w:rPr>
            </w:pPr>
            <w:r>
              <w:rPr>
                <w:rFonts w:hint="eastAsia" w:ascii="微软雅黑" w:hAnsi="微软雅黑" w:cs="微软雅黑"/>
                <w:color w:val="auto"/>
                <w:szCs w:val="21"/>
                <w:highlight w:val="none"/>
              </w:rPr>
              <w:t>15</w:t>
            </w:r>
            <w:r>
              <w:rPr>
                <w:rFonts w:ascii="微软雅黑" w:hAnsi="微软雅黑" w:cs="微软雅黑"/>
                <w:color w:val="auto"/>
                <w:szCs w:val="21"/>
                <w:highlight w:val="none"/>
              </w:rPr>
              <w:t>1</w:t>
            </w:r>
            <w:r>
              <w:rPr>
                <w:rFonts w:hint="eastAsia" w:ascii="微软雅黑" w:hAnsi="微软雅黑" w:cs="微软雅黑"/>
                <w:color w:val="auto"/>
                <w:szCs w:val="21"/>
                <w:highlight w:val="none"/>
              </w:rPr>
              <w:t>0000.00</w:t>
            </w:r>
          </w:p>
        </w:tc>
      </w:tr>
      <w:tr w14:paraId="72AA92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trPr>
        <w:tc>
          <w:tcPr>
            <w:tcW w:w="817" w:type="dxa"/>
          </w:tcPr>
          <w:p w14:paraId="5AB6DD39">
            <w:pPr>
              <w:widowControl/>
              <w:spacing w:before="75" w:after="75" w:line="300" w:lineRule="atLeast"/>
              <w:ind w:firstLine="0" w:firstLineChars="0"/>
              <w:jc w:val="center"/>
              <w:rPr>
                <w:rFonts w:ascii="微软雅黑" w:hAnsi="微软雅黑" w:cs="微软雅黑"/>
                <w:color w:val="auto"/>
                <w:szCs w:val="21"/>
                <w:highlight w:val="none"/>
              </w:rPr>
            </w:pPr>
            <w:r>
              <w:rPr>
                <w:rFonts w:hint="eastAsia" w:ascii="微软雅黑" w:hAnsi="微软雅黑" w:cs="微软雅黑"/>
                <w:color w:val="auto"/>
                <w:szCs w:val="21"/>
                <w:highlight w:val="none"/>
              </w:rPr>
              <w:t>2</w:t>
            </w:r>
          </w:p>
        </w:tc>
        <w:tc>
          <w:tcPr>
            <w:tcW w:w="3544" w:type="dxa"/>
          </w:tcPr>
          <w:p w14:paraId="10C878D7">
            <w:pPr>
              <w:widowControl/>
              <w:spacing w:before="75" w:after="75" w:line="300" w:lineRule="atLeast"/>
              <w:ind w:left="0" w:leftChars="0" w:firstLine="0" w:firstLineChars="0"/>
              <w:rPr>
                <w:rFonts w:ascii="微软雅黑" w:hAnsi="微软雅黑" w:cs="微软雅黑"/>
                <w:color w:val="auto"/>
                <w:szCs w:val="21"/>
                <w:highlight w:val="none"/>
              </w:rPr>
            </w:pPr>
            <w:r>
              <w:rPr>
                <w:rFonts w:hint="eastAsia" w:ascii="微软雅黑" w:hAnsi="微软雅黑" w:cs="Arial"/>
                <w:color w:val="auto"/>
                <w:szCs w:val="21"/>
                <w:highlight w:val="none"/>
                <w:lang w:eastAsia="zh-CN"/>
              </w:rPr>
              <w:t>化工基础实验室(二)</w:t>
            </w:r>
          </w:p>
        </w:tc>
        <w:tc>
          <w:tcPr>
            <w:tcW w:w="919" w:type="dxa"/>
          </w:tcPr>
          <w:p w14:paraId="3BE62C42">
            <w:pPr>
              <w:widowControl/>
              <w:spacing w:before="75" w:after="75" w:line="300" w:lineRule="atLeast"/>
              <w:ind w:firstLine="0" w:firstLineChars="0"/>
              <w:jc w:val="center"/>
              <w:rPr>
                <w:rFonts w:ascii="微软雅黑" w:hAnsi="微软雅黑" w:cs="微软雅黑"/>
                <w:color w:val="auto"/>
                <w:szCs w:val="21"/>
                <w:highlight w:val="none"/>
              </w:rPr>
            </w:pPr>
            <w:r>
              <w:rPr>
                <w:rFonts w:hint="eastAsia" w:ascii="微软雅黑" w:hAnsi="微软雅黑" w:cs="微软雅黑"/>
                <w:color w:val="auto"/>
                <w:szCs w:val="21"/>
                <w:highlight w:val="none"/>
              </w:rPr>
              <w:t>1</w:t>
            </w:r>
          </w:p>
        </w:tc>
        <w:tc>
          <w:tcPr>
            <w:tcW w:w="1000" w:type="dxa"/>
          </w:tcPr>
          <w:p w14:paraId="083CA97C">
            <w:pPr>
              <w:widowControl/>
              <w:spacing w:before="75" w:after="75" w:line="300" w:lineRule="atLeast"/>
              <w:ind w:firstLine="0" w:firstLineChars="0"/>
              <w:jc w:val="center"/>
              <w:rPr>
                <w:rFonts w:ascii="微软雅黑" w:hAnsi="微软雅黑" w:cs="微软雅黑"/>
                <w:color w:val="auto"/>
                <w:szCs w:val="21"/>
                <w:highlight w:val="none"/>
              </w:rPr>
            </w:pPr>
            <w:r>
              <w:rPr>
                <w:rFonts w:hint="eastAsia" w:ascii="微软雅黑" w:hAnsi="微软雅黑" w:cs="微软雅黑"/>
                <w:color w:val="auto"/>
                <w:szCs w:val="21"/>
                <w:highlight w:val="none"/>
              </w:rPr>
              <w:t>批</w:t>
            </w:r>
          </w:p>
        </w:tc>
        <w:tc>
          <w:tcPr>
            <w:tcW w:w="1599" w:type="dxa"/>
            <w:tcBorders>
              <w:top w:val="single" w:color="auto" w:sz="4" w:space="0"/>
              <w:left w:val="single" w:color="auto" w:sz="4" w:space="0"/>
              <w:bottom w:val="single" w:color="auto" w:sz="4" w:space="0"/>
              <w:right w:val="single" w:color="auto" w:sz="4" w:space="0"/>
            </w:tcBorders>
          </w:tcPr>
          <w:p w14:paraId="1A3EB4CB">
            <w:pPr>
              <w:widowControl/>
              <w:spacing w:before="75" w:after="75" w:line="300" w:lineRule="atLeast"/>
              <w:ind w:firstLine="0" w:firstLineChars="0"/>
              <w:jc w:val="center"/>
              <w:rPr>
                <w:rFonts w:ascii="微软雅黑" w:hAnsi="微软雅黑" w:cs="微软雅黑"/>
                <w:color w:val="auto"/>
                <w:szCs w:val="21"/>
                <w:highlight w:val="none"/>
              </w:rPr>
            </w:pPr>
            <w:r>
              <w:rPr>
                <w:rFonts w:hint="eastAsia" w:ascii="微软雅黑" w:hAnsi="微软雅黑" w:cs="微软雅黑"/>
                <w:color w:val="auto"/>
                <w:szCs w:val="21"/>
                <w:highlight w:val="none"/>
              </w:rPr>
              <w:t>2</w:t>
            </w:r>
            <w:r>
              <w:rPr>
                <w:rFonts w:ascii="微软雅黑" w:hAnsi="微软雅黑" w:cs="微软雅黑"/>
                <w:color w:val="auto"/>
                <w:szCs w:val="21"/>
                <w:highlight w:val="none"/>
              </w:rPr>
              <w:t>295</w:t>
            </w:r>
            <w:r>
              <w:rPr>
                <w:rFonts w:hint="eastAsia" w:ascii="微软雅黑" w:hAnsi="微软雅黑" w:cs="微软雅黑"/>
                <w:color w:val="auto"/>
                <w:szCs w:val="21"/>
                <w:highlight w:val="none"/>
              </w:rPr>
              <w:t>000.00</w:t>
            </w:r>
          </w:p>
        </w:tc>
      </w:tr>
      <w:tr w14:paraId="0FD2F7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trPr>
        <w:tc>
          <w:tcPr>
            <w:tcW w:w="817" w:type="dxa"/>
          </w:tcPr>
          <w:p w14:paraId="14CED87B">
            <w:pPr>
              <w:widowControl/>
              <w:spacing w:before="75" w:after="75" w:line="300" w:lineRule="atLeast"/>
              <w:ind w:firstLine="0" w:firstLineChars="0"/>
              <w:jc w:val="center"/>
              <w:rPr>
                <w:rFonts w:ascii="微软雅黑" w:hAnsi="微软雅黑" w:cs="微软雅黑"/>
                <w:color w:val="auto"/>
                <w:szCs w:val="21"/>
                <w:highlight w:val="none"/>
              </w:rPr>
            </w:pPr>
            <w:r>
              <w:rPr>
                <w:rFonts w:hint="eastAsia" w:ascii="微软雅黑" w:hAnsi="微软雅黑" w:cs="微软雅黑"/>
                <w:color w:val="auto"/>
                <w:szCs w:val="21"/>
                <w:highlight w:val="none"/>
              </w:rPr>
              <w:t>合计</w:t>
            </w:r>
          </w:p>
        </w:tc>
        <w:tc>
          <w:tcPr>
            <w:tcW w:w="3544" w:type="dxa"/>
          </w:tcPr>
          <w:p w14:paraId="5E53B309">
            <w:pPr>
              <w:widowControl/>
              <w:spacing w:before="75" w:after="75" w:line="300" w:lineRule="atLeast"/>
              <w:ind w:firstLine="0" w:firstLineChars="0"/>
              <w:rPr>
                <w:rFonts w:ascii="微软雅黑" w:hAnsi="微软雅黑" w:cs="微软雅黑"/>
                <w:color w:val="auto"/>
                <w:szCs w:val="21"/>
                <w:highlight w:val="none"/>
              </w:rPr>
            </w:pPr>
          </w:p>
        </w:tc>
        <w:tc>
          <w:tcPr>
            <w:tcW w:w="919" w:type="dxa"/>
          </w:tcPr>
          <w:p w14:paraId="4C083DA1">
            <w:pPr>
              <w:widowControl/>
              <w:spacing w:before="75" w:after="75" w:line="300" w:lineRule="atLeast"/>
              <w:ind w:firstLine="0" w:firstLineChars="0"/>
              <w:jc w:val="center"/>
              <w:rPr>
                <w:rFonts w:ascii="微软雅黑" w:hAnsi="微软雅黑" w:cs="微软雅黑"/>
                <w:color w:val="auto"/>
                <w:szCs w:val="21"/>
                <w:highlight w:val="none"/>
              </w:rPr>
            </w:pPr>
          </w:p>
        </w:tc>
        <w:tc>
          <w:tcPr>
            <w:tcW w:w="1000" w:type="dxa"/>
          </w:tcPr>
          <w:p w14:paraId="73312FC3">
            <w:pPr>
              <w:widowControl/>
              <w:spacing w:before="75" w:after="75" w:line="300" w:lineRule="atLeast"/>
              <w:ind w:firstLine="0" w:firstLineChars="0"/>
              <w:jc w:val="center"/>
              <w:rPr>
                <w:rFonts w:ascii="微软雅黑" w:hAnsi="微软雅黑" w:cs="微软雅黑"/>
                <w:color w:val="auto"/>
                <w:szCs w:val="21"/>
                <w:highlight w:val="none"/>
              </w:rPr>
            </w:pPr>
          </w:p>
        </w:tc>
        <w:tc>
          <w:tcPr>
            <w:tcW w:w="1599" w:type="dxa"/>
            <w:tcBorders>
              <w:top w:val="single" w:color="auto" w:sz="4" w:space="0"/>
              <w:left w:val="single" w:color="auto" w:sz="4" w:space="0"/>
              <w:bottom w:val="single" w:color="auto" w:sz="4" w:space="0"/>
              <w:right w:val="single" w:color="auto" w:sz="4" w:space="0"/>
            </w:tcBorders>
          </w:tcPr>
          <w:p w14:paraId="410249B8">
            <w:pPr>
              <w:widowControl/>
              <w:spacing w:before="75" w:after="75" w:line="300" w:lineRule="atLeast"/>
              <w:ind w:firstLine="0" w:firstLineChars="0"/>
              <w:jc w:val="center"/>
              <w:rPr>
                <w:rFonts w:hint="default" w:ascii="微软雅黑" w:hAnsi="微软雅黑" w:eastAsia="微软雅黑" w:cs="Calibri"/>
                <w:color w:val="auto"/>
                <w:kern w:val="0"/>
                <w:szCs w:val="21"/>
                <w:highlight w:val="none"/>
                <w:lang w:val="en-US" w:eastAsia="zh-CN"/>
              </w:rPr>
            </w:pPr>
            <w:r>
              <w:rPr>
                <w:rFonts w:hint="default" w:ascii="微软雅黑" w:hAnsi="微软雅黑" w:eastAsia="微软雅黑" w:cs="Calibri"/>
                <w:color w:val="auto"/>
                <w:kern w:val="0"/>
                <w:szCs w:val="21"/>
                <w:highlight w:val="none"/>
                <w:lang w:val="en-US" w:eastAsia="zh-CN"/>
              </w:rPr>
              <w:fldChar w:fldCharType="begin"/>
            </w:r>
            <w:r>
              <w:rPr>
                <w:rFonts w:hint="default" w:ascii="微软雅黑" w:hAnsi="微软雅黑" w:eastAsia="微软雅黑" w:cs="Calibri"/>
                <w:color w:val="auto"/>
                <w:kern w:val="0"/>
                <w:szCs w:val="21"/>
                <w:highlight w:val="none"/>
                <w:lang w:val="en-US" w:eastAsia="zh-CN"/>
              </w:rPr>
              <w:instrText xml:space="preserve"> = sum(E2:E3) \* MERGEFORMAT </w:instrText>
            </w:r>
            <w:r>
              <w:rPr>
                <w:rFonts w:hint="default" w:ascii="微软雅黑" w:hAnsi="微软雅黑" w:eastAsia="微软雅黑" w:cs="Calibri"/>
                <w:color w:val="auto"/>
                <w:kern w:val="0"/>
                <w:szCs w:val="21"/>
                <w:highlight w:val="none"/>
                <w:lang w:val="en-US" w:eastAsia="zh-CN"/>
              </w:rPr>
              <w:fldChar w:fldCharType="separate"/>
            </w:r>
            <w:r>
              <w:rPr>
                <w:rFonts w:hint="default" w:ascii="微软雅黑" w:hAnsi="微软雅黑" w:eastAsia="微软雅黑" w:cs="Calibri"/>
                <w:color w:val="auto"/>
                <w:kern w:val="0"/>
                <w:szCs w:val="21"/>
                <w:highlight w:val="none"/>
                <w:lang w:val="en-US" w:eastAsia="zh-CN"/>
              </w:rPr>
              <w:t>3805000</w:t>
            </w:r>
            <w:r>
              <w:rPr>
                <w:rFonts w:hint="default" w:ascii="微软雅黑" w:hAnsi="微软雅黑" w:eastAsia="微软雅黑" w:cs="Calibri"/>
                <w:color w:val="auto"/>
                <w:kern w:val="0"/>
                <w:szCs w:val="21"/>
                <w:highlight w:val="none"/>
                <w:lang w:val="en-US" w:eastAsia="zh-CN"/>
              </w:rPr>
              <w:fldChar w:fldCharType="end"/>
            </w:r>
            <w:r>
              <w:rPr>
                <w:rFonts w:hint="eastAsia" w:ascii="微软雅黑" w:hAnsi="微软雅黑" w:cs="Calibri"/>
                <w:color w:val="auto"/>
                <w:kern w:val="0"/>
                <w:szCs w:val="21"/>
                <w:highlight w:val="none"/>
                <w:lang w:val="en-US" w:eastAsia="zh-CN"/>
              </w:rPr>
              <w:t>.00</w:t>
            </w:r>
          </w:p>
        </w:tc>
      </w:tr>
    </w:tbl>
    <w:p w14:paraId="2B748DE7">
      <w:pPr>
        <w:widowControl/>
        <w:spacing w:before="75" w:after="75" w:line="300" w:lineRule="atLeast"/>
        <w:ind w:firstLine="424" w:firstLineChars="202"/>
        <w:rPr>
          <w:rFonts w:ascii="微软雅黑" w:hAnsi="微软雅黑"/>
          <w:color w:val="auto"/>
          <w:szCs w:val="21"/>
          <w:highlight w:val="none"/>
        </w:rPr>
      </w:pPr>
      <w:r>
        <w:rPr>
          <w:rFonts w:hint="eastAsia" w:ascii="微软雅黑" w:hAnsi="微软雅黑"/>
          <w:color w:val="auto"/>
          <w:szCs w:val="21"/>
          <w:highlight w:val="none"/>
        </w:rPr>
        <w:t>合同履约期限：</w:t>
      </w:r>
      <w:r>
        <w:rPr>
          <w:rFonts w:hint="eastAsia" w:ascii="宋体" w:hAnsi="宋体"/>
          <w:color w:val="auto"/>
          <w:szCs w:val="21"/>
          <w:highlight w:val="none"/>
        </w:rPr>
        <w:t>合同签订之日起至质保期结束</w:t>
      </w:r>
      <w:r>
        <w:rPr>
          <w:rFonts w:hint="eastAsia"/>
          <w:color w:val="auto"/>
          <w:szCs w:val="21"/>
          <w:highlight w:val="none"/>
        </w:rPr>
        <w:t>。</w:t>
      </w:r>
    </w:p>
    <w:p w14:paraId="31749988">
      <w:pPr>
        <w:spacing w:line="540" w:lineRule="exact"/>
        <w:ind w:firstLine="424" w:firstLineChars="202"/>
        <w:rPr>
          <w:rFonts w:ascii="微软雅黑" w:hAnsi="微软雅黑" w:cs="宋体"/>
          <w:color w:val="auto"/>
          <w:szCs w:val="21"/>
          <w:highlight w:val="none"/>
        </w:rPr>
      </w:pPr>
      <w:r>
        <w:rPr>
          <w:rFonts w:hint="eastAsia" w:ascii="微软雅黑" w:hAnsi="微软雅黑" w:cs="宋体"/>
          <w:color w:val="auto"/>
          <w:szCs w:val="21"/>
          <w:highlight w:val="none"/>
        </w:rPr>
        <w:t>本项目接受联合体投标：</w:t>
      </w: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 xml:space="preserve"> 是，</w:t>
      </w:r>
      <w:r>
        <w:rPr>
          <w:rFonts w:hint="eastAsia" w:ascii="微软雅黑" w:hAnsi="微软雅黑" w:cs="宋体"/>
          <w:color w:val="auto"/>
          <w:szCs w:val="21"/>
          <w:highlight w:val="none"/>
        </w:rPr>
        <w:sym w:font="Wingdings" w:char="00FE"/>
      </w:r>
      <w:r>
        <w:rPr>
          <w:rFonts w:hint="eastAsia" w:ascii="微软雅黑" w:hAnsi="微软雅黑" w:cs="宋体"/>
          <w:color w:val="auto"/>
          <w:szCs w:val="21"/>
          <w:highlight w:val="none"/>
        </w:rPr>
        <w:t>否。</w:t>
      </w:r>
    </w:p>
    <w:p w14:paraId="6132BC3D">
      <w:pPr>
        <w:widowControl/>
        <w:spacing w:before="75" w:after="75" w:line="360" w:lineRule="atLeast"/>
        <w:ind w:firstLine="0" w:firstLineChars="0"/>
        <w:outlineLvl w:val="1"/>
        <w:rPr>
          <w:rFonts w:ascii="微软雅黑" w:hAnsi="微软雅黑" w:cs="Arial"/>
          <w:color w:val="auto"/>
          <w:kern w:val="0"/>
          <w:szCs w:val="21"/>
          <w:highlight w:val="none"/>
        </w:rPr>
      </w:pPr>
      <w:bookmarkStart w:id="14" w:name="_Toc32337"/>
      <w:r>
        <w:rPr>
          <w:rFonts w:hint="eastAsia" w:ascii="微软雅黑" w:hAnsi="微软雅黑" w:cs="Arial"/>
          <w:b/>
          <w:bCs/>
          <w:color w:val="auto"/>
          <w:kern w:val="0"/>
          <w:szCs w:val="21"/>
          <w:highlight w:val="none"/>
        </w:rPr>
        <w:t>二、申请人的资格要求：</w:t>
      </w:r>
      <w:bookmarkEnd w:id="14"/>
    </w:p>
    <w:p w14:paraId="726C5516">
      <w:pPr>
        <w:ind w:firstLine="420"/>
        <w:rPr>
          <w:rFonts w:ascii="微软雅黑" w:hAnsi="微软雅黑"/>
          <w:color w:val="auto"/>
          <w:szCs w:val="21"/>
          <w:highlight w:val="none"/>
        </w:rPr>
      </w:pPr>
      <w:r>
        <w:rPr>
          <w:rFonts w:hint="eastAsia" w:ascii="微软雅黑" w:hAnsi="微软雅黑"/>
          <w:color w:val="auto"/>
          <w:szCs w:val="21"/>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41092088">
      <w:pPr>
        <w:ind w:firstLine="420"/>
        <w:rPr>
          <w:rFonts w:ascii="微软雅黑" w:hAnsi="微软雅黑"/>
          <w:color w:val="auto"/>
          <w:szCs w:val="21"/>
          <w:highlight w:val="none"/>
        </w:rPr>
      </w:pPr>
      <w:r>
        <w:rPr>
          <w:rFonts w:hint="eastAsia" w:ascii="微软雅黑" w:hAnsi="微软雅黑"/>
          <w:color w:val="auto"/>
          <w:szCs w:val="21"/>
          <w:highlight w:val="none"/>
        </w:rPr>
        <w:t>2.落实政府采购支持中小企业政策需满足的资格要求：</w:t>
      </w:r>
    </w:p>
    <w:p w14:paraId="1631DED8">
      <w:pPr>
        <w:ind w:firstLine="420"/>
        <w:rPr>
          <w:rFonts w:ascii="微软雅黑" w:hAnsi="微软雅黑"/>
          <w:color w:val="auto"/>
          <w:szCs w:val="21"/>
          <w:highlight w:val="none"/>
        </w:rPr>
      </w:pPr>
      <w:r>
        <w:rPr>
          <w:rFonts w:hint="eastAsia" w:ascii="微软雅黑" w:hAnsi="微软雅黑"/>
          <w:color w:val="auto"/>
          <w:szCs w:val="21"/>
          <w:highlight w:val="none"/>
        </w:rPr>
        <w:t xml:space="preserve">2.1 </w:t>
      </w:r>
      <w:r>
        <w:rPr>
          <w:rFonts w:hint="eastAsia" w:ascii="微软雅黑" w:hAnsi="微软雅黑"/>
          <w:color w:val="auto"/>
          <w:szCs w:val="21"/>
          <w:highlight w:val="none"/>
        </w:rPr>
        <w:sym w:font="Wingdings" w:char="00A8"/>
      </w:r>
      <w:r>
        <w:rPr>
          <w:rFonts w:hint="eastAsia" w:ascii="微软雅黑" w:hAnsi="微软雅黑"/>
          <w:color w:val="auto"/>
          <w:szCs w:val="21"/>
          <w:highlight w:val="none"/>
        </w:rPr>
        <w:t>无需落实；</w:t>
      </w:r>
    </w:p>
    <w:p w14:paraId="123ECB5B">
      <w:pPr>
        <w:ind w:firstLine="420"/>
        <w:rPr>
          <w:rFonts w:ascii="微软雅黑" w:hAnsi="微软雅黑" w:cs="Arial"/>
          <w:color w:val="auto"/>
          <w:kern w:val="0"/>
          <w:szCs w:val="21"/>
          <w:highlight w:val="none"/>
        </w:rPr>
      </w:pPr>
      <w:r>
        <w:rPr>
          <w:rFonts w:hint="eastAsia" w:ascii="微软雅黑" w:hAnsi="微软雅黑"/>
          <w:color w:val="auto"/>
          <w:szCs w:val="21"/>
          <w:highlight w:val="none"/>
        </w:rPr>
        <w:t>2.2</w:t>
      </w:r>
      <w:r>
        <w:rPr>
          <w:rFonts w:ascii="微软雅黑" w:hAnsi="微软雅黑" w:cs="Arial"/>
          <w:color w:val="auto"/>
          <w:kern w:val="0"/>
          <w:szCs w:val="21"/>
          <w:highlight w:val="none"/>
        </w:rPr>
        <w:sym w:font="Wingdings" w:char="00FE"/>
      </w:r>
      <w:r>
        <w:rPr>
          <w:rFonts w:ascii="微软雅黑" w:hAnsi="微软雅黑" w:cs="Arial"/>
          <w:color w:val="auto"/>
          <w:kern w:val="0"/>
          <w:szCs w:val="21"/>
          <w:highlight w:val="none"/>
        </w:rPr>
        <w:t xml:space="preserve"> </w:t>
      </w:r>
      <w:r>
        <w:rPr>
          <w:rFonts w:hint="eastAsia" w:ascii="微软雅黑" w:hAnsi="微软雅黑" w:cs="宋体"/>
          <w:color w:val="auto"/>
          <w:szCs w:val="21"/>
          <w:highlight w:val="none"/>
        </w:rPr>
        <w:t>需要落实：</w:t>
      </w:r>
    </w:p>
    <w:p w14:paraId="0E0C0F18">
      <w:pPr>
        <w:ind w:firstLine="630" w:firstLineChars="300"/>
        <w:rPr>
          <w:rFonts w:ascii="微软雅黑" w:hAnsi="微软雅黑"/>
          <w:color w:val="auto"/>
          <w:szCs w:val="21"/>
          <w:highlight w:val="none"/>
        </w:rPr>
      </w:pPr>
      <w:r>
        <w:rPr>
          <w:rFonts w:hint="eastAsia" w:ascii="微软雅黑" w:hAnsi="微软雅黑"/>
          <w:color w:val="auto"/>
          <w:szCs w:val="21"/>
          <w:highlight w:val="none"/>
        </w:rPr>
        <w:t>2.2.1专门面向中小企业</w:t>
      </w:r>
    </w:p>
    <w:p w14:paraId="7FABC58F">
      <w:pPr>
        <w:ind w:firstLine="840" w:firstLineChars="400"/>
        <w:rPr>
          <w:rFonts w:ascii="微软雅黑" w:hAnsi="微软雅黑"/>
          <w:color w:val="auto"/>
          <w:szCs w:val="21"/>
          <w:highlight w:val="none"/>
        </w:rPr>
      </w:pPr>
      <w:r>
        <w:rPr>
          <w:rFonts w:ascii="微软雅黑" w:hAnsi="微软雅黑" w:cs="Arial"/>
          <w:color w:val="auto"/>
          <w:kern w:val="0"/>
          <w:szCs w:val="21"/>
          <w:highlight w:val="none"/>
        </w:rPr>
        <w:sym w:font="Wingdings" w:char="00FE"/>
      </w:r>
      <w:r>
        <w:rPr>
          <w:rFonts w:ascii="微软雅黑" w:hAnsi="微软雅黑" w:cs="Arial"/>
          <w:color w:val="auto"/>
          <w:kern w:val="0"/>
          <w:szCs w:val="21"/>
          <w:highlight w:val="none"/>
        </w:rPr>
        <w:t xml:space="preserve"> </w:t>
      </w:r>
      <w:r>
        <w:rPr>
          <w:rFonts w:hint="eastAsia" w:ascii="微软雅黑" w:hAnsi="微软雅黑"/>
          <w:color w:val="auto"/>
          <w:szCs w:val="21"/>
          <w:highlight w:val="none"/>
        </w:rPr>
        <w:t>货物全部由符合政策要求的中小企业制造，提供中小企业声明函；</w:t>
      </w:r>
    </w:p>
    <w:p w14:paraId="7BC707D7">
      <w:pPr>
        <w:ind w:firstLine="840" w:firstLineChars="400"/>
        <w:rPr>
          <w:rFonts w:ascii="微软雅黑" w:hAnsi="微软雅黑"/>
          <w:color w:val="auto"/>
          <w:szCs w:val="21"/>
          <w:highlight w:val="none"/>
        </w:rPr>
      </w:pPr>
      <w:r>
        <w:rPr>
          <w:rFonts w:ascii="微软雅黑" w:hAnsi="微软雅黑" w:cs="Arial"/>
          <w:color w:val="auto"/>
          <w:kern w:val="0"/>
          <w:szCs w:val="21"/>
          <w:highlight w:val="none"/>
        </w:rPr>
        <w:sym w:font="Wingdings" w:char="00A8"/>
      </w:r>
      <w:r>
        <w:rPr>
          <w:rFonts w:ascii="微软雅黑" w:hAnsi="微软雅黑" w:cs="Arial"/>
          <w:color w:val="auto"/>
          <w:kern w:val="0"/>
          <w:szCs w:val="21"/>
          <w:highlight w:val="none"/>
        </w:rPr>
        <w:t xml:space="preserve"> </w:t>
      </w:r>
      <w:r>
        <w:rPr>
          <w:rFonts w:hint="eastAsia" w:ascii="微软雅黑" w:hAnsi="微软雅黑"/>
          <w:color w:val="auto"/>
          <w:szCs w:val="21"/>
          <w:highlight w:val="none"/>
        </w:rPr>
        <w:t>货物全部由符合政策要求的小微企业制造，提供中小企业声明函；</w:t>
      </w:r>
    </w:p>
    <w:p w14:paraId="1D84BDEA">
      <w:pPr>
        <w:ind w:firstLine="840" w:firstLineChars="400"/>
        <w:rPr>
          <w:rFonts w:ascii="微软雅黑" w:hAnsi="微软雅黑"/>
          <w:color w:val="auto"/>
          <w:szCs w:val="21"/>
          <w:highlight w:val="none"/>
        </w:rPr>
      </w:pPr>
      <w:r>
        <w:rPr>
          <w:rFonts w:ascii="微软雅黑" w:hAnsi="微软雅黑" w:cs="Arial"/>
          <w:color w:val="auto"/>
          <w:kern w:val="0"/>
          <w:szCs w:val="21"/>
          <w:highlight w:val="none"/>
        </w:rPr>
        <w:sym w:font="Wingdings" w:char="00A8"/>
      </w:r>
      <w:r>
        <w:rPr>
          <w:rFonts w:ascii="微软雅黑" w:hAnsi="微软雅黑" w:cs="Arial"/>
          <w:color w:val="auto"/>
          <w:kern w:val="0"/>
          <w:szCs w:val="21"/>
          <w:highlight w:val="none"/>
        </w:rPr>
        <w:t xml:space="preserve"> </w:t>
      </w:r>
      <w:r>
        <w:rPr>
          <w:rFonts w:hint="eastAsia" w:ascii="微软雅黑" w:hAnsi="微软雅黑"/>
          <w:color w:val="auto"/>
          <w:szCs w:val="21"/>
          <w:highlight w:val="none"/>
        </w:rPr>
        <w:t>服务全部由符合政策要求的中小企业承接，提供中小企业声明函；</w:t>
      </w:r>
    </w:p>
    <w:p w14:paraId="087688C3">
      <w:pPr>
        <w:ind w:firstLine="420"/>
        <w:rPr>
          <w:rFonts w:ascii="微软雅黑" w:hAnsi="微软雅黑"/>
          <w:color w:val="auto"/>
          <w:szCs w:val="21"/>
          <w:highlight w:val="none"/>
        </w:rPr>
      </w:pPr>
      <w:r>
        <w:rPr>
          <w:rFonts w:hint="eastAsia" w:ascii="微软雅黑" w:hAnsi="微软雅黑" w:cs="Arial"/>
          <w:color w:val="auto"/>
          <w:kern w:val="0"/>
          <w:szCs w:val="21"/>
          <w:highlight w:val="none"/>
        </w:rPr>
        <w:tab/>
      </w:r>
      <w:r>
        <w:rPr>
          <w:rFonts w:hint="eastAsia" w:ascii="微软雅黑" w:hAnsi="微软雅黑" w:cs="Arial"/>
          <w:color w:val="auto"/>
          <w:kern w:val="0"/>
          <w:szCs w:val="21"/>
          <w:highlight w:val="none"/>
        </w:rPr>
        <w:t xml:space="preserve">  </w:t>
      </w:r>
      <w:r>
        <w:rPr>
          <w:rFonts w:ascii="微软雅黑" w:hAnsi="微软雅黑" w:cs="Arial"/>
          <w:color w:val="auto"/>
          <w:kern w:val="0"/>
          <w:szCs w:val="21"/>
          <w:highlight w:val="none"/>
        </w:rPr>
        <w:sym w:font="Wingdings" w:char="00A8"/>
      </w:r>
      <w:r>
        <w:rPr>
          <w:rFonts w:ascii="微软雅黑" w:hAnsi="微软雅黑" w:cs="Arial"/>
          <w:color w:val="auto"/>
          <w:kern w:val="0"/>
          <w:szCs w:val="21"/>
          <w:highlight w:val="none"/>
        </w:rPr>
        <w:t xml:space="preserve"> </w:t>
      </w:r>
      <w:r>
        <w:rPr>
          <w:rFonts w:hint="eastAsia" w:ascii="微软雅黑" w:hAnsi="微软雅黑"/>
          <w:color w:val="auto"/>
          <w:szCs w:val="21"/>
          <w:highlight w:val="none"/>
        </w:rPr>
        <w:t>服务全部由符合政策要求的小微企业承接，提供中小企业声明函；</w:t>
      </w:r>
    </w:p>
    <w:p w14:paraId="466950A5">
      <w:pPr>
        <w:ind w:firstLine="630" w:firstLineChars="300"/>
        <w:rPr>
          <w:rFonts w:ascii="微软雅黑" w:hAnsi="微软雅黑"/>
          <w:color w:val="auto"/>
          <w:szCs w:val="21"/>
          <w:highlight w:val="none"/>
        </w:rPr>
      </w:pPr>
      <w:r>
        <w:rPr>
          <w:rFonts w:hint="eastAsia" w:ascii="微软雅黑" w:hAnsi="微软雅黑" w:cs="宋体"/>
          <w:color w:val="auto"/>
          <w:szCs w:val="21"/>
          <w:highlight w:val="none"/>
        </w:rPr>
        <w:t>2.2.2</w:t>
      </w:r>
      <w:r>
        <w:rPr>
          <w:rFonts w:ascii="微软雅黑" w:hAnsi="微软雅黑" w:cs="Arial"/>
          <w:color w:val="auto"/>
          <w:kern w:val="0"/>
          <w:szCs w:val="21"/>
          <w:highlight w:val="none"/>
        </w:rPr>
        <w:sym w:font="Wingdings" w:char="00A8"/>
      </w:r>
      <w:r>
        <w:rPr>
          <w:rFonts w:ascii="微软雅黑" w:hAnsi="微软雅黑" w:cs="Arial"/>
          <w:color w:val="auto"/>
          <w:kern w:val="0"/>
          <w:szCs w:val="21"/>
          <w:highlight w:val="none"/>
        </w:rPr>
        <w:t xml:space="preserve"> </w:t>
      </w:r>
      <w:r>
        <w:rPr>
          <w:rFonts w:hint="eastAsia" w:ascii="微软雅黑" w:hAnsi="微软雅黑"/>
          <w:color w:val="auto"/>
          <w:szCs w:val="21"/>
          <w:highlight w:val="none"/>
        </w:rPr>
        <w:t>要求以联合体形式参加，提供联合协议和中小企业声明函，联合协议中中小企业合同金额应当达到</w:t>
      </w:r>
      <w:r>
        <w:rPr>
          <w:rFonts w:hint="eastAsia" w:ascii="微软雅黑" w:hAnsi="微软雅黑"/>
          <w:color w:val="auto"/>
          <w:szCs w:val="21"/>
          <w:highlight w:val="none"/>
          <w:u w:val="single"/>
        </w:rPr>
        <w:t xml:space="preserve">   </w:t>
      </w:r>
      <w:r>
        <w:rPr>
          <w:rFonts w:hint="eastAsia" w:ascii="微软雅黑" w:hAnsi="微软雅黑"/>
          <w:color w:val="auto"/>
          <w:szCs w:val="21"/>
          <w:highlight w:val="none"/>
        </w:rPr>
        <w:t>%（不得低于40%），其中小微企业合同金额应当达到</w:t>
      </w:r>
      <w:r>
        <w:rPr>
          <w:rFonts w:hint="eastAsia" w:ascii="微软雅黑" w:hAnsi="微软雅黑"/>
          <w:color w:val="auto"/>
          <w:szCs w:val="21"/>
          <w:highlight w:val="none"/>
          <w:u w:val="single"/>
        </w:rPr>
        <w:t xml:space="preserve">   </w:t>
      </w:r>
      <w:r>
        <w:rPr>
          <w:rFonts w:hint="eastAsia" w:ascii="微软雅黑" w:hAnsi="微软雅黑"/>
          <w:color w:val="auto"/>
          <w:szCs w:val="21"/>
          <w:highlight w:val="none"/>
        </w:rPr>
        <w:t>%（不得低于70%）;如果供应商本身提供所有标的均由中小企业制造、承建或承接，视同符合了资格条件，无需再与其他中小企业组成联合体参加政府采购活动，无需提供联合协议；</w:t>
      </w:r>
    </w:p>
    <w:p w14:paraId="51479F6F">
      <w:pPr>
        <w:ind w:firstLine="630" w:firstLineChars="300"/>
        <w:rPr>
          <w:rFonts w:ascii="微软雅黑" w:hAnsi="微软雅黑"/>
          <w:color w:val="auto"/>
          <w:szCs w:val="21"/>
          <w:highlight w:val="none"/>
        </w:rPr>
      </w:pPr>
      <w:r>
        <w:rPr>
          <w:rFonts w:hint="eastAsia" w:ascii="微软雅黑" w:hAnsi="微软雅黑"/>
          <w:color w:val="auto"/>
          <w:szCs w:val="21"/>
          <w:highlight w:val="none"/>
        </w:rPr>
        <w:t>2.2.3</w:t>
      </w:r>
      <w:r>
        <w:rPr>
          <w:rFonts w:hint="eastAsia" w:ascii="微软雅黑" w:hAnsi="微软雅黑"/>
          <w:color w:val="auto"/>
          <w:szCs w:val="21"/>
          <w:highlight w:val="none"/>
        </w:rPr>
        <w:sym w:font="Wingdings" w:char="00A8"/>
      </w:r>
      <w:r>
        <w:rPr>
          <w:rFonts w:hint="eastAsia" w:ascii="微软雅黑" w:hAnsi="微软雅黑"/>
          <w:color w:val="auto"/>
          <w:szCs w:val="21"/>
          <w:highlight w:val="none"/>
        </w:rPr>
        <w:t>要求合同分包，提供分包意向协议和中小企业声明函，分包意向协议中中小企业合同金额应当达到</w:t>
      </w:r>
      <w:r>
        <w:rPr>
          <w:rFonts w:hint="eastAsia" w:ascii="微软雅黑" w:hAnsi="微软雅黑"/>
          <w:color w:val="auto"/>
          <w:szCs w:val="21"/>
          <w:highlight w:val="none"/>
          <w:u w:val="single"/>
        </w:rPr>
        <w:t xml:space="preserve">   </w:t>
      </w:r>
      <w:r>
        <w:rPr>
          <w:rFonts w:hint="eastAsia" w:ascii="微软雅黑" w:hAnsi="微软雅黑"/>
          <w:color w:val="auto"/>
          <w:szCs w:val="21"/>
          <w:highlight w:val="none"/>
        </w:rPr>
        <w:t>% （不得低于40%），其中小微企业合同金额应当达到</w:t>
      </w:r>
      <w:r>
        <w:rPr>
          <w:rFonts w:hint="eastAsia" w:ascii="微软雅黑" w:hAnsi="微软雅黑"/>
          <w:color w:val="auto"/>
          <w:szCs w:val="21"/>
          <w:highlight w:val="none"/>
          <w:u w:val="single"/>
        </w:rPr>
        <w:t xml:space="preserve">   </w:t>
      </w:r>
      <w:r>
        <w:rPr>
          <w:rFonts w:hint="eastAsia" w:ascii="微软雅黑" w:hAnsi="微软雅黑"/>
          <w:color w:val="auto"/>
          <w:szCs w:val="21"/>
          <w:highlight w:val="none"/>
        </w:rPr>
        <w:t>% （不得低于70%）;如果供应商本身提供所有标的均由中小企业制造、承建或承接，视同符合了资格条件，无需再向中小企业分包，无需提供分包意向协议；</w:t>
      </w:r>
    </w:p>
    <w:p w14:paraId="43BC48D4">
      <w:pPr>
        <w:ind w:firstLine="420"/>
        <w:rPr>
          <w:rFonts w:ascii="微软雅黑" w:hAnsi="微软雅黑"/>
          <w:color w:val="auto"/>
          <w:szCs w:val="21"/>
          <w:highlight w:val="none"/>
        </w:rPr>
      </w:pPr>
      <w:r>
        <w:rPr>
          <w:rFonts w:hint="eastAsia" w:ascii="微软雅黑" w:hAnsi="微软雅黑"/>
          <w:color w:val="auto"/>
          <w:szCs w:val="21"/>
          <w:highlight w:val="none"/>
        </w:rPr>
        <w:t>3.本项目的特定资格要求：</w:t>
      </w:r>
      <w:r>
        <w:rPr>
          <w:rFonts w:hint="eastAsia" w:ascii="微软雅黑" w:hAnsi="微软雅黑"/>
          <w:color w:val="auto"/>
          <w:szCs w:val="21"/>
          <w:highlight w:val="none"/>
          <w:u w:val="single"/>
        </w:rPr>
        <w:t xml:space="preserve"> 无 </w:t>
      </w:r>
      <w:r>
        <w:rPr>
          <w:rFonts w:hint="eastAsia" w:ascii="微软雅黑" w:hAnsi="微软雅黑"/>
          <w:color w:val="auto"/>
          <w:szCs w:val="21"/>
          <w:highlight w:val="none"/>
        </w:rPr>
        <w:t>；</w:t>
      </w:r>
    </w:p>
    <w:p w14:paraId="2942CF40">
      <w:pPr>
        <w:ind w:firstLine="420"/>
        <w:rPr>
          <w:rFonts w:ascii="微软雅黑" w:hAnsi="微软雅黑"/>
          <w:color w:val="auto"/>
          <w:szCs w:val="21"/>
          <w:highlight w:val="none"/>
        </w:rPr>
      </w:pPr>
      <w:r>
        <w:rPr>
          <w:rFonts w:hint="eastAsia" w:ascii="微软雅黑" w:hAnsi="微软雅黑"/>
          <w:color w:val="auto"/>
          <w:szCs w:val="21"/>
          <w:highlight w:val="none"/>
        </w:rPr>
        <w:t>4.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031582C0">
      <w:pPr>
        <w:widowControl/>
        <w:spacing w:before="255" w:after="255" w:line="300" w:lineRule="atLeast"/>
        <w:ind w:firstLine="0" w:firstLineChars="0"/>
        <w:jc w:val="both"/>
        <w:outlineLvl w:val="1"/>
        <w:rPr>
          <w:rFonts w:ascii="微软雅黑" w:hAnsi="微软雅黑" w:cs="Arial"/>
          <w:color w:val="auto"/>
          <w:kern w:val="0"/>
          <w:szCs w:val="21"/>
          <w:highlight w:val="none"/>
        </w:rPr>
      </w:pPr>
      <w:bookmarkStart w:id="15" w:name="_Toc14749"/>
      <w:r>
        <w:rPr>
          <w:rFonts w:hint="eastAsia" w:ascii="微软雅黑" w:hAnsi="微软雅黑" w:cs="Arial"/>
          <w:b/>
          <w:bCs/>
          <w:color w:val="auto"/>
          <w:kern w:val="0"/>
          <w:szCs w:val="21"/>
          <w:highlight w:val="none"/>
        </w:rPr>
        <w:t>三、获取招标文件</w:t>
      </w:r>
      <w:r>
        <w:rPr>
          <w:rFonts w:ascii="微软雅黑" w:hAnsi="微软雅黑" w:cs="Calibri"/>
          <w:color w:val="auto"/>
          <w:kern w:val="0"/>
          <w:szCs w:val="21"/>
          <w:highlight w:val="none"/>
        </w:rPr>
        <w:t> </w:t>
      </w:r>
      <w:bookmarkEnd w:id="15"/>
    </w:p>
    <w:p w14:paraId="6B45B193">
      <w:pPr>
        <w:spacing w:line="240" w:lineRule="auto"/>
        <w:ind w:firstLine="420"/>
        <w:rPr>
          <w:rFonts w:ascii="微软雅黑" w:hAnsi="微软雅黑"/>
          <w:color w:val="auto"/>
          <w:szCs w:val="21"/>
          <w:highlight w:val="none"/>
        </w:rPr>
      </w:pPr>
      <w:r>
        <w:rPr>
          <w:rFonts w:hint="eastAsia" w:ascii="微软雅黑" w:hAnsi="微软雅黑"/>
          <w:color w:val="auto"/>
          <w:szCs w:val="21"/>
          <w:highlight w:val="none"/>
        </w:rPr>
        <w:t xml:space="preserve"> 时间： 2025年   月   日至 2025年   月   日   ：   </w:t>
      </w:r>
    </w:p>
    <w:p w14:paraId="6BBA4C96">
      <w:pPr>
        <w:spacing w:line="240" w:lineRule="auto"/>
        <w:ind w:firstLine="420"/>
        <w:rPr>
          <w:rFonts w:ascii="微软雅黑" w:hAnsi="微软雅黑"/>
          <w:color w:val="auto"/>
          <w:szCs w:val="21"/>
          <w:highlight w:val="none"/>
        </w:rPr>
      </w:pPr>
      <w:r>
        <w:rPr>
          <w:rFonts w:hint="eastAsia" w:ascii="微软雅黑" w:hAnsi="微软雅黑"/>
          <w:color w:val="auto"/>
          <w:szCs w:val="21"/>
          <w:highlight w:val="none"/>
        </w:rPr>
        <w:t xml:space="preserve">地点（网址）：政采云平台（https://www.zcygov.cn/） </w:t>
      </w:r>
    </w:p>
    <w:p w14:paraId="651914E5">
      <w:pPr>
        <w:spacing w:line="240" w:lineRule="auto"/>
        <w:ind w:firstLine="420"/>
        <w:rPr>
          <w:rFonts w:ascii="微软雅黑" w:hAnsi="微软雅黑"/>
          <w:color w:val="auto"/>
          <w:szCs w:val="21"/>
          <w:highlight w:val="none"/>
        </w:rPr>
      </w:pPr>
      <w:r>
        <w:rPr>
          <w:rFonts w:hint="eastAsia" w:ascii="微软雅黑" w:hAnsi="微软雅黑"/>
          <w:color w:val="auto"/>
          <w:szCs w:val="21"/>
          <w:highlight w:val="none"/>
        </w:rPr>
        <w:t>方式：供应商登录政采云平台https://www.zcygov.cn/在线申请获取招标文件（进入“项目采购”应用，在获取招标文件菜单中选择项目，申请获取招标文件）。</w:t>
      </w:r>
    </w:p>
    <w:p w14:paraId="0E437F85">
      <w:pPr>
        <w:spacing w:line="240" w:lineRule="auto"/>
        <w:ind w:firstLine="420"/>
        <w:rPr>
          <w:rFonts w:ascii="微软雅黑" w:hAnsi="微软雅黑"/>
          <w:color w:val="auto"/>
          <w:szCs w:val="21"/>
          <w:highlight w:val="none"/>
        </w:rPr>
      </w:pPr>
      <w:r>
        <w:rPr>
          <w:rFonts w:hint="eastAsia" w:ascii="微软雅黑" w:hAnsi="微软雅黑"/>
          <w:color w:val="auto"/>
          <w:szCs w:val="21"/>
          <w:highlight w:val="none"/>
        </w:rPr>
        <w:t>售价：免费。</w:t>
      </w:r>
    </w:p>
    <w:p w14:paraId="4E7FBB20">
      <w:pPr>
        <w:widowControl/>
        <w:spacing w:before="75" w:after="75" w:line="300" w:lineRule="atLeast"/>
        <w:ind w:firstLine="0" w:firstLineChars="0"/>
        <w:outlineLvl w:val="1"/>
        <w:rPr>
          <w:rFonts w:ascii="微软雅黑" w:hAnsi="微软雅黑" w:cs="Arial"/>
          <w:color w:val="auto"/>
          <w:kern w:val="0"/>
          <w:szCs w:val="21"/>
          <w:highlight w:val="none"/>
        </w:rPr>
      </w:pPr>
      <w:bookmarkStart w:id="16" w:name="_Toc22530"/>
      <w:r>
        <w:rPr>
          <w:rFonts w:hint="eastAsia" w:ascii="微软雅黑" w:hAnsi="微软雅黑" w:cs="Arial"/>
          <w:b/>
          <w:bCs/>
          <w:color w:val="auto"/>
          <w:kern w:val="0"/>
          <w:szCs w:val="21"/>
          <w:highlight w:val="none"/>
        </w:rPr>
        <w:t>四、提交投标文件截止时间、开标时间和地点</w:t>
      </w:r>
      <w:bookmarkEnd w:id="16"/>
    </w:p>
    <w:p w14:paraId="153AA21B">
      <w:pPr>
        <w:spacing w:line="240" w:lineRule="auto"/>
        <w:ind w:firstLine="420"/>
        <w:rPr>
          <w:rFonts w:ascii="微软雅黑" w:hAnsi="微软雅黑"/>
          <w:color w:val="auto"/>
          <w:highlight w:val="none"/>
        </w:rPr>
      </w:pPr>
      <w:r>
        <w:rPr>
          <w:rFonts w:hint="eastAsia" w:ascii="微软雅黑" w:hAnsi="微软雅黑" w:cs="Arial"/>
          <w:color w:val="auto"/>
          <w:szCs w:val="21"/>
          <w:highlight w:val="none"/>
        </w:rPr>
        <w:t xml:space="preserve">2025年   月   日   ：   </w:t>
      </w:r>
      <w:r>
        <w:rPr>
          <w:rFonts w:hint="eastAsia" w:ascii="微软雅黑" w:hAnsi="微软雅黑"/>
          <w:color w:val="auto"/>
          <w:highlight w:val="none"/>
        </w:rPr>
        <w:t>（北京时间）</w:t>
      </w:r>
    </w:p>
    <w:p w14:paraId="0569935E">
      <w:pPr>
        <w:spacing w:line="240" w:lineRule="auto"/>
        <w:ind w:firstLine="420"/>
        <w:rPr>
          <w:rFonts w:ascii="微软雅黑" w:hAnsi="微软雅黑" w:cs="Arial"/>
          <w:color w:val="auto"/>
          <w:kern w:val="0"/>
          <w:szCs w:val="21"/>
          <w:highlight w:val="none"/>
        </w:rPr>
      </w:pPr>
      <w:r>
        <w:rPr>
          <w:rFonts w:hint="eastAsia" w:ascii="微软雅黑" w:hAnsi="微软雅黑"/>
          <w:color w:val="auto"/>
          <w:highlight w:val="none"/>
        </w:rPr>
        <w:t>地点（网址）：政采云平台（https://www.zcygov.cn/）</w:t>
      </w:r>
      <w:r>
        <w:rPr>
          <w:rFonts w:ascii="微软雅黑" w:hAnsi="微软雅黑" w:cs="Calibri"/>
          <w:color w:val="auto"/>
          <w:kern w:val="0"/>
          <w:szCs w:val="21"/>
          <w:highlight w:val="none"/>
        </w:rPr>
        <w:t>  </w:t>
      </w:r>
    </w:p>
    <w:p w14:paraId="3E474169">
      <w:pPr>
        <w:widowControl/>
        <w:spacing w:before="255" w:after="255" w:line="300" w:lineRule="atLeast"/>
        <w:ind w:firstLine="0" w:firstLineChars="0"/>
        <w:jc w:val="both"/>
        <w:outlineLvl w:val="1"/>
        <w:rPr>
          <w:rFonts w:ascii="微软雅黑" w:hAnsi="微软雅黑" w:cs="Arial"/>
          <w:color w:val="auto"/>
          <w:kern w:val="0"/>
          <w:szCs w:val="21"/>
          <w:highlight w:val="none"/>
        </w:rPr>
      </w:pPr>
      <w:bookmarkStart w:id="17" w:name="_Toc26663"/>
      <w:r>
        <w:rPr>
          <w:rFonts w:hint="eastAsia" w:ascii="微软雅黑" w:hAnsi="微软雅黑" w:cs="Arial"/>
          <w:b/>
          <w:bCs/>
          <w:color w:val="auto"/>
          <w:kern w:val="0"/>
          <w:szCs w:val="21"/>
          <w:highlight w:val="none"/>
        </w:rPr>
        <w:t>五、公告期限</w:t>
      </w:r>
      <w:r>
        <w:rPr>
          <w:rFonts w:ascii="微软雅黑" w:hAnsi="微软雅黑" w:cs="Calibri"/>
          <w:color w:val="auto"/>
          <w:kern w:val="0"/>
          <w:szCs w:val="21"/>
          <w:highlight w:val="none"/>
        </w:rPr>
        <w:t> </w:t>
      </w:r>
      <w:bookmarkEnd w:id="17"/>
    </w:p>
    <w:p w14:paraId="4EA51ED4">
      <w:pPr>
        <w:widowControl/>
        <w:spacing w:before="75" w:after="75" w:line="240" w:lineRule="auto"/>
        <w:ind w:firstLine="0" w:firstLineChars="0"/>
        <w:rPr>
          <w:rFonts w:ascii="微软雅黑" w:hAnsi="微软雅黑" w:cs="Arial"/>
          <w:color w:val="auto"/>
          <w:kern w:val="0"/>
          <w:szCs w:val="21"/>
          <w:highlight w:val="none"/>
        </w:rPr>
      </w:pP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自本公告发布之日起5个工作日。</w:t>
      </w:r>
    </w:p>
    <w:p w14:paraId="2F9C8202">
      <w:pPr>
        <w:widowControl/>
        <w:spacing w:before="255" w:after="255" w:line="300" w:lineRule="atLeast"/>
        <w:ind w:firstLine="0" w:firstLineChars="0"/>
        <w:jc w:val="both"/>
        <w:outlineLvl w:val="1"/>
        <w:rPr>
          <w:rFonts w:ascii="微软雅黑" w:hAnsi="微软雅黑" w:cs="Arial"/>
          <w:b/>
          <w:bCs/>
          <w:color w:val="auto"/>
          <w:kern w:val="0"/>
          <w:szCs w:val="21"/>
          <w:highlight w:val="none"/>
        </w:rPr>
      </w:pPr>
      <w:bookmarkStart w:id="18" w:name="_Toc8493"/>
      <w:r>
        <w:rPr>
          <w:rFonts w:hint="eastAsia" w:ascii="微软雅黑" w:hAnsi="微软雅黑" w:cs="Arial"/>
          <w:b/>
          <w:bCs/>
          <w:color w:val="auto"/>
          <w:kern w:val="0"/>
          <w:szCs w:val="21"/>
          <w:highlight w:val="none"/>
        </w:rPr>
        <w:t>六、其他补充事宜</w:t>
      </w:r>
      <w:bookmarkEnd w:id="18"/>
    </w:p>
    <w:p w14:paraId="22345C26">
      <w:pPr>
        <w:spacing w:line="288" w:lineRule="auto"/>
        <w:ind w:firstLine="420"/>
        <w:rPr>
          <w:rFonts w:ascii="微软雅黑" w:hAnsi="微软雅黑"/>
          <w:color w:val="auto"/>
          <w:highlight w:val="none"/>
        </w:rPr>
      </w:pPr>
      <w:r>
        <w:rPr>
          <w:rFonts w:hint="eastAsia" w:ascii="微软雅黑" w:hAnsi="微软雅黑" w:cs="宋体"/>
          <w:color w:val="auto"/>
          <w:highlight w:val="none"/>
        </w:rPr>
        <w:t>1.</w:t>
      </w:r>
      <w:r>
        <w:rPr>
          <w:rFonts w:hint="eastAsia" w:ascii="微软雅黑" w:hAnsi="微软雅黑"/>
          <w:color w:val="auto"/>
          <w:highlight w:val="none"/>
        </w:rPr>
        <w:t>供应商认为招标文件、采购过程、中标或者成交结果使自己的权益受到损害的，可以在知道或者应知其权益受到损害之日起7个工作日内，</w:t>
      </w:r>
      <w:r>
        <w:rPr>
          <w:rFonts w:hint="eastAsia" w:ascii="微软雅黑" w:hAnsi="微软雅黑" w:cs="宋体"/>
          <w:color w:val="auto"/>
          <w:highlight w:val="none"/>
        </w:rPr>
        <w:t>以书面形式在政采云平台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4DBFD3FA">
      <w:pPr>
        <w:spacing w:line="288" w:lineRule="auto"/>
        <w:ind w:firstLine="420"/>
        <w:rPr>
          <w:rFonts w:ascii="微软雅黑" w:hAnsi="微软雅黑" w:cs="宋体"/>
          <w:color w:val="auto"/>
          <w:highlight w:val="none"/>
        </w:rPr>
      </w:pPr>
      <w:r>
        <w:rPr>
          <w:rFonts w:hint="eastAsia" w:ascii="微软雅黑" w:hAnsi="微软雅黑" w:cs="宋体"/>
          <w:color w:val="auto"/>
          <w:highlight w:val="none"/>
        </w:rPr>
        <w:t>2.其他事项：</w:t>
      </w:r>
    </w:p>
    <w:p w14:paraId="5334042C">
      <w:pPr>
        <w:spacing w:line="288" w:lineRule="auto"/>
        <w:ind w:firstLine="420"/>
        <w:rPr>
          <w:rFonts w:ascii="微软雅黑" w:hAnsi="微软雅黑" w:cs="宋体"/>
          <w:color w:val="auto"/>
          <w:highlight w:val="none"/>
        </w:rPr>
      </w:pPr>
      <w:r>
        <w:rPr>
          <w:rFonts w:hint="eastAsia" w:ascii="微软雅黑" w:hAnsi="微软雅黑" w:cs="宋体"/>
          <w:color w:val="auto"/>
          <w:highlight w:val="none"/>
        </w:rPr>
        <w:t>（1）需要落实的政府采购政策：包括节约资源、保护环境、支持创新、促进中小企业发展等。</w:t>
      </w:r>
    </w:p>
    <w:p w14:paraId="0D90EA79">
      <w:pPr>
        <w:spacing w:line="288" w:lineRule="auto"/>
        <w:ind w:firstLine="420"/>
        <w:rPr>
          <w:rFonts w:ascii="微软雅黑" w:hAnsi="微软雅黑" w:cs="宋体"/>
          <w:color w:val="auto"/>
          <w:highlight w:val="none"/>
        </w:rPr>
      </w:pPr>
      <w:r>
        <w:rPr>
          <w:rFonts w:hint="eastAsia" w:ascii="微软雅黑" w:hAnsi="微软雅黑" w:cs="宋体"/>
          <w:color w:val="auto"/>
          <w:highlight w:val="none"/>
        </w:rPr>
        <w:t>（2）电子招投标的说明：</w:t>
      </w:r>
    </w:p>
    <w:p w14:paraId="0B7FD94F">
      <w:pPr>
        <w:spacing w:line="288" w:lineRule="auto"/>
        <w:ind w:firstLine="420"/>
        <w:rPr>
          <w:rFonts w:ascii="微软雅黑" w:hAnsi="微软雅黑" w:cs="宋体"/>
          <w:color w:val="auto"/>
          <w:highlight w:val="none"/>
        </w:rPr>
      </w:pPr>
      <w:r>
        <w:rPr>
          <w:rFonts w:hint="eastAsia" w:ascii="微软雅黑" w:hAnsi="微软雅黑" w:cs="宋体"/>
          <w:color w:val="auto"/>
          <w:highlight w:val="none"/>
        </w:rPr>
        <w:t>①电子招投标：本项目以数据电文形式，依托“政府采购云平台（www.zcygov.cn）”进行招投标活动，不接受纸质投标文件；</w:t>
      </w:r>
    </w:p>
    <w:p w14:paraId="42C06BC3">
      <w:pPr>
        <w:spacing w:line="540" w:lineRule="exact"/>
        <w:ind w:firstLine="420"/>
        <w:rPr>
          <w:rFonts w:ascii="微软雅黑" w:hAnsi="微软雅黑" w:cs="宋体"/>
          <w:color w:val="auto"/>
          <w:highlight w:val="none"/>
        </w:rPr>
      </w:pPr>
      <w:r>
        <w:rPr>
          <w:rFonts w:hint="eastAsia" w:ascii="微软雅黑" w:hAnsi="微软雅黑" w:cs="宋体"/>
          <w:color w:val="auto"/>
          <w:highlight w:val="none"/>
        </w:rPr>
        <w:t>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r>
        <w:rPr>
          <w:rFonts w:hint="eastAsia" w:ascii="微软雅黑" w:hAnsi="微软雅黑" w:cs="宋体"/>
          <w:b/>
          <w:bCs/>
          <w:color w:val="auto"/>
          <w:highlight w:val="none"/>
        </w:rPr>
        <w:t>中标供应商在签订合同前，如不完成注册，视为放弃</w:t>
      </w:r>
      <w:r>
        <w:rPr>
          <w:rFonts w:hint="eastAsia" w:ascii="微软雅黑" w:hAnsi="微软雅黑" w:cs="宋体"/>
          <w:color w:val="auto"/>
          <w:highlight w:val="none"/>
        </w:rPr>
        <w:t>；</w:t>
      </w:r>
    </w:p>
    <w:p w14:paraId="6AF2FD4A">
      <w:pPr>
        <w:spacing w:line="540" w:lineRule="exact"/>
        <w:ind w:firstLine="420"/>
        <w:rPr>
          <w:rFonts w:ascii="微软雅黑" w:hAnsi="微软雅黑" w:cs="宋体"/>
          <w:color w:val="auto"/>
          <w:highlight w:val="none"/>
        </w:rPr>
      </w:pPr>
      <w:r>
        <w:rPr>
          <w:rFonts w:hint="eastAsia" w:ascii="微软雅黑" w:hAnsi="微软雅黑" w:cs="宋体"/>
          <w:color w:val="auto"/>
          <w:highlight w:val="none"/>
        </w:rPr>
        <w:t>CA驱动和申领流程</w:t>
      </w:r>
    </w:p>
    <w:p w14:paraId="06EBFDD7">
      <w:pPr>
        <w:spacing w:before="120" w:beforeLines="50" w:after="120" w:afterLines="50" w:line="276" w:lineRule="auto"/>
        <w:ind w:firstLine="420"/>
        <w:rPr>
          <w:rStyle w:val="61"/>
          <w:rFonts w:ascii="微软雅黑" w:hAnsi="微软雅黑"/>
          <w:color w:val="auto"/>
          <w:szCs w:val="22"/>
          <w:highlight w:val="none"/>
        </w:rPr>
      </w:pPr>
      <w:r>
        <w:rPr>
          <w:rStyle w:val="61"/>
          <w:rFonts w:hint="eastAsia" w:ascii="微软雅黑" w:hAnsi="微软雅黑"/>
          <w:color w:val="auto"/>
          <w:szCs w:val="22"/>
          <w:highlight w:val="none"/>
        </w:rPr>
        <w:t xml:space="preserve">https://zfcg.czt.zj.gov.cn/bidClientTemplate/2019-05-27/12945.html    </w:t>
      </w:r>
    </w:p>
    <w:p w14:paraId="2675E19F">
      <w:pPr>
        <w:spacing w:line="540" w:lineRule="exact"/>
        <w:ind w:firstLine="420"/>
        <w:rPr>
          <w:rFonts w:ascii="微软雅黑" w:hAnsi="微软雅黑" w:cs="宋体"/>
          <w:color w:val="auto"/>
          <w:highlight w:val="none"/>
        </w:rPr>
      </w:pPr>
      <w:r>
        <w:rPr>
          <w:rFonts w:hint="eastAsia" w:ascii="微软雅黑" w:hAnsi="微软雅黑" w:cs="宋体"/>
          <w:color w:val="auto"/>
          <w:highlight w:val="none"/>
        </w:rPr>
        <w:t>注：ＣＡ证书遗失补办、延期、解锁、质保等业务可以在联连客户端上进行操作；使用政采云投标客户端时，建议使用windows7以上且64位的操作系统。</w:t>
      </w:r>
    </w:p>
    <w:p w14:paraId="135D534D">
      <w:pPr>
        <w:spacing w:line="540" w:lineRule="exact"/>
        <w:ind w:firstLine="420"/>
        <w:rPr>
          <w:rFonts w:ascii="微软雅黑" w:hAnsi="微软雅黑" w:cs="宋体"/>
          <w:color w:val="auto"/>
          <w:highlight w:val="none"/>
        </w:rPr>
      </w:pPr>
      <w:r>
        <w:rPr>
          <w:rFonts w:hint="eastAsia" w:ascii="微软雅黑" w:hAnsi="微软雅黑" w:cs="宋体"/>
          <w:color w:val="auto"/>
          <w:highlight w:val="none"/>
        </w:rPr>
        <w:t>CA证书办理操作视频</w:t>
      </w:r>
    </w:p>
    <w:p w14:paraId="7E516FD6">
      <w:pPr>
        <w:spacing w:before="120" w:beforeLines="50" w:after="120" w:afterLines="50" w:line="276" w:lineRule="auto"/>
        <w:ind w:firstLine="420"/>
        <w:rPr>
          <w:rStyle w:val="61"/>
          <w:rFonts w:ascii="微软雅黑" w:hAnsi="微软雅黑"/>
          <w:color w:val="auto"/>
          <w:szCs w:val="22"/>
          <w:highlight w:val="none"/>
        </w:rPr>
      </w:pPr>
      <w:r>
        <w:rPr>
          <w:rStyle w:val="61"/>
          <w:rFonts w:hint="eastAsia" w:ascii="微软雅黑" w:hAnsi="微软雅黑"/>
          <w:color w:val="auto"/>
          <w:szCs w:val="22"/>
          <w:highlight w:val="none"/>
        </w:rPr>
        <w:t>https://service.zcygov.cn/#/knowledges/UgcbC3EBiyELHE-opz1b/EWqqyXEByNnJ3A2CPyDI</w:t>
      </w:r>
    </w:p>
    <w:p w14:paraId="153C4DCB">
      <w:pPr>
        <w:spacing w:line="540" w:lineRule="exact"/>
        <w:ind w:firstLine="420"/>
        <w:rPr>
          <w:rFonts w:ascii="微软雅黑" w:hAnsi="微软雅黑" w:cs="宋体"/>
          <w:color w:val="auto"/>
          <w:highlight w:val="none"/>
        </w:rPr>
      </w:pPr>
      <w:r>
        <w:rPr>
          <w:rFonts w:hint="eastAsia" w:ascii="微软雅黑" w:hAnsi="微软雅黑" w:cs="宋体"/>
          <w:color w:val="auto"/>
          <w:highlight w:val="none"/>
        </w:rPr>
        <w:t>CA绑定登录操作视频</w:t>
      </w:r>
    </w:p>
    <w:p w14:paraId="458131B3">
      <w:pPr>
        <w:spacing w:before="120" w:beforeLines="50" w:after="120" w:afterLines="50" w:line="276" w:lineRule="auto"/>
        <w:ind w:firstLine="420"/>
        <w:rPr>
          <w:rFonts w:ascii="微软雅黑" w:hAnsi="微软雅黑"/>
          <w:color w:val="auto"/>
          <w:highlight w:val="none"/>
        </w:rPr>
      </w:pPr>
      <w:r>
        <w:rPr>
          <w:rStyle w:val="61"/>
          <w:rFonts w:hint="eastAsia" w:ascii="微软雅黑" w:hAnsi="微软雅黑"/>
          <w:color w:val="auto"/>
          <w:szCs w:val="22"/>
          <w:highlight w:val="none"/>
        </w:rPr>
        <w:t>https://service.zcygov.cn/#/knowledges/UgcbC3EBiyELHE-opz1b/nAkmyXEBiyELHE-o-983</w:t>
      </w:r>
    </w:p>
    <w:p w14:paraId="085C6869">
      <w:pPr>
        <w:spacing w:line="540" w:lineRule="exact"/>
        <w:ind w:firstLine="420"/>
        <w:rPr>
          <w:rFonts w:ascii="微软雅黑" w:hAnsi="微软雅黑" w:cs="宋体"/>
          <w:color w:val="auto"/>
          <w:highlight w:val="none"/>
        </w:rPr>
      </w:pPr>
      <w:r>
        <w:rPr>
          <w:rFonts w:hint="eastAsia" w:ascii="微软雅黑" w:hAnsi="微软雅黑" w:cs="宋体"/>
          <w:color w:val="auto"/>
          <w:highlight w:val="none"/>
        </w:rPr>
        <w:t>③招标文件的获取：使用账号登录或者使用CA登录政采云平台；进入“项目采购”应用，在获取招标文件菜单中选择项目，获取招标文件；</w:t>
      </w:r>
    </w:p>
    <w:p w14:paraId="5C1E4974">
      <w:pPr>
        <w:spacing w:line="540" w:lineRule="exact"/>
        <w:ind w:firstLine="420"/>
        <w:rPr>
          <w:rFonts w:ascii="微软雅黑" w:hAnsi="微软雅黑" w:cs="宋体"/>
          <w:color w:val="auto"/>
          <w:highlight w:val="none"/>
        </w:rPr>
      </w:pPr>
      <w:r>
        <w:rPr>
          <w:rFonts w:hint="eastAsia" w:ascii="微软雅黑" w:hAnsi="微软雅黑" w:cs="宋体"/>
          <w:color w:val="auto"/>
          <w:highlight w:val="none"/>
        </w:rPr>
        <w:t>④投标文件的制作：在“政采云电子交易客户端”中完成“填写基本信息”、“导入投标文件”、“标书关联”、“标书检查”、“电子签名”、“生成电子标书”等操作；</w:t>
      </w:r>
    </w:p>
    <w:p w14:paraId="10F4C1A8">
      <w:pPr>
        <w:spacing w:line="540" w:lineRule="exact"/>
        <w:ind w:firstLine="420"/>
        <w:rPr>
          <w:rFonts w:ascii="微软雅黑" w:hAnsi="微软雅黑" w:cs="宋体"/>
          <w:color w:val="auto"/>
          <w:highlight w:val="none"/>
        </w:rPr>
      </w:pPr>
      <w:r>
        <w:rPr>
          <w:rFonts w:hint="eastAsia" w:ascii="微软雅黑" w:hAnsi="微软雅黑" w:cs="宋体"/>
          <w:color w:val="auto"/>
          <w:highlight w:val="none"/>
        </w:rPr>
        <w:t xml:space="preserve">⑤采购人、采购机构将依托政采云平台完成本项目的电子交易活动，平台不接受未按上述方式获取招标文件的供应商进行投标活动； </w:t>
      </w:r>
    </w:p>
    <w:p w14:paraId="18B60DB2">
      <w:pPr>
        <w:spacing w:line="540" w:lineRule="exact"/>
        <w:ind w:firstLine="420"/>
        <w:rPr>
          <w:rFonts w:ascii="微软雅黑" w:hAnsi="微软雅黑" w:cs="宋体"/>
          <w:color w:val="auto"/>
          <w:highlight w:val="none"/>
        </w:rPr>
      </w:pPr>
      <w:r>
        <w:rPr>
          <w:rFonts w:hint="eastAsia" w:ascii="微软雅黑" w:hAnsi="微软雅黑" w:cs="宋体"/>
          <w:color w:val="auto"/>
          <w:highlight w:val="none"/>
        </w:rPr>
        <w:t>⑥对未按上述方式获取招标文件的供应商对该文件提出的质疑，采购人或采购代理机构将不予处理；</w:t>
      </w:r>
    </w:p>
    <w:p w14:paraId="1B3819F7">
      <w:pPr>
        <w:spacing w:line="540" w:lineRule="exact"/>
        <w:ind w:firstLine="420"/>
        <w:rPr>
          <w:rFonts w:ascii="微软雅黑" w:hAnsi="微软雅黑" w:cs="宋体"/>
          <w:color w:val="auto"/>
          <w:highlight w:val="none"/>
        </w:rPr>
      </w:pPr>
      <w:r>
        <w:rPr>
          <w:rFonts w:hint="eastAsia" w:ascii="微软雅黑" w:hAnsi="微软雅黑" w:cs="宋体"/>
          <w:color w:val="auto"/>
          <w:highlight w:val="none"/>
        </w:rPr>
        <w:t>⑦不提供招标文件纸质版；</w:t>
      </w:r>
    </w:p>
    <w:p w14:paraId="5248EA54">
      <w:pPr>
        <w:spacing w:line="540" w:lineRule="exact"/>
        <w:ind w:firstLine="420"/>
        <w:rPr>
          <w:rFonts w:ascii="微软雅黑" w:hAnsi="微软雅黑" w:cs="宋体"/>
          <w:color w:val="auto"/>
          <w:highlight w:val="none"/>
        </w:rPr>
      </w:pPr>
      <w:r>
        <w:rPr>
          <w:rFonts w:hint="eastAsia" w:ascii="微软雅黑" w:hAnsi="微软雅黑" w:cs="宋体"/>
          <w:color w:val="auto"/>
          <w:highlight w:val="none"/>
        </w:rPr>
        <w:t>⑧投标文件的传输递交：投标供应商在投标截止时间前将加密的投标文件上传至政府采购云平台，同时可在投标截止时间前将政采云平台上最后生成的具备电子签章的备份电子标文件</w:t>
      </w:r>
      <w:r>
        <w:rPr>
          <w:rFonts w:hint="eastAsia" w:ascii="微软雅黑" w:hAnsi="微软雅黑" w:cs="宋体"/>
          <w:b/>
          <w:bCs/>
          <w:color w:val="auto"/>
          <w:highlight w:val="none"/>
        </w:rPr>
        <w:t>（非强制要求）</w:t>
      </w:r>
      <w:r>
        <w:rPr>
          <w:rFonts w:hint="eastAsia" w:ascii="微软雅黑" w:hAnsi="微软雅黑" w:cs="宋体"/>
          <w:color w:val="auto"/>
          <w:highlight w:val="none"/>
        </w:rPr>
        <w:t>1份下载至U盘，直接提交或者以</w:t>
      </w:r>
      <w:r>
        <w:rPr>
          <w:rFonts w:hint="eastAsia" w:ascii="微软雅黑" w:hAnsi="微软雅黑" w:cs="宋体"/>
          <w:b/>
          <w:bCs/>
          <w:color w:val="auto"/>
          <w:highlight w:val="none"/>
          <w:u w:val="single"/>
        </w:rPr>
        <w:t>快递</w:t>
      </w:r>
      <w:r>
        <w:rPr>
          <w:rFonts w:hint="eastAsia" w:ascii="微软雅黑" w:hAnsi="微软雅黑" w:cs="宋体"/>
          <w:color w:val="auto"/>
          <w:highlight w:val="none"/>
        </w:rPr>
        <w:t>方式递交【地址：嘉兴市秀洲区新平路299号中禾广场17A楼政府采购办公室；收件人：章莉莉；电话：13605735186；快递寄出同时，项目被授权代表须以邮件方式将快递单号、项目名称、公司名称、被授权代表姓名及联系方式等内容（邮件格式为：</w:t>
      </w:r>
      <w:r>
        <w:rPr>
          <w:color w:val="auto"/>
          <w:highlight w:val="none"/>
        </w:rPr>
        <w:fldChar w:fldCharType="begin"/>
      </w:r>
      <w:r>
        <w:rPr>
          <w:color w:val="auto"/>
          <w:highlight w:val="none"/>
        </w:rPr>
        <w:instrText xml:space="preserve">HYPERLINK "mailto:项目编号+快递单号+公司名称+被授权代表姓名及联系方式）发代理机构联系人邮箱1450912653@qq.com)】"</w:instrText>
      </w:r>
      <w:r>
        <w:rPr>
          <w:color w:val="auto"/>
          <w:highlight w:val="none"/>
        </w:rPr>
        <w:fldChar w:fldCharType="separate"/>
      </w:r>
      <w:r>
        <w:rPr>
          <w:rStyle w:val="61"/>
          <w:rFonts w:hint="eastAsia" w:ascii="微软雅黑" w:hAnsi="微软雅黑" w:cs="宋体"/>
          <w:color w:val="auto"/>
          <w:highlight w:val="none"/>
        </w:rPr>
        <w:t>项目编号+快递单号+公司名称+被授权代表姓名及联系方式）发代理机构联系人邮箱1450912653@qq.com)】</w:t>
      </w:r>
      <w:r>
        <w:rPr>
          <w:color w:val="auto"/>
          <w:highlight w:val="none"/>
        </w:rPr>
        <w:fldChar w:fldCharType="end"/>
      </w:r>
      <w:r>
        <w:rPr>
          <w:rFonts w:hint="eastAsia" w:ascii="微软雅黑" w:hAnsi="微软雅黑" w:cs="宋体"/>
          <w:color w:val="auto"/>
          <w:highlight w:val="none"/>
        </w:rPr>
        <w:t>；</w:t>
      </w:r>
    </w:p>
    <w:p w14:paraId="52526AF0">
      <w:pPr>
        <w:spacing w:line="540" w:lineRule="exact"/>
        <w:ind w:firstLine="420"/>
        <w:rPr>
          <w:rFonts w:ascii="微软雅黑" w:hAnsi="微软雅黑" w:cs="宋体"/>
          <w:color w:val="auto"/>
          <w:highlight w:val="none"/>
        </w:rPr>
      </w:pPr>
      <w:r>
        <w:rPr>
          <w:rFonts w:hint="eastAsia" w:ascii="微软雅黑" w:hAnsi="微软雅黑" w:cs="宋体"/>
          <w:color w:val="auto"/>
          <w:highlight w:val="none"/>
        </w:rPr>
        <w:t>备份投标文件递交须满足：外包装封面上应注明投标供应商名称、投标供应商联系方式（授权代表手机）、投标文件名称（备份投标文件）、投标项目名称、项目编号、标项及“开标时启封”字样，并加盖投标供应商公章。</w:t>
      </w:r>
    </w:p>
    <w:p w14:paraId="3EDD4B89">
      <w:pPr>
        <w:spacing w:line="540" w:lineRule="exact"/>
        <w:ind w:firstLine="420"/>
        <w:rPr>
          <w:rFonts w:ascii="微软雅黑" w:hAnsi="微软雅黑" w:cs="宋体"/>
          <w:b/>
          <w:bCs/>
          <w:color w:val="auto"/>
          <w:highlight w:val="none"/>
        </w:rPr>
      </w:pPr>
      <w:r>
        <w:rPr>
          <w:rFonts w:hint="eastAsia" w:ascii="微软雅黑" w:hAnsi="微软雅黑" w:cs="宋体"/>
          <w:b/>
          <w:bCs/>
          <w:color w:val="auto"/>
          <w:highlight w:val="none"/>
        </w:rPr>
        <w:t>投标供应商递交的备份投标文件，出现下列情况之一的，将被拒收：</w:t>
      </w:r>
    </w:p>
    <w:p w14:paraId="4AA79226">
      <w:pPr>
        <w:spacing w:line="240" w:lineRule="auto"/>
        <w:ind w:firstLine="420"/>
        <w:rPr>
          <w:rFonts w:ascii="微软雅黑" w:hAnsi="微软雅黑" w:cs="宋体"/>
          <w:color w:val="auto"/>
          <w:highlight w:val="none"/>
        </w:rPr>
      </w:pPr>
      <w:r>
        <w:rPr>
          <w:rFonts w:hint="eastAsia" w:ascii="微软雅黑" w:hAnsi="微软雅黑" w:cs="汉仪大黑简"/>
          <w:color w:val="auto"/>
          <w:highlight w:val="none"/>
        </w:rPr>
        <w:t>·</w:t>
      </w:r>
      <w:r>
        <w:rPr>
          <w:rFonts w:hint="eastAsia" w:ascii="微软雅黑" w:hAnsi="微软雅黑" w:cs="宋体"/>
          <w:color w:val="auto"/>
          <w:highlight w:val="none"/>
        </w:rPr>
        <w:t>未按规定密封或标记的；</w:t>
      </w:r>
    </w:p>
    <w:p w14:paraId="199E8B4E">
      <w:pPr>
        <w:spacing w:line="240" w:lineRule="auto"/>
        <w:ind w:firstLine="420"/>
        <w:rPr>
          <w:rFonts w:ascii="微软雅黑" w:hAnsi="微软雅黑" w:cs="宋体"/>
          <w:color w:val="auto"/>
          <w:highlight w:val="none"/>
        </w:rPr>
      </w:pPr>
      <w:r>
        <w:rPr>
          <w:rFonts w:hint="eastAsia" w:ascii="微软雅黑" w:hAnsi="微软雅黑" w:cs="汉仪大黑简"/>
          <w:color w:val="auto"/>
          <w:highlight w:val="none"/>
        </w:rPr>
        <w:t>·</w:t>
      </w:r>
      <w:r>
        <w:rPr>
          <w:rFonts w:hint="eastAsia" w:ascii="微软雅黑" w:hAnsi="微软雅黑" w:cs="宋体"/>
          <w:color w:val="auto"/>
          <w:highlight w:val="none"/>
        </w:rPr>
        <w:t>由于包装不妥，在送交途中严重破损或失散的；</w:t>
      </w:r>
    </w:p>
    <w:p w14:paraId="7252FE75">
      <w:pPr>
        <w:spacing w:line="240" w:lineRule="auto"/>
        <w:ind w:firstLine="420"/>
        <w:rPr>
          <w:rFonts w:ascii="微软雅黑" w:hAnsi="微软雅黑" w:cs="宋体"/>
          <w:color w:val="auto"/>
          <w:highlight w:val="none"/>
        </w:rPr>
      </w:pPr>
      <w:r>
        <w:rPr>
          <w:rFonts w:hint="eastAsia" w:ascii="微软雅黑" w:hAnsi="微软雅黑" w:cs="汉仪大黑简"/>
          <w:color w:val="auto"/>
          <w:highlight w:val="none"/>
        </w:rPr>
        <w:t>·</w:t>
      </w:r>
      <w:r>
        <w:rPr>
          <w:rFonts w:hint="eastAsia" w:ascii="微软雅黑" w:hAnsi="微软雅黑" w:cs="宋体"/>
          <w:color w:val="auto"/>
          <w:highlight w:val="none"/>
        </w:rPr>
        <w:t>超过投标截止时间送达的；</w:t>
      </w:r>
    </w:p>
    <w:p w14:paraId="74F8C783">
      <w:pPr>
        <w:spacing w:line="240" w:lineRule="auto"/>
        <w:ind w:firstLine="420"/>
        <w:rPr>
          <w:rFonts w:ascii="微软雅黑" w:hAnsi="微软雅黑" w:cs="宋体"/>
          <w:color w:val="auto"/>
          <w:highlight w:val="none"/>
        </w:rPr>
      </w:pPr>
      <w:r>
        <w:rPr>
          <w:rFonts w:hint="eastAsia" w:ascii="微软雅黑" w:hAnsi="微软雅黑"/>
          <w:color w:val="auto"/>
          <w:highlight w:val="none"/>
        </w:rPr>
        <w:t>·快递方式：快递费到付。</w:t>
      </w:r>
    </w:p>
    <w:p w14:paraId="070AD3EB">
      <w:pPr>
        <w:spacing w:line="540" w:lineRule="exact"/>
        <w:ind w:firstLine="420"/>
        <w:rPr>
          <w:rFonts w:ascii="微软雅黑" w:hAnsi="微软雅黑" w:cs="宋体"/>
          <w:color w:val="auto"/>
          <w:highlight w:val="none"/>
        </w:rPr>
      </w:pPr>
      <w:r>
        <w:rPr>
          <w:rFonts w:hint="eastAsia" w:ascii="微软雅黑" w:hAnsi="微软雅黑" w:cs="宋体"/>
          <w:color w:val="auto"/>
          <w:highlight w:val="none"/>
        </w:rPr>
        <w:t>⑨投标文件的解密：投标供应商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供应商仅提交备份投标文件，没有在电子交易平台传输递交投标文件的，投标无效；</w:t>
      </w:r>
    </w:p>
    <w:p w14:paraId="4570A46E">
      <w:pPr>
        <w:spacing w:line="540" w:lineRule="exact"/>
        <w:ind w:firstLine="420"/>
        <w:rPr>
          <w:rFonts w:ascii="微软雅黑" w:hAnsi="微软雅黑" w:cs="宋体"/>
          <w:color w:val="auto"/>
          <w:highlight w:val="none"/>
        </w:rPr>
      </w:pPr>
      <w:r>
        <w:rPr>
          <w:rFonts w:hint="eastAsia" w:ascii="微软雅黑" w:hAnsi="微软雅黑" w:cs="宋体"/>
          <w:color w:val="auto"/>
          <w:highlight w:val="none"/>
        </w:rPr>
        <w:t>⑩具体操作指南：详见政采云平台“服务中心-帮助文档-项目采购-操作流程-电子招投标-政府采购项目电子交易管理操作指南-供应商”（浙江省“项目采购电子交易系统/不见面开评标”学习专题：</w:t>
      </w:r>
      <w:r>
        <w:rPr>
          <w:color w:val="auto"/>
          <w:highlight w:val="none"/>
        </w:rPr>
        <w:fldChar w:fldCharType="begin"/>
      </w:r>
      <w:r>
        <w:rPr>
          <w:color w:val="auto"/>
          <w:highlight w:val="none"/>
        </w:rPr>
        <w:instrText xml:space="preserve">HYPERLINK "https://edu.zcygov.cn/luban/e-biding"</w:instrText>
      </w:r>
      <w:r>
        <w:rPr>
          <w:color w:val="auto"/>
          <w:highlight w:val="none"/>
        </w:rPr>
        <w:fldChar w:fldCharType="separate"/>
      </w:r>
      <w:r>
        <w:rPr>
          <w:rFonts w:hint="eastAsia" w:ascii="微软雅黑" w:hAnsi="微软雅黑" w:cs="宋体"/>
          <w:color w:val="auto"/>
          <w:highlight w:val="none"/>
        </w:rPr>
        <w:t>https://edu.zcygov.cn/luban/e-biding</w:t>
      </w:r>
      <w:r>
        <w:rPr>
          <w:color w:val="auto"/>
          <w:highlight w:val="none"/>
        </w:rPr>
        <w:fldChar w:fldCharType="end"/>
      </w:r>
      <w:r>
        <w:rPr>
          <w:rFonts w:hint="eastAsia" w:ascii="微软雅黑" w:hAnsi="微软雅黑" w:cs="宋体"/>
          <w:color w:val="auto"/>
          <w:highlight w:val="none"/>
        </w:rPr>
        <w:t>）。</w:t>
      </w:r>
    </w:p>
    <w:p w14:paraId="0D60E36F">
      <w:pPr>
        <w:spacing w:line="540" w:lineRule="exact"/>
        <w:ind w:firstLine="420"/>
        <w:rPr>
          <w:rFonts w:ascii="微软雅黑" w:hAnsi="微软雅黑"/>
          <w:color w:val="auto"/>
          <w:highlight w:val="none"/>
        </w:rPr>
      </w:pPr>
      <w:r>
        <w:rPr>
          <w:rFonts w:hint="eastAsia" w:ascii="微软雅黑" w:hAnsi="微软雅黑"/>
          <w:color w:val="auto"/>
          <w:highlight w:val="none"/>
        </w:rPr>
        <w:t>3.惠企政策</w:t>
      </w:r>
    </w:p>
    <w:p w14:paraId="5901DA23">
      <w:pPr>
        <w:spacing w:line="540" w:lineRule="exact"/>
        <w:ind w:firstLine="420"/>
        <w:rPr>
          <w:rFonts w:ascii="微软雅黑" w:hAnsi="微软雅黑"/>
          <w:color w:val="auto"/>
          <w:highlight w:val="none"/>
        </w:rPr>
      </w:pPr>
      <w:r>
        <w:rPr>
          <w:rFonts w:hint="eastAsia" w:ascii="微软雅黑" w:hAnsi="微软雅黑"/>
          <w:color w:val="auto"/>
          <w:highlight w:val="none"/>
        </w:rPr>
        <w:t>3.1本采购项目，中标供应商与采购人签订的政府采购合同适用于嘉兴市政府采购贷款政策（简称“政采贷”），具体内容可参阅政府采购贷款流程：</w:t>
      </w:r>
    </w:p>
    <w:p w14:paraId="371A4F20">
      <w:pPr>
        <w:spacing w:line="540" w:lineRule="exact"/>
        <w:ind w:firstLine="420"/>
        <w:rPr>
          <w:rFonts w:ascii="微软雅黑" w:hAnsi="微软雅黑"/>
          <w:color w:val="auto"/>
          <w:highlight w:val="none"/>
        </w:rPr>
      </w:pPr>
      <w:r>
        <w:rPr>
          <w:rFonts w:hint="eastAsia" w:ascii="微软雅黑" w:hAnsi="微软雅黑"/>
          <w:color w:val="auto"/>
          <w:highlight w:val="none"/>
        </w:rPr>
        <w:t>http://jxszwsjb.jiaxing.gov.cn/zxfw/005001/005001004/20190315/76d484f7-8fac-497f-9359-4df81cc086da.html</w:t>
      </w:r>
    </w:p>
    <w:p w14:paraId="075A535F">
      <w:pPr>
        <w:spacing w:line="540" w:lineRule="exact"/>
        <w:ind w:firstLine="420"/>
        <w:rPr>
          <w:rFonts w:ascii="微软雅黑" w:hAnsi="微软雅黑" w:cs="宋体"/>
          <w:color w:val="auto"/>
          <w:sz w:val="24"/>
          <w:highlight w:val="none"/>
        </w:rPr>
      </w:pPr>
      <w:r>
        <w:rPr>
          <w:rFonts w:hint="eastAsia" w:ascii="微软雅黑" w:hAnsi="微软雅黑"/>
          <w:color w:val="auto"/>
          <w:highlight w:val="none"/>
        </w:rPr>
        <w:t>3.2</w:t>
      </w:r>
      <w:r>
        <w:rPr>
          <w:rFonts w:hint="eastAsia" w:ascii="微软雅黑" w:hAnsi="微软雅黑" w:cs="宋体"/>
          <w:color w:val="auto"/>
          <w:highlight w:val="none"/>
        </w:rPr>
        <w:t>根据浙江省财政厅2022年3号文、8号文具体工作要求，鼓励政府采购供应商使用政采贷获得普惠融资，使用履约保险/保函、预付款保险/保函释放保证金或者提高增信。具体内容可登录政采云平台（https://www.zcygov.cn/），点击右侧咨询小采。</w:t>
      </w:r>
    </w:p>
    <w:p w14:paraId="2F3D27B3">
      <w:pPr>
        <w:widowControl/>
        <w:spacing w:before="255" w:after="255" w:line="480" w:lineRule="atLeast"/>
        <w:ind w:firstLine="0" w:firstLineChars="0"/>
        <w:jc w:val="both"/>
        <w:outlineLvl w:val="1"/>
        <w:rPr>
          <w:rFonts w:ascii="微软雅黑" w:hAnsi="微软雅黑" w:cs="Arial"/>
          <w:color w:val="auto"/>
          <w:kern w:val="0"/>
          <w:szCs w:val="21"/>
          <w:highlight w:val="none"/>
        </w:rPr>
      </w:pPr>
      <w:bookmarkStart w:id="19" w:name="_Toc30576"/>
      <w:r>
        <w:rPr>
          <w:rFonts w:hint="eastAsia" w:ascii="微软雅黑" w:hAnsi="微软雅黑" w:cs="Arial"/>
          <w:b/>
          <w:bCs/>
          <w:color w:val="auto"/>
          <w:kern w:val="0"/>
          <w:szCs w:val="21"/>
          <w:highlight w:val="none"/>
        </w:rPr>
        <w:t>七、对本次采购提出询问、质疑、投诉，请按以下方式联系</w:t>
      </w:r>
      <w:bookmarkEnd w:id="19"/>
    </w:p>
    <w:p w14:paraId="5828BCBE">
      <w:pPr>
        <w:widowControl/>
        <w:spacing w:before="75" w:after="75" w:line="300" w:lineRule="atLeast"/>
        <w:ind w:firstLine="0" w:firstLineChars="0"/>
        <w:rPr>
          <w:rFonts w:ascii="微软雅黑" w:hAnsi="微软雅黑" w:cs="Arial"/>
          <w:color w:val="auto"/>
          <w:kern w:val="0"/>
          <w:szCs w:val="21"/>
          <w:highlight w:val="none"/>
        </w:rPr>
      </w:pP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1.采购人信息</w:t>
      </w:r>
    </w:p>
    <w:p w14:paraId="2DDDA023">
      <w:pPr>
        <w:widowControl/>
        <w:spacing w:before="75" w:after="75" w:line="300" w:lineRule="atLeast"/>
        <w:ind w:firstLine="330" w:firstLineChars="0"/>
        <w:rPr>
          <w:rFonts w:ascii="微软雅黑" w:hAnsi="微软雅黑" w:cs="Arial"/>
          <w:color w:val="auto"/>
          <w:kern w:val="0"/>
          <w:szCs w:val="21"/>
          <w:highlight w:val="none"/>
        </w:rPr>
      </w:pPr>
      <w:r>
        <w:rPr>
          <w:rFonts w:hint="eastAsia" w:ascii="微软雅黑" w:hAnsi="微软雅黑" w:cs="Arial"/>
          <w:color w:val="auto"/>
          <w:kern w:val="0"/>
          <w:szCs w:val="21"/>
          <w:highlight w:val="none"/>
        </w:rPr>
        <w:t>名</w:t>
      </w:r>
      <w:r>
        <w:rPr>
          <w:rFonts w:ascii="微软雅黑" w:hAnsi="微软雅黑" w:cs="Arial"/>
          <w:color w:val="auto"/>
          <w:kern w:val="0"/>
          <w:szCs w:val="21"/>
          <w:highlight w:val="none"/>
        </w:rPr>
        <w:t>   </w:t>
      </w:r>
      <w:r>
        <w:rPr>
          <w:rFonts w:hint="eastAsia" w:ascii="微软雅黑" w:hAnsi="微软雅黑" w:cs="Arial"/>
          <w:color w:val="auto"/>
          <w:kern w:val="0"/>
          <w:szCs w:val="21"/>
          <w:highlight w:val="none"/>
        </w:rPr>
        <w:t xml:space="preserve"> 称：嘉兴南湖学院</w:t>
      </w:r>
    </w:p>
    <w:p w14:paraId="2A5533C3">
      <w:pPr>
        <w:widowControl/>
        <w:spacing w:before="75" w:after="75" w:line="300" w:lineRule="atLeast"/>
        <w:ind w:firstLine="0" w:firstLineChars="0"/>
        <w:rPr>
          <w:rFonts w:ascii="微软雅黑" w:hAnsi="微软雅黑" w:cs="Arial"/>
          <w:color w:val="auto"/>
          <w:kern w:val="0"/>
          <w:szCs w:val="21"/>
          <w:highlight w:val="none"/>
        </w:rPr>
      </w:pP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地</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址：</w:t>
      </w:r>
      <w:r>
        <w:rPr>
          <w:rFonts w:hint="eastAsia"/>
          <w:color w:val="auto"/>
          <w:kern w:val="0"/>
          <w:szCs w:val="21"/>
          <w:highlight w:val="none"/>
        </w:rPr>
        <w:t xml:space="preserve"> </w:t>
      </w:r>
      <w:r>
        <w:rPr>
          <w:rFonts w:hint="eastAsia" w:ascii="微软雅黑" w:hAnsi="微软雅黑" w:cs="宋体"/>
          <w:color w:val="auto"/>
          <w:kern w:val="0"/>
          <w:szCs w:val="21"/>
          <w:highlight w:val="none"/>
        </w:rPr>
        <w:t>嘉兴市南湖区越秀南路572号</w:t>
      </w:r>
      <w:r>
        <w:rPr>
          <w:rFonts w:ascii="微软雅黑" w:hAnsi="微软雅黑" w:cs="Calibri"/>
          <w:color w:val="auto"/>
          <w:kern w:val="0"/>
          <w:szCs w:val="21"/>
          <w:highlight w:val="none"/>
        </w:rPr>
        <w:t> </w:t>
      </w:r>
    </w:p>
    <w:p w14:paraId="21AF7989">
      <w:pPr>
        <w:widowControl/>
        <w:spacing w:before="75" w:after="75" w:line="300" w:lineRule="atLeast"/>
        <w:ind w:firstLine="330" w:firstLineChars="0"/>
        <w:rPr>
          <w:rFonts w:ascii="微软雅黑" w:hAnsi="微软雅黑" w:cs="Calibri"/>
          <w:color w:val="auto"/>
          <w:kern w:val="0"/>
          <w:szCs w:val="21"/>
          <w:highlight w:val="none"/>
        </w:rPr>
      </w:pPr>
      <w:r>
        <w:rPr>
          <w:rFonts w:hint="eastAsia" w:ascii="微软雅黑" w:hAnsi="微软雅黑" w:cs="Arial"/>
          <w:color w:val="auto"/>
          <w:kern w:val="0"/>
          <w:szCs w:val="21"/>
          <w:highlight w:val="none"/>
        </w:rPr>
        <w:t>传</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真：</w:t>
      </w:r>
      <w:r>
        <w:rPr>
          <w:rFonts w:ascii="微软雅黑" w:hAnsi="微软雅黑" w:cs="Calibri"/>
          <w:color w:val="auto"/>
          <w:kern w:val="0"/>
          <w:szCs w:val="21"/>
          <w:highlight w:val="none"/>
        </w:rPr>
        <w:t>  </w:t>
      </w:r>
      <w:r>
        <w:rPr>
          <w:rFonts w:hint="eastAsia" w:ascii="微软雅黑" w:hAnsi="微软雅黑" w:cs="Calibri"/>
          <w:color w:val="auto"/>
          <w:kern w:val="0"/>
          <w:szCs w:val="21"/>
          <w:highlight w:val="none"/>
        </w:rPr>
        <w:t>/</w:t>
      </w:r>
    </w:p>
    <w:p w14:paraId="63D6515D">
      <w:pPr>
        <w:widowControl/>
        <w:spacing w:before="75" w:after="75" w:line="300" w:lineRule="atLeast"/>
        <w:ind w:firstLine="315" w:firstLineChars="0"/>
        <w:rPr>
          <w:rFonts w:ascii="微软雅黑" w:hAnsi="微软雅黑"/>
          <w:color w:val="auto"/>
          <w:kern w:val="0"/>
          <w:szCs w:val="21"/>
          <w:highlight w:val="none"/>
        </w:rPr>
      </w:pPr>
      <w:r>
        <w:rPr>
          <w:rFonts w:ascii="微软雅黑" w:hAnsi="微软雅黑"/>
          <w:color w:val="auto"/>
          <w:kern w:val="0"/>
          <w:szCs w:val="21"/>
          <w:highlight w:val="none"/>
        </w:rPr>
        <w:t>项目联系人（询问）：</w:t>
      </w:r>
      <w:r>
        <w:rPr>
          <w:rFonts w:hint="eastAsia" w:ascii="微软雅黑" w:hAnsi="微软雅黑"/>
          <w:color w:val="auto"/>
          <w:kern w:val="0"/>
          <w:szCs w:val="21"/>
          <w:highlight w:val="none"/>
        </w:rPr>
        <w:t xml:space="preserve"> 标项一</w:t>
      </w:r>
    </w:p>
    <w:p w14:paraId="2FFC3966">
      <w:pPr>
        <w:widowControl/>
        <w:spacing w:before="75" w:after="75" w:line="300" w:lineRule="atLeast"/>
        <w:ind w:firstLine="315" w:firstLineChars="0"/>
        <w:rPr>
          <w:rFonts w:ascii="微软雅黑" w:hAnsi="微软雅黑"/>
          <w:color w:val="auto"/>
          <w:kern w:val="0"/>
          <w:szCs w:val="21"/>
          <w:highlight w:val="none"/>
        </w:rPr>
      </w:pPr>
      <w:r>
        <w:rPr>
          <w:rFonts w:ascii="微软雅黑" w:hAnsi="微软雅黑"/>
          <w:color w:val="auto"/>
          <w:kern w:val="0"/>
          <w:szCs w:val="21"/>
          <w:highlight w:val="none"/>
        </w:rPr>
        <w:t xml:space="preserve">                     </w:t>
      </w:r>
      <w:r>
        <w:rPr>
          <w:rFonts w:hint="eastAsia" w:ascii="微软雅黑" w:hAnsi="微软雅黑"/>
          <w:color w:val="auto"/>
          <w:kern w:val="0"/>
          <w:szCs w:val="21"/>
          <w:highlight w:val="none"/>
        </w:rPr>
        <w:t xml:space="preserve">标项二 </w:t>
      </w:r>
    </w:p>
    <w:p w14:paraId="7A32C502">
      <w:pPr>
        <w:widowControl/>
        <w:spacing w:before="75" w:after="75" w:line="300" w:lineRule="atLeast"/>
        <w:ind w:firstLine="315" w:firstLineChars="0"/>
        <w:rPr>
          <w:rFonts w:ascii="微软雅黑" w:hAnsi="微软雅黑"/>
          <w:color w:val="auto"/>
          <w:kern w:val="0"/>
          <w:szCs w:val="21"/>
          <w:highlight w:val="none"/>
        </w:rPr>
      </w:pPr>
      <w:r>
        <w:rPr>
          <w:rFonts w:ascii="微软雅黑" w:hAnsi="微软雅黑"/>
          <w:color w:val="auto"/>
          <w:kern w:val="0"/>
          <w:szCs w:val="21"/>
          <w:highlight w:val="none"/>
        </w:rPr>
        <w:t>项目联系方式（询问）：</w:t>
      </w:r>
      <w:r>
        <w:rPr>
          <w:rFonts w:hint="eastAsia" w:ascii="微软雅黑" w:hAnsi="微软雅黑"/>
          <w:color w:val="auto"/>
          <w:kern w:val="0"/>
          <w:szCs w:val="21"/>
          <w:highlight w:val="none"/>
        </w:rPr>
        <w:t xml:space="preserve">  </w:t>
      </w:r>
    </w:p>
    <w:p w14:paraId="08BCDE75">
      <w:pPr>
        <w:widowControl/>
        <w:spacing w:before="75" w:after="75" w:line="300" w:lineRule="atLeast"/>
        <w:ind w:firstLine="284" w:firstLineChars="0"/>
        <w:rPr>
          <w:rFonts w:ascii="微软雅黑" w:hAnsi="微软雅黑" w:cs="微软雅黑"/>
          <w:color w:val="auto"/>
          <w:szCs w:val="21"/>
          <w:highlight w:val="none"/>
        </w:rPr>
      </w:pPr>
      <w:r>
        <w:rPr>
          <w:rFonts w:hint="eastAsia" w:ascii="微软雅黑" w:hAnsi="微软雅黑" w:cs="微软雅黑"/>
          <w:color w:val="auto"/>
          <w:szCs w:val="21"/>
          <w:highlight w:val="none"/>
        </w:rPr>
        <w:t> 质疑联系人：怀老师</w:t>
      </w:r>
    </w:p>
    <w:p w14:paraId="50AEE460">
      <w:pPr>
        <w:widowControl/>
        <w:spacing w:before="75" w:after="75" w:line="300" w:lineRule="atLeast"/>
        <w:ind w:firstLine="283" w:firstLineChars="135"/>
        <w:rPr>
          <w:rFonts w:ascii="微软雅黑" w:hAnsi="微软雅黑" w:cs="Calibri"/>
          <w:color w:val="auto"/>
          <w:kern w:val="0"/>
          <w:szCs w:val="21"/>
          <w:highlight w:val="none"/>
        </w:rPr>
      </w:pPr>
      <w:r>
        <w:rPr>
          <w:rFonts w:hint="eastAsia" w:ascii="微软雅黑" w:hAnsi="微软雅黑" w:cs="微软雅黑"/>
          <w:color w:val="auto"/>
          <w:szCs w:val="21"/>
          <w:highlight w:val="none"/>
        </w:rPr>
        <w:t>质疑联系方式：</w:t>
      </w:r>
      <w:r>
        <w:rPr>
          <w:rFonts w:ascii="微软雅黑" w:hAnsi="微软雅黑" w:cs="微软雅黑"/>
          <w:color w:val="auto"/>
          <w:szCs w:val="21"/>
          <w:highlight w:val="none"/>
        </w:rPr>
        <w:t>13372328262</w:t>
      </w:r>
    </w:p>
    <w:p w14:paraId="607C27B7">
      <w:pPr>
        <w:widowControl/>
        <w:spacing w:before="75" w:after="75" w:line="300" w:lineRule="atLeast"/>
        <w:ind w:firstLine="330" w:firstLineChars="0"/>
        <w:rPr>
          <w:rFonts w:ascii="微软雅黑" w:hAnsi="微软雅黑" w:cs="Calibri"/>
          <w:color w:val="auto"/>
          <w:kern w:val="0"/>
          <w:szCs w:val="21"/>
          <w:highlight w:val="none"/>
        </w:rPr>
      </w:pPr>
      <w:r>
        <w:rPr>
          <w:rFonts w:ascii="微软雅黑" w:hAnsi="微软雅黑" w:cs="Calibri"/>
          <w:color w:val="auto"/>
          <w:kern w:val="0"/>
          <w:szCs w:val="21"/>
          <w:highlight w:val="none"/>
        </w:rPr>
        <w:t> </w:t>
      </w:r>
    </w:p>
    <w:p w14:paraId="160C8674">
      <w:pPr>
        <w:widowControl/>
        <w:spacing w:before="75" w:after="75" w:line="300" w:lineRule="atLeast"/>
        <w:ind w:firstLine="0" w:firstLineChars="0"/>
        <w:rPr>
          <w:rFonts w:ascii="微软雅黑" w:hAnsi="微软雅黑" w:cs="Arial"/>
          <w:color w:val="auto"/>
          <w:kern w:val="0"/>
          <w:szCs w:val="21"/>
          <w:highlight w:val="none"/>
        </w:rPr>
      </w:pP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2.采购代理机构信息</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p>
    <w:p w14:paraId="798EC3FD">
      <w:pPr>
        <w:widowControl/>
        <w:spacing w:before="75" w:after="75" w:line="300" w:lineRule="atLeast"/>
        <w:ind w:firstLine="0" w:firstLineChars="0"/>
        <w:rPr>
          <w:rFonts w:ascii="微软雅黑" w:hAnsi="微软雅黑" w:cs="Arial"/>
          <w:color w:val="auto"/>
          <w:kern w:val="0"/>
          <w:szCs w:val="21"/>
          <w:highlight w:val="none"/>
        </w:rPr>
      </w:pP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名</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称：嘉兴市千秋工程咨询有限公司</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p>
    <w:p w14:paraId="7501B56C">
      <w:pPr>
        <w:widowControl/>
        <w:spacing w:before="75" w:after="75" w:line="300" w:lineRule="atLeast"/>
        <w:ind w:firstLine="0" w:firstLineChars="0"/>
        <w:rPr>
          <w:rFonts w:ascii="微软雅黑" w:hAnsi="微软雅黑" w:cs="Arial"/>
          <w:color w:val="auto"/>
          <w:kern w:val="0"/>
          <w:szCs w:val="21"/>
          <w:highlight w:val="none"/>
        </w:rPr>
      </w:pP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地</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址：嘉兴市秀洲区新平路299号中禾广场17A楼</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p>
    <w:p w14:paraId="5D99DB75">
      <w:pPr>
        <w:widowControl/>
        <w:spacing w:before="75" w:after="75" w:line="300" w:lineRule="atLeast"/>
        <w:ind w:firstLine="0" w:firstLineChars="0"/>
        <w:rPr>
          <w:rFonts w:ascii="微软雅黑" w:hAnsi="微软雅黑" w:cs="Arial"/>
          <w:color w:val="auto"/>
          <w:kern w:val="0"/>
          <w:szCs w:val="21"/>
          <w:highlight w:val="none"/>
        </w:rPr>
      </w:pP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传</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真：0573-83705013</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p>
    <w:p w14:paraId="7284EEA5">
      <w:pPr>
        <w:widowControl/>
        <w:spacing w:before="75" w:after="75" w:line="300" w:lineRule="atLeast"/>
        <w:ind w:firstLine="0" w:firstLineChars="0"/>
        <w:rPr>
          <w:rFonts w:ascii="微软雅黑" w:hAnsi="微软雅黑" w:cs="Arial"/>
          <w:color w:val="auto"/>
          <w:kern w:val="0"/>
          <w:szCs w:val="21"/>
          <w:highlight w:val="none"/>
        </w:rPr>
      </w:pP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项目联系人（询问）：章莉莉</w:t>
      </w:r>
      <w:r>
        <w:rPr>
          <w:rFonts w:ascii="微软雅黑" w:hAnsi="微软雅黑" w:cs="Calibri"/>
          <w:color w:val="auto"/>
          <w:kern w:val="0"/>
          <w:szCs w:val="21"/>
          <w:highlight w:val="none"/>
        </w:rPr>
        <w:t> </w:t>
      </w:r>
      <w:r>
        <w:rPr>
          <w:rFonts w:hint="eastAsia" w:ascii="微软雅黑" w:hAnsi="微软雅黑" w:cs="Calibri"/>
          <w:color w:val="auto"/>
          <w:kern w:val="0"/>
          <w:szCs w:val="21"/>
          <w:highlight w:val="none"/>
        </w:rPr>
        <w:t>、李建良</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p>
    <w:p w14:paraId="70C4134B">
      <w:pPr>
        <w:widowControl/>
        <w:spacing w:before="75" w:after="75" w:line="300" w:lineRule="atLeast"/>
        <w:ind w:firstLine="0" w:firstLineChars="0"/>
        <w:rPr>
          <w:rFonts w:ascii="微软雅黑" w:hAnsi="微软雅黑" w:cs="Arial"/>
          <w:color w:val="auto"/>
          <w:kern w:val="0"/>
          <w:szCs w:val="21"/>
          <w:highlight w:val="none"/>
        </w:rPr>
      </w:pP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项目联系方式（询问）：0573-83705015 1</w:t>
      </w:r>
      <w:r>
        <w:rPr>
          <w:rFonts w:ascii="微软雅黑" w:hAnsi="微软雅黑" w:cs="Arial"/>
          <w:color w:val="auto"/>
          <w:kern w:val="0"/>
          <w:szCs w:val="21"/>
          <w:highlight w:val="none"/>
        </w:rPr>
        <w:t>3605735186</w:t>
      </w:r>
      <w:r>
        <w:rPr>
          <w:rFonts w:ascii="微软雅黑" w:hAnsi="微软雅黑" w:cs="Calibri"/>
          <w:color w:val="auto"/>
          <w:kern w:val="0"/>
          <w:szCs w:val="21"/>
          <w:highlight w:val="none"/>
        </w:rPr>
        <w:t> </w:t>
      </w:r>
    </w:p>
    <w:p w14:paraId="2D251F0E">
      <w:pPr>
        <w:widowControl/>
        <w:spacing w:before="75" w:after="75" w:line="300" w:lineRule="atLeast"/>
        <w:ind w:firstLine="0" w:firstLineChars="0"/>
        <w:rPr>
          <w:rFonts w:ascii="微软雅黑" w:hAnsi="微软雅黑" w:cs="Arial"/>
          <w:color w:val="auto"/>
          <w:kern w:val="0"/>
          <w:szCs w:val="21"/>
          <w:highlight w:val="none"/>
        </w:rPr>
      </w:pP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质疑联系人：项兴戟、林晨</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p>
    <w:p w14:paraId="04252AD7">
      <w:pPr>
        <w:widowControl/>
        <w:spacing w:before="75" w:after="75" w:line="300" w:lineRule="atLeast"/>
        <w:ind w:firstLine="0" w:firstLineChars="0"/>
        <w:rPr>
          <w:rFonts w:ascii="微软雅黑" w:hAnsi="微软雅黑" w:cs="Arial"/>
          <w:color w:val="auto"/>
          <w:kern w:val="0"/>
          <w:szCs w:val="21"/>
          <w:highlight w:val="none"/>
        </w:rPr>
      </w:pP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质疑联系方式：0573-83705015 13605738567</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p>
    <w:p w14:paraId="20E929E9">
      <w:pPr>
        <w:widowControl/>
        <w:spacing w:before="75" w:after="75" w:line="300" w:lineRule="atLeast"/>
        <w:ind w:firstLine="0" w:firstLineChars="0"/>
        <w:rPr>
          <w:rFonts w:ascii="微软雅黑" w:hAnsi="微软雅黑" w:cs="Calibri"/>
          <w:color w:val="auto"/>
          <w:kern w:val="0"/>
          <w:szCs w:val="21"/>
          <w:highlight w:val="none"/>
        </w:rPr>
      </w:pP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p>
    <w:p w14:paraId="2BF9A524">
      <w:pPr>
        <w:widowControl/>
        <w:spacing w:before="75" w:after="75" w:line="300" w:lineRule="atLeast"/>
        <w:ind w:firstLine="0" w:firstLineChars="0"/>
        <w:rPr>
          <w:rFonts w:ascii="微软雅黑" w:hAnsi="微软雅黑" w:cs="Arial"/>
          <w:color w:val="auto"/>
          <w:kern w:val="0"/>
          <w:szCs w:val="21"/>
          <w:highlight w:val="none"/>
        </w:rPr>
      </w:pP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3.同级政府采购监督管理部门</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p>
    <w:p w14:paraId="23411339">
      <w:pPr>
        <w:widowControl/>
        <w:spacing w:before="75" w:after="75" w:line="300" w:lineRule="atLeast"/>
        <w:ind w:firstLine="420"/>
        <w:rPr>
          <w:rFonts w:ascii="微软雅黑" w:hAnsi="微软雅黑" w:cs="Calibri"/>
          <w:color w:val="auto"/>
          <w:kern w:val="0"/>
          <w:szCs w:val="21"/>
          <w:highlight w:val="none"/>
        </w:rPr>
      </w:pPr>
      <w:r>
        <w:rPr>
          <w:rFonts w:hint="eastAsia" w:ascii="微软雅黑" w:hAnsi="微软雅黑" w:cs="Calibri"/>
          <w:color w:val="auto"/>
          <w:kern w:val="0"/>
          <w:szCs w:val="21"/>
          <w:highlight w:val="none"/>
        </w:rPr>
        <w:t>政府采购行政监管及投诉受理部门：嘉兴市财政局</w:t>
      </w:r>
    </w:p>
    <w:p w14:paraId="128B2D94">
      <w:pPr>
        <w:widowControl/>
        <w:spacing w:before="75" w:after="75" w:line="300" w:lineRule="atLeast"/>
        <w:ind w:firstLine="420"/>
        <w:rPr>
          <w:rFonts w:ascii="微软雅黑" w:hAnsi="微软雅黑" w:cs="Calibri"/>
          <w:color w:val="auto"/>
          <w:kern w:val="0"/>
          <w:szCs w:val="21"/>
          <w:highlight w:val="none"/>
        </w:rPr>
      </w:pPr>
      <w:r>
        <w:rPr>
          <w:rFonts w:hint="eastAsia" w:ascii="微软雅黑" w:hAnsi="微软雅黑" w:cs="Calibri"/>
          <w:color w:val="auto"/>
          <w:kern w:val="0"/>
          <w:szCs w:val="21"/>
          <w:highlight w:val="none"/>
        </w:rPr>
        <w:t>联系人：姚先生</w:t>
      </w:r>
    </w:p>
    <w:p w14:paraId="00603F44">
      <w:pPr>
        <w:widowControl/>
        <w:spacing w:before="75" w:after="75" w:line="300" w:lineRule="atLeast"/>
        <w:ind w:firstLine="420"/>
        <w:rPr>
          <w:rFonts w:ascii="微软雅黑" w:hAnsi="微软雅黑" w:cs="Calibri"/>
          <w:color w:val="auto"/>
          <w:kern w:val="0"/>
          <w:szCs w:val="21"/>
          <w:highlight w:val="none"/>
        </w:rPr>
      </w:pPr>
      <w:r>
        <w:rPr>
          <w:rFonts w:hint="eastAsia" w:ascii="微软雅黑" w:hAnsi="微软雅黑" w:cs="Calibri"/>
          <w:color w:val="auto"/>
          <w:kern w:val="0"/>
          <w:szCs w:val="21"/>
          <w:highlight w:val="none"/>
        </w:rPr>
        <w:t>联系方式：0573-82031217</w:t>
      </w:r>
    </w:p>
    <w:p w14:paraId="0767C589">
      <w:pPr>
        <w:pStyle w:val="18"/>
        <w:ind w:firstLine="420"/>
        <w:rPr>
          <w:color w:val="auto"/>
          <w:highlight w:val="none"/>
        </w:rPr>
      </w:pPr>
    </w:p>
    <w:p w14:paraId="3311C43B">
      <w:pPr>
        <w:ind w:firstLine="420"/>
        <w:rPr>
          <w:rFonts w:ascii="微软雅黑" w:hAnsi="微软雅黑"/>
          <w:color w:val="auto"/>
          <w:szCs w:val="21"/>
          <w:highlight w:val="none"/>
        </w:rPr>
      </w:pPr>
      <w:r>
        <w:rPr>
          <w:rFonts w:hint="eastAsia" w:ascii="微软雅黑" w:hAnsi="微软雅黑"/>
          <w:color w:val="auto"/>
          <w:szCs w:val="21"/>
          <w:highlight w:val="none"/>
        </w:rPr>
        <w:t>若对项目采购电子交易系统操作有疑问，可登录政采云（</w:t>
      </w:r>
      <w:r>
        <w:rPr>
          <w:rFonts w:ascii="微软雅黑" w:hAnsi="微软雅黑"/>
          <w:color w:val="auto"/>
          <w:szCs w:val="21"/>
          <w:highlight w:val="none"/>
        </w:rPr>
        <w:t>https://www.zcygov.cn/），点击右侧咨询小采，获取采小蜜智能服务管家帮助，或拨打政</w:t>
      </w:r>
      <w:r>
        <w:rPr>
          <w:rFonts w:hint="eastAsia" w:ascii="微软雅黑" w:hAnsi="微软雅黑"/>
          <w:color w:val="auto"/>
          <w:szCs w:val="21"/>
          <w:highlight w:val="none"/>
        </w:rPr>
        <w:t>采云服务热线95763</w:t>
      </w:r>
      <w:r>
        <w:rPr>
          <w:rFonts w:ascii="微软雅黑" w:hAnsi="微软雅黑"/>
          <w:color w:val="auto"/>
          <w:szCs w:val="21"/>
          <w:highlight w:val="none"/>
        </w:rPr>
        <w:t>获取热线服务帮助。</w:t>
      </w:r>
    </w:p>
    <w:p w14:paraId="6ECB1AF0">
      <w:pPr>
        <w:ind w:firstLine="420"/>
        <w:rPr>
          <w:rStyle w:val="66"/>
          <w:color w:val="auto"/>
          <w:highlight w:val="none"/>
        </w:rPr>
        <w:sectPr>
          <w:pgSz w:w="11907" w:h="16840"/>
          <w:pgMar w:top="1474" w:right="1797" w:bottom="1247" w:left="1797" w:header="851" w:footer="851" w:gutter="0"/>
          <w:cols w:space="720" w:num="1"/>
          <w:docGrid w:linePitch="312" w:charSpace="0"/>
        </w:sectPr>
      </w:pPr>
      <w:r>
        <w:rPr>
          <w:rFonts w:ascii="微软雅黑" w:hAnsi="微软雅黑"/>
          <w:color w:val="auto"/>
          <w:szCs w:val="21"/>
          <w:highlight w:val="none"/>
        </w:rPr>
        <w:t>CA问题联系电话（人工）：</w:t>
      </w:r>
      <w:r>
        <w:rPr>
          <w:rFonts w:hint="eastAsia" w:ascii="微软雅黑" w:hAnsi="微软雅黑"/>
          <w:color w:val="auto"/>
          <w:szCs w:val="21"/>
          <w:highlight w:val="none"/>
        </w:rPr>
        <w:t>汇信</w:t>
      </w:r>
      <w:r>
        <w:rPr>
          <w:rFonts w:ascii="微软雅黑" w:hAnsi="微软雅黑"/>
          <w:color w:val="auto"/>
          <w:szCs w:val="21"/>
          <w:highlight w:val="none"/>
        </w:rPr>
        <w:t>CA 400-888-4636；天谷CA 400-087-8198。</w:t>
      </w:r>
      <w:r>
        <w:rPr>
          <w:rFonts w:hint="eastAsia" w:ascii="微软雅黑" w:hAnsi="微软雅黑" w:cs="Arial"/>
          <w:color w:val="auto"/>
          <w:kern w:val="0"/>
          <w:szCs w:val="21"/>
          <w:highlight w:val="none"/>
        </w:rPr>
        <w:t xml:space="preserve"> </w:t>
      </w:r>
      <w:bookmarkStart w:id="20" w:name="_Toc5875"/>
    </w:p>
    <w:p w14:paraId="5A07ADA4">
      <w:pPr>
        <w:pStyle w:val="2"/>
        <w:numPr>
          <w:ilvl w:val="0"/>
          <w:numId w:val="3"/>
        </w:numPr>
        <w:rPr>
          <w:rStyle w:val="66"/>
          <w:b/>
          <w:bCs/>
          <w:color w:val="auto"/>
          <w:highlight w:val="none"/>
        </w:rPr>
        <w:sectPr>
          <w:headerReference r:id="rId16" w:type="first"/>
          <w:footerReference r:id="rId17" w:type="default"/>
          <w:headerReference r:id="rId15" w:type="even"/>
          <w:type w:val="continuous"/>
          <w:pgSz w:w="11907" w:h="16840"/>
          <w:pgMar w:top="1474" w:right="1797" w:bottom="1247" w:left="1797" w:header="851" w:footer="851" w:gutter="0"/>
          <w:cols w:space="720" w:num="1"/>
          <w:docGrid w:linePitch="312" w:charSpace="0"/>
        </w:sectPr>
      </w:pPr>
    </w:p>
    <w:p w14:paraId="4F25E4ED">
      <w:pPr>
        <w:pStyle w:val="2"/>
        <w:numPr>
          <w:ilvl w:val="0"/>
          <w:numId w:val="3"/>
        </w:numPr>
        <w:rPr>
          <w:rFonts w:ascii="微软雅黑" w:hAnsi="微软雅黑" w:cs="宋体"/>
          <w:color w:val="auto"/>
          <w:szCs w:val="21"/>
          <w:highlight w:val="none"/>
        </w:rPr>
      </w:pPr>
      <w:r>
        <w:rPr>
          <w:rStyle w:val="66"/>
          <w:rFonts w:hint="eastAsia"/>
          <w:b/>
          <w:bCs/>
          <w:color w:val="auto"/>
          <w:highlight w:val="none"/>
        </w:rPr>
        <w:t xml:space="preserve">  </w:t>
      </w:r>
      <w:bookmarkStart w:id="21" w:name="_Toc765"/>
      <w:bookmarkStart w:id="22" w:name="_Toc30616"/>
      <w:r>
        <w:rPr>
          <w:rStyle w:val="66"/>
          <w:rFonts w:hint="eastAsia"/>
          <w:b/>
          <w:bCs/>
          <w:color w:val="auto"/>
          <w:highlight w:val="none"/>
        </w:rPr>
        <w:t>招标项目要求</w:t>
      </w:r>
      <w:bookmarkEnd w:id="12"/>
      <w:bookmarkEnd w:id="20"/>
      <w:bookmarkEnd w:id="21"/>
      <w:bookmarkEnd w:id="22"/>
      <w:bookmarkStart w:id="23" w:name="_Toc164943185"/>
      <w:bookmarkStart w:id="24" w:name="_Toc169015109"/>
      <w:bookmarkStart w:id="25" w:name="_Toc435628187"/>
      <w:bookmarkStart w:id="26" w:name="_Toc405469032"/>
      <w:bookmarkStart w:id="27" w:name="_Hlk137124660"/>
      <w:bookmarkStart w:id="28" w:name="_Toc5175"/>
      <w:bookmarkStart w:id="29" w:name="_Toc97046150"/>
    </w:p>
    <w:p w14:paraId="7BCC3CB9">
      <w:pPr>
        <w:pStyle w:val="2"/>
        <w:numPr>
          <w:ilvl w:val="0"/>
          <w:numId w:val="4"/>
        </w:numPr>
        <w:jc w:val="both"/>
        <w:rPr>
          <w:rFonts w:ascii="微软雅黑" w:hAnsi="微软雅黑" w:cs="宋体"/>
          <w:color w:val="auto"/>
          <w:szCs w:val="21"/>
          <w:highlight w:val="none"/>
        </w:rPr>
      </w:pPr>
      <w:r>
        <w:rPr>
          <w:rFonts w:hint="eastAsia" w:ascii="微软雅黑" w:hAnsi="微软雅黑" w:cs="宋体"/>
          <w:color w:val="auto"/>
          <w:szCs w:val="21"/>
          <w:highlight w:val="none"/>
        </w:rPr>
        <w:t>项目背景</w:t>
      </w:r>
    </w:p>
    <w:p w14:paraId="6542833C">
      <w:pPr>
        <w:ind w:firstLine="420"/>
        <w:rPr>
          <w:rFonts w:ascii="宋体" w:hAnsi="宋体"/>
          <w:color w:val="auto"/>
          <w:highlight w:val="none"/>
        </w:rPr>
      </w:pPr>
      <w:r>
        <w:rPr>
          <w:rFonts w:hint="eastAsia" w:ascii="宋体" w:hAnsi="宋体"/>
          <w:color w:val="auto"/>
          <w:highlight w:val="none"/>
        </w:rPr>
        <w:t>随着学校和化工、环境、生物、高材、轻化等化工类专业的发展，以及学校向着地方应用型大学转型发展的需要，南湖学院新材料工程学院急需自己的化工原理实验室。为顺利完成合格性教学评估，保证教学计划的执行，提升实验教学水平，提升学生综合能力和创新能力，建设本项目。</w:t>
      </w:r>
    </w:p>
    <w:p w14:paraId="43B182B7">
      <w:pPr>
        <w:ind w:firstLine="420"/>
        <w:rPr>
          <w:color w:val="auto"/>
          <w:highlight w:val="none"/>
        </w:rPr>
      </w:pPr>
      <w:r>
        <w:rPr>
          <w:rFonts w:ascii="宋体" w:hAnsi="宋体"/>
          <w:bCs/>
          <w:color w:val="auto"/>
          <w:kern w:val="0"/>
          <w:highlight w:val="none"/>
        </w:rPr>
        <w:t>本</w:t>
      </w:r>
      <w:r>
        <w:rPr>
          <w:rFonts w:hint="eastAsia" w:ascii="宋体" w:hAnsi="宋体"/>
          <w:bCs/>
          <w:color w:val="auto"/>
          <w:kern w:val="0"/>
          <w:highlight w:val="none"/>
        </w:rPr>
        <w:t>项目</w:t>
      </w:r>
      <w:r>
        <w:rPr>
          <w:rFonts w:ascii="宋体" w:hAnsi="宋体"/>
          <w:bCs/>
          <w:color w:val="auto"/>
          <w:kern w:val="0"/>
          <w:highlight w:val="none"/>
        </w:rPr>
        <w:t>秉承先进、实用、准确、耐用和配套齐全的原则</w:t>
      </w:r>
      <w:r>
        <w:rPr>
          <w:rFonts w:hint="eastAsia" w:ascii="宋体" w:hAnsi="宋体"/>
          <w:bCs/>
          <w:color w:val="auto"/>
          <w:kern w:val="0"/>
          <w:highlight w:val="none"/>
        </w:rPr>
        <w:t>。</w:t>
      </w:r>
      <w:r>
        <w:rPr>
          <w:rFonts w:ascii="宋体" w:hAnsi="宋体"/>
          <w:bCs/>
          <w:color w:val="auto"/>
          <w:kern w:val="0"/>
          <w:highlight w:val="none"/>
        </w:rPr>
        <w:t>满足化工原理实验教学的基本要求，针对化工原理实验教学的预习、讲解、操作、练习、数据记录、考评等教学过程存在的问题，采用具有先进现代信息技术的智能实验装置</w:t>
      </w:r>
      <w:r>
        <w:rPr>
          <w:rFonts w:hint="eastAsia" w:ascii="宋体" w:hAnsi="宋体"/>
          <w:bCs/>
          <w:color w:val="auto"/>
          <w:kern w:val="0"/>
          <w:highlight w:val="none"/>
        </w:rPr>
        <w:t>，</w:t>
      </w:r>
      <w:r>
        <w:rPr>
          <w:rFonts w:ascii="宋体" w:hAnsi="宋体"/>
          <w:bCs/>
          <w:color w:val="auto"/>
          <w:kern w:val="0"/>
          <w:highlight w:val="none"/>
        </w:rPr>
        <w:t>配合仿真软件、微课</w:t>
      </w:r>
      <w:r>
        <w:rPr>
          <w:rFonts w:hint="eastAsia" w:ascii="宋体" w:hAnsi="宋体"/>
          <w:bCs/>
          <w:color w:val="auto"/>
          <w:kern w:val="0"/>
          <w:highlight w:val="none"/>
        </w:rPr>
        <w:t>、</w:t>
      </w:r>
      <w:r>
        <w:rPr>
          <w:rFonts w:ascii="宋体" w:hAnsi="宋体"/>
          <w:bCs/>
          <w:color w:val="auto"/>
          <w:kern w:val="0"/>
          <w:highlight w:val="none"/>
        </w:rPr>
        <w:t>实验纪录系统、</w:t>
      </w:r>
      <w:r>
        <w:rPr>
          <w:rFonts w:hint="eastAsia" w:ascii="宋体" w:hAnsi="宋体"/>
          <w:bCs/>
          <w:color w:val="auto"/>
          <w:kern w:val="0"/>
          <w:highlight w:val="none"/>
        </w:rPr>
        <w:t>实验</w:t>
      </w:r>
      <w:r>
        <w:rPr>
          <w:rFonts w:ascii="宋体" w:hAnsi="宋体"/>
          <w:bCs/>
          <w:color w:val="auto"/>
          <w:kern w:val="0"/>
          <w:highlight w:val="none"/>
        </w:rPr>
        <w:t>学习系统</w:t>
      </w:r>
      <w:r>
        <w:rPr>
          <w:rFonts w:hint="eastAsia" w:ascii="宋体" w:hAnsi="宋体"/>
          <w:bCs/>
          <w:color w:val="auto"/>
          <w:kern w:val="0"/>
          <w:highlight w:val="none"/>
        </w:rPr>
        <w:t>、</w:t>
      </w:r>
      <w:r>
        <w:rPr>
          <w:rFonts w:ascii="宋体" w:hAnsi="宋体"/>
          <w:bCs/>
          <w:color w:val="auto"/>
          <w:kern w:val="0"/>
          <w:highlight w:val="none"/>
        </w:rPr>
        <w:t>实验授课系统、</w:t>
      </w:r>
      <w:r>
        <w:rPr>
          <w:rFonts w:hint="eastAsia" w:ascii="宋体" w:hAnsi="宋体"/>
          <w:bCs/>
          <w:color w:val="auto"/>
          <w:kern w:val="0"/>
          <w:highlight w:val="none"/>
        </w:rPr>
        <w:t>实验报告系统</w:t>
      </w:r>
      <w:r>
        <w:rPr>
          <w:rFonts w:ascii="宋体" w:hAnsi="宋体"/>
          <w:bCs/>
          <w:color w:val="auto"/>
          <w:kern w:val="0"/>
          <w:highlight w:val="none"/>
        </w:rPr>
        <w:t>等教学资源，使教师和学生方便的</w:t>
      </w:r>
      <w:r>
        <w:rPr>
          <w:rFonts w:hint="eastAsia" w:ascii="宋体" w:hAnsi="宋体"/>
          <w:bCs/>
          <w:color w:val="auto"/>
          <w:kern w:val="0"/>
          <w:highlight w:val="none"/>
        </w:rPr>
        <w:t>利用现代信息技术</w:t>
      </w:r>
      <w:r>
        <w:rPr>
          <w:rFonts w:ascii="宋体" w:hAnsi="宋体"/>
          <w:bCs/>
          <w:color w:val="auto"/>
          <w:kern w:val="0"/>
          <w:highlight w:val="none"/>
        </w:rPr>
        <w:t>进行教学活动，</w:t>
      </w:r>
      <w:r>
        <w:rPr>
          <w:rFonts w:hint="eastAsia" w:ascii="宋体" w:hAnsi="宋体"/>
          <w:bCs/>
          <w:color w:val="auto"/>
          <w:kern w:val="0"/>
          <w:highlight w:val="none"/>
        </w:rPr>
        <w:t>建设智能</w:t>
      </w:r>
      <w:r>
        <w:rPr>
          <w:rFonts w:ascii="宋体" w:hAnsi="宋体"/>
          <w:bCs/>
          <w:color w:val="auto"/>
          <w:kern w:val="0"/>
          <w:highlight w:val="none"/>
        </w:rPr>
        <w:t>的化工原理实验教学</w:t>
      </w:r>
      <w:r>
        <w:rPr>
          <w:rFonts w:hint="eastAsia" w:ascii="宋体" w:hAnsi="宋体"/>
          <w:bCs/>
          <w:color w:val="auto"/>
          <w:kern w:val="0"/>
          <w:highlight w:val="none"/>
        </w:rPr>
        <w:t>环境。</w:t>
      </w:r>
    </w:p>
    <w:p w14:paraId="0BF0923B">
      <w:pPr>
        <w:pStyle w:val="2"/>
        <w:numPr>
          <w:ilvl w:val="0"/>
          <w:numId w:val="4"/>
        </w:numPr>
        <w:jc w:val="both"/>
        <w:rPr>
          <w:rFonts w:ascii="微软雅黑" w:hAnsi="微软雅黑" w:cs="宋体"/>
          <w:color w:val="auto"/>
          <w:szCs w:val="21"/>
          <w:highlight w:val="none"/>
        </w:rPr>
      </w:pPr>
      <w:r>
        <w:rPr>
          <w:rFonts w:hint="eastAsia" w:ascii="微软雅黑" w:hAnsi="微软雅黑" w:cs="宋体"/>
          <w:color w:val="auto"/>
          <w:szCs w:val="21"/>
          <w:highlight w:val="none"/>
        </w:rPr>
        <w:t>采购清单</w:t>
      </w:r>
    </w:p>
    <w:p w14:paraId="27269C8E">
      <w:pPr>
        <w:pStyle w:val="3"/>
        <w:numPr>
          <w:ilvl w:val="0"/>
          <w:numId w:val="5"/>
        </w:numPr>
        <w:ind w:left="0" w:firstLine="426" w:firstLineChars="0"/>
        <w:rPr>
          <w:color w:val="auto"/>
          <w:highlight w:val="none"/>
        </w:rPr>
      </w:pPr>
      <w:r>
        <w:rPr>
          <w:rFonts w:hint="eastAsia" w:ascii="微软雅黑" w:hAnsi="微软雅黑" w:cs="宋体"/>
          <w:bCs/>
          <w:color w:val="auto"/>
          <w:sz w:val="30"/>
          <w:szCs w:val="30"/>
          <w:highlight w:val="none"/>
        </w:rPr>
        <w:t>标项一</w:t>
      </w:r>
    </w:p>
    <w:tbl>
      <w:tblPr>
        <w:tblStyle w:val="52"/>
        <w:tblW w:w="847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2"/>
        <w:gridCol w:w="4621"/>
        <w:gridCol w:w="1454"/>
        <w:gridCol w:w="1454"/>
      </w:tblGrid>
      <w:tr w14:paraId="298B95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942" w:type="dxa"/>
            <w:tcBorders>
              <w:tl2br w:val="nil"/>
              <w:tr2bl w:val="nil"/>
            </w:tcBorders>
            <w:noWrap/>
            <w:vAlign w:val="center"/>
          </w:tcPr>
          <w:p w14:paraId="0F50B321">
            <w:pPr>
              <w:widowControl/>
              <w:spacing w:after="0" w:line="240" w:lineRule="auto"/>
              <w:ind w:firstLine="0" w:firstLineChars="0"/>
              <w:jc w:val="center"/>
              <w:rPr>
                <w:rFonts w:ascii="微软雅黑" w:hAnsi="微软雅黑"/>
                <w:b/>
                <w:bCs/>
                <w:color w:val="auto"/>
                <w:kern w:val="0"/>
                <w:szCs w:val="21"/>
                <w:highlight w:val="none"/>
              </w:rPr>
            </w:pPr>
            <w:r>
              <w:rPr>
                <w:rFonts w:ascii="微软雅黑" w:hAnsi="微软雅黑"/>
                <w:b/>
                <w:bCs/>
                <w:color w:val="auto"/>
                <w:kern w:val="0"/>
                <w:szCs w:val="21"/>
                <w:highlight w:val="none"/>
              </w:rPr>
              <w:t>序号</w:t>
            </w:r>
          </w:p>
        </w:tc>
        <w:tc>
          <w:tcPr>
            <w:tcW w:w="4621" w:type="dxa"/>
            <w:tcBorders>
              <w:tl2br w:val="nil"/>
              <w:tr2bl w:val="nil"/>
            </w:tcBorders>
            <w:noWrap/>
            <w:vAlign w:val="center"/>
          </w:tcPr>
          <w:p w14:paraId="25F4ADAA">
            <w:pPr>
              <w:widowControl/>
              <w:spacing w:after="0" w:line="240" w:lineRule="auto"/>
              <w:ind w:firstLine="0" w:firstLineChars="0"/>
              <w:rPr>
                <w:rFonts w:ascii="微软雅黑" w:hAnsi="微软雅黑"/>
                <w:b/>
                <w:bCs/>
                <w:color w:val="auto"/>
                <w:kern w:val="0"/>
                <w:szCs w:val="21"/>
                <w:highlight w:val="none"/>
              </w:rPr>
            </w:pPr>
            <w:r>
              <w:rPr>
                <w:rFonts w:ascii="微软雅黑" w:hAnsi="微软雅黑"/>
                <w:b/>
                <w:bCs/>
                <w:color w:val="auto"/>
                <w:kern w:val="0"/>
                <w:szCs w:val="21"/>
                <w:highlight w:val="none"/>
              </w:rPr>
              <w:t>设备名称</w:t>
            </w:r>
          </w:p>
        </w:tc>
        <w:tc>
          <w:tcPr>
            <w:tcW w:w="1454" w:type="dxa"/>
            <w:tcBorders>
              <w:tl2br w:val="nil"/>
              <w:tr2bl w:val="nil"/>
            </w:tcBorders>
            <w:noWrap/>
            <w:vAlign w:val="center"/>
          </w:tcPr>
          <w:p w14:paraId="36B720D6">
            <w:pPr>
              <w:widowControl/>
              <w:spacing w:after="0" w:line="240" w:lineRule="auto"/>
              <w:ind w:firstLine="0" w:firstLineChars="0"/>
              <w:jc w:val="center"/>
              <w:rPr>
                <w:rFonts w:ascii="微软雅黑" w:hAnsi="微软雅黑"/>
                <w:b/>
                <w:bCs/>
                <w:color w:val="auto"/>
                <w:kern w:val="0"/>
                <w:szCs w:val="21"/>
                <w:highlight w:val="none"/>
              </w:rPr>
            </w:pPr>
            <w:r>
              <w:rPr>
                <w:rFonts w:ascii="微软雅黑" w:hAnsi="微软雅黑"/>
                <w:b/>
                <w:bCs/>
                <w:color w:val="auto"/>
                <w:kern w:val="0"/>
                <w:szCs w:val="21"/>
                <w:highlight w:val="none"/>
              </w:rPr>
              <w:t>数量</w:t>
            </w:r>
          </w:p>
        </w:tc>
        <w:tc>
          <w:tcPr>
            <w:tcW w:w="1454" w:type="dxa"/>
            <w:tcBorders>
              <w:tl2br w:val="nil"/>
              <w:tr2bl w:val="nil"/>
            </w:tcBorders>
            <w:noWrap/>
            <w:vAlign w:val="center"/>
          </w:tcPr>
          <w:p w14:paraId="2A736F8F">
            <w:pPr>
              <w:widowControl/>
              <w:spacing w:after="0" w:line="240" w:lineRule="auto"/>
              <w:ind w:firstLine="0" w:firstLineChars="0"/>
              <w:jc w:val="center"/>
              <w:rPr>
                <w:rFonts w:ascii="微软雅黑" w:hAnsi="微软雅黑"/>
                <w:b/>
                <w:bCs/>
                <w:color w:val="auto"/>
                <w:szCs w:val="21"/>
                <w:highlight w:val="none"/>
              </w:rPr>
            </w:pPr>
            <w:r>
              <w:rPr>
                <w:rFonts w:hint="eastAsia" w:ascii="微软雅黑" w:hAnsi="微软雅黑"/>
                <w:b/>
                <w:bCs/>
                <w:color w:val="auto"/>
                <w:szCs w:val="21"/>
                <w:highlight w:val="none"/>
              </w:rPr>
              <w:t>单位</w:t>
            </w:r>
          </w:p>
        </w:tc>
      </w:tr>
      <w:tr w14:paraId="7F29D3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942" w:type="dxa"/>
            <w:tcBorders>
              <w:tl2br w:val="nil"/>
              <w:tr2bl w:val="nil"/>
            </w:tcBorders>
            <w:noWrap/>
            <w:vAlign w:val="center"/>
          </w:tcPr>
          <w:p w14:paraId="6AE672C0">
            <w:pPr>
              <w:spacing w:after="0" w:line="240" w:lineRule="auto"/>
              <w:ind w:firstLine="0" w:firstLineChars="0"/>
              <w:jc w:val="center"/>
              <w:rPr>
                <w:rFonts w:ascii="微软雅黑" w:hAnsi="微软雅黑"/>
                <w:color w:val="auto"/>
                <w:szCs w:val="21"/>
                <w:highlight w:val="none"/>
              </w:rPr>
            </w:pPr>
            <w:r>
              <w:rPr>
                <w:rFonts w:hint="eastAsia" w:ascii="微软雅黑" w:hAnsi="微软雅黑"/>
                <w:color w:val="auto"/>
                <w:szCs w:val="21"/>
                <w:highlight w:val="none"/>
              </w:rPr>
              <w:t>1</w:t>
            </w:r>
          </w:p>
        </w:tc>
        <w:tc>
          <w:tcPr>
            <w:tcW w:w="4621" w:type="dxa"/>
            <w:tcBorders>
              <w:tl2br w:val="nil"/>
              <w:tr2bl w:val="nil"/>
            </w:tcBorders>
            <w:noWrap/>
          </w:tcPr>
          <w:p w14:paraId="25CD31AD">
            <w:pPr>
              <w:spacing w:after="0" w:line="240" w:lineRule="auto"/>
              <w:ind w:firstLine="0" w:firstLineChars="0"/>
              <w:rPr>
                <w:rFonts w:ascii="微软雅黑" w:hAnsi="微软雅黑" w:cs="微软雅黑"/>
                <w:color w:val="auto"/>
                <w:szCs w:val="21"/>
                <w:highlight w:val="none"/>
              </w:rPr>
            </w:pPr>
            <w:r>
              <w:rPr>
                <w:rFonts w:hint="eastAsia" w:ascii="微软雅黑" w:hAnsi="微软雅黑" w:cs="微软雅黑"/>
                <w:color w:val="auto"/>
                <w:highlight w:val="none"/>
              </w:rPr>
              <w:t>紫外可见分光光谱仪(核心产品)</w:t>
            </w:r>
          </w:p>
        </w:tc>
        <w:tc>
          <w:tcPr>
            <w:tcW w:w="1454" w:type="dxa"/>
            <w:tcBorders>
              <w:tl2br w:val="nil"/>
              <w:tr2bl w:val="nil"/>
            </w:tcBorders>
            <w:noWrap/>
          </w:tcPr>
          <w:p w14:paraId="4BF7927D">
            <w:pPr>
              <w:spacing w:after="0" w:line="240" w:lineRule="auto"/>
              <w:ind w:firstLine="0" w:firstLineChars="0"/>
              <w:jc w:val="center"/>
              <w:rPr>
                <w:rFonts w:ascii="微软雅黑" w:hAnsi="微软雅黑" w:cs="微软雅黑"/>
                <w:color w:val="auto"/>
                <w:szCs w:val="21"/>
                <w:highlight w:val="none"/>
              </w:rPr>
            </w:pPr>
            <w:r>
              <w:rPr>
                <w:rFonts w:hint="eastAsia" w:ascii="微软雅黑" w:hAnsi="微软雅黑" w:cs="微软雅黑"/>
                <w:color w:val="auto"/>
                <w:highlight w:val="none"/>
              </w:rPr>
              <w:t>1</w:t>
            </w:r>
          </w:p>
        </w:tc>
        <w:tc>
          <w:tcPr>
            <w:tcW w:w="1454" w:type="dxa"/>
            <w:tcBorders>
              <w:tl2br w:val="nil"/>
              <w:tr2bl w:val="nil"/>
            </w:tcBorders>
            <w:noWrap/>
          </w:tcPr>
          <w:p w14:paraId="73BB9AAD">
            <w:pPr>
              <w:widowControl/>
              <w:spacing w:after="0" w:line="240" w:lineRule="auto"/>
              <w:ind w:firstLine="0" w:firstLineChars="0"/>
              <w:jc w:val="center"/>
              <w:rPr>
                <w:rFonts w:ascii="微软雅黑" w:hAnsi="微软雅黑" w:cs="微软雅黑"/>
                <w:b/>
                <w:bCs/>
                <w:color w:val="auto"/>
                <w:szCs w:val="21"/>
                <w:highlight w:val="none"/>
              </w:rPr>
            </w:pPr>
            <w:r>
              <w:rPr>
                <w:rFonts w:hint="eastAsia" w:ascii="微软雅黑" w:hAnsi="微软雅黑" w:cs="微软雅黑"/>
                <w:color w:val="auto"/>
                <w:highlight w:val="none"/>
              </w:rPr>
              <w:t>台</w:t>
            </w:r>
          </w:p>
        </w:tc>
      </w:tr>
      <w:tr w14:paraId="60376C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942" w:type="dxa"/>
            <w:tcBorders>
              <w:tl2br w:val="nil"/>
              <w:tr2bl w:val="nil"/>
            </w:tcBorders>
            <w:noWrap/>
            <w:vAlign w:val="center"/>
          </w:tcPr>
          <w:p w14:paraId="02AF9ADF">
            <w:pPr>
              <w:spacing w:after="0" w:line="240" w:lineRule="auto"/>
              <w:ind w:firstLine="0" w:firstLineChars="0"/>
              <w:jc w:val="center"/>
              <w:rPr>
                <w:rFonts w:ascii="微软雅黑" w:hAnsi="微软雅黑"/>
                <w:color w:val="auto"/>
                <w:szCs w:val="21"/>
                <w:highlight w:val="none"/>
              </w:rPr>
            </w:pPr>
            <w:r>
              <w:rPr>
                <w:rFonts w:hint="eastAsia" w:ascii="微软雅黑" w:hAnsi="微软雅黑"/>
                <w:color w:val="auto"/>
                <w:szCs w:val="21"/>
                <w:highlight w:val="none"/>
              </w:rPr>
              <w:t>2</w:t>
            </w:r>
          </w:p>
        </w:tc>
        <w:tc>
          <w:tcPr>
            <w:tcW w:w="4621" w:type="dxa"/>
            <w:tcBorders>
              <w:tl2br w:val="nil"/>
              <w:tr2bl w:val="nil"/>
            </w:tcBorders>
            <w:noWrap/>
          </w:tcPr>
          <w:p w14:paraId="25D51B6E">
            <w:pPr>
              <w:spacing w:after="0" w:line="240" w:lineRule="auto"/>
              <w:ind w:firstLine="0" w:firstLineChars="0"/>
              <w:rPr>
                <w:rFonts w:ascii="微软雅黑" w:hAnsi="微软雅黑" w:cs="微软雅黑"/>
                <w:color w:val="auto"/>
                <w:szCs w:val="21"/>
                <w:highlight w:val="none"/>
              </w:rPr>
            </w:pPr>
            <w:r>
              <w:rPr>
                <w:rFonts w:hint="eastAsia" w:ascii="微软雅黑" w:hAnsi="微软雅黑" w:cs="微软雅黑"/>
                <w:color w:val="auto"/>
                <w:highlight w:val="none"/>
              </w:rPr>
              <w:t>分子荧光光谱仪</w:t>
            </w:r>
          </w:p>
        </w:tc>
        <w:tc>
          <w:tcPr>
            <w:tcW w:w="1454" w:type="dxa"/>
            <w:tcBorders>
              <w:tl2br w:val="nil"/>
              <w:tr2bl w:val="nil"/>
            </w:tcBorders>
            <w:noWrap/>
          </w:tcPr>
          <w:p w14:paraId="7B8A0A33">
            <w:pPr>
              <w:spacing w:after="0" w:line="240" w:lineRule="auto"/>
              <w:ind w:firstLine="0" w:firstLineChars="0"/>
              <w:jc w:val="center"/>
              <w:rPr>
                <w:rFonts w:ascii="微软雅黑" w:hAnsi="微软雅黑" w:cs="微软雅黑"/>
                <w:color w:val="auto"/>
                <w:szCs w:val="21"/>
                <w:highlight w:val="none"/>
              </w:rPr>
            </w:pPr>
            <w:r>
              <w:rPr>
                <w:rFonts w:hint="eastAsia" w:ascii="微软雅黑" w:hAnsi="微软雅黑" w:cs="微软雅黑"/>
                <w:color w:val="auto"/>
                <w:highlight w:val="none"/>
              </w:rPr>
              <w:t>1</w:t>
            </w:r>
          </w:p>
        </w:tc>
        <w:tc>
          <w:tcPr>
            <w:tcW w:w="1454" w:type="dxa"/>
            <w:tcBorders>
              <w:tl2br w:val="nil"/>
              <w:tr2bl w:val="nil"/>
            </w:tcBorders>
            <w:noWrap/>
          </w:tcPr>
          <w:p w14:paraId="79B6430E">
            <w:pPr>
              <w:widowControl/>
              <w:spacing w:after="0" w:line="240" w:lineRule="auto"/>
              <w:ind w:firstLine="0" w:firstLineChars="0"/>
              <w:jc w:val="center"/>
              <w:rPr>
                <w:rFonts w:ascii="微软雅黑" w:hAnsi="微软雅黑" w:cs="微软雅黑"/>
                <w:b/>
                <w:bCs/>
                <w:color w:val="auto"/>
                <w:szCs w:val="21"/>
                <w:highlight w:val="none"/>
              </w:rPr>
            </w:pPr>
            <w:r>
              <w:rPr>
                <w:rFonts w:hint="eastAsia" w:ascii="微软雅黑" w:hAnsi="微软雅黑" w:cs="微软雅黑"/>
                <w:color w:val="auto"/>
                <w:highlight w:val="none"/>
              </w:rPr>
              <w:t>台</w:t>
            </w:r>
          </w:p>
        </w:tc>
      </w:tr>
      <w:tr w14:paraId="73B376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942" w:type="dxa"/>
            <w:tcBorders>
              <w:tl2br w:val="nil"/>
              <w:tr2bl w:val="nil"/>
            </w:tcBorders>
            <w:noWrap/>
            <w:vAlign w:val="center"/>
          </w:tcPr>
          <w:p w14:paraId="493A9FDF">
            <w:pPr>
              <w:spacing w:after="0" w:line="240" w:lineRule="auto"/>
              <w:ind w:firstLine="0" w:firstLineChars="0"/>
              <w:jc w:val="center"/>
              <w:rPr>
                <w:rFonts w:ascii="微软雅黑" w:hAnsi="微软雅黑"/>
                <w:color w:val="auto"/>
                <w:szCs w:val="21"/>
                <w:highlight w:val="none"/>
              </w:rPr>
            </w:pPr>
            <w:r>
              <w:rPr>
                <w:rFonts w:hint="eastAsia" w:ascii="微软雅黑" w:hAnsi="微软雅黑"/>
                <w:color w:val="auto"/>
                <w:szCs w:val="21"/>
                <w:highlight w:val="none"/>
              </w:rPr>
              <w:t>3</w:t>
            </w:r>
          </w:p>
        </w:tc>
        <w:tc>
          <w:tcPr>
            <w:tcW w:w="4621" w:type="dxa"/>
            <w:tcBorders>
              <w:tl2br w:val="nil"/>
              <w:tr2bl w:val="nil"/>
            </w:tcBorders>
            <w:noWrap/>
          </w:tcPr>
          <w:p w14:paraId="69140EF7">
            <w:pPr>
              <w:spacing w:after="0" w:line="240" w:lineRule="auto"/>
              <w:ind w:firstLine="0" w:firstLineChars="0"/>
              <w:rPr>
                <w:rFonts w:ascii="微软雅黑" w:hAnsi="微软雅黑" w:cs="微软雅黑"/>
                <w:color w:val="auto"/>
                <w:szCs w:val="21"/>
                <w:highlight w:val="none"/>
              </w:rPr>
            </w:pPr>
            <w:r>
              <w:rPr>
                <w:rFonts w:hint="eastAsia" w:ascii="微软雅黑" w:hAnsi="微软雅黑" w:cs="微软雅黑"/>
                <w:color w:val="auto"/>
                <w:highlight w:val="none"/>
              </w:rPr>
              <w:t>万分之一分析天平</w:t>
            </w:r>
          </w:p>
        </w:tc>
        <w:tc>
          <w:tcPr>
            <w:tcW w:w="1454" w:type="dxa"/>
            <w:tcBorders>
              <w:tl2br w:val="nil"/>
              <w:tr2bl w:val="nil"/>
            </w:tcBorders>
            <w:noWrap/>
          </w:tcPr>
          <w:p w14:paraId="418F1B95">
            <w:pPr>
              <w:spacing w:after="0" w:line="240" w:lineRule="auto"/>
              <w:ind w:firstLine="0" w:firstLineChars="0"/>
              <w:jc w:val="center"/>
              <w:rPr>
                <w:rFonts w:ascii="微软雅黑" w:hAnsi="微软雅黑" w:cs="微软雅黑"/>
                <w:color w:val="auto"/>
                <w:szCs w:val="21"/>
                <w:highlight w:val="none"/>
              </w:rPr>
            </w:pPr>
            <w:r>
              <w:rPr>
                <w:rFonts w:hint="eastAsia" w:ascii="微软雅黑" w:hAnsi="微软雅黑" w:cs="微软雅黑"/>
                <w:color w:val="auto"/>
                <w:highlight w:val="none"/>
              </w:rPr>
              <w:t>27</w:t>
            </w:r>
          </w:p>
        </w:tc>
        <w:tc>
          <w:tcPr>
            <w:tcW w:w="1454" w:type="dxa"/>
            <w:tcBorders>
              <w:tl2br w:val="nil"/>
              <w:tr2bl w:val="nil"/>
            </w:tcBorders>
            <w:noWrap/>
          </w:tcPr>
          <w:p w14:paraId="2A21F4A7">
            <w:pPr>
              <w:widowControl/>
              <w:spacing w:after="0" w:line="240" w:lineRule="auto"/>
              <w:ind w:firstLine="0" w:firstLineChars="0"/>
              <w:jc w:val="center"/>
              <w:rPr>
                <w:rFonts w:ascii="微软雅黑" w:hAnsi="微软雅黑" w:cs="微软雅黑"/>
                <w:b/>
                <w:bCs/>
                <w:color w:val="auto"/>
                <w:szCs w:val="21"/>
                <w:highlight w:val="none"/>
              </w:rPr>
            </w:pPr>
            <w:r>
              <w:rPr>
                <w:rFonts w:hint="eastAsia" w:ascii="微软雅黑" w:hAnsi="微软雅黑" w:cs="微软雅黑"/>
                <w:color w:val="auto"/>
                <w:highlight w:val="none"/>
              </w:rPr>
              <w:t>台</w:t>
            </w:r>
          </w:p>
        </w:tc>
      </w:tr>
      <w:tr w14:paraId="1C1F8B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942" w:type="dxa"/>
            <w:tcBorders>
              <w:tl2br w:val="nil"/>
              <w:tr2bl w:val="nil"/>
            </w:tcBorders>
            <w:noWrap/>
            <w:vAlign w:val="center"/>
          </w:tcPr>
          <w:p w14:paraId="46C759BB">
            <w:pPr>
              <w:spacing w:after="0" w:line="240" w:lineRule="auto"/>
              <w:ind w:firstLine="0" w:firstLineChars="0"/>
              <w:jc w:val="center"/>
              <w:rPr>
                <w:rFonts w:ascii="微软雅黑" w:hAnsi="微软雅黑"/>
                <w:color w:val="auto"/>
                <w:szCs w:val="21"/>
                <w:highlight w:val="none"/>
              </w:rPr>
            </w:pPr>
            <w:r>
              <w:rPr>
                <w:rFonts w:hint="eastAsia" w:ascii="微软雅黑" w:hAnsi="微软雅黑"/>
                <w:color w:val="auto"/>
                <w:szCs w:val="21"/>
                <w:highlight w:val="none"/>
              </w:rPr>
              <w:t>4</w:t>
            </w:r>
          </w:p>
        </w:tc>
        <w:tc>
          <w:tcPr>
            <w:tcW w:w="4621" w:type="dxa"/>
            <w:tcBorders>
              <w:tl2br w:val="nil"/>
              <w:tr2bl w:val="nil"/>
            </w:tcBorders>
            <w:noWrap/>
          </w:tcPr>
          <w:p w14:paraId="68CA2616">
            <w:pPr>
              <w:spacing w:after="0" w:line="240" w:lineRule="auto"/>
              <w:ind w:firstLine="0" w:firstLineChars="0"/>
              <w:rPr>
                <w:rFonts w:ascii="微软雅黑" w:hAnsi="微软雅黑" w:cs="微软雅黑"/>
                <w:color w:val="auto"/>
                <w:szCs w:val="21"/>
                <w:highlight w:val="none"/>
              </w:rPr>
            </w:pPr>
            <w:r>
              <w:rPr>
                <w:rFonts w:hint="eastAsia" w:ascii="微软雅黑" w:hAnsi="微软雅黑" w:cs="微软雅黑"/>
                <w:color w:val="auto"/>
                <w:highlight w:val="none"/>
              </w:rPr>
              <w:t>pH计</w:t>
            </w:r>
          </w:p>
        </w:tc>
        <w:tc>
          <w:tcPr>
            <w:tcW w:w="1454" w:type="dxa"/>
            <w:tcBorders>
              <w:tl2br w:val="nil"/>
              <w:tr2bl w:val="nil"/>
            </w:tcBorders>
            <w:noWrap/>
          </w:tcPr>
          <w:p w14:paraId="2E23FAF3">
            <w:pPr>
              <w:spacing w:after="0" w:line="240" w:lineRule="auto"/>
              <w:ind w:firstLine="0" w:firstLineChars="0"/>
              <w:jc w:val="center"/>
              <w:rPr>
                <w:rFonts w:ascii="微软雅黑" w:hAnsi="微软雅黑" w:cs="微软雅黑"/>
                <w:color w:val="auto"/>
                <w:szCs w:val="21"/>
                <w:highlight w:val="none"/>
              </w:rPr>
            </w:pPr>
            <w:r>
              <w:rPr>
                <w:rFonts w:hint="eastAsia" w:ascii="微软雅黑" w:hAnsi="微软雅黑" w:cs="微软雅黑"/>
                <w:color w:val="auto"/>
                <w:highlight w:val="none"/>
              </w:rPr>
              <w:t>13</w:t>
            </w:r>
          </w:p>
        </w:tc>
        <w:tc>
          <w:tcPr>
            <w:tcW w:w="1454" w:type="dxa"/>
            <w:tcBorders>
              <w:tl2br w:val="nil"/>
              <w:tr2bl w:val="nil"/>
            </w:tcBorders>
            <w:noWrap/>
          </w:tcPr>
          <w:p w14:paraId="355F17C4">
            <w:pPr>
              <w:widowControl/>
              <w:spacing w:after="0" w:line="240" w:lineRule="auto"/>
              <w:ind w:firstLine="0" w:firstLineChars="0"/>
              <w:jc w:val="center"/>
              <w:rPr>
                <w:rFonts w:ascii="微软雅黑" w:hAnsi="微软雅黑" w:cs="微软雅黑"/>
                <w:b/>
                <w:bCs/>
                <w:color w:val="auto"/>
                <w:szCs w:val="21"/>
                <w:highlight w:val="none"/>
              </w:rPr>
            </w:pPr>
            <w:r>
              <w:rPr>
                <w:rFonts w:hint="eastAsia" w:ascii="微软雅黑" w:hAnsi="微软雅黑" w:cs="微软雅黑"/>
                <w:color w:val="auto"/>
                <w:highlight w:val="none"/>
              </w:rPr>
              <w:t>台</w:t>
            </w:r>
          </w:p>
        </w:tc>
      </w:tr>
      <w:tr w14:paraId="1F2C50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942" w:type="dxa"/>
            <w:tcBorders>
              <w:tl2br w:val="nil"/>
              <w:tr2bl w:val="nil"/>
            </w:tcBorders>
            <w:noWrap/>
            <w:vAlign w:val="center"/>
          </w:tcPr>
          <w:p w14:paraId="01402A07">
            <w:pPr>
              <w:spacing w:after="0" w:line="240" w:lineRule="auto"/>
              <w:ind w:firstLine="0" w:firstLineChars="0"/>
              <w:jc w:val="center"/>
              <w:rPr>
                <w:rFonts w:ascii="微软雅黑" w:hAnsi="微软雅黑"/>
                <w:color w:val="auto"/>
                <w:szCs w:val="21"/>
                <w:highlight w:val="none"/>
              </w:rPr>
            </w:pPr>
            <w:r>
              <w:rPr>
                <w:rFonts w:hint="eastAsia" w:ascii="微软雅黑" w:hAnsi="微软雅黑"/>
                <w:color w:val="auto"/>
                <w:szCs w:val="21"/>
                <w:highlight w:val="none"/>
              </w:rPr>
              <w:t>5</w:t>
            </w:r>
          </w:p>
        </w:tc>
        <w:tc>
          <w:tcPr>
            <w:tcW w:w="4621" w:type="dxa"/>
            <w:tcBorders>
              <w:tl2br w:val="nil"/>
              <w:tr2bl w:val="nil"/>
            </w:tcBorders>
            <w:noWrap/>
          </w:tcPr>
          <w:p w14:paraId="1598FEA6">
            <w:pPr>
              <w:spacing w:after="0" w:line="240" w:lineRule="auto"/>
              <w:ind w:firstLine="0" w:firstLineChars="0"/>
              <w:rPr>
                <w:rFonts w:ascii="微软雅黑" w:hAnsi="微软雅黑" w:cs="微软雅黑"/>
                <w:color w:val="auto"/>
                <w:szCs w:val="21"/>
                <w:highlight w:val="none"/>
              </w:rPr>
            </w:pPr>
            <w:r>
              <w:rPr>
                <w:rFonts w:hint="eastAsia" w:ascii="微软雅黑" w:hAnsi="微软雅黑" w:cs="微软雅黑"/>
                <w:color w:val="auto"/>
                <w:highlight w:val="none"/>
              </w:rPr>
              <w:t>防爆冰箱</w:t>
            </w:r>
          </w:p>
        </w:tc>
        <w:tc>
          <w:tcPr>
            <w:tcW w:w="1454" w:type="dxa"/>
            <w:tcBorders>
              <w:tl2br w:val="nil"/>
              <w:tr2bl w:val="nil"/>
            </w:tcBorders>
            <w:noWrap/>
          </w:tcPr>
          <w:p w14:paraId="296DF150">
            <w:pPr>
              <w:spacing w:after="0" w:line="240" w:lineRule="auto"/>
              <w:ind w:firstLine="0" w:firstLineChars="0"/>
              <w:jc w:val="center"/>
              <w:rPr>
                <w:rFonts w:ascii="微软雅黑" w:hAnsi="微软雅黑" w:cs="微软雅黑"/>
                <w:color w:val="auto"/>
                <w:szCs w:val="21"/>
                <w:highlight w:val="none"/>
              </w:rPr>
            </w:pPr>
            <w:r>
              <w:rPr>
                <w:rFonts w:hint="eastAsia" w:ascii="微软雅黑" w:hAnsi="微软雅黑" w:cs="微软雅黑"/>
                <w:color w:val="auto"/>
                <w:highlight w:val="none"/>
              </w:rPr>
              <w:t>3</w:t>
            </w:r>
          </w:p>
        </w:tc>
        <w:tc>
          <w:tcPr>
            <w:tcW w:w="1454" w:type="dxa"/>
            <w:tcBorders>
              <w:tl2br w:val="nil"/>
              <w:tr2bl w:val="nil"/>
            </w:tcBorders>
            <w:noWrap/>
          </w:tcPr>
          <w:p w14:paraId="79CF4238">
            <w:pPr>
              <w:widowControl/>
              <w:spacing w:after="0" w:line="240" w:lineRule="auto"/>
              <w:ind w:firstLine="0" w:firstLineChars="0"/>
              <w:jc w:val="center"/>
              <w:rPr>
                <w:rFonts w:ascii="微软雅黑" w:hAnsi="微软雅黑" w:cs="微软雅黑"/>
                <w:b/>
                <w:bCs/>
                <w:color w:val="auto"/>
                <w:szCs w:val="21"/>
                <w:highlight w:val="none"/>
              </w:rPr>
            </w:pPr>
            <w:r>
              <w:rPr>
                <w:rFonts w:hint="eastAsia" w:ascii="微软雅黑" w:hAnsi="微软雅黑" w:cs="微软雅黑"/>
                <w:color w:val="auto"/>
                <w:highlight w:val="none"/>
              </w:rPr>
              <w:t>台</w:t>
            </w:r>
          </w:p>
        </w:tc>
      </w:tr>
      <w:tr w14:paraId="7DB6CF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942" w:type="dxa"/>
            <w:tcBorders>
              <w:tl2br w:val="nil"/>
              <w:tr2bl w:val="nil"/>
            </w:tcBorders>
            <w:noWrap/>
            <w:vAlign w:val="center"/>
          </w:tcPr>
          <w:p w14:paraId="02219A82">
            <w:pPr>
              <w:spacing w:after="0" w:line="240" w:lineRule="auto"/>
              <w:ind w:firstLine="0" w:firstLineChars="0"/>
              <w:jc w:val="center"/>
              <w:rPr>
                <w:rFonts w:ascii="微软雅黑" w:hAnsi="微软雅黑"/>
                <w:color w:val="auto"/>
                <w:szCs w:val="21"/>
                <w:highlight w:val="none"/>
              </w:rPr>
            </w:pPr>
            <w:r>
              <w:rPr>
                <w:rFonts w:hint="eastAsia" w:ascii="微软雅黑" w:hAnsi="微软雅黑"/>
                <w:color w:val="auto"/>
                <w:szCs w:val="21"/>
                <w:highlight w:val="none"/>
              </w:rPr>
              <w:t>6</w:t>
            </w:r>
          </w:p>
        </w:tc>
        <w:tc>
          <w:tcPr>
            <w:tcW w:w="4621" w:type="dxa"/>
            <w:tcBorders>
              <w:tl2br w:val="nil"/>
              <w:tr2bl w:val="nil"/>
            </w:tcBorders>
            <w:noWrap/>
          </w:tcPr>
          <w:p w14:paraId="5E3123C6">
            <w:pPr>
              <w:spacing w:after="0" w:line="240" w:lineRule="auto"/>
              <w:ind w:firstLine="0" w:firstLineChars="0"/>
              <w:rPr>
                <w:rFonts w:ascii="微软雅黑" w:hAnsi="微软雅黑" w:cs="微软雅黑"/>
                <w:color w:val="auto"/>
                <w:szCs w:val="21"/>
                <w:highlight w:val="none"/>
              </w:rPr>
            </w:pPr>
            <w:r>
              <w:rPr>
                <w:rFonts w:hint="eastAsia" w:ascii="微软雅黑" w:hAnsi="微软雅黑" w:cs="微软雅黑"/>
                <w:color w:val="auto"/>
                <w:highlight w:val="none"/>
              </w:rPr>
              <w:t>燃烧热实验装置</w:t>
            </w:r>
          </w:p>
        </w:tc>
        <w:tc>
          <w:tcPr>
            <w:tcW w:w="1454" w:type="dxa"/>
            <w:tcBorders>
              <w:tl2br w:val="nil"/>
              <w:tr2bl w:val="nil"/>
            </w:tcBorders>
            <w:noWrap/>
          </w:tcPr>
          <w:p w14:paraId="1E3645C4">
            <w:pPr>
              <w:spacing w:after="0" w:line="240" w:lineRule="auto"/>
              <w:ind w:firstLine="0" w:firstLineChars="0"/>
              <w:jc w:val="center"/>
              <w:rPr>
                <w:rFonts w:ascii="微软雅黑" w:hAnsi="微软雅黑" w:cs="微软雅黑"/>
                <w:color w:val="auto"/>
                <w:szCs w:val="21"/>
                <w:highlight w:val="none"/>
              </w:rPr>
            </w:pPr>
            <w:r>
              <w:rPr>
                <w:rFonts w:hint="eastAsia" w:ascii="微软雅黑" w:hAnsi="微软雅黑" w:cs="微软雅黑"/>
                <w:color w:val="auto"/>
                <w:highlight w:val="none"/>
              </w:rPr>
              <w:t>8</w:t>
            </w:r>
          </w:p>
        </w:tc>
        <w:tc>
          <w:tcPr>
            <w:tcW w:w="1454" w:type="dxa"/>
            <w:tcBorders>
              <w:tl2br w:val="nil"/>
              <w:tr2bl w:val="nil"/>
            </w:tcBorders>
            <w:noWrap/>
          </w:tcPr>
          <w:p w14:paraId="231F2AB9">
            <w:pPr>
              <w:widowControl/>
              <w:spacing w:after="0" w:line="240" w:lineRule="auto"/>
              <w:ind w:firstLine="0" w:firstLineChars="0"/>
              <w:jc w:val="center"/>
              <w:rPr>
                <w:rFonts w:ascii="微软雅黑" w:hAnsi="微软雅黑" w:cs="微软雅黑"/>
                <w:b/>
                <w:bCs/>
                <w:color w:val="auto"/>
                <w:szCs w:val="21"/>
                <w:highlight w:val="none"/>
              </w:rPr>
            </w:pPr>
            <w:r>
              <w:rPr>
                <w:rFonts w:hint="eastAsia" w:ascii="微软雅黑" w:hAnsi="微软雅黑" w:cs="微软雅黑"/>
                <w:color w:val="auto"/>
                <w:highlight w:val="none"/>
              </w:rPr>
              <w:t>套</w:t>
            </w:r>
          </w:p>
        </w:tc>
      </w:tr>
      <w:tr w14:paraId="4D2BC2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942" w:type="dxa"/>
            <w:tcBorders>
              <w:tl2br w:val="nil"/>
              <w:tr2bl w:val="nil"/>
            </w:tcBorders>
            <w:noWrap/>
            <w:vAlign w:val="center"/>
          </w:tcPr>
          <w:p w14:paraId="694BE836">
            <w:pPr>
              <w:widowControl/>
              <w:spacing w:after="0" w:line="240" w:lineRule="auto"/>
              <w:ind w:firstLine="0" w:firstLineChars="0"/>
              <w:jc w:val="center"/>
              <w:rPr>
                <w:rFonts w:ascii="微软雅黑" w:hAnsi="微软雅黑"/>
                <w:color w:val="auto"/>
                <w:kern w:val="0"/>
                <w:szCs w:val="21"/>
                <w:highlight w:val="none"/>
              </w:rPr>
            </w:pPr>
            <w:r>
              <w:rPr>
                <w:rFonts w:hint="eastAsia" w:ascii="微软雅黑" w:hAnsi="微软雅黑"/>
                <w:color w:val="auto"/>
                <w:kern w:val="0"/>
                <w:szCs w:val="21"/>
                <w:highlight w:val="none"/>
              </w:rPr>
              <w:t>7</w:t>
            </w:r>
          </w:p>
        </w:tc>
        <w:tc>
          <w:tcPr>
            <w:tcW w:w="4621" w:type="dxa"/>
            <w:tcBorders>
              <w:tl2br w:val="nil"/>
              <w:tr2bl w:val="nil"/>
            </w:tcBorders>
            <w:noWrap/>
          </w:tcPr>
          <w:p w14:paraId="20185123">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highlight w:val="none"/>
              </w:rPr>
              <w:t>玻璃恒温水浴</w:t>
            </w:r>
          </w:p>
        </w:tc>
        <w:tc>
          <w:tcPr>
            <w:tcW w:w="1454" w:type="dxa"/>
            <w:tcBorders>
              <w:tl2br w:val="nil"/>
              <w:tr2bl w:val="nil"/>
            </w:tcBorders>
            <w:noWrap/>
          </w:tcPr>
          <w:p w14:paraId="5FED664F">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highlight w:val="none"/>
              </w:rPr>
              <w:t>16</w:t>
            </w:r>
          </w:p>
        </w:tc>
        <w:tc>
          <w:tcPr>
            <w:tcW w:w="1454" w:type="dxa"/>
            <w:tcBorders>
              <w:tl2br w:val="nil"/>
              <w:tr2bl w:val="nil"/>
            </w:tcBorders>
            <w:noWrap/>
          </w:tcPr>
          <w:p w14:paraId="317AC030">
            <w:pPr>
              <w:widowControl/>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highlight w:val="none"/>
              </w:rPr>
              <w:t>台</w:t>
            </w:r>
          </w:p>
        </w:tc>
      </w:tr>
      <w:tr w14:paraId="451D26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942" w:type="dxa"/>
            <w:tcBorders>
              <w:tl2br w:val="nil"/>
              <w:tr2bl w:val="nil"/>
            </w:tcBorders>
            <w:noWrap/>
            <w:vAlign w:val="center"/>
          </w:tcPr>
          <w:p w14:paraId="22E322D2">
            <w:pPr>
              <w:widowControl/>
              <w:spacing w:after="0" w:line="240" w:lineRule="auto"/>
              <w:ind w:firstLine="0" w:firstLineChars="0"/>
              <w:jc w:val="center"/>
              <w:rPr>
                <w:rFonts w:ascii="微软雅黑" w:hAnsi="微软雅黑"/>
                <w:color w:val="auto"/>
                <w:kern w:val="0"/>
                <w:szCs w:val="21"/>
                <w:highlight w:val="none"/>
              </w:rPr>
            </w:pPr>
            <w:r>
              <w:rPr>
                <w:rFonts w:ascii="微软雅黑" w:hAnsi="微软雅黑"/>
                <w:color w:val="auto"/>
                <w:kern w:val="0"/>
                <w:szCs w:val="21"/>
                <w:highlight w:val="none"/>
              </w:rPr>
              <w:t>8</w:t>
            </w:r>
          </w:p>
        </w:tc>
        <w:tc>
          <w:tcPr>
            <w:tcW w:w="4621" w:type="dxa"/>
            <w:tcBorders>
              <w:tl2br w:val="nil"/>
              <w:tr2bl w:val="nil"/>
            </w:tcBorders>
            <w:noWrap/>
          </w:tcPr>
          <w:p w14:paraId="7EBBA8C1">
            <w:pPr>
              <w:spacing w:after="0" w:line="240" w:lineRule="auto"/>
              <w:ind w:firstLine="0" w:firstLineChars="0"/>
              <w:rPr>
                <w:rFonts w:ascii="微软雅黑" w:hAnsi="微软雅黑" w:cs="微软雅黑"/>
                <w:color w:val="auto"/>
                <w:szCs w:val="21"/>
                <w:highlight w:val="none"/>
              </w:rPr>
            </w:pPr>
            <w:r>
              <w:rPr>
                <w:rFonts w:hint="eastAsia" w:ascii="微软雅黑" w:hAnsi="微软雅黑" w:cs="微软雅黑"/>
                <w:color w:val="auto"/>
                <w:highlight w:val="none"/>
              </w:rPr>
              <w:t>数字电位差综合测试仪</w:t>
            </w:r>
          </w:p>
        </w:tc>
        <w:tc>
          <w:tcPr>
            <w:tcW w:w="1454" w:type="dxa"/>
            <w:tcBorders>
              <w:tl2br w:val="nil"/>
              <w:tr2bl w:val="nil"/>
            </w:tcBorders>
            <w:noWrap/>
          </w:tcPr>
          <w:p w14:paraId="0045E57C">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highlight w:val="none"/>
              </w:rPr>
              <w:t>8</w:t>
            </w:r>
          </w:p>
        </w:tc>
        <w:tc>
          <w:tcPr>
            <w:tcW w:w="1454" w:type="dxa"/>
            <w:tcBorders>
              <w:tl2br w:val="nil"/>
              <w:tr2bl w:val="nil"/>
            </w:tcBorders>
            <w:noWrap/>
          </w:tcPr>
          <w:p w14:paraId="148172C8">
            <w:pPr>
              <w:widowControl/>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highlight w:val="none"/>
              </w:rPr>
              <w:t>台</w:t>
            </w:r>
          </w:p>
        </w:tc>
      </w:tr>
      <w:tr w14:paraId="5C539D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 w:hRule="atLeast"/>
        </w:trPr>
        <w:tc>
          <w:tcPr>
            <w:tcW w:w="942" w:type="dxa"/>
            <w:tcBorders>
              <w:tl2br w:val="nil"/>
              <w:tr2bl w:val="nil"/>
            </w:tcBorders>
            <w:noWrap/>
            <w:vAlign w:val="center"/>
          </w:tcPr>
          <w:p w14:paraId="0A6DB94C">
            <w:pPr>
              <w:widowControl/>
              <w:spacing w:after="0" w:line="240" w:lineRule="auto"/>
              <w:ind w:firstLine="0" w:firstLineChars="0"/>
              <w:jc w:val="center"/>
              <w:rPr>
                <w:rFonts w:ascii="微软雅黑" w:hAnsi="微软雅黑"/>
                <w:color w:val="auto"/>
                <w:kern w:val="0"/>
                <w:szCs w:val="21"/>
                <w:highlight w:val="none"/>
              </w:rPr>
            </w:pPr>
            <w:r>
              <w:rPr>
                <w:rFonts w:ascii="微软雅黑" w:hAnsi="微软雅黑"/>
                <w:color w:val="auto"/>
                <w:kern w:val="0"/>
                <w:szCs w:val="21"/>
                <w:highlight w:val="none"/>
              </w:rPr>
              <w:t>9</w:t>
            </w:r>
          </w:p>
        </w:tc>
        <w:tc>
          <w:tcPr>
            <w:tcW w:w="4621" w:type="dxa"/>
            <w:tcBorders>
              <w:tl2br w:val="nil"/>
              <w:tr2bl w:val="nil"/>
            </w:tcBorders>
            <w:noWrap/>
          </w:tcPr>
          <w:p w14:paraId="2E6A4831">
            <w:pPr>
              <w:spacing w:after="0" w:line="240" w:lineRule="auto"/>
              <w:ind w:firstLine="0" w:firstLineChars="0"/>
              <w:rPr>
                <w:rFonts w:ascii="微软雅黑" w:hAnsi="微软雅黑" w:cs="微软雅黑"/>
                <w:color w:val="auto"/>
                <w:szCs w:val="21"/>
                <w:highlight w:val="none"/>
              </w:rPr>
            </w:pPr>
            <w:r>
              <w:rPr>
                <w:rFonts w:hint="eastAsia" w:ascii="微软雅黑" w:hAnsi="微软雅黑" w:cs="微软雅黑"/>
                <w:color w:val="auto"/>
                <w:highlight w:val="none"/>
              </w:rPr>
              <w:t>凝固点降低装置</w:t>
            </w:r>
          </w:p>
        </w:tc>
        <w:tc>
          <w:tcPr>
            <w:tcW w:w="1454" w:type="dxa"/>
            <w:tcBorders>
              <w:tl2br w:val="nil"/>
              <w:tr2bl w:val="nil"/>
            </w:tcBorders>
            <w:noWrap/>
          </w:tcPr>
          <w:p w14:paraId="3E604064">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highlight w:val="none"/>
              </w:rPr>
              <w:t>8</w:t>
            </w:r>
          </w:p>
        </w:tc>
        <w:tc>
          <w:tcPr>
            <w:tcW w:w="1454" w:type="dxa"/>
            <w:tcBorders>
              <w:tl2br w:val="nil"/>
              <w:tr2bl w:val="nil"/>
            </w:tcBorders>
            <w:noWrap/>
          </w:tcPr>
          <w:p w14:paraId="0D9305D6">
            <w:pPr>
              <w:widowControl/>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highlight w:val="none"/>
              </w:rPr>
              <w:t>套</w:t>
            </w:r>
          </w:p>
        </w:tc>
      </w:tr>
      <w:tr w14:paraId="79E160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942" w:type="dxa"/>
            <w:tcBorders>
              <w:tl2br w:val="nil"/>
              <w:tr2bl w:val="nil"/>
            </w:tcBorders>
            <w:noWrap/>
            <w:vAlign w:val="center"/>
          </w:tcPr>
          <w:p w14:paraId="0ECD8779">
            <w:pPr>
              <w:widowControl/>
              <w:spacing w:after="0" w:line="240" w:lineRule="auto"/>
              <w:ind w:firstLine="0" w:firstLineChars="0"/>
              <w:jc w:val="center"/>
              <w:rPr>
                <w:rFonts w:ascii="微软雅黑" w:hAnsi="微软雅黑"/>
                <w:color w:val="auto"/>
                <w:kern w:val="0"/>
                <w:szCs w:val="21"/>
                <w:highlight w:val="none"/>
              </w:rPr>
            </w:pPr>
            <w:r>
              <w:rPr>
                <w:rFonts w:ascii="微软雅黑" w:hAnsi="微软雅黑"/>
                <w:color w:val="auto"/>
                <w:kern w:val="0"/>
                <w:szCs w:val="21"/>
                <w:highlight w:val="none"/>
              </w:rPr>
              <w:t>10</w:t>
            </w:r>
          </w:p>
        </w:tc>
        <w:tc>
          <w:tcPr>
            <w:tcW w:w="4621" w:type="dxa"/>
            <w:tcBorders>
              <w:tl2br w:val="nil"/>
              <w:tr2bl w:val="nil"/>
            </w:tcBorders>
            <w:noWrap/>
          </w:tcPr>
          <w:p w14:paraId="7DD2F63C">
            <w:pPr>
              <w:spacing w:after="0" w:line="240" w:lineRule="auto"/>
              <w:ind w:firstLine="0" w:firstLineChars="0"/>
              <w:rPr>
                <w:rFonts w:ascii="微软雅黑" w:hAnsi="微软雅黑" w:cs="微软雅黑"/>
                <w:color w:val="auto"/>
                <w:szCs w:val="21"/>
                <w:highlight w:val="none"/>
              </w:rPr>
            </w:pPr>
            <w:r>
              <w:rPr>
                <w:rFonts w:hint="eastAsia" w:ascii="微软雅黑" w:hAnsi="微软雅黑" w:cs="微软雅黑"/>
                <w:color w:val="auto"/>
                <w:highlight w:val="none"/>
              </w:rPr>
              <w:t>紫外可见分光光度计</w:t>
            </w:r>
          </w:p>
        </w:tc>
        <w:tc>
          <w:tcPr>
            <w:tcW w:w="1454" w:type="dxa"/>
            <w:tcBorders>
              <w:tl2br w:val="nil"/>
              <w:tr2bl w:val="nil"/>
            </w:tcBorders>
            <w:noWrap/>
          </w:tcPr>
          <w:p w14:paraId="213D4E5D">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highlight w:val="none"/>
              </w:rPr>
              <w:t>7</w:t>
            </w:r>
          </w:p>
        </w:tc>
        <w:tc>
          <w:tcPr>
            <w:tcW w:w="1454" w:type="dxa"/>
            <w:tcBorders>
              <w:tl2br w:val="nil"/>
              <w:tr2bl w:val="nil"/>
            </w:tcBorders>
            <w:noWrap/>
          </w:tcPr>
          <w:p w14:paraId="47F41549">
            <w:pPr>
              <w:widowControl/>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highlight w:val="none"/>
              </w:rPr>
              <w:t>台</w:t>
            </w:r>
          </w:p>
        </w:tc>
      </w:tr>
      <w:tr w14:paraId="2498D9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942" w:type="dxa"/>
            <w:tcBorders>
              <w:tl2br w:val="nil"/>
              <w:tr2bl w:val="nil"/>
            </w:tcBorders>
            <w:noWrap/>
            <w:vAlign w:val="center"/>
          </w:tcPr>
          <w:p w14:paraId="56456C96">
            <w:pPr>
              <w:widowControl/>
              <w:spacing w:after="0" w:line="240" w:lineRule="auto"/>
              <w:ind w:firstLine="0" w:firstLineChars="0"/>
              <w:jc w:val="center"/>
              <w:rPr>
                <w:rFonts w:ascii="微软雅黑" w:hAnsi="微软雅黑"/>
                <w:color w:val="auto"/>
                <w:kern w:val="0"/>
                <w:szCs w:val="21"/>
                <w:highlight w:val="none"/>
              </w:rPr>
            </w:pPr>
            <w:r>
              <w:rPr>
                <w:rFonts w:ascii="微软雅黑" w:hAnsi="微软雅黑"/>
                <w:color w:val="auto"/>
                <w:kern w:val="0"/>
                <w:szCs w:val="21"/>
                <w:highlight w:val="none"/>
              </w:rPr>
              <w:t>11</w:t>
            </w:r>
          </w:p>
        </w:tc>
        <w:tc>
          <w:tcPr>
            <w:tcW w:w="4621" w:type="dxa"/>
            <w:tcBorders>
              <w:tl2br w:val="nil"/>
              <w:tr2bl w:val="nil"/>
            </w:tcBorders>
            <w:noWrap/>
          </w:tcPr>
          <w:p w14:paraId="40639DD2">
            <w:pPr>
              <w:spacing w:after="0" w:line="240" w:lineRule="auto"/>
              <w:ind w:firstLine="0" w:firstLineChars="0"/>
              <w:rPr>
                <w:rFonts w:ascii="微软雅黑" w:hAnsi="微软雅黑" w:cs="微软雅黑"/>
                <w:color w:val="auto"/>
                <w:szCs w:val="21"/>
                <w:highlight w:val="none"/>
              </w:rPr>
            </w:pPr>
            <w:r>
              <w:rPr>
                <w:rFonts w:hint="eastAsia" w:ascii="微软雅黑" w:hAnsi="微软雅黑" w:cs="微软雅黑"/>
                <w:color w:val="auto"/>
                <w:highlight w:val="none"/>
              </w:rPr>
              <w:t>DP-AF精密数字（真空）压力计</w:t>
            </w:r>
          </w:p>
        </w:tc>
        <w:tc>
          <w:tcPr>
            <w:tcW w:w="1454" w:type="dxa"/>
            <w:tcBorders>
              <w:tl2br w:val="nil"/>
              <w:tr2bl w:val="nil"/>
            </w:tcBorders>
            <w:noWrap/>
          </w:tcPr>
          <w:p w14:paraId="48AA4746">
            <w:pPr>
              <w:widowControl/>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highlight w:val="none"/>
              </w:rPr>
              <w:t>8</w:t>
            </w:r>
          </w:p>
        </w:tc>
        <w:tc>
          <w:tcPr>
            <w:tcW w:w="1454" w:type="dxa"/>
            <w:tcBorders>
              <w:tl2br w:val="nil"/>
              <w:tr2bl w:val="nil"/>
            </w:tcBorders>
            <w:noWrap/>
          </w:tcPr>
          <w:p w14:paraId="477D14EE">
            <w:pPr>
              <w:widowControl/>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highlight w:val="none"/>
              </w:rPr>
              <w:t>台</w:t>
            </w:r>
          </w:p>
        </w:tc>
      </w:tr>
      <w:tr w14:paraId="084ED5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942" w:type="dxa"/>
            <w:tcBorders>
              <w:tl2br w:val="nil"/>
              <w:tr2bl w:val="nil"/>
            </w:tcBorders>
            <w:noWrap/>
            <w:vAlign w:val="center"/>
          </w:tcPr>
          <w:p w14:paraId="16E6C584">
            <w:pPr>
              <w:widowControl/>
              <w:spacing w:after="0" w:line="240" w:lineRule="auto"/>
              <w:ind w:firstLine="0" w:firstLineChars="0"/>
              <w:jc w:val="center"/>
              <w:rPr>
                <w:rFonts w:ascii="微软雅黑" w:hAnsi="微软雅黑"/>
                <w:color w:val="auto"/>
                <w:kern w:val="0"/>
                <w:szCs w:val="21"/>
                <w:highlight w:val="none"/>
              </w:rPr>
            </w:pPr>
            <w:r>
              <w:rPr>
                <w:rFonts w:ascii="微软雅黑" w:hAnsi="微软雅黑"/>
                <w:color w:val="auto"/>
                <w:kern w:val="0"/>
                <w:szCs w:val="21"/>
                <w:highlight w:val="none"/>
              </w:rPr>
              <w:t>12</w:t>
            </w:r>
          </w:p>
        </w:tc>
        <w:tc>
          <w:tcPr>
            <w:tcW w:w="4621" w:type="dxa"/>
            <w:tcBorders>
              <w:tl2br w:val="nil"/>
              <w:tr2bl w:val="nil"/>
            </w:tcBorders>
            <w:noWrap/>
          </w:tcPr>
          <w:p w14:paraId="2E340ADB">
            <w:pPr>
              <w:spacing w:after="0" w:line="240" w:lineRule="auto"/>
              <w:ind w:firstLine="0" w:firstLineChars="0"/>
              <w:rPr>
                <w:rFonts w:ascii="微软雅黑" w:hAnsi="微软雅黑" w:cs="微软雅黑"/>
                <w:color w:val="auto"/>
                <w:szCs w:val="21"/>
                <w:highlight w:val="none"/>
              </w:rPr>
            </w:pPr>
            <w:r>
              <w:rPr>
                <w:rFonts w:hint="eastAsia" w:ascii="微软雅黑" w:hAnsi="微软雅黑" w:cs="微软雅黑"/>
                <w:color w:val="auto"/>
                <w:highlight w:val="none"/>
              </w:rPr>
              <w:t>精密数字（微差压）压力计</w:t>
            </w:r>
          </w:p>
        </w:tc>
        <w:tc>
          <w:tcPr>
            <w:tcW w:w="1454" w:type="dxa"/>
            <w:tcBorders>
              <w:tl2br w:val="nil"/>
              <w:tr2bl w:val="nil"/>
            </w:tcBorders>
            <w:noWrap/>
          </w:tcPr>
          <w:p w14:paraId="1D914C5A">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highlight w:val="none"/>
              </w:rPr>
              <w:t>8</w:t>
            </w:r>
          </w:p>
        </w:tc>
        <w:tc>
          <w:tcPr>
            <w:tcW w:w="1454" w:type="dxa"/>
            <w:tcBorders>
              <w:tl2br w:val="nil"/>
              <w:tr2bl w:val="nil"/>
            </w:tcBorders>
            <w:noWrap/>
          </w:tcPr>
          <w:p w14:paraId="6A2AD589">
            <w:pPr>
              <w:widowControl/>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highlight w:val="none"/>
              </w:rPr>
              <w:t>台</w:t>
            </w:r>
          </w:p>
        </w:tc>
      </w:tr>
      <w:tr w14:paraId="0BE28B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942" w:type="dxa"/>
            <w:tcBorders>
              <w:tl2br w:val="nil"/>
              <w:tr2bl w:val="nil"/>
            </w:tcBorders>
            <w:noWrap/>
            <w:vAlign w:val="center"/>
          </w:tcPr>
          <w:p w14:paraId="53610BC1">
            <w:pPr>
              <w:widowControl/>
              <w:spacing w:after="0" w:line="240" w:lineRule="auto"/>
              <w:ind w:firstLine="0" w:firstLineChars="0"/>
              <w:jc w:val="center"/>
              <w:rPr>
                <w:rFonts w:ascii="微软雅黑" w:hAnsi="微软雅黑"/>
                <w:color w:val="auto"/>
                <w:kern w:val="0"/>
                <w:szCs w:val="21"/>
                <w:highlight w:val="none"/>
              </w:rPr>
            </w:pPr>
            <w:r>
              <w:rPr>
                <w:rFonts w:ascii="微软雅黑" w:hAnsi="微软雅黑"/>
                <w:color w:val="auto"/>
                <w:kern w:val="0"/>
                <w:szCs w:val="21"/>
                <w:highlight w:val="none"/>
              </w:rPr>
              <w:t>13</w:t>
            </w:r>
          </w:p>
        </w:tc>
        <w:tc>
          <w:tcPr>
            <w:tcW w:w="4621" w:type="dxa"/>
            <w:tcBorders>
              <w:tl2br w:val="nil"/>
              <w:tr2bl w:val="nil"/>
            </w:tcBorders>
            <w:noWrap/>
          </w:tcPr>
          <w:p w14:paraId="4D0CC1CE">
            <w:pPr>
              <w:spacing w:after="0" w:line="240" w:lineRule="auto"/>
              <w:ind w:firstLine="0" w:firstLineChars="0"/>
              <w:rPr>
                <w:rFonts w:ascii="微软雅黑" w:hAnsi="微软雅黑" w:cs="微软雅黑"/>
                <w:color w:val="auto"/>
                <w:szCs w:val="21"/>
                <w:highlight w:val="none"/>
              </w:rPr>
            </w:pPr>
            <w:r>
              <w:rPr>
                <w:rFonts w:hint="eastAsia" w:ascii="微软雅黑" w:hAnsi="微软雅黑" w:cs="微软雅黑"/>
                <w:color w:val="auto"/>
                <w:highlight w:val="none"/>
              </w:rPr>
              <w:t>数控恒温磁力搅拌电热套</w:t>
            </w:r>
          </w:p>
        </w:tc>
        <w:tc>
          <w:tcPr>
            <w:tcW w:w="1454" w:type="dxa"/>
            <w:tcBorders>
              <w:tl2br w:val="nil"/>
              <w:tr2bl w:val="nil"/>
            </w:tcBorders>
            <w:noWrap/>
          </w:tcPr>
          <w:p w14:paraId="7D73DBBE">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highlight w:val="none"/>
              </w:rPr>
              <w:t>35</w:t>
            </w:r>
          </w:p>
        </w:tc>
        <w:tc>
          <w:tcPr>
            <w:tcW w:w="1454" w:type="dxa"/>
            <w:tcBorders>
              <w:tl2br w:val="nil"/>
              <w:tr2bl w:val="nil"/>
            </w:tcBorders>
            <w:noWrap/>
          </w:tcPr>
          <w:p w14:paraId="60C1F50B">
            <w:pPr>
              <w:widowControl/>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highlight w:val="none"/>
              </w:rPr>
              <w:t>台</w:t>
            </w:r>
          </w:p>
        </w:tc>
      </w:tr>
      <w:tr w14:paraId="773D11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942" w:type="dxa"/>
            <w:tcBorders>
              <w:tl2br w:val="nil"/>
              <w:tr2bl w:val="nil"/>
            </w:tcBorders>
            <w:noWrap/>
            <w:vAlign w:val="center"/>
          </w:tcPr>
          <w:p w14:paraId="0D1ED047">
            <w:pPr>
              <w:widowControl/>
              <w:spacing w:after="0" w:line="240" w:lineRule="auto"/>
              <w:ind w:firstLine="0" w:firstLineChars="0"/>
              <w:jc w:val="center"/>
              <w:rPr>
                <w:rFonts w:ascii="微软雅黑" w:hAnsi="微软雅黑"/>
                <w:color w:val="auto"/>
                <w:kern w:val="0"/>
                <w:szCs w:val="21"/>
                <w:highlight w:val="none"/>
              </w:rPr>
            </w:pPr>
            <w:r>
              <w:rPr>
                <w:rFonts w:ascii="微软雅黑" w:hAnsi="微软雅黑"/>
                <w:color w:val="auto"/>
                <w:kern w:val="0"/>
                <w:szCs w:val="21"/>
                <w:highlight w:val="none"/>
              </w:rPr>
              <w:t>14</w:t>
            </w:r>
          </w:p>
        </w:tc>
        <w:tc>
          <w:tcPr>
            <w:tcW w:w="4621" w:type="dxa"/>
            <w:tcBorders>
              <w:tl2br w:val="nil"/>
              <w:tr2bl w:val="nil"/>
            </w:tcBorders>
            <w:noWrap/>
          </w:tcPr>
          <w:p w14:paraId="7228EAB6">
            <w:pPr>
              <w:spacing w:after="0" w:line="240" w:lineRule="auto"/>
              <w:ind w:firstLine="0" w:firstLineChars="0"/>
              <w:rPr>
                <w:rFonts w:ascii="微软雅黑" w:hAnsi="微软雅黑" w:cs="微软雅黑"/>
                <w:color w:val="auto"/>
                <w:szCs w:val="21"/>
                <w:highlight w:val="none"/>
              </w:rPr>
            </w:pPr>
            <w:r>
              <w:rPr>
                <w:rFonts w:hint="eastAsia" w:ascii="微软雅黑" w:hAnsi="微软雅黑" w:cs="微软雅黑"/>
                <w:color w:val="auto"/>
                <w:highlight w:val="none"/>
              </w:rPr>
              <w:t>电导率仪</w:t>
            </w:r>
          </w:p>
        </w:tc>
        <w:tc>
          <w:tcPr>
            <w:tcW w:w="1454" w:type="dxa"/>
            <w:tcBorders>
              <w:tl2br w:val="nil"/>
              <w:tr2bl w:val="nil"/>
            </w:tcBorders>
            <w:noWrap/>
          </w:tcPr>
          <w:p w14:paraId="26C14DCB">
            <w:pPr>
              <w:widowControl/>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highlight w:val="none"/>
              </w:rPr>
              <w:t>8</w:t>
            </w:r>
          </w:p>
        </w:tc>
        <w:tc>
          <w:tcPr>
            <w:tcW w:w="1454" w:type="dxa"/>
            <w:tcBorders>
              <w:tl2br w:val="nil"/>
              <w:tr2bl w:val="nil"/>
            </w:tcBorders>
            <w:noWrap/>
          </w:tcPr>
          <w:p w14:paraId="60D21A05">
            <w:pPr>
              <w:widowControl/>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highlight w:val="none"/>
              </w:rPr>
              <w:t>台</w:t>
            </w:r>
          </w:p>
        </w:tc>
      </w:tr>
      <w:tr w14:paraId="512773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942" w:type="dxa"/>
            <w:tcBorders>
              <w:tl2br w:val="nil"/>
              <w:tr2bl w:val="nil"/>
            </w:tcBorders>
            <w:noWrap/>
            <w:vAlign w:val="center"/>
          </w:tcPr>
          <w:p w14:paraId="7CCC9400">
            <w:pPr>
              <w:widowControl/>
              <w:spacing w:after="0" w:line="240" w:lineRule="auto"/>
              <w:ind w:firstLine="0" w:firstLineChars="0"/>
              <w:jc w:val="center"/>
              <w:rPr>
                <w:rFonts w:ascii="微软雅黑" w:hAnsi="微软雅黑"/>
                <w:color w:val="auto"/>
                <w:kern w:val="0"/>
                <w:szCs w:val="21"/>
                <w:highlight w:val="none"/>
              </w:rPr>
            </w:pPr>
            <w:r>
              <w:rPr>
                <w:rFonts w:ascii="微软雅黑" w:hAnsi="微软雅黑"/>
                <w:color w:val="auto"/>
                <w:kern w:val="0"/>
                <w:szCs w:val="21"/>
                <w:highlight w:val="none"/>
              </w:rPr>
              <w:t>15</w:t>
            </w:r>
          </w:p>
        </w:tc>
        <w:tc>
          <w:tcPr>
            <w:tcW w:w="4621" w:type="dxa"/>
            <w:tcBorders>
              <w:tl2br w:val="nil"/>
              <w:tr2bl w:val="nil"/>
            </w:tcBorders>
            <w:noWrap/>
          </w:tcPr>
          <w:p w14:paraId="4F56C1A7">
            <w:pPr>
              <w:spacing w:after="0" w:line="240" w:lineRule="auto"/>
              <w:ind w:firstLine="0" w:firstLineChars="0"/>
              <w:rPr>
                <w:rFonts w:ascii="微软雅黑" w:hAnsi="微软雅黑" w:cs="微软雅黑"/>
                <w:color w:val="auto"/>
                <w:szCs w:val="21"/>
                <w:highlight w:val="none"/>
              </w:rPr>
            </w:pPr>
            <w:r>
              <w:rPr>
                <w:rFonts w:hint="eastAsia" w:ascii="微软雅黑" w:hAnsi="微软雅黑" w:cs="微软雅黑"/>
                <w:color w:val="auto"/>
                <w:highlight w:val="none"/>
              </w:rPr>
              <w:t>电子天平</w:t>
            </w:r>
          </w:p>
        </w:tc>
        <w:tc>
          <w:tcPr>
            <w:tcW w:w="1454" w:type="dxa"/>
            <w:tcBorders>
              <w:tl2br w:val="nil"/>
              <w:tr2bl w:val="nil"/>
            </w:tcBorders>
            <w:noWrap/>
          </w:tcPr>
          <w:p w14:paraId="4E501509">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highlight w:val="none"/>
              </w:rPr>
              <w:t>26</w:t>
            </w:r>
          </w:p>
        </w:tc>
        <w:tc>
          <w:tcPr>
            <w:tcW w:w="1454" w:type="dxa"/>
            <w:tcBorders>
              <w:tl2br w:val="nil"/>
              <w:tr2bl w:val="nil"/>
            </w:tcBorders>
            <w:noWrap/>
          </w:tcPr>
          <w:p w14:paraId="7143CD4A">
            <w:pPr>
              <w:widowControl/>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highlight w:val="none"/>
              </w:rPr>
              <w:t>台</w:t>
            </w:r>
          </w:p>
        </w:tc>
      </w:tr>
      <w:tr w14:paraId="7D22E7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942" w:type="dxa"/>
            <w:tcBorders>
              <w:tl2br w:val="nil"/>
              <w:tr2bl w:val="nil"/>
            </w:tcBorders>
            <w:noWrap/>
            <w:vAlign w:val="center"/>
          </w:tcPr>
          <w:p w14:paraId="718B1EE1">
            <w:pPr>
              <w:widowControl/>
              <w:spacing w:after="0" w:line="240" w:lineRule="auto"/>
              <w:ind w:firstLine="0" w:firstLineChars="0"/>
              <w:jc w:val="center"/>
              <w:rPr>
                <w:rFonts w:ascii="微软雅黑" w:hAnsi="微软雅黑"/>
                <w:color w:val="auto"/>
                <w:kern w:val="0"/>
                <w:szCs w:val="21"/>
                <w:highlight w:val="none"/>
              </w:rPr>
            </w:pPr>
            <w:r>
              <w:rPr>
                <w:rFonts w:ascii="微软雅黑" w:hAnsi="微软雅黑"/>
                <w:color w:val="auto"/>
                <w:kern w:val="0"/>
                <w:szCs w:val="21"/>
                <w:highlight w:val="none"/>
              </w:rPr>
              <w:t>16</w:t>
            </w:r>
          </w:p>
        </w:tc>
        <w:tc>
          <w:tcPr>
            <w:tcW w:w="4621" w:type="dxa"/>
            <w:tcBorders>
              <w:tl2br w:val="nil"/>
              <w:tr2bl w:val="nil"/>
            </w:tcBorders>
            <w:noWrap/>
          </w:tcPr>
          <w:p w14:paraId="012C9D92">
            <w:pPr>
              <w:spacing w:after="0" w:line="240" w:lineRule="auto"/>
              <w:ind w:firstLine="0" w:firstLineChars="0"/>
              <w:rPr>
                <w:rFonts w:ascii="微软雅黑" w:hAnsi="微软雅黑" w:cs="微软雅黑"/>
                <w:color w:val="auto"/>
                <w:szCs w:val="21"/>
                <w:highlight w:val="none"/>
              </w:rPr>
            </w:pPr>
            <w:r>
              <w:rPr>
                <w:rFonts w:hint="eastAsia" w:ascii="微软雅黑" w:hAnsi="微软雅黑" w:cs="微软雅黑"/>
                <w:color w:val="auto"/>
                <w:highlight w:val="none"/>
              </w:rPr>
              <w:t>超声清洗机</w:t>
            </w:r>
          </w:p>
        </w:tc>
        <w:tc>
          <w:tcPr>
            <w:tcW w:w="1454" w:type="dxa"/>
            <w:tcBorders>
              <w:tl2br w:val="nil"/>
              <w:tr2bl w:val="nil"/>
            </w:tcBorders>
            <w:noWrap/>
          </w:tcPr>
          <w:p w14:paraId="27A59905">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highlight w:val="none"/>
              </w:rPr>
              <w:t>3</w:t>
            </w:r>
          </w:p>
        </w:tc>
        <w:tc>
          <w:tcPr>
            <w:tcW w:w="1454" w:type="dxa"/>
            <w:tcBorders>
              <w:tl2br w:val="nil"/>
              <w:tr2bl w:val="nil"/>
            </w:tcBorders>
            <w:noWrap/>
          </w:tcPr>
          <w:p w14:paraId="16EC2A63">
            <w:pPr>
              <w:widowControl/>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highlight w:val="none"/>
              </w:rPr>
              <w:t>台</w:t>
            </w:r>
          </w:p>
        </w:tc>
      </w:tr>
      <w:tr w14:paraId="2F6C94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942" w:type="dxa"/>
            <w:tcBorders>
              <w:tl2br w:val="nil"/>
              <w:tr2bl w:val="nil"/>
            </w:tcBorders>
            <w:noWrap/>
            <w:vAlign w:val="center"/>
          </w:tcPr>
          <w:p w14:paraId="3F1ADF29">
            <w:pPr>
              <w:widowControl/>
              <w:spacing w:after="0" w:line="240" w:lineRule="auto"/>
              <w:ind w:firstLine="0" w:firstLineChars="0"/>
              <w:jc w:val="center"/>
              <w:rPr>
                <w:rFonts w:ascii="微软雅黑" w:hAnsi="微软雅黑"/>
                <w:color w:val="auto"/>
                <w:kern w:val="0"/>
                <w:szCs w:val="21"/>
                <w:highlight w:val="none"/>
              </w:rPr>
            </w:pPr>
            <w:r>
              <w:rPr>
                <w:rFonts w:ascii="微软雅黑" w:hAnsi="微软雅黑"/>
                <w:color w:val="auto"/>
                <w:kern w:val="0"/>
                <w:szCs w:val="21"/>
                <w:highlight w:val="none"/>
              </w:rPr>
              <w:t>17</w:t>
            </w:r>
          </w:p>
        </w:tc>
        <w:tc>
          <w:tcPr>
            <w:tcW w:w="4621" w:type="dxa"/>
            <w:tcBorders>
              <w:tl2br w:val="nil"/>
              <w:tr2bl w:val="nil"/>
            </w:tcBorders>
            <w:noWrap/>
          </w:tcPr>
          <w:p w14:paraId="04F00795">
            <w:pPr>
              <w:spacing w:after="0" w:line="240" w:lineRule="auto"/>
              <w:ind w:firstLine="0" w:firstLineChars="0"/>
              <w:rPr>
                <w:rFonts w:ascii="微软雅黑" w:hAnsi="微软雅黑" w:cs="微软雅黑"/>
                <w:color w:val="auto"/>
                <w:szCs w:val="21"/>
                <w:highlight w:val="none"/>
              </w:rPr>
            </w:pPr>
            <w:r>
              <w:rPr>
                <w:rFonts w:hint="eastAsia" w:ascii="微软雅黑" w:hAnsi="微软雅黑" w:cs="微软雅黑"/>
                <w:color w:val="auto"/>
                <w:highlight w:val="none"/>
              </w:rPr>
              <w:t>电化学工作站</w:t>
            </w:r>
          </w:p>
        </w:tc>
        <w:tc>
          <w:tcPr>
            <w:tcW w:w="1454" w:type="dxa"/>
            <w:tcBorders>
              <w:tl2br w:val="nil"/>
              <w:tr2bl w:val="nil"/>
            </w:tcBorders>
            <w:noWrap/>
          </w:tcPr>
          <w:p w14:paraId="075F90E3">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highlight w:val="none"/>
              </w:rPr>
              <w:t>2</w:t>
            </w:r>
          </w:p>
        </w:tc>
        <w:tc>
          <w:tcPr>
            <w:tcW w:w="1454" w:type="dxa"/>
            <w:tcBorders>
              <w:tl2br w:val="nil"/>
              <w:tr2bl w:val="nil"/>
            </w:tcBorders>
            <w:noWrap/>
          </w:tcPr>
          <w:p w14:paraId="7845F8F4">
            <w:pPr>
              <w:widowControl/>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highlight w:val="none"/>
              </w:rPr>
              <w:t>套</w:t>
            </w:r>
          </w:p>
        </w:tc>
      </w:tr>
      <w:tr w14:paraId="3EEB02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942" w:type="dxa"/>
            <w:tcBorders>
              <w:tl2br w:val="nil"/>
              <w:tr2bl w:val="nil"/>
            </w:tcBorders>
            <w:noWrap/>
            <w:vAlign w:val="center"/>
          </w:tcPr>
          <w:p w14:paraId="7379FC1C">
            <w:pPr>
              <w:widowControl/>
              <w:spacing w:after="0" w:line="240" w:lineRule="auto"/>
              <w:ind w:firstLine="0" w:firstLineChars="0"/>
              <w:jc w:val="center"/>
              <w:rPr>
                <w:rFonts w:ascii="微软雅黑" w:hAnsi="微软雅黑"/>
                <w:color w:val="auto"/>
                <w:kern w:val="0"/>
                <w:szCs w:val="21"/>
                <w:highlight w:val="none"/>
              </w:rPr>
            </w:pPr>
            <w:r>
              <w:rPr>
                <w:rFonts w:ascii="微软雅黑" w:hAnsi="微软雅黑"/>
                <w:color w:val="auto"/>
                <w:kern w:val="0"/>
                <w:szCs w:val="21"/>
                <w:highlight w:val="none"/>
              </w:rPr>
              <w:t>18</w:t>
            </w:r>
          </w:p>
        </w:tc>
        <w:tc>
          <w:tcPr>
            <w:tcW w:w="4621" w:type="dxa"/>
            <w:tcBorders>
              <w:tl2br w:val="nil"/>
              <w:tr2bl w:val="nil"/>
            </w:tcBorders>
            <w:noWrap/>
          </w:tcPr>
          <w:p w14:paraId="29C9C27F">
            <w:pPr>
              <w:spacing w:after="0" w:line="240" w:lineRule="auto"/>
              <w:ind w:firstLine="0" w:firstLineChars="0"/>
              <w:rPr>
                <w:rFonts w:ascii="微软雅黑" w:hAnsi="微软雅黑" w:cs="微软雅黑"/>
                <w:color w:val="auto"/>
                <w:szCs w:val="21"/>
                <w:highlight w:val="none"/>
              </w:rPr>
            </w:pPr>
            <w:r>
              <w:rPr>
                <w:rFonts w:hint="eastAsia" w:ascii="微软雅黑" w:hAnsi="微软雅黑" w:cs="微软雅黑"/>
                <w:color w:val="auto"/>
                <w:highlight w:val="none"/>
              </w:rPr>
              <w:t>电热恒温鼓风干燥箱</w:t>
            </w:r>
          </w:p>
        </w:tc>
        <w:tc>
          <w:tcPr>
            <w:tcW w:w="1454" w:type="dxa"/>
            <w:tcBorders>
              <w:tl2br w:val="nil"/>
              <w:tr2bl w:val="nil"/>
            </w:tcBorders>
            <w:noWrap/>
          </w:tcPr>
          <w:p w14:paraId="3C375396">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highlight w:val="none"/>
              </w:rPr>
              <w:t>5</w:t>
            </w:r>
          </w:p>
        </w:tc>
        <w:tc>
          <w:tcPr>
            <w:tcW w:w="1454" w:type="dxa"/>
            <w:tcBorders>
              <w:tl2br w:val="nil"/>
              <w:tr2bl w:val="nil"/>
            </w:tcBorders>
            <w:noWrap/>
          </w:tcPr>
          <w:p w14:paraId="318E65FA">
            <w:pPr>
              <w:widowControl/>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highlight w:val="none"/>
              </w:rPr>
              <w:t>台</w:t>
            </w:r>
          </w:p>
        </w:tc>
      </w:tr>
      <w:tr w14:paraId="100137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942" w:type="dxa"/>
            <w:tcBorders>
              <w:tl2br w:val="nil"/>
              <w:tr2bl w:val="nil"/>
            </w:tcBorders>
            <w:noWrap/>
            <w:vAlign w:val="center"/>
          </w:tcPr>
          <w:p w14:paraId="58C840C6">
            <w:pPr>
              <w:widowControl/>
              <w:spacing w:after="0" w:line="240" w:lineRule="auto"/>
              <w:ind w:firstLine="0" w:firstLineChars="0"/>
              <w:jc w:val="center"/>
              <w:rPr>
                <w:rFonts w:ascii="微软雅黑" w:hAnsi="微软雅黑"/>
                <w:color w:val="auto"/>
                <w:kern w:val="0"/>
                <w:szCs w:val="21"/>
                <w:highlight w:val="none"/>
              </w:rPr>
            </w:pPr>
            <w:r>
              <w:rPr>
                <w:rFonts w:ascii="微软雅黑" w:hAnsi="微软雅黑"/>
                <w:color w:val="auto"/>
                <w:kern w:val="0"/>
                <w:szCs w:val="21"/>
                <w:highlight w:val="none"/>
              </w:rPr>
              <w:t>19</w:t>
            </w:r>
          </w:p>
        </w:tc>
        <w:tc>
          <w:tcPr>
            <w:tcW w:w="4621" w:type="dxa"/>
            <w:tcBorders>
              <w:tl2br w:val="nil"/>
              <w:tr2bl w:val="nil"/>
            </w:tcBorders>
            <w:noWrap/>
          </w:tcPr>
          <w:p w14:paraId="1569C27A">
            <w:pPr>
              <w:spacing w:after="0" w:line="240" w:lineRule="auto"/>
              <w:ind w:firstLine="0" w:firstLineChars="0"/>
              <w:rPr>
                <w:rFonts w:ascii="微软雅黑" w:hAnsi="微软雅黑" w:cs="微软雅黑"/>
                <w:color w:val="auto"/>
                <w:szCs w:val="21"/>
                <w:highlight w:val="none"/>
              </w:rPr>
            </w:pPr>
            <w:r>
              <w:rPr>
                <w:rFonts w:hint="eastAsia" w:ascii="微软雅黑" w:hAnsi="微软雅黑" w:cs="微软雅黑"/>
                <w:color w:val="auto"/>
                <w:highlight w:val="none"/>
              </w:rPr>
              <w:t>循环水真空泵</w:t>
            </w:r>
          </w:p>
        </w:tc>
        <w:tc>
          <w:tcPr>
            <w:tcW w:w="1454" w:type="dxa"/>
            <w:tcBorders>
              <w:tl2br w:val="nil"/>
              <w:tr2bl w:val="nil"/>
            </w:tcBorders>
            <w:noWrap/>
          </w:tcPr>
          <w:p w14:paraId="15566DEE">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highlight w:val="none"/>
              </w:rPr>
              <w:t>18</w:t>
            </w:r>
          </w:p>
        </w:tc>
        <w:tc>
          <w:tcPr>
            <w:tcW w:w="1454" w:type="dxa"/>
            <w:tcBorders>
              <w:tl2br w:val="nil"/>
              <w:tr2bl w:val="nil"/>
            </w:tcBorders>
            <w:noWrap/>
          </w:tcPr>
          <w:p w14:paraId="2FC4125D">
            <w:pPr>
              <w:widowControl/>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highlight w:val="none"/>
              </w:rPr>
              <w:t>台</w:t>
            </w:r>
          </w:p>
        </w:tc>
      </w:tr>
      <w:tr w14:paraId="10F3DE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942" w:type="dxa"/>
            <w:tcBorders>
              <w:tl2br w:val="nil"/>
              <w:tr2bl w:val="nil"/>
            </w:tcBorders>
            <w:noWrap/>
            <w:vAlign w:val="center"/>
          </w:tcPr>
          <w:p w14:paraId="19BC034C">
            <w:pPr>
              <w:widowControl/>
              <w:spacing w:after="0" w:line="240" w:lineRule="auto"/>
              <w:ind w:firstLine="0" w:firstLineChars="0"/>
              <w:jc w:val="center"/>
              <w:rPr>
                <w:rFonts w:ascii="微软雅黑" w:hAnsi="微软雅黑"/>
                <w:color w:val="auto"/>
                <w:kern w:val="0"/>
                <w:szCs w:val="21"/>
                <w:highlight w:val="none"/>
              </w:rPr>
            </w:pPr>
            <w:r>
              <w:rPr>
                <w:rFonts w:ascii="微软雅黑" w:hAnsi="微软雅黑"/>
                <w:color w:val="auto"/>
                <w:kern w:val="0"/>
                <w:szCs w:val="21"/>
                <w:highlight w:val="none"/>
              </w:rPr>
              <w:t>20</w:t>
            </w:r>
          </w:p>
        </w:tc>
        <w:tc>
          <w:tcPr>
            <w:tcW w:w="4621" w:type="dxa"/>
            <w:tcBorders>
              <w:tl2br w:val="nil"/>
              <w:tr2bl w:val="nil"/>
            </w:tcBorders>
            <w:noWrap/>
          </w:tcPr>
          <w:p w14:paraId="5CD73880">
            <w:pPr>
              <w:spacing w:after="0" w:line="240" w:lineRule="auto"/>
              <w:ind w:firstLine="0" w:firstLineChars="0"/>
              <w:rPr>
                <w:rFonts w:ascii="微软雅黑" w:hAnsi="微软雅黑" w:cs="微软雅黑"/>
                <w:color w:val="auto"/>
                <w:szCs w:val="21"/>
                <w:highlight w:val="none"/>
              </w:rPr>
            </w:pPr>
            <w:r>
              <w:rPr>
                <w:rFonts w:hint="eastAsia" w:ascii="微软雅黑" w:hAnsi="微软雅黑" w:cs="微软雅黑"/>
                <w:color w:val="auto"/>
                <w:highlight w:val="none"/>
              </w:rPr>
              <w:t>电热恒温水浴锅</w:t>
            </w:r>
          </w:p>
        </w:tc>
        <w:tc>
          <w:tcPr>
            <w:tcW w:w="1454" w:type="dxa"/>
            <w:tcBorders>
              <w:tl2br w:val="nil"/>
              <w:tr2bl w:val="nil"/>
            </w:tcBorders>
            <w:noWrap/>
          </w:tcPr>
          <w:p w14:paraId="479F61B0">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highlight w:val="none"/>
              </w:rPr>
              <w:t>8</w:t>
            </w:r>
          </w:p>
        </w:tc>
        <w:tc>
          <w:tcPr>
            <w:tcW w:w="1454" w:type="dxa"/>
            <w:tcBorders>
              <w:tl2br w:val="nil"/>
              <w:tr2bl w:val="nil"/>
            </w:tcBorders>
            <w:noWrap/>
          </w:tcPr>
          <w:p w14:paraId="487378F3">
            <w:pPr>
              <w:widowControl/>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highlight w:val="none"/>
              </w:rPr>
              <w:t>套</w:t>
            </w:r>
          </w:p>
        </w:tc>
      </w:tr>
      <w:tr w14:paraId="389E80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942" w:type="dxa"/>
            <w:tcBorders>
              <w:tl2br w:val="nil"/>
              <w:tr2bl w:val="nil"/>
            </w:tcBorders>
            <w:noWrap/>
            <w:vAlign w:val="center"/>
          </w:tcPr>
          <w:p w14:paraId="76A0B8F2">
            <w:pPr>
              <w:widowControl/>
              <w:spacing w:after="0" w:line="240" w:lineRule="auto"/>
              <w:ind w:firstLine="0" w:firstLineChars="0"/>
              <w:jc w:val="center"/>
              <w:rPr>
                <w:rFonts w:ascii="微软雅黑" w:hAnsi="微软雅黑"/>
                <w:color w:val="auto"/>
                <w:kern w:val="0"/>
                <w:szCs w:val="21"/>
                <w:highlight w:val="none"/>
              </w:rPr>
            </w:pPr>
            <w:r>
              <w:rPr>
                <w:rFonts w:ascii="微软雅黑" w:hAnsi="微软雅黑"/>
                <w:color w:val="auto"/>
                <w:kern w:val="0"/>
                <w:szCs w:val="21"/>
                <w:highlight w:val="none"/>
              </w:rPr>
              <w:t>21</w:t>
            </w:r>
          </w:p>
        </w:tc>
        <w:tc>
          <w:tcPr>
            <w:tcW w:w="4621" w:type="dxa"/>
            <w:tcBorders>
              <w:tl2br w:val="nil"/>
              <w:tr2bl w:val="nil"/>
            </w:tcBorders>
            <w:noWrap/>
          </w:tcPr>
          <w:p w14:paraId="0EE41B5F">
            <w:pPr>
              <w:spacing w:after="0" w:line="240" w:lineRule="auto"/>
              <w:ind w:firstLine="0" w:firstLineChars="0"/>
              <w:rPr>
                <w:rFonts w:ascii="微软雅黑" w:hAnsi="微软雅黑" w:cs="微软雅黑"/>
                <w:color w:val="auto"/>
                <w:szCs w:val="21"/>
                <w:highlight w:val="none"/>
              </w:rPr>
            </w:pPr>
            <w:r>
              <w:rPr>
                <w:rFonts w:hint="eastAsia" w:ascii="微软雅黑" w:hAnsi="微软雅黑" w:cs="微软雅黑"/>
                <w:color w:val="auto"/>
                <w:highlight w:val="none"/>
              </w:rPr>
              <w:t>红外线加热炉</w:t>
            </w:r>
          </w:p>
        </w:tc>
        <w:tc>
          <w:tcPr>
            <w:tcW w:w="1454" w:type="dxa"/>
            <w:tcBorders>
              <w:tl2br w:val="nil"/>
              <w:tr2bl w:val="nil"/>
            </w:tcBorders>
            <w:noWrap/>
          </w:tcPr>
          <w:p w14:paraId="5FFABDF0">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highlight w:val="none"/>
              </w:rPr>
              <w:t>41</w:t>
            </w:r>
          </w:p>
        </w:tc>
        <w:tc>
          <w:tcPr>
            <w:tcW w:w="1454" w:type="dxa"/>
            <w:tcBorders>
              <w:tl2br w:val="nil"/>
              <w:tr2bl w:val="nil"/>
            </w:tcBorders>
            <w:noWrap/>
          </w:tcPr>
          <w:p w14:paraId="31558365">
            <w:pPr>
              <w:widowControl/>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highlight w:val="none"/>
              </w:rPr>
              <w:t>台</w:t>
            </w:r>
          </w:p>
        </w:tc>
      </w:tr>
      <w:tr w14:paraId="031676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942" w:type="dxa"/>
            <w:tcBorders>
              <w:tl2br w:val="nil"/>
              <w:tr2bl w:val="nil"/>
            </w:tcBorders>
            <w:noWrap/>
            <w:vAlign w:val="center"/>
          </w:tcPr>
          <w:p w14:paraId="33A33BB4">
            <w:pPr>
              <w:widowControl/>
              <w:spacing w:after="0" w:line="240" w:lineRule="auto"/>
              <w:ind w:firstLine="0" w:firstLineChars="0"/>
              <w:jc w:val="center"/>
              <w:rPr>
                <w:rFonts w:ascii="微软雅黑" w:hAnsi="微软雅黑"/>
                <w:color w:val="auto"/>
                <w:kern w:val="0"/>
                <w:szCs w:val="21"/>
                <w:highlight w:val="none"/>
              </w:rPr>
            </w:pPr>
            <w:r>
              <w:rPr>
                <w:rFonts w:ascii="微软雅黑" w:hAnsi="微软雅黑"/>
                <w:color w:val="auto"/>
                <w:kern w:val="0"/>
                <w:szCs w:val="21"/>
                <w:highlight w:val="none"/>
              </w:rPr>
              <w:t>22</w:t>
            </w:r>
          </w:p>
        </w:tc>
        <w:tc>
          <w:tcPr>
            <w:tcW w:w="4621" w:type="dxa"/>
            <w:tcBorders>
              <w:tl2br w:val="nil"/>
              <w:tr2bl w:val="nil"/>
            </w:tcBorders>
            <w:noWrap/>
          </w:tcPr>
          <w:p w14:paraId="18363F16">
            <w:pPr>
              <w:spacing w:after="0" w:line="240" w:lineRule="auto"/>
              <w:ind w:firstLine="0" w:firstLineChars="0"/>
              <w:rPr>
                <w:rFonts w:ascii="微软雅黑" w:hAnsi="微软雅黑" w:cs="微软雅黑"/>
                <w:color w:val="auto"/>
                <w:szCs w:val="21"/>
                <w:highlight w:val="none"/>
              </w:rPr>
            </w:pPr>
            <w:r>
              <w:rPr>
                <w:rFonts w:hint="eastAsia" w:ascii="微软雅黑" w:hAnsi="微软雅黑" w:cs="微软雅黑"/>
                <w:color w:val="auto"/>
                <w:highlight w:val="none"/>
              </w:rPr>
              <w:t>制冰机</w:t>
            </w:r>
          </w:p>
        </w:tc>
        <w:tc>
          <w:tcPr>
            <w:tcW w:w="1454" w:type="dxa"/>
            <w:tcBorders>
              <w:tl2br w:val="nil"/>
              <w:tr2bl w:val="nil"/>
            </w:tcBorders>
            <w:noWrap/>
          </w:tcPr>
          <w:p w14:paraId="741EE889">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highlight w:val="none"/>
              </w:rPr>
              <w:t>2</w:t>
            </w:r>
          </w:p>
        </w:tc>
        <w:tc>
          <w:tcPr>
            <w:tcW w:w="1454" w:type="dxa"/>
            <w:tcBorders>
              <w:tl2br w:val="nil"/>
              <w:tr2bl w:val="nil"/>
            </w:tcBorders>
            <w:noWrap/>
          </w:tcPr>
          <w:p w14:paraId="60CBBCCA">
            <w:pPr>
              <w:widowControl/>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highlight w:val="none"/>
              </w:rPr>
              <w:t>台</w:t>
            </w:r>
          </w:p>
        </w:tc>
      </w:tr>
      <w:tr w14:paraId="2328BF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942" w:type="dxa"/>
            <w:tcBorders>
              <w:tl2br w:val="nil"/>
              <w:tr2bl w:val="nil"/>
            </w:tcBorders>
            <w:noWrap/>
            <w:vAlign w:val="center"/>
          </w:tcPr>
          <w:p w14:paraId="0FC5A83E">
            <w:pPr>
              <w:widowControl/>
              <w:spacing w:after="0" w:line="240" w:lineRule="auto"/>
              <w:ind w:firstLine="0" w:firstLineChars="0"/>
              <w:jc w:val="center"/>
              <w:rPr>
                <w:rFonts w:ascii="微软雅黑" w:hAnsi="微软雅黑"/>
                <w:color w:val="auto"/>
                <w:kern w:val="0"/>
                <w:szCs w:val="21"/>
                <w:highlight w:val="none"/>
              </w:rPr>
            </w:pPr>
            <w:r>
              <w:rPr>
                <w:rFonts w:ascii="微软雅黑" w:hAnsi="微软雅黑"/>
                <w:color w:val="auto"/>
                <w:kern w:val="0"/>
                <w:szCs w:val="21"/>
                <w:highlight w:val="none"/>
              </w:rPr>
              <w:t>23</w:t>
            </w:r>
          </w:p>
        </w:tc>
        <w:tc>
          <w:tcPr>
            <w:tcW w:w="4621" w:type="dxa"/>
            <w:tcBorders>
              <w:tl2br w:val="nil"/>
              <w:tr2bl w:val="nil"/>
            </w:tcBorders>
            <w:noWrap/>
          </w:tcPr>
          <w:p w14:paraId="2CD40973">
            <w:pPr>
              <w:spacing w:after="0" w:line="240" w:lineRule="auto"/>
              <w:ind w:firstLine="0" w:firstLineChars="0"/>
              <w:rPr>
                <w:rFonts w:ascii="微软雅黑" w:hAnsi="微软雅黑" w:cs="微软雅黑"/>
                <w:color w:val="auto"/>
                <w:szCs w:val="21"/>
                <w:highlight w:val="none"/>
              </w:rPr>
            </w:pPr>
            <w:r>
              <w:rPr>
                <w:rFonts w:hint="eastAsia" w:ascii="微软雅黑" w:hAnsi="微软雅黑" w:cs="微软雅黑"/>
                <w:color w:val="auto"/>
                <w:highlight w:val="none"/>
              </w:rPr>
              <w:t>马弗炉</w:t>
            </w:r>
          </w:p>
        </w:tc>
        <w:tc>
          <w:tcPr>
            <w:tcW w:w="1454" w:type="dxa"/>
            <w:tcBorders>
              <w:tl2br w:val="nil"/>
              <w:tr2bl w:val="nil"/>
            </w:tcBorders>
            <w:noWrap/>
          </w:tcPr>
          <w:p w14:paraId="5D7B50B9">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highlight w:val="none"/>
              </w:rPr>
              <w:t>2</w:t>
            </w:r>
          </w:p>
        </w:tc>
        <w:tc>
          <w:tcPr>
            <w:tcW w:w="1454" w:type="dxa"/>
            <w:tcBorders>
              <w:tl2br w:val="nil"/>
              <w:tr2bl w:val="nil"/>
            </w:tcBorders>
            <w:noWrap/>
          </w:tcPr>
          <w:p w14:paraId="5ED4C224">
            <w:pPr>
              <w:widowControl/>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highlight w:val="none"/>
              </w:rPr>
              <w:t>台</w:t>
            </w:r>
          </w:p>
        </w:tc>
      </w:tr>
      <w:tr w14:paraId="6D369E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942" w:type="dxa"/>
            <w:tcBorders>
              <w:tl2br w:val="nil"/>
              <w:tr2bl w:val="nil"/>
            </w:tcBorders>
            <w:noWrap/>
            <w:vAlign w:val="center"/>
          </w:tcPr>
          <w:p w14:paraId="6D4215EB">
            <w:pPr>
              <w:widowControl/>
              <w:spacing w:after="0" w:line="240" w:lineRule="auto"/>
              <w:ind w:firstLine="0" w:firstLineChars="0"/>
              <w:jc w:val="center"/>
              <w:rPr>
                <w:rFonts w:ascii="微软雅黑" w:hAnsi="微软雅黑"/>
                <w:color w:val="auto"/>
                <w:kern w:val="0"/>
                <w:szCs w:val="21"/>
                <w:highlight w:val="none"/>
              </w:rPr>
            </w:pPr>
            <w:r>
              <w:rPr>
                <w:rFonts w:ascii="微软雅黑" w:hAnsi="微软雅黑"/>
                <w:color w:val="auto"/>
                <w:kern w:val="0"/>
                <w:szCs w:val="21"/>
                <w:highlight w:val="none"/>
              </w:rPr>
              <w:t>24</w:t>
            </w:r>
          </w:p>
        </w:tc>
        <w:tc>
          <w:tcPr>
            <w:tcW w:w="4621" w:type="dxa"/>
            <w:tcBorders>
              <w:tl2br w:val="nil"/>
              <w:tr2bl w:val="nil"/>
            </w:tcBorders>
            <w:noWrap/>
          </w:tcPr>
          <w:p w14:paraId="1B4FCEFC">
            <w:pPr>
              <w:spacing w:after="0" w:line="240" w:lineRule="auto"/>
              <w:ind w:firstLine="0" w:firstLineChars="0"/>
              <w:rPr>
                <w:rFonts w:ascii="微软雅黑" w:hAnsi="微软雅黑" w:cs="微软雅黑"/>
                <w:color w:val="auto"/>
                <w:szCs w:val="21"/>
                <w:highlight w:val="none"/>
              </w:rPr>
            </w:pPr>
            <w:r>
              <w:rPr>
                <w:rFonts w:hint="eastAsia" w:ascii="微软雅黑" w:hAnsi="微软雅黑" w:cs="微软雅黑"/>
                <w:color w:val="auto"/>
                <w:highlight w:val="none"/>
              </w:rPr>
              <w:t>真空干燥箱</w:t>
            </w:r>
          </w:p>
        </w:tc>
        <w:tc>
          <w:tcPr>
            <w:tcW w:w="1454" w:type="dxa"/>
            <w:tcBorders>
              <w:tl2br w:val="nil"/>
              <w:tr2bl w:val="nil"/>
            </w:tcBorders>
            <w:noWrap/>
          </w:tcPr>
          <w:p w14:paraId="5FC461B4">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highlight w:val="none"/>
              </w:rPr>
              <w:t>4</w:t>
            </w:r>
          </w:p>
        </w:tc>
        <w:tc>
          <w:tcPr>
            <w:tcW w:w="1454" w:type="dxa"/>
            <w:tcBorders>
              <w:tl2br w:val="nil"/>
              <w:tr2bl w:val="nil"/>
            </w:tcBorders>
            <w:noWrap/>
          </w:tcPr>
          <w:p w14:paraId="0BE50D29">
            <w:pPr>
              <w:widowControl/>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highlight w:val="none"/>
              </w:rPr>
              <w:t>台</w:t>
            </w:r>
          </w:p>
        </w:tc>
      </w:tr>
      <w:tr w14:paraId="2EB5C7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942" w:type="dxa"/>
            <w:tcBorders>
              <w:tl2br w:val="nil"/>
              <w:tr2bl w:val="nil"/>
            </w:tcBorders>
            <w:noWrap/>
            <w:vAlign w:val="center"/>
          </w:tcPr>
          <w:p w14:paraId="6367E4AE">
            <w:pPr>
              <w:widowControl/>
              <w:spacing w:after="0" w:line="240" w:lineRule="auto"/>
              <w:ind w:firstLine="0" w:firstLineChars="0"/>
              <w:jc w:val="center"/>
              <w:rPr>
                <w:rFonts w:ascii="微软雅黑" w:hAnsi="微软雅黑"/>
                <w:color w:val="auto"/>
                <w:kern w:val="0"/>
                <w:szCs w:val="21"/>
                <w:highlight w:val="none"/>
              </w:rPr>
            </w:pPr>
            <w:r>
              <w:rPr>
                <w:rFonts w:ascii="微软雅黑" w:hAnsi="微软雅黑"/>
                <w:color w:val="auto"/>
                <w:kern w:val="0"/>
                <w:szCs w:val="21"/>
                <w:highlight w:val="none"/>
              </w:rPr>
              <w:t>25</w:t>
            </w:r>
          </w:p>
        </w:tc>
        <w:tc>
          <w:tcPr>
            <w:tcW w:w="4621" w:type="dxa"/>
            <w:tcBorders>
              <w:tl2br w:val="nil"/>
              <w:tr2bl w:val="nil"/>
            </w:tcBorders>
            <w:noWrap/>
          </w:tcPr>
          <w:p w14:paraId="23BCCC71">
            <w:pPr>
              <w:spacing w:after="0" w:line="240" w:lineRule="auto"/>
              <w:ind w:firstLine="0" w:firstLineChars="0"/>
              <w:rPr>
                <w:rFonts w:ascii="微软雅黑" w:hAnsi="微软雅黑" w:cs="微软雅黑"/>
                <w:color w:val="auto"/>
                <w:szCs w:val="21"/>
                <w:highlight w:val="none"/>
              </w:rPr>
            </w:pPr>
            <w:r>
              <w:rPr>
                <w:rFonts w:hint="eastAsia" w:ascii="微软雅黑" w:hAnsi="微软雅黑" w:cs="微软雅黑"/>
                <w:color w:val="auto"/>
                <w:highlight w:val="none"/>
              </w:rPr>
              <w:t>不锈钢缓冲储气罐</w:t>
            </w:r>
          </w:p>
        </w:tc>
        <w:tc>
          <w:tcPr>
            <w:tcW w:w="1454" w:type="dxa"/>
            <w:tcBorders>
              <w:tl2br w:val="nil"/>
              <w:tr2bl w:val="nil"/>
            </w:tcBorders>
            <w:noWrap/>
          </w:tcPr>
          <w:p w14:paraId="1CFBCDBD">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highlight w:val="none"/>
              </w:rPr>
              <w:t>8</w:t>
            </w:r>
          </w:p>
        </w:tc>
        <w:tc>
          <w:tcPr>
            <w:tcW w:w="1454" w:type="dxa"/>
            <w:tcBorders>
              <w:tl2br w:val="nil"/>
              <w:tr2bl w:val="nil"/>
            </w:tcBorders>
            <w:noWrap/>
          </w:tcPr>
          <w:p w14:paraId="03109877">
            <w:pPr>
              <w:widowControl/>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highlight w:val="none"/>
              </w:rPr>
              <w:t>台</w:t>
            </w:r>
          </w:p>
        </w:tc>
      </w:tr>
      <w:tr w14:paraId="46D4C5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942" w:type="dxa"/>
            <w:tcBorders>
              <w:tl2br w:val="nil"/>
              <w:tr2bl w:val="nil"/>
            </w:tcBorders>
            <w:noWrap/>
            <w:vAlign w:val="center"/>
          </w:tcPr>
          <w:p w14:paraId="0EBA0567">
            <w:pPr>
              <w:widowControl/>
              <w:spacing w:after="0" w:line="240" w:lineRule="auto"/>
              <w:ind w:firstLine="0" w:firstLineChars="0"/>
              <w:jc w:val="center"/>
              <w:rPr>
                <w:rFonts w:ascii="微软雅黑" w:hAnsi="微软雅黑"/>
                <w:color w:val="auto"/>
                <w:kern w:val="0"/>
                <w:szCs w:val="21"/>
                <w:highlight w:val="none"/>
              </w:rPr>
            </w:pPr>
            <w:r>
              <w:rPr>
                <w:rFonts w:ascii="微软雅黑" w:hAnsi="微软雅黑"/>
                <w:color w:val="auto"/>
                <w:kern w:val="0"/>
                <w:szCs w:val="21"/>
                <w:highlight w:val="none"/>
              </w:rPr>
              <w:t>26</w:t>
            </w:r>
          </w:p>
        </w:tc>
        <w:tc>
          <w:tcPr>
            <w:tcW w:w="4621" w:type="dxa"/>
            <w:tcBorders>
              <w:tl2br w:val="nil"/>
              <w:tr2bl w:val="nil"/>
            </w:tcBorders>
            <w:noWrap/>
          </w:tcPr>
          <w:p w14:paraId="116E0AD3">
            <w:pPr>
              <w:spacing w:after="0" w:line="240" w:lineRule="auto"/>
              <w:ind w:firstLine="0" w:firstLineChars="0"/>
              <w:rPr>
                <w:rFonts w:ascii="微软雅黑" w:hAnsi="微软雅黑" w:cs="微软雅黑"/>
                <w:color w:val="auto"/>
                <w:szCs w:val="21"/>
                <w:highlight w:val="none"/>
              </w:rPr>
            </w:pPr>
            <w:r>
              <w:rPr>
                <w:rFonts w:hint="eastAsia" w:ascii="微软雅黑" w:hAnsi="微软雅黑" w:cs="微软雅黑"/>
                <w:color w:val="auto"/>
                <w:highlight w:val="none"/>
              </w:rPr>
              <w:t>旋片式真空泵</w:t>
            </w:r>
          </w:p>
        </w:tc>
        <w:tc>
          <w:tcPr>
            <w:tcW w:w="1454" w:type="dxa"/>
            <w:tcBorders>
              <w:tl2br w:val="nil"/>
              <w:tr2bl w:val="nil"/>
            </w:tcBorders>
            <w:noWrap/>
          </w:tcPr>
          <w:p w14:paraId="45A2024A">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highlight w:val="none"/>
              </w:rPr>
              <w:t>11</w:t>
            </w:r>
          </w:p>
        </w:tc>
        <w:tc>
          <w:tcPr>
            <w:tcW w:w="1454" w:type="dxa"/>
            <w:tcBorders>
              <w:tl2br w:val="nil"/>
              <w:tr2bl w:val="nil"/>
            </w:tcBorders>
            <w:noWrap/>
          </w:tcPr>
          <w:p w14:paraId="733EAF37">
            <w:pPr>
              <w:widowControl/>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highlight w:val="none"/>
              </w:rPr>
              <w:t>台</w:t>
            </w:r>
          </w:p>
        </w:tc>
      </w:tr>
      <w:tr w14:paraId="387090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942" w:type="dxa"/>
            <w:tcBorders>
              <w:tl2br w:val="nil"/>
              <w:tr2bl w:val="nil"/>
            </w:tcBorders>
            <w:noWrap/>
            <w:vAlign w:val="center"/>
          </w:tcPr>
          <w:p w14:paraId="6B9AFEB7">
            <w:pPr>
              <w:widowControl/>
              <w:spacing w:after="0" w:line="240" w:lineRule="auto"/>
              <w:ind w:firstLine="0" w:firstLineChars="0"/>
              <w:jc w:val="center"/>
              <w:rPr>
                <w:rFonts w:ascii="微软雅黑" w:hAnsi="微软雅黑"/>
                <w:color w:val="auto"/>
                <w:kern w:val="0"/>
                <w:szCs w:val="21"/>
                <w:highlight w:val="none"/>
              </w:rPr>
            </w:pPr>
            <w:r>
              <w:rPr>
                <w:rFonts w:ascii="微软雅黑" w:hAnsi="微软雅黑"/>
                <w:color w:val="auto"/>
                <w:kern w:val="0"/>
                <w:szCs w:val="21"/>
                <w:highlight w:val="none"/>
              </w:rPr>
              <w:t>27</w:t>
            </w:r>
          </w:p>
        </w:tc>
        <w:tc>
          <w:tcPr>
            <w:tcW w:w="4621" w:type="dxa"/>
            <w:tcBorders>
              <w:tl2br w:val="nil"/>
              <w:tr2bl w:val="nil"/>
            </w:tcBorders>
            <w:noWrap/>
          </w:tcPr>
          <w:p w14:paraId="342AA51F">
            <w:pPr>
              <w:spacing w:after="0" w:line="240" w:lineRule="auto"/>
              <w:ind w:firstLine="0" w:firstLineChars="0"/>
              <w:rPr>
                <w:rFonts w:ascii="微软雅黑" w:hAnsi="微软雅黑" w:cs="微软雅黑"/>
                <w:color w:val="auto"/>
                <w:szCs w:val="21"/>
                <w:highlight w:val="none"/>
              </w:rPr>
            </w:pPr>
            <w:r>
              <w:rPr>
                <w:rFonts w:hint="eastAsia" w:ascii="微软雅黑" w:hAnsi="微软雅黑" w:cs="微软雅黑"/>
                <w:color w:val="auto"/>
                <w:highlight w:val="none"/>
              </w:rPr>
              <w:t>自动旋光仪</w:t>
            </w:r>
          </w:p>
        </w:tc>
        <w:tc>
          <w:tcPr>
            <w:tcW w:w="1454" w:type="dxa"/>
            <w:tcBorders>
              <w:tl2br w:val="nil"/>
              <w:tr2bl w:val="nil"/>
            </w:tcBorders>
            <w:noWrap/>
          </w:tcPr>
          <w:p w14:paraId="630D6CCD">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highlight w:val="none"/>
              </w:rPr>
              <w:t>5</w:t>
            </w:r>
          </w:p>
        </w:tc>
        <w:tc>
          <w:tcPr>
            <w:tcW w:w="1454" w:type="dxa"/>
            <w:tcBorders>
              <w:tl2br w:val="nil"/>
              <w:tr2bl w:val="nil"/>
            </w:tcBorders>
            <w:noWrap/>
          </w:tcPr>
          <w:p w14:paraId="1513ECCF">
            <w:pPr>
              <w:widowControl/>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highlight w:val="none"/>
              </w:rPr>
              <w:t>台</w:t>
            </w:r>
          </w:p>
        </w:tc>
      </w:tr>
      <w:tr w14:paraId="6FF0AC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942" w:type="dxa"/>
            <w:tcBorders>
              <w:tl2br w:val="nil"/>
              <w:tr2bl w:val="nil"/>
            </w:tcBorders>
            <w:noWrap/>
            <w:vAlign w:val="center"/>
          </w:tcPr>
          <w:p w14:paraId="5154F32F">
            <w:pPr>
              <w:widowControl/>
              <w:spacing w:after="0" w:line="240" w:lineRule="auto"/>
              <w:ind w:firstLine="0" w:firstLineChars="0"/>
              <w:jc w:val="center"/>
              <w:rPr>
                <w:rFonts w:ascii="微软雅黑" w:hAnsi="微软雅黑"/>
                <w:color w:val="auto"/>
                <w:kern w:val="0"/>
                <w:szCs w:val="21"/>
                <w:highlight w:val="none"/>
              </w:rPr>
            </w:pPr>
            <w:r>
              <w:rPr>
                <w:rFonts w:ascii="微软雅黑" w:hAnsi="微软雅黑"/>
                <w:color w:val="auto"/>
                <w:kern w:val="0"/>
                <w:szCs w:val="21"/>
                <w:highlight w:val="none"/>
              </w:rPr>
              <w:t>28</w:t>
            </w:r>
          </w:p>
        </w:tc>
        <w:tc>
          <w:tcPr>
            <w:tcW w:w="4621" w:type="dxa"/>
            <w:tcBorders>
              <w:tl2br w:val="nil"/>
              <w:tr2bl w:val="nil"/>
            </w:tcBorders>
            <w:noWrap/>
          </w:tcPr>
          <w:p w14:paraId="430245B0">
            <w:pPr>
              <w:spacing w:after="0" w:line="240" w:lineRule="auto"/>
              <w:ind w:firstLine="0" w:firstLineChars="0"/>
              <w:rPr>
                <w:rFonts w:ascii="微软雅黑" w:hAnsi="微软雅黑" w:cs="微软雅黑"/>
                <w:color w:val="auto"/>
                <w:szCs w:val="21"/>
                <w:highlight w:val="none"/>
              </w:rPr>
            </w:pPr>
            <w:r>
              <w:rPr>
                <w:rFonts w:hint="eastAsia" w:ascii="微软雅黑" w:hAnsi="微软雅黑" w:cs="微软雅黑"/>
                <w:color w:val="auto"/>
                <w:highlight w:val="none"/>
              </w:rPr>
              <w:t>充氧器</w:t>
            </w:r>
          </w:p>
        </w:tc>
        <w:tc>
          <w:tcPr>
            <w:tcW w:w="1454" w:type="dxa"/>
            <w:tcBorders>
              <w:tl2br w:val="nil"/>
              <w:tr2bl w:val="nil"/>
            </w:tcBorders>
            <w:noWrap/>
          </w:tcPr>
          <w:p w14:paraId="49385531">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highlight w:val="none"/>
              </w:rPr>
              <w:t>2</w:t>
            </w:r>
          </w:p>
        </w:tc>
        <w:tc>
          <w:tcPr>
            <w:tcW w:w="1454" w:type="dxa"/>
            <w:tcBorders>
              <w:tl2br w:val="nil"/>
              <w:tr2bl w:val="nil"/>
            </w:tcBorders>
            <w:noWrap/>
          </w:tcPr>
          <w:p w14:paraId="112913FE">
            <w:pPr>
              <w:widowControl/>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highlight w:val="none"/>
              </w:rPr>
              <w:t>台</w:t>
            </w:r>
          </w:p>
        </w:tc>
      </w:tr>
      <w:tr w14:paraId="303757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942" w:type="dxa"/>
            <w:tcBorders>
              <w:tl2br w:val="nil"/>
              <w:tr2bl w:val="nil"/>
            </w:tcBorders>
            <w:noWrap/>
            <w:vAlign w:val="center"/>
          </w:tcPr>
          <w:p w14:paraId="7F26B5AB">
            <w:pPr>
              <w:widowControl/>
              <w:spacing w:after="0" w:line="240" w:lineRule="auto"/>
              <w:ind w:firstLine="0" w:firstLineChars="0"/>
              <w:jc w:val="center"/>
              <w:rPr>
                <w:rFonts w:ascii="微软雅黑" w:hAnsi="微软雅黑"/>
                <w:color w:val="auto"/>
                <w:kern w:val="0"/>
                <w:szCs w:val="21"/>
                <w:highlight w:val="none"/>
              </w:rPr>
            </w:pPr>
            <w:r>
              <w:rPr>
                <w:rFonts w:ascii="微软雅黑" w:hAnsi="微软雅黑"/>
                <w:color w:val="auto"/>
                <w:kern w:val="0"/>
                <w:szCs w:val="21"/>
                <w:highlight w:val="none"/>
              </w:rPr>
              <w:t>29</w:t>
            </w:r>
          </w:p>
        </w:tc>
        <w:tc>
          <w:tcPr>
            <w:tcW w:w="4621" w:type="dxa"/>
            <w:tcBorders>
              <w:tl2br w:val="nil"/>
              <w:tr2bl w:val="nil"/>
            </w:tcBorders>
            <w:noWrap/>
          </w:tcPr>
          <w:p w14:paraId="0B145C88">
            <w:pPr>
              <w:spacing w:after="0" w:line="240" w:lineRule="auto"/>
              <w:ind w:firstLine="0" w:firstLineChars="0"/>
              <w:rPr>
                <w:rFonts w:ascii="微软雅黑" w:hAnsi="微软雅黑" w:cs="微软雅黑"/>
                <w:color w:val="auto"/>
                <w:szCs w:val="21"/>
                <w:highlight w:val="none"/>
              </w:rPr>
            </w:pPr>
            <w:r>
              <w:rPr>
                <w:rFonts w:hint="eastAsia" w:ascii="微软雅黑" w:hAnsi="微软雅黑" w:cs="微软雅黑"/>
                <w:color w:val="auto"/>
                <w:highlight w:val="none"/>
              </w:rPr>
              <w:t>压片机(螺旋式)</w:t>
            </w:r>
          </w:p>
        </w:tc>
        <w:tc>
          <w:tcPr>
            <w:tcW w:w="1454" w:type="dxa"/>
            <w:tcBorders>
              <w:tl2br w:val="nil"/>
              <w:tr2bl w:val="nil"/>
            </w:tcBorders>
            <w:noWrap/>
          </w:tcPr>
          <w:p w14:paraId="272E872E">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highlight w:val="none"/>
              </w:rPr>
              <w:t>4</w:t>
            </w:r>
          </w:p>
        </w:tc>
        <w:tc>
          <w:tcPr>
            <w:tcW w:w="1454" w:type="dxa"/>
            <w:tcBorders>
              <w:tl2br w:val="nil"/>
              <w:tr2bl w:val="nil"/>
            </w:tcBorders>
            <w:noWrap/>
          </w:tcPr>
          <w:p w14:paraId="3F04A4E9">
            <w:pPr>
              <w:widowControl/>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highlight w:val="none"/>
              </w:rPr>
              <w:t>台</w:t>
            </w:r>
          </w:p>
        </w:tc>
      </w:tr>
      <w:tr w14:paraId="2EAB3B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942" w:type="dxa"/>
            <w:tcBorders>
              <w:tl2br w:val="nil"/>
              <w:tr2bl w:val="nil"/>
            </w:tcBorders>
            <w:noWrap/>
            <w:vAlign w:val="center"/>
          </w:tcPr>
          <w:p w14:paraId="5616A10C">
            <w:pPr>
              <w:widowControl/>
              <w:spacing w:after="0" w:line="240" w:lineRule="auto"/>
              <w:ind w:firstLine="0" w:firstLineChars="0"/>
              <w:jc w:val="center"/>
              <w:rPr>
                <w:rFonts w:ascii="微软雅黑" w:hAnsi="微软雅黑"/>
                <w:color w:val="auto"/>
                <w:kern w:val="0"/>
                <w:szCs w:val="21"/>
                <w:highlight w:val="none"/>
              </w:rPr>
            </w:pPr>
            <w:r>
              <w:rPr>
                <w:rFonts w:ascii="微软雅黑" w:hAnsi="微软雅黑"/>
                <w:color w:val="auto"/>
                <w:kern w:val="0"/>
                <w:szCs w:val="21"/>
                <w:highlight w:val="none"/>
              </w:rPr>
              <w:t>30</w:t>
            </w:r>
          </w:p>
        </w:tc>
        <w:tc>
          <w:tcPr>
            <w:tcW w:w="4621" w:type="dxa"/>
            <w:tcBorders>
              <w:tl2br w:val="nil"/>
              <w:tr2bl w:val="nil"/>
            </w:tcBorders>
            <w:noWrap/>
          </w:tcPr>
          <w:p w14:paraId="3D2D2034">
            <w:pPr>
              <w:spacing w:after="0" w:line="240" w:lineRule="auto"/>
              <w:ind w:firstLine="0" w:firstLineChars="0"/>
              <w:rPr>
                <w:rFonts w:ascii="微软雅黑" w:hAnsi="微软雅黑" w:cs="微软雅黑"/>
                <w:color w:val="auto"/>
                <w:szCs w:val="21"/>
                <w:highlight w:val="none"/>
              </w:rPr>
            </w:pPr>
            <w:r>
              <w:rPr>
                <w:rFonts w:hint="eastAsia" w:ascii="微软雅黑" w:hAnsi="微软雅黑" w:cs="微软雅黑"/>
                <w:color w:val="auto"/>
                <w:highlight w:val="none"/>
              </w:rPr>
              <w:t>旋转蒸发仪</w:t>
            </w:r>
          </w:p>
        </w:tc>
        <w:tc>
          <w:tcPr>
            <w:tcW w:w="1454" w:type="dxa"/>
            <w:tcBorders>
              <w:tl2br w:val="nil"/>
              <w:tr2bl w:val="nil"/>
            </w:tcBorders>
            <w:noWrap/>
          </w:tcPr>
          <w:p w14:paraId="07393260">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highlight w:val="none"/>
              </w:rPr>
              <w:t>1</w:t>
            </w:r>
          </w:p>
        </w:tc>
        <w:tc>
          <w:tcPr>
            <w:tcW w:w="1454" w:type="dxa"/>
            <w:tcBorders>
              <w:tl2br w:val="nil"/>
              <w:tr2bl w:val="nil"/>
            </w:tcBorders>
            <w:noWrap/>
          </w:tcPr>
          <w:p w14:paraId="384E4B4B">
            <w:pPr>
              <w:widowControl/>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highlight w:val="none"/>
              </w:rPr>
              <w:t>台</w:t>
            </w:r>
          </w:p>
        </w:tc>
      </w:tr>
      <w:tr w14:paraId="74E4DB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942" w:type="dxa"/>
            <w:tcBorders>
              <w:tl2br w:val="nil"/>
              <w:tr2bl w:val="nil"/>
            </w:tcBorders>
            <w:noWrap/>
            <w:vAlign w:val="center"/>
          </w:tcPr>
          <w:p w14:paraId="7A15E992">
            <w:pPr>
              <w:widowControl/>
              <w:spacing w:after="0" w:line="240" w:lineRule="auto"/>
              <w:ind w:firstLine="0" w:firstLineChars="0"/>
              <w:jc w:val="center"/>
              <w:rPr>
                <w:rFonts w:ascii="微软雅黑" w:hAnsi="微软雅黑"/>
                <w:color w:val="auto"/>
                <w:kern w:val="0"/>
                <w:szCs w:val="21"/>
                <w:highlight w:val="none"/>
              </w:rPr>
            </w:pPr>
            <w:r>
              <w:rPr>
                <w:rFonts w:ascii="微软雅黑" w:hAnsi="微软雅黑"/>
                <w:color w:val="auto"/>
                <w:kern w:val="0"/>
                <w:szCs w:val="21"/>
                <w:highlight w:val="none"/>
              </w:rPr>
              <w:t>31</w:t>
            </w:r>
          </w:p>
        </w:tc>
        <w:tc>
          <w:tcPr>
            <w:tcW w:w="4621" w:type="dxa"/>
            <w:tcBorders>
              <w:tl2br w:val="nil"/>
              <w:tr2bl w:val="nil"/>
            </w:tcBorders>
            <w:noWrap/>
          </w:tcPr>
          <w:p w14:paraId="35AE8AF6">
            <w:pPr>
              <w:spacing w:after="0" w:line="240" w:lineRule="auto"/>
              <w:ind w:firstLine="0" w:firstLineChars="0"/>
              <w:rPr>
                <w:rFonts w:ascii="微软雅黑" w:hAnsi="微软雅黑" w:cs="微软雅黑"/>
                <w:color w:val="auto"/>
                <w:szCs w:val="21"/>
                <w:highlight w:val="none"/>
              </w:rPr>
            </w:pPr>
            <w:r>
              <w:rPr>
                <w:rFonts w:hint="eastAsia" w:ascii="微软雅黑" w:hAnsi="微软雅黑" w:cs="微软雅黑"/>
                <w:color w:val="auto"/>
                <w:highlight w:val="none"/>
              </w:rPr>
              <w:t>低温冷却液循环泵</w:t>
            </w:r>
          </w:p>
        </w:tc>
        <w:tc>
          <w:tcPr>
            <w:tcW w:w="1454" w:type="dxa"/>
            <w:tcBorders>
              <w:tl2br w:val="nil"/>
              <w:tr2bl w:val="nil"/>
            </w:tcBorders>
            <w:noWrap/>
          </w:tcPr>
          <w:p w14:paraId="0415E234">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highlight w:val="none"/>
              </w:rPr>
              <w:t>1</w:t>
            </w:r>
          </w:p>
        </w:tc>
        <w:tc>
          <w:tcPr>
            <w:tcW w:w="1454" w:type="dxa"/>
            <w:tcBorders>
              <w:tl2br w:val="nil"/>
              <w:tr2bl w:val="nil"/>
            </w:tcBorders>
            <w:noWrap/>
          </w:tcPr>
          <w:p w14:paraId="56938868">
            <w:pPr>
              <w:widowControl/>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highlight w:val="none"/>
              </w:rPr>
              <w:t>台</w:t>
            </w:r>
          </w:p>
        </w:tc>
      </w:tr>
      <w:tr w14:paraId="349B68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942" w:type="dxa"/>
            <w:tcBorders>
              <w:tl2br w:val="nil"/>
              <w:tr2bl w:val="nil"/>
            </w:tcBorders>
            <w:noWrap/>
            <w:vAlign w:val="center"/>
          </w:tcPr>
          <w:p w14:paraId="0AC079F9">
            <w:pPr>
              <w:widowControl/>
              <w:spacing w:after="0" w:line="240" w:lineRule="auto"/>
              <w:ind w:firstLine="0" w:firstLineChars="0"/>
              <w:jc w:val="center"/>
              <w:rPr>
                <w:rFonts w:ascii="微软雅黑" w:hAnsi="微软雅黑"/>
                <w:color w:val="auto"/>
                <w:kern w:val="0"/>
                <w:szCs w:val="21"/>
                <w:highlight w:val="none"/>
              </w:rPr>
            </w:pPr>
            <w:r>
              <w:rPr>
                <w:rFonts w:ascii="微软雅黑" w:hAnsi="微软雅黑"/>
                <w:color w:val="auto"/>
                <w:kern w:val="0"/>
                <w:szCs w:val="21"/>
                <w:highlight w:val="none"/>
              </w:rPr>
              <w:t>32</w:t>
            </w:r>
          </w:p>
        </w:tc>
        <w:tc>
          <w:tcPr>
            <w:tcW w:w="4621" w:type="dxa"/>
            <w:tcBorders>
              <w:tl2br w:val="nil"/>
              <w:tr2bl w:val="nil"/>
            </w:tcBorders>
            <w:noWrap/>
          </w:tcPr>
          <w:p w14:paraId="1513EA40">
            <w:pPr>
              <w:spacing w:after="0" w:line="240" w:lineRule="auto"/>
              <w:ind w:firstLine="0" w:firstLineChars="0"/>
              <w:rPr>
                <w:rFonts w:ascii="微软雅黑" w:hAnsi="微软雅黑" w:cs="微软雅黑"/>
                <w:color w:val="auto"/>
                <w:szCs w:val="21"/>
                <w:highlight w:val="none"/>
              </w:rPr>
            </w:pPr>
            <w:r>
              <w:rPr>
                <w:rFonts w:hint="eastAsia" w:ascii="微软雅黑" w:hAnsi="微软雅黑" w:cs="微软雅黑"/>
                <w:color w:val="auto"/>
                <w:highlight w:val="none"/>
              </w:rPr>
              <w:t>磁力搅拌器</w:t>
            </w:r>
          </w:p>
        </w:tc>
        <w:tc>
          <w:tcPr>
            <w:tcW w:w="1454" w:type="dxa"/>
            <w:tcBorders>
              <w:tl2br w:val="nil"/>
              <w:tr2bl w:val="nil"/>
            </w:tcBorders>
            <w:noWrap/>
          </w:tcPr>
          <w:p w14:paraId="380E53D8">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highlight w:val="none"/>
              </w:rPr>
              <w:t>32</w:t>
            </w:r>
          </w:p>
        </w:tc>
        <w:tc>
          <w:tcPr>
            <w:tcW w:w="1454" w:type="dxa"/>
            <w:tcBorders>
              <w:tl2br w:val="nil"/>
              <w:tr2bl w:val="nil"/>
            </w:tcBorders>
            <w:noWrap/>
          </w:tcPr>
          <w:p w14:paraId="18B360F5">
            <w:pPr>
              <w:widowControl/>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highlight w:val="none"/>
              </w:rPr>
              <w:t>台</w:t>
            </w:r>
          </w:p>
        </w:tc>
      </w:tr>
      <w:tr w14:paraId="5E9DEA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942" w:type="dxa"/>
            <w:tcBorders>
              <w:tl2br w:val="nil"/>
              <w:tr2bl w:val="nil"/>
            </w:tcBorders>
            <w:noWrap/>
            <w:vAlign w:val="center"/>
          </w:tcPr>
          <w:p w14:paraId="4905CE7F">
            <w:pPr>
              <w:widowControl/>
              <w:spacing w:after="0" w:line="240" w:lineRule="auto"/>
              <w:ind w:firstLine="0" w:firstLineChars="0"/>
              <w:jc w:val="center"/>
              <w:rPr>
                <w:rFonts w:ascii="微软雅黑" w:hAnsi="微软雅黑"/>
                <w:color w:val="auto"/>
                <w:kern w:val="0"/>
                <w:szCs w:val="21"/>
                <w:highlight w:val="none"/>
              </w:rPr>
            </w:pPr>
            <w:r>
              <w:rPr>
                <w:rFonts w:ascii="微软雅黑" w:hAnsi="微软雅黑"/>
                <w:color w:val="auto"/>
                <w:kern w:val="0"/>
                <w:szCs w:val="21"/>
                <w:highlight w:val="none"/>
              </w:rPr>
              <w:t>33</w:t>
            </w:r>
          </w:p>
        </w:tc>
        <w:tc>
          <w:tcPr>
            <w:tcW w:w="4621" w:type="dxa"/>
            <w:tcBorders>
              <w:tl2br w:val="nil"/>
              <w:tr2bl w:val="nil"/>
            </w:tcBorders>
            <w:noWrap/>
          </w:tcPr>
          <w:p w14:paraId="7ECFB49A">
            <w:pPr>
              <w:spacing w:after="0" w:line="240" w:lineRule="auto"/>
              <w:ind w:firstLine="0" w:firstLineChars="0"/>
              <w:rPr>
                <w:rFonts w:ascii="微软雅黑" w:hAnsi="微软雅黑" w:cs="微软雅黑"/>
                <w:color w:val="auto"/>
                <w:szCs w:val="21"/>
                <w:highlight w:val="none"/>
              </w:rPr>
            </w:pPr>
            <w:r>
              <w:rPr>
                <w:rFonts w:hint="eastAsia" w:ascii="微软雅黑" w:hAnsi="微软雅黑" w:cs="微软雅黑"/>
                <w:color w:val="auto"/>
                <w:highlight w:val="none"/>
              </w:rPr>
              <w:t>三用紫外分析仪</w:t>
            </w:r>
          </w:p>
        </w:tc>
        <w:tc>
          <w:tcPr>
            <w:tcW w:w="1454" w:type="dxa"/>
            <w:tcBorders>
              <w:tl2br w:val="nil"/>
              <w:tr2bl w:val="nil"/>
            </w:tcBorders>
            <w:noWrap/>
          </w:tcPr>
          <w:p w14:paraId="01506951">
            <w:pPr>
              <w:widowControl/>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highlight w:val="none"/>
              </w:rPr>
              <w:t>2</w:t>
            </w:r>
          </w:p>
        </w:tc>
        <w:tc>
          <w:tcPr>
            <w:tcW w:w="1454" w:type="dxa"/>
            <w:tcBorders>
              <w:tl2br w:val="nil"/>
              <w:tr2bl w:val="nil"/>
            </w:tcBorders>
            <w:noWrap/>
          </w:tcPr>
          <w:p w14:paraId="04E4F529">
            <w:pPr>
              <w:widowControl/>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highlight w:val="none"/>
              </w:rPr>
              <w:t>台</w:t>
            </w:r>
          </w:p>
        </w:tc>
      </w:tr>
      <w:tr w14:paraId="32A1B2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942" w:type="dxa"/>
            <w:tcBorders>
              <w:tl2br w:val="nil"/>
              <w:tr2bl w:val="nil"/>
            </w:tcBorders>
            <w:noWrap/>
            <w:vAlign w:val="center"/>
          </w:tcPr>
          <w:p w14:paraId="6B2FB194">
            <w:pPr>
              <w:widowControl/>
              <w:spacing w:after="0" w:line="240" w:lineRule="auto"/>
              <w:ind w:firstLine="0" w:firstLineChars="0"/>
              <w:jc w:val="center"/>
              <w:rPr>
                <w:rFonts w:ascii="微软雅黑" w:hAnsi="微软雅黑"/>
                <w:color w:val="auto"/>
                <w:kern w:val="0"/>
                <w:szCs w:val="21"/>
                <w:highlight w:val="none"/>
              </w:rPr>
            </w:pPr>
            <w:r>
              <w:rPr>
                <w:rFonts w:ascii="微软雅黑" w:hAnsi="微软雅黑"/>
                <w:color w:val="auto"/>
                <w:kern w:val="0"/>
                <w:szCs w:val="21"/>
                <w:highlight w:val="none"/>
              </w:rPr>
              <w:t>34</w:t>
            </w:r>
          </w:p>
        </w:tc>
        <w:tc>
          <w:tcPr>
            <w:tcW w:w="4621" w:type="dxa"/>
            <w:tcBorders>
              <w:tl2br w:val="nil"/>
              <w:tr2bl w:val="nil"/>
            </w:tcBorders>
            <w:noWrap/>
          </w:tcPr>
          <w:p w14:paraId="1FBC7B0C">
            <w:pPr>
              <w:spacing w:after="0" w:line="240" w:lineRule="auto"/>
              <w:ind w:firstLine="0" w:firstLineChars="0"/>
              <w:rPr>
                <w:rFonts w:ascii="微软雅黑" w:hAnsi="微软雅黑" w:cs="微软雅黑"/>
                <w:color w:val="auto"/>
                <w:szCs w:val="21"/>
                <w:highlight w:val="none"/>
              </w:rPr>
            </w:pPr>
            <w:r>
              <w:rPr>
                <w:rFonts w:hint="eastAsia" w:ascii="微软雅黑" w:hAnsi="微软雅黑" w:cs="微软雅黑"/>
                <w:color w:val="auto"/>
                <w:highlight w:val="none"/>
              </w:rPr>
              <w:t>玻璃气流烘干器</w:t>
            </w:r>
          </w:p>
        </w:tc>
        <w:tc>
          <w:tcPr>
            <w:tcW w:w="1454" w:type="dxa"/>
            <w:tcBorders>
              <w:tl2br w:val="nil"/>
              <w:tr2bl w:val="nil"/>
            </w:tcBorders>
            <w:noWrap/>
          </w:tcPr>
          <w:p w14:paraId="1CC92DA4">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highlight w:val="none"/>
              </w:rPr>
              <w:t>2</w:t>
            </w:r>
          </w:p>
        </w:tc>
        <w:tc>
          <w:tcPr>
            <w:tcW w:w="1454" w:type="dxa"/>
            <w:tcBorders>
              <w:tl2br w:val="nil"/>
              <w:tr2bl w:val="nil"/>
            </w:tcBorders>
            <w:noWrap/>
          </w:tcPr>
          <w:p w14:paraId="6CE89B7B">
            <w:pPr>
              <w:widowControl/>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highlight w:val="none"/>
              </w:rPr>
              <w:t>台</w:t>
            </w:r>
          </w:p>
        </w:tc>
      </w:tr>
      <w:tr w14:paraId="54B5DE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942" w:type="dxa"/>
            <w:tcBorders>
              <w:tl2br w:val="nil"/>
              <w:tr2bl w:val="nil"/>
            </w:tcBorders>
            <w:noWrap/>
            <w:vAlign w:val="center"/>
          </w:tcPr>
          <w:p w14:paraId="004F529D">
            <w:pPr>
              <w:widowControl/>
              <w:spacing w:after="0" w:line="240" w:lineRule="auto"/>
              <w:ind w:firstLine="0" w:firstLineChars="0"/>
              <w:jc w:val="center"/>
              <w:rPr>
                <w:rFonts w:ascii="微软雅黑" w:hAnsi="微软雅黑"/>
                <w:color w:val="auto"/>
                <w:kern w:val="0"/>
                <w:szCs w:val="21"/>
                <w:highlight w:val="none"/>
              </w:rPr>
            </w:pPr>
            <w:r>
              <w:rPr>
                <w:rFonts w:ascii="微软雅黑" w:hAnsi="微软雅黑"/>
                <w:color w:val="auto"/>
                <w:kern w:val="0"/>
                <w:szCs w:val="21"/>
                <w:highlight w:val="none"/>
              </w:rPr>
              <w:t>35</w:t>
            </w:r>
          </w:p>
        </w:tc>
        <w:tc>
          <w:tcPr>
            <w:tcW w:w="4621" w:type="dxa"/>
            <w:tcBorders>
              <w:tl2br w:val="nil"/>
              <w:tr2bl w:val="nil"/>
            </w:tcBorders>
            <w:noWrap/>
          </w:tcPr>
          <w:p w14:paraId="7E210F5F">
            <w:pPr>
              <w:spacing w:after="0" w:line="240" w:lineRule="auto"/>
              <w:ind w:firstLine="0" w:firstLineChars="0"/>
              <w:rPr>
                <w:rFonts w:ascii="微软雅黑" w:hAnsi="微软雅黑" w:cs="微软雅黑"/>
                <w:color w:val="auto"/>
                <w:szCs w:val="21"/>
                <w:highlight w:val="none"/>
              </w:rPr>
            </w:pPr>
            <w:r>
              <w:rPr>
                <w:rFonts w:hint="eastAsia" w:ascii="微软雅黑" w:hAnsi="微软雅黑" w:cs="微软雅黑"/>
                <w:color w:val="auto"/>
                <w:highlight w:val="none"/>
              </w:rPr>
              <w:t>显微熔点仪</w:t>
            </w:r>
          </w:p>
        </w:tc>
        <w:tc>
          <w:tcPr>
            <w:tcW w:w="1454" w:type="dxa"/>
            <w:tcBorders>
              <w:tl2br w:val="nil"/>
              <w:tr2bl w:val="nil"/>
            </w:tcBorders>
            <w:noWrap/>
          </w:tcPr>
          <w:p w14:paraId="5557B483">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highlight w:val="none"/>
              </w:rPr>
              <w:t>1</w:t>
            </w:r>
          </w:p>
        </w:tc>
        <w:tc>
          <w:tcPr>
            <w:tcW w:w="1454" w:type="dxa"/>
            <w:tcBorders>
              <w:tl2br w:val="nil"/>
              <w:tr2bl w:val="nil"/>
            </w:tcBorders>
            <w:noWrap/>
          </w:tcPr>
          <w:p w14:paraId="20B4D757">
            <w:pPr>
              <w:widowControl/>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highlight w:val="none"/>
              </w:rPr>
              <w:t>台</w:t>
            </w:r>
          </w:p>
        </w:tc>
      </w:tr>
      <w:tr w14:paraId="226B29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942" w:type="dxa"/>
            <w:tcBorders>
              <w:tl2br w:val="nil"/>
              <w:tr2bl w:val="nil"/>
            </w:tcBorders>
            <w:noWrap/>
            <w:vAlign w:val="center"/>
          </w:tcPr>
          <w:p w14:paraId="6029840C">
            <w:pPr>
              <w:widowControl/>
              <w:spacing w:after="0" w:line="240" w:lineRule="auto"/>
              <w:ind w:firstLine="0" w:firstLineChars="0"/>
              <w:jc w:val="center"/>
              <w:rPr>
                <w:rFonts w:ascii="微软雅黑" w:hAnsi="微软雅黑"/>
                <w:color w:val="auto"/>
                <w:kern w:val="0"/>
                <w:szCs w:val="21"/>
                <w:highlight w:val="none"/>
              </w:rPr>
            </w:pPr>
            <w:r>
              <w:rPr>
                <w:rFonts w:ascii="微软雅黑" w:hAnsi="微软雅黑"/>
                <w:color w:val="auto"/>
                <w:kern w:val="0"/>
                <w:szCs w:val="21"/>
                <w:highlight w:val="none"/>
              </w:rPr>
              <w:t>36</w:t>
            </w:r>
          </w:p>
        </w:tc>
        <w:tc>
          <w:tcPr>
            <w:tcW w:w="4621" w:type="dxa"/>
            <w:tcBorders>
              <w:tl2br w:val="nil"/>
              <w:tr2bl w:val="nil"/>
            </w:tcBorders>
            <w:noWrap/>
          </w:tcPr>
          <w:p w14:paraId="33BBB2DA">
            <w:pPr>
              <w:spacing w:after="0" w:line="240" w:lineRule="auto"/>
              <w:ind w:firstLine="0" w:firstLineChars="0"/>
              <w:rPr>
                <w:rFonts w:ascii="微软雅黑" w:hAnsi="微软雅黑" w:cs="微软雅黑"/>
                <w:color w:val="auto"/>
                <w:szCs w:val="21"/>
                <w:highlight w:val="none"/>
              </w:rPr>
            </w:pPr>
            <w:r>
              <w:rPr>
                <w:rFonts w:hint="eastAsia" w:ascii="微软雅黑" w:hAnsi="微软雅黑" w:cs="微软雅黑"/>
                <w:color w:val="auto"/>
                <w:highlight w:val="none"/>
              </w:rPr>
              <w:t>纯水机</w:t>
            </w:r>
          </w:p>
        </w:tc>
        <w:tc>
          <w:tcPr>
            <w:tcW w:w="1454" w:type="dxa"/>
            <w:tcBorders>
              <w:tl2br w:val="nil"/>
              <w:tr2bl w:val="nil"/>
            </w:tcBorders>
            <w:noWrap/>
          </w:tcPr>
          <w:p w14:paraId="42C91DA7">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highlight w:val="none"/>
              </w:rPr>
              <w:t>1</w:t>
            </w:r>
          </w:p>
        </w:tc>
        <w:tc>
          <w:tcPr>
            <w:tcW w:w="1454" w:type="dxa"/>
            <w:tcBorders>
              <w:tl2br w:val="nil"/>
              <w:tr2bl w:val="nil"/>
            </w:tcBorders>
            <w:noWrap/>
          </w:tcPr>
          <w:p w14:paraId="38835BF2">
            <w:pPr>
              <w:widowControl/>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highlight w:val="none"/>
              </w:rPr>
              <w:t>台</w:t>
            </w:r>
          </w:p>
        </w:tc>
      </w:tr>
      <w:tr w14:paraId="594019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942" w:type="dxa"/>
            <w:tcBorders>
              <w:tl2br w:val="nil"/>
              <w:tr2bl w:val="nil"/>
            </w:tcBorders>
            <w:noWrap/>
            <w:vAlign w:val="center"/>
          </w:tcPr>
          <w:p w14:paraId="041C7FBD">
            <w:pPr>
              <w:widowControl/>
              <w:spacing w:after="0" w:line="240" w:lineRule="auto"/>
              <w:ind w:firstLine="0" w:firstLineChars="0"/>
              <w:jc w:val="center"/>
              <w:rPr>
                <w:rFonts w:ascii="微软雅黑" w:hAnsi="微软雅黑"/>
                <w:color w:val="auto"/>
                <w:kern w:val="0"/>
                <w:szCs w:val="21"/>
                <w:highlight w:val="none"/>
              </w:rPr>
            </w:pPr>
            <w:r>
              <w:rPr>
                <w:rFonts w:ascii="微软雅黑" w:hAnsi="微软雅黑"/>
                <w:color w:val="auto"/>
                <w:kern w:val="0"/>
                <w:szCs w:val="21"/>
                <w:highlight w:val="none"/>
              </w:rPr>
              <w:t>37</w:t>
            </w:r>
          </w:p>
        </w:tc>
        <w:tc>
          <w:tcPr>
            <w:tcW w:w="4621" w:type="dxa"/>
            <w:tcBorders>
              <w:tl2br w:val="nil"/>
              <w:tr2bl w:val="nil"/>
            </w:tcBorders>
            <w:noWrap/>
          </w:tcPr>
          <w:p w14:paraId="545D2670">
            <w:pPr>
              <w:spacing w:after="0" w:line="240" w:lineRule="auto"/>
              <w:ind w:firstLine="0" w:firstLineChars="0"/>
              <w:rPr>
                <w:rFonts w:ascii="微软雅黑" w:hAnsi="微软雅黑" w:cs="微软雅黑"/>
                <w:color w:val="auto"/>
                <w:szCs w:val="21"/>
                <w:highlight w:val="none"/>
              </w:rPr>
            </w:pPr>
            <w:r>
              <w:rPr>
                <w:rFonts w:hint="eastAsia" w:ascii="微软雅黑" w:hAnsi="微软雅黑" w:cs="微软雅黑"/>
                <w:color w:val="auto"/>
                <w:highlight w:val="none"/>
              </w:rPr>
              <w:t>超纯水仪</w:t>
            </w:r>
          </w:p>
        </w:tc>
        <w:tc>
          <w:tcPr>
            <w:tcW w:w="1454" w:type="dxa"/>
            <w:tcBorders>
              <w:tl2br w:val="nil"/>
              <w:tr2bl w:val="nil"/>
            </w:tcBorders>
            <w:noWrap/>
          </w:tcPr>
          <w:p w14:paraId="14987A0C">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highlight w:val="none"/>
              </w:rPr>
              <w:t>1</w:t>
            </w:r>
          </w:p>
        </w:tc>
        <w:tc>
          <w:tcPr>
            <w:tcW w:w="1454" w:type="dxa"/>
            <w:tcBorders>
              <w:tl2br w:val="nil"/>
              <w:tr2bl w:val="nil"/>
            </w:tcBorders>
            <w:noWrap/>
          </w:tcPr>
          <w:p w14:paraId="388ECC4B">
            <w:pPr>
              <w:widowControl/>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highlight w:val="none"/>
              </w:rPr>
              <w:t>台</w:t>
            </w:r>
          </w:p>
        </w:tc>
      </w:tr>
      <w:tr w14:paraId="3471DA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942" w:type="dxa"/>
            <w:tcBorders>
              <w:tl2br w:val="nil"/>
              <w:tr2bl w:val="nil"/>
            </w:tcBorders>
            <w:noWrap/>
            <w:vAlign w:val="center"/>
          </w:tcPr>
          <w:p w14:paraId="0B31AFFE">
            <w:pPr>
              <w:widowControl/>
              <w:spacing w:after="0" w:line="240" w:lineRule="auto"/>
              <w:ind w:firstLine="0" w:firstLineChars="0"/>
              <w:jc w:val="center"/>
              <w:rPr>
                <w:rFonts w:ascii="微软雅黑" w:hAnsi="微软雅黑"/>
                <w:color w:val="auto"/>
                <w:kern w:val="0"/>
                <w:szCs w:val="21"/>
                <w:highlight w:val="none"/>
              </w:rPr>
            </w:pPr>
            <w:r>
              <w:rPr>
                <w:rFonts w:ascii="微软雅黑" w:hAnsi="微软雅黑"/>
                <w:color w:val="auto"/>
                <w:kern w:val="0"/>
                <w:szCs w:val="21"/>
                <w:highlight w:val="none"/>
              </w:rPr>
              <w:t>38</w:t>
            </w:r>
          </w:p>
        </w:tc>
        <w:tc>
          <w:tcPr>
            <w:tcW w:w="4621" w:type="dxa"/>
            <w:tcBorders>
              <w:tl2br w:val="nil"/>
              <w:tr2bl w:val="nil"/>
            </w:tcBorders>
            <w:noWrap/>
          </w:tcPr>
          <w:p w14:paraId="0C3955C7">
            <w:pPr>
              <w:spacing w:after="0" w:line="240" w:lineRule="auto"/>
              <w:ind w:firstLine="0" w:firstLineChars="0"/>
              <w:rPr>
                <w:rFonts w:ascii="微软雅黑" w:hAnsi="微软雅黑" w:cs="微软雅黑"/>
                <w:color w:val="auto"/>
                <w:szCs w:val="21"/>
                <w:highlight w:val="none"/>
              </w:rPr>
            </w:pPr>
            <w:r>
              <w:rPr>
                <w:rFonts w:hint="eastAsia" w:ascii="微软雅黑" w:hAnsi="微软雅黑" w:cs="微软雅黑"/>
                <w:color w:val="auto"/>
                <w:highlight w:val="none"/>
              </w:rPr>
              <w:t>除湿机</w:t>
            </w:r>
          </w:p>
        </w:tc>
        <w:tc>
          <w:tcPr>
            <w:tcW w:w="1454" w:type="dxa"/>
            <w:tcBorders>
              <w:tl2br w:val="nil"/>
              <w:tr2bl w:val="nil"/>
            </w:tcBorders>
            <w:noWrap/>
          </w:tcPr>
          <w:p w14:paraId="0E9C771B">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highlight w:val="none"/>
              </w:rPr>
              <w:t>1</w:t>
            </w:r>
          </w:p>
        </w:tc>
        <w:tc>
          <w:tcPr>
            <w:tcW w:w="1454" w:type="dxa"/>
            <w:tcBorders>
              <w:tl2br w:val="nil"/>
              <w:tr2bl w:val="nil"/>
            </w:tcBorders>
            <w:noWrap/>
          </w:tcPr>
          <w:p w14:paraId="2392090C">
            <w:pPr>
              <w:widowControl/>
              <w:spacing w:after="0" w:line="240" w:lineRule="auto"/>
              <w:ind w:firstLine="0" w:firstLineChars="0"/>
              <w:jc w:val="center"/>
              <w:rPr>
                <w:rFonts w:ascii="微软雅黑" w:hAnsi="微软雅黑" w:cs="微软雅黑"/>
                <w:b/>
                <w:bCs/>
                <w:color w:val="auto"/>
                <w:szCs w:val="21"/>
                <w:highlight w:val="none"/>
                <w:lang w:bidi="ar"/>
              </w:rPr>
            </w:pPr>
            <w:r>
              <w:rPr>
                <w:rFonts w:hint="eastAsia" w:ascii="微软雅黑" w:hAnsi="微软雅黑" w:cs="微软雅黑"/>
                <w:color w:val="auto"/>
                <w:highlight w:val="none"/>
              </w:rPr>
              <w:t>台</w:t>
            </w:r>
          </w:p>
        </w:tc>
      </w:tr>
    </w:tbl>
    <w:p w14:paraId="0EE071A7">
      <w:pPr>
        <w:pStyle w:val="3"/>
        <w:numPr>
          <w:ilvl w:val="0"/>
          <w:numId w:val="5"/>
        </w:numPr>
        <w:ind w:left="0" w:firstLine="426" w:firstLineChars="0"/>
        <w:rPr>
          <w:color w:val="auto"/>
          <w:highlight w:val="none"/>
        </w:rPr>
      </w:pPr>
      <w:r>
        <w:rPr>
          <w:rFonts w:hint="eastAsia" w:ascii="微软雅黑" w:hAnsi="微软雅黑" w:cs="宋体"/>
          <w:bCs/>
          <w:color w:val="auto"/>
          <w:sz w:val="30"/>
          <w:szCs w:val="30"/>
          <w:highlight w:val="none"/>
        </w:rPr>
        <w:t>标项二</w:t>
      </w:r>
    </w:p>
    <w:tbl>
      <w:tblPr>
        <w:tblStyle w:val="52"/>
        <w:tblW w:w="829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3"/>
        <w:gridCol w:w="4145"/>
        <w:gridCol w:w="1657"/>
        <w:gridCol w:w="1538"/>
      </w:tblGrid>
      <w:tr w14:paraId="69B64E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953" w:type="dxa"/>
            <w:noWrap/>
            <w:vAlign w:val="center"/>
          </w:tcPr>
          <w:p w14:paraId="5374DEF8">
            <w:pPr>
              <w:widowControl/>
              <w:spacing w:after="0" w:line="240" w:lineRule="auto"/>
              <w:ind w:firstLine="0" w:firstLineChars="0"/>
              <w:jc w:val="center"/>
              <w:rPr>
                <w:rFonts w:ascii="微软雅黑" w:hAnsi="微软雅黑"/>
                <w:b/>
                <w:bCs/>
                <w:color w:val="auto"/>
                <w:kern w:val="0"/>
                <w:szCs w:val="21"/>
                <w:highlight w:val="none"/>
              </w:rPr>
            </w:pPr>
            <w:r>
              <w:rPr>
                <w:rFonts w:hint="eastAsia" w:ascii="微软雅黑" w:hAnsi="微软雅黑"/>
                <w:b/>
                <w:bCs/>
                <w:color w:val="auto"/>
                <w:kern w:val="0"/>
                <w:szCs w:val="21"/>
                <w:highlight w:val="none"/>
              </w:rPr>
              <w:t>序号</w:t>
            </w:r>
          </w:p>
        </w:tc>
        <w:tc>
          <w:tcPr>
            <w:tcW w:w="4145" w:type="dxa"/>
            <w:noWrap/>
            <w:vAlign w:val="center"/>
          </w:tcPr>
          <w:p w14:paraId="459ABEFD">
            <w:pPr>
              <w:widowControl/>
              <w:spacing w:after="0" w:line="240" w:lineRule="auto"/>
              <w:ind w:firstLine="0" w:firstLineChars="0"/>
              <w:jc w:val="center"/>
              <w:rPr>
                <w:rFonts w:ascii="微软雅黑" w:hAnsi="微软雅黑"/>
                <w:b/>
                <w:bCs/>
                <w:color w:val="auto"/>
                <w:kern w:val="0"/>
                <w:szCs w:val="21"/>
                <w:highlight w:val="none"/>
              </w:rPr>
            </w:pPr>
            <w:r>
              <w:rPr>
                <w:rFonts w:hint="eastAsia" w:ascii="微软雅黑" w:hAnsi="微软雅黑"/>
                <w:b/>
                <w:bCs/>
                <w:color w:val="auto"/>
                <w:kern w:val="0"/>
                <w:szCs w:val="21"/>
                <w:highlight w:val="none"/>
              </w:rPr>
              <w:t>设备名称</w:t>
            </w:r>
          </w:p>
        </w:tc>
        <w:tc>
          <w:tcPr>
            <w:tcW w:w="1657" w:type="dxa"/>
            <w:noWrap/>
            <w:vAlign w:val="center"/>
          </w:tcPr>
          <w:p w14:paraId="5C9DC327">
            <w:pPr>
              <w:widowControl/>
              <w:spacing w:after="0" w:line="240" w:lineRule="auto"/>
              <w:ind w:firstLine="0" w:firstLineChars="0"/>
              <w:jc w:val="center"/>
              <w:rPr>
                <w:rFonts w:ascii="微软雅黑" w:hAnsi="微软雅黑"/>
                <w:b/>
                <w:bCs/>
                <w:color w:val="auto"/>
                <w:kern w:val="0"/>
                <w:szCs w:val="21"/>
                <w:highlight w:val="none"/>
              </w:rPr>
            </w:pPr>
            <w:r>
              <w:rPr>
                <w:rFonts w:hint="eastAsia" w:ascii="微软雅黑" w:hAnsi="微软雅黑"/>
                <w:b/>
                <w:bCs/>
                <w:color w:val="auto"/>
                <w:kern w:val="0"/>
                <w:szCs w:val="21"/>
                <w:highlight w:val="none"/>
              </w:rPr>
              <w:t>数量</w:t>
            </w:r>
          </w:p>
        </w:tc>
        <w:tc>
          <w:tcPr>
            <w:tcW w:w="1538" w:type="dxa"/>
            <w:noWrap/>
            <w:vAlign w:val="center"/>
          </w:tcPr>
          <w:p w14:paraId="2B54A7CE">
            <w:pPr>
              <w:widowControl/>
              <w:spacing w:after="0" w:line="240" w:lineRule="auto"/>
              <w:ind w:firstLine="0" w:firstLineChars="0"/>
              <w:jc w:val="center"/>
              <w:rPr>
                <w:rFonts w:ascii="微软雅黑" w:hAnsi="微软雅黑"/>
                <w:b/>
                <w:bCs/>
                <w:color w:val="auto"/>
                <w:kern w:val="0"/>
                <w:szCs w:val="21"/>
                <w:highlight w:val="none"/>
              </w:rPr>
            </w:pPr>
            <w:r>
              <w:rPr>
                <w:rFonts w:hint="eastAsia" w:ascii="微软雅黑" w:hAnsi="微软雅黑"/>
                <w:b/>
                <w:bCs/>
                <w:color w:val="auto"/>
                <w:kern w:val="0"/>
                <w:szCs w:val="21"/>
                <w:highlight w:val="none"/>
              </w:rPr>
              <w:t>单位</w:t>
            </w:r>
          </w:p>
        </w:tc>
      </w:tr>
      <w:tr w14:paraId="76C088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953" w:type="dxa"/>
            <w:noWrap/>
            <w:vAlign w:val="center"/>
          </w:tcPr>
          <w:p w14:paraId="11E49A83">
            <w:pPr>
              <w:widowControl/>
              <w:spacing w:after="0" w:line="240" w:lineRule="auto"/>
              <w:ind w:firstLine="0" w:firstLineChars="0"/>
              <w:jc w:val="center"/>
              <w:rPr>
                <w:rFonts w:ascii="微软雅黑" w:hAnsi="微软雅黑"/>
                <w:color w:val="auto"/>
                <w:kern w:val="0"/>
                <w:szCs w:val="21"/>
                <w:highlight w:val="none"/>
              </w:rPr>
            </w:pPr>
            <w:r>
              <w:rPr>
                <w:rFonts w:hint="eastAsia" w:ascii="微软雅黑" w:hAnsi="微软雅黑"/>
                <w:color w:val="auto"/>
                <w:kern w:val="0"/>
                <w:szCs w:val="21"/>
                <w:highlight w:val="none"/>
              </w:rPr>
              <w:t>1</w:t>
            </w:r>
          </w:p>
        </w:tc>
        <w:tc>
          <w:tcPr>
            <w:tcW w:w="4145" w:type="dxa"/>
            <w:noWrap/>
            <w:vAlign w:val="center"/>
          </w:tcPr>
          <w:p w14:paraId="0A083BFB">
            <w:pPr>
              <w:widowControl/>
              <w:spacing w:after="0" w:line="240" w:lineRule="auto"/>
              <w:ind w:firstLine="0" w:firstLineChars="0"/>
              <w:jc w:val="center"/>
              <w:rPr>
                <w:rFonts w:ascii="微软雅黑" w:hAnsi="微软雅黑"/>
                <w:color w:val="auto"/>
                <w:kern w:val="0"/>
                <w:szCs w:val="21"/>
                <w:highlight w:val="none"/>
              </w:rPr>
            </w:pPr>
            <w:r>
              <w:rPr>
                <w:rFonts w:hint="eastAsia" w:ascii="微软雅黑" w:hAnsi="微软雅黑"/>
                <w:color w:val="auto"/>
                <w:szCs w:val="21"/>
                <w:highlight w:val="none"/>
              </w:rPr>
              <w:t>干燥实验装置</w:t>
            </w:r>
          </w:p>
        </w:tc>
        <w:tc>
          <w:tcPr>
            <w:tcW w:w="1657" w:type="dxa"/>
            <w:noWrap/>
            <w:vAlign w:val="center"/>
          </w:tcPr>
          <w:p w14:paraId="78F1BBFC">
            <w:pPr>
              <w:widowControl/>
              <w:spacing w:after="0" w:line="240" w:lineRule="auto"/>
              <w:ind w:firstLine="0" w:firstLineChars="0"/>
              <w:jc w:val="center"/>
              <w:rPr>
                <w:rFonts w:ascii="微软雅黑" w:hAnsi="微软雅黑"/>
                <w:color w:val="auto"/>
                <w:kern w:val="0"/>
                <w:szCs w:val="21"/>
                <w:highlight w:val="none"/>
              </w:rPr>
            </w:pPr>
            <w:r>
              <w:rPr>
                <w:rFonts w:hint="eastAsia" w:ascii="微软雅黑" w:hAnsi="微软雅黑"/>
                <w:color w:val="auto"/>
                <w:szCs w:val="21"/>
                <w:highlight w:val="none"/>
              </w:rPr>
              <w:t>4</w:t>
            </w:r>
          </w:p>
        </w:tc>
        <w:tc>
          <w:tcPr>
            <w:tcW w:w="1538" w:type="dxa"/>
            <w:noWrap/>
            <w:vAlign w:val="center"/>
          </w:tcPr>
          <w:p w14:paraId="6CC5AE67">
            <w:pPr>
              <w:widowControl/>
              <w:spacing w:after="0" w:line="240" w:lineRule="auto"/>
              <w:ind w:firstLine="0" w:firstLineChars="0"/>
              <w:jc w:val="center"/>
              <w:rPr>
                <w:rFonts w:ascii="微软雅黑" w:hAnsi="微软雅黑"/>
                <w:color w:val="auto"/>
                <w:kern w:val="0"/>
                <w:szCs w:val="21"/>
                <w:highlight w:val="none"/>
              </w:rPr>
            </w:pPr>
            <w:r>
              <w:rPr>
                <w:rFonts w:hint="eastAsia" w:ascii="微软雅黑" w:hAnsi="微软雅黑"/>
                <w:color w:val="auto"/>
                <w:kern w:val="0"/>
                <w:szCs w:val="21"/>
                <w:highlight w:val="none"/>
              </w:rPr>
              <w:t>套</w:t>
            </w:r>
          </w:p>
        </w:tc>
      </w:tr>
      <w:tr w14:paraId="39BD5E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953" w:type="dxa"/>
            <w:noWrap/>
            <w:vAlign w:val="center"/>
          </w:tcPr>
          <w:p w14:paraId="535487E9">
            <w:pPr>
              <w:widowControl/>
              <w:spacing w:after="0" w:line="240" w:lineRule="auto"/>
              <w:ind w:firstLine="0" w:firstLineChars="0"/>
              <w:jc w:val="center"/>
              <w:rPr>
                <w:rFonts w:ascii="微软雅黑" w:hAnsi="微软雅黑"/>
                <w:color w:val="auto"/>
                <w:kern w:val="0"/>
                <w:szCs w:val="21"/>
                <w:highlight w:val="none"/>
              </w:rPr>
            </w:pPr>
            <w:r>
              <w:rPr>
                <w:rFonts w:hint="eastAsia" w:ascii="微软雅黑" w:hAnsi="微软雅黑"/>
                <w:color w:val="auto"/>
                <w:kern w:val="0"/>
                <w:szCs w:val="21"/>
                <w:highlight w:val="none"/>
              </w:rPr>
              <w:t>2</w:t>
            </w:r>
          </w:p>
        </w:tc>
        <w:tc>
          <w:tcPr>
            <w:tcW w:w="4145" w:type="dxa"/>
            <w:noWrap/>
            <w:vAlign w:val="center"/>
          </w:tcPr>
          <w:p w14:paraId="6CEED76C">
            <w:pPr>
              <w:widowControl/>
              <w:spacing w:after="0" w:line="240" w:lineRule="auto"/>
              <w:ind w:firstLine="0" w:firstLineChars="0"/>
              <w:jc w:val="center"/>
              <w:rPr>
                <w:rFonts w:ascii="微软雅黑" w:hAnsi="微软雅黑"/>
                <w:color w:val="auto"/>
                <w:kern w:val="0"/>
                <w:szCs w:val="21"/>
                <w:highlight w:val="none"/>
              </w:rPr>
            </w:pPr>
            <w:r>
              <w:rPr>
                <w:rFonts w:hint="eastAsia" w:ascii="微软雅黑" w:hAnsi="微软雅黑"/>
                <w:color w:val="auto"/>
                <w:szCs w:val="21"/>
                <w:highlight w:val="none"/>
              </w:rPr>
              <w:t>化工流动综合实验装置</w:t>
            </w:r>
          </w:p>
        </w:tc>
        <w:tc>
          <w:tcPr>
            <w:tcW w:w="1657" w:type="dxa"/>
            <w:noWrap/>
            <w:vAlign w:val="center"/>
          </w:tcPr>
          <w:p w14:paraId="21CB4C03">
            <w:pPr>
              <w:widowControl/>
              <w:spacing w:after="0" w:line="240" w:lineRule="auto"/>
              <w:ind w:firstLine="0" w:firstLineChars="0"/>
              <w:jc w:val="center"/>
              <w:rPr>
                <w:rFonts w:ascii="微软雅黑" w:hAnsi="微软雅黑"/>
                <w:color w:val="auto"/>
                <w:kern w:val="0"/>
                <w:szCs w:val="21"/>
                <w:highlight w:val="none"/>
              </w:rPr>
            </w:pPr>
            <w:r>
              <w:rPr>
                <w:rFonts w:hint="eastAsia" w:ascii="微软雅黑" w:hAnsi="微软雅黑"/>
                <w:color w:val="auto"/>
                <w:szCs w:val="21"/>
                <w:highlight w:val="none"/>
              </w:rPr>
              <w:t>4</w:t>
            </w:r>
          </w:p>
        </w:tc>
        <w:tc>
          <w:tcPr>
            <w:tcW w:w="1538" w:type="dxa"/>
            <w:noWrap/>
            <w:vAlign w:val="center"/>
          </w:tcPr>
          <w:p w14:paraId="0F2FD9A6">
            <w:pPr>
              <w:widowControl/>
              <w:spacing w:after="0" w:line="240" w:lineRule="auto"/>
              <w:ind w:firstLine="0" w:firstLineChars="0"/>
              <w:jc w:val="center"/>
              <w:rPr>
                <w:rFonts w:ascii="微软雅黑" w:hAnsi="微软雅黑"/>
                <w:color w:val="auto"/>
                <w:kern w:val="0"/>
                <w:szCs w:val="21"/>
                <w:highlight w:val="none"/>
              </w:rPr>
            </w:pPr>
            <w:r>
              <w:rPr>
                <w:rFonts w:hint="eastAsia" w:ascii="微软雅黑" w:hAnsi="微软雅黑"/>
                <w:color w:val="auto"/>
                <w:kern w:val="0"/>
                <w:szCs w:val="21"/>
                <w:highlight w:val="none"/>
              </w:rPr>
              <w:t>套</w:t>
            </w:r>
          </w:p>
        </w:tc>
      </w:tr>
      <w:tr w14:paraId="2BDF07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953" w:type="dxa"/>
            <w:noWrap/>
            <w:vAlign w:val="center"/>
          </w:tcPr>
          <w:p w14:paraId="30DFC40C">
            <w:pPr>
              <w:widowControl/>
              <w:spacing w:after="0" w:line="240" w:lineRule="auto"/>
              <w:ind w:firstLine="0" w:firstLineChars="0"/>
              <w:jc w:val="center"/>
              <w:rPr>
                <w:rFonts w:ascii="微软雅黑" w:hAnsi="微软雅黑"/>
                <w:color w:val="auto"/>
                <w:kern w:val="0"/>
                <w:szCs w:val="21"/>
                <w:highlight w:val="none"/>
              </w:rPr>
            </w:pPr>
            <w:r>
              <w:rPr>
                <w:rFonts w:hint="eastAsia" w:ascii="微软雅黑" w:hAnsi="微软雅黑"/>
                <w:color w:val="auto"/>
                <w:kern w:val="0"/>
                <w:szCs w:val="21"/>
                <w:highlight w:val="none"/>
              </w:rPr>
              <w:t>3</w:t>
            </w:r>
          </w:p>
        </w:tc>
        <w:tc>
          <w:tcPr>
            <w:tcW w:w="4145" w:type="dxa"/>
            <w:noWrap/>
            <w:vAlign w:val="center"/>
          </w:tcPr>
          <w:p w14:paraId="1370CEE3">
            <w:pPr>
              <w:widowControl/>
              <w:spacing w:after="0" w:line="240" w:lineRule="auto"/>
              <w:ind w:firstLine="0" w:firstLineChars="0"/>
              <w:jc w:val="center"/>
              <w:rPr>
                <w:rFonts w:ascii="微软雅黑" w:hAnsi="微软雅黑"/>
                <w:color w:val="auto"/>
                <w:kern w:val="0"/>
                <w:szCs w:val="21"/>
                <w:highlight w:val="none"/>
              </w:rPr>
            </w:pPr>
            <w:r>
              <w:rPr>
                <w:rFonts w:hint="eastAsia" w:ascii="微软雅黑" w:hAnsi="微软雅黑"/>
                <w:color w:val="auto"/>
                <w:szCs w:val="21"/>
                <w:highlight w:val="none"/>
              </w:rPr>
              <w:t>精馏实验装置</w:t>
            </w:r>
          </w:p>
        </w:tc>
        <w:tc>
          <w:tcPr>
            <w:tcW w:w="1657" w:type="dxa"/>
            <w:noWrap/>
            <w:vAlign w:val="center"/>
          </w:tcPr>
          <w:p w14:paraId="69BD9BBA">
            <w:pPr>
              <w:widowControl/>
              <w:spacing w:after="0" w:line="240" w:lineRule="auto"/>
              <w:ind w:firstLine="0" w:firstLineChars="0"/>
              <w:jc w:val="center"/>
              <w:rPr>
                <w:rFonts w:ascii="微软雅黑" w:hAnsi="微软雅黑"/>
                <w:color w:val="auto"/>
                <w:kern w:val="0"/>
                <w:szCs w:val="21"/>
                <w:highlight w:val="none"/>
              </w:rPr>
            </w:pPr>
            <w:r>
              <w:rPr>
                <w:rFonts w:hint="eastAsia" w:ascii="微软雅黑" w:hAnsi="微软雅黑"/>
                <w:color w:val="auto"/>
                <w:szCs w:val="21"/>
                <w:highlight w:val="none"/>
              </w:rPr>
              <w:t>4</w:t>
            </w:r>
          </w:p>
        </w:tc>
        <w:tc>
          <w:tcPr>
            <w:tcW w:w="1538" w:type="dxa"/>
            <w:noWrap/>
            <w:vAlign w:val="center"/>
          </w:tcPr>
          <w:p w14:paraId="2A0C106E">
            <w:pPr>
              <w:widowControl/>
              <w:spacing w:after="0" w:line="240" w:lineRule="auto"/>
              <w:ind w:firstLine="0" w:firstLineChars="0"/>
              <w:jc w:val="center"/>
              <w:rPr>
                <w:rFonts w:ascii="微软雅黑" w:hAnsi="微软雅黑"/>
                <w:color w:val="auto"/>
                <w:kern w:val="0"/>
                <w:szCs w:val="21"/>
                <w:highlight w:val="none"/>
              </w:rPr>
            </w:pPr>
            <w:r>
              <w:rPr>
                <w:rFonts w:hint="eastAsia" w:ascii="微软雅黑" w:hAnsi="微软雅黑"/>
                <w:color w:val="auto"/>
                <w:kern w:val="0"/>
                <w:szCs w:val="21"/>
                <w:highlight w:val="none"/>
              </w:rPr>
              <w:t>套</w:t>
            </w:r>
          </w:p>
        </w:tc>
      </w:tr>
      <w:tr w14:paraId="0A0E7B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953" w:type="dxa"/>
            <w:noWrap/>
            <w:vAlign w:val="center"/>
          </w:tcPr>
          <w:p w14:paraId="2641EE9E">
            <w:pPr>
              <w:widowControl/>
              <w:spacing w:after="0" w:line="240" w:lineRule="auto"/>
              <w:ind w:firstLine="0" w:firstLineChars="0"/>
              <w:jc w:val="center"/>
              <w:rPr>
                <w:rFonts w:ascii="微软雅黑" w:hAnsi="微软雅黑"/>
                <w:color w:val="auto"/>
                <w:kern w:val="0"/>
                <w:szCs w:val="21"/>
                <w:highlight w:val="none"/>
              </w:rPr>
            </w:pPr>
            <w:r>
              <w:rPr>
                <w:rFonts w:hint="eastAsia" w:ascii="微软雅黑" w:hAnsi="微软雅黑"/>
                <w:color w:val="auto"/>
                <w:kern w:val="0"/>
                <w:szCs w:val="21"/>
                <w:highlight w:val="none"/>
              </w:rPr>
              <w:t>4</w:t>
            </w:r>
          </w:p>
        </w:tc>
        <w:tc>
          <w:tcPr>
            <w:tcW w:w="4145" w:type="dxa"/>
            <w:noWrap/>
            <w:vAlign w:val="center"/>
          </w:tcPr>
          <w:p w14:paraId="4A6BF359">
            <w:pPr>
              <w:widowControl/>
              <w:spacing w:after="0" w:line="240" w:lineRule="auto"/>
              <w:ind w:firstLine="0" w:firstLineChars="0"/>
              <w:jc w:val="center"/>
              <w:rPr>
                <w:rFonts w:ascii="微软雅黑" w:hAnsi="微软雅黑"/>
                <w:color w:val="auto"/>
                <w:kern w:val="0"/>
                <w:szCs w:val="21"/>
                <w:highlight w:val="none"/>
              </w:rPr>
            </w:pPr>
            <w:r>
              <w:rPr>
                <w:rFonts w:hint="eastAsia" w:ascii="微软雅黑" w:hAnsi="微软雅黑"/>
                <w:color w:val="auto"/>
                <w:szCs w:val="21"/>
                <w:highlight w:val="none"/>
              </w:rPr>
              <w:t>传热实验装置</w:t>
            </w:r>
          </w:p>
        </w:tc>
        <w:tc>
          <w:tcPr>
            <w:tcW w:w="1657" w:type="dxa"/>
            <w:noWrap/>
            <w:vAlign w:val="center"/>
          </w:tcPr>
          <w:p w14:paraId="2A636FE8">
            <w:pPr>
              <w:widowControl/>
              <w:spacing w:after="0" w:line="240" w:lineRule="auto"/>
              <w:ind w:firstLine="0" w:firstLineChars="0"/>
              <w:jc w:val="center"/>
              <w:rPr>
                <w:rFonts w:ascii="微软雅黑" w:hAnsi="微软雅黑"/>
                <w:color w:val="auto"/>
                <w:kern w:val="0"/>
                <w:szCs w:val="21"/>
                <w:highlight w:val="none"/>
              </w:rPr>
            </w:pPr>
            <w:r>
              <w:rPr>
                <w:rFonts w:hint="eastAsia" w:ascii="微软雅黑" w:hAnsi="微软雅黑"/>
                <w:color w:val="auto"/>
                <w:szCs w:val="21"/>
                <w:highlight w:val="none"/>
              </w:rPr>
              <w:t>4</w:t>
            </w:r>
          </w:p>
        </w:tc>
        <w:tc>
          <w:tcPr>
            <w:tcW w:w="1538" w:type="dxa"/>
            <w:noWrap/>
            <w:vAlign w:val="center"/>
          </w:tcPr>
          <w:p w14:paraId="43C8D133">
            <w:pPr>
              <w:widowControl/>
              <w:spacing w:after="0" w:line="240" w:lineRule="auto"/>
              <w:ind w:firstLine="0" w:firstLineChars="0"/>
              <w:jc w:val="center"/>
              <w:rPr>
                <w:rFonts w:ascii="微软雅黑" w:hAnsi="微软雅黑"/>
                <w:color w:val="auto"/>
                <w:kern w:val="0"/>
                <w:szCs w:val="21"/>
                <w:highlight w:val="none"/>
              </w:rPr>
            </w:pPr>
            <w:r>
              <w:rPr>
                <w:rFonts w:hint="eastAsia" w:ascii="微软雅黑" w:hAnsi="微软雅黑"/>
                <w:color w:val="auto"/>
                <w:kern w:val="0"/>
                <w:szCs w:val="21"/>
                <w:highlight w:val="none"/>
              </w:rPr>
              <w:t>套</w:t>
            </w:r>
          </w:p>
        </w:tc>
      </w:tr>
      <w:tr w14:paraId="36EF02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953" w:type="dxa"/>
            <w:noWrap/>
            <w:vAlign w:val="center"/>
          </w:tcPr>
          <w:p w14:paraId="68928BCA">
            <w:pPr>
              <w:widowControl/>
              <w:spacing w:after="0" w:line="240" w:lineRule="auto"/>
              <w:ind w:firstLine="0" w:firstLineChars="0"/>
              <w:jc w:val="center"/>
              <w:rPr>
                <w:rFonts w:ascii="微软雅黑" w:hAnsi="微软雅黑"/>
                <w:color w:val="auto"/>
                <w:kern w:val="0"/>
                <w:szCs w:val="21"/>
                <w:highlight w:val="none"/>
              </w:rPr>
            </w:pPr>
            <w:r>
              <w:rPr>
                <w:rFonts w:hint="eastAsia" w:ascii="微软雅黑" w:hAnsi="微软雅黑"/>
                <w:color w:val="auto"/>
                <w:kern w:val="0"/>
                <w:szCs w:val="21"/>
                <w:highlight w:val="none"/>
              </w:rPr>
              <w:t>5</w:t>
            </w:r>
          </w:p>
        </w:tc>
        <w:tc>
          <w:tcPr>
            <w:tcW w:w="4145" w:type="dxa"/>
            <w:noWrap/>
            <w:vAlign w:val="center"/>
          </w:tcPr>
          <w:p w14:paraId="5909B2D3">
            <w:pPr>
              <w:widowControl/>
              <w:spacing w:after="0" w:line="240" w:lineRule="auto"/>
              <w:ind w:firstLine="0" w:firstLineChars="0"/>
              <w:jc w:val="center"/>
              <w:rPr>
                <w:rFonts w:ascii="微软雅黑" w:hAnsi="微软雅黑"/>
                <w:color w:val="auto"/>
                <w:kern w:val="0"/>
                <w:szCs w:val="21"/>
                <w:highlight w:val="none"/>
              </w:rPr>
            </w:pPr>
            <w:r>
              <w:rPr>
                <w:rFonts w:hint="eastAsia" w:ascii="微软雅黑" w:hAnsi="微软雅黑"/>
                <w:color w:val="auto"/>
                <w:szCs w:val="21"/>
                <w:highlight w:val="none"/>
              </w:rPr>
              <w:t>过滤实验装置（核心设备）</w:t>
            </w:r>
          </w:p>
        </w:tc>
        <w:tc>
          <w:tcPr>
            <w:tcW w:w="1657" w:type="dxa"/>
            <w:noWrap/>
            <w:vAlign w:val="center"/>
          </w:tcPr>
          <w:p w14:paraId="641E3ED0">
            <w:pPr>
              <w:widowControl/>
              <w:spacing w:after="0" w:line="240" w:lineRule="auto"/>
              <w:ind w:firstLine="0" w:firstLineChars="0"/>
              <w:jc w:val="center"/>
              <w:rPr>
                <w:rFonts w:ascii="微软雅黑" w:hAnsi="微软雅黑"/>
                <w:color w:val="auto"/>
                <w:kern w:val="0"/>
                <w:szCs w:val="21"/>
                <w:highlight w:val="none"/>
              </w:rPr>
            </w:pPr>
            <w:r>
              <w:rPr>
                <w:rFonts w:hint="eastAsia" w:ascii="微软雅黑" w:hAnsi="微软雅黑"/>
                <w:color w:val="auto"/>
                <w:kern w:val="0"/>
                <w:szCs w:val="21"/>
                <w:highlight w:val="none"/>
              </w:rPr>
              <w:t>2</w:t>
            </w:r>
          </w:p>
        </w:tc>
        <w:tc>
          <w:tcPr>
            <w:tcW w:w="1538" w:type="dxa"/>
            <w:noWrap/>
            <w:vAlign w:val="center"/>
          </w:tcPr>
          <w:p w14:paraId="775C9C8F">
            <w:pPr>
              <w:widowControl/>
              <w:spacing w:after="0" w:line="240" w:lineRule="auto"/>
              <w:ind w:firstLine="0" w:firstLineChars="0"/>
              <w:jc w:val="center"/>
              <w:rPr>
                <w:rFonts w:ascii="微软雅黑" w:hAnsi="微软雅黑"/>
                <w:color w:val="auto"/>
                <w:kern w:val="0"/>
                <w:szCs w:val="21"/>
                <w:highlight w:val="none"/>
              </w:rPr>
            </w:pPr>
            <w:r>
              <w:rPr>
                <w:rFonts w:hint="eastAsia" w:ascii="微软雅黑" w:hAnsi="微软雅黑"/>
                <w:color w:val="auto"/>
                <w:kern w:val="0"/>
                <w:szCs w:val="21"/>
                <w:highlight w:val="none"/>
              </w:rPr>
              <w:t>套</w:t>
            </w:r>
          </w:p>
        </w:tc>
      </w:tr>
      <w:tr w14:paraId="25D410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953" w:type="dxa"/>
            <w:noWrap/>
            <w:vAlign w:val="center"/>
          </w:tcPr>
          <w:p w14:paraId="0A3EC4C9">
            <w:pPr>
              <w:widowControl/>
              <w:spacing w:after="0" w:line="240" w:lineRule="auto"/>
              <w:ind w:firstLine="0" w:firstLineChars="0"/>
              <w:jc w:val="center"/>
              <w:rPr>
                <w:rFonts w:ascii="微软雅黑" w:hAnsi="微软雅黑"/>
                <w:color w:val="auto"/>
                <w:kern w:val="0"/>
                <w:szCs w:val="21"/>
                <w:highlight w:val="none"/>
              </w:rPr>
            </w:pPr>
            <w:r>
              <w:rPr>
                <w:rFonts w:hint="eastAsia" w:ascii="微软雅黑" w:hAnsi="微软雅黑"/>
                <w:color w:val="auto"/>
                <w:kern w:val="0"/>
                <w:szCs w:val="21"/>
                <w:highlight w:val="none"/>
              </w:rPr>
              <w:t>6</w:t>
            </w:r>
          </w:p>
        </w:tc>
        <w:tc>
          <w:tcPr>
            <w:tcW w:w="4145" w:type="dxa"/>
            <w:noWrap/>
            <w:vAlign w:val="center"/>
          </w:tcPr>
          <w:p w14:paraId="25100AEB">
            <w:pPr>
              <w:widowControl/>
              <w:spacing w:after="0" w:line="240" w:lineRule="auto"/>
              <w:ind w:firstLine="0" w:firstLineChars="0"/>
              <w:jc w:val="center"/>
              <w:rPr>
                <w:rFonts w:ascii="微软雅黑" w:hAnsi="微软雅黑"/>
                <w:color w:val="auto"/>
                <w:szCs w:val="21"/>
                <w:highlight w:val="none"/>
              </w:rPr>
            </w:pPr>
            <w:r>
              <w:rPr>
                <w:rFonts w:hint="eastAsia" w:ascii="微软雅黑" w:hAnsi="微软雅黑"/>
                <w:color w:val="auto"/>
                <w:szCs w:val="21"/>
                <w:highlight w:val="none"/>
              </w:rPr>
              <w:t>吸收解吸实验装置</w:t>
            </w:r>
          </w:p>
        </w:tc>
        <w:tc>
          <w:tcPr>
            <w:tcW w:w="1657" w:type="dxa"/>
            <w:noWrap/>
            <w:vAlign w:val="center"/>
          </w:tcPr>
          <w:p w14:paraId="737FA02D">
            <w:pPr>
              <w:widowControl/>
              <w:spacing w:after="0" w:line="240" w:lineRule="auto"/>
              <w:ind w:firstLine="0" w:firstLineChars="0"/>
              <w:jc w:val="center"/>
              <w:rPr>
                <w:rFonts w:ascii="微软雅黑" w:hAnsi="微软雅黑"/>
                <w:color w:val="auto"/>
                <w:kern w:val="0"/>
                <w:szCs w:val="21"/>
                <w:highlight w:val="none"/>
              </w:rPr>
            </w:pPr>
            <w:r>
              <w:rPr>
                <w:rFonts w:hint="eastAsia" w:ascii="微软雅黑" w:hAnsi="微软雅黑"/>
                <w:color w:val="auto"/>
                <w:kern w:val="0"/>
                <w:szCs w:val="21"/>
                <w:highlight w:val="none"/>
              </w:rPr>
              <w:t>2</w:t>
            </w:r>
          </w:p>
        </w:tc>
        <w:tc>
          <w:tcPr>
            <w:tcW w:w="1538" w:type="dxa"/>
            <w:noWrap/>
            <w:vAlign w:val="center"/>
          </w:tcPr>
          <w:p w14:paraId="0230D124">
            <w:pPr>
              <w:widowControl/>
              <w:spacing w:after="0" w:line="240" w:lineRule="auto"/>
              <w:ind w:firstLine="0" w:firstLineChars="0"/>
              <w:jc w:val="center"/>
              <w:rPr>
                <w:rFonts w:ascii="微软雅黑" w:hAnsi="微软雅黑"/>
                <w:color w:val="auto"/>
                <w:kern w:val="0"/>
                <w:szCs w:val="21"/>
                <w:highlight w:val="none"/>
              </w:rPr>
            </w:pPr>
            <w:r>
              <w:rPr>
                <w:rFonts w:hint="eastAsia" w:ascii="微软雅黑" w:hAnsi="微软雅黑"/>
                <w:color w:val="auto"/>
                <w:kern w:val="0"/>
                <w:szCs w:val="21"/>
                <w:highlight w:val="none"/>
              </w:rPr>
              <w:t>套</w:t>
            </w:r>
          </w:p>
        </w:tc>
      </w:tr>
    </w:tbl>
    <w:p w14:paraId="090FC6CC">
      <w:pPr>
        <w:pStyle w:val="3"/>
        <w:ind w:firstLine="420"/>
        <w:rPr>
          <w:color w:val="auto"/>
          <w:highlight w:val="none"/>
        </w:rPr>
        <w:sectPr>
          <w:footerReference r:id="rId18" w:type="default"/>
          <w:pgSz w:w="11907" w:h="16840"/>
          <w:pgMar w:top="1474" w:right="1797" w:bottom="1247" w:left="1797" w:header="851" w:footer="851" w:gutter="0"/>
          <w:cols w:space="720" w:num="1"/>
          <w:docGrid w:linePitch="312" w:charSpace="0"/>
        </w:sectPr>
      </w:pPr>
    </w:p>
    <w:p w14:paraId="5593337C">
      <w:pPr>
        <w:rPr>
          <w:color w:val="auto"/>
          <w:highlight w:val="none"/>
        </w:rPr>
      </w:pPr>
    </w:p>
    <w:p w14:paraId="4ADABF10">
      <w:pPr>
        <w:pStyle w:val="2"/>
        <w:numPr>
          <w:ilvl w:val="0"/>
          <w:numId w:val="4"/>
        </w:numPr>
        <w:jc w:val="both"/>
        <w:rPr>
          <w:rFonts w:ascii="微软雅黑" w:hAnsi="微软雅黑" w:cs="宋体"/>
          <w:color w:val="auto"/>
          <w:sz w:val="21"/>
          <w:szCs w:val="21"/>
          <w:highlight w:val="none"/>
        </w:rPr>
      </w:pPr>
      <w:r>
        <w:rPr>
          <w:rFonts w:hint="eastAsia" w:ascii="微软雅黑" w:hAnsi="微软雅黑" w:cs="宋体"/>
          <w:color w:val="auto"/>
          <w:sz w:val="21"/>
          <w:szCs w:val="21"/>
          <w:highlight w:val="none"/>
        </w:rPr>
        <w:t>参数技术要求</w:t>
      </w:r>
    </w:p>
    <w:p w14:paraId="44E09C0F">
      <w:pPr>
        <w:pStyle w:val="65"/>
        <w:numPr>
          <w:ilvl w:val="0"/>
          <w:numId w:val="6"/>
        </w:numPr>
        <w:ind w:firstLineChars="0"/>
        <w:outlineLvl w:val="1"/>
        <w:rPr>
          <w:rFonts w:ascii="微软雅黑" w:hAnsi="微软雅黑" w:cs="宋体"/>
          <w:b/>
          <w:bCs/>
          <w:color w:val="auto"/>
          <w:szCs w:val="21"/>
          <w:highlight w:val="none"/>
        </w:rPr>
      </w:pPr>
      <w:r>
        <w:rPr>
          <w:rFonts w:hint="eastAsia" w:ascii="微软雅黑" w:hAnsi="微软雅黑" w:cs="宋体"/>
          <w:b/>
          <w:bCs/>
          <w:color w:val="auto"/>
          <w:sz w:val="30"/>
          <w:szCs w:val="30"/>
          <w:highlight w:val="none"/>
        </w:rPr>
        <w:t>标项一</w:t>
      </w:r>
    </w:p>
    <w:tbl>
      <w:tblPr>
        <w:tblStyle w:val="52"/>
        <w:tblW w:w="147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02"/>
        <w:gridCol w:w="2010"/>
        <w:gridCol w:w="10430"/>
        <w:gridCol w:w="732"/>
        <w:gridCol w:w="954"/>
      </w:tblGrid>
      <w:tr w14:paraId="212126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602" w:type="dxa"/>
            <w:tcBorders>
              <w:tl2br w:val="nil"/>
              <w:tr2bl w:val="nil"/>
            </w:tcBorders>
            <w:noWrap/>
            <w:vAlign w:val="center"/>
          </w:tcPr>
          <w:p w14:paraId="77CFBDB8">
            <w:pPr>
              <w:widowControl/>
              <w:spacing w:after="0" w:line="240" w:lineRule="auto"/>
              <w:ind w:firstLine="0" w:firstLineChars="0"/>
              <w:jc w:val="center"/>
              <w:rPr>
                <w:rFonts w:ascii="微软雅黑" w:hAnsi="微软雅黑" w:cs="微软雅黑"/>
                <w:b/>
                <w:bCs/>
                <w:color w:val="auto"/>
                <w:kern w:val="0"/>
                <w:szCs w:val="21"/>
                <w:highlight w:val="none"/>
              </w:rPr>
            </w:pPr>
            <w:r>
              <w:rPr>
                <w:rFonts w:hint="eastAsia" w:ascii="微软雅黑" w:hAnsi="微软雅黑" w:cs="微软雅黑"/>
                <w:b/>
                <w:bCs/>
                <w:color w:val="auto"/>
                <w:kern w:val="0"/>
                <w:szCs w:val="21"/>
                <w:highlight w:val="none"/>
              </w:rPr>
              <w:t>序号</w:t>
            </w:r>
          </w:p>
        </w:tc>
        <w:tc>
          <w:tcPr>
            <w:tcW w:w="2010" w:type="dxa"/>
            <w:tcBorders>
              <w:tl2br w:val="nil"/>
              <w:tr2bl w:val="nil"/>
            </w:tcBorders>
            <w:noWrap/>
            <w:vAlign w:val="center"/>
          </w:tcPr>
          <w:p w14:paraId="77AE269D">
            <w:pPr>
              <w:widowControl/>
              <w:spacing w:after="0" w:line="240" w:lineRule="auto"/>
              <w:ind w:firstLine="0" w:firstLineChars="0"/>
              <w:rPr>
                <w:rFonts w:ascii="微软雅黑" w:hAnsi="微软雅黑" w:cs="微软雅黑"/>
                <w:b/>
                <w:bCs/>
                <w:color w:val="auto"/>
                <w:kern w:val="0"/>
                <w:szCs w:val="21"/>
                <w:highlight w:val="none"/>
              </w:rPr>
            </w:pPr>
            <w:r>
              <w:rPr>
                <w:rFonts w:hint="eastAsia" w:ascii="微软雅黑" w:hAnsi="微软雅黑" w:cs="微软雅黑"/>
                <w:b/>
                <w:bCs/>
                <w:color w:val="auto"/>
                <w:kern w:val="0"/>
                <w:szCs w:val="21"/>
                <w:highlight w:val="none"/>
              </w:rPr>
              <w:t>设备名称</w:t>
            </w:r>
          </w:p>
        </w:tc>
        <w:tc>
          <w:tcPr>
            <w:tcW w:w="10430" w:type="dxa"/>
            <w:tcBorders>
              <w:tl2br w:val="nil"/>
              <w:tr2bl w:val="nil"/>
            </w:tcBorders>
            <w:noWrap/>
            <w:vAlign w:val="center"/>
          </w:tcPr>
          <w:p w14:paraId="6F0C4F17">
            <w:pPr>
              <w:widowControl/>
              <w:spacing w:after="0" w:line="240" w:lineRule="auto"/>
              <w:ind w:firstLine="0" w:firstLineChars="0"/>
              <w:rPr>
                <w:rFonts w:ascii="微软雅黑" w:hAnsi="微软雅黑" w:cs="微软雅黑"/>
                <w:b/>
                <w:bCs/>
                <w:color w:val="auto"/>
                <w:kern w:val="0"/>
                <w:szCs w:val="21"/>
                <w:highlight w:val="none"/>
              </w:rPr>
            </w:pPr>
            <w:r>
              <w:rPr>
                <w:rFonts w:hint="eastAsia" w:ascii="微软雅黑" w:hAnsi="微软雅黑" w:cs="微软雅黑"/>
                <w:b/>
                <w:bCs/>
                <w:color w:val="auto"/>
                <w:kern w:val="0"/>
                <w:szCs w:val="21"/>
                <w:highlight w:val="none"/>
              </w:rPr>
              <w:t>招标技术性能参数要求</w:t>
            </w:r>
          </w:p>
        </w:tc>
        <w:tc>
          <w:tcPr>
            <w:tcW w:w="732" w:type="dxa"/>
            <w:tcBorders>
              <w:tl2br w:val="nil"/>
              <w:tr2bl w:val="nil"/>
            </w:tcBorders>
            <w:noWrap/>
            <w:vAlign w:val="center"/>
          </w:tcPr>
          <w:p w14:paraId="46432183">
            <w:pPr>
              <w:widowControl/>
              <w:spacing w:after="0" w:line="240" w:lineRule="auto"/>
              <w:ind w:firstLine="0" w:firstLineChars="0"/>
              <w:jc w:val="center"/>
              <w:rPr>
                <w:rFonts w:ascii="微软雅黑" w:hAnsi="微软雅黑" w:cs="微软雅黑"/>
                <w:b/>
                <w:bCs/>
                <w:color w:val="auto"/>
                <w:kern w:val="0"/>
                <w:szCs w:val="21"/>
                <w:highlight w:val="none"/>
              </w:rPr>
            </w:pPr>
            <w:r>
              <w:rPr>
                <w:rFonts w:hint="eastAsia" w:ascii="微软雅黑" w:hAnsi="微软雅黑" w:cs="微软雅黑"/>
                <w:b/>
                <w:bCs/>
                <w:color w:val="auto"/>
                <w:kern w:val="0"/>
                <w:szCs w:val="21"/>
                <w:highlight w:val="none"/>
              </w:rPr>
              <w:t>数量</w:t>
            </w:r>
          </w:p>
        </w:tc>
        <w:tc>
          <w:tcPr>
            <w:tcW w:w="954" w:type="dxa"/>
            <w:tcBorders>
              <w:tl2br w:val="nil"/>
              <w:tr2bl w:val="nil"/>
            </w:tcBorders>
            <w:noWrap/>
            <w:vAlign w:val="center"/>
          </w:tcPr>
          <w:p w14:paraId="186977AF">
            <w:pPr>
              <w:widowControl/>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单位</w:t>
            </w:r>
          </w:p>
        </w:tc>
      </w:tr>
      <w:tr w14:paraId="67B79A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602" w:type="dxa"/>
            <w:tcBorders>
              <w:tl2br w:val="nil"/>
              <w:tr2bl w:val="nil"/>
            </w:tcBorders>
            <w:noWrap/>
            <w:vAlign w:val="center"/>
          </w:tcPr>
          <w:p w14:paraId="0FDF2E56">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w:t>
            </w:r>
          </w:p>
        </w:tc>
        <w:tc>
          <w:tcPr>
            <w:tcW w:w="2010" w:type="dxa"/>
            <w:tcBorders>
              <w:tl2br w:val="nil"/>
              <w:tr2bl w:val="nil"/>
            </w:tcBorders>
            <w:noWrap/>
            <w:vAlign w:val="center"/>
          </w:tcPr>
          <w:p w14:paraId="000163BA">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紫外可见分光光谱仪</w:t>
            </w:r>
            <w:r>
              <w:rPr>
                <w:rFonts w:hint="eastAsia" w:ascii="微软雅黑" w:hAnsi="微软雅黑" w:cs="微软雅黑"/>
                <w:b/>
                <w:bCs/>
                <w:color w:val="auto"/>
                <w:kern w:val="0"/>
                <w:sz w:val="28"/>
                <w:szCs w:val="28"/>
                <w:highlight w:val="none"/>
              </w:rPr>
              <w:t>（核心产品）</w:t>
            </w:r>
          </w:p>
        </w:tc>
        <w:tc>
          <w:tcPr>
            <w:tcW w:w="10430" w:type="dxa"/>
            <w:tcBorders>
              <w:tl2br w:val="nil"/>
              <w:tr2bl w:val="nil"/>
            </w:tcBorders>
            <w:noWrap/>
            <w:vAlign w:val="center"/>
          </w:tcPr>
          <w:p w14:paraId="505B78D0">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 xml:space="preserve"> 工作环境</w:t>
            </w:r>
          </w:p>
          <w:p w14:paraId="60369DC7">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1.1</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使用温湿度范围：15°C~35°C，30% ~ 80%</w:t>
            </w:r>
          </w:p>
          <w:p w14:paraId="2A4FB74E">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1.2</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仪器尺寸：约（450W×600D×250H）mm</w:t>
            </w:r>
          </w:p>
          <w:p w14:paraId="4F380746">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 xml:space="preserve"> 技术规格</w:t>
            </w:r>
          </w:p>
          <w:p w14:paraId="337BDD66">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2.1</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 xml:space="preserve"> 分光系统</w:t>
            </w:r>
          </w:p>
          <w:p w14:paraId="31E96B25">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2.1.1</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 xml:space="preserve"> 光学系统: 双光束</w:t>
            </w:r>
          </w:p>
          <w:p w14:paraId="62C04328">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2.1.2</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 xml:space="preserve">分光器: </w:t>
            </w:r>
            <w:bookmarkStart w:id="30" w:name="OLE_LINK1"/>
            <w:r>
              <w:rPr>
                <w:rFonts w:hint="eastAsia" w:ascii="微软雅黑" w:hAnsi="微软雅黑" w:cs="微软雅黑"/>
                <w:color w:val="auto"/>
                <w:kern w:val="0"/>
                <w:szCs w:val="21"/>
                <w:highlight w:val="none"/>
              </w:rPr>
              <w:t>单单色器</w:t>
            </w:r>
            <w:bookmarkEnd w:id="30"/>
            <w:r>
              <w:rPr>
                <w:rFonts w:hint="eastAsia" w:ascii="微软雅黑" w:hAnsi="微软雅黑" w:cs="微软雅黑"/>
                <w:color w:val="auto"/>
                <w:kern w:val="0"/>
                <w:szCs w:val="21"/>
                <w:highlight w:val="none"/>
              </w:rPr>
              <w:t>，象差校正型切尼尔-特纳装置</w:t>
            </w:r>
          </w:p>
          <w:p w14:paraId="04DD31C6">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2.1.3</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设定波长范围: 185~900nm</w:t>
            </w:r>
          </w:p>
          <w:p w14:paraId="34CB1D0C">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▲2.1.4</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测试波长范围: 185-1400nm</w:t>
            </w:r>
          </w:p>
          <w:p w14:paraId="6F261DF6">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2.1.5</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衍射光栅刻线数: 1300 lines/mm</w:t>
            </w:r>
          </w:p>
          <w:p w14:paraId="245866F2">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★2.1.6</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波长准确性: ±0.1nm（656.1nm）±0.3nm（全波段）</w:t>
            </w:r>
          </w:p>
          <w:p w14:paraId="6E722010">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★2.1.7</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 xml:space="preserve">波长重复精度: ±0.05nm </w:t>
            </w:r>
          </w:p>
          <w:p w14:paraId="2B44F0F6">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★2.1.8</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 xml:space="preserve">波长扫描速度: 波长移动速度：14000nm/min;  最大扫描速度：4000nm/min; </w:t>
            </w:r>
          </w:p>
          <w:p w14:paraId="0EDCDD9E">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2.1.9</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波长设定: 扫描开始和结束波长能够以1nm单位设置；其它为0.1nm单位</w:t>
            </w:r>
          </w:p>
          <w:p w14:paraId="4A2EBE7B">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2.1.10</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光源切换波长: 和波长同步自动切换290.0 nm~370.0 nm</w:t>
            </w:r>
          </w:p>
          <w:p w14:paraId="7E4E447B">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2.1.11</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谱带宽度: 0.1/ 0.2/ 0.5/ 1/ 2/ 5nm  L2/L5（低杂散光模式）</w:t>
            </w:r>
          </w:p>
          <w:p w14:paraId="1BA60DAF">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★2.1.12</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带宽分辨率: 0.1nm</w:t>
            </w:r>
          </w:p>
          <w:p w14:paraId="4C67B4BC">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▲2.1.13</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 xml:space="preserve">杂散光: </w:t>
            </w:r>
          </w:p>
          <w:p w14:paraId="418D790C">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220nm &lt; 0.005%T， 340nm &lt; 0.005%T</w:t>
            </w:r>
          </w:p>
          <w:p w14:paraId="6B6998A6">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2.1.14</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 xml:space="preserve">测光方式: 双光束测光方式 </w:t>
            </w:r>
          </w:p>
          <w:p w14:paraId="4D120999">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2.1.15</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测光类型: 吸光度（Abs），透射率（%），反射率（%），能量（E）</w:t>
            </w:r>
          </w:p>
          <w:p w14:paraId="4806FEA2">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★2.1.16</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测光范围: 吸光度：-5~5 Abs</w:t>
            </w:r>
          </w:p>
          <w:p w14:paraId="4F6374B4">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2.1.17</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光度准确性</w:t>
            </w:r>
            <w:r>
              <w:rPr>
                <w:rFonts w:hint="eastAsia" w:ascii="微软雅黑" w:hAnsi="微软雅黑" w:cs="微软雅黑"/>
                <w:color w:val="auto"/>
                <w:kern w:val="0"/>
                <w:szCs w:val="21"/>
                <w:highlight w:val="none"/>
              </w:rPr>
              <w:tab/>
            </w:r>
            <w:r>
              <w:rPr>
                <w:rFonts w:hint="eastAsia" w:ascii="微软雅黑" w:hAnsi="微软雅黑" w:cs="微软雅黑"/>
                <w:color w:val="auto"/>
                <w:kern w:val="0"/>
                <w:szCs w:val="21"/>
                <w:highlight w:val="none"/>
              </w:rPr>
              <w:t>±0.002Abs(0-0.5Abs)，±0.003Abs(0.5-1Abs)，</w:t>
            </w:r>
          </w:p>
          <w:p w14:paraId="3580EDCA">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±0.006Abs(1.0-2.0Abs)±0.3%T</w:t>
            </w:r>
          </w:p>
          <w:p w14:paraId="2E2F3467">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2.1.18</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度重现性    ±0.001Abs(0.5Abs)，±0.001Abs(1Abs)，</w:t>
            </w:r>
          </w:p>
          <w:p w14:paraId="63FA1AF9">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±0.003Abs(2Abs)±0.1%T</w:t>
            </w:r>
          </w:p>
          <w:p w14:paraId="0CE9AE35">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★2.1.19</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噪音</w:t>
            </w:r>
            <w:r>
              <w:rPr>
                <w:rFonts w:hint="eastAsia" w:ascii="微软雅黑" w:hAnsi="微软雅黑" w:cs="微软雅黑"/>
                <w:color w:val="auto"/>
                <w:kern w:val="0"/>
                <w:szCs w:val="21"/>
                <w:highlight w:val="none"/>
              </w:rPr>
              <w:tab/>
            </w:r>
            <w:r>
              <w:rPr>
                <w:rFonts w:hint="eastAsia" w:ascii="微软雅黑" w:hAnsi="微软雅黑"/>
                <w:color w:val="auto"/>
                <w:kern w:val="0"/>
                <w:sz w:val="18"/>
                <w:szCs w:val="18"/>
                <w:highlight w:val="none"/>
              </w:rPr>
              <w:t>≤0.00003Abs (500nm)</w:t>
            </w:r>
          </w:p>
          <w:p w14:paraId="7BCCE25E">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★2.1.20</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基线稳定性</w:t>
            </w:r>
            <w:r>
              <w:rPr>
                <w:rFonts w:hint="eastAsia" w:ascii="微软雅黑" w:hAnsi="微软雅黑" w:cs="微软雅黑"/>
                <w:color w:val="auto"/>
                <w:kern w:val="0"/>
                <w:szCs w:val="21"/>
                <w:highlight w:val="none"/>
              </w:rPr>
              <w:tab/>
            </w:r>
            <w:r>
              <w:rPr>
                <w:rFonts w:hint="eastAsia" w:ascii="微软雅黑" w:hAnsi="微软雅黑" w:cs="微软雅黑"/>
                <w:color w:val="auto"/>
                <w:kern w:val="0"/>
                <w:szCs w:val="21"/>
                <w:highlight w:val="none"/>
              </w:rPr>
              <w:t>&lt; 0.0002Abs/hour</w:t>
            </w:r>
          </w:p>
          <w:p w14:paraId="7E153C69">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★2.1.21</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基线平直度</w:t>
            </w:r>
            <w:r>
              <w:rPr>
                <w:rFonts w:hint="eastAsia" w:ascii="微软雅黑" w:hAnsi="微软雅黑" w:cs="微软雅黑"/>
                <w:color w:val="auto"/>
                <w:kern w:val="0"/>
                <w:szCs w:val="21"/>
                <w:highlight w:val="none"/>
              </w:rPr>
              <w:tab/>
            </w:r>
            <w:r>
              <w:rPr>
                <w:rFonts w:hint="eastAsia" w:ascii="微软雅黑" w:hAnsi="微软雅黑" w:cs="微软雅黑"/>
                <w:color w:val="auto"/>
                <w:kern w:val="0"/>
                <w:szCs w:val="21"/>
                <w:highlight w:val="none"/>
              </w:rPr>
              <w:t>±0.0003Abs(200-860nm)</w:t>
            </w:r>
          </w:p>
          <w:p w14:paraId="0FBB898D">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2.1.22</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记录范围: 吸光度-10~10 Abs; 透射率±10^12%</w:t>
            </w:r>
          </w:p>
          <w:p w14:paraId="28988E03">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2.1.23</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漂移：</w:t>
            </w:r>
            <w:r>
              <w:rPr>
                <w:rFonts w:hint="eastAsia" w:ascii="微软雅黑" w:hAnsi="微软雅黑"/>
                <w:color w:val="auto"/>
                <w:kern w:val="0"/>
                <w:sz w:val="18"/>
                <w:szCs w:val="18"/>
                <w:highlight w:val="none"/>
              </w:rPr>
              <w:t>&lt;0.0002Abs/h</w:t>
            </w:r>
          </w:p>
          <w:p w14:paraId="7F8CCDDF">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2.1.24</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基线校正：计算机自动校正（电源启动时，自动存储备份的基线，可再校正）</w:t>
            </w:r>
          </w:p>
          <w:p w14:paraId="57C2DA79">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2.2</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光源： 50W卤素灯和氘灯（插座型）</w:t>
            </w:r>
          </w:p>
          <w:p w14:paraId="6944348A">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2.3</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检测器：光电倍增管</w:t>
            </w:r>
          </w:p>
          <w:p w14:paraId="78A07124">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2.4</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软件：可执行自动光谱评价，实时导出Excel数据。</w:t>
            </w:r>
          </w:p>
          <w:p w14:paraId="3E215835">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软件可增加类型：色度计算软件，薄膜厚度计算软件</w:t>
            </w:r>
          </w:p>
          <w:p w14:paraId="2041B2E9">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2.5</w:t>
            </w:r>
            <w:r>
              <w:rPr>
                <w:rFonts w:hint="eastAsia" w:ascii="微软雅黑" w:hAnsi="微软雅黑" w:cs="微软雅黑"/>
                <w:color w:val="auto"/>
                <w:kern w:val="0"/>
                <w:szCs w:val="21"/>
                <w:highlight w:val="none"/>
                <w:lang w:eastAsia="zh-CN"/>
              </w:rPr>
              <w:t>、加</w:t>
            </w:r>
            <w:r>
              <w:rPr>
                <w:rFonts w:hint="eastAsia" w:ascii="微软雅黑" w:hAnsi="微软雅黑" w:cs="微软雅黑"/>
                <w:color w:val="auto"/>
                <w:kern w:val="0"/>
                <w:szCs w:val="21"/>
                <w:highlight w:val="none"/>
              </w:rPr>
              <w:t>配</w:t>
            </w:r>
          </w:p>
          <w:p w14:paraId="13795D54">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2.5.1</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可配置大样品仓。</w:t>
            </w:r>
          </w:p>
          <w:p w14:paraId="31FE1A56">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2.5.2</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可加配TM分析附件，用于分析核酸的解链温度，温度范围0-110℃。</w:t>
            </w:r>
            <w:r>
              <w:rPr>
                <w:rFonts w:hint="eastAsia" w:ascii="微软雅黑" w:hAnsi="微软雅黑" w:cs="微软雅黑"/>
                <w:color w:val="auto"/>
                <w:kern w:val="0"/>
                <w:szCs w:val="21"/>
                <w:highlight w:val="none"/>
              </w:rPr>
              <w:br w:type="page"/>
            </w:r>
          </w:p>
          <w:p w14:paraId="218ABE82">
            <w:pPr>
              <w:pStyle w:val="47"/>
              <w:spacing w:before="0" w:beforeAutospacing="0" w:after="0" w:afterAutospacing="0" w:line="240" w:lineRule="auto"/>
              <w:ind w:firstLine="0" w:firstLineChars="0"/>
              <w:rPr>
                <w:rFonts w:ascii="微软雅黑" w:hAnsi="微软雅黑" w:cs="微软雅黑"/>
                <w:color w:val="auto"/>
                <w:sz w:val="21"/>
                <w:szCs w:val="21"/>
                <w:highlight w:val="none"/>
              </w:rPr>
            </w:pPr>
            <w:r>
              <w:rPr>
                <w:rFonts w:hint="eastAsia" w:ascii="微软雅黑" w:hAnsi="微软雅黑" w:cs="微软雅黑"/>
                <w:color w:val="auto"/>
                <w:sz w:val="21"/>
                <w:szCs w:val="21"/>
                <w:highlight w:val="none"/>
              </w:rPr>
              <w:t>2.6</w:t>
            </w:r>
            <w:r>
              <w:rPr>
                <w:rFonts w:hint="eastAsia" w:ascii="微软雅黑" w:hAnsi="微软雅黑" w:cs="微软雅黑"/>
                <w:color w:val="auto"/>
                <w:sz w:val="21"/>
                <w:szCs w:val="21"/>
                <w:highlight w:val="none"/>
                <w:lang w:eastAsia="zh-CN"/>
              </w:rPr>
              <w:t>、</w:t>
            </w:r>
            <w:r>
              <w:rPr>
                <w:rFonts w:hint="eastAsia" w:ascii="微软雅黑" w:hAnsi="微软雅黑" w:cs="微软雅黑"/>
                <w:color w:val="auto"/>
                <w:sz w:val="21"/>
                <w:szCs w:val="21"/>
                <w:highlight w:val="none"/>
              </w:rPr>
              <w:t>配数据处理机：处理器不低于i3-12100，运行内存≥8G，储存内存≥512G, 显示器≥23.8寸,包括输出设备</w:t>
            </w:r>
          </w:p>
        </w:tc>
        <w:tc>
          <w:tcPr>
            <w:tcW w:w="732" w:type="dxa"/>
            <w:tcBorders>
              <w:tl2br w:val="nil"/>
              <w:tr2bl w:val="nil"/>
            </w:tcBorders>
            <w:noWrap/>
            <w:vAlign w:val="center"/>
          </w:tcPr>
          <w:p w14:paraId="62BB5419">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w:t>
            </w:r>
          </w:p>
        </w:tc>
        <w:tc>
          <w:tcPr>
            <w:tcW w:w="954" w:type="dxa"/>
            <w:tcBorders>
              <w:tl2br w:val="nil"/>
              <w:tr2bl w:val="nil"/>
            </w:tcBorders>
            <w:noWrap/>
            <w:vAlign w:val="center"/>
          </w:tcPr>
          <w:p w14:paraId="47962FE1">
            <w:pPr>
              <w:widowControl/>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台</w:t>
            </w:r>
          </w:p>
        </w:tc>
      </w:tr>
      <w:tr w14:paraId="24E0C9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602" w:type="dxa"/>
            <w:tcBorders>
              <w:tl2br w:val="nil"/>
              <w:tr2bl w:val="nil"/>
            </w:tcBorders>
            <w:noWrap/>
            <w:vAlign w:val="center"/>
          </w:tcPr>
          <w:p w14:paraId="09B62483">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w:t>
            </w:r>
          </w:p>
        </w:tc>
        <w:tc>
          <w:tcPr>
            <w:tcW w:w="2010" w:type="dxa"/>
            <w:tcBorders>
              <w:tl2br w:val="nil"/>
              <w:tr2bl w:val="nil"/>
            </w:tcBorders>
            <w:noWrap/>
            <w:vAlign w:val="center"/>
          </w:tcPr>
          <w:p w14:paraId="2BA36F83">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分子荧光光谱仪</w:t>
            </w:r>
          </w:p>
        </w:tc>
        <w:tc>
          <w:tcPr>
            <w:tcW w:w="10430" w:type="dxa"/>
            <w:tcBorders>
              <w:tl2br w:val="nil"/>
              <w:tr2bl w:val="nil"/>
            </w:tcBorders>
            <w:noWrap/>
            <w:vAlign w:val="center"/>
          </w:tcPr>
          <w:p w14:paraId="37F9B7BA">
            <w:pPr>
              <w:numPr>
                <w:ilvl w:val="0"/>
                <w:numId w:val="0"/>
              </w:numPr>
              <w:spacing w:after="0" w:line="240" w:lineRule="auto"/>
              <w:ind w:left="425" w:leftChars="0" w:hanging="425" w:firstLineChars="0"/>
              <w:rPr>
                <w:rFonts w:ascii="微软雅黑" w:hAnsi="微软雅黑" w:cs="微软雅黑"/>
                <w:color w:val="auto"/>
                <w:kern w:val="0"/>
                <w:szCs w:val="21"/>
                <w:highlight w:val="none"/>
              </w:rPr>
            </w:pPr>
            <w:r>
              <w:rPr>
                <w:rFonts w:hint="default" w:ascii="微软雅黑" w:hAnsi="微软雅黑" w:eastAsia="微软雅黑" w:cs="微软雅黑"/>
                <w:color w:val="auto"/>
                <w:kern w:val="0"/>
                <w:sz w:val="21"/>
                <w:szCs w:val="21"/>
                <w:lang w:val="en-US" w:eastAsia="zh-CN" w:bidi="ar-SA"/>
              </w:rPr>
              <w:t>1</w:t>
            </w:r>
            <w:r>
              <w:rPr>
                <w:rFonts w:hint="eastAsia" w:ascii="微软雅黑" w:hAnsi="微软雅黑" w:cs="微软雅黑"/>
                <w:color w:val="auto"/>
                <w:kern w:val="0"/>
                <w:sz w:val="21"/>
                <w:szCs w:val="21"/>
                <w:lang w:val="en-US" w:eastAsia="zh-CN" w:bidi="ar-SA"/>
              </w:rPr>
              <w:t>、</w:t>
            </w:r>
            <w:r>
              <w:rPr>
                <w:rFonts w:hint="eastAsia" w:ascii="微软雅黑" w:hAnsi="微软雅黑" w:cs="微软雅黑"/>
                <w:color w:val="auto"/>
                <w:kern w:val="0"/>
                <w:szCs w:val="21"/>
                <w:highlight w:val="none"/>
              </w:rPr>
              <w:t>光源：150W稳态氙灯，自动去臭氧灯室设计</w:t>
            </w:r>
          </w:p>
          <w:p w14:paraId="020A2AD3">
            <w:pPr>
              <w:numPr>
                <w:ilvl w:val="0"/>
                <w:numId w:val="0"/>
              </w:numPr>
              <w:spacing w:after="0" w:line="240" w:lineRule="auto"/>
              <w:ind w:left="425" w:leftChars="0" w:hanging="425"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w:t>
            </w:r>
            <w:r>
              <w:rPr>
                <w:rFonts w:hint="default" w:ascii="微软雅黑" w:hAnsi="微软雅黑" w:eastAsia="微软雅黑" w:cs="微软雅黑"/>
                <w:color w:val="auto"/>
                <w:kern w:val="0"/>
                <w:sz w:val="21"/>
                <w:szCs w:val="21"/>
                <w:lang w:val="en-US" w:eastAsia="zh-CN" w:bidi="ar-SA"/>
              </w:rPr>
              <w:t>2</w:t>
            </w:r>
            <w:r>
              <w:rPr>
                <w:rFonts w:hint="eastAsia" w:ascii="微软雅黑" w:hAnsi="微软雅黑" w:cs="微软雅黑"/>
                <w:color w:val="auto"/>
                <w:kern w:val="0"/>
                <w:sz w:val="21"/>
                <w:szCs w:val="21"/>
                <w:lang w:val="en-US" w:eastAsia="zh-CN" w:bidi="ar-SA"/>
              </w:rPr>
              <w:t>、</w:t>
            </w:r>
            <w:r>
              <w:rPr>
                <w:rFonts w:hint="eastAsia" w:ascii="微软雅黑" w:hAnsi="微软雅黑" w:cs="微软雅黑"/>
                <w:color w:val="auto"/>
                <w:kern w:val="0"/>
                <w:szCs w:val="21"/>
                <w:highlight w:val="none"/>
              </w:rPr>
              <w:t>光源寿命：≥2000小时质保</w:t>
            </w:r>
          </w:p>
          <w:p w14:paraId="5B19825E">
            <w:pPr>
              <w:numPr>
                <w:ilvl w:val="0"/>
                <w:numId w:val="0"/>
              </w:numPr>
              <w:spacing w:after="0" w:line="240" w:lineRule="auto"/>
              <w:ind w:left="425" w:leftChars="0" w:hanging="425" w:firstLineChars="0"/>
              <w:rPr>
                <w:rFonts w:ascii="微软雅黑" w:hAnsi="微软雅黑" w:cs="微软雅黑"/>
                <w:color w:val="auto"/>
                <w:kern w:val="0"/>
                <w:szCs w:val="21"/>
                <w:highlight w:val="none"/>
              </w:rPr>
            </w:pPr>
            <w:r>
              <w:rPr>
                <w:rFonts w:hint="default" w:ascii="微软雅黑" w:hAnsi="微软雅黑" w:eastAsia="微软雅黑" w:cs="微软雅黑"/>
                <w:color w:val="auto"/>
                <w:kern w:val="0"/>
                <w:sz w:val="21"/>
                <w:szCs w:val="21"/>
                <w:lang w:val="en-US" w:eastAsia="zh-CN" w:bidi="ar-SA"/>
              </w:rPr>
              <w:t>3</w:t>
            </w:r>
            <w:r>
              <w:rPr>
                <w:rFonts w:hint="eastAsia" w:ascii="微软雅黑" w:hAnsi="微软雅黑" w:cs="微软雅黑"/>
                <w:color w:val="auto"/>
                <w:kern w:val="0"/>
                <w:sz w:val="21"/>
                <w:szCs w:val="21"/>
                <w:lang w:val="en-US" w:eastAsia="zh-CN" w:bidi="ar-SA"/>
              </w:rPr>
              <w:t>、</w:t>
            </w:r>
            <w:r>
              <w:rPr>
                <w:rFonts w:hint="eastAsia" w:ascii="微软雅黑" w:hAnsi="微软雅黑" w:cs="微软雅黑"/>
                <w:color w:val="auto"/>
                <w:kern w:val="0"/>
                <w:szCs w:val="21"/>
                <w:highlight w:val="none"/>
              </w:rPr>
              <w:t>光栅：1300线/mm全息闪耀凹面光栅</w:t>
            </w:r>
          </w:p>
          <w:p w14:paraId="7CAB464F">
            <w:pPr>
              <w:numPr>
                <w:ilvl w:val="0"/>
                <w:numId w:val="0"/>
              </w:numPr>
              <w:spacing w:after="0" w:line="240" w:lineRule="auto"/>
              <w:ind w:left="425" w:leftChars="0" w:hanging="425" w:firstLineChars="0"/>
              <w:rPr>
                <w:rFonts w:ascii="微软雅黑" w:hAnsi="微软雅黑" w:cs="微软雅黑"/>
                <w:color w:val="auto"/>
                <w:kern w:val="0"/>
                <w:szCs w:val="21"/>
                <w:highlight w:val="none"/>
              </w:rPr>
            </w:pPr>
            <w:r>
              <w:rPr>
                <w:rFonts w:hint="default" w:ascii="微软雅黑" w:hAnsi="微软雅黑" w:eastAsia="微软雅黑" w:cs="微软雅黑"/>
                <w:color w:val="auto"/>
                <w:kern w:val="0"/>
                <w:sz w:val="21"/>
                <w:szCs w:val="21"/>
                <w:lang w:val="en-US" w:eastAsia="zh-CN" w:bidi="ar-SA"/>
              </w:rPr>
              <w:t>4</w:t>
            </w:r>
            <w:r>
              <w:rPr>
                <w:rFonts w:hint="eastAsia" w:ascii="微软雅黑" w:hAnsi="微软雅黑" w:cs="微软雅黑"/>
                <w:color w:val="auto"/>
                <w:kern w:val="0"/>
                <w:sz w:val="21"/>
                <w:szCs w:val="21"/>
                <w:lang w:val="en-US" w:eastAsia="zh-CN" w:bidi="ar-SA"/>
              </w:rPr>
              <w:t>、</w:t>
            </w:r>
            <w:r>
              <w:rPr>
                <w:rFonts w:hint="eastAsia" w:ascii="微软雅黑" w:hAnsi="微软雅黑" w:cs="微软雅黑"/>
                <w:color w:val="auto"/>
                <w:kern w:val="0"/>
                <w:szCs w:val="21"/>
                <w:highlight w:val="none"/>
              </w:rPr>
              <w:t>检测器：光电倍增管R928（发射侧），硅光电二极管（参比侧）</w:t>
            </w:r>
          </w:p>
          <w:p w14:paraId="51B546B3">
            <w:pPr>
              <w:numPr>
                <w:ilvl w:val="0"/>
                <w:numId w:val="0"/>
              </w:numPr>
              <w:spacing w:after="0" w:line="240" w:lineRule="auto"/>
              <w:ind w:left="425" w:leftChars="0" w:hanging="425"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w:t>
            </w:r>
            <w:r>
              <w:rPr>
                <w:rFonts w:hint="default" w:ascii="微软雅黑" w:hAnsi="微软雅黑" w:eastAsia="微软雅黑" w:cs="微软雅黑"/>
                <w:color w:val="auto"/>
                <w:kern w:val="0"/>
                <w:sz w:val="21"/>
                <w:szCs w:val="21"/>
                <w:lang w:val="en-US" w:eastAsia="zh-CN" w:bidi="ar-SA"/>
              </w:rPr>
              <w:t>5</w:t>
            </w:r>
            <w:r>
              <w:rPr>
                <w:rFonts w:hint="eastAsia" w:ascii="微软雅黑" w:hAnsi="微软雅黑" w:cs="微软雅黑"/>
                <w:color w:val="auto"/>
                <w:kern w:val="0"/>
                <w:sz w:val="21"/>
                <w:szCs w:val="21"/>
                <w:lang w:val="en-US" w:eastAsia="zh-CN" w:bidi="ar-SA"/>
              </w:rPr>
              <w:t>、</w:t>
            </w:r>
            <w:r>
              <w:rPr>
                <w:rFonts w:hint="eastAsia" w:ascii="微软雅黑" w:hAnsi="微软雅黑" w:cs="微软雅黑"/>
                <w:color w:val="auto"/>
                <w:kern w:val="0"/>
                <w:szCs w:val="21"/>
                <w:highlight w:val="none"/>
              </w:rPr>
              <w:t>光谱范围：200~900nm</w:t>
            </w:r>
          </w:p>
          <w:p w14:paraId="32662090">
            <w:pPr>
              <w:numPr>
                <w:ilvl w:val="0"/>
                <w:numId w:val="0"/>
              </w:numPr>
              <w:spacing w:after="0" w:line="240" w:lineRule="auto"/>
              <w:ind w:left="425" w:leftChars="0" w:hanging="425" w:firstLineChars="0"/>
              <w:rPr>
                <w:rFonts w:ascii="微软雅黑" w:hAnsi="微软雅黑" w:cs="微软雅黑"/>
                <w:color w:val="auto"/>
                <w:kern w:val="0"/>
                <w:szCs w:val="21"/>
                <w:highlight w:val="none"/>
              </w:rPr>
            </w:pPr>
            <w:r>
              <w:rPr>
                <w:rFonts w:hint="default" w:ascii="微软雅黑" w:hAnsi="微软雅黑" w:eastAsia="微软雅黑" w:cs="微软雅黑"/>
                <w:color w:val="auto"/>
                <w:kern w:val="0"/>
                <w:sz w:val="21"/>
                <w:szCs w:val="21"/>
                <w:lang w:val="en-US" w:eastAsia="zh-CN" w:bidi="ar-SA"/>
              </w:rPr>
              <w:t>6</w:t>
            </w:r>
            <w:r>
              <w:rPr>
                <w:rFonts w:hint="eastAsia" w:ascii="微软雅黑" w:hAnsi="微软雅黑" w:cs="微软雅黑"/>
                <w:color w:val="auto"/>
                <w:kern w:val="0"/>
                <w:sz w:val="21"/>
                <w:szCs w:val="21"/>
                <w:lang w:val="en-US" w:eastAsia="zh-CN" w:bidi="ar-SA"/>
              </w:rPr>
              <w:t>、</w:t>
            </w:r>
            <w:r>
              <w:rPr>
                <w:rFonts w:hint="eastAsia" w:ascii="微软雅黑" w:hAnsi="微软雅黑" w:cs="微软雅黑"/>
                <w:color w:val="auto"/>
                <w:kern w:val="0"/>
                <w:szCs w:val="21"/>
                <w:highlight w:val="none"/>
              </w:rPr>
              <w:t>光谱带宽：激发侧1.5nm,3nm,5nm,10nm,15nm,20nm六档自动可调；发射侧1.0nm,3nm,5nm,10nm,15nm,20nm六档自动可调</w:t>
            </w:r>
          </w:p>
          <w:p w14:paraId="12FBFE7F">
            <w:pPr>
              <w:numPr>
                <w:ilvl w:val="0"/>
                <w:numId w:val="0"/>
              </w:numPr>
              <w:spacing w:after="0" w:line="240" w:lineRule="auto"/>
              <w:ind w:left="425" w:leftChars="0" w:hanging="425" w:firstLineChars="0"/>
              <w:rPr>
                <w:rFonts w:ascii="微软雅黑" w:hAnsi="微软雅黑" w:cs="微软雅黑"/>
                <w:color w:val="auto"/>
                <w:kern w:val="0"/>
                <w:szCs w:val="21"/>
                <w:highlight w:val="none"/>
              </w:rPr>
            </w:pPr>
            <w:r>
              <w:rPr>
                <w:rFonts w:hint="default" w:ascii="微软雅黑" w:hAnsi="微软雅黑" w:eastAsia="微软雅黑" w:cs="微软雅黑"/>
                <w:color w:val="auto"/>
                <w:kern w:val="0"/>
                <w:sz w:val="21"/>
                <w:szCs w:val="21"/>
                <w:lang w:val="en-US" w:eastAsia="zh-CN" w:bidi="ar-SA"/>
              </w:rPr>
              <w:t>7</w:t>
            </w:r>
            <w:r>
              <w:rPr>
                <w:rFonts w:hint="eastAsia" w:ascii="微软雅黑" w:hAnsi="微软雅黑" w:cs="微软雅黑"/>
                <w:color w:val="auto"/>
                <w:kern w:val="0"/>
                <w:sz w:val="21"/>
                <w:szCs w:val="21"/>
                <w:lang w:val="en-US" w:eastAsia="zh-CN" w:bidi="ar-SA"/>
              </w:rPr>
              <w:t>、</w:t>
            </w:r>
            <w:r>
              <w:rPr>
                <w:rFonts w:hint="eastAsia" w:ascii="微软雅黑" w:hAnsi="微软雅黑" w:cs="微软雅黑"/>
                <w:color w:val="auto"/>
                <w:kern w:val="0"/>
                <w:szCs w:val="21"/>
                <w:highlight w:val="none"/>
              </w:rPr>
              <w:t>光谱分辨率：1nm（发射光谱）</w:t>
            </w:r>
          </w:p>
          <w:p w14:paraId="685EFADE">
            <w:pPr>
              <w:numPr>
                <w:ilvl w:val="0"/>
                <w:numId w:val="0"/>
              </w:numPr>
              <w:spacing w:after="0" w:line="240" w:lineRule="auto"/>
              <w:ind w:left="425" w:leftChars="0" w:hanging="425"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w:t>
            </w:r>
            <w:r>
              <w:rPr>
                <w:rFonts w:hint="default" w:ascii="微软雅黑" w:hAnsi="微软雅黑" w:eastAsia="微软雅黑" w:cs="微软雅黑"/>
                <w:color w:val="auto"/>
                <w:kern w:val="0"/>
                <w:sz w:val="21"/>
                <w:szCs w:val="21"/>
                <w:lang w:val="en-US" w:eastAsia="zh-CN" w:bidi="ar-SA"/>
              </w:rPr>
              <w:t>8</w:t>
            </w:r>
            <w:r>
              <w:rPr>
                <w:rFonts w:hint="eastAsia" w:ascii="微软雅黑" w:hAnsi="微软雅黑" w:cs="微软雅黑"/>
                <w:color w:val="auto"/>
                <w:kern w:val="0"/>
                <w:sz w:val="21"/>
                <w:szCs w:val="21"/>
                <w:lang w:val="en-US" w:eastAsia="zh-CN" w:bidi="ar-SA"/>
              </w:rPr>
              <w:t>、</w:t>
            </w:r>
            <w:r>
              <w:rPr>
                <w:rFonts w:hint="eastAsia" w:ascii="微软雅黑" w:hAnsi="微软雅黑" w:cs="微软雅黑"/>
                <w:color w:val="auto"/>
                <w:kern w:val="0"/>
                <w:szCs w:val="21"/>
                <w:highlight w:val="none"/>
              </w:rPr>
              <w:t>波长准确度：±1nm</w:t>
            </w:r>
          </w:p>
          <w:p w14:paraId="1ECB0159">
            <w:pPr>
              <w:numPr>
                <w:ilvl w:val="0"/>
                <w:numId w:val="0"/>
              </w:numPr>
              <w:spacing w:after="0" w:line="240" w:lineRule="auto"/>
              <w:ind w:left="425" w:leftChars="0" w:hanging="425" w:firstLineChars="0"/>
              <w:rPr>
                <w:rFonts w:ascii="微软雅黑" w:hAnsi="微软雅黑" w:cs="微软雅黑"/>
                <w:color w:val="auto"/>
                <w:kern w:val="0"/>
                <w:szCs w:val="21"/>
                <w:highlight w:val="none"/>
              </w:rPr>
            </w:pPr>
            <w:r>
              <w:rPr>
                <w:rFonts w:hint="default" w:ascii="微软雅黑" w:hAnsi="微软雅黑" w:eastAsia="微软雅黑" w:cs="微软雅黑"/>
                <w:color w:val="auto"/>
                <w:kern w:val="0"/>
                <w:sz w:val="21"/>
                <w:szCs w:val="21"/>
                <w:lang w:val="en-US" w:eastAsia="zh-CN" w:bidi="ar-SA"/>
              </w:rPr>
              <w:t>9</w:t>
            </w:r>
            <w:r>
              <w:rPr>
                <w:rFonts w:hint="eastAsia" w:ascii="微软雅黑" w:hAnsi="微软雅黑" w:cs="微软雅黑"/>
                <w:color w:val="auto"/>
                <w:kern w:val="0"/>
                <w:sz w:val="21"/>
                <w:szCs w:val="21"/>
                <w:lang w:val="en-US" w:eastAsia="zh-CN" w:bidi="ar-SA"/>
              </w:rPr>
              <w:t>、</w:t>
            </w:r>
            <w:r>
              <w:rPr>
                <w:rFonts w:hint="eastAsia" w:ascii="微软雅黑" w:hAnsi="微软雅黑" w:cs="微软雅黑"/>
                <w:color w:val="auto"/>
                <w:kern w:val="0"/>
                <w:szCs w:val="21"/>
                <w:highlight w:val="none"/>
              </w:rPr>
              <w:t>波长重复性：±0.2nm</w:t>
            </w:r>
          </w:p>
          <w:p w14:paraId="6CFF7FFB">
            <w:pPr>
              <w:numPr>
                <w:ilvl w:val="0"/>
                <w:numId w:val="0"/>
              </w:numPr>
              <w:spacing w:after="0" w:line="240" w:lineRule="auto"/>
              <w:ind w:left="425" w:leftChars="0" w:hanging="425"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w:t>
            </w:r>
            <w:r>
              <w:rPr>
                <w:rFonts w:hint="default" w:ascii="微软雅黑" w:hAnsi="微软雅黑" w:eastAsia="微软雅黑" w:cs="微软雅黑"/>
                <w:color w:val="auto"/>
                <w:kern w:val="0"/>
                <w:sz w:val="21"/>
                <w:szCs w:val="21"/>
                <w:lang w:val="en-US" w:eastAsia="zh-CN" w:bidi="ar-SA"/>
              </w:rPr>
              <w:t>10</w:t>
            </w:r>
            <w:r>
              <w:rPr>
                <w:rFonts w:hint="eastAsia" w:ascii="微软雅黑" w:hAnsi="微软雅黑" w:cs="微软雅黑"/>
                <w:color w:val="auto"/>
                <w:kern w:val="0"/>
                <w:sz w:val="21"/>
                <w:szCs w:val="21"/>
                <w:lang w:val="en-US" w:eastAsia="zh-CN" w:bidi="ar-SA"/>
              </w:rPr>
              <w:t>、</w:t>
            </w:r>
            <w:r>
              <w:rPr>
                <w:rFonts w:hint="eastAsia" w:ascii="微软雅黑" w:hAnsi="微软雅黑" w:cs="微软雅黑"/>
                <w:color w:val="auto"/>
                <w:kern w:val="0"/>
                <w:szCs w:val="21"/>
                <w:highlight w:val="none"/>
              </w:rPr>
              <w:t>波长扫描速度：20nm/min~60000nm/min，九档自动可调</w:t>
            </w:r>
          </w:p>
          <w:p w14:paraId="20DDB96B">
            <w:pPr>
              <w:numPr>
                <w:ilvl w:val="0"/>
                <w:numId w:val="0"/>
              </w:numPr>
              <w:spacing w:after="0" w:line="240" w:lineRule="auto"/>
              <w:ind w:left="425" w:leftChars="0" w:hanging="425" w:firstLineChars="0"/>
              <w:rPr>
                <w:rFonts w:ascii="微软雅黑" w:hAnsi="微软雅黑" w:cs="微软雅黑"/>
                <w:color w:val="auto"/>
                <w:kern w:val="0"/>
                <w:szCs w:val="21"/>
                <w:highlight w:val="none"/>
              </w:rPr>
            </w:pPr>
            <w:r>
              <w:rPr>
                <w:rFonts w:hint="default" w:ascii="微软雅黑" w:hAnsi="微软雅黑" w:eastAsia="微软雅黑" w:cs="微软雅黑"/>
                <w:color w:val="auto"/>
                <w:kern w:val="0"/>
                <w:sz w:val="21"/>
                <w:szCs w:val="21"/>
                <w:lang w:val="en-US" w:eastAsia="zh-CN" w:bidi="ar-SA"/>
              </w:rPr>
              <w:t>11</w:t>
            </w:r>
            <w:r>
              <w:rPr>
                <w:rFonts w:hint="eastAsia" w:ascii="微软雅黑" w:hAnsi="微软雅黑" w:cs="微软雅黑"/>
                <w:color w:val="auto"/>
                <w:kern w:val="0"/>
                <w:sz w:val="21"/>
                <w:szCs w:val="21"/>
                <w:lang w:val="en-US" w:eastAsia="zh-CN" w:bidi="ar-SA"/>
              </w:rPr>
              <w:t>、</w:t>
            </w:r>
            <w:r>
              <w:rPr>
                <w:rFonts w:hint="eastAsia" w:ascii="微软雅黑" w:hAnsi="微软雅黑" w:cs="微软雅黑"/>
                <w:color w:val="auto"/>
                <w:kern w:val="0"/>
                <w:szCs w:val="21"/>
                <w:highlight w:val="none"/>
              </w:rPr>
              <w:t>波长切换速度：60000nm/min</w:t>
            </w:r>
          </w:p>
          <w:p w14:paraId="751F13D0">
            <w:pPr>
              <w:numPr>
                <w:ilvl w:val="0"/>
                <w:numId w:val="0"/>
              </w:numPr>
              <w:spacing w:after="0" w:line="240" w:lineRule="auto"/>
              <w:ind w:left="425" w:leftChars="0" w:hanging="425"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w:t>
            </w:r>
            <w:r>
              <w:rPr>
                <w:rFonts w:hint="default" w:ascii="微软雅黑" w:hAnsi="微软雅黑" w:eastAsia="微软雅黑" w:cs="微软雅黑"/>
                <w:color w:val="auto"/>
                <w:kern w:val="0"/>
                <w:sz w:val="21"/>
                <w:szCs w:val="21"/>
                <w:lang w:val="en-US" w:eastAsia="zh-CN" w:bidi="ar-SA"/>
              </w:rPr>
              <w:t>12</w:t>
            </w:r>
            <w:r>
              <w:rPr>
                <w:rFonts w:hint="eastAsia" w:ascii="微软雅黑" w:hAnsi="微软雅黑" w:cs="微软雅黑"/>
                <w:color w:val="auto"/>
                <w:kern w:val="0"/>
                <w:sz w:val="21"/>
                <w:szCs w:val="21"/>
                <w:lang w:val="en-US" w:eastAsia="zh-CN" w:bidi="ar-SA"/>
              </w:rPr>
              <w:t>、</w:t>
            </w:r>
            <w:r>
              <w:rPr>
                <w:rFonts w:hint="eastAsia" w:ascii="微软雅黑" w:hAnsi="微软雅黑" w:cs="微软雅黑"/>
                <w:color w:val="auto"/>
                <w:kern w:val="0"/>
                <w:szCs w:val="21"/>
                <w:highlight w:val="none"/>
              </w:rPr>
              <w:t>信噪比：1000:1（RMS值），350:1（峰-峰值），水的拉曼峰（取峰值点抖动，而非远端基线点噪音），激发波长350nm，激发和发射光谱带宽5nm，积分时间2秒</w:t>
            </w:r>
          </w:p>
          <w:p w14:paraId="4447F984">
            <w:pPr>
              <w:numPr>
                <w:ilvl w:val="0"/>
                <w:numId w:val="0"/>
              </w:numPr>
              <w:spacing w:after="0" w:line="240" w:lineRule="auto"/>
              <w:ind w:left="425" w:leftChars="0" w:hanging="425" w:firstLineChars="0"/>
              <w:rPr>
                <w:rFonts w:ascii="微软雅黑" w:hAnsi="微软雅黑" w:cs="微软雅黑"/>
                <w:color w:val="auto"/>
                <w:kern w:val="0"/>
                <w:szCs w:val="21"/>
                <w:highlight w:val="none"/>
              </w:rPr>
            </w:pPr>
            <w:r>
              <w:rPr>
                <w:rFonts w:hint="default" w:ascii="微软雅黑" w:hAnsi="微软雅黑" w:eastAsia="微软雅黑" w:cs="微软雅黑"/>
                <w:color w:val="auto"/>
                <w:kern w:val="0"/>
                <w:sz w:val="21"/>
                <w:szCs w:val="21"/>
                <w:lang w:val="en-US" w:eastAsia="zh-CN" w:bidi="ar-SA"/>
              </w:rPr>
              <w:t>13</w:t>
            </w:r>
            <w:r>
              <w:rPr>
                <w:rFonts w:hint="eastAsia" w:ascii="微软雅黑" w:hAnsi="微软雅黑" w:cs="微软雅黑"/>
                <w:color w:val="auto"/>
                <w:kern w:val="0"/>
                <w:sz w:val="21"/>
                <w:szCs w:val="21"/>
                <w:lang w:val="en-US" w:eastAsia="zh-CN" w:bidi="ar-SA"/>
              </w:rPr>
              <w:t>、</w:t>
            </w:r>
            <w:r>
              <w:rPr>
                <w:rFonts w:hint="eastAsia" w:ascii="微软雅黑" w:hAnsi="微软雅黑" w:cs="微软雅黑"/>
                <w:color w:val="auto"/>
                <w:kern w:val="0"/>
                <w:szCs w:val="21"/>
                <w:highlight w:val="none"/>
              </w:rPr>
              <w:t>光源补偿方式：单色光监测比例运算</w:t>
            </w:r>
          </w:p>
          <w:p w14:paraId="183C069C">
            <w:pPr>
              <w:numPr>
                <w:ilvl w:val="0"/>
                <w:numId w:val="0"/>
              </w:numPr>
              <w:spacing w:after="0" w:line="240" w:lineRule="auto"/>
              <w:ind w:left="425" w:leftChars="0" w:hanging="425" w:firstLineChars="0"/>
              <w:rPr>
                <w:rFonts w:ascii="微软雅黑" w:hAnsi="微软雅黑" w:cs="微软雅黑"/>
                <w:color w:val="auto"/>
                <w:kern w:val="0"/>
                <w:szCs w:val="21"/>
                <w:highlight w:val="none"/>
              </w:rPr>
            </w:pPr>
            <w:r>
              <w:rPr>
                <w:rFonts w:hint="default" w:ascii="微软雅黑" w:hAnsi="微软雅黑" w:eastAsia="微软雅黑" w:cs="微软雅黑"/>
                <w:color w:val="auto"/>
                <w:kern w:val="0"/>
                <w:sz w:val="21"/>
                <w:szCs w:val="21"/>
                <w:lang w:val="en-US" w:eastAsia="zh-CN" w:bidi="ar-SA"/>
              </w:rPr>
              <w:t>14</w:t>
            </w:r>
            <w:r>
              <w:rPr>
                <w:rFonts w:hint="eastAsia" w:ascii="微软雅黑" w:hAnsi="微软雅黑" w:cs="微软雅黑"/>
                <w:color w:val="auto"/>
                <w:kern w:val="0"/>
                <w:sz w:val="21"/>
                <w:szCs w:val="21"/>
                <w:lang w:val="en-US" w:eastAsia="zh-CN" w:bidi="ar-SA"/>
              </w:rPr>
              <w:t>、</w:t>
            </w:r>
            <w:r>
              <w:rPr>
                <w:rFonts w:hint="eastAsia" w:ascii="微软雅黑" w:hAnsi="微软雅黑" w:cs="微软雅黑"/>
                <w:color w:val="auto"/>
                <w:kern w:val="0"/>
                <w:szCs w:val="21"/>
                <w:highlight w:val="none"/>
              </w:rPr>
              <w:t>灵敏度选择：高、低和自动</w:t>
            </w:r>
          </w:p>
          <w:p w14:paraId="51D6575A">
            <w:pPr>
              <w:numPr>
                <w:ilvl w:val="0"/>
                <w:numId w:val="0"/>
              </w:numPr>
              <w:spacing w:after="0" w:line="240" w:lineRule="auto"/>
              <w:ind w:left="425" w:leftChars="0" w:hanging="425" w:firstLineChars="0"/>
              <w:rPr>
                <w:rFonts w:ascii="微软雅黑" w:hAnsi="微软雅黑" w:cs="微软雅黑"/>
                <w:color w:val="auto"/>
                <w:kern w:val="0"/>
                <w:szCs w:val="21"/>
                <w:highlight w:val="none"/>
              </w:rPr>
            </w:pPr>
            <w:r>
              <w:rPr>
                <w:rFonts w:hint="default" w:ascii="微软雅黑" w:hAnsi="微软雅黑" w:eastAsia="微软雅黑" w:cs="微软雅黑"/>
                <w:color w:val="auto"/>
                <w:kern w:val="0"/>
                <w:sz w:val="21"/>
                <w:szCs w:val="21"/>
                <w:lang w:val="en-US" w:eastAsia="zh-CN" w:bidi="ar-SA"/>
              </w:rPr>
              <w:t>15</w:t>
            </w:r>
            <w:r>
              <w:rPr>
                <w:rFonts w:hint="eastAsia" w:ascii="微软雅黑" w:hAnsi="微软雅黑" w:cs="微软雅黑"/>
                <w:color w:val="auto"/>
                <w:kern w:val="0"/>
                <w:sz w:val="21"/>
                <w:szCs w:val="21"/>
                <w:lang w:val="en-US" w:eastAsia="zh-CN" w:bidi="ar-SA"/>
              </w:rPr>
              <w:t>、</w:t>
            </w:r>
            <w:r>
              <w:rPr>
                <w:rFonts w:hint="eastAsia" w:ascii="微软雅黑" w:hAnsi="微软雅黑" w:cs="微软雅黑"/>
                <w:color w:val="auto"/>
                <w:kern w:val="0"/>
                <w:szCs w:val="21"/>
                <w:highlight w:val="none"/>
              </w:rPr>
              <w:t>通讯接口：USB2.0/3.0，自动进样器接口，外部触发接口，模拟输出端口</w:t>
            </w:r>
          </w:p>
          <w:p w14:paraId="26E1F8E1">
            <w:pPr>
              <w:numPr>
                <w:ilvl w:val="0"/>
                <w:numId w:val="0"/>
              </w:numPr>
              <w:spacing w:after="0" w:line="240" w:lineRule="auto"/>
              <w:ind w:left="425" w:leftChars="0" w:hanging="425" w:firstLineChars="0"/>
              <w:rPr>
                <w:rFonts w:ascii="微软雅黑" w:hAnsi="微软雅黑" w:cs="微软雅黑"/>
                <w:color w:val="auto"/>
                <w:kern w:val="0"/>
                <w:szCs w:val="21"/>
                <w:highlight w:val="none"/>
              </w:rPr>
            </w:pPr>
            <w:r>
              <w:rPr>
                <w:rFonts w:hint="default" w:ascii="微软雅黑" w:hAnsi="微软雅黑" w:eastAsia="微软雅黑" w:cs="微软雅黑"/>
                <w:color w:val="auto"/>
                <w:kern w:val="0"/>
                <w:sz w:val="21"/>
                <w:szCs w:val="21"/>
                <w:lang w:val="en-US" w:eastAsia="zh-CN" w:bidi="ar-SA"/>
              </w:rPr>
              <w:t>16</w:t>
            </w:r>
            <w:r>
              <w:rPr>
                <w:rFonts w:hint="eastAsia" w:ascii="微软雅黑" w:hAnsi="微软雅黑" w:cs="微软雅黑"/>
                <w:color w:val="auto"/>
                <w:kern w:val="0"/>
                <w:sz w:val="21"/>
                <w:szCs w:val="21"/>
                <w:lang w:val="en-US" w:eastAsia="zh-CN" w:bidi="ar-SA"/>
              </w:rPr>
              <w:t>、</w:t>
            </w:r>
            <w:r>
              <w:rPr>
                <w:rFonts w:hint="eastAsia" w:ascii="微软雅黑" w:hAnsi="微软雅黑" w:cs="微软雅黑"/>
                <w:color w:val="auto"/>
                <w:kern w:val="0"/>
                <w:szCs w:val="21"/>
                <w:highlight w:val="none"/>
              </w:rPr>
              <w:t>操作软件运行环境：Windows 7及以上（32位或64位）</w:t>
            </w:r>
          </w:p>
          <w:p w14:paraId="461599C4">
            <w:pPr>
              <w:numPr>
                <w:ilvl w:val="0"/>
                <w:numId w:val="0"/>
              </w:numPr>
              <w:spacing w:after="0" w:line="240" w:lineRule="auto"/>
              <w:ind w:left="425" w:leftChars="0" w:hanging="425" w:firstLineChars="0"/>
              <w:rPr>
                <w:rFonts w:ascii="微软雅黑" w:hAnsi="微软雅黑" w:cs="微软雅黑"/>
                <w:color w:val="auto"/>
                <w:kern w:val="0"/>
                <w:szCs w:val="21"/>
                <w:highlight w:val="none"/>
              </w:rPr>
            </w:pPr>
            <w:r>
              <w:rPr>
                <w:rFonts w:hint="default" w:ascii="微软雅黑" w:hAnsi="微软雅黑" w:eastAsia="微软雅黑" w:cs="微软雅黑"/>
                <w:color w:val="auto"/>
                <w:kern w:val="0"/>
                <w:sz w:val="21"/>
                <w:szCs w:val="21"/>
                <w:lang w:val="en-US" w:eastAsia="zh-CN" w:bidi="ar-SA"/>
              </w:rPr>
              <w:t>17</w:t>
            </w:r>
            <w:r>
              <w:rPr>
                <w:rFonts w:hint="eastAsia" w:ascii="微软雅黑" w:hAnsi="微软雅黑" w:cs="微软雅黑"/>
                <w:color w:val="auto"/>
                <w:kern w:val="0"/>
                <w:sz w:val="21"/>
                <w:szCs w:val="21"/>
                <w:lang w:val="en-US" w:eastAsia="zh-CN" w:bidi="ar-SA"/>
              </w:rPr>
              <w:t>、</w:t>
            </w:r>
            <w:r>
              <w:rPr>
                <w:rFonts w:hint="eastAsia" w:ascii="微软雅黑" w:hAnsi="微软雅黑" w:cs="微软雅黑"/>
                <w:color w:val="auto"/>
                <w:kern w:val="0"/>
                <w:szCs w:val="21"/>
                <w:highlight w:val="none"/>
              </w:rPr>
              <w:t>软件功能模块：包括光谱扫描、三维荧光扫描、时间程序测定、定量测定、光度测定、量子产率测定、量子效率测定、报告打印、原始数据导出、仪器性能认证等</w:t>
            </w:r>
          </w:p>
          <w:p w14:paraId="45B8DFBA">
            <w:pPr>
              <w:numPr>
                <w:ilvl w:val="0"/>
                <w:numId w:val="0"/>
              </w:numPr>
              <w:spacing w:after="0" w:line="240" w:lineRule="auto"/>
              <w:ind w:left="425" w:leftChars="0" w:hanging="425" w:firstLineChars="0"/>
              <w:rPr>
                <w:rFonts w:ascii="微软雅黑" w:hAnsi="微软雅黑" w:cs="微软雅黑"/>
                <w:color w:val="auto"/>
                <w:kern w:val="0"/>
                <w:szCs w:val="21"/>
                <w:highlight w:val="none"/>
              </w:rPr>
            </w:pPr>
            <w:r>
              <w:rPr>
                <w:rFonts w:hint="default" w:ascii="微软雅黑" w:hAnsi="微软雅黑" w:eastAsia="微软雅黑" w:cs="微软雅黑"/>
                <w:color w:val="auto"/>
                <w:kern w:val="0"/>
                <w:sz w:val="21"/>
                <w:szCs w:val="21"/>
                <w:lang w:val="en-US" w:eastAsia="zh-CN" w:bidi="ar-SA"/>
              </w:rPr>
              <w:t>18</w:t>
            </w:r>
            <w:r>
              <w:rPr>
                <w:rFonts w:hint="eastAsia" w:ascii="微软雅黑" w:hAnsi="微软雅黑" w:cs="微软雅黑"/>
                <w:color w:val="auto"/>
                <w:kern w:val="0"/>
                <w:sz w:val="21"/>
                <w:szCs w:val="21"/>
                <w:lang w:val="en-US" w:eastAsia="zh-CN" w:bidi="ar-SA"/>
              </w:rPr>
              <w:t>、</w:t>
            </w:r>
            <w:r>
              <w:rPr>
                <w:rFonts w:hint="eastAsia" w:ascii="微软雅黑" w:hAnsi="微软雅黑" w:cs="微软雅黑"/>
                <w:color w:val="auto"/>
                <w:kern w:val="0"/>
                <w:szCs w:val="21"/>
                <w:highlight w:val="none"/>
                <w:lang w:eastAsia="zh-CN"/>
              </w:rPr>
              <w:t>光</w:t>
            </w:r>
            <w:r>
              <w:rPr>
                <w:rFonts w:hint="eastAsia" w:ascii="微软雅黑" w:hAnsi="微软雅黑" w:cs="微软雅黑"/>
                <w:color w:val="auto"/>
                <w:kern w:val="0"/>
                <w:szCs w:val="21"/>
                <w:highlight w:val="none"/>
              </w:rPr>
              <w:t>谱测量模式：可测量激发荧光光谱、发射荧光光谱、同步荧光光谱、三维荧光光谱和生物发光光谱、化学发光光谱、电致发光光谱</w:t>
            </w:r>
          </w:p>
          <w:p w14:paraId="606BAF25">
            <w:pPr>
              <w:numPr>
                <w:ilvl w:val="0"/>
                <w:numId w:val="0"/>
              </w:numPr>
              <w:spacing w:after="0" w:line="240" w:lineRule="auto"/>
              <w:ind w:left="425" w:leftChars="0" w:hanging="425"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w:t>
            </w:r>
            <w:r>
              <w:rPr>
                <w:rFonts w:hint="default" w:ascii="微软雅黑" w:hAnsi="微软雅黑" w:eastAsia="微软雅黑" w:cs="微软雅黑"/>
                <w:color w:val="auto"/>
                <w:kern w:val="0"/>
                <w:sz w:val="21"/>
                <w:szCs w:val="21"/>
                <w:lang w:val="en-US" w:eastAsia="zh-CN" w:bidi="ar-SA"/>
              </w:rPr>
              <w:t>19</w:t>
            </w:r>
            <w:r>
              <w:rPr>
                <w:rFonts w:hint="eastAsia" w:ascii="微软雅黑" w:hAnsi="微软雅黑" w:cs="微软雅黑"/>
                <w:color w:val="auto"/>
                <w:kern w:val="0"/>
                <w:sz w:val="21"/>
                <w:szCs w:val="21"/>
                <w:lang w:val="en-US" w:eastAsia="zh-CN" w:bidi="ar-SA"/>
              </w:rPr>
              <w:t>、</w:t>
            </w:r>
            <w:r>
              <w:rPr>
                <w:rFonts w:hint="eastAsia" w:ascii="微软雅黑" w:hAnsi="微软雅黑" w:cs="微软雅黑"/>
                <w:color w:val="auto"/>
                <w:kern w:val="0"/>
                <w:szCs w:val="21"/>
                <w:highlight w:val="none"/>
              </w:rPr>
              <w:t>光谱校正：可实现激发光谱和发射光谱的自动光谱校正</w:t>
            </w:r>
          </w:p>
          <w:p w14:paraId="1E2B10B6">
            <w:pPr>
              <w:numPr>
                <w:ilvl w:val="0"/>
                <w:numId w:val="0"/>
              </w:numPr>
              <w:spacing w:after="0" w:line="240" w:lineRule="auto"/>
              <w:ind w:left="425" w:leftChars="0" w:hanging="425"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w:t>
            </w:r>
            <w:r>
              <w:rPr>
                <w:rFonts w:hint="default" w:ascii="微软雅黑" w:hAnsi="微软雅黑" w:eastAsia="微软雅黑" w:cs="微软雅黑"/>
                <w:color w:val="auto"/>
                <w:kern w:val="0"/>
                <w:sz w:val="21"/>
                <w:szCs w:val="21"/>
                <w:lang w:val="en-US" w:eastAsia="zh-CN" w:bidi="ar-SA"/>
              </w:rPr>
              <w:t>20</w:t>
            </w:r>
            <w:r>
              <w:rPr>
                <w:rFonts w:hint="eastAsia" w:ascii="微软雅黑" w:hAnsi="微软雅黑" w:cs="微软雅黑"/>
                <w:color w:val="auto"/>
                <w:kern w:val="0"/>
                <w:sz w:val="21"/>
                <w:szCs w:val="21"/>
                <w:lang w:val="en-US" w:eastAsia="zh-CN" w:bidi="ar-SA"/>
              </w:rPr>
              <w:t>、</w:t>
            </w:r>
            <w:r>
              <w:rPr>
                <w:rFonts w:hint="eastAsia" w:ascii="微软雅黑" w:hAnsi="微软雅黑" w:cs="微软雅黑"/>
                <w:color w:val="auto"/>
                <w:kern w:val="0"/>
                <w:szCs w:val="21"/>
                <w:highlight w:val="none"/>
              </w:rPr>
              <w:t>带固体粉末支架，可测固体</w:t>
            </w:r>
          </w:p>
          <w:p w14:paraId="3582772F">
            <w:pPr>
              <w:pStyle w:val="47"/>
              <w:numPr>
                <w:ilvl w:val="0"/>
                <w:numId w:val="0"/>
              </w:numPr>
              <w:spacing w:before="0" w:beforeAutospacing="0" w:after="0" w:afterAutospacing="0" w:line="240" w:lineRule="auto"/>
              <w:ind w:left="425" w:leftChars="0" w:hanging="425" w:firstLineChars="0"/>
              <w:rPr>
                <w:rFonts w:ascii="微软雅黑" w:hAnsi="微软雅黑" w:cs="微软雅黑"/>
                <w:color w:val="auto"/>
                <w:sz w:val="21"/>
                <w:szCs w:val="21"/>
                <w:highlight w:val="none"/>
              </w:rPr>
            </w:pPr>
            <w:r>
              <w:rPr>
                <w:rFonts w:hint="default" w:ascii="微软雅黑" w:hAnsi="微软雅黑" w:eastAsia="微软雅黑" w:cs="微软雅黑"/>
                <w:color w:val="auto"/>
                <w:kern w:val="0"/>
                <w:sz w:val="21"/>
                <w:szCs w:val="21"/>
                <w:lang w:val="en-US" w:eastAsia="zh-CN" w:bidi="ar-SA"/>
              </w:rPr>
              <w:t>21</w:t>
            </w:r>
            <w:r>
              <w:rPr>
                <w:rFonts w:hint="eastAsia" w:ascii="微软雅黑" w:hAnsi="微软雅黑" w:cs="微软雅黑"/>
                <w:color w:val="auto"/>
                <w:kern w:val="0"/>
                <w:sz w:val="21"/>
                <w:szCs w:val="21"/>
                <w:lang w:val="en-US" w:eastAsia="zh-CN" w:bidi="ar-SA"/>
              </w:rPr>
              <w:t>、</w:t>
            </w:r>
            <w:r>
              <w:rPr>
                <w:rFonts w:hint="eastAsia" w:ascii="微软雅黑" w:hAnsi="微软雅黑" w:cs="微软雅黑"/>
                <w:color w:val="auto"/>
                <w:sz w:val="21"/>
                <w:szCs w:val="21"/>
                <w:highlight w:val="none"/>
              </w:rPr>
              <w:t>配数据处理机：处理器不低于i3-12100，运行内存≥8G，储存内存≥512G, 显示器≥23.8寸,包括输出设备</w:t>
            </w:r>
            <w:r>
              <w:rPr>
                <w:rFonts w:hint="eastAsia" w:ascii="微软雅黑" w:hAnsi="微软雅黑" w:cs="微软雅黑"/>
                <w:color w:val="auto"/>
                <w:sz w:val="21"/>
                <w:szCs w:val="21"/>
                <w:highlight w:val="none"/>
                <w:lang w:eastAsia="zh-CN"/>
              </w:rPr>
              <w:t>。</w:t>
            </w:r>
          </w:p>
        </w:tc>
        <w:tc>
          <w:tcPr>
            <w:tcW w:w="732" w:type="dxa"/>
            <w:tcBorders>
              <w:tl2br w:val="nil"/>
              <w:tr2bl w:val="nil"/>
            </w:tcBorders>
            <w:noWrap/>
            <w:vAlign w:val="center"/>
          </w:tcPr>
          <w:p w14:paraId="69231BA4">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w:t>
            </w:r>
          </w:p>
        </w:tc>
        <w:tc>
          <w:tcPr>
            <w:tcW w:w="954" w:type="dxa"/>
            <w:tcBorders>
              <w:tl2br w:val="nil"/>
              <w:tr2bl w:val="nil"/>
            </w:tcBorders>
            <w:noWrap/>
            <w:vAlign w:val="center"/>
          </w:tcPr>
          <w:p w14:paraId="02E84D0E">
            <w:pPr>
              <w:widowControl/>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台</w:t>
            </w:r>
          </w:p>
        </w:tc>
      </w:tr>
      <w:tr w14:paraId="6B3999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602" w:type="dxa"/>
            <w:tcBorders>
              <w:tl2br w:val="nil"/>
              <w:tr2bl w:val="nil"/>
            </w:tcBorders>
            <w:noWrap/>
            <w:vAlign w:val="center"/>
          </w:tcPr>
          <w:p w14:paraId="5EABCF9D">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3</w:t>
            </w:r>
          </w:p>
        </w:tc>
        <w:tc>
          <w:tcPr>
            <w:tcW w:w="2010" w:type="dxa"/>
            <w:tcBorders>
              <w:tl2br w:val="nil"/>
              <w:tr2bl w:val="nil"/>
            </w:tcBorders>
            <w:noWrap/>
            <w:vAlign w:val="center"/>
          </w:tcPr>
          <w:p w14:paraId="0048A5B6">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万分之一分析天平</w:t>
            </w:r>
          </w:p>
        </w:tc>
        <w:tc>
          <w:tcPr>
            <w:tcW w:w="10430" w:type="dxa"/>
            <w:tcBorders>
              <w:tl2br w:val="nil"/>
              <w:tr2bl w:val="nil"/>
            </w:tcBorders>
            <w:noWrap/>
            <w:vAlign w:val="center"/>
          </w:tcPr>
          <w:p w14:paraId="7E09EB44">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 xml:space="preserve">1、配高精度传感器，配高速、高度集成的称重芯片，可快速获得准确称量结果 </w:t>
            </w:r>
          </w:p>
          <w:p w14:paraId="5D9379BA">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 xml:space="preserve">2、LCD 液晶显示，全自动内部校准、一键触发内校、全自动时间触发内校 </w:t>
            </w:r>
          </w:p>
          <w:p w14:paraId="7DB1BDB1">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 xml:space="preserve">★3、称重稳定可调节，标配校准砝码，支持线性校准 </w:t>
            </w:r>
          </w:p>
          <w:p w14:paraId="26C72970">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 xml:space="preserve">4、可根据环境变化调节灵敏度、反应速度 </w:t>
            </w:r>
          </w:p>
          <w:p w14:paraId="418D6429">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 xml:space="preserve">★5、全量程去皮、累加功能、峰值保持、上下限检重、百分比称重、动物称重、 密度功能、毛净皮重 </w:t>
            </w:r>
          </w:p>
          <w:p w14:paraId="684854C1">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 xml:space="preserve">6、实时显示量程进度条，开关机自动锁定当前模式 </w:t>
            </w:r>
          </w:p>
          <w:p w14:paraId="39E8647A">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 xml:space="preserve">7、打印功能（波特率设置，连续输出和单点输出切换），安装插件PC端天平数据可直读 </w:t>
            </w:r>
          </w:p>
          <w:p w14:paraId="23637988">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 xml:space="preserve">★8、压铸铝合金外壳，四面防静电涂层玻璃防风罩，全面提升天平的防静电抗干扰能力 </w:t>
            </w:r>
          </w:p>
          <w:p w14:paraId="3A3A2EBF">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9、过载报警、故障报警、水平指示器、七级防震滤波可调功能</w:t>
            </w:r>
          </w:p>
          <w:p w14:paraId="65203525">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 xml:space="preserve">10、g，mg，oz，ct等13种计量单位切换 </w:t>
            </w:r>
          </w:p>
          <w:p w14:paraId="1FA3AB87">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 xml:space="preserve">11、稳定时间≤3s，精度：0.1mg，最小称重：≤5mg </w:t>
            </w:r>
          </w:p>
          <w:p w14:paraId="64F820C6">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12、最大量程：≥120g</w:t>
            </w:r>
          </w:p>
          <w:p w14:paraId="1E0E37C1">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 xml:space="preserve">13、温度准确度±2℃ </w:t>
            </w:r>
          </w:p>
          <w:p w14:paraId="227DA934">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 xml:space="preserve">14、秤盘尺寸80mm，使用温度5-35℃，湿度20%-80% </w:t>
            </w:r>
          </w:p>
          <w:p w14:paraId="49D0EB4F">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 xml:space="preserve">15、重复性：±0.0002g，线性±0.0002g </w:t>
            </w:r>
          </w:p>
          <w:p w14:paraId="6EE0111C">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16、RS232C（标配）</w:t>
            </w:r>
          </w:p>
          <w:p w14:paraId="24FD5017">
            <w:pPr>
              <w:pStyle w:val="28"/>
              <w:spacing w:after="0" w:line="240" w:lineRule="auto"/>
              <w:ind w:firstLine="0" w:firstLineChars="0"/>
              <w:rPr>
                <w:rFonts w:hint="eastAsia" w:ascii="微软雅黑" w:hAnsi="微软雅黑" w:eastAsia="微软雅黑"/>
                <w:color w:val="auto"/>
                <w:kern w:val="0"/>
                <w:szCs w:val="21"/>
                <w:highlight w:val="none"/>
                <w:lang w:val="en-US" w:eastAsia="zh-CN"/>
              </w:rPr>
            </w:pPr>
            <w:r>
              <w:rPr>
                <w:rFonts w:hint="eastAsia" w:ascii="微软雅黑" w:hAnsi="微软雅黑" w:cs="微软雅黑"/>
                <w:color w:val="auto"/>
                <w:kern w:val="0"/>
                <w:szCs w:val="21"/>
                <w:highlight w:val="none"/>
              </w:rPr>
              <w:t>★17、配实验基础操作三维虚拟仿真软件一套，包括称量、移液、定容。称量的基本操作包括分析天平、电子天平和台秤三个称量仪器，分析天平称量包含减量法、增量法和直接称量法三种；胖肚移液管的操作；酸式滴定管和碱式滴定管的基本操作包括快滴、慢滴和半滴过程</w:t>
            </w:r>
            <w:r>
              <w:rPr>
                <w:rFonts w:hint="eastAsia" w:ascii="微软雅黑" w:hAnsi="微软雅黑" w:cs="微软雅黑"/>
                <w:color w:val="auto"/>
                <w:kern w:val="0"/>
                <w:szCs w:val="21"/>
                <w:highlight w:val="none"/>
                <w:lang w:eastAsia="zh-CN"/>
              </w:rPr>
              <w:t>。</w:t>
            </w:r>
          </w:p>
        </w:tc>
        <w:tc>
          <w:tcPr>
            <w:tcW w:w="732" w:type="dxa"/>
            <w:tcBorders>
              <w:tl2br w:val="nil"/>
              <w:tr2bl w:val="nil"/>
            </w:tcBorders>
            <w:noWrap/>
            <w:vAlign w:val="center"/>
          </w:tcPr>
          <w:p w14:paraId="24F65202">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27</w:t>
            </w:r>
          </w:p>
        </w:tc>
        <w:tc>
          <w:tcPr>
            <w:tcW w:w="954" w:type="dxa"/>
            <w:tcBorders>
              <w:tl2br w:val="nil"/>
              <w:tr2bl w:val="nil"/>
            </w:tcBorders>
            <w:noWrap/>
            <w:vAlign w:val="center"/>
          </w:tcPr>
          <w:p w14:paraId="18B4CD6D">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台</w:t>
            </w:r>
          </w:p>
        </w:tc>
      </w:tr>
      <w:tr w14:paraId="593786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602" w:type="dxa"/>
            <w:tcBorders>
              <w:tl2br w:val="nil"/>
              <w:tr2bl w:val="nil"/>
            </w:tcBorders>
            <w:noWrap/>
            <w:vAlign w:val="center"/>
          </w:tcPr>
          <w:p w14:paraId="1BAF7D01">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4</w:t>
            </w:r>
          </w:p>
        </w:tc>
        <w:tc>
          <w:tcPr>
            <w:tcW w:w="2010" w:type="dxa"/>
            <w:tcBorders>
              <w:tl2br w:val="nil"/>
              <w:tr2bl w:val="nil"/>
            </w:tcBorders>
            <w:noWrap/>
            <w:vAlign w:val="center"/>
          </w:tcPr>
          <w:p w14:paraId="365B4756">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pH计</w:t>
            </w:r>
          </w:p>
        </w:tc>
        <w:tc>
          <w:tcPr>
            <w:tcW w:w="10430" w:type="dxa"/>
            <w:tcBorders>
              <w:tl2br w:val="nil"/>
              <w:tr2bl w:val="nil"/>
            </w:tcBorders>
            <w:noWrap/>
            <w:vAlign w:val="center"/>
          </w:tcPr>
          <w:p w14:paraId="66CC7C04">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测量范围：-2.00~16.00 pH；-2000~2000mV</w:t>
            </w:r>
          </w:p>
          <w:p w14:paraId="4DBE941F">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最小分辨率：0.01 pH/1 mV，准确度±0.01pH，±1 mV</w:t>
            </w:r>
          </w:p>
          <w:p w14:paraId="23454DF8">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3</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 xml:space="preserve">显示屏类型：≥4.3英寸分段式LCD </w:t>
            </w:r>
          </w:p>
          <w:p w14:paraId="34CCDB5E">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4</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温度范围：-5℃</w:t>
            </w:r>
            <w:r>
              <w:rPr>
                <w:rFonts w:hint="eastAsia" w:ascii="微软雅黑" w:hAnsi="微软雅黑"/>
                <w:color w:val="auto"/>
                <w:kern w:val="0"/>
                <w:sz w:val="18"/>
                <w:szCs w:val="18"/>
                <w:highlight w:val="none"/>
              </w:rPr>
              <w:t>~</w:t>
            </w:r>
            <w:r>
              <w:rPr>
                <w:rFonts w:hint="eastAsia" w:ascii="微软雅黑" w:hAnsi="微软雅黑" w:cs="微软雅黑"/>
                <w:color w:val="auto"/>
                <w:kern w:val="0"/>
                <w:szCs w:val="21"/>
                <w:highlight w:val="none"/>
              </w:rPr>
              <w:t>105℃</w:t>
            </w:r>
          </w:p>
          <w:p w14:paraId="3208686F">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5</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数据可传输PC机、打印机</w:t>
            </w:r>
          </w:p>
          <w:p w14:paraId="079B4883">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★6</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温度准确度：±0.3℃</w:t>
            </w:r>
          </w:p>
          <w:p w14:paraId="6B39896D">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7</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数据可自动导入PC端统计。</w:t>
            </w:r>
          </w:p>
        </w:tc>
        <w:tc>
          <w:tcPr>
            <w:tcW w:w="732" w:type="dxa"/>
            <w:tcBorders>
              <w:tl2br w:val="nil"/>
              <w:tr2bl w:val="nil"/>
            </w:tcBorders>
            <w:noWrap/>
            <w:vAlign w:val="center"/>
          </w:tcPr>
          <w:p w14:paraId="195A1183">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13</w:t>
            </w:r>
          </w:p>
        </w:tc>
        <w:tc>
          <w:tcPr>
            <w:tcW w:w="954" w:type="dxa"/>
            <w:tcBorders>
              <w:tl2br w:val="nil"/>
              <w:tr2bl w:val="nil"/>
            </w:tcBorders>
            <w:noWrap/>
            <w:vAlign w:val="center"/>
          </w:tcPr>
          <w:p w14:paraId="2F5E8C42">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台</w:t>
            </w:r>
          </w:p>
        </w:tc>
      </w:tr>
      <w:tr w14:paraId="1F85FB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602" w:type="dxa"/>
            <w:tcBorders>
              <w:tl2br w:val="nil"/>
              <w:tr2bl w:val="nil"/>
            </w:tcBorders>
            <w:noWrap/>
            <w:vAlign w:val="center"/>
          </w:tcPr>
          <w:p w14:paraId="42267A5A">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5</w:t>
            </w:r>
          </w:p>
        </w:tc>
        <w:tc>
          <w:tcPr>
            <w:tcW w:w="2010" w:type="dxa"/>
            <w:tcBorders>
              <w:tl2br w:val="nil"/>
              <w:tr2bl w:val="nil"/>
            </w:tcBorders>
            <w:noWrap/>
            <w:vAlign w:val="center"/>
          </w:tcPr>
          <w:p w14:paraId="5930A982">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防爆冰箱</w:t>
            </w:r>
          </w:p>
        </w:tc>
        <w:tc>
          <w:tcPr>
            <w:tcW w:w="10430" w:type="dxa"/>
            <w:tcBorders>
              <w:tl2br w:val="nil"/>
              <w:tr2bl w:val="nil"/>
            </w:tcBorders>
            <w:noWrap/>
            <w:vAlign w:val="center"/>
          </w:tcPr>
          <w:p w14:paraId="3AE3BFC3">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总容积：≥200 L</w:t>
            </w:r>
          </w:p>
          <w:p w14:paraId="4E406605">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功率：≥60 W</w:t>
            </w:r>
          </w:p>
          <w:p w14:paraId="1796A0EA">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3</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冷冻室体积：≥70 L</w:t>
            </w:r>
          </w:p>
          <w:p w14:paraId="08A7F559">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4</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冷藏室体积：≥130 L</w:t>
            </w:r>
          </w:p>
          <w:p w14:paraId="2E7BFD9F">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5</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耗电量：</w:t>
            </w:r>
            <w:r>
              <w:rPr>
                <w:rFonts w:hint="eastAsia" w:ascii="微软雅黑" w:hAnsi="微软雅黑"/>
                <w:color w:val="auto"/>
                <w:kern w:val="0"/>
                <w:sz w:val="18"/>
                <w:szCs w:val="18"/>
                <w:highlight w:val="none"/>
              </w:rPr>
              <w:t>≤</w:t>
            </w:r>
            <w:r>
              <w:rPr>
                <w:rFonts w:hint="eastAsia" w:ascii="微软雅黑" w:hAnsi="微软雅黑" w:cs="微软雅黑"/>
                <w:color w:val="auto"/>
                <w:kern w:val="0"/>
                <w:szCs w:val="21"/>
                <w:highlight w:val="none"/>
              </w:rPr>
              <w:t>0.6（KWH/24H)</w:t>
            </w:r>
          </w:p>
          <w:p w14:paraId="65BD8FA1">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6</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噪音：</w:t>
            </w:r>
            <w:r>
              <w:rPr>
                <w:rFonts w:hint="eastAsia" w:ascii="微软雅黑" w:hAnsi="微软雅黑"/>
                <w:color w:val="auto"/>
                <w:kern w:val="0"/>
                <w:sz w:val="18"/>
                <w:szCs w:val="18"/>
                <w:highlight w:val="none"/>
              </w:rPr>
              <w:t>≤</w:t>
            </w:r>
            <w:r>
              <w:rPr>
                <w:rFonts w:hint="eastAsia" w:ascii="微软雅黑" w:hAnsi="微软雅黑" w:cs="微软雅黑"/>
                <w:color w:val="auto"/>
                <w:kern w:val="0"/>
                <w:szCs w:val="21"/>
                <w:highlight w:val="none"/>
              </w:rPr>
              <w:t>38dB</w:t>
            </w:r>
          </w:p>
          <w:p w14:paraId="343C0FA5">
            <w:pPr>
              <w:pStyle w:val="28"/>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★7</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防爆等级：ExdibmbIICT4Gb</w:t>
            </w:r>
          </w:p>
        </w:tc>
        <w:tc>
          <w:tcPr>
            <w:tcW w:w="732" w:type="dxa"/>
            <w:tcBorders>
              <w:tl2br w:val="nil"/>
              <w:tr2bl w:val="nil"/>
            </w:tcBorders>
            <w:noWrap/>
            <w:vAlign w:val="center"/>
          </w:tcPr>
          <w:p w14:paraId="7F3105F4">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3</w:t>
            </w:r>
          </w:p>
        </w:tc>
        <w:tc>
          <w:tcPr>
            <w:tcW w:w="954" w:type="dxa"/>
            <w:tcBorders>
              <w:tl2br w:val="nil"/>
              <w:tr2bl w:val="nil"/>
            </w:tcBorders>
            <w:noWrap/>
            <w:vAlign w:val="center"/>
          </w:tcPr>
          <w:p w14:paraId="16BE59C1">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台</w:t>
            </w:r>
          </w:p>
        </w:tc>
      </w:tr>
      <w:tr w14:paraId="21197C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602" w:type="dxa"/>
            <w:tcBorders>
              <w:tl2br w:val="nil"/>
              <w:tr2bl w:val="nil"/>
            </w:tcBorders>
            <w:noWrap/>
            <w:vAlign w:val="center"/>
          </w:tcPr>
          <w:p w14:paraId="72020B25">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6</w:t>
            </w:r>
          </w:p>
        </w:tc>
        <w:tc>
          <w:tcPr>
            <w:tcW w:w="2010" w:type="dxa"/>
            <w:tcBorders>
              <w:tl2br w:val="nil"/>
              <w:tr2bl w:val="nil"/>
            </w:tcBorders>
            <w:noWrap/>
            <w:vAlign w:val="center"/>
          </w:tcPr>
          <w:p w14:paraId="537278CF">
            <w:pPr>
              <w:spacing w:after="0" w:line="240" w:lineRule="auto"/>
              <w:ind w:firstLine="0" w:firstLineChars="0"/>
              <w:rPr>
                <w:rFonts w:hint="eastAsia" w:ascii="微软雅黑" w:hAnsi="微软雅黑" w:eastAsia="微软雅黑" w:cs="微软雅黑"/>
                <w:color w:val="auto"/>
                <w:kern w:val="0"/>
                <w:szCs w:val="21"/>
                <w:highlight w:val="none"/>
                <w:lang w:eastAsia="zh-CN"/>
              </w:rPr>
            </w:pPr>
            <w:r>
              <w:rPr>
                <w:rFonts w:hint="eastAsia" w:ascii="微软雅黑" w:hAnsi="微软雅黑" w:cs="微软雅黑"/>
                <w:color w:val="auto"/>
                <w:kern w:val="0"/>
                <w:szCs w:val="21"/>
                <w:highlight w:val="none"/>
              </w:rPr>
              <w:t>燃烧热实验装置</w:t>
            </w:r>
          </w:p>
        </w:tc>
        <w:tc>
          <w:tcPr>
            <w:tcW w:w="10430" w:type="dxa"/>
            <w:tcBorders>
              <w:tl2br w:val="nil"/>
              <w:tr2bl w:val="nil"/>
            </w:tcBorders>
            <w:noWrap/>
            <w:vAlign w:val="center"/>
          </w:tcPr>
          <w:p w14:paraId="69918C77">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1、温度范围：-50℃～150℃（可扩展范围）；</w:t>
            </w:r>
          </w:p>
          <w:p w14:paraId="0FC6A752">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2、温差范围：-49.999℃～149.999℃；</w:t>
            </w:r>
          </w:p>
          <w:p w14:paraId="530DB274">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3、数字显示：温度、温差、定时独立三显示；</w:t>
            </w:r>
          </w:p>
          <w:p w14:paraId="4F83F8C9">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4、定时显示范围：10～99s任意设定，有声音提示；</w:t>
            </w:r>
          </w:p>
          <w:p w14:paraId="14EC1F66">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5、分 辨 率：温度0.01℃，温差0.001℃，时间1s；</w:t>
            </w:r>
          </w:p>
          <w:p w14:paraId="417D4081">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6、热 容 量：15000（J/K）；</w:t>
            </w:r>
          </w:p>
          <w:p w14:paraId="7D207465">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7、氧弹充氧：3.5MPa；</w:t>
            </w:r>
          </w:p>
          <w:p w14:paraId="611E373B">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8、点火电源：0～30V交流安全电压；</w:t>
            </w:r>
          </w:p>
          <w:p w14:paraId="5F39CC0A">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9、搅拌器单独控制，具有点火是否成功提示灯；</w:t>
            </w:r>
          </w:p>
          <w:p w14:paraId="47559444">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10、具有数据锁定和数据保持功能，并有声音提示；</w:t>
            </w:r>
          </w:p>
          <w:p w14:paraId="3925DF7A">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11、内接触式点火结构，无需外接点火线；</w:t>
            </w:r>
          </w:p>
          <w:p w14:paraId="7CFB1EF0">
            <w:pPr>
              <w:spacing w:after="0" w:line="240" w:lineRule="auto"/>
              <w:ind w:firstLine="0" w:firstLineChars="0"/>
              <w:rPr>
                <w:rFonts w:ascii="微软雅黑" w:hAnsi="微软雅黑" w:cs="微软雅黑"/>
                <w:b w:val="0"/>
                <w:bCs w:val="0"/>
                <w:color w:val="auto"/>
                <w:kern w:val="0"/>
                <w:szCs w:val="21"/>
                <w:highlight w:val="none"/>
              </w:rPr>
            </w:pPr>
            <w:r>
              <w:rPr>
                <w:rFonts w:hint="eastAsia" w:ascii="微软雅黑" w:hAnsi="微软雅黑" w:cs="微软雅黑"/>
                <w:color w:val="auto"/>
                <w:kern w:val="0"/>
                <w:szCs w:val="21"/>
                <w:highlight w:val="none"/>
              </w:rPr>
              <w:t>★12、氧弹耐压</w:t>
            </w:r>
            <w:r>
              <w:rPr>
                <w:rFonts w:hint="eastAsia" w:ascii="宋体" w:hAnsi="宋体" w:eastAsia="宋体" w:cs="宋体"/>
                <w:color w:val="auto"/>
                <w:kern w:val="0"/>
                <w:szCs w:val="21"/>
                <w:highlight w:val="none"/>
              </w:rPr>
              <w:t>≥</w:t>
            </w:r>
            <w:r>
              <w:rPr>
                <w:rFonts w:hint="eastAsia" w:ascii="微软雅黑" w:hAnsi="微软雅黑" w:cs="微软雅黑"/>
                <w:color w:val="auto"/>
                <w:kern w:val="0"/>
                <w:szCs w:val="21"/>
                <w:highlight w:val="none"/>
              </w:rPr>
              <w:t>30MPa，</w:t>
            </w:r>
            <w:r>
              <w:rPr>
                <w:rFonts w:hint="eastAsia" w:ascii="微软雅黑" w:hAnsi="微软雅黑" w:cs="微软雅黑"/>
                <w:b w:val="0"/>
                <w:bCs w:val="0"/>
                <w:color w:val="auto"/>
                <w:kern w:val="0"/>
                <w:szCs w:val="21"/>
                <w:highlight w:val="none"/>
              </w:rPr>
              <w:t>提供</w:t>
            </w:r>
            <w:r>
              <w:rPr>
                <w:rFonts w:hint="eastAsia" w:ascii="微软雅黑" w:hAnsi="微软雅黑" w:cs="微软雅黑"/>
                <w:b w:val="0"/>
                <w:bCs w:val="0"/>
                <w:color w:val="auto"/>
                <w:kern w:val="0"/>
                <w:szCs w:val="21"/>
                <w:highlight w:val="none"/>
                <w:lang w:val="en-US" w:eastAsia="zh-CN"/>
              </w:rPr>
              <w:t>第三方有效的检测报告</w:t>
            </w:r>
            <w:r>
              <w:rPr>
                <w:rFonts w:hint="eastAsia" w:ascii="微软雅黑" w:hAnsi="微软雅黑" w:cs="微软雅黑"/>
                <w:b w:val="0"/>
                <w:bCs w:val="0"/>
                <w:color w:val="auto"/>
                <w:kern w:val="0"/>
                <w:szCs w:val="21"/>
                <w:highlight w:val="none"/>
              </w:rPr>
              <w:t>复印件</w:t>
            </w:r>
            <w:r>
              <w:rPr>
                <w:rFonts w:hint="eastAsia" w:ascii="微软雅黑" w:hAnsi="微软雅黑" w:cs="微软雅黑"/>
                <w:b w:val="0"/>
                <w:bCs w:val="0"/>
                <w:color w:val="auto"/>
                <w:kern w:val="0"/>
                <w:szCs w:val="21"/>
                <w:highlight w:val="none"/>
                <w:lang w:val="en-US" w:eastAsia="zh-CN"/>
              </w:rPr>
              <w:t>作为符合该项技术指标的证明材料做在投标文件中</w:t>
            </w:r>
            <w:r>
              <w:rPr>
                <w:rFonts w:hint="eastAsia" w:ascii="微软雅黑" w:hAnsi="微软雅黑" w:cs="微软雅黑"/>
                <w:b w:val="0"/>
                <w:bCs w:val="0"/>
                <w:color w:val="auto"/>
                <w:kern w:val="0"/>
                <w:szCs w:val="21"/>
                <w:highlight w:val="none"/>
              </w:rPr>
              <w:t>；</w:t>
            </w:r>
          </w:p>
          <w:p w14:paraId="48DED24D">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13、USB接口输出，支持全系windows系统；</w:t>
            </w:r>
          </w:p>
          <w:p w14:paraId="2736AA38">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14、配置：燃烧热实验仪（将数据采集、点火控制、搅拌控制、数字接口集成于一体）、恒温式热量计（内置氧弹）；</w:t>
            </w:r>
          </w:p>
          <w:p w14:paraId="772CDC70">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★15、配套燃烧热实验装置三维实物仿真软件一套；</w:t>
            </w:r>
          </w:p>
          <w:p w14:paraId="7935DD1D">
            <w:pPr>
              <w:pStyle w:val="28"/>
              <w:spacing w:line="240" w:lineRule="auto"/>
              <w:ind w:firstLine="0" w:firstLineChars="0"/>
              <w:rPr>
                <w:rFonts w:ascii="微软雅黑" w:hAnsi="微软雅黑"/>
                <w:color w:val="auto"/>
                <w:kern w:val="0"/>
                <w:szCs w:val="21"/>
                <w:highlight w:val="none"/>
              </w:rPr>
            </w:pPr>
            <w:r>
              <w:rPr>
                <w:rFonts w:hint="eastAsia" w:ascii="微软雅黑" w:hAnsi="微软雅黑"/>
                <w:color w:val="auto"/>
                <w:kern w:val="0"/>
                <w:szCs w:val="21"/>
                <w:highlight w:val="none"/>
              </w:rPr>
              <w:t>★16</w:t>
            </w:r>
            <w:r>
              <w:rPr>
                <w:rFonts w:ascii="微软雅黑" w:hAnsi="微软雅黑"/>
                <w:color w:val="auto"/>
                <w:kern w:val="0"/>
                <w:szCs w:val="21"/>
                <w:highlight w:val="none"/>
              </w:rPr>
              <w:t>、化学实验室安全事故可视化演练虚拟仿真综合实验软件，包括个人防护安全仿真演练、火灾事故处理仿真演练、强酸试剂洒出事故仿真演练、水银泄露事故仿真演练、实验室安全隐患查找于处理仿真演练模块，交互步骤不低于150步,有中英文切换功能，可实现中英文双版操作，选择英文后，所有界面内容均使用英文展现，包括三维场景界面、功能按钮、数据图表、评分系统等全部为英文</w:t>
            </w:r>
            <w:r>
              <w:rPr>
                <w:rFonts w:hint="eastAsia" w:ascii="微软雅黑" w:hAnsi="微软雅黑"/>
                <w:color w:val="auto"/>
                <w:kern w:val="0"/>
                <w:szCs w:val="21"/>
                <w:highlight w:val="none"/>
              </w:rPr>
              <w:t>。</w:t>
            </w:r>
          </w:p>
          <w:p w14:paraId="0F11BA70">
            <w:pPr>
              <w:pStyle w:val="28"/>
              <w:spacing w:line="240" w:lineRule="auto"/>
              <w:ind w:firstLine="0" w:firstLineChars="0"/>
              <w:rPr>
                <w:color w:val="auto"/>
                <w:highlight w:val="none"/>
              </w:rPr>
            </w:pPr>
            <w:r>
              <w:rPr>
                <w:rFonts w:ascii="微软雅黑" w:hAnsi="微软雅黑"/>
                <w:color w:val="auto"/>
                <w:kern w:val="0"/>
                <w:szCs w:val="21"/>
                <w:highlight w:val="none"/>
              </w:rPr>
              <w:t>软件具有实验室喷淋使用、灭火器使用、人工呼吸、安全通道、灭火毯、洗眼器、双眼洗眼器、消防栓、齐气瓶的使用、烘箱的使用、灭菌锅的使用、离心机的使用、通风橱的使用，增加学生紧急情况时的应变能力</w:t>
            </w:r>
            <w:r>
              <w:rPr>
                <w:rFonts w:hint="eastAsia" w:ascii="微软雅黑" w:hAnsi="微软雅黑"/>
                <w:color w:val="auto"/>
                <w:kern w:val="0"/>
                <w:szCs w:val="21"/>
                <w:highlight w:val="none"/>
                <w:lang w:eastAsia="zh-CN"/>
              </w:rPr>
              <w:t>。</w:t>
            </w:r>
          </w:p>
        </w:tc>
        <w:tc>
          <w:tcPr>
            <w:tcW w:w="732" w:type="dxa"/>
            <w:tcBorders>
              <w:tl2br w:val="nil"/>
              <w:tr2bl w:val="nil"/>
            </w:tcBorders>
            <w:noWrap/>
            <w:vAlign w:val="center"/>
          </w:tcPr>
          <w:p w14:paraId="362A1701">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8</w:t>
            </w:r>
          </w:p>
        </w:tc>
        <w:tc>
          <w:tcPr>
            <w:tcW w:w="954" w:type="dxa"/>
            <w:tcBorders>
              <w:tl2br w:val="nil"/>
              <w:tr2bl w:val="nil"/>
            </w:tcBorders>
            <w:noWrap/>
            <w:vAlign w:val="center"/>
          </w:tcPr>
          <w:p w14:paraId="07C163AC">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套</w:t>
            </w:r>
          </w:p>
        </w:tc>
      </w:tr>
      <w:tr w14:paraId="74E1E0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602" w:type="dxa"/>
            <w:tcBorders>
              <w:tl2br w:val="nil"/>
              <w:tr2bl w:val="nil"/>
            </w:tcBorders>
            <w:noWrap/>
            <w:vAlign w:val="center"/>
          </w:tcPr>
          <w:p w14:paraId="69DB4A58">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7</w:t>
            </w:r>
          </w:p>
        </w:tc>
        <w:tc>
          <w:tcPr>
            <w:tcW w:w="2010" w:type="dxa"/>
            <w:tcBorders>
              <w:tl2br w:val="nil"/>
              <w:tr2bl w:val="nil"/>
            </w:tcBorders>
            <w:noWrap/>
            <w:vAlign w:val="center"/>
          </w:tcPr>
          <w:p w14:paraId="1CC00A88">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玻璃恒温水浴</w:t>
            </w:r>
          </w:p>
        </w:tc>
        <w:tc>
          <w:tcPr>
            <w:tcW w:w="10430" w:type="dxa"/>
            <w:tcBorders>
              <w:tl2br w:val="nil"/>
              <w:tr2bl w:val="nil"/>
            </w:tcBorders>
            <w:noWrap/>
            <w:vAlign w:val="center"/>
          </w:tcPr>
          <w:p w14:paraId="0E60C0DA">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1、范    围：室温～100℃；</w:t>
            </w:r>
          </w:p>
          <w:p w14:paraId="30D31C93">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2、分 辨 率：0.1℃；</w:t>
            </w:r>
          </w:p>
          <w:p w14:paraId="2DFC01C7">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3、温度波动：±0.1℃；</w:t>
            </w:r>
          </w:p>
          <w:p w14:paraId="37DD08FC">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★4、液晶触控显示，实时显示设定温度、测量温度、计时/定时、工作状态信息；</w:t>
            </w:r>
          </w:p>
          <w:p w14:paraId="35AE6F48">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5、定时显示范围：0～99s任意设定，有声音提示。</w:t>
            </w:r>
          </w:p>
          <w:p w14:paraId="7FEFFEC9">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★6、玻璃水浴缸尺寸：直径280~320高度310~340mm。</w:t>
            </w:r>
          </w:p>
          <w:p w14:paraId="350E58DC">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★7、配套基本玻璃仪器三维仿真软件，玻璃仪器可360度进行观看。</w:t>
            </w:r>
          </w:p>
        </w:tc>
        <w:tc>
          <w:tcPr>
            <w:tcW w:w="732" w:type="dxa"/>
            <w:tcBorders>
              <w:tl2br w:val="nil"/>
              <w:tr2bl w:val="nil"/>
            </w:tcBorders>
            <w:noWrap/>
            <w:vAlign w:val="center"/>
          </w:tcPr>
          <w:p w14:paraId="0273C2DF">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16</w:t>
            </w:r>
          </w:p>
        </w:tc>
        <w:tc>
          <w:tcPr>
            <w:tcW w:w="954" w:type="dxa"/>
            <w:tcBorders>
              <w:tl2br w:val="nil"/>
              <w:tr2bl w:val="nil"/>
            </w:tcBorders>
            <w:noWrap/>
            <w:vAlign w:val="center"/>
          </w:tcPr>
          <w:p w14:paraId="2E079B69">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台</w:t>
            </w:r>
          </w:p>
        </w:tc>
      </w:tr>
      <w:tr w14:paraId="02E7CC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602" w:type="dxa"/>
            <w:tcBorders>
              <w:tl2br w:val="nil"/>
              <w:tr2bl w:val="nil"/>
            </w:tcBorders>
            <w:noWrap/>
            <w:vAlign w:val="center"/>
          </w:tcPr>
          <w:p w14:paraId="185CC8C3">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8</w:t>
            </w:r>
          </w:p>
        </w:tc>
        <w:tc>
          <w:tcPr>
            <w:tcW w:w="2010" w:type="dxa"/>
            <w:tcBorders>
              <w:tl2br w:val="nil"/>
              <w:tr2bl w:val="nil"/>
            </w:tcBorders>
            <w:noWrap/>
            <w:vAlign w:val="center"/>
          </w:tcPr>
          <w:p w14:paraId="3A8E8E52">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数字电位差综合测试仪</w:t>
            </w:r>
          </w:p>
        </w:tc>
        <w:tc>
          <w:tcPr>
            <w:tcW w:w="10430" w:type="dxa"/>
            <w:tcBorders>
              <w:tl2br w:val="nil"/>
              <w:tr2bl w:val="nil"/>
            </w:tcBorders>
            <w:noWrap/>
            <w:vAlign w:val="center"/>
          </w:tcPr>
          <w:p w14:paraId="09F6C373">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1、显    示：不少于七位数字显示；</w:t>
            </w:r>
          </w:p>
          <w:p w14:paraId="5AB4B638">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2、测量范围：±5V；</w:t>
            </w:r>
          </w:p>
          <w:p w14:paraId="61BF58F6">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3、分 辨 率：1uV；</w:t>
            </w:r>
          </w:p>
          <w:p w14:paraId="04C4AE50">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4、将UJ电位差计、光电检流计、1V标准电池、电源功能结合于一体，无需另配标准电池；</w:t>
            </w:r>
          </w:p>
          <w:p w14:paraId="085FD77B">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5、采用无极波段开关，可任意调节；</w:t>
            </w:r>
          </w:p>
          <w:p w14:paraId="5FDA47CC">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6、可用内标或外标进行标定。</w:t>
            </w:r>
          </w:p>
          <w:p w14:paraId="54014D34">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7、配套数字电位差综合测试仪三维实物仿真软件一套；</w:t>
            </w:r>
          </w:p>
          <w:p w14:paraId="50FB938A">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8、配套教学管理软件一套，教学管理平台可与仿真软件网页端、电脑客户端和移动客户端的数据对接，软件分为学生端、管理员端和教师端，支持实验上传、自带理论试题题库、登录管理、课程管理等功能。理论考试及虚拟仿真步骤的分数可根据后台管理设置。</w:t>
            </w:r>
          </w:p>
        </w:tc>
        <w:tc>
          <w:tcPr>
            <w:tcW w:w="732" w:type="dxa"/>
            <w:tcBorders>
              <w:tl2br w:val="nil"/>
              <w:tr2bl w:val="nil"/>
            </w:tcBorders>
            <w:noWrap/>
            <w:vAlign w:val="center"/>
          </w:tcPr>
          <w:p w14:paraId="5E57F231">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8</w:t>
            </w:r>
          </w:p>
        </w:tc>
        <w:tc>
          <w:tcPr>
            <w:tcW w:w="954" w:type="dxa"/>
            <w:tcBorders>
              <w:tl2br w:val="nil"/>
              <w:tr2bl w:val="nil"/>
            </w:tcBorders>
            <w:noWrap/>
            <w:vAlign w:val="center"/>
          </w:tcPr>
          <w:p w14:paraId="6EF33291">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台</w:t>
            </w:r>
          </w:p>
        </w:tc>
      </w:tr>
      <w:tr w14:paraId="6AE5BF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602" w:type="dxa"/>
            <w:tcBorders>
              <w:tl2br w:val="nil"/>
              <w:tr2bl w:val="nil"/>
            </w:tcBorders>
            <w:noWrap/>
            <w:vAlign w:val="center"/>
          </w:tcPr>
          <w:p w14:paraId="11A3E72F">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9</w:t>
            </w:r>
          </w:p>
        </w:tc>
        <w:tc>
          <w:tcPr>
            <w:tcW w:w="2010" w:type="dxa"/>
            <w:tcBorders>
              <w:tl2br w:val="nil"/>
              <w:tr2bl w:val="nil"/>
            </w:tcBorders>
            <w:noWrap/>
            <w:vAlign w:val="center"/>
          </w:tcPr>
          <w:p w14:paraId="57E8C3DA">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凝固点降低装置</w:t>
            </w:r>
          </w:p>
        </w:tc>
        <w:tc>
          <w:tcPr>
            <w:tcW w:w="10430" w:type="dxa"/>
            <w:tcBorders>
              <w:tl2br w:val="nil"/>
              <w:tr2bl w:val="nil"/>
            </w:tcBorders>
            <w:noWrap/>
            <w:vAlign w:val="center"/>
          </w:tcPr>
          <w:p w14:paraId="17AE6182">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1、本装置一体化设计，冰浴槽采用360°全透明双层玻璃容器，配有LED照明，可观测样品降温、过冷和结晶现象全过程；</w:t>
            </w:r>
          </w:p>
          <w:p w14:paraId="17DF6D81">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2、采用双通道测温设计，冰浴温度、样品温度、定时同屏液晶显示；</w:t>
            </w:r>
          </w:p>
          <w:p w14:paraId="7178A6F5">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3、温度范围：-50～150℃（可扩展范围）；</w:t>
            </w:r>
          </w:p>
          <w:p w14:paraId="3CA9EE94">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4、分 辨 率：0.001℃（样品温度），0.1℃ (冰浴温度）；</w:t>
            </w:r>
          </w:p>
          <w:p w14:paraId="5E327B0E">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5、定时显示范围：0～99s任意设定，声音提示；</w:t>
            </w:r>
          </w:p>
          <w:p w14:paraId="51A7B960">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6、具有读数保持及样品温度采零功能；</w:t>
            </w:r>
          </w:p>
          <w:p w14:paraId="2A7F8A4B">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7、USB接口输出，支持全系windows系统。</w:t>
            </w:r>
          </w:p>
          <w:p w14:paraId="431D2EC2">
            <w:pPr>
              <w:spacing w:after="0" w:line="240" w:lineRule="auto"/>
              <w:ind w:firstLine="0" w:firstLineChars="0"/>
              <w:rPr>
                <w:color w:val="auto"/>
                <w:highlight w:val="none"/>
              </w:rPr>
            </w:pPr>
            <w:r>
              <w:rPr>
                <w:rFonts w:hint="eastAsia" w:ascii="微软雅黑" w:hAnsi="微软雅黑" w:cs="微软雅黑"/>
                <w:color w:val="auto"/>
                <w:kern w:val="0"/>
                <w:szCs w:val="21"/>
                <w:highlight w:val="none"/>
              </w:rPr>
              <w:t>8、配套凝固点实验装置三维实物仿真软件一套 ；</w:t>
            </w:r>
            <w:r>
              <w:rPr>
                <w:color w:val="auto"/>
                <w:highlight w:val="none"/>
              </w:rPr>
              <w:t xml:space="preserve"> </w:t>
            </w:r>
          </w:p>
        </w:tc>
        <w:tc>
          <w:tcPr>
            <w:tcW w:w="732" w:type="dxa"/>
            <w:tcBorders>
              <w:tl2br w:val="nil"/>
              <w:tr2bl w:val="nil"/>
            </w:tcBorders>
            <w:noWrap/>
            <w:vAlign w:val="center"/>
          </w:tcPr>
          <w:p w14:paraId="51979713">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8</w:t>
            </w:r>
          </w:p>
        </w:tc>
        <w:tc>
          <w:tcPr>
            <w:tcW w:w="954" w:type="dxa"/>
            <w:tcBorders>
              <w:tl2br w:val="nil"/>
              <w:tr2bl w:val="nil"/>
            </w:tcBorders>
            <w:noWrap/>
            <w:vAlign w:val="center"/>
          </w:tcPr>
          <w:p w14:paraId="3F8BA27F">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套</w:t>
            </w:r>
          </w:p>
        </w:tc>
      </w:tr>
      <w:tr w14:paraId="66C207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602" w:type="dxa"/>
            <w:tcBorders>
              <w:tl2br w:val="nil"/>
              <w:tr2bl w:val="nil"/>
            </w:tcBorders>
            <w:noWrap/>
            <w:vAlign w:val="center"/>
          </w:tcPr>
          <w:p w14:paraId="0AFEB0C5">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10</w:t>
            </w:r>
          </w:p>
        </w:tc>
        <w:tc>
          <w:tcPr>
            <w:tcW w:w="2010" w:type="dxa"/>
            <w:tcBorders>
              <w:tl2br w:val="nil"/>
              <w:tr2bl w:val="nil"/>
            </w:tcBorders>
            <w:noWrap/>
            <w:vAlign w:val="center"/>
          </w:tcPr>
          <w:p w14:paraId="67D038A0">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紫外可见分光光度计</w:t>
            </w:r>
          </w:p>
        </w:tc>
        <w:tc>
          <w:tcPr>
            <w:tcW w:w="10430" w:type="dxa"/>
            <w:tcBorders>
              <w:tl2br w:val="nil"/>
              <w:tr2bl w:val="nil"/>
            </w:tcBorders>
            <w:noWrap/>
            <w:vAlign w:val="center"/>
          </w:tcPr>
          <w:p w14:paraId="3A1941C5">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 xml:space="preserve"> 波长范围：190-1100 nm</w:t>
            </w:r>
          </w:p>
          <w:p w14:paraId="75FCEEC4">
            <w:pPr>
              <w:pStyle w:val="28"/>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光谱带宽：4nm（2nm可选）</w:t>
            </w:r>
          </w:p>
          <w:p w14:paraId="0360CAFF">
            <w:pPr>
              <w:pStyle w:val="28"/>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3</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 xml:space="preserve"> 波长准确度：±1 nm， </w:t>
            </w:r>
          </w:p>
          <w:p w14:paraId="33583A6E">
            <w:pPr>
              <w:pStyle w:val="28"/>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4</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波长重复性：≤0.5 nm，波长模式：自动</w:t>
            </w:r>
          </w:p>
          <w:p w14:paraId="5AC664BA">
            <w:pPr>
              <w:pStyle w:val="28"/>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5</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光度准确度：±0.5%T, ±0.004Abs（0 ~ 0.5A）；±0.008Abs（0.5 ~ 1A）</w:t>
            </w:r>
          </w:p>
          <w:p w14:paraId="08131A73">
            <w:pPr>
              <w:pStyle w:val="28"/>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6</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光度稳定性：±0.15%T,±0.002Abs（0 ~ 0.5A）；±0.004Abs（0.5 ~ 1A）</w:t>
            </w:r>
          </w:p>
          <w:p w14:paraId="5FEA7050">
            <w:pPr>
              <w:pStyle w:val="28"/>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7</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杂散光：≤0.1T%</w:t>
            </w:r>
          </w:p>
          <w:p w14:paraId="3FE3924A">
            <w:pPr>
              <w:pStyle w:val="28"/>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8</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噪音：≤0.15T%</w:t>
            </w:r>
          </w:p>
          <w:p w14:paraId="187009EF">
            <w:pPr>
              <w:pStyle w:val="28"/>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9</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光度范围：0~200%T,-0.3~3A</w:t>
            </w:r>
          </w:p>
          <w:p w14:paraId="1D39E2A1">
            <w:pPr>
              <w:pStyle w:val="28"/>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10</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光电池：硅光二极管</w:t>
            </w:r>
          </w:p>
          <w:p w14:paraId="50B7F4EF">
            <w:pPr>
              <w:pStyle w:val="28"/>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11</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单色器：全息闪耀光栅C-T单色器，采用24位高精度AD芯片</w:t>
            </w:r>
          </w:p>
          <w:p w14:paraId="3C3C4260">
            <w:pPr>
              <w:pStyle w:val="28"/>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12</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显示屏：≥7英寸高分辨率触摸屏</w:t>
            </w:r>
          </w:p>
          <w:p w14:paraId="6ECB36A3">
            <w:pPr>
              <w:pStyle w:val="28"/>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★13</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仪器支持云存储功能，手机小程序可查看实验数据，提供小程序截图。</w:t>
            </w:r>
          </w:p>
          <w:p w14:paraId="04FBFC49">
            <w:pPr>
              <w:pStyle w:val="28"/>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★15</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仪器具备强大的存储能力，可存储数据2000条，工作曲线96条</w:t>
            </w:r>
          </w:p>
          <w:p w14:paraId="520A33BE">
            <w:pPr>
              <w:pStyle w:val="28"/>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★16</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仪器标配USB接口和WIFI模块、和蓝牙模块。可实现无线蓝牙打印；可选配电脑软件，可快速管理光谱数据,便于数据处理；可以直接通过U盘导出，导出的的数据可以直接被EXCEL和打开和编辑</w:t>
            </w:r>
          </w:p>
          <w:p w14:paraId="0BB80CF7">
            <w:pPr>
              <w:spacing w:after="0" w:line="240" w:lineRule="auto"/>
              <w:ind w:firstLine="0" w:firstLineChars="0"/>
              <w:rPr>
                <w:rFonts w:ascii="微软雅黑" w:hAnsi="微软雅黑"/>
                <w:color w:val="auto"/>
                <w:kern w:val="0"/>
                <w:szCs w:val="21"/>
                <w:highlight w:val="none"/>
              </w:rPr>
            </w:pPr>
            <w:r>
              <w:rPr>
                <w:rFonts w:hint="eastAsia" w:ascii="微软雅黑" w:hAnsi="微软雅黑" w:cs="微软雅黑"/>
                <w:color w:val="auto"/>
                <w:kern w:val="0"/>
                <w:szCs w:val="21"/>
                <w:highlight w:val="none"/>
              </w:rPr>
              <w:t>★17</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并提供分光光度计三维仿真软件一套，分为实验前准备、开始测量好、整理实验仪器三个模块。</w:t>
            </w:r>
          </w:p>
          <w:p w14:paraId="6C6FD4D7">
            <w:pPr>
              <w:pStyle w:val="28"/>
              <w:spacing w:line="240" w:lineRule="atLeast"/>
              <w:ind w:firstLine="0" w:firstLineChars="0"/>
              <w:rPr>
                <w:color w:val="auto"/>
                <w:highlight w:val="none"/>
              </w:rPr>
            </w:pPr>
            <w:r>
              <w:rPr>
                <w:rFonts w:hint="eastAsia" w:ascii="微软雅黑" w:hAnsi="微软雅黑" w:cs="微软雅黑"/>
                <w:color w:val="auto"/>
                <w:kern w:val="0"/>
                <w:szCs w:val="21"/>
                <w:highlight w:val="none"/>
              </w:rPr>
              <w:t>★</w:t>
            </w:r>
            <w:r>
              <w:rPr>
                <w:rFonts w:ascii="微软雅黑" w:hAnsi="微软雅黑" w:cs="微软雅黑"/>
                <w:color w:val="auto"/>
                <w:kern w:val="0"/>
                <w:szCs w:val="21"/>
                <w:highlight w:val="none"/>
              </w:rPr>
              <w:t>1</w:t>
            </w:r>
            <w:r>
              <w:rPr>
                <w:rFonts w:hint="eastAsia" w:ascii="微软雅黑" w:hAnsi="微软雅黑" w:cs="微软雅黑"/>
                <w:color w:val="auto"/>
                <w:kern w:val="0"/>
                <w:szCs w:val="21"/>
                <w:highlight w:val="none"/>
              </w:rPr>
              <w:t>8</w:t>
            </w:r>
            <w:r>
              <w:rPr>
                <w:rFonts w:hint="eastAsia" w:ascii="微软雅黑" w:hAnsi="微软雅黑" w:cs="微软雅黑"/>
                <w:color w:val="auto"/>
                <w:kern w:val="0"/>
                <w:szCs w:val="21"/>
                <w:highlight w:val="none"/>
                <w:lang w:eastAsia="zh-CN"/>
              </w:rPr>
              <w:t>、</w:t>
            </w:r>
            <w:r>
              <w:rPr>
                <w:rFonts w:ascii="微软雅黑" w:hAnsi="微软雅黑" w:cs="微软雅黑"/>
                <w:color w:val="auto"/>
                <w:kern w:val="0"/>
                <w:szCs w:val="21"/>
                <w:highlight w:val="none"/>
              </w:rPr>
              <w:t>配套实验室基础操作三维虚拟仿真软件，包括玻璃仪器的洗涤（包括水清洗、洗涤剂清洗和铬酸洗液清洗三种清洗方法，人物三维动画形象表现清洗过程）、称量、溶解、化学试剂的取用、加热、试管加热、容量瓶、量筒或者量杯、过滤、奈氏比色管。</w:t>
            </w:r>
          </w:p>
        </w:tc>
        <w:tc>
          <w:tcPr>
            <w:tcW w:w="732" w:type="dxa"/>
            <w:tcBorders>
              <w:tl2br w:val="nil"/>
              <w:tr2bl w:val="nil"/>
            </w:tcBorders>
            <w:noWrap/>
            <w:vAlign w:val="center"/>
          </w:tcPr>
          <w:p w14:paraId="19452DA0">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7</w:t>
            </w:r>
          </w:p>
        </w:tc>
        <w:tc>
          <w:tcPr>
            <w:tcW w:w="954" w:type="dxa"/>
            <w:tcBorders>
              <w:tl2br w:val="nil"/>
              <w:tr2bl w:val="nil"/>
            </w:tcBorders>
            <w:noWrap/>
            <w:vAlign w:val="center"/>
          </w:tcPr>
          <w:p w14:paraId="0DF40DCC">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台</w:t>
            </w:r>
          </w:p>
        </w:tc>
      </w:tr>
      <w:tr w14:paraId="5ABBAB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6" w:hRule="atLeast"/>
          <w:jc w:val="center"/>
        </w:trPr>
        <w:tc>
          <w:tcPr>
            <w:tcW w:w="602" w:type="dxa"/>
            <w:tcBorders>
              <w:tl2br w:val="nil"/>
              <w:tr2bl w:val="nil"/>
            </w:tcBorders>
            <w:noWrap/>
            <w:vAlign w:val="center"/>
          </w:tcPr>
          <w:p w14:paraId="3C9B234B">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11</w:t>
            </w:r>
          </w:p>
        </w:tc>
        <w:tc>
          <w:tcPr>
            <w:tcW w:w="2010" w:type="dxa"/>
            <w:tcBorders>
              <w:tl2br w:val="nil"/>
              <w:tr2bl w:val="nil"/>
            </w:tcBorders>
            <w:noWrap/>
            <w:vAlign w:val="center"/>
          </w:tcPr>
          <w:p w14:paraId="26A5C013">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DP-AF精密数字（真空）压力计</w:t>
            </w:r>
          </w:p>
        </w:tc>
        <w:tc>
          <w:tcPr>
            <w:tcW w:w="10430" w:type="dxa"/>
            <w:tcBorders>
              <w:tl2br w:val="nil"/>
              <w:tr2bl w:val="nil"/>
            </w:tcBorders>
            <w:noWrap/>
            <w:vAlign w:val="center"/>
          </w:tcPr>
          <w:p w14:paraId="3FC66BD9">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1、测量范围：0～-101.3kPa；</w:t>
            </w:r>
          </w:p>
          <w:p w14:paraId="3A244098">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2、分 辨 率：0.01kPa，4 1/2数字显示；</w:t>
            </w:r>
          </w:p>
          <w:p w14:paraId="1BCEDC1D">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★3、配套饱和蒸气压实验三维实物仿真软件一套；配套氨基甲酸铵分解反应测定装置三维实物仿真软件一套，仿真软件具有数据模型，可模拟真实实验变量，数据可通过 Excel 格式进行导出。</w:t>
            </w:r>
          </w:p>
        </w:tc>
        <w:tc>
          <w:tcPr>
            <w:tcW w:w="732" w:type="dxa"/>
            <w:tcBorders>
              <w:tl2br w:val="nil"/>
              <w:tr2bl w:val="nil"/>
            </w:tcBorders>
            <w:noWrap/>
            <w:vAlign w:val="center"/>
          </w:tcPr>
          <w:p w14:paraId="69DF16A8">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8</w:t>
            </w:r>
          </w:p>
        </w:tc>
        <w:tc>
          <w:tcPr>
            <w:tcW w:w="954" w:type="dxa"/>
            <w:tcBorders>
              <w:tl2br w:val="nil"/>
              <w:tr2bl w:val="nil"/>
            </w:tcBorders>
            <w:noWrap/>
            <w:vAlign w:val="center"/>
          </w:tcPr>
          <w:p w14:paraId="2E7507DE">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台</w:t>
            </w:r>
          </w:p>
        </w:tc>
      </w:tr>
      <w:tr w14:paraId="551FD9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602" w:type="dxa"/>
            <w:tcBorders>
              <w:tl2br w:val="nil"/>
              <w:tr2bl w:val="nil"/>
            </w:tcBorders>
            <w:noWrap/>
            <w:vAlign w:val="center"/>
          </w:tcPr>
          <w:p w14:paraId="6CAF8E96">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12</w:t>
            </w:r>
          </w:p>
        </w:tc>
        <w:tc>
          <w:tcPr>
            <w:tcW w:w="2010" w:type="dxa"/>
            <w:tcBorders>
              <w:tl2br w:val="nil"/>
              <w:tr2bl w:val="nil"/>
            </w:tcBorders>
            <w:noWrap/>
            <w:vAlign w:val="center"/>
          </w:tcPr>
          <w:p w14:paraId="25FE1411">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精密数字（微差压）压力计</w:t>
            </w:r>
          </w:p>
        </w:tc>
        <w:tc>
          <w:tcPr>
            <w:tcW w:w="10430" w:type="dxa"/>
            <w:tcBorders>
              <w:tl2br w:val="nil"/>
              <w:tr2bl w:val="nil"/>
            </w:tcBorders>
            <w:noWrap/>
            <w:vAlign w:val="center"/>
          </w:tcPr>
          <w:p w14:paraId="1F54A885">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1、测量范围：-10kPa～+10kPa；</w:t>
            </w:r>
          </w:p>
          <w:p w14:paraId="0DD1AFB7">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2、分 辨 率：</w:t>
            </w:r>
            <w:r>
              <w:rPr>
                <w:rFonts w:ascii="Arial" w:hAnsi="Arial" w:cs="Arial"/>
                <w:color w:val="auto"/>
                <w:kern w:val="0"/>
                <w:szCs w:val="21"/>
                <w:highlight w:val="none"/>
              </w:rPr>
              <w:t>≤</w:t>
            </w:r>
            <w:r>
              <w:rPr>
                <w:rFonts w:hint="eastAsia" w:ascii="微软雅黑" w:hAnsi="微软雅黑" w:cs="微软雅黑"/>
                <w:color w:val="auto"/>
                <w:kern w:val="0"/>
                <w:szCs w:val="21"/>
                <w:highlight w:val="none"/>
              </w:rPr>
              <w:t>1Pa，4 1/2显示；</w:t>
            </w:r>
          </w:p>
          <w:p w14:paraId="404EB834">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3、压力显示单位一键切换：kPa/mmH</w:t>
            </w:r>
            <w:r>
              <w:rPr>
                <w:rFonts w:hint="eastAsia" w:ascii="微软雅黑" w:hAnsi="微软雅黑" w:cs="微软雅黑"/>
                <w:color w:val="auto"/>
                <w:kern w:val="0"/>
                <w:szCs w:val="21"/>
                <w:highlight w:val="none"/>
                <w:vertAlign w:val="subscript"/>
              </w:rPr>
              <w:t>2</w:t>
            </w:r>
            <w:r>
              <w:rPr>
                <w:rFonts w:hint="eastAsia" w:ascii="微软雅黑" w:hAnsi="微软雅黑" w:cs="微软雅黑"/>
                <w:color w:val="auto"/>
                <w:kern w:val="0"/>
                <w:szCs w:val="21"/>
                <w:highlight w:val="none"/>
              </w:rPr>
              <w:t>O；</w:t>
            </w:r>
          </w:p>
          <w:p w14:paraId="26FD69A0">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4、带匹配的张力玻璃</w:t>
            </w:r>
          </w:p>
          <w:p w14:paraId="62C9E495">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★5、配套表面张力实验装置三维实物仿真软件一套，软件采用3D虚拟仿真技术，包含：实验原理、实验仪器简介、实物仿真操作、实验虚拟考核、数据分析处理；</w:t>
            </w:r>
          </w:p>
        </w:tc>
        <w:tc>
          <w:tcPr>
            <w:tcW w:w="732" w:type="dxa"/>
            <w:tcBorders>
              <w:tl2br w:val="nil"/>
              <w:tr2bl w:val="nil"/>
            </w:tcBorders>
            <w:noWrap/>
            <w:vAlign w:val="center"/>
          </w:tcPr>
          <w:p w14:paraId="76531093">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8</w:t>
            </w:r>
          </w:p>
        </w:tc>
        <w:tc>
          <w:tcPr>
            <w:tcW w:w="954" w:type="dxa"/>
            <w:tcBorders>
              <w:tl2br w:val="nil"/>
              <w:tr2bl w:val="nil"/>
            </w:tcBorders>
            <w:noWrap/>
            <w:vAlign w:val="center"/>
          </w:tcPr>
          <w:p w14:paraId="6BAFDF8B">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台</w:t>
            </w:r>
          </w:p>
        </w:tc>
      </w:tr>
      <w:tr w14:paraId="178425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602" w:type="dxa"/>
            <w:tcBorders>
              <w:tl2br w:val="nil"/>
              <w:tr2bl w:val="nil"/>
            </w:tcBorders>
            <w:noWrap/>
            <w:vAlign w:val="center"/>
          </w:tcPr>
          <w:p w14:paraId="41E1FCEE">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13</w:t>
            </w:r>
          </w:p>
        </w:tc>
        <w:tc>
          <w:tcPr>
            <w:tcW w:w="2010" w:type="dxa"/>
            <w:tcBorders>
              <w:tl2br w:val="nil"/>
              <w:tr2bl w:val="nil"/>
            </w:tcBorders>
            <w:noWrap/>
            <w:vAlign w:val="center"/>
          </w:tcPr>
          <w:p w14:paraId="15B108E3">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数控恒温磁力搅拌电热套</w:t>
            </w:r>
          </w:p>
        </w:tc>
        <w:tc>
          <w:tcPr>
            <w:tcW w:w="10430" w:type="dxa"/>
            <w:tcBorders>
              <w:tl2br w:val="nil"/>
              <w:tr2bl w:val="nil"/>
            </w:tcBorders>
            <w:noWrap/>
            <w:vAlign w:val="center"/>
          </w:tcPr>
          <w:p w14:paraId="43AE9873">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304全不锈钢外壳，镍烙丝电热套，分层式设计</w:t>
            </w:r>
          </w:p>
          <w:p w14:paraId="1C1B3F28">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加热功率：≥300W，电机功率≥60W</w:t>
            </w:r>
          </w:p>
          <w:p w14:paraId="5C52B107">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3</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加热温度：室温-350℃</w:t>
            </w:r>
          </w:p>
          <w:p w14:paraId="6B5E4F07">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4</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调速范围：0-2400转/分</w:t>
            </w:r>
          </w:p>
          <w:p w14:paraId="1C0AB88E">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5</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PID双数显控温仪表，带PT100温度传感器</w:t>
            </w:r>
          </w:p>
          <w:p w14:paraId="6256E08C">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6</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容量：250mL</w:t>
            </w:r>
          </w:p>
          <w:p w14:paraId="39F14735">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7</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直流无刷电机，强磁搅拌</w:t>
            </w:r>
          </w:p>
          <w:p w14:paraId="784588C1">
            <w:pPr>
              <w:pStyle w:val="28"/>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★8</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搅拌和加热可单独控制</w:t>
            </w:r>
          </w:p>
        </w:tc>
        <w:tc>
          <w:tcPr>
            <w:tcW w:w="732" w:type="dxa"/>
            <w:tcBorders>
              <w:tl2br w:val="nil"/>
              <w:tr2bl w:val="nil"/>
            </w:tcBorders>
            <w:noWrap/>
            <w:vAlign w:val="center"/>
          </w:tcPr>
          <w:p w14:paraId="1E9C3F6A">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35</w:t>
            </w:r>
          </w:p>
        </w:tc>
        <w:tc>
          <w:tcPr>
            <w:tcW w:w="954" w:type="dxa"/>
            <w:tcBorders>
              <w:tl2br w:val="nil"/>
              <w:tr2bl w:val="nil"/>
            </w:tcBorders>
            <w:noWrap/>
            <w:vAlign w:val="center"/>
          </w:tcPr>
          <w:p w14:paraId="6B397D2D">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台</w:t>
            </w:r>
          </w:p>
        </w:tc>
      </w:tr>
      <w:tr w14:paraId="24EBB8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602" w:type="dxa"/>
            <w:tcBorders>
              <w:tl2br w:val="nil"/>
              <w:tr2bl w:val="nil"/>
            </w:tcBorders>
            <w:noWrap/>
            <w:vAlign w:val="center"/>
          </w:tcPr>
          <w:p w14:paraId="43B1C0C3">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14</w:t>
            </w:r>
          </w:p>
        </w:tc>
        <w:tc>
          <w:tcPr>
            <w:tcW w:w="2010" w:type="dxa"/>
            <w:tcBorders>
              <w:tl2br w:val="nil"/>
              <w:tr2bl w:val="nil"/>
            </w:tcBorders>
            <w:noWrap/>
            <w:vAlign w:val="center"/>
          </w:tcPr>
          <w:p w14:paraId="153CC39F">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电导率仪</w:t>
            </w:r>
          </w:p>
        </w:tc>
        <w:tc>
          <w:tcPr>
            <w:tcW w:w="10430" w:type="dxa"/>
            <w:tcBorders>
              <w:tl2br w:val="nil"/>
              <w:tr2bl w:val="nil"/>
            </w:tcBorders>
            <w:noWrap/>
            <w:vAlign w:val="center"/>
          </w:tcPr>
          <w:p w14:paraId="572968E0">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1、测量范围：0～2.4×10</w:t>
            </w:r>
            <w:r>
              <w:rPr>
                <w:rFonts w:hint="eastAsia" w:ascii="微软雅黑" w:hAnsi="微软雅黑" w:cs="微软雅黑"/>
                <w:color w:val="auto"/>
                <w:kern w:val="0"/>
                <w:szCs w:val="21"/>
                <w:highlight w:val="none"/>
                <w:vertAlign w:val="superscript"/>
              </w:rPr>
              <w:t>5</w:t>
            </w:r>
            <w:r>
              <w:rPr>
                <w:rFonts w:hint="eastAsia" w:ascii="微软雅黑" w:hAnsi="微软雅黑" w:cs="微软雅黑"/>
                <w:color w:val="auto"/>
                <w:kern w:val="0"/>
                <w:szCs w:val="21"/>
                <w:highlight w:val="none"/>
              </w:rPr>
              <w:t>us/cm；</w:t>
            </w:r>
          </w:p>
          <w:p w14:paraId="6AA94977">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2、基本误差：≤1.2%；</w:t>
            </w:r>
          </w:p>
          <w:p w14:paraId="7B74503D">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3、温度补偿范围：（10～40）℃（可扩展至99℃）；</w:t>
            </w:r>
          </w:p>
          <w:p w14:paraId="38373796">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4、模拟信号输出：0～10mV（DC）；</w:t>
            </w:r>
          </w:p>
          <w:p w14:paraId="395C400C">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5、消耗功率：20W；</w:t>
            </w:r>
          </w:p>
          <w:p w14:paraId="2311DBEF">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6、自动/手动温度补偿功能。</w:t>
            </w:r>
          </w:p>
          <w:p w14:paraId="7F2F35EA">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7、带匹配叉形电导池及其支架</w:t>
            </w:r>
          </w:p>
          <w:p w14:paraId="513446E5">
            <w:pPr>
              <w:pStyle w:val="28"/>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★8、配套实验室化学仪器操作三维虚拟仿真系列软件包含电导率仪</w:t>
            </w:r>
            <w:r>
              <w:rPr>
                <w:rFonts w:hint="eastAsia" w:ascii="微软雅黑" w:hAnsi="微软雅黑" w:cs="微软雅黑"/>
                <w:color w:val="auto"/>
                <w:kern w:val="0"/>
                <w:szCs w:val="21"/>
                <w:highlight w:val="none"/>
                <w:lang w:val="en-US" w:eastAsia="zh-CN"/>
              </w:rPr>
              <w:t xml:space="preserve"> </w:t>
            </w:r>
            <w:r>
              <w:rPr>
                <w:rFonts w:hint="eastAsia" w:ascii="微软雅黑" w:hAnsi="微软雅黑" w:cs="微软雅黑"/>
                <w:color w:val="auto"/>
                <w:kern w:val="0"/>
                <w:szCs w:val="21"/>
                <w:highlight w:val="none"/>
              </w:rPr>
              <w:t>、超级恒温水浴、玻璃恒温水浴、烘箱、通风厨</w:t>
            </w:r>
            <w:r>
              <w:rPr>
                <w:rFonts w:hint="eastAsia" w:ascii="微软雅黑" w:hAnsi="微软雅黑" w:cs="微软雅黑"/>
                <w:color w:val="auto"/>
                <w:kern w:val="0"/>
                <w:szCs w:val="21"/>
                <w:highlight w:val="none"/>
                <w:lang w:val="en-US" w:eastAsia="zh-CN"/>
              </w:rPr>
              <w:t xml:space="preserve"> </w:t>
            </w:r>
            <w:r>
              <w:rPr>
                <w:rFonts w:hint="eastAsia" w:ascii="微软雅黑" w:hAnsi="微软雅黑" w:cs="微软雅黑"/>
                <w:color w:val="auto"/>
                <w:kern w:val="0"/>
                <w:szCs w:val="21"/>
                <w:highlight w:val="none"/>
              </w:rPr>
              <w:t>、离心机</w:t>
            </w:r>
            <w:r>
              <w:rPr>
                <w:rFonts w:hint="eastAsia" w:ascii="微软雅黑" w:hAnsi="微软雅黑" w:cs="微软雅黑"/>
                <w:color w:val="auto"/>
                <w:kern w:val="0"/>
                <w:szCs w:val="21"/>
                <w:highlight w:val="none"/>
                <w:lang w:val="en-US" w:eastAsia="zh-CN"/>
              </w:rPr>
              <w:t xml:space="preserve"> </w:t>
            </w:r>
            <w:r>
              <w:rPr>
                <w:rFonts w:hint="eastAsia" w:ascii="微软雅黑" w:hAnsi="微软雅黑" w:cs="微软雅黑"/>
                <w:color w:val="auto"/>
                <w:kern w:val="0"/>
                <w:szCs w:val="21"/>
                <w:highlight w:val="none"/>
              </w:rPr>
              <w:t>、分光光度计</w:t>
            </w:r>
            <w:r>
              <w:rPr>
                <w:rFonts w:hint="eastAsia" w:ascii="微软雅黑" w:hAnsi="微软雅黑" w:cs="微软雅黑"/>
                <w:color w:val="auto"/>
                <w:kern w:val="0"/>
                <w:szCs w:val="21"/>
                <w:highlight w:val="none"/>
                <w:lang w:val="en-US" w:eastAsia="zh-CN"/>
              </w:rPr>
              <w:t xml:space="preserve"> </w:t>
            </w:r>
            <w:r>
              <w:rPr>
                <w:rFonts w:hint="eastAsia" w:ascii="微软雅黑" w:hAnsi="微软雅黑" w:cs="微软雅黑"/>
                <w:color w:val="auto"/>
                <w:kern w:val="0"/>
                <w:szCs w:val="21"/>
                <w:highlight w:val="none"/>
              </w:rPr>
              <w:t>、离子计</w:t>
            </w:r>
            <w:r>
              <w:rPr>
                <w:rFonts w:hint="eastAsia" w:ascii="微软雅黑" w:hAnsi="微软雅黑" w:cs="微软雅黑"/>
                <w:color w:val="auto"/>
                <w:kern w:val="0"/>
                <w:szCs w:val="21"/>
                <w:highlight w:val="none"/>
                <w:lang w:val="en-US" w:eastAsia="zh-CN"/>
              </w:rPr>
              <w:t xml:space="preserve"> </w:t>
            </w:r>
            <w:r>
              <w:rPr>
                <w:rFonts w:hint="eastAsia" w:ascii="微软雅黑" w:hAnsi="微软雅黑" w:cs="微软雅黑"/>
                <w:color w:val="auto"/>
                <w:kern w:val="0"/>
                <w:szCs w:val="21"/>
                <w:highlight w:val="none"/>
              </w:rPr>
              <w:t>、阿贝折光仪</w:t>
            </w:r>
            <w:r>
              <w:rPr>
                <w:rFonts w:hint="eastAsia" w:ascii="微软雅黑" w:hAnsi="微软雅黑" w:cs="微软雅黑"/>
                <w:color w:val="auto"/>
                <w:kern w:val="0"/>
                <w:szCs w:val="21"/>
                <w:highlight w:val="none"/>
                <w:lang w:val="en-US" w:eastAsia="zh-CN"/>
              </w:rPr>
              <w:t xml:space="preserve"> </w:t>
            </w:r>
            <w:r>
              <w:rPr>
                <w:rFonts w:hint="eastAsia" w:ascii="微软雅黑" w:hAnsi="微软雅黑" w:cs="微软雅黑"/>
                <w:color w:val="auto"/>
                <w:kern w:val="0"/>
                <w:szCs w:val="21"/>
                <w:highlight w:val="none"/>
              </w:rPr>
              <w:t>、烘箱</w:t>
            </w:r>
            <w:r>
              <w:rPr>
                <w:rFonts w:hint="eastAsia" w:ascii="微软雅黑" w:hAnsi="微软雅黑" w:cs="微软雅黑"/>
                <w:color w:val="auto"/>
                <w:kern w:val="0"/>
                <w:szCs w:val="21"/>
                <w:highlight w:val="none"/>
                <w:lang w:val="en-US" w:eastAsia="zh-CN"/>
              </w:rPr>
              <w:t xml:space="preserve"> </w:t>
            </w:r>
            <w:r>
              <w:rPr>
                <w:rFonts w:hint="eastAsia" w:ascii="微软雅黑" w:hAnsi="微软雅黑" w:cs="微软雅黑"/>
                <w:color w:val="auto"/>
                <w:kern w:val="0"/>
                <w:szCs w:val="21"/>
                <w:highlight w:val="none"/>
              </w:rPr>
              <w:t>、PH计</w:t>
            </w:r>
            <w:r>
              <w:rPr>
                <w:rFonts w:hint="eastAsia" w:ascii="微软雅黑" w:hAnsi="微软雅黑" w:cs="微软雅黑"/>
                <w:color w:val="auto"/>
                <w:kern w:val="0"/>
                <w:szCs w:val="21"/>
                <w:highlight w:val="none"/>
                <w:lang w:val="en-US" w:eastAsia="zh-CN"/>
              </w:rPr>
              <w:t xml:space="preserve"> </w:t>
            </w:r>
            <w:r>
              <w:rPr>
                <w:rFonts w:hint="eastAsia" w:ascii="微软雅黑" w:hAnsi="微软雅黑" w:cs="微软雅黑"/>
                <w:color w:val="auto"/>
                <w:kern w:val="0"/>
                <w:szCs w:val="21"/>
                <w:highlight w:val="none"/>
              </w:rPr>
              <w:t>、旋光仪，包括配制溶液、仪器零点校正和反映过程的旋光度测定三个部分，仿真</w:t>
            </w:r>
            <w:r>
              <w:rPr>
                <w:rFonts w:hint="eastAsia" w:ascii="微软雅黑" w:hAnsi="微软雅黑" w:cs="微软雅黑"/>
                <w:color w:val="auto"/>
                <w:kern w:val="0"/>
                <w:szCs w:val="21"/>
                <w:highlight w:val="none"/>
                <w:lang w:eastAsia="zh-CN"/>
              </w:rPr>
              <w:t>功能须完整</w:t>
            </w:r>
            <w:r>
              <w:rPr>
                <w:rFonts w:hint="eastAsia" w:ascii="微软雅黑" w:hAnsi="微软雅黑" w:cs="微软雅黑"/>
                <w:color w:val="auto"/>
                <w:kern w:val="0"/>
                <w:szCs w:val="21"/>
                <w:highlight w:val="none"/>
              </w:rPr>
              <w:t>。</w:t>
            </w:r>
          </w:p>
        </w:tc>
        <w:tc>
          <w:tcPr>
            <w:tcW w:w="732" w:type="dxa"/>
            <w:tcBorders>
              <w:tl2br w:val="nil"/>
              <w:tr2bl w:val="nil"/>
            </w:tcBorders>
            <w:noWrap/>
            <w:vAlign w:val="center"/>
          </w:tcPr>
          <w:p w14:paraId="5D90A6D1">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8</w:t>
            </w:r>
          </w:p>
        </w:tc>
        <w:tc>
          <w:tcPr>
            <w:tcW w:w="954" w:type="dxa"/>
            <w:tcBorders>
              <w:tl2br w:val="nil"/>
              <w:tr2bl w:val="nil"/>
            </w:tcBorders>
            <w:noWrap/>
            <w:vAlign w:val="center"/>
          </w:tcPr>
          <w:p w14:paraId="115C81C9">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台</w:t>
            </w:r>
          </w:p>
        </w:tc>
      </w:tr>
      <w:tr w14:paraId="2975F3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602" w:type="dxa"/>
            <w:tcBorders>
              <w:tl2br w:val="nil"/>
              <w:tr2bl w:val="nil"/>
            </w:tcBorders>
            <w:noWrap/>
            <w:vAlign w:val="center"/>
          </w:tcPr>
          <w:p w14:paraId="02001E12">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15</w:t>
            </w:r>
          </w:p>
        </w:tc>
        <w:tc>
          <w:tcPr>
            <w:tcW w:w="2010" w:type="dxa"/>
            <w:tcBorders>
              <w:tl2br w:val="nil"/>
              <w:tr2bl w:val="nil"/>
            </w:tcBorders>
            <w:noWrap/>
            <w:vAlign w:val="center"/>
          </w:tcPr>
          <w:p w14:paraId="598E421F">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电子天平</w:t>
            </w:r>
          </w:p>
        </w:tc>
        <w:tc>
          <w:tcPr>
            <w:tcW w:w="10430" w:type="dxa"/>
            <w:tcBorders>
              <w:tl2br w:val="nil"/>
              <w:tr2bl w:val="nil"/>
            </w:tcBorders>
            <w:noWrap/>
            <w:vAlign w:val="center"/>
          </w:tcPr>
          <w:p w14:paraId="418B9833">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称量范围：0~2000 g</w:t>
            </w:r>
          </w:p>
          <w:p w14:paraId="235AAD74">
            <w:pPr>
              <w:pStyle w:val="28"/>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精度：0.01 g</w:t>
            </w:r>
          </w:p>
          <w:p w14:paraId="68BCF535">
            <w:pPr>
              <w:pStyle w:val="28"/>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3</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线性误差：≤ ±0.02 g</w:t>
            </w:r>
          </w:p>
          <w:p w14:paraId="3417E9B1">
            <w:pPr>
              <w:pStyle w:val="28"/>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4</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重复性误差：≤ ±0.03 g，有独特的机械构造，确保天平稳定性和天平的抗干扰性</w:t>
            </w:r>
          </w:p>
          <w:p w14:paraId="146CF34F">
            <w:pPr>
              <w:pStyle w:val="28"/>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5</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稳定时间：5～8 s</w:t>
            </w:r>
          </w:p>
          <w:p w14:paraId="32BEE688">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6</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具备多种计量单位转换，记数功能及动物称重功能。</w:t>
            </w:r>
          </w:p>
          <w:p w14:paraId="609EB829">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7</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秤盘尺寸：Φ130mm</w:t>
            </w:r>
          </w:p>
        </w:tc>
        <w:tc>
          <w:tcPr>
            <w:tcW w:w="732" w:type="dxa"/>
            <w:tcBorders>
              <w:tl2br w:val="nil"/>
              <w:tr2bl w:val="nil"/>
            </w:tcBorders>
            <w:noWrap/>
            <w:vAlign w:val="center"/>
          </w:tcPr>
          <w:p w14:paraId="440BE50C">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26</w:t>
            </w:r>
          </w:p>
        </w:tc>
        <w:tc>
          <w:tcPr>
            <w:tcW w:w="954" w:type="dxa"/>
            <w:tcBorders>
              <w:tl2br w:val="nil"/>
              <w:tr2bl w:val="nil"/>
            </w:tcBorders>
            <w:noWrap/>
            <w:vAlign w:val="center"/>
          </w:tcPr>
          <w:p w14:paraId="175EC345">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台</w:t>
            </w:r>
          </w:p>
        </w:tc>
      </w:tr>
      <w:tr w14:paraId="383468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602" w:type="dxa"/>
            <w:tcBorders>
              <w:tl2br w:val="nil"/>
              <w:tr2bl w:val="nil"/>
            </w:tcBorders>
            <w:noWrap/>
            <w:vAlign w:val="center"/>
          </w:tcPr>
          <w:p w14:paraId="2D0F2400">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16</w:t>
            </w:r>
          </w:p>
        </w:tc>
        <w:tc>
          <w:tcPr>
            <w:tcW w:w="2010" w:type="dxa"/>
            <w:tcBorders>
              <w:tl2br w:val="nil"/>
              <w:tr2bl w:val="nil"/>
            </w:tcBorders>
            <w:noWrap/>
            <w:vAlign w:val="center"/>
          </w:tcPr>
          <w:p w14:paraId="38E4F1A9">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超声清洗机</w:t>
            </w:r>
          </w:p>
        </w:tc>
        <w:tc>
          <w:tcPr>
            <w:tcW w:w="10430" w:type="dxa"/>
            <w:tcBorders>
              <w:tl2br w:val="nil"/>
              <w:tr2bl w:val="nil"/>
            </w:tcBorders>
            <w:noWrap/>
            <w:vAlign w:val="center"/>
          </w:tcPr>
          <w:p w14:paraId="4217BC2F">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 xml:space="preserve"> 超声功率≥350 W,调节精度≤3.5W</w:t>
            </w:r>
          </w:p>
          <w:p w14:paraId="239B1E1C">
            <w:pPr>
              <w:pStyle w:val="28"/>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槽内容积＞30 L</w:t>
            </w:r>
          </w:p>
          <w:p w14:paraId="10DED325">
            <w:pPr>
              <w:pStyle w:val="28"/>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★3</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压电变频能量转换器：CTV33，PZT 锆钛酸铅压电陶瓷，数量不小于5套</w:t>
            </w:r>
          </w:p>
          <w:p w14:paraId="4F56E40B">
            <w:pPr>
              <w:pStyle w:val="28"/>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4</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温度控制：0°C-300°C</w:t>
            </w:r>
          </w:p>
          <w:p w14:paraId="53775D46">
            <w:pPr>
              <w:pStyle w:val="28"/>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5</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外壳、内槽材质：厚度不低于1.2 mm的304不锈钢</w:t>
            </w:r>
          </w:p>
          <w:p w14:paraId="25423A1F">
            <w:pPr>
              <w:pStyle w:val="28"/>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6</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超声波换能器数量≥16套</w:t>
            </w:r>
          </w:p>
          <w:p w14:paraId="78BC7C1E">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★7</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配有超声与脱气转换功能</w:t>
            </w:r>
          </w:p>
        </w:tc>
        <w:tc>
          <w:tcPr>
            <w:tcW w:w="732" w:type="dxa"/>
            <w:tcBorders>
              <w:tl2br w:val="nil"/>
              <w:tr2bl w:val="nil"/>
            </w:tcBorders>
            <w:noWrap/>
            <w:vAlign w:val="center"/>
          </w:tcPr>
          <w:p w14:paraId="71F28853">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3</w:t>
            </w:r>
          </w:p>
        </w:tc>
        <w:tc>
          <w:tcPr>
            <w:tcW w:w="954" w:type="dxa"/>
            <w:tcBorders>
              <w:tl2br w:val="nil"/>
              <w:tr2bl w:val="nil"/>
            </w:tcBorders>
            <w:noWrap/>
            <w:vAlign w:val="center"/>
          </w:tcPr>
          <w:p w14:paraId="0064DB0E">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台</w:t>
            </w:r>
          </w:p>
        </w:tc>
      </w:tr>
      <w:tr w14:paraId="5FD84B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602" w:type="dxa"/>
            <w:tcBorders>
              <w:tl2br w:val="nil"/>
              <w:tr2bl w:val="nil"/>
            </w:tcBorders>
            <w:noWrap/>
            <w:vAlign w:val="center"/>
          </w:tcPr>
          <w:p w14:paraId="4D8C5F42">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17</w:t>
            </w:r>
          </w:p>
        </w:tc>
        <w:tc>
          <w:tcPr>
            <w:tcW w:w="2010" w:type="dxa"/>
            <w:tcBorders>
              <w:tl2br w:val="nil"/>
              <w:tr2bl w:val="nil"/>
            </w:tcBorders>
            <w:noWrap/>
            <w:vAlign w:val="center"/>
          </w:tcPr>
          <w:p w14:paraId="1D2F4CF5">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电化学工作站</w:t>
            </w:r>
          </w:p>
        </w:tc>
        <w:tc>
          <w:tcPr>
            <w:tcW w:w="10430" w:type="dxa"/>
            <w:tcBorders>
              <w:tl2br w:val="nil"/>
              <w:tr2bl w:val="nil"/>
            </w:tcBorders>
            <w:noWrap/>
            <w:vAlign w:val="center"/>
          </w:tcPr>
          <w:p w14:paraId="3AA80EA6">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CV和LSV扫描速度：0.000001V/s至10,000V/s</w:t>
            </w:r>
          </w:p>
          <w:p w14:paraId="5C46C042">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扫描时的电位增量：0.1mV（当扫速为1,000V/s时）</w:t>
            </w:r>
          </w:p>
          <w:p w14:paraId="214A8888">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3</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CA和CC的脉冲宽度：0.0001至1000sec</w:t>
            </w:r>
          </w:p>
          <w:p w14:paraId="43649A1B">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4</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CA和CC的最小采样间隔：1ms</w:t>
            </w:r>
          </w:p>
          <w:p w14:paraId="0578C957">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5</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CC模拟积分器</w:t>
            </w:r>
          </w:p>
          <w:p w14:paraId="05D0C5AF">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6</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DPV和NPV的脉冲宽度：0.001至10sec</w:t>
            </w:r>
          </w:p>
          <w:p w14:paraId="353C6B18">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7</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SWV频率：1至100kHz</w:t>
            </w:r>
          </w:p>
          <w:p w14:paraId="69E54B1D">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8</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i-t的最小采样间隔：1ms</w:t>
            </w:r>
          </w:p>
          <w:p w14:paraId="1C7F77BF">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9</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ACV频率范围：0.1至10kHz</w:t>
            </w:r>
          </w:p>
          <w:p w14:paraId="6121968D">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10</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SHACV频率范围：0.1至5kHz</w:t>
            </w:r>
          </w:p>
          <w:p w14:paraId="609999F4">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11</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FTACV频率范围：0.1至50Hz，可同时获取基波，二次谐波，三次谐波，四次谐波，五次谐波，六次谐波的ACV数据</w:t>
            </w:r>
          </w:p>
          <w:p w14:paraId="7FB413B5">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12</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交流阻抗：0.00001至1MHz</w:t>
            </w:r>
          </w:p>
          <w:p w14:paraId="3A650070">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13</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交流阻抗波形幅度：0.00001V至0.7V均方根值</w:t>
            </w:r>
          </w:p>
          <w:p w14:paraId="4FCEA1ED">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有傅里叶变换交流伏安法（FTACV）功能</w:t>
            </w:r>
          </w:p>
          <w:p w14:paraId="4526E7C0">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所加电流分辨率：电流范围的0.03%</w:t>
            </w:r>
          </w:p>
          <w:p w14:paraId="009584C0">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测量电位分辨率：测量范围的0.0015%</w:t>
            </w:r>
          </w:p>
          <w:p w14:paraId="03125E9E">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测量电位范围：±0.025V,±0.1V,±0.25V,±1V,±2.5V,±10V</w:t>
            </w:r>
          </w:p>
          <w:p w14:paraId="72C494F6">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恒电流范围：0.3nA–250mA</w:t>
            </w:r>
          </w:p>
          <w:p w14:paraId="0844BB75">
            <w:pPr>
              <w:pStyle w:val="47"/>
              <w:spacing w:before="0" w:beforeAutospacing="0" w:after="0" w:afterAutospacing="0" w:line="240" w:lineRule="auto"/>
              <w:ind w:firstLine="0" w:firstLineChars="0"/>
              <w:rPr>
                <w:rFonts w:ascii="微软雅黑" w:hAnsi="微软雅黑" w:cs="微软雅黑"/>
                <w:color w:val="auto"/>
                <w:sz w:val="21"/>
                <w:szCs w:val="21"/>
                <w:highlight w:val="none"/>
              </w:rPr>
            </w:pPr>
            <w:r>
              <w:rPr>
                <w:rFonts w:hint="eastAsia" w:ascii="微软雅黑" w:hAnsi="微软雅黑" w:cs="微软雅黑"/>
                <w:color w:val="auto"/>
                <w:sz w:val="21"/>
                <w:szCs w:val="21"/>
                <w:highlight w:val="none"/>
              </w:rPr>
              <w:t>14</w:t>
            </w:r>
            <w:r>
              <w:rPr>
                <w:rFonts w:hint="eastAsia" w:ascii="微软雅黑" w:hAnsi="微软雅黑" w:cs="微软雅黑"/>
                <w:color w:val="auto"/>
                <w:sz w:val="21"/>
                <w:szCs w:val="21"/>
                <w:highlight w:val="none"/>
                <w:lang w:eastAsia="zh-CN"/>
              </w:rPr>
              <w:t>、</w:t>
            </w:r>
            <w:r>
              <w:rPr>
                <w:rFonts w:hint="eastAsia" w:ascii="微软雅黑" w:hAnsi="微软雅黑" w:cs="微软雅黑"/>
                <w:color w:val="auto"/>
                <w:sz w:val="21"/>
                <w:szCs w:val="21"/>
                <w:highlight w:val="none"/>
              </w:rPr>
              <w:t>配数据处理机：处理器不低于i3-12100，运行内存≥8G，储存内存≥512G, 显示器≥23.8寸</w:t>
            </w:r>
          </w:p>
        </w:tc>
        <w:tc>
          <w:tcPr>
            <w:tcW w:w="732" w:type="dxa"/>
            <w:tcBorders>
              <w:tl2br w:val="nil"/>
              <w:tr2bl w:val="nil"/>
            </w:tcBorders>
            <w:noWrap/>
            <w:vAlign w:val="center"/>
          </w:tcPr>
          <w:p w14:paraId="4FD819E5">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w:t>
            </w:r>
          </w:p>
        </w:tc>
        <w:tc>
          <w:tcPr>
            <w:tcW w:w="954" w:type="dxa"/>
            <w:tcBorders>
              <w:tl2br w:val="nil"/>
              <w:tr2bl w:val="nil"/>
            </w:tcBorders>
            <w:noWrap/>
            <w:vAlign w:val="center"/>
          </w:tcPr>
          <w:p w14:paraId="30664E58">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套</w:t>
            </w:r>
          </w:p>
        </w:tc>
      </w:tr>
      <w:tr w14:paraId="501A88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602" w:type="dxa"/>
            <w:tcBorders>
              <w:tl2br w:val="nil"/>
              <w:tr2bl w:val="nil"/>
            </w:tcBorders>
            <w:noWrap/>
            <w:vAlign w:val="center"/>
          </w:tcPr>
          <w:p w14:paraId="07E3BC47">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18</w:t>
            </w:r>
          </w:p>
        </w:tc>
        <w:tc>
          <w:tcPr>
            <w:tcW w:w="2010" w:type="dxa"/>
            <w:tcBorders>
              <w:tl2br w:val="nil"/>
              <w:tr2bl w:val="nil"/>
            </w:tcBorders>
            <w:noWrap/>
            <w:vAlign w:val="center"/>
          </w:tcPr>
          <w:p w14:paraId="46BA927C">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电热恒温鼓风干燥箱</w:t>
            </w:r>
          </w:p>
        </w:tc>
        <w:tc>
          <w:tcPr>
            <w:tcW w:w="10430" w:type="dxa"/>
            <w:tcBorders>
              <w:tl2br w:val="nil"/>
              <w:tr2bl w:val="nil"/>
            </w:tcBorders>
            <w:noWrap/>
            <w:vAlign w:val="center"/>
          </w:tcPr>
          <w:p w14:paraId="7E927CB4">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容积：≥220 L</w:t>
            </w:r>
          </w:p>
          <w:p w14:paraId="54C7078A">
            <w:pPr>
              <w:pStyle w:val="28"/>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温度范围：RT+10~300°C</w:t>
            </w:r>
          </w:p>
          <w:p w14:paraId="7279269A">
            <w:pPr>
              <w:pStyle w:val="28"/>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3</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温度分辨率：≤0.1°C，温度波动度±1℃</w:t>
            </w:r>
          </w:p>
          <w:p w14:paraId="2CCACA3F">
            <w:pPr>
              <w:pStyle w:val="28"/>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4</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输入功率≤2450 W</w:t>
            </w:r>
          </w:p>
          <w:p w14:paraId="7ABDA6BA">
            <w:pPr>
              <w:pStyle w:val="28"/>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5</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带超温偏差保护、数显的微电脑PID温度控制器，带有定时功能，控温准确。</w:t>
            </w:r>
          </w:p>
          <w:p w14:paraId="58B23796">
            <w:pPr>
              <w:pStyle w:val="28"/>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6</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材质：不锈钢内胆</w:t>
            </w:r>
          </w:p>
          <w:p w14:paraId="480B65CF">
            <w:pPr>
              <w:pStyle w:val="47"/>
              <w:tabs>
                <w:tab w:val="center" w:pos="5074"/>
              </w:tabs>
              <w:spacing w:before="0" w:beforeAutospacing="0" w:after="0" w:afterAutospacing="0" w:line="240" w:lineRule="auto"/>
              <w:ind w:firstLine="0" w:firstLineChars="0"/>
              <w:rPr>
                <w:rFonts w:ascii="微软雅黑" w:hAnsi="微软雅黑" w:cs="微软雅黑"/>
                <w:color w:val="auto"/>
                <w:sz w:val="21"/>
                <w:szCs w:val="21"/>
                <w:highlight w:val="none"/>
              </w:rPr>
            </w:pPr>
            <w:r>
              <w:rPr>
                <w:rFonts w:hint="eastAsia" w:ascii="微软雅黑" w:hAnsi="微软雅黑" w:cs="微软雅黑"/>
                <w:color w:val="auto"/>
                <w:sz w:val="21"/>
                <w:szCs w:val="21"/>
                <w:highlight w:val="none"/>
              </w:rPr>
              <w:t>★7</w:t>
            </w:r>
            <w:r>
              <w:rPr>
                <w:rFonts w:hint="eastAsia" w:ascii="微软雅黑" w:hAnsi="微软雅黑" w:cs="微软雅黑"/>
                <w:color w:val="auto"/>
                <w:sz w:val="21"/>
                <w:szCs w:val="21"/>
                <w:highlight w:val="none"/>
                <w:lang w:eastAsia="zh-CN"/>
              </w:rPr>
              <w:t>、</w:t>
            </w:r>
            <w:r>
              <w:rPr>
                <w:rFonts w:hint="eastAsia" w:ascii="微软雅黑" w:hAnsi="微软雅黑" w:cs="微软雅黑"/>
                <w:color w:val="auto"/>
                <w:sz w:val="21"/>
                <w:szCs w:val="21"/>
                <w:highlight w:val="none"/>
              </w:rPr>
              <w:t>可以从控温面板上调节箱内进风和排气量大小</w:t>
            </w:r>
            <w:r>
              <w:rPr>
                <w:rFonts w:hint="eastAsia" w:ascii="微软雅黑" w:hAnsi="微软雅黑" w:cs="微软雅黑"/>
                <w:color w:val="auto"/>
                <w:sz w:val="21"/>
                <w:szCs w:val="21"/>
                <w:highlight w:val="none"/>
              </w:rPr>
              <w:tab/>
            </w:r>
          </w:p>
          <w:p w14:paraId="784D9AC0">
            <w:pPr>
              <w:pStyle w:val="47"/>
              <w:tabs>
                <w:tab w:val="center" w:pos="5074"/>
              </w:tabs>
              <w:spacing w:before="0" w:beforeAutospacing="0" w:after="0" w:afterAutospacing="0" w:line="240" w:lineRule="auto"/>
              <w:ind w:firstLine="0" w:firstLineChars="0"/>
              <w:rPr>
                <w:rFonts w:ascii="微软雅黑" w:hAnsi="微软雅黑" w:cs="微软雅黑"/>
                <w:color w:val="auto"/>
                <w:sz w:val="21"/>
                <w:szCs w:val="21"/>
                <w:highlight w:val="none"/>
              </w:rPr>
            </w:pPr>
            <w:r>
              <w:rPr>
                <w:rFonts w:hint="eastAsia" w:ascii="微软雅黑" w:hAnsi="微软雅黑" w:cs="微软雅黑"/>
                <w:color w:val="auto"/>
                <w:sz w:val="21"/>
                <w:szCs w:val="21"/>
                <w:highlight w:val="none"/>
              </w:rPr>
              <w:t>8</w:t>
            </w:r>
            <w:r>
              <w:rPr>
                <w:rFonts w:hint="eastAsia" w:ascii="微软雅黑" w:hAnsi="微软雅黑" w:cs="微软雅黑"/>
                <w:color w:val="auto"/>
                <w:sz w:val="21"/>
                <w:szCs w:val="21"/>
                <w:highlight w:val="none"/>
                <w:lang w:eastAsia="zh-CN"/>
              </w:rPr>
              <w:t>、</w:t>
            </w:r>
            <w:r>
              <w:rPr>
                <w:rFonts w:hint="eastAsia" w:ascii="微软雅黑" w:hAnsi="微软雅黑" w:cs="微软雅黑"/>
                <w:color w:val="auto"/>
                <w:sz w:val="21"/>
                <w:szCs w:val="21"/>
                <w:highlight w:val="none"/>
              </w:rPr>
              <w:t>隔板：≥3块网状隔板</w:t>
            </w:r>
          </w:p>
        </w:tc>
        <w:tc>
          <w:tcPr>
            <w:tcW w:w="732" w:type="dxa"/>
            <w:tcBorders>
              <w:tl2br w:val="nil"/>
              <w:tr2bl w:val="nil"/>
            </w:tcBorders>
            <w:noWrap/>
            <w:vAlign w:val="center"/>
          </w:tcPr>
          <w:p w14:paraId="5436AECF">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5</w:t>
            </w:r>
          </w:p>
        </w:tc>
        <w:tc>
          <w:tcPr>
            <w:tcW w:w="954" w:type="dxa"/>
            <w:tcBorders>
              <w:tl2br w:val="nil"/>
              <w:tr2bl w:val="nil"/>
            </w:tcBorders>
            <w:noWrap/>
            <w:vAlign w:val="center"/>
          </w:tcPr>
          <w:p w14:paraId="50DD2D2A">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台</w:t>
            </w:r>
          </w:p>
        </w:tc>
      </w:tr>
      <w:tr w14:paraId="6CEF26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602" w:type="dxa"/>
            <w:tcBorders>
              <w:tl2br w:val="nil"/>
              <w:tr2bl w:val="nil"/>
            </w:tcBorders>
            <w:noWrap/>
            <w:vAlign w:val="center"/>
          </w:tcPr>
          <w:p w14:paraId="24F9A485">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19</w:t>
            </w:r>
          </w:p>
        </w:tc>
        <w:tc>
          <w:tcPr>
            <w:tcW w:w="2010" w:type="dxa"/>
            <w:tcBorders>
              <w:tl2br w:val="nil"/>
              <w:tr2bl w:val="nil"/>
            </w:tcBorders>
            <w:noWrap/>
            <w:vAlign w:val="center"/>
          </w:tcPr>
          <w:p w14:paraId="18295617">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循环水真空泵</w:t>
            </w:r>
          </w:p>
        </w:tc>
        <w:tc>
          <w:tcPr>
            <w:tcW w:w="10430" w:type="dxa"/>
            <w:tcBorders>
              <w:tl2br w:val="nil"/>
              <w:tr2bl w:val="nil"/>
            </w:tcBorders>
            <w:noWrap/>
            <w:vAlign w:val="center"/>
          </w:tcPr>
          <w:p w14:paraId="04D866AF">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.功率：≤180W</w:t>
            </w:r>
          </w:p>
          <w:p w14:paraId="7CE7EF22">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流量：≥60L/min，扬程：≥8M</w:t>
            </w:r>
          </w:p>
          <w:p w14:paraId="68CDE7F5">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3</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显示方式：双压力表</w:t>
            </w:r>
          </w:p>
          <w:p w14:paraId="3E487E8A">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4</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机体材质：防腐，有循环水功能</w:t>
            </w:r>
          </w:p>
          <w:p w14:paraId="7E2B5A7B">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5</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大真空度：≥0.098Mpa</w:t>
            </w:r>
          </w:p>
          <w:p w14:paraId="603B2588">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6</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单头抽气量：≥10L/min</w:t>
            </w:r>
          </w:p>
          <w:p w14:paraId="581BAE31">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7</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抽气头数：≥2个</w:t>
            </w:r>
          </w:p>
          <w:p w14:paraId="38F67B32">
            <w:pPr>
              <w:pStyle w:val="28"/>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8</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储水箱容积：≥15L</w:t>
            </w:r>
          </w:p>
        </w:tc>
        <w:tc>
          <w:tcPr>
            <w:tcW w:w="732" w:type="dxa"/>
            <w:tcBorders>
              <w:tl2br w:val="nil"/>
              <w:tr2bl w:val="nil"/>
            </w:tcBorders>
            <w:noWrap/>
            <w:vAlign w:val="center"/>
          </w:tcPr>
          <w:p w14:paraId="62E10E7E">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18</w:t>
            </w:r>
          </w:p>
        </w:tc>
        <w:tc>
          <w:tcPr>
            <w:tcW w:w="954" w:type="dxa"/>
            <w:tcBorders>
              <w:tl2br w:val="nil"/>
              <w:tr2bl w:val="nil"/>
            </w:tcBorders>
            <w:noWrap/>
            <w:vAlign w:val="center"/>
          </w:tcPr>
          <w:p w14:paraId="6EF5F61A">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台</w:t>
            </w:r>
          </w:p>
        </w:tc>
      </w:tr>
      <w:tr w14:paraId="20A56A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602" w:type="dxa"/>
            <w:tcBorders>
              <w:tl2br w:val="nil"/>
              <w:tr2bl w:val="nil"/>
            </w:tcBorders>
            <w:noWrap/>
            <w:vAlign w:val="center"/>
          </w:tcPr>
          <w:p w14:paraId="2DAD7AF9">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20</w:t>
            </w:r>
          </w:p>
        </w:tc>
        <w:tc>
          <w:tcPr>
            <w:tcW w:w="2010" w:type="dxa"/>
            <w:tcBorders>
              <w:tl2br w:val="nil"/>
              <w:tr2bl w:val="nil"/>
            </w:tcBorders>
            <w:noWrap/>
            <w:vAlign w:val="center"/>
          </w:tcPr>
          <w:p w14:paraId="73536E5B">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电热恒温水浴锅</w:t>
            </w:r>
          </w:p>
        </w:tc>
        <w:tc>
          <w:tcPr>
            <w:tcW w:w="10430" w:type="dxa"/>
            <w:tcBorders>
              <w:tl2br w:val="nil"/>
              <w:tr2bl w:val="nil"/>
            </w:tcBorders>
            <w:noWrap/>
            <w:vAlign w:val="center"/>
          </w:tcPr>
          <w:p w14:paraId="62BD9956">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不锈钢内胆，双列六孔或者更优，有排水功能</w:t>
            </w:r>
          </w:p>
          <w:p w14:paraId="1EB050E2">
            <w:pPr>
              <w:pStyle w:val="28"/>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数字控制（LED 数显）</w:t>
            </w:r>
          </w:p>
          <w:p w14:paraId="6D1BC35E">
            <w:pPr>
              <w:pStyle w:val="28"/>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3</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操作室尺寸</w:t>
            </w:r>
            <w:r>
              <w:rPr>
                <w:rFonts w:hint="eastAsia" w:ascii="微软雅黑" w:hAnsi="微软雅黑" w:cs="微软雅黑"/>
                <w:color w:val="auto"/>
                <w:kern w:val="0"/>
                <w:szCs w:val="21"/>
                <w:highlight w:val="none"/>
                <w:lang w:eastAsia="zh-CN"/>
              </w:rPr>
              <w:t>：</w:t>
            </w:r>
            <w:r>
              <w:rPr>
                <w:rFonts w:hint="default" w:ascii="Arial" w:hAnsi="Arial" w:cs="Arial"/>
                <w:color w:val="auto"/>
                <w:kern w:val="0"/>
                <w:szCs w:val="21"/>
                <w:highlight w:val="none"/>
                <w:lang w:eastAsia="zh-CN"/>
              </w:rPr>
              <w:t>≤</w:t>
            </w:r>
            <w:r>
              <w:rPr>
                <w:rFonts w:hint="eastAsia" w:ascii="微软雅黑" w:hAnsi="微软雅黑" w:cs="微软雅黑"/>
                <w:color w:val="auto"/>
                <w:kern w:val="0"/>
                <w:szCs w:val="21"/>
                <w:highlight w:val="none"/>
              </w:rPr>
              <w:t>500×300×120 (mm)</w:t>
            </w:r>
          </w:p>
          <w:p w14:paraId="5D22E21C">
            <w:pPr>
              <w:pStyle w:val="28"/>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★4</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控温范围：室温～100℃，可定时加热。</w:t>
            </w:r>
          </w:p>
          <w:p w14:paraId="1E493AD8">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5</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温度精度：≤±1℃</w:t>
            </w:r>
          </w:p>
        </w:tc>
        <w:tc>
          <w:tcPr>
            <w:tcW w:w="732" w:type="dxa"/>
            <w:tcBorders>
              <w:tl2br w:val="nil"/>
              <w:tr2bl w:val="nil"/>
            </w:tcBorders>
            <w:noWrap/>
            <w:vAlign w:val="center"/>
          </w:tcPr>
          <w:p w14:paraId="7A632ECE">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8</w:t>
            </w:r>
          </w:p>
        </w:tc>
        <w:tc>
          <w:tcPr>
            <w:tcW w:w="954" w:type="dxa"/>
            <w:tcBorders>
              <w:tl2br w:val="nil"/>
              <w:tr2bl w:val="nil"/>
            </w:tcBorders>
            <w:noWrap/>
            <w:vAlign w:val="center"/>
          </w:tcPr>
          <w:p w14:paraId="4A0799D5">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套</w:t>
            </w:r>
          </w:p>
        </w:tc>
      </w:tr>
      <w:tr w14:paraId="077297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602" w:type="dxa"/>
            <w:tcBorders>
              <w:tl2br w:val="nil"/>
              <w:tr2bl w:val="nil"/>
            </w:tcBorders>
            <w:noWrap/>
            <w:vAlign w:val="center"/>
          </w:tcPr>
          <w:p w14:paraId="04E44C9A">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21</w:t>
            </w:r>
          </w:p>
        </w:tc>
        <w:tc>
          <w:tcPr>
            <w:tcW w:w="2010" w:type="dxa"/>
            <w:tcBorders>
              <w:tl2br w:val="nil"/>
              <w:tr2bl w:val="nil"/>
            </w:tcBorders>
            <w:noWrap/>
            <w:vAlign w:val="center"/>
          </w:tcPr>
          <w:p w14:paraId="455B6BAA">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红外线加热炉</w:t>
            </w:r>
          </w:p>
        </w:tc>
        <w:tc>
          <w:tcPr>
            <w:tcW w:w="10430" w:type="dxa"/>
            <w:tcBorders>
              <w:tl2br w:val="nil"/>
              <w:tr2bl w:val="nil"/>
            </w:tcBorders>
            <w:noWrap/>
            <w:vAlign w:val="center"/>
          </w:tcPr>
          <w:p w14:paraId="5F3E29AE">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100~1000 W数控可调，加热表面温度:500°C</w:t>
            </w:r>
          </w:p>
          <w:p w14:paraId="6ED1D8A4">
            <w:pPr>
              <w:pStyle w:val="28"/>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采用高性能材料微晶玻璃作为加热面板，表面可升温至500度，急淋冷水不会炸裂。</w:t>
            </w:r>
          </w:p>
          <w:p w14:paraId="03710305">
            <w:pPr>
              <w:pStyle w:val="28"/>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3</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面板尺寸：≥210 mm*250 mm</w:t>
            </w:r>
          </w:p>
          <w:p w14:paraId="218D789C">
            <w:pPr>
              <w:pStyle w:val="28"/>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★4</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控制方式：微电脑控制加热过程，数码显示加热功率可调，加热时间可任意设定，定时范围:0-9999分钟。</w:t>
            </w:r>
          </w:p>
        </w:tc>
        <w:tc>
          <w:tcPr>
            <w:tcW w:w="732" w:type="dxa"/>
            <w:tcBorders>
              <w:tl2br w:val="nil"/>
              <w:tr2bl w:val="nil"/>
            </w:tcBorders>
            <w:noWrap/>
            <w:vAlign w:val="center"/>
          </w:tcPr>
          <w:p w14:paraId="4B58CF70">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41</w:t>
            </w:r>
          </w:p>
        </w:tc>
        <w:tc>
          <w:tcPr>
            <w:tcW w:w="954" w:type="dxa"/>
            <w:tcBorders>
              <w:tl2br w:val="nil"/>
              <w:tr2bl w:val="nil"/>
            </w:tcBorders>
            <w:noWrap/>
            <w:vAlign w:val="center"/>
          </w:tcPr>
          <w:p w14:paraId="291AE291">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台</w:t>
            </w:r>
          </w:p>
        </w:tc>
      </w:tr>
      <w:tr w14:paraId="30B556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602" w:type="dxa"/>
            <w:tcBorders>
              <w:tl2br w:val="nil"/>
              <w:tr2bl w:val="nil"/>
            </w:tcBorders>
            <w:noWrap/>
            <w:vAlign w:val="center"/>
          </w:tcPr>
          <w:p w14:paraId="521FD7D8">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22</w:t>
            </w:r>
          </w:p>
        </w:tc>
        <w:tc>
          <w:tcPr>
            <w:tcW w:w="2010" w:type="dxa"/>
            <w:tcBorders>
              <w:tl2br w:val="nil"/>
              <w:tr2bl w:val="nil"/>
            </w:tcBorders>
            <w:noWrap/>
            <w:vAlign w:val="center"/>
          </w:tcPr>
          <w:p w14:paraId="2AA86285">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制冰机</w:t>
            </w:r>
          </w:p>
        </w:tc>
        <w:tc>
          <w:tcPr>
            <w:tcW w:w="10430" w:type="dxa"/>
            <w:tcBorders>
              <w:tl2br w:val="nil"/>
              <w:tr2bl w:val="nil"/>
            </w:tcBorders>
            <w:noWrap/>
            <w:vAlign w:val="center"/>
          </w:tcPr>
          <w:p w14:paraId="18D8551F">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制冰量：≥50kg/24h</w:t>
            </w:r>
          </w:p>
          <w:p w14:paraId="3E4640B5">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储冰量：≥15kg</w:t>
            </w:r>
          </w:p>
          <w:p w14:paraId="282D2D4E">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3</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冷却方式：风冷</w:t>
            </w:r>
          </w:p>
          <w:p w14:paraId="682FE319">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4</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压缩机/制冷剂：高效无氟压缩机、无氟制冷剂R134a</w:t>
            </w:r>
          </w:p>
          <w:p w14:paraId="10282727">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5</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机身材质：不锈钢</w:t>
            </w:r>
          </w:p>
          <w:p w14:paraId="6F72BA50">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6</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机身尺寸：≤380*543*722mm</w:t>
            </w:r>
          </w:p>
          <w:p w14:paraId="1F628347">
            <w:pPr>
              <w:pStyle w:val="28"/>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★7</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 xml:space="preserve">冰型 ：不规则的细小颗粒状的雪花碎冰 </w:t>
            </w:r>
          </w:p>
          <w:p w14:paraId="21530A25">
            <w:pPr>
              <w:pStyle w:val="28"/>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8</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带进水过滤，40μm不锈钢11cm长过滤，自冲洗。</w:t>
            </w:r>
          </w:p>
        </w:tc>
        <w:tc>
          <w:tcPr>
            <w:tcW w:w="732" w:type="dxa"/>
            <w:tcBorders>
              <w:tl2br w:val="nil"/>
              <w:tr2bl w:val="nil"/>
            </w:tcBorders>
            <w:noWrap/>
            <w:vAlign w:val="center"/>
          </w:tcPr>
          <w:p w14:paraId="09B8EEA2">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w:t>
            </w:r>
          </w:p>
        </w:tc>
        <w:tc>
          <w:tcPr>
            <w:tcW w:w="954" w:type="dxa"/>
            <w:tcBorders>
              <w:tl2br w:val="nil"/>
              <w:tr2bl w:val="nil"/>
            </w:tcBorders>
            <w:noWrap/>
            <w:vAlign w:val="center"/>
          </w:tcPr>
          <w:p w14:paraId="16A77161">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台</w:t>
            </w:r>
          </w:p>
        </w:tc>
      </w:tr>
      <w:tr w14:paraId="1ED1F0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602" w:type="dxa"/>
            <w:tcBorders>
              <w:tl2br w:val="nil"/>
              <w:tr2bl w:val="nil"/>
            </w:tcBorders>
            <w:noWrap/>
            <w:vAlign w:val="center"/>
          </w:tcPr>
          <w:p w14:paraId="37BF8D4C">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23</w:t>
            </w:r>
          </w:p>
        </w:tc>
        <w:tc>
          <w:tcPr>
            <w:tcW w:w="2010" w:type="dxa"/>
            <w:tcBorders>
              <w:tl2br w:val="nil"/>
              <w:tr2bl w:val="nil"/>
            </w:tcBorders>
            <w:noWrap/>
            <w:vAlign w:val="center"/>
          </w:tcPr>
          <w:p w14:paraId="4A9C7014">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马弗炉</w:t>
            </w:r>
          </w:p>
        </w:tc>
        <w:tc>
          <w:tcPr>
            <w:tcW w:w="10430" w:type="dxa"/>
            <w:tcBorders>
              <w:tl2br w:val="nil"/>
              <w:tr2bl w:val="nil"/>
            </w:tcBorders>
            <w:noWrap/>
            <w:vAlign w:val="center"/>
          </w:tcPr>
          <w:p w14:paraId="6E849670">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内部空间≥27 L</w:t>
            </w:r>
          </w:p>
          <w:p w14:paraId="6F8C4B75">
            <w:pPr>
              <w:spacing w:after="0" w:line="240" w:lineRule="auto"/>
              <w:ind w:firstLine="0" w:firstLineChars="0"/>
              <w:rPr>
                <w:rFonts w:hint="eastAsia" w:ascii="微软雅黑" w:hAnsi="微软雅黑" w:eastAsia="微软雅黑" w:cs="微软雅黑"/>
                <w:color w:val="auto"/>
                <w:kern w:val="0"/>
                <w:szCs w:val="21"/>
                <w:highlight w:val="none"/>
                <w:lang w:eastAsia="zh-CN"/>
              </w:rPr>
            </w:pPr>
            <w:r>
              <w:rPr>
                <w:rFonts w:hint="eastAsia" w:ascii="微软雅黑" w:hAnsi="微软雅黑" w:cs="微软雅黑"/>
                <w:color w:val="auto"/>
                <w:kern w:val="0"/>
                <w:szCs w:val="21"/>
                <w:highlight w:val="none"/>
              </w:rPr>
              <w:t>★2</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膛材料：高纯氧化铝纤维</w:t>
            </w:r>
            <w:r>
              <w:rPr>
                <w:rFonts w:hint="eastAsia" w:ascii="微软雅黑" w:hAnsi="微软雅黑" w:cs="微软雅黑"/>
                <w:color w:val="auto"/>
                <w:kern w:val="0"/>
                <w:szCs w:val="21"/>
                <w:highlight w:val="none"/>
                <w:lang w:val="en-US" w:eastAsia="zh-CN"/>
              </w:rPr>
              <w:t xml:space="preserve"> </w:t>
            </w:r>
          </w:p>
          <w:p w14:paraId="7437C29C">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3</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功率：≤7.5 kW</w:t>
            </w:r>
          </w:p>
          <w:p w14:paraId="1A31C54C">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4</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最高温度：1200℃（持续工作时间≥30min），控温精度：±1℃</w:t>
            </w:r>
          </w:p>
          <w:p w14:paraId="026ABA5F">
            <w:pPr>
              <w:spacing w:after="0" w:line="240" w:lineRule="auto"/>
              <w:ind w:firstLine="0" w:firstLineChars="0"/>
              <w:rPr>
                <w:rFonts w:hint="eastAsia" w:ascii="微软雅黑" w:hAnsi="微软雅黑" w:eastAsia="微软雅黑" w:cs="微软雅黑"/>
                <w:color w:val="auto"/>
                <w:kern w:val="0"/>
                <w:szCs w:val="21"/>
                <w:highlight w:val="none"/>
                <w:lang w:eastAsia="zh-CN"/>
              </w:rPr>
            </w:pPr>
            <w:r>
              <w:rPr>
                <w:rFonts w:hint="eastAsia" w:ascii="微软雅黑" w:hAnsi="微软雅黑" w:cs="微软雅黑"/>
                <w:color w:val="auto"/>
                <w:kern w:val="0"/>
                <w:szCs w:val="21"/>
                <w:highlight w:val="none"/>
              </w:rPr>
              <w:t>★5</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体后侧和顶端分别设有进气口和出气口，可往腔体内部通入惰性气体</w:t>
            </w:r>
            <w:r>
              <w:rPr>
                <w:rFonts w:hint="eastAsia" w:ascii="微软雅黑" w:hAnsi="微软雅黑" w:cs="微软雅黑"/>
                <w:color w:val="auto"/>
                <w:kern w:val="0"/>
                <w:szCs w:val="21"/>
                <w:highlight w:val="none"/>
                <w:lang w:val="en-US" w:eastAsia="zh-CN"/>
              </w:rPr>
              <w:t xml:space="preserve"> </w:t>
            </w:r>
          </w:p>
          <w:p w14:paraId="537C861C">
            <w:pPr>
              <w:spacing w:after="0" w:line="240" w:lineRule="auto"/>
              <w:ind w:firstLine="0" w:firstLineChars="0"/>
              <w:rPr>
                <w:rFonts w:hint="eastAsia" w:ascii="微软雅黑" w:hAnsi="微软雅黑" w:eastAsia="微软雅黑" w:cs="微软雅黑"/>
                <w:color w:val="auto"/>
                <w:kern w:val="0"/>
                <w:szCs w:val="21"/>
                <w:highlight w:val="none"/>
                <w:lang w:eastAsia="zh-CN"/>
              </w:rPr>
            </w:pPr>
            <w:r>
              <w:rPr>
                <w:rFonts w:hint="eastAsia" w:ascii="微软雅黑" w:hAnsi="微软雅黑" w:cs="微软雅黑"/>
                <w:color w:val="auto"/>
                <w:kern w:val="0"/>
                <w:szCs w:val="21"/>
                <w:highlight w:val="none"/>
              </w:rPr>
              <w:t>6</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控制系统：PID调节，智能化 50 段可编程控制，默认 DB9 PC 通信连接端口</w:t>
            </w:r>
            <w:r>
              <w:rPr>
                <w:rFonts w:hint="eastAsia" w:ascii="微软雅黑" w:hAnsi="微软雅黑" w:cs="微软雅黑"/>
                <w:color w:val="auto"/>
                <w:kern w:val="0"/>
                <w:szCs w:val="21"/>
                <w:highlight w:val="none"/>
                <w:lang w:val="en-US" w:eastAsia="zh-CN"/>
              </w:rPr>
              <w:t xml:space="preserve"> </w:t>
            </w:r>
          </w:p>
          <w:p w14:paraId="6B31B178">
            <w:pPr>
              <w:spacing w:after="0" w:line="240" w:lineRule="auto"/>
              <w:ind w:firstLine="0" w:firstLineChars="0"/>
              <w:rPr>
                <w:rFonts w:hint="eastAsia" w:ascii="微软雅黑" w:hAnsi="微软雅黑" w:eastAsia="微软雅黑" w:cs="微软雅黑"/>
                <w:color w:val="auto"/>
                <w:kern w:val="0"/>
                <w:szCs w:val="21"/>
                <w:highlight w:val="none"/>
                <w:lang w:eastAsia="zh-CN"/>
              </w:rPr>
            </w:pPr>
            <w:r>
              <w:rPr>
                <w:rFonts w:hint="eastAsia" w:ascii="微软雅黑" w:hAnsi="微软雅黑" w:cs="微软雅黑"/>
                <w:color w:val="auto"/>
                <w:kern w:val="0"/>
                <w:szCs w:val="21"/>
                <w:highlight w:val="none"/>
              </w:rPr>
              <w:t>7</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膛表面涂层：高温氧化铝涂层</w:t>
            </w:r>
            <w:r>
              <w:rPr>
                <w:rFonts w:hint="eastAsia" w:ascii="微软雅黑" w:hAnsi="微软雅黑" w:cs="微软雅黑"/>
                <w:color w:val="auto"/>
                <w:kern w:val="0"/>
                <w:szCs w:val="21"/>
                <w:highlight w:val="none"/>
                <w:lang w:eastAsia="zh-CN"/>
              </w:rPr>
              <w:t>；</w:t>
            </w:r>
          </w:p>
          <w:p w14:paraId="6C723C81">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★8</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膛内加热面：≥3面。</w:t>
            </w:r>
          </w:p>
        </w:tc>
        <w:tc>
          <w:tcPr>
            <w:tcW w:w="732" w:type="dxa"/>
            <w:tcBorders>
              <w:tl2br w:val="nil"/>
              <w:tr2bl w:val="nil"/>
            </w:tcBorders>
            <w:noWrap/>
            <w:vAlign w:val="center"/>
          </w:tcPr>
          <w:p w14:paraId="75882110">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w:t>
            </w:r>
          </w:p>
        </w:tc>
        <w:tc>
          <w:tcPr>
            <w:tcW w:w="954" w:type="dxa"/>
            <w:tcBorders>
              <w:tl2br w:val="nil"/>
              <w:tr2bl w:val="nil"/>
            </w:tcBorders>
            <w:noWrap/>
            <w:vAlign w:val="center"/>
          </w:tcPr>
          <w:p w14:paraId="02695AED">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台</w:t>
            </w:r>
          </w:p>
        </w:tc>
      </w:tr>
      <w:tr w14:paraId="2F0802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602" w:type="dxa"/>
            <w:tcBorders>
              <w:tl2br w:val="nil"/>
              <w:tr2bl w:val="nil"/>
            </w:tcBorders>
            <w:noWrap/>
            <w:vAlign w:val="center"/>
          </w:tcPr>
          <w:p w14:paraId="76F772B1">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24</w:t>
            </w:r>
          </w:p>
        </w:tc>
        <w:tc>
          <w:tcPr>
            <w:tcW w:w="2010" w:type="dxa"/>
            <w:tcBorders>
              <w:tl2br w:val="nil"/>
              <w:tr2bl w:val="nil"/>
            </w:tcBorders>
            <w:noWrap/>
            <w:vAlign w:val="center"/>
          </w:tcPr>
          <w:p w14:paraId="0DF7F5AD">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真空干燥箱</w:t>
            </w:r>
          </w:p>
        </w:tc>
        <w:tc>
          <w:tcPr>
            <w:tcW w:w="10430" w:type="dxa"/>
            <w:tcBorders>
              <w:tl2br w:val="nil"/>
              <w:tr2bl w:val="nil"/>
            </w:tcBorders>
            <w:noWrap/>
            <w:vAlign w:val="center"/>
          </w:tcPr>
          <w:p w14:paraId="7C98AD9C">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温度范围：室温+10°C-200°C</w:t>
            </w:r>
          </w:p>
          <w:p w14:paraId="0849299E">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电压：220V/50HZ</w:t>
            </w:r>
          </w:p>
          <w:p w14:paraId="79CE5442">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3</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温度分辨率：0.1°C，温度波动度：±1°C</w:t>
            </w:r>
          </w:p>
          <w:p w14:paraId="7B835B37">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4</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 xml:space="preserve">真空度：≤133pa     </w:t>
            </w:r>
          </w:p>
          <w:p w14:paraId="794F34E7">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5</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内部空间≥52.5 L</w:t>
            </w:r>
          </w:p>
          <w:p w14:paraId="6EAD7FB8">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6</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隔板：≥2块</w:t>
            </w:r>
          </w:p>
          <w:p w14:paraId="1109B526">
            <w:pPr>
              <w:spacing w:after="0" w:line="240" w:lineRule="auto"/>
              <w:ind w:firstLine="0" w:firstLineChars="0"/>
              <w:rPr>
                <w:rFonts w:hint="eastAsia" w:ascii="微软雅黑" w:hAnsi="微软雅黑" w:eastAsia="微软雅黑" w:cs="微软雅黑"/>
                <w:color w:val="auto"/>
                <w:kern w:val="0"/>
                <w:szCs w:val="21"/>
                <w:highlight w:val="none"/>
                <w:lang w:eastAsia="zh-CN"/>
              </w:rPr>
            </w:pPr>
            <w:r>
              <w:rPr>
                <w:rFonts w:hint="eastAsia" w:ascii="微软雅黑" w:hAnsi="微软雅黑" w:cs="微软雅黑"/>
                <w:color w:val="auto"/>
                <w:kern w:val="0"/>
                <w:szCs w:val="21"/>
                <w:highlight w:val="none"/>
              </w:rPr>
              <w:t>7</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钢化、防弹双层玻璃门可观察工作室内物体，能够向工作室内部充入惰性气体</w:t>
            </w:r>
            <w:r>
              <w:rPr>
                <w:rFonts w:hint="eastAsia" w:ascii="微软雅黑" w:hAnsi="微软雅黑" w:cs="微软雅黑"/>
                <w:color w:val="auto"/>
                <w:kern w:val="0"/>
                <w:szCs w:val="21"/>
                <w:highlight w:val="none"/>
                <w:lang w:val="en-US" w:eastAsia="zh-CN"/>
              </w:rPr>
              <w:t xml:space="preserve"> </w:t>
            </w:r>
          </w:p>
          <w:p w14:paraId="3C773DA9">
            <w:pPr>
              <w:spacing w:after="0" w:line="240" w:lineRule="auto"/>
              <w:ind w:firstLine="0" w:firstLineChars="0"/>
              <w:rPr>
                <w:rFonts w:hint="eastAsia" w:ascii="微软雅黑" w:hAnsi="微软雅黑" w:eastAsia="微软雅黑" w:cs="微软雅黑"/>
                <w:color w:val="auto"/>
                <w:kern w:val="0"/>
                <w:szCs w:val="21"/>
                <w:highlight w:val="none"/>
                <w:lang w:eastAsia="zh-CN"/>
              </w:rPr>
            </w:pPr>
            <w:r>
              <w:rPr>
                <w:rFonts w:hint="eastAsia" w:ascii="微软雅黑" w:hAnsi="微软雅黑" w:cs="微软雅黑"/>
                <w:color w:val="auto"/>
                <w:kern w:val="0"/>
                <w:szCs w:val="21"/>
                <w:highlight w:val="none"/>
              </w:rPr>
              <w:t>8</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不锈钢内胆</w:t>
            </w:r>
            <w:r>
              <w:rPr>
                <w:rFonts w:hint="eastAsia" w:ascii="微软雅黑" w:hAnsi="微软雅黑" w:cs="微软雅黑"/>
                <w:color w:val="auto"/>
                <w:kern w:val="0"/>
                <w:szCs w:val="21"/>
                <w:highlight w:val="none"/>
                <w:lang w:eastAsia="zh-CN"/>
              </w:rPr>
              <w:t>；</w:t>
            </w:r>
          </w:p>
          <w:p w14:paraId="4585417A">
            <w:pPr>
              <w:pStyle w:val="28"/>
              <w:spacing w:after="0" w:line="240" w:lineRule="auto"/>
              <w:ind w:firstLine="0" w:firstLineChars="0"/>
              <w:rPr>
                <w:rFonts w:hint="eastAsia" w:ascii="微软雅黑" w:hAnsi="微软雅黑" w:eastAsia="微软雅黑" w:cs="微软雅黑"/>
                <w:color w:val="auto"/>
                <w:kern w:val="0"/>
                <w:szCs w:val="21"/>
                <w:highlight w:val="none"/>
                <w:lang w:eastAsia="zh-CN"/>
              </w:rPr>
            </w:pPr>
            <w:r>
              <w:rPr>
                <w:rFonts w:hint="eastAsia" w:ascii="微软雅黑" w:hAnsi="微软雅黑" w:cs="微软雅黑"/>
                <w:color w:val="auto"/>
                <w:kern w:val="0"/>
                <w:szCs w:val="21"/>
                <w:highlight w:val="none"/>
              </w:rPr>
              <w:t>9</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配备真空泵，配置如下：抽速:4L/s，功率：≥0.55W，极限压力≤0.06Pa</w:t>
            </w:r>
            <w:r>
              <w:rPr>
                <w:rFonts w:hint="eastAsia" w:ascii="微软雅黑" w:hAnsi="微软雅黑" w:cs="微软雅黑"/>
                <w:color w:val="auto"/>
                <w:kern w:val="0"/>
                <w:szCs w:val="21"/>
                <w:highlight w:val="none"/>
                <w:lang w:eastAsia="zh-CN"/>
              </w:rPr>
              <w:t>。</w:t>
            </w:r>
          </w:p>
        </w:tc>
        <w:tc>
          <w:tcPr>
            <w:tcW w:w="732" w:type="dxa"/>
            <w:tcBorders>
              <w:tl2br w:val="nil"/>
              <w:tr2bl w:val="nil"/>
            </w:tcBorders>
            <w:noWrap/>
            <w:vAlign w:val="center"/>
          </w:tcPr>
          <w:p w14:paraId="242DD14B">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4</w:t>
            </w:r>
          </w:p>
        </w:tc>
        <w:tc>
          <w:tcPr>
            <w:tcW w:w="954" w:type="dxa"/>
            <w:tcBorders>
              <w:tl2br w:val="nil"/>
              <w:tr2bl w:val="nil"/>
            </w:tcBorders>
            <w:noWrap/>
            <w:vAlign w:val="center"/>
          </w:tcPr>
          <w:p w14:paraId="0CC2FA46">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台</w:t>
            </w:r>
          </w:p>
        </w:tc>
      </w:tr>
      <w:tr w14:paraId="4D4A4E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602" w:type="dxa"/>
            <w:tcBorders>
              <w:tl2br w:val="nil"/>
              <w:tr2bl w:val="nil"/>
            </w:tcBorders>
            <w:noWrap/>
            <w:vAlign w:val="center"/>
          </w:tcPr>
          <w:p w14:paraId="6158D078">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25</w:t>
            </w:r>
          </w:p>
        </w:tc>
        <w:tc>
          <w:tcPr>
            <w:tcW w:w="2010" w:type="dxa"/>
            <w:tcBorders>
              <w:tl2br w:val="nil"/>
              <w:tr2bl w:val="nil"/>
            </w:tcBorders>
            <w:noWrap/>
            <w:vAlign w:val="center"/>
          </w:tcPr>
          <w:p w14:paraId="27427578">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不锈钢缓冲储气罐</w:t>
            </w:r>
          </w:p>
        </w:tc>
        <w:tc>
          <w:tcPr>
            <w:tcW w:w="10430" w:type="dxa"/>
            <w:tcBorders>
              <w:tl2br w:val="nil"/>
              <w:tr2bl w:val="nil"/>
            </w:tcBorders>
            <w:noWrap/>
            <w:vAlign w:val="center"/>
          </w:tcPr>
          <w:p w14:paraId="3BA14952">
            <w:pPr>
              <w:spacing w:after="0" w:line="240" w:lineRule="auto"/>
              <w:ind w:firstLine="0" w:firstLineChars="0"/>
              <w:rPr>
                <w:rFonts w:hint="eastAsia" w:ascii="微软雅黑" w:hAnsi="微软雅黑" w:eastAsia="微软雅黑" w:cs="微软雅黑"/>
                <w:color w:val="auto"/>
                <w:kern w:val="0"/>
                <w:szCs w:val="21"/>
                <w:highlight w:val="none"/>
                <w:lang w:eastAsia="zh-CN"/>
              </w:rPr>
            </w:pPr>
            <w:r>
              <w:rPr>
                <w:rFonts w:hint="eastAsia" w:ascii="微软雅黑" w:hAnsi="微软雅黑" w:cs="微软雅黑"/>
                <w:color w:val="auto"/>
                <w:kern w:val="0"/>
                <w:szCs w:val="21"/>
                <w:highlight w:val="none"/>
              </w:rPr>
              <w:t>1、采用304不锈钢材质，具有缓冲、储气功能，配套饱和蒸气压实验装置使用</w:t>
            </w:r>
            <w:r>
              <w:rPr>
                <w:rFonts w:hint="eastAsia" w:ascii="微软雅黑" w:hAnsi="微软雅黑" w:cs="微软雅黑"/>
                <w:color w:val="auto"/>
                <w:kern w:val="0"/>
                <w:szCs w:val="21"/>
                <w:highlight w:val="none"/>
                <w:lang w:val="en-US" w:eastAsia="zh-CN"/>
              </w:rPr>
              <w:t xml:space="preserve"> </w:t>
            </w:r>
          </w:p>
          <w:p w14:paraId="3586A8A1">
            <w:pPr>
              <w:spacing w:after="0" w:line="240" w:lineRule="auto"/>
              <w:ind w:firstLine="0" w:firstLineChars="0"/>
              <w:rPr>
                <w:rFonts w:hint="eastAsia" w:ascii="微软雅黑" w:hAnsi="微软雅黑" w:eastAsia="微软雅黑" w:cs="微软雅黑"/>
                <w:color w:val="auto"/>
                <w:kern w:val="0"/>
                <w:szCs w:val="21"/>
                <w:highlight w:val="none"/>
                <w:lang w:eastAsia="zh-CN"/>
              </w:rPr>
            </w:pPr>
            <w:r>
              <w:rPr>
                <w:rFonts w:hint="eastAsia" w:ascii="微软雅黑" w:hAnsi="微软雅黑" w:cs="微软雅黑"/>
                <w:color w:val="auto"/>
                <w:kern w:val="0"/>
                <w:szCs w:val="21"/>
                <w:highlight w:val="none"/>
              </w:rPr>
              <w:t>★2、缓冲储气罐配有不锈钢微量调节阀，U型管压力调节缓慢、平衡</w:t>
            </w:r>
            <w:r>
              <w:rPr>
                <w:rFonts w:hint="eastAsia" w:ascii="微软雅黑" w:hAnsi="微软雅黑" w:cs="微软雅黑"/>
                <w:color w:val="auto"/>
                <w:kern w:val="0"/>
                <w:szCs w:val="21"/>
                <w:highlight w:val="none"/>
                <w:lang w:val="en-US" w:eastAsia="zh-CN"/>
              </w:rPr>
              <w:t xml:space="preserve"> </w:t>
            </w:r>
          </w:p>
          <w:p w14:paraId="09FFFA2A">
            <w:pPr>
              <w:spacing w:after="0" w:line="240" w:lineRule="auto"/>
              <w:ind w:firstLine="0" w:firstLineChars="0"/>
              <w:rPr>
                <w:rFonts w:hint="eastAsia" w:ascii="微软雅黑" w:hAnsi="微软雅黑" w:eastAsia="微软雅黑" w:cs="微软雅黑"/>
                <w:color w:val="auto"/>
                <w:kern w:val="0"/>
                <w:szCs w:val="21"/>
                <w:highlight w:val="none"/>
                <w:lang w:eastAsia="zh-CN"/>
              </w:rPr>
            </w:pPr>
            <w:r>
              <w:rPr>
                <w:rFonts w:hint="eastAsia" w:ascii="微软雅黑" w:hAnsi="微软雅黑" w:cs="微软雅黑"/>
                <w:color w:val="auto"/>
                <w:kern w:val="0"/>
                <w:szCs w:val="21"/>
                <w:highlight w:val="none"/>
              </w:rPr>
              <w:t>3、缓冲储气罐容积≤5L，标准12推拔接口</w:t>
            </w:r>
            <w:r>
              <w:rPr>
                <w:rFonts w:hint="eastAsia" w:ascii="微软雅黑" w:hAnsi="微软雅黑" w:cs="微软雅黑"/>
                <w:color w:val="auto"/>
                <w:kern w:val="0"/>
                <w:szCs w:val="21"/>
                <w:highlight w:val="none"/>
                <w:lang w:val="en-US" w:eastAsia="zh-CN"/>
              </w:rPr>
              <w:t xml:space="preserve"> </w:t>
            </w:r>
          </w:p>
          <w:p w14:paraId="3C2CD049">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4、仪器尺寸：≤32*24*14cm</w:t>
            </w:r>
          </w:p>
        </w:tc>
        <w:tc>
          <w:tcPr>
            <w:tcW w:w="732" w:type="dxa"/>
            <w:tcBorders>
              <w:tl2br w:val="nil"/>
              <w:tr2bl w:val="nil"/>
            </w:tcBorders>
            <w:noWrap/>
            <w:vAlign w:val="center"/>
          </w:tcPr>
          <w:p w14:paraId="1E3F4EBF">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8</w:t>
            </w:r>
          </w:p>
        </w:tc>
        <w:tc>
          <w:tcPr>
            <w:tcW w:w="954" w:type="dxa"/>
            <w:tcBorders>
              <w:tl2br w:val="nil"/>
              <w:tr2bl w:val="nil"/>
            </w:tcBorders>
            <w:noWrap/>
            <w:vAlign w:val="center"/>
          </w:tcPr>
          <w:p w14:paraId="7DBCC123">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台</w:t>
            </w:r>
          </w:p>
        </w:tc>
      </w:tr>
      <w:tr w14:paraId="3E85A3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602" w:type="dxa"/>
            <w:tcBorders>
              <w:tl2br w:val="nil"/>
              <w:tr2bl w:val="nil"/>
            </w:tcBorders>
            <w:noWrap/>
            <w:vAlign w:val="center"/>
          </w:tcPr>
          <w:p w14:paraId="36A1501E">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26</w:t>
            </w:r>
          </w:p>
        </w:tc>
        <w:tc>
          <w:tcPr>
            <w:tcW w:w="2010" w:type="dxa"/>
            <w:tcBorders>
              <w:tl2br w:val="nil"/>
              <w:tr2bl w:val="nil"/>
            </w:tcBorders>
            <w:noWrap/>
            <w:vAlign w:val="center"/>
          </w:tcPr>
          <w:p w14:paraId="658B715A">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旋片式真空泵</w:t>
            </w:r>
          </w:p>
        </w:tc>
        <w:tc>
          <w:tcPr>
            <w:tcW w:w="10430" w:type="dxa"/>
            <w:tcBorders>
              <w:tl2br w:val="nil"/>
              <w:tr2bl w:val="nil"/>
            </w:tcBorders>
            <w:noWrap/>
            <w:vAlign w:val="center"/>
          </w:tcPr>
          <w:p w14:paraId="31887D76">
            <w:pPr>
              <w:numPr>
                <w:ilvl w:val="0"/>
                <w:numId w:val="0"/>
              </w:numPr>
              <w:spacing w:after="0" w:line="240" w:lineRule="auto"/>
              <w:ind w:left="425" w:leftChars="0" w:hanging="425" w:firstLineChars="0"/>
              <w:rPr>
                <w:rFonts w:hint="eastAsia" w:ascii="微软雅黑" w:hAnsi="微软雅黑" w:eastAsia="微软雅黑" w:cs="微软雅黑"/>
                <w:color w:val="auto"/>
                <w:kern w:val="0"/>
                <w:szCs w:val="21"/>
                <w:highlight w:val="none"/>
                <w:lang w:eastAsia="zh-CN"/>
              </w:rPr>
            </w:pPr>
            <w:r>
              <w:rPr>
                <w:rFonts w:hint="eastAsia" w:ascii="微软雅黑" w:hAnsi="微软雅黑" w:eastAsia="微软雅黑" w:cs="微软雅黑"/>
                <w:color w:val="auto"/>
                <w:kern w:val="0"/>
                <w:sz w:val="21"/>
                <w:szCs w:val="21"/>
                <w:lang w:val="en-US" w:eastAsia="zh-CN" w:bidi="ar-SA"/>
              </w:rPr>
              <w:t>1、</w:t>
            </w:r>
            <w:r>
              <w:rPr>
                <w:rFonts w:hint="eastAsia" w:ascii="微软雅黑" w:hAnsi="微软雅黑" w:eastAsia="微软雅黑" w:cs="微软雅黑"/>
                <w:color w:val="auto"/>
                <w:kern w:val="0"/>
                <w:szCs w:val="21"/>
                <w:highlight w:val="none"/>
              </w:rPr>
              <w:t>材质: 金属</w:t>
            </w:r>
            <w:r>
              <w:rPr>
                <w:rFonts w:hint="eastAsia" w:ascii="微软雅黑" w:hAnsi="微软雅黑" w:cs="微软雅黑"/>
                <w:color w:val="auto"/>
                <w:kern w:val="0"/>
                <w:szCs w:val="21"/>
                <w:highlight w:val="none"/>
                <w:lang w:val="en-US" w:eastAsia="zh-CN"/>
              </w:rPr>
              <w:t xml:space="preserve"> </w:t>
            </w:r>
          </w:p>
          <w:p w14:paraId="5C41E3B1">
            <w:pPr>
              <w:numPr>
                <w:ilvl w:val="0"/>
                <w:numId w:val="0"/>
              </w:numPr>
              <w:spacing w:after="0" w:line="240" w:lineRule="auto"/>
              <w:ind w:left="425" w:leftChars="0" w:hanging="425" w:firstLineChars="0"/>
              <w:rPr>
                <w:rFonts w:hint="eastAsia" w:ascii="微软雅黑" w:hAnsi="微软雅黑" w:eastAsia="微软雅黑" w:cs="微软雅黑"/>
                <w:color w:val="auto"/>
                <w:kern w:val="0"/>
                <w:szCs w:val="21"/>
                <w:highlight w:val="none"/>
                <w:lang w:eastAsia="zh-CN"/>
              </w:rPr>
            </w:pPr>
            <w:r>
              <w:rPr>
                <w:rFonts w:hint="eastAsia" w:ascii="微软雅黑" w:hAnsi="微软雅黑" w:eastAsia="微软雅黑" w:cs="微软雅黑"/>
                <w:color w:val="auto"/>
                <w:kern w:val="0"/>
                <w:sz w:val="21"/>
                <w:szCs w:val="21"/>
                <w:lang w:val="en-US" w:eastAsia="zh-CN" w:bidi="ar-SA"/>
              </w:rPr>
              <w:t>2、</w:t>
            </w:r>
            <w:r>
              <w:rPr>
                <w:rFonts w:hint="eastAsia" w:ascii="微软雅黑" w:hAnsi="微软雅黑" w:eastAsia="微软雅黑" w:cs="微软雅黑"/>
                <w:color w:val="auto"/>
                <w:kern w:val="0"/>
                <w:szCs w:val="21"/>
                <w:highlight w:val="none"/>
              </w:rPr>
              <w:t>电机功率：≥370W，抽头数量：≥1</w:t>
            </w:r>
            <w:r>
              <w:rPr>
                <w:rFonts w:hint="eastAsia" w:ascii="微软雅黑" w:hAnsi="微软雅黑" w:cs="微软雅黑"/>
                <w:color w:val="auto"/>
                <w:kern w:val="0"/>
                <w:szCs w:val="21"/>
                <w:highlight w:val="none"/>
                <w:lang w:val="en-US" w:eastAsia="zh-CN"/>
              </w:rPr>
              <w:t xml:space="preserve"> </w:t>
            </w:r>
          </w:p>
          <w:p w14:paraId="66C8F69C">
            <w:pPr>
              <w:numPr>
                <w:ilvl w:val="0"/>
                <w:numId w:val="0"/>
              </w:numPr>
              <w:spacing w:after="0" w:line="240" w:lineRule="auto"/>
              <w:ind w:left="425" w:leftChars="0" w:hanging="425" w:firstLineChars="0"/>
              <w:rPr>
                <w:rFonts w:hint="eastAsia" w:ascii="微软雅黑" w:hAnsi="微软雅黑" w:eastAsia="微软雅黑" w:cs="微软雅黑"/>
                <w:color w:val="auto"/>
                <w:kern w:val="0"/>
                <w:szCs w:val="21"/>
                <w:highlight w:val="none"/>
              </w:rPr>
            </w:pPr>
            <w:r>
              <w:rPr>
                <w:rFonts w:hint="eastAsia" w:ascii="微软雅黑" w:hAnsi="微软雅黑" w:eastAsia="微软雅黑" w:cs="微软雅黑"/>
                <w:color w:val="auto"/>
                <w:kern w:val="0"/>
                <w:sz w:val="21"/>
                <w:szCs w:val="21"/>
                <w:lang w:val="en-US" w:eastAsia="zh-CN" w:bidi="ar-SA"/>
              </w:rPr>
              <w:t>3、</w:t>
            </w:r>
            <w:r>
              <w:rPr>
                <w:rFonts w:hint="eastAsia" w:ascii="微软雅黑" w:hAnsi="微软雅黑" w:eastAsia="微软雅黑" w:cs="微软雅黑"/>
                <w:color w:val="auto"/>
                <w:kern w:val="0"/>
                <w:szCs w:val="21"/>
                <w:highlight w:val="none"/>
              </w:rPr>
              <w:t>极限压力：≤0.06Pa</w:t>
            </w:r>
          </w:p>
          <w:p w14:paraId="46A99B6F">
            <w:pPr>
              <w:numPr>
                <w:ilvl w:val="0"/>
                <w:numId w:val="0"/>
              </w:numPr>
              <w:spacing w:after="0" w:line="240" w:lineRule="auto"/>
              <w:ind w:left="425" w:leftChars="0" w:hanging="425" w:firstLineChars="0"/>
              <w:rPr>
                <w:rFonts w:hint="eastAsia" w:ascii="微软雅黑" w:hAnsi="微软雅黑" w:eastAsia="微软雅黑" w:cs="微软雅黑"/>
                <w:color w:val="auto"/>
                <w:kern w:val="0"/>
                <w:szCs w:val="21"/>
                <w:highlight w:val="none"/>
              </w:rPr>
            </w:pPr>
            <w:r>
              <w:rPr>
                <w:rFonts w:hint="eastAsia" w:ascii="微软雅黑" w:hAnsi="微软雅黑" w:eastAsia="微软雅黑" w:cs="微软雅黑"/>
                <w:color w:val="auto"/>
                <w:kern w:val="0"/>
                <w:sz w:val="21"/>
                <w:szCs w:val="21"/>
                <w:lang w:val="en-US" w:eastAsia="zh-CN" w:bidi="ar-SA"/>
              </w:rPr>
              <w:t>4、</w:t>
            </w:r>
            <w:r>
              <w:rPr>
                <w:rFonts w:hint="eastAsia" w:ascii="微软雅黑" w:hAnsi="微软雅黑" w:eastAsia="微软雅黑" w:cs="微软雅黑"/>
                <w:color w:val="auto"/>
                <w:kern w:val="0"/>
                <w:szCs w:val="21"/>
                <w:highlight w:val="none"/>
              </w:rPr>
              <w:t>抽速：≥2L/s</w:t>
            </w:r>
          </w:p>
          <w:p w14:paraId="73BCC637">
            <w:pPr>
              <w:numPr>
                <w:ilvl w:val="0"/>
                <w:numId w:val="0"/>
              </w:numPr>
              <w:spacing w:after="0" w:line="240" w:lineRule="auto"/>
              <w:ind w:left="425" w:leftChars="0" w:hanging="425" w:firstLineChars="0"/>
              <w:rPr>
                <w:rFonts w:hint="eastAsia" w:ascii="微软雅黑" w:hAnsi="微软雅黑" w:eastAsia="微软雅黑" w:cs="微软雅黑"/>
                <w:color w:val="auto"/>
                <w:kern w:val="0"/>
                <w:szCs w:val="21"/>
                <w:highlight w:val="none"/>
              </w:rPr>
            </w:pPr>
            <w:r>
              <w:rPr>
                <w:rFonts w:hint="eastAsia" w:ascii="微软雅黑" w:hAnsi="微软雅黑" w:eastAsia="微软雅黑" w:cs="微软雅黑"/>
                <w:color w:val="auto"/>
                <w:kern w:val="0"/>
                <w:sz w:val="21"/>
                <w:szCs w:val="21"/>
                <w:lang w:val="en-US" w:eastAsia="zh-CN" w:bidi="ar-SA"/>
              </w:rPr>
              <w:t>5、</w:t>
            </w:r>
            <w:r>
              <w:rPr>
                <w:rFonts w:hint="eastAsia" w:ascii="微软雅黑" w:hAnsi="微软雅黑" w:eastAsia="微软雅黑" w:cs="微软雅黑"/>
                <w:color w:val="auto"/>
                <w:kern w:val="0"/>
                <w:szCs w:val="21"/>
                <w:highlight w:val="none"/>
              </w:rPr>
              <w:t>转速：≥1400rpm</w:t>
            </w:r>
          </w:p>
          <w:p w14:paraId="2C0D2477">
            <w:pPr>
              <w:numPr>
                <w:ilvl w:val="0"/>
                <w:numId w:val="0"/>
              </w:numPr>
              <w:spacing w:after="0" w:line="240" w:lineRule="auto"/>
              <w:ind w:left="425" w:leftChars="0" w:hanging="425" w:firstLineChars="0"/>
              <w:rPr>
                <w:rFonts w:hint="eastAsia" w:ascii="微软雅黑" w:hAnsi="微软雅黑" w:eastAsia="微软雅黑" w:cs="微软雅黑"/>
                <w:color w:val="auto"/>
                <w:kern w:val="0"/>
                <w:szCs w:val="21"/>
                <w:highlight w:val="none"/>
              </w:rPr>
            </w:pPr>
            <w:r>
              <w:rPr>
                <w:rFonts w:hint="eastAsia" w:ascii="微软雅黑" w:hAnsi="微软雅黑" w:eastAsia="微软雅黑" w:cs="微软雅黑"/>
                <w:color w:val="auto"/>
                <w:kern w:val="0"/>
                <w:sz w:val="21"/>
                <w:szCs w:val="21"/>
                <w:lang w:val="en-US" w:eastAsia="zh-CN" w:bidi="ar-SA"/>
              </w:rPr>
              <w:t>6、</w:t>
            </w:r>
            <w:r>
              <w:rPr>
                <w:rFonts w:hint="eastAsia" w:ascii="微软雅黑" w:hAnsi="微软雅黑" w:eastAsia="微软雅黑" w:cs="微软雅黑"/>
                <w:color w:val="auto"/>
                <w:kern w:val="0"/>
                <w:szCs w:val="21"/>
                <w:highlight w:val="none"/>
              </w:rPr>
              <w:t>进气口口径（外径）：25mm</w:t>
            </w:r>
          </w:p>
          <w:p w14:paraId="19F8ABD6">
            <w:pPr>
              <w:numPr>
                <w:ilvl w:val="0"/>
                <w:numId w:val="0"/>
              </w:numPr>
              <w:spacing w:after="0" w:line="240" w:lineRule="auto"/>
              <w:ind w:left="425" w:leftChars="0" w:hanging="425" w:firstLineChars="0"/>
              <w:rPr>
                <w:rFonts w:hint="eastAsia" w:ascii="微软雅黑" w:hAnsi="微软雅黑" w:eastAsia="微软雅黑" w:cs="微软雅黑"/>
                <w:color w:val="auto"/>
                <w:kern w:val="0"/>
                <w:szCs w:val="21"/>
                <w:highlight w:val="none"/>
              </w:rPr>
            </w:pPr>
            <w:r>
              <w:rPr>
                <w:rFonts w:hint="eastAsia" w:ascii="微软雅黑" w:hAnsi="微软雅黑" w:eastAsia="微软雅黑" w:cs="微软雅黑"/>
                <w:color w:val="auto"/>
                <w:kern w:val="0"/>
                <w:sz w:val="21"/>
                <w:szCs w:val="21"/>
                <w:lang w:val="en-US" w:eastAsia="zh-CN" w:bidi="ar-SA"/>
              </w:rPr>
              <w:t>7、</w:t>
            </w:r>
            <w:r>
              <w:rPr>
                <w:rFonts w:hint="eastAsia" w:ascii="微软雅黑" w:hAnsi="微软雅黑" w:eastAsia="微软雅黑" w:cs="微软雅黑"/>
                <w:color w:val="auto"/>
                <w:kern w:val="0"/>
                <w:szCs w:val="21"/>
                <w:highlight w:val="none"/>
              </w:rPr>
              <w:t>用油量：≤0.8L</w:t>
            </w:r>
          </w:p>
          <w:p w14:paraId="0F3CC612">
            <w:pPr>
              <w:numPr>
                <w:ilvl w:val="0"/>
                <w:numId w:val="0"/>
              </w:numPr>
              <w:spacing w:after="0" w:line="240" w:lineRule="auto"/>
              <w:ind w:left="425" w:leftChars="0" w:hanging="425" w:firstLineChars="0"/>
              <w:rPr>
                <w:color w:val="auto"/>
                <w:highlight w:val="none"/>
              </w:rPr>
            </w:pPr>
            <w:r>
              <w:rPr>
                <w:rFonts w:hint="eastAsia" w:ascii="微软雅黑" w:hAnsi="微软雅黑" w:eastAsia="微软雅黑" w:cs="微软雅黑"/>
                <w:color w:val="auto"/>
                <w:kern w:val="2"/>
                <w:sz w:val="21"/>
                <w:szCs w:val="24"/>
                <w:lang w:val="en-US" w:eastAsia="zh-CN" w:bidi="ar-SA"/>
              </w:rPr>
              <w:t>8、</w:t>
            </w:r>
            <w:r>
              <w:rPr>
                <w:rFonts w:hint="eastAsia" w:ascii="微软雅黑" w:hAnsi="微软雅黑" w:eastAsia="微软雅黑" w:cs="微软雅黑"/>
                <w:color w:val="auto"/>
                <w:kern w:val="0"/>
                <w:szCs w:val="21"/>
                <w:highlight w:val="none"/>
              </w:rPr>
              <w:t xml:space="preserve">净重 ：~20 kg </w:t>
            </w:r>
          </w:p>
        </w:tc>
        <w:tc>
          <w:tcPr>
            <w:tcW w:w="732" w:type="dxa"/>
            <w:tcBorders>
              <w:tl2br w:val="nil"/>
              <w:tr2bl w:val="nil"/>
            </w:tcBorders>
            <w:noWrap/>
            <w:vAlign w:val="center"/>
          </w:tcPr>
          <w:p w14:paraId="2987560A">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11</w:t>
            </w:r>
          </w:p>
        </w:tc>
        <w:tc>
          <w:tcPr>
            <w:tcW w:w="954" w:type="dxa"/>
            <w:tcBorders>
              <w:tl2br w:val="nil"/>
              <w:tr2bl w:val="nil"/>
            </w:tcBorders>
            <w:noWrap/>
            <w:vAlign w:val="center"/>
          </w:tcPr>
          <w:p w14:paraId="47FC8BA2">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台</w:t>
            </w:r>
          </w:p>
        </w:tc>
      </w:tr>
      <w:tr w14:paraId="195ED4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602" w:type="dxa"/>
            <w:tcBorders>
              <w:tl2br w:val="nil"/>
              <w:tr2bl w:val="nil"/>
            </w:tcBorders>
            <w:noWrap/>
            <w:vAlign w:val="center"/>
          </w:tcPr>
          <w:p w14:paraId="27CD7528">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27</w:t>
            </w:r>
          </w:p>
        </w:tc>
        <w:tc>
          <w:tcPr>
            <w:tcW w:w="2010" w:type="dxa"/>
            <w:tcBorders>
              <w:tl2br w:val="nil"/>
              <w:tr2bl w:val="nil"/>
            </w:tcBorders>
            <w:noWrap/>
            <w:vAlign w:val="center"/>
          </w:tcPr>
          <w:p w14:paraId="101438EE">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自动旋光仪</w:t>
            </w:r>
          </w:p>
        </w:tc>
        <w:tc>
          <w:tcPr>
            <w:tcW w:w="10430" w:type="dxa"/>
            <w:tcBorders>
              <w:tl2br w:val="nil"/>
              <w:tr2bl w:val="nil"/>
            </w:tcBorders>
            <w:noWrap/>
            <w:vAlign w:val="center"/>
          </w:tcPr>
          <w:p w14:paraId="72D8BB2E">
            <w:pPr>
              <w:numPr>
                <w:ilvl w:val="0"/>
                <w:numId w:val="0"/>
              </w:numPr>
              <w:spacing w:after="0" w:line="240" w:lineRule="auto"/>
              <w:ind w:left="425" w:leftChars="0" w:hanging="425" w:firstLineChars="0"/>
              <w:rPr>
                <w:rFonts w:ascii="微软雅黑" w:hAnsi="微软雅黑" w:cs="微软雅黑"/>
                <w:color w:val="auto"/>
                <w:kern w:val="0"/>
                <w:szCs w:val="21"/>
                <w:highlight w:val="none"/>
              </w:rPr>
            </w:pPr>
            <w:r>
              <w:rPr>
                <w:rFonts w:hint="default" w:ascii="微软雅黑" w:hAnsi="微软雅黑" w:eastAsia="微软雅黑" w:cs="微软雅黑"/>
                <w:color w:val="auto"/>
                <w:kern w:val="0"/>
                <w:sz w:val="21"/>
                <w:szCs w:val="21"/>
                <w:lang w:val="en-US" w:eastAsia="zh-CN" w:bidi="ar-SA"/>
              </w:rPr>
              <w:t>1</w:t>
            </w:r>
            <w:r>
              <w:rPr>
                <w:rFonts w:hint="eastAsia" w:ascii="微软雅黑" w:hAnsi="微软雅黑" w:cs="微软雅黑"/>
                <w:color w:val="auto"/>
                <w:kern w:val="0"/>
                <w:sz w:val="21"/>
                <w:szCs w:val="21"/>
                <w:lang w:val="en-US" w:eastAsia="zh-CN" w:bidi="ar-SA"/>
              </w:rPr>
              <w:t>、</w:t>
            </w:r>
            <w:r>
              <w:rPr>
                <w:rFonts w:hint="default" w:ascii="微软雅黑" w:hAnsi="微软雅黑" w:eastAsia="微软雅黑" w:cs="微软雅黑"/>
                <w:color w:val="auto"/>
                <w:kern w:val="0"/>
                <w:sz w:val="21"/>
                <w:szCs w:val="21"/>
                <w:lang w:val="en-US" w:eastAsia="zh-CN" w:bidi="ar-SA"/>
              </w:rPr>
              <w:t>.</w:t>
            </w:r>
            <w:r>
              <w:rPr>
                <w:rFonts w:hint="eastAsia" w:ascii="微软雅黑" w:hAnsi="微软雅黑" w:cs="微软雅黑"/>
                <w:color w:val="auto"/>
                <w:kern w:val="0"/>
                <w:szCs w:val="21"/>
                <w:highlight w:val="none"/>
              </w:rPr>
              <w:t>可测：旋光度、比旋度、浓度、糖度</w:t>
            </w:r>
          </w:p>
          <w:p w14:paraId="7F91C0CE">
            <w:pPr>
              <w:numPr>
                <w:ilvl w:val="0"/>
                <w:numId w:val="0"/>
              </w:numPr>
              <w:spacing w:after="0" w:line="240" w:lineRule="auto"/>
              <w:ind w:left="425" w:leftChars="0" w:hanging="425" w:firstLineChars="0"/>
              <w:rPr>
                <w:rFonts w:ascii="微软雅黑" w:hAnsi="微软雅黑" w:cs="微软雅黑"/>
                <w:color w:val="auto"/>
                <w:kern w:val="0"/>
                <w:szCs w:val="21"/>
                <w:highlight w:val="none"/>
              </w:rPr>
            </w:pPr>
            <w:r>
              <w:rPr>
                <w:rFonts w:hint="default" w:ascii="微软雅黑" w:hAnsi="微软雅黑" w:eastAsia="微软雅黑" w:cs="微软雅黑"/>
                <w:color w:val="auto"/>
                <w:kern w:val="0"/>
                <w:sz w:val="21"/>
                <w:szCs w:val="21"/>
                <w:lang w:val="en-US" w:eastAsia="zh-CN" w:bidi="ar-SA"/>
              </w:rPr>
              <w:t>2</w:t>
            </w:r>
            <w:r>
              <w:rPr>
                <w:rFonts w:hint="eastAsia" w:ascii="微软雅黑" w:hAnsi="微软雅黑" w:cs="微软雅黑"/>
                <w:color w:val="auto"/>
                <w:kern w:val="0"/>
                <w:sz w:val="21"/>
                <w:szCs w:val="21"/>
                <w:lang w:val="en-US" w:eastAsia="zh-CN" w:bidi="ar-SA"/>
              </w:rPr>
              <w:t>、</w:t>
            </w:r>
            <w:r>
              <w:rPr>
                <w:rFonts w:hint="eastAsia" w:ascii="微软雅黑" w:hAnsi="微软雅黑" w:cs="微软雅黑"/>
                <w:color w:val="auto"/>
                <w:kern w:val="0"/>
                <w:szCs w:val="21"/>
                <w:highlight w:val="none"/>
              </w:rPr>
              <w:t>仪器光源：发光二极管+滤色片</w:t>
            </w:r>
          </w:p>
          <w:p w14:paraId="159E8AA9">
            <w:pPr>
              <w:numPr>
                <w:ilvl w:val="0"/>
                <w:numId w:val="0"/>
              </w:numPr>
              <w:spacing w:after="0" w:line="240" w:lineRule="auto"/>
              <w:ind w:left="425" w:leftChars="0" w:hanging="425" w:firstLineChars="0"/>
              <w:rPr>
                <w:rFonts w:ascii="微软雅黑" w:hAnsi="微软雅黑" w:cs="微软雅黑"/>
                <w:color w:val="auto"/>
                <w:kern w:val="0"/>
                <w:szCs w:val="21"/>
                <w:highlight w:val="none"/>
              </w:rPr>
            </w:pPr>
            <w:r>
              <w:rPr>
                <w:rFonts w:hint="default" w:ascii="微软雅黑" w:hAnsi="微软雅黑" w:eastAsia="微软雅黑" w:cs="微软雅黑"/>
                <w:color w:val="auto"/>
                <w:kern w:val="0"/>
                <w:sz w:val="21"/>
                <w:szCs w:val="21"/>
                <w:lang w:val="en-US" w:eastAsia="zh-CN" w:bidi="ar-SA"/>
              </w:rPr>
              <w:t>3</w:t>
            </w:r>
            <w:r>
              <w:rPr>
                <w:rFonts w:hint="eastAsia" w:ascii="微软雅黑" w:hAnsi="微软雅黑" w:cs="微软雅黑"/>
                <w:color w:val="auto"/>
                <w:kern w:val="0"/>
                <w:sz w:val="21"/>
                <w:szCs w:val="21"/>
                <w:lang w:val="en-US" w:eastAsia="zh-CN" w:bidi="ar-SA"/>
              </w:rPr>
              <w:t>、</w:t>
            </w:r>
            <w:r>
              <w:rPr>
                <w:rFonts w:hint="eastAsia" w:ascii="微软雅黑" w:hAnsi="微软雅黑" w:cs="微软雅黑"/>
                <w:color w:val="auto"/>
                <w:kern w:val="0"/>
                <w:szCs w:val="21"/>
                <w:highlight w:val="none"/>
              </w:rPr>
              <w:t>工作波长：波长 589.3nm(钠D光谱)</w:t>
            </w:r>
          </w:p>
          <w:p w14:paraId="7E3A378E">
            <w:pPr>
              <w:numPr>
                <w:ilvl w:val="0"/>
                <w:numId w:val="0"/>
              </w:numPr>
              <w:spacing w:after="0" w:line="240" w:lineRule="auto"/>
              <w:ind w:left="425" w:leftChars="0" w:hanging="425" w:firstLineChars="0"/>
              <w:rPr>
                <w:rFonts w:ascii="微软雅黑" w:hAnsi="微软雅黑" w:cs="微软雅黑"/>
                <w:color w:val="auto"/>
                <w:kern w:val="0"/>
                <w:szCs w:val="21"/>
                <w:highlight w:val="none"/>
              </w:rPr>
            </w:pPr>
            <w:r>
              <w:rPr>
                <w:rFonts w:hint="default" w:ascii="微软雅黑" w:hAnsi="微软雅黑" w:eastAsia="微软雅黑" w:cs="微软雅黑"/>
                <w:color w:val="auto"/>
                <w:kern w:val="0"/>
                <w:sz w:val="21"/>
                <w:szCs w:val="21"/>
                <w:lang w:val="en-US" w:eastAsia="zh-CN" w:bidi="ar-SA"/>
              </w:rPr>
              <w:t>4</w:t>
            </w:r>
            <w:r>
              <w:rPr>
                <w:rFonts w:hint="eastAsia" w:ascii="微软雅黑" w:hAnsi="微软雅黑" w:cs="微软雅黑"/>
                <w:color w:val="auto"/>
                <w:kern w:val="0"/>
                <w:sz w:val="21"/>
                <w:szCs w:val="21"/>
                <w:lang w:val="en-US" w:eastAsia="zh-CN" w:bidi="ar-SA"/>
              </w:rPr>
              <w:t>、</w:t>
            </w:r>
            <w:r>
              <w:rPr>
                <w:rFonts w:hint="default" w:ascii="微软雅黑" w:hAnsi="微软雅黑" w:eastAsia="微软雅黑" w:cs="微软雅黑"/>
                <w:color w:val="auto"/>
                <w:kern w:val="0"/>
                <w:sz w:val="21"/>
                <w:szCs w:val="21"/>
                <w:lang w:val="en-US" w:eastAsia="zh-CN" w:bidi="ar-SA"/>
              </w:rPr>
              <w:t>.</w:t>
            </w:r>
            <w:r>
              <w:rPr>
                <w:rFonts w:hint="eastAsia" w:ascii="微软雅黑" w:hAnsi="微软雅黑" w:cs="微软雅黑"/>
                <w:color w:val="auto"/>
                <w:kern w:val="0"/>
                <w:szCs w:val="21"/>
                <w:highlight w:val="none"/>
              </w:rPr>
              <w:t>测量范围：±45°(旋光度)，±120°Z(糖度)</w:t>
            </w:r>
          </w:p>
          <w:p w14:paraId="1A722B57">
            <w:pPr>
              <w:numPr>
                <w:ilvl w:val="0"/>
                <w:numId w:val="0"/>
              </w:numPr>
              <w:spacing w:after="0" w:line="240" w:lineRule="auto"/>
              <w:ind w:left="425" w:leftChars="0" w:hanging="425" w:firstLineChars="0"/>
              <w:rPr>
                <w:rFonts w:ascii="微软雅黑" w:hAnsi="微软雅黑" w:cs="微软雅黑"/>
                <w:color w:val="auto"/>
                <w:kern w:val="0"/>
                <w:szCs w:val="21"/>
                <w:highlight w:val="none"/>
              </w:rPr>
            </w:pPr>
            <w:r>
              <w:rPr>
                <w:rFonts w:hint="default" w:ascii="微软雅黑" w:hAnsi="微软雅黑" w:eastAsia="微软雅黑" w:cs="微软雅黑"/>
                <w:color w:val="auto"/>
                <w:kern w:val="0"/>
                <w:sz w:val="21"/>
                <w:szCs w:val="21"/>
                <w:lang w:val="en-US" w:eastAsia="zh-CN" w:bidi="ar-SA"/>
              </w:rPr>
              <w:t>5</w:t>
            </w:r>
            <w:r>
              <w:rPr>
                <w:rFonts w:hint="eastAsia" w:ascii="微软雅黑" w:hAnsi="微软雅黑" w:cs="微软雅黑"/>
                <w:color w:val="auto"/>
                <w:kern w:val="0"/>
                <w:sz w:val="21"/>
                <w:szCs w:val="21"/>
                <w:lang w:val="en-US" w:eastAsia="zh-CN" w:bidi="ar-SA"/>
              </w:rPr>
              <w:t>、</w:t>
            </w:r>
            <w:r>
              <w:rPr>
                <w:rFonts w:hint="default" w:ascii="微软雅黑" w:hAnsi="微软雅黑" w:eastAsia="微软雅黑" w:cs="微软雅黑"/>
                <w:color w:val="auto"/>
                <w:kern w:val="0"/>
                <w:sz w:val="21"/>
                <w:szCs w:val="21"/>
                <w:lang w:val="en-US" w:eastAsia="zh-CN" w:bidi="ar-SA"/>
              </w:rPr>
              <w:t>.</w:t>
            </w:r>
            <w:r>
              <w:rPr>
                <w:rFonts w:hint="eastAsia" w:ascii="微软雅黑" w:hAnsi="微软雅黑" w:cs="微软雅黑"/>
                <w:color w:val="auto"/>
                <w:kern w:val="0"/>
                <w:szCs w:val="21"/>
                <w:highlight w:val="none"/>
              </w:rPr>
              <w:t>小读数：0.001°(旋光度)，0.001°Z(糖度)</w:t>
            </w:r>
          </w:p>
          <w:p w14:paraId="28F559AF">
            <w:pPr>
              <w:numPr>
                <w:ilvl w:val="0"/>
                <w:numId w:val="0"/>
              </w:numPr>
              <w:spacing w:after="0" w:line="240" w:lineRule="auto"/>
              <w:ind w:left="425" w:leftChars="0" w:hanging="425" w:firstLineChars="0"/>
              <w:rPr>
                <w:rFonts w:ascii="微软雅黑" w:hAnsi="微软雅黑" w:cs="微软雅黑"/>
                <w:color w:val="auto"/>
                <w:kern w:val="0"/>
                <w:szCs w:val="21"/>
                <w:highlight w:val="none"/>
              </w:rPr>
            </w:pPr>
            <w:r>
              <w:rPr>
                <w:rFonts w:hint="default" w:ascii="微软雅黑" w:hAnsi="微软雅黑" w:eastAsia="微软雅黑" w:cs="微软雅黑"/>
                <w:color w:val="auto"/>
                <w:kern w:val="0"/>
                <w:sz w:val="21"/>
                <w:szCs w:val="21"/>
                <w:lang w:val="en-US" w:eastAsia="zh-CN" w:bidi="ar-SA"/>
              </w:rPr>
              <w:t>6</w:t>
            </w:r>
            <w:r>
              <w:rPr>
                <w:rFonts w:hint="eastAsia" w:ascii="微软雅黑" w:hAnsi="微软雅黑" w:cs="微软雅黑"/>
                <w:color w:val="auto"/>
                <w:kern w:val="0"/>
                <w:sz w:val="21"/>
                <w:szCs w:val="21"/>
                <w:lang w:val="en-US" w:eastAsia="zh-CN" w:bidi="ar-SA"/>
              </w:rPr>
              <w:t>、</w:t>
            </w:r>
            <w:r>
              <w:rPr>
                <w:rFonts w:hint="default" w:ascii="微软雅黑" w:hAnsi="微软雅黑" w:eastAsia="微软雅黑" w:cs="微软雅黑"/>
                <w:color w:val="auto"/>
                <w:kern w:val="0"/>
                <w:sz w:val="21"/>
                <w:szCs w:val="21"/>
                <w:lang w:val="en-US" w:eastAsia="zh-CN" w:bidi="ar-SA"/>
              </w:rPr>
              <w:t>.</w:t>
            </w:r>
            <w:r>
              <w:rPr>
                <w:rFonts w:hint="eastAsia" w:ascii="微软雅黑" w:hAnsi="微软雅黑" w:cs="微软雅黑"/>
                <w:color w:val="auto"/>
                <w:kern w:val="0"/>
                <w:szCs w:val="21"/>
                <w:highlight w:val="none"/>
              </w:rPr>
              <w:t>误差：±(0.01+测量值×0.05 %)°(旋光度)</w:t>
            </w:r>
          </w:p>
          <w:p w14:paraId="677E6770">
            <w:pPr>
              <w:numPr>
                <w:ilvl w:val="0"/>
                <w:numId w:val="0"/>
              </w:numPr>
              <w:spacing w:after="0" w:line="240" w:lineRule="auto"/>
              <w:ind w:left="425" w:leftChars="0" w:hanging="425"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w:t>
            </w:r>
            <w:r>
              <w:rPr>
                <w:rFonts w:hint="default" w:ascii="微软雅黑" w:hAnsi="微软雅黑" w:eastAsia="微软雅黑" w:cs="微软雅黑"/>
                <w:color w:val="auto"/>
                <w:kern w:val="0"/>
                <w:sz w:val="21"/>
                <w:szCs w:val="21"/>
                <w:lang w:val="en-US" w:eastAsia="zh-CN" w:bidi="ar-SA"/>
              </w:rPr>
              <w:t>7</w:t>
            </w:r>
            <w:r>
              <w:rPr>
                <w:rFonts w:hint="eastAsia" w:ascii="微软雅黑" w:hAnsi="微软雅黑" w:cs="微软雅黑"/>
                <w:color w:val="auto"/>
                <w:kern w:val="0"/>
                <w:sz w:val="21"/>
                <w:szCs w:val="21"/>
                <w:lang w:val="en-US" w:eastAsia="zh-CN" w:bidi="ar-SA"/>
              </w:rPr>
              <w:t>、</w:t>
            </w:r>
            <w:r>
              <w:rPr>
                <w:rFonts w:hint="eastAsia" w:ascii="微软雅黑" w:hAnsi="微软雅黑" w:cs="微软雅黑"/>
                <w:color w:val="auto"/>
                <w:kern w:val="0"/>
                <w:szCs w:val="21"/>
                <w:highlight w:val="none"/>
              </w:rPr>
              <w:t>显示方式：彩色液晶触摸屏</w:t>
            </w:r>
          </w:p>
          <w:p w14:paraId="77531DDC">
            <w:pPr>
              <w:numPr>
                <w:ilvl w:val="0"/>
                <w:numId w:val="0"/>
              </w:numPr>
              <w:spacing w:after="0" w:line="240" w:lineRule="auto"/>
              <w:ind w:left="425" w:leftChars="0" w:hanging="425" w:firstLineChars="0"/>
              <w:rPr>
                <w:rFonts w:ascii="微软雅黑" w:hAnsi="微软雅黑" w:cs="微软雅黑"/>
                <w:color w:val="auto"/>
                <w:kern w:val="0"/>
                <w:szCs w:val="21"/>
                <w:highlight w:val="none"/>
              </w:rPr>
            </w:pPr>
            <w:r>
              <w:rPr>
                <w:rFonts w:hint="default" w:ascii="微软雅黑" w:hAnsi="微软雅黑" w:eastAsia="微软雅黑" w:cs="微软雅黑"/>
                <w:color w:val="auto"/>
                <w:kern w:val="0"/>
                <w:sz w:val="21"/>
                <w:szCs w:val="21"/>
                <w:lang w:val="en-US" w:eastAsia="zh-CN" w:bidi="ar-SA"/>
              </w:rPr>
              <w:t>8</w:t>
            </w:r>
            <w:r>
              <w:rPr>
                <w:rFonts w:hint="eastAsia" w:ascii="微软雅黑" w:hAnsi="微软雅黑" w:cs="微软雅黑"/>
                <w:color w:val="auto"/>
                <w:kern w:val="0"/>
                <w:sz w:val="21"/>
                <w:szCs w:val="21"/>
                <w:lang w:val="en-US" w:eastAsia="zh-CN" w:bidi="ar-SA"/>
              </w:rPr>
              <w:t>、</w:t>
            </w:r>
            <w:r>
              <w:rPr>
                <w:rFonts w:hint="eastAsia" w:ascii="微软雅黑" w:hAnsi="微软雅黑" w:cs="微软雅黑"/>
                <w:color w:val="auto"/>
                <w:kern w:val="0"/>
                <w:szCs w:val="21"/>
                <w:highlight w:val="none"/>
              </w:rPr>
              <w:t>仪器尺寸：≤605mmx370mmx260mm</w:t>
            </w:r>
          </w:p>
          <w:p w14:paraId="4AAD6985">
            <w:pPr>
              <w:numPr>
                <w:ilvl w:val="0"/>
                <w:numId w:val="0"/>
              </w:numPr>
              <w:spacing w:after="0" w:line="240" w:lineRule="auto"/>
              <w:ind w:left="425" w:leftChars="0" w:hanging="425" w:firstLineChars="0"/>
              <w:rPr>
                <w:rFonts w:ascii="微软雅黑" w:hAnsi="微软雅黑" w:cs="微软雅黑"/>
                <w:color w:val="auto"/>
                <w:kern w:val="0"/>
                <w:szCs w:val="21"/>
                <w:highlight w:val="none"/>
              </w:rPr>
            </w:pPr>
            <w:r>
              <w:rPr>
                <w:rFonts w:hint="default" w:ascii="微软雅黑" w:hAnsi="微软雅黑" w:eastAsia="微软雅黑" w:cs="微软雅黑"/>
                <w:color w:val="auto"/>
                <w:kern w:val="0"/>
                <w:sz w:val="21"/>
                <w:szCs w:val="21"/>
                <w:lang w:val="en-US" w:eastAsia="zh-CN" w:bidi="ar-SA"/>
              </w:rPr>
              <w:t>9</w:t>
            </w:r>
            <w:r>
              <w:rPr>
                <w:rFonts w:hint="eastAsia" w:ascii="微软雅黑" w:hAnsi="微软雅黑" w:cs="微软雅黑"/>
                <w:color w:val="auto"/>
                <w:kern w:val="0"/>
                <w:sz w:val="21"/>
                <w:szCs w:val="21"/>
                <w:lang w:val="en-US" w:eastAsia="zh-CN" w:bidi="ar-SA"/>
              </w:rPr>
              <w:t>、</w:t>
            </w:r>
            <w:r>
              <w:rPr>
                <w:rFonts w:hint="eastAsia" w:ascii="微软雅黑" w:hAnsi="微软雅黑" w:cs="微软雅黑"/>
                <w:color w:val="auto"/>
                <w:kern w:val="0"/>
                <w:szCs w:val="21"/>
                <w:highlight w:val="none"/>
              </w:rPr>
              <w:t>电源：220V±22V，50Hz±1Hz，150w</w:t>
            </w:r>
          </w:p>
          <w:p w14:paraId="79B60308">
            <w:pPr>
              <w:numPr>
                <w:ilvl w:val="0"/>
                <w:numId w:val="0"/>
              </w:numPr>
              <w:spacing w:after="0" w:line="240" w:lineRule="auto"/>
              <w:ind w:left="425" w:leftChars="0" w:hanging="425" w:firstLineChars="0"/>
              <w:rPr>
                <w:rFonts w:ascii="微软雅黑" w:hAnsi="微软雅黑" w:cs="微软雅黑"/>
                <w:color w:val="auto"/>
                <w:kern w:val="0"/>
                <w:szCs w:val="21"/>
                <w:highlight w:val="none"/>
              </w:rPr>
            </w:pPr>
            <w:r>
              <w:rPr>
                <w:rFonts w:hint="default" w:ascii="微软雅黑" w:hAnsi="微软雅黑" w:eastAsia="微软雅黑" w:cs="微软雅黑"/>
                <w:color w:val="auto"/>
                <w:kern w:val="0"/>
                <w:sz w:val="21"/>
                <w:szCs w:val="21"/>
                <w:lang w:val="en-US" w:eastAsia="zh-CN" w:bidi="ar-SA"/>
              </w:rPr>
              <w:t>10</w:t>
            </w:r>
            <w:r>
              <w:rPr>
                <w:rFonts w:hint="eastAsia" w:ascii="微软雅黑" w:hAnsi="微软雅黑" w:cs="微软雅黑"/>
                <w:color w:val="auto"/>
                <w:kern w:val="0"/>
                <w:sz w:val="21"/>
                <w:szCs w:val="21"/>
                <w:lang w:val="en-US" w:eastAsia="zh-CN" w:bidi="ar-SA"/>
              </w:rPr>
              <w:t>、</w:t>
            </w:r>
            <w:r>
              <w:rPr>
                <w:rFonts w:hint="eastAsia" w:ascii="微软雅黑" w:hAnsi="微软雅黑" w:cs="微软雅黑"/>
                <w:color w:val="auto"/>
                <w:kern w:val="0"/>
                <w:szCs w:val="21"/>
                <w:highlight w:val="none"/>
              </w:rPr>
              <w:t>仪器净重：≤21kg</w:t>
            </w:r>
          </w:p>
          <w:p w14:paraId="569F4370">
            <w:pPr>
              <w:numPr>
                <w:ilvl w:val="0"/>
                <w:numId w:val="0"/>
              </w:numPr>
              <w:spacing w:after="0" w:line="240" w:lineRule="auto"/>
              <w:ind w:left="425" w:leftChars="0" w:hanging="425"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w:t>
            </w:r>
            <w:r>
              <w:rPr>
                <w:rFonts w:hint="default" w:ascii="微软雅黑" w:hAnsi="微软雅黑" w:eastAsia="微软雅黑" w:cs="微软雅黑"/>
                <w:color w:val="auto"/>
                <w:kern w:val="0"/>
                <w:sz w:val="21"/>
                <w:szCs w:val="21"/>
                <w:lang w:val="en-US" w:eastAsia="zh-CN" w:bidi="ar-SA"/>
              </w:rPr>
              <w:t>11</w:t>
            </w:r>
            <w:r>
              <w:rPr>
                <w:rFonts w:hint="eastAsia" w:ascii="微软雅黑" w:hAnsi="微软雅黑" w:cs="微软雅黑"/>
                <w:color w:val="auto"/>
                <w:kern w:val="0"/>
                <w:sz w:val="21"/>
                <w:szCs w:val="21"/>
                <w:lang w:val="en-US" w:eastAsia="zh-CN" w:bidi="ar-SA"/>
              </w:rPr>
              <w:t>、</w:t>
            </w:r>
            <w:r>
              <w:rPr>
                <w:rFonts w:hint="eastAsia" w:ascii="微软雅黑" w:hAnsi="微软雅黑" w:cs="微软雅黑"/>
                <w:color w:val="auto"/>
                <w:kern w:val="0"/>
                <w:szCs w:val="21"/>
                <w:highlight w:val="none"/>
              </w:rPr>
              <w:t>通信接口：USB/RS232，</w:t>
            </w:r>
          </w:p>
          <w:p w14:paraId="36EB1181">
            <w:pPr>
              <w:numPr>
                <w:ilvl w:val="0"/>
                <w:numId w:val="0"/>
              </w:numPr>
              <w:spacing w:after="0" w:line="240" w:lineRule="auto"/>
              <w:ind w:left="425" w:leftChars="0" w:hanging="425"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w:t>
            </w:r>
            <w:r>
              <w:rPr>
                <w:rFonts w:hint="default" w:ascii="微软雅黑" w:hAnsi="微软雅黑" w:eastAsia="微软雅黑" w:cs="微软雅黑"/>
                <w:color w:val="auto"/>
                <w:kern w:val="0"/>
                <w:sz w:val="21"/>
                <w:szCs w:val="21"/>
                <w:lang w:val="en-US" w:eastAsia="zh-CN" w:bidi="ar-SA"/>
              </w:rPr>
              <w:t>12</w:t>
            </w:r>
            <w:r>
              <w:rPr>
                <w:rFonts w:hint="eastAsia" w:ascii="微软雅黑" w:hAnsi="微软雅黑" w:cs="微软雅黑"/>
                <w:color w:val="auto"/>
                <w:kern w:val="0"/>
                <w:sz w:val="21"/>
                <w:szCs w:val="21"/>
                <w:lang w:val="en-US" w:eastAsia="zh-CN" w:bidi="ar-SA"/>
              </w:rPr>
              <w:t>、</w:t>
            </w:r>
            <w:r>
              <w:rPr>
                <w:rFonts w:hint="eastAsia" w:ascii="微软雅黑" w:hAnsi="微软雅黑" w:cs="微软雅黑"/>
                <w:color w:val="auto"/>
                <w:kern w:val="0"/>
                <w:szCs w:val="21"/>
                <w:highlight w:val="none"/>
              </w:rPr>
              <w:t>测试数据可保存、打印</w:t>
            </w:r>
          </w:p>
        </w:tc>
        <w:tc>
          <w:tcPr>
            <w:tcW w:w="732" w:type="dxa"/>
            <w:tcBorders>
              <w:tl2br w:val="nil"/>
              <w:tr2bl w:val="nil"/>
            </w:tcBorders>
            <w:noWrap/>
            <w:vAlign w:val="center"/>
          </w:tcPr>
          <w:p w14:paraId="730B5854">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5</w:t>
            </w:r>
          </w:p>
        </w:tc>
        <w:tc>
          <w:tcPr>
            <w:tcW w:w="954" w:type="dxa"/>
            <w:tcBorders>
              <w:tl2br w:val="nil"/>
              <w:tr2bl w:val="nil"/>
            </w:tcBorders>
            <w:noWrap/>
            <w:vAlign w:val="center"/>
          </w:tcPr>
          <w:p w14:paraId="15487FE3">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台</w:t>
            </w:r>
          </w:p>
        </w:tc>
      </w:tr>
      <w:tr w14:paraId="4C6890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602" w:type="dxa"/>
            <w:tcBorders>
              <w:tl2br w:val="nil"/>
              <w:tr2bl w:val="nil"/>
            </w:tcBorders>
            <w:noWrap/>
            <w:vAlign w:val="center"/>
          </w:tcPr>
          <w:p w14:paraId="65FF6CDC">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28</w:t>
            </w:r>
          </w:p>
        </w:tc>
        <w:tc>
          <w:tcPr>
            <w:tcW w:w="2010" w:type="dxa"/>
            <w:tcBorders>
              <w:tl2br w:val="nil"/>
              <w:tr2bl w:val="nil"/>
            </w:tcBorders>
            <w:noWrap/>
            <w:vAlign w:val="center"/>
          </w:tcPr>
          <w:p w14:paraId="130026F1">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充氧器</w:t>
            </w:r>
          </w:p>
        </w:tc>
        <w:tc>
          <w:tcPr>
            <w:tcW w:w="10430" w:type="dxa"/>
            <w:tcBorders>
              <w:tl2br w:val="nil"/>
              <w:tr2bl w:val="nil"/>
            </w:tcBorders>
            <w:noWrap/>
            <w:vAlign w:val="center"/>
          </w:tcPr>
          <w:p w14:paraId="07E29810">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配套燃烧热实验装置使用。</w:t>
            </w:r>
          </w:p>
          <w:p w14:paraId="1AF04D3F">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1、立式充气，铜管连接；</w:t>
            </w:r>
          </w:p>
          <w:p w14:paraId="0FD01C8B">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2、充气行程：约26mm，充气口径：约14mm；</w:t>
            </w:r>
          </w:p>
          <w:p w14:paraId="3DE3ABE1">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3、压力输出：0～3.5MPa；</w:t>
            </w:r>
          </w:p>
          <w:p w14:paraId="6245B718">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4、仪器尺寸：约18*25*39cm。</w:t>
            </w:r>
          </w:p>
        </w:tc>
        <w:tc>
          <w:tcPr>
            <w:tcW w:w="732" w:type="dxa"/>
            <w:tcBorders>
              <w:tl2br w:val="nil"/>
              <w:tr2bl w:val="nil"/>
            </w:tcBorders>
            <w:noWrap/>
            <w:vAlign w:val="center"/>
          </w:tcPr>
          <w:p w14:paraId="278E0430">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w:t>
            </w:r>
          </w:p>
        </w:tc>
        <w:tc>
          <w:tcPr>
            <w:tcW w:w="954" w:type="dxa"/>
            <w:tcBorders>
              <w:tl2br w:val="nil"/>
              <w:tr2bl w:val="nil"/>
            </w:tcBorders>
            <w:noWrap/>
            <w:vAlign w:val="center"/>
          </w:tcPr>
          <w:p w14:paraId="0E437191">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台</w:t>
            </w:r>
          </w:p>
        </w:tc>
      </w:tr>
      <w:tr w14:paraId="482E32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602" w:type="dxa"/>
            <w:tcBorders>
              <w:tl2br w:val="nil"/>
              <w:tr2bl w:val="nil"/>
            </w:tcBorders>
            <w:noWrap/>
            <w:vAlign w:val="center"/>
          </w:tcPr>
          <w:p w14:paraId="626E34A0">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29</w:t>
            </w:r>
          </w:p>
        </w:tc>
        <w:tc>
          <w:tcPr>
            <w:tcW w:w="2010" w:type="dxa"/>
            <w:tcBorders>
              <w:tl2br w:val="nil"/>
              <w:tr2bl w:val="nil"/>
            </w:tcBorders>
            <w:noWrap/>
            <w:vAlign w:val="center"/>
          </w:tcPr>
          <w:p w14:paraId="38E5DAE2">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压片机(螺旋式)</w:t>
            </w:r>
          </w:p>
        </w:tc>
        <w:tc>
          <w:tcPr>
            <w:tcW w:w="10430" w:type="dxa"/>
            <w:tcBorders>
              <w:tl2br w:val="nil"/>
              <w:tr2bl w:val="nil"/>
            </w:tcBorders>
            <w:noWrap/>
            <w:vAlign w:val="center"/>
          </w:tcPr>
          <w:p w14:paraId="650AD422">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1、配套燃烧热实验装置使用；</w:t>
            </w:r>
          </w:p>
          <w:p w14:paraId="6B7919DB">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2、药品填充深度约30mm，压片直径12mm。</w:t>
            </w:r>
          </w:p>
        </w:tc>
        <w:tc>
          <w:tcPr>
            <w:tcW w:w="732" w:type="dxa"/>
            <w:tcBorders>
              <w:tl2br w:val="nil"/>
              <w:tr2bl w:val="nil"/>
            </w:tcBorders>
            <w:noWrap/>
            <w:vAlign w:val="center"/>
          </w:tcPr>
          <w:p w14:paraId="1FE1C9EA">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4</w:t>
            </w:r>
          </w:p>
        </w:tc>
        <w:tc>
          <w:tcPr>
            <w:tcW w:w="954" w:type="dxa"/>
            <w:tcBorders>
              <w:tl2br w:val="nil"/>
              <w:tr2bl w:val="nil"/>
            </w:tcBorders>
            <w:noWrap/>
            <w:vAlign w:val="center"/>
          </w:tcPr>
          <w:p w14:paraId="340BEA74">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台</w:t>
            </w:r>
          </w:p>
        </w:tc>
      </w:tr>
      <w:tr w14:paraId="161205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602" w:type="dxa"/>
            <w:tcBorders>
              <w:tl2br w:val="nil"/>
              <w:tr2bl w:val="nil"/>
            </w:tcBorders>
            <w:noWrap/>
            <w:vAlign w:val="center"/>
          </w:tcPr>
          <w:p w14:paraId="2F604B20">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30</w:t>
            </w:r>
          </w:p>
        </w:tc>
        <w:tc>
          <w:tcPr>
            <w:tcW w:w="2010" w:type="dxa"/>
            <w:tcBorders>
              <w:tl2br w:val="nil"/>
              <w:tr2bl w:val="nil"/>
            </w:tcBorders>
            <w:noWrap/>
            <w:vAlign w:val="center"/>
          </w:tcPr>
          <w:p w14:paraId="1C2EE43E">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旋转蒸发仪</w:t>
            </w:r>
          </w:p>
        </w:tc>
        <w:tc>
          <w:tcPr>
            <w:tcW w:w="10430" w:type="dxa"/>
            <w:tcBorders>
              <w:tl2br w:val="nil"/>
              <w:tr2bl w:val="nil"/>
            </w:tcBorders>
            <w:noWrap/>
            <w:vAlign w:val="center"/>
          </w:tcPr>
          <w:p w14:paraId="4DF6DB4A">
            <w:pPr>
              <w:pStyle w:val="28"/>
              <w:keepNext w:val="0"/>
              <w:keepLines w:val="0"/>
              <w:pageBreakBefore w:val="0"/>
              <w:widowControl w:val="0"/>
              <w:kinsoku/>
              <w:wordWrap/>
              <w:overflowPunct/>
              <w:topLinePunct w:val="0"/>
              <w:autoSpaceDE/>
              <w:autoSpaceDN/>
              <w:bidi w:val="0"/>
              <w:adjustRightInd/>
              <w:snapToGrid/>
              <w:spacing w:after="0" w:line="0" w:lineRule="atLeast"/>
              <w:ind w:firstLine="0" w:firstLineChars="0"/>
              <w:textAlignment w:val="auto"/>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★1、玻璃组件可左右两方向安装，主机与浴槽可自由配合放置，浴槽可移动，可放置在旋转蒸发仪左或右侧。</w:t>
            </w:r>
          </w:p>
          <w:p w14:paraId="12478BA3">
            <w:pPr>
              <w:pStyle w:val="28"/>
              <w:keepNext w:val="0"/>
              <w:keepLines w:val="0"/>
              <w:pageBreakBefore w:val="0"/>
              <w:widowControl w:val="0"/>
              <w:kinsoku/>
              <w:wordWrap/>
              <w:overflowPunct/>
              <w:topLinePunct w:val="0"/>
              <w:autoSpaceDE/>
              <w:autoSpaceDN/>
              <w:bidi w:val="0"/>
              <w:adjustRightInd/>
              <w:snapToGrid/>
              <w:spacing w:after="0" w:line="0" w:lineRule="atLeast"/>
              <w:ind w:firstLine="0" w:firstLineChars="0"/>
              <w:textAlignment w:val="auto"/>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2、浴槽温度调节精度及控制方式：±1.5 ℃（水），± 3 ℃（油）；微电脑开关控制。</w:t>
            </w:r>
          </w:p>
          <w:p w14:paraId="5DC4B951">
            <w:pPr>
              <w:pStyle w:val="28"/>
              <w:keepNext w:val="0"/>
              <w:keepLines w:val="0"/>
              <w:pageBreakBefore w:val="0"/>
              <w:widowControl w:val="0"/>
              <w:kinsoku/>
              <w:wordWrap/>
              <w:overflowPunct/>
              <w:topLinePunct w:val="0"/>
              <w:autoSpaceDE/>
              <w:autoSpaceDN/>
              <w:bidi w:val="0"/>
              <w:adjustRightInd/>
              <w:snapToGrid/>
              <w:spacing w:after="0" w:line="0" w:lineRule="atLeast"/>
              <w:ind w:firstLine="0" w:firstLineChars="0"/>
              <w:textAlignment w:val="auto"/>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3、浴槽加热方式：槽体加热，槽内无裸露加热器。</w:t>
            </w:r>
          </w:p>
          <w:p w14:paraId="5F062EBE">
            <w:pPr>
              <w:pStyle w:val="28"/>
              <w:keepNext w:val="0"/>
              <w:keepLines w:val="0"/>
              <w:pageBreakBefore w:val="0"/>
              <w:widowControl w:val="0"/>
              <w:kinsoku/>
              <w:wordWrap/>
              <w:overflowPunct/>
              <w:topLinePunct w:val="0"/>
              <w:autoSpaceDE/>
              <w:autoSpaceDN/>
              <w:bidi w:val="0"/>
              <w:adjustRightInd/>
              <w:snapToGrid/>
              <w:spacing w:after="0" w:line="0" w:lineRule="atLeast"/>
              <w:ind w:firstLine="0" w:firstLineChars="0"/>
              <w:textAlignment w:val="auto"/>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4、温度传感器：Pt温度传感器。</w:t>
            </w:r>
          </w:p>
          <w:p w14:paraId="0B3C1275">
            <w:pPr>
              <w:pStyle w:val="28"/>
              <w:keepNext w:val="0"/>
              <w:keepLines w:val="0"/>
              <w:pageBreakBefore w:val="0"/>
              <w:widowControl w:val="0"/>
              <w:kinsoku/>
              <w:wordWrap/>
              <w:overflowPunct/>
              <w:topLinePunct w:val="0"/>
              <w:autoSpaceDE/>
              <w:autoSpaceDN/>
              <w:bidi w:val="0"/>
              <w:adjustRightInd/>
              <w:snapToGrid/>
              <w:spacing w:after="0" w:line="0" w:lineRule="atLeast"/>
              <w:ind w:firstLine="0" w:firstLineChars="0"/>
              <w:textAlignment w:val="auto"/>
              <w:rPr>
                <w:rFonts w:hint="eastAsia" w:ascii="微软雅黑" w:hAnsi="微软雅黑" w:eastAsia="微软雅黑" w:cs="微软雅黑"/>
                <w:color w:val="auto"/>
                <w:kern w:val="0"/>
                <w:szCs w:val="21"/>
                <w:highlight w:val="none"/>
                <w:lang w:eastAsia="zh-CN"/>
              </w:rPr>
            </w:pPr>
            <w:r>
              <w:rPr>
                <w:rFonts w:hint="eastAsia" w:ascii="微软雅黑" w:hAnsi="微软雅黑" w:cs="微软雅黑"/>
                <w:color w:val="auto"/>
                <w:kern w:val="0"/>
                <w:szCs w:val="21"/>
                <w:highlight w:val="none"/>
              </w:rPr>
              <w:t>5、浴槽内壁为特氟龙防腐蚀涂层，浴槽具备通信接口可与本品牌真空控制器联接控制</w:t>
            </w:r>
            <w:r>
              <w:rPr>
                <w:rFonts w:hint="eastAsia" w:ascii="微软雅黑" w:hAnsi="微软雅黑" w:cs="微软雅黑"/>
                <w:color w:val="auto"/>
                <w:kern w:val="0"/>
                <w:szCs w:val="21"/>
                <w:highlight w:val="none"/>
                <w:lang w:eastAsia="zh-CN"/>
              </w:rPr>
              <w:t>。</w:t>
            </w:r>
          </w:p>
          <w:p w14:paraId="1A9CC768">
            <w:pPr>
              <w:pStyle w:val="28"/>
              <w:keepNext w:val="0"/>
              <w:keepLines w:val="0"/>
              <w:pageBreakBefore w:val="0"/>
              <w:widowControl w:val="0"/>
              <w:kinsoku/>
              <w:wordWrap/>
              <w:overflowPunct/>
              <w:topLinePunct w:val="0"/>
              <w:autoSpaceDE/>
              <w:autoSpaceDN/>
              <w:bidi w:val="0"/>
              <w:adjustRightInd/>
              <w:snapToGrid/>
              <w:spacing w:after="0" w:line="0" w:lineRule="atLeast"/>
              <w:ind w:firstLine="0" w:firstLineChars="0"/>
              <w:textAlignment w:val="auto"/>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6、安全功能：上限安全温度值可根据需要设定，测量温度超过上限温度设定值时发出警报停止控制。浴槽具备防空烧功能。</w:t>
            </w:r>
          </w:p>
          <w:p w14:paraId="0B9A9D67">
            <w:pPr>
              <w:pStyle w:val="28"/>
              <w:keepNext w:val="0"/>
              <w:keepLines w:val="0"/>
              <w:pageBreakBefore w:val="0"/>
              <w:widowControl w:val="0"/>
              <w:kinsoku/>
              <w:wordWrap/>
              <w:overflowPunct/>
              <w:topLinePunct w:val="0"/>
              <w:autoSpaceDE/>
              <w:autoSpaceDN/>
              <w:bidi w:val="0"/>
              <w:adjustRightInd/>
              <w:snapToGrid/>
              <w:spacing w:after="0" w:line="0" w:lineRule="atLeast"/>
              <w:ind w:firstLine="0" w:firstLineChars="0"/>
              <w:textAlignment w:val="auto"/>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7、蒸发能力：≥23 mL/min(水蒸发量)。</w:t>
            </w:r>
          </w:p>
          <w:p w14:paraId="459529DF">
            <w:pPr>
              <w:pStyle w:val="28"/>
              <w:keepNext w:val="0"/>
              <w:keepLines w:val="0"/>
              <w:pageBreakBefore w:val="0"/>
              <w:widowControl w:val="0"/>
              <w:kinsoku/>
              <w:wordWrap/>
              <w:overflowPunct/>
              <w:topLinePunct w:val="0"/>
              <w:autoSpaceDE/>
              <w:autoSpaceDN/>
              <w:bidi w:val="0"/>
              <w:adjustRightInd/>
              <w:snapToGrid/>
              <w:spacing w:after="0" w:line="0" w:lineRule="atLeast"/>
              <w:ind w:firstLine="0" w:firstLineChars="0"/>
              <w:textAlignment w:val="auto"/>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8、仪器控制：具备正、反转功能，也可正反交替旋转，可设置试料瓶旋转方向、转速、正反转交替及定时变向时间，定时变向时间范围为5-999秒。设备处在正转、反转、正反转交替运行时分别有各自的指示灯指示。</w:t>
            </w:r>
          </w:p>
          <w:p w14:paraId="0674255C">
            <w:pPr>
              <w:pStyle w:val="28"/>
              <w:keepNext w:val="0"/>
              <w:keepLines w:val="0"/>
              <w:pageBreakBefore w:val="0"/>
              <w:widowControl w:val="0"/>
              <w:kinsoku/>
              <w:wordWrap/>
              <w:overflowPunct/>
              <w:topLinePunct w:val="0"/>
              <w:autoSpaceDE/>
              <w:autoSpaceDN/>
              <w:bidi w:val="0"/>
              <w:adjustRightInd/>
              <w:snapToGrid/>
              <w:spacing w:after="0" w:line="0" w:lineRule="atLeast"/>
              <w:ind w:firstLine="0" w:firstLineChars="0"/>
              <w:textAlignment w:val="auto"/>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9、升降方式：重量平衡·滑动方式+手动辅助延长。</w:t>
            </w:r>
          </w:p>
          <w:p w14:paraId="30C9E9A1">
            <w:pPr>
              <w:pStyle w:val="28"/>
              <w:keepNext w:val="0"/>
              <w:keepLines w:val="0"/>
              <w:pageBreakBefore w:val="0"/>
              <w:widowControl w:val="0"/>
              <w:kinsoku/>
              <w:wordWrap/>
              <w:overflowPunct/>
              <w:topLinePunct w:val="0"/>
              <w:autoSpaceDE/>
              <w:autoSpaceDN/>
              <w:bidi w:val="0"/>
              <w:adjustRightInd/>
              <w:snapToGrid/>
              <w:spacing w:after="0" w:line="0" w:lineRule="atLeast"/>
              <w:ind w:firstLine="0" w:firstLineChars="0"/>
              <w:textAlignment w:val="auto"/>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★10、冷凝管：直立式双层冷凝管，冷凝面积≥0.146 m</w:t>
            </w:r>
            <w:r>
              <w:rPr>
                <w:rFonts w:hint="eastAsia" w:ascii="微软雅黑" w:hAnsi="微软雅黑" w:cs="微软雅黑"/>
                <w:color w:val="auto"/>
                <w:kern w:val="0"/>
                <w:szCs w:val="21"/>
                <w:highlight w:val="none"/>
                <w:vertAlign w:val="superscript"/>
              </w:rPr>
              <w:t>2</w:t>
            </w:r>
            <w:r>
              <w:rPr>
                <w:rFonts w:hint="eastAsia" w:ascii="微软雅黑" w:hAnsi="微软雅黑" w:cs="微软雅黑"/>
                <w:color w:val="auto"/>
                <w:kern w:val="0"/>
                <w:szCs w:val="21"/>
                <w:highlight w:val="none"/>
              </w:rPr>
              <w:t>，四通瓶与冷凝管非一体式，具有液体防回流构造。</w:t>
            </w:r>
          </w:p>
          <w:p w14:paraId="4D148999">
            <w:pPr>
              <w:pStyle w:val="28"/>
              <w:keepNext w:val="0"/>
              <w:keepLines w:val="0"/>
              <w:pageBreakBefore w:val="0"/>
              <w:widowControl w:val="0"/>
              <w:kinsoku/>
              <w:wordWrap/>
              <w:overflowPunct/>
              <w:topLinePunct w:val="0"/>
              <w:autoSpaceDE/>
              <w:autoSpaceDN/>
              <w:bidi w:val="0"/>
              <w:adjustRightInd/>
              <w:snapToGrid/>
              <w:spacing w:after="0" w:line="0" w:lineRule="atLeast"/>
              <w:ind w:firstLine="0" w:firstLineChars="0"/>
              <w:textAlignment w:val="auto"/>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11、主机配通信端子，与可通过真空控制器控制旋转启停、加热浴槽停止运行（出于安全，浴槽仍需手动启动）、转速和温度的设定，发生警报系统自动停止。真空控制器停止时加热浴槽停止控温；旋转蒸发仪主机关闭电源2秒钟后浴槽停止控温。</w:t>
            </w:r>
          </w:p>
          <w:p w14:paraId="27EF90B2">
            <w:pPr>
              <w:pStyle w:val="28"/>
              <w:keepNext w:val="0"/>
              <w:keepLines w:val="0"/>
              <w:pageBreakBefore w:val="0"/>
              <w:widowControl w:val="0"/>
              <w:kinsoku/>
              <w:wordWrap/>
              <w:overflowPunct/>
              <w:topLinePunct w:val="0"/>
              <w:autoSpaceDE/>
              <w:autoSpaceDN/>
              <w:bidi w:val="0"/>
              <w:adjustRightInd/>
              <w:snapToGrid/>
              <w:spacing w:after="0" w:line="0" w:lineRule="atLeast"/>
              <w:ind w:firstLine="0" w:firstLineChars="0"/>
              <w:textAlignment w:val="auto"/>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12、真空密封垫：特氟龙密封垫+特氟龙复合含氟橡胶密封垫的双重密封型。</w:t>
            </w:r>
          </w:p>
          <w:p w14:paraId="2C8EB589">
            <w:pPr>
              <w:pStyle w:val="28"/>
              <w:keepNext w:val="0"/>
              <w:keepLines w:val="0"/>
              <w:pageBreakBefore w:val="0"/>
              <w:widowControl w:val="0"/>
              <w:kinsoku/>
              <w:wordWrap/>
              <w:overflowPunct/>
              <w:topLinePunct w:val="0"/>
              <w:autoSpaceDE/>
              <w:autoSpaceDN/>
              <w:bidi w:val="0"/>
              <w:adjustRightInd/>
              <w:snapToGrid/>
              <w:spacing w:after="0" w:line="0" w:lineRule="atLeast"/>
              <w:ind w:firstLine="0" w:firstLineChars="0"/>
              <w:textAlignment w:val="auto"/>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13、真空度：≤399.9Pa（3mmHg）。</w:t>
            </w:r>
          </w:p>
          <w:p w14:paraId="79D71D6F">
            <w:pPr>
              <w:pStyle w:val="28"/>
              <w:keepNext w:val="0"/>
              <w:keepLines w:val="0"/>
              <w:pageBreakBefore w:val="0"/>
              <w:widowControl w:val="0"/>
              <w:kinsoku/>
              <w:wordWrap/>
              <w:overflowPunct/>
              <w:topLinePunct w:val="0"/>
              <w:autoSpaceDE/>
              <w:autoSpaceDN/>
              <w:bidi w:val="0"/>
              <w:adjustRightInd/>
              <w:snapToGrid/>
              <w:spacing w:after="0" w:line="0" w:lineRule="atLeast"/>
              <w:ind w:firstLine="0" w:firstLineChars="0"/>
              <w:textAlignment w:val="auto"/>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14、玻璃冷凝器具备防结露装置连接口。冷凝管和旋转轴的角度可调整。</w:t>
            </w:r>
          </w:p>
          <w:p w14:paraId="4C913544">
            <w:pPr>
              <w:pStyle w:val="28"/>
              <w:keepNext w:val="0"/>
              <w:keepLines w:val="0"/>
              <w:pageBreakBefore w:val="0"/>
              <w:widowControl w:val="0"/>
              <w:kinsoku/>
              <w:wordWrap/>
              <w:overflowPunct/>
              <w:topLinePunct w:val="0"/>
              <w:autoSpaceDE/>
              <w:autoSpaceDN/>
              <w:bidi w:val="0"/>
              <w:adjustRightInd/>
              <w:snapToGrid/>
              <w:spacing w:after="0" w:line="0" w:lineRule="atLeast"/>
              <w:ind w:firstLine="0" w:firstLineChars="0"/>
              <w:textAlignment w:val="auto"/>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15、具备退瓶环，可设置停电来电后设备继续按之前旋转设置运行或者停电来电后直接停机。</w:t>
            </w:r>
          </w:p>
          <w:p w14:paraId="79B55AF9">
            <w:pPr>
              <w:pStyle w:val="28"/>
              <w:keepNext w:val="0"/>
              <w:keepLines w:val="0"/>
              <w:pageBreakBefore w:val="0"/>
              <w:widowControl w:val="0"/>
              <w:kinsoku/>
              <w:wordWrap/>
              <w:overflowPunct/>
              <w:topLinePunct w:val="0"/>
              <w:autoSpaceDE/>
              <w:autoSpaceDN/>
              <w:bidi w:val="0"/>
              <w:adjustRightInd/>
              <w:snapToGrid/>
              <w:spacing w:after="0" w:line="0" w:lineRule="atLeast"/>
              <w:ind w:firstLine="0" w:firstLineChars="0"/>
              <w:textAlignment w:val="auto"/>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★16、配备自动进样导管、具备蒸汽温度传感器接口可连接蒸汽温度传感器。</w:t>
            </w:r>
          </w:p>
          <w:p w14:paraId="3D700A87">
            <w:pPr>
              <w:keepNext w:val="0"/>
              <w:keepLines w:val="0"/>
              <w:pageBreakBefore w:val="0"/>
              <w:widowControl w:val="0"/>
              <w:kinsoku/>
              <w:wordWrap/>
              <w:overflowPunct/>
              <w:topLinePunct w:val="0"/>
              <w:autoSpaceDE/>
              <w:autoSpaceDN/>
              <w:bidi w:val="0"/>
              <w:adjustRightInd/>
              <w:snapToGrid/>
              <w:spacing w:line="0" w:lineRule="atLeast"/>
              <w:ind w:firstLine="0" w:firstLineChars="0"/>
              <w:textAlignment w:val="auto"/>
              <w:rPr>
                <w:rFonts w:ascii="微软雅黑" w:hAnsi="微软雅黑"/>
                <w:color w:val="auto"/>
                <w:kern w:val="0"/>
                <w:szCs w:val="21"/>
                <w:highlight w:val="none"/>
              </w:rPr>
            </w:pPr>
            <w:r>
              <w:rPr>
                <w:rFonts w:hint="eastAsia" w:ascii="微软雅黑" w:hAnsi="微软雅黑"/>
                <w:color w:val="auto"/>
                <w:kern w:val="0"/>
                <w:szCs w:val="21"/>
                <w:highlight w:val="none"/>
              </w:rPr>
              <w:t>★17</w:t>
            </w:r>
            <w:r>
              <w:rPr>
                <w:rFonts w:hint="eastAsia" w:ascii="微软雅黑" w:hAnsi="微软雅黑"/>
                <w:color w:val="auto"/>
                <w:kern w:val="0"/>
                <w:szCs w:val="21"/>
                <w:highlight w:val="none"/>
                <w:lang w:eastAsia="zh-CN"/>
              </w:rPr>
              <w:t>、</w:t>
            </w:r>
            <w:r>
              <w:rPr>
                <w:rFonts w:hint="eastAsia" w:ascii="微软雅黑" w:hAnsi="微软雅黑"/>
                <w:color w:val="auto"/>
                <w:kern w:val="0"/>
                <w:szCs w:val="21"/>
                <w:highlight w:val="none"/>
              </w:rPr>
              <w:t>隔膜泵真空度：≤10 hpa</w:t>
            </w:r>
          </w:p>
          <w:p w14:paraId="0E50B17E">
            <w:pPr>
              <w:keepNext w:val="0"/>
              <w:keepLines w:val="0"/>
              <w:pageBreakBefore w:val="0"/>
              <w:widowControl w:val="0"/>
              <w:kinsoku/>
              <w:wordWrap/>
              <w:overflowPunct/>
              <w:topLinePunct w:val="0"/>
              <w:autoSpaceDE/>
              <w:autoSpaceDN/>
              <w:bidi w:val="0"/>
              <w:adjustRightInd/>
              <w:snapToGrid/>
              <w:spacing w:line="0" w:lineRule="atLeast"/>
              <w:ind w:firstLine="0" w:firstLineChars="0"/>
              <w:textAlignment w:val="auto"/>
              <w:rPr>
                <w:rFonts w:ascii="微软雅黑" w:hAnsi="微软雅黑"/>
                <w:color w:val="auto"/>
                <w:kern w:val="0"/>
                <w:szCs w:val="21"/>
                <w:highlight w:val="none"/>
              </w:rPr>
            </w:pPr>
            <w:r>
              <w:rPr>
                <w:rFonts w:hint="eastAsia" w:ascii="微软雅黑" w:hAnsi="微软雅黑"/>
                <w:color w:val="auto"/>
                <w:kern w:val="0"/>
                <w:szCs w:val="21"/>
                <w:highlight w:val="none"/>
              </w:rPr>
              <w:t>18</w:t>
            </w:r>
            <w:r>
              <w:rPr>
                <w:rFonts w:hint="eastAsia" w:ascii="微软雅黑" w:hAnsi="微软雅黑"/>
                <w:color w:val="auto"/>
                <w:kern w:val="0"/>
                <w:szCs w:val="21"/>
                <w:highlight w:val="none"/>
                <w:lang w:eastAsia="zh-CN"/>
              </w:rPr>
              <w:t>、</w:t>
            </w:r>
            <w:r>
              <w:rPr>
                <w:rFonts w:hint="eastAsia" w:ascii="微软雅黑" w:hAnsi="微软雅黑"/>
                <w:color w:val="auto"/>
                <w:kern w:val="0"/>
                <w:szCs w:val="21"/>
                <w:highlight w:val="none"/>
              </w:rPr>
              <w:t>隔膜泵具有排气速度转换开关，可选择low档或High档，排气速度（Low/High）：≥30 L/min/20 L/min</w:t>
            </w:r>
          </w:p>
          <w:p w14:paraId="48B5D716">
            <w:pPr>
              <w:keepNext w:val="0"/>
              <w:keepLines w:val="0"/>
              <w:pageBreakBefore w:val="0"/>
              <w:widowControl w:val="0"/>
              <w:kinsoku/>
              <w:wordWrap/>
              <w:overflowPunct/>
              <w:topLinePunct w:val="0"/>
              <w:autoSpaceDE/>
              <w:autoSpaceDN/>
              <w:bidi w:val="0"/>
              <w:adjustRightInd/>
              <w:snapToGrid/>
              <w:spacing w:line="0" w:lineRule="atLeast"/>
              <w:ind w:firstLine="0" w:firstLineChars="0"/>
              <w:textAlignment w:val="auto"/>
              <w:rPr>
                <w:rFonts w:ascii="微软雅黑" w:hAnsi="微软雅黑"/>
                <w:color w:val="auto"/>
                <w:kern w:val="0"/>
                <w:szCs w:val="21"/>
                <w:highlight w:val="none"/>
              </w:rPr>
            </w:pPr>
            <w:r>
              <w:rPr>
                <w:rFonts w:hint="eastAsia" w:ascii="微软雅黑" w:hAnsi="微软雅黑"/>
                <w:color w:val="auto"/>
                <w:kern w:val="0"/>
                <w:szCs w:val="21"/>
                <w:highlight w:val="none"/>
              </w:rPr>
              <w:t>19</w:t>
            </w:r>
            <w:r>
              <w:rPr>
                <w:rFonts w:hint="eastAsia" w:ascii="微软雅黑" w:hAnsi="微软雅黑"/>
                <w:color w:val="auto"/>
                <w:kern w:val="0"/>
                <w:szCs w:val="21"/>
                <w:highlight w:val="none"/>
                <w:lang w:eastAsia="zh-CN"/>
              </w:rPr>
              <w:t>、</w:t>
            </w:r>
            <w:r>
              <w:rPr>
                <w:rFonts w:hint="eastAsia" w:ascii="微软雅黑" w:hAnsi="微软雅黑"/>
                <w:color w:val="auto"/>
                <w:kern w:val="0"/>
                <w:szCs w:val="21"/>
                <w:highlight w:val="none"/>
              </w:rPr>
              <w:t>隔膜泵安全功能：马达异常检知;≥2段减压模式</w:t>
            </w:r>
          </w:p>
          <w:p w14:paraId="03093632">
            <w:pPr>
              <w:keepNext w:val="0"/>
              <w:keepLines w:val="0"/>
              <w:pageBreakBefore w:val="0"/>
              <w:widowControl w:val="0"/>
              <w:kinsoku/>
              <w:wordWrap/>
              <w:overflowPunct/>
              <w:topLinePunct w:val="0"/>
              <w:autoSpaceDE/>
              <w:autoSpaceDN/>
              <w:bidi w:val="0"/>
              <w:adjustRightInd/>
              <w:snapToGrid/>
              <w:spacing w:line="0" w:lineRule="atLeast"/>
              <w:ind w:firstLine="0" w:firstLineChars="0"/>
              <w:textAlignment w:val="auto"/>
              <w:rPr>
                <w:rFonts w:ascii="微软雅黑" w:hAnsi="微软雅黑"/>
                <w:color w:val="auto"/>
                <w:kern w:val="0"/>
                <w:szCs w:val="21"/>
                <w:highlight w:val="none"/>
              </w:rPr>
            </w:pPr>
            <w:r>
              <w:rPr>
                <w:rFonts w:hint="eastAsia" w:ascii="微软雅黑" w:hAnsi="微软雅黑"/>
                <w:color w:val="auto"/>
                <w:kern w:val="0"/>
                <w:szCs w:val="21"/>
                <w:highlight w:val="none"/>
              </w:rPr>
              <w:t>20</w:t>
            </w:r>
            <w:r>
              <w:rPr>
                <w:rFonts w:hint="eastAsia" w:ascii="微软雅黑" w:hAnsi="微软雅黑"/>
                <w:color w:val="auto"/>
                <w:kern w:val="0"/>
                <w:szCs w:val="21"/>
                <w:highlight w:val="none"/>
                <w:lang w:eastAsia="zh-CN"/>
              </w:rPr>
              <w:t>、</w:t>
            </w:r>
            <w:r>
              <w:rPr>
                <w:rFonts w:hint="eastAsia" w:ascii="微软雅黑" w:hAnsi="微软雅黑"/>
                <w:color w:val="auto"/>
                <w:kern w:val="0"/>
                <w:szCs w:val="21"/>
                <w:highlight w:val="none"/>
              </w:rPr>
              <w:t>隔膜泵具有内藏式提手便于移动搬运，排气口配备消音器。</w:t>
            </w:r>
          </w:p>
          <w:p w14:paraId="1370CF6B">
            <w:pPr>
              <w:keepNext w:val="0"/>
              <w:keepLines w:val="0"/>
              <w:pageBreakBefore w:val="0"/>
              <w:widowControl w:val="0"/>
              <w:kinsoku/>
              <w:wordWrap/>
              <w:overflowPunct/>
              <w:topLinePunct w:val="0"/>
              <w:autoSpaceDE/>
              <w:autoSpaceDN/>
              <w:bidi w:val="0"/>
              <w:adjustRightInd/>
              <w:snapToGrid/>
              <w:spacing w:line="0" w:lineRule="atLeast"/>
              <w:ind w:firstLine="0" w:firstLineChars="0"/>
              <w:textAlignment w:val="auto"/>
              <w:rPr>
                <w:rFonts w:ascii="微软雅黑" w:hAnsi="微软雅黑"/>
                <w:color w:val="auto"/>
                <w:kern w:val="0"/>
                <w:szCs w:val="21"/>
                <w:highlight w:val="none"/>
              </w:rPr>
            </w:pPr>
            <w:r>
              <w:rPr>
                <w:rFonts w:hint="eastAsia" w:ascii="微软雅黑" w:hAnsi="微软雅黑"/>
                <w:color w:val="auto"/>
                <w:kern w:val="0"/>
                <w:szCs w:val="21"/>
                <w:highlight w:val="none"/>
              </w:rPr>
              <w:t>★21</w:t>
            </w:r>
            <w:r>
              <w:rPr>
                <w:rFonts w:hint="eastAsia" w:ascii="微软雅黑" w:hAnsi="微软雅黑"/>
                <w:color w:val="auto"/>
                <w:kern w:val="0"/>
                <w:szCs w:val="21"/>
                <w:highlight w:val="none"/>
                <w:lang w:eastAsia="zh-CN"/>
              </w:rPr>
              <w:t>、</w:t>
            </w:r>
            <w:r>
              <w:rPr>
                <w:rFonts w:hint="eastAsia" w:ascii="微软雅黑" w:hAnsi="微软雅黑"/>
                <w:color w:val="auto"/>
                <w:kern w:val="0"/>
                <w:szCs w:val="21"/>
                <w:highlight w:val="none"/>
              </w:rPr>
              <w:t>隔膜泵吸气、排气口的方向可以任意转动，方便真空管的连接。</w:t>
            </w:r>
          </w:p>
          <w:p w14:paraId="69D1F8A3">
            <w:pPr>
              <w:keepNext w:val="0"/>
              <w:keepLines w:val="0"/>
              <w:pageBreakBefore w:val="0"/>
              <w:widowControl w:val="0"/>
              <w:kinsoku/>
              <w:wordWrap/>
              <w:overflowPunct/>
              <w:topLinePunct w:val="0"/>
              <w:autoSpaceDE/>
              <w:autoSpaceDN/>
              <w:bidi w:val="0"/>
              <w:adjustRightInd/>
              <w:snapToGrid/>
              <w:spacing w:line="0" w:lineRule="atLeast"/>
              <w:ind w:firstLine="0" w:firstLineChars="0"/>
              <w:textAlignment w:val="auto"/>
              <w:rPr>
                <w:rFonts w:ascii="微软雅黑" w:hAnsi="微软雅黑"/>
                <w:color w:val="auto"/>
                <w:kern w:val="0"/>
                <w:szCs w:val="21"/>
                <w:highlight w:val="none"/>
              </w:rPr>
            </w:pPr>
            <w:r>
              <w:rPr>
                <w:rFonts w:hint="eastAsia" w:ascii="微软雅黑" w:hAnsi="微软雅黑"/>
                <w:color w:val="auto"/>
                <w:kern w:val="0"/>
                <w:szCs w:val="21"/>
                <w:highlight w:val="none"/>
              </w:rPr>
              <w:t>★22</w:t>
            </w:r>
            <w:r>
              <w:rPr>
                <w:rFonts w:hint="eastAsia" w:ascii="微软雅黑" w:hAnsi="微软雅黑"/>
                <w:color w:val="auto"/>
                <w:kern w:val="0"/>
                <w:szCs w:val="21"/>
                <w:highlight w:val="none"/>
                <w:lang w:eastAsia="zh-CN"/>
              </w:rPr>
              <w:t>、</w:t>
            </w:r>
            <w:r>
              <w:rPr>
                <w:rFonts w:hint="eastAsia" w:ascii="微软雅黑" w:hAnsi="微软雅黑"/>
                <w:color w:val="auto"/>
                <w:kern w:val="0"/>
                <w:szCs w:val="21"/>
                <w:highlight w:val="none"/>
              </w:rPr>
              <w:t>隔膜泵有真空控制器接口，可实现设备升级自动化管理真空度。</w:t>
            </w:r>
          </w:p>
          <w:p w14:paraId="373C81F9">
            <w:pPr>
              <w:pStyle w:val="28"/>
              <w:keepNext w:val="0"/>
              <w:keepLines w:val="0"/>
              <w:pageBreakBefore w:val="0"/>
              <w:widowControl w:val="0"/>
              <w:kinsoku/>
              <w:wordWrap/>
              <w:overflowPunct/>
              <w:topLinePunct w:val="0"/>
              <w:autoSpaceDE/>
              <w:autoSpaceDN/>
              <w:bidi w:val="0"/>
              <w:adjustRightInd/>
              <w:snapToGrid/>
              <w:spacing w:line="0" w:lineRule="atLeast"/>
              <w:ind w:firstLine="0" w:firstLineChars="0"/>
              <w:textAlignment w:val="auto"/>
              <w:rPr>
                <w:color w:val="auto"/>
                <w:highlight w:val="none"/>
              </w:rPr>
            </w:pPr>
            <w:r>
              <w:rPr>
                <w:rFonts w:hint="eastAsia" w:ascii="微软雅黑" w:hAnsi="微软雅黑"/>
                <w:color w:val="auto"/>
                <w:kern w:val="0"/>
                <w:szCs w:val="21"/>
                <w:highlight w:val="none"/>
              </w:rPr>
              <w:t>★23. 隔膜泵配备气镇阀，打开气镇阀可把抽进隔膜泵内的有机溶剂通过气镇阀排出，保护隔膜真空泵。</w:t>
            </w:r>
          </w:p>
        </w:tc>
        <w:tc>
          <w:tcPr>
            <w:tcW w:w="732" w:type="dxa"/>
            <w:tcBorders>
              <w:tl2br w:val="nil"/>
              <w:tr2bl w:val="nil"/>
            </w:tcBorders>
            <w:noWrap/>
            <w:vAlign w:val="center"/>
          </w:tcPr>
          <w:p w14:paraId="2752F17E">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w:t>
            </w:r>
          </w:p>
        </w:tc>
        <w:tc>
          <w:tcPr>
            <w:tcW w:w="954" w:type="dxa"/>
            <w:tcBorders>
              <w:tl2br w:val="nil"/>
              <w:tr2bl w:val="nil"/>
            </w:tcBorders>
            <w:noWrap/>
            <w:vAlign w:val="center"/>
          </w:tcPr>
          <w:p w14:paraId="340745EB">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台</w:t>
            </w:r>
          </w:p>
        </w:tc>
      </w:tr>
      <w:tr w14:paraId="2CF7C3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602" w:type="dxa"/>
            <w:tcBorders>
              <w:tl2br w:val="nil"/>
              <w:tr2bl w:val="nil"/>
            </w:tcBorders>
            <w:noWrap/>
            <w:vAlign w:val="center"/>
          </w:tcPr>
          <w:p w14:paraId="4C649514">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31</w:t>
            </w:r>
          </w:p>
        </w:tc>
        <w:tc>
          <w:tcPr>
            <w:tcW w:w="2010" w:type="dxa"/>
            <w:tcBorders>
              <w:tl2br w:val="nil"/>
              <w:tr2bl w:val="nil"/>
            </w:tcBorders>
            <w:noWrap/>
            <w:vAlign w:val="center"/>
          </w:tcPr>
          <w:p w14:paraId="49B8075E">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低温冷却液循环泵</w:t>
            </w:r>
          </w:p>
        </w:tc>
        <w:tc>
          <w:tcPr>
            <w:tcW w:w="10430" w:type="dxa"/>
            <w:tcBorders>
              <w:tl2br w:val="nil"/>
              <w:tr2bl w:val="nil"/>
            </w:tcBorders>
            <w:noWrap/>
            <w:vAlign w:val="center"/>
          </w:tcPr>
          <w:p w14:paraId="33FF7897">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制冷方式：封闭式压缩机制冷，冷却方式：风冷</w:t>
            </w:r>
          </w:p>
          <w:p w14:paraId="6AC211B8">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容积：≥10L</w:t>
            </w:r>
          </w:p>
          <w:p w14:paraId="322EAA05">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3</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最大制冷量（W）：≥1500（单级）</w:t>
            </w:r>
          </w:p>
          <w:p w14:paraId="433D440E">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4</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温控范围：-40℃~100℃</w:t>
            </w:r>
          </w:p>
          <w:p w14:paraId="20689671">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5</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空载最低温度：≤-40℃</w:t>
            </w:r>
          </w:p>
          <w:p w14:paraId="67604038">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6</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控温精度：士0.1℃</w:t>
            </w:r>
          </w:p>
          <w:p w14:paraId="728C9602">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7</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材质：304 不锈钢</w:t>
            </w:r>
          </w:p>
          <w:p w14:paraId="1663B9A0">
            <w:pPr>
              <w:pStyle w:val="28"/>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8</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额定流量：15~20 L/min</w:t>
            </w:r>
          </w:p>
        </w:tc>
        <w:tc>
          <w:tcPr>
            <w:tcW w:w="732" w:type="dxa"/>
            <w:tcBorders>
              <w:tl2br w:val="nil"/>
              <w:tr2bl w:val="nil"/>
            </w:tcBorders>
            <w:noWrap/>
            <w:vAlign w:val="center"/>
          </w:tcPr>
          <w:p w14:paraId="0AD4DC03">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w:t>
            </w:r>
          </w:p>
        </w:tc>
        <w:tc>
          <w:tcPr>
            <w:tcW w:w="954" w:type="dxa"/>
            <w:tcBorders>
              <w:tl2br w:val="nil"/>
              <w:tr2bl w:val="nil"/>
            </w:tcBorders>
            <w:noWrap/>
            <w:vAlign w:val="center"/>
          </w:tcPr>
          <w:p w14:paraId="23090B00">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台</w:t>
            </w:r>
          </w:p>
        </w:tc>
      </w:tr>
      <w:tr w14:paraId="7ED5E2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602" w:type="dxa"/>
            <w:tcBorders>
              <w:tl2br w:val="nil"/>
              <w:tr2bl w:val="nil"/>
            </w:tcBorders>
            <w:noWrap/>
            <w:vAlign w:val="center"/>
          </w:tcPr>
          <w:p w14:paraId="381066C4">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32</w:t>
            </w:r>
          </w:p>
        </w:tc>
        <w:tc>
          <w:tcPr>
            <w:tcW w:w="2010" w:type="dxa"/>
            <w:tcBorders>
              <w:tl2br w:val="nil"/>
              <w:tr2bl w:val="nil"/>
            </w:tcBorders>
            <w:noWrap/>
            <w:vAlign w:val="center"/>
          </w:tcPr>
          <w:p w14:paraId="68433BF3">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磁力搅拌器</w:t>
            </w:r>
          </w:p>
        </w:tc>
        <w:tc>
          <w:tcPr>
            <w:tcW w:w="10430" w:type="dxa"/>
            <w:tcBorders>
              <w:tl2br w:val="nil"/>
              <w:tr2bl w:val="nil"/>
            </w:tcBorders>
            <w:noWrap/>
            <w:vAlign w:val="center"/>
          </w:tcPr>
          <w:p w14:paraId="765FD5CE">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1、电机功率：≥5W</w:t>
            </w:r>
          </w:p>
          <w:p w14:paraId="559A3BB1">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2、电机类型：无刷电机</w:t>
            </w:r>
          </w:p>
          <w:p w14:paraId="18F0D8E2">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3、搅拌量：≥3L</w:t>
            </w:r>
          </w:p>
          <w:p w14:paraId="6ABD18EF">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★4、电池容量：2000mA</w:t>
            </w:r>
          </w:p>
          <w:p w14:paraId="737289EC">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5、转速范围：500~3000rpm</w:t>
            </w:r>
          </w:p>
        </w:tc>
        <w:tc>
          <w:tcPr>
            <w:tcW w:w="732" w:type="dxa"/>
            <w:tcBorders>
              <w:tl2br w:val="nil"/>
              <w:tr2bl w:val="nil"/>
            </w:tcBorders>
            <w:noWrap/>
            <w:vAlign w:val="center"/>
          </w:tcPr>
          <w:p w14:paraId="0C2221AB">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32</w:t>
            </w:r>
          </w:p>
        </w:tc>
        <w:tc>
          <w:tcPr>
            <w:tcW w:w="954" w:type="dxa"/>
            <w:tcBorders>
              <w:tl2br w:val="nil"/>
              <w:tr2bl w:val="nil"/>
            </w:tcBorders>
            <w:noWrap/>
            <w:vAlign w:val="center"/>
          </w:tcPr>
          <w:p w14:paraId="14724536">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台</w:t>
            </w:r>
          </w:p>
        </w:tc>
      </w:tr>
      <w:tr w14:paraId="7D1722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602" w:type="dxa"/>
            <w:tcBorders>
              <w:tl2br w:val="nil"/>
              <w:tr2bl w:val="nil"/>
            </w:tcBorders>
            <w:noWrap/>
            <w:vAlign w:val="center"/>
          </w:tcPr>
          <w:p w14:paraId="6E6EEA9F">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33</w:t>
            </w:r>
          </w:p>
        </w:tc>
        <w:tc>
          <w:tcPr>
            <w:tcW w:w="2010" w:type="dxa"/>
            <w:tcBorders>
              <w:tl2br w:val="nil"/>
              <w:tr2bl w:val="nil"/>
            </w:tcBorders>
            <w:noWrap/>
            <w:vAlign w:val="center"/>
          </w:tcPr>
          <w:p w14:paraId="302BB7D8">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三用紫外分析仪</w:t>
            </w:r>
          </w:p>
        </w:tc>
        <w:tc>
          <w:tcPr>
            <w:tcW w:w="10430" w:type="dxa"/>
            <w:tcBorders>
              <w:tl2br w:val="nil"/>
              <w:tr2bl w:val="nil"/>
            </w:tcBorders>
            <w:noWrap/>
            <w:vAlign w:val="center"/>
          </w:tcPr>
          <w:p w14:paraId="1838AA78">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波长：254 nm、365 nm（可单独和同时混用）</w:t>
            </w:r>
          </w:p>
          <w:p w14:paraId="50F07EA1">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灯管管圧：50V±10V</w:t>
            </w:r>
          </w:p>
          <w:p w14:paraId="3536D9CE">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3</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带暗箱</w:t>
            </w:r>
          </w:p>
        </w:tc>
        <w:tc>
          <w:tcPr>
            <w:tcW w:w="732" w:type="dxa"/>
            <w:tcBorders>
              <w:tl2br w:val="nil"/>
              <w:tr2bl w:val="nil"/>
            </w:tcBorders>
            <w:noWrap/>
            <w:vAlign w:val="center"/>
          </w:tcPr>
          <w:p w14:paraId="144E7C38">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w:t>
            </w:r>
          </w:p>
        </w:tc>
        <w:tc>
          <w:tcPr>
            <w:tcW w:w="954" w:type="dxa"/>
            <w:tcBorders>
              <w:tl2br w:val="nil"/>
              <w:tr2bl w:val="nil"/>
            </w:tcBorders>
            <w:noWrap/>
            <w:vAlign w:val="center"/>
          </w:tcPr>
          <w:p w14:paraId="220035A8">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台</w:t>
            </w:r>
          </w:p>
        </w:tc>
      </w:tr>
      <w:tr w14:paraId="20CD9E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6" w:hRule="atLeast"/>
          <w:jc w:val="center"/>
        </w:trPr>
        <w:tc>
          <w:tcPr>
            <w:tcW w:w="602" w:type="dxa"/>
            <w:tcBorders>
              <w:tl2br w:val="nil"/>
              <w:tr2bl w:val="nil"/>
            </w:tcBorders>
            <w:noWrap/>
            <w:vAlign w:val="center"/>
          </w:tcPr>
          <w:p w14:paraId="7B8728BB">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34</w:t>
            </w:r>
          </w:p>
        </w:tc>
        <w:tc>
          <w:tcPr>
            <w:tcW w:w="2010" w:type="dxa"/>
            <w:tcBorders>
              <w:tl2br w:val="nil"/>
              <w:tr2bl w:val="nil"/>
            </w:tcBorders>
            <w:noWrap/>
            <w:vAlign w:val="center"/>
          </w:tcPr>
          <w:p w14:paraId="0B328F0A">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玻璃气流烘干器</w:t>
            </w:r>
          </w:p>
        </w:tc>
        <w:tc>
          <w:tcPr>
            <w:tcW w:w="10430" w:type="dxa"/>
            <w:tcBorders>
              <w:tl2br w:val="nil"/>
              <w:tr2bl w:val="nil"/>
            </w:tcBorders>
            <w:noWrap/>
            <w:vAlign w:val="center"/>
          </w:tcPr>
          <w:p w14:paraId="2DA624E9">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温度设定范围：40~120℃</w:t>
            </w:r>
          </w:p>
          <w:p w14:paraId="59E2D3E9">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加热器功率：600~1000w</w:t>
            </w:r>
          </w:p>
          <w:p w14:paraId="6DE8869B">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3</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 xml:space="preserve">出风口数量：≥30个 </w:t>
            </w:r>
          </w:p>
        </w:tc>
        <w:tc>
          <w:tcPr>
            <w:tcW w:w="732" w:type="dxa"/>
            <w:tcBorders>
              <w:tl2br w:val="nil"/>
              <w:tr2bl w:val="nil"/>
            </w:tcBorders>
            <w:noWrap/>
            <w:vAlign w:val="center"/>
          </w:tcPr>
          <w:p w14:paraId="0C80D6E8">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w:t>
            </w:r>
          </w:p>
        </w:tc>
        <w:tc>
          <w:tcPr>
            <w:tcW w:w="954" w:type="dxa"/>
            <w:tcBorders>
              <w:tl2br w:val="nil"/>
              <w:tr2bl w:val="nil"/>
            </w:tcBorders>
            <w:noWrap/>
            <w:vAlign w:val="center"/>
          </w:tcPr>
          <w:p w14:paraId="45C139A7">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台</w:t>
            </w:r>
          </w:p>
        </w:tc>
      </w:tr>
      <w:tr w14:paraId="6D5FFB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602" w:type="dxa"/>
            <w:tcBorders>
              <w:tl2br w:val="nil"/>
              <w:tr2bl w:val="nil"/>
            </w:tcBorders>
            <w:noWrap/>
            <w:vAlign w:val="center"/>
          </w:tcPr>
          <w:p w14:paraId="0B437E83">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35</w:t>
            </w:r>
          </w:p>
        </w:tc>
        <w:tc>
          <w:tcPr>
            <w:tcW w:w="2010" w:type="dxa"/>
            <w:tcBorders>
              <w:tl2br w:val="nil"/>
              <w:tr2bl w:val="nil"/>
            </w:tcBorders>
            <w:noWrap/>
            <w:vAlign w:val="center"/>
          </w:tcPr>
          <w:p w14:paraId="375922EF">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显微熔点仪</w:t>
            </w:r>
          </w:p>
        </w:tc>
        <w:tc>
          <w:tcPr>
            <w:tcW w:w="10430" w:type="dxa"/>
            <w:tcBorders>
              <w:tl2br w:val="nil"/>
              <w:tr2bl w:val="nil"/>
            </w:tcBorders>
            <w:noWrap/>
            <w:vAlign w:val="center"/>
          </w:tcPr>
          <w:p w14:paraId="719DFF44">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一</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显微镜</w:t>
            </w:r>
          </w:p>
          <w:p w14:paraId="5556C8BD">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1、放大倍数：40倍~100倍，可变倍调节</w:t>
            </w:r>
          </w:p>
          <w:p w14:paraId="7D5FF05E">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2、观察方式:双目体视显微镜</w:t>
            </w:r>
          </w:p>
          <w:p w14:paraId="64955410">
            <w:pPr>
              <w:tabs>
                <w:tab w:val="left" w:pos="3073"/>
              </w:tabs>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二</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熔点仪</w:t>
            </w:r>
            <w:r>
              <w:rPr>
                <w:rFonts w:hint="eastAsia" w:ascii="微软雅黑" w:hAnsi="微软雅黑" w:cs="微软雅黑"/>
                <w:color w:val="auto"/>
                <w:kern w:val="0"/>
                <w:szCs w:val="21"/>
                <w:highlight w:val="none"/>
              </w:rPr>
              <w:tab/>
            </w:r>
          </w:p>
          <w:p w14:paraId="4FC6C4DA">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1、测量范围：室温~320 ºC</w:t>
            </w:r>
          </w:p>
          <w:p w14:paraId="177AAD46">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2、最小示值：≤0.1℃</w:t>
            </w:r>
          </w:p>
          <w:p w14:paraId="5856143F">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3、重复性:≤200℃±1℃，＞200℃±2℃</w:t>
            </w:r>
          </w:p>
          <w:p w14:paraId="7953891A">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4、测量模式:毛细管法、热台法</w:t>
            </w:r>
          </w:p>
          <w:p w14:paraId="14BFB0F2">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5、带有防风罩。</w:t>
            </w:r>
          </w:p>
        </w:tc>
        <w:tc>
          <w:tcPr>
            <w:tcW w:w="732" w:type="dxa"/>
            <w:tcBorders>
              <w:tl2br w:val="nil"/>
              <w:tr2bl w:val="nil"/>
            </w:tcBorders>
            <w:noWrap/>
            <w:vAlign w:val="center"/>
          </w:tcPr>
          <w:p w14:paraId="18F3E931">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w:t>
            </w:r>
          </w:p>
        </w:tc>
        <w:tc>
          <w:tcPr>
            <w:tcW w:w="954" w:type="dxa"/>
            <w:tcBorders>
              <w:tl2br w:val="nil"/>
              <w:tr2bl w:val="nil"/>
            </w:tcBorders>
            <w:noWrap/>
            <w:vAlign w:val="center"/>
          </w:tcPr>
          <w:p w14:paraId="6045B5E5">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台</w:t>
            </w:r>
          </w:p>
        </w:tc>
      </w:tr>
      <w:tr w14:paraId="490A99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602" w:type="dxa"/>
            <w:tcBorders>
              <w:tl2br w:val="nil"/>
              <w:tr2bl w:val="nil"/>
            </w:tcBorders>
            <w:noWrap/>
            <w:vAlign w:val="center"/>
          </w:tcPr>
          <w:p w14:paraId="164A656C">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36</w:t>
            </w:r>
          </w:p>
        </w:tc>
        <w:tc>
          <w:tcPr>
            <w:tcW w:w="2010" w:type="dxa"/>
            <w:tcBorders>
              <w:tl2br w:val="nil"/>
              <w:tr2bl w:val="nil"/>
            </w:tcBorders>
            <w:noWrap/>
            <w:vAlign w:val="center"/>
          </w:tcPr>
          <w:p w14:paraId="3F21A432">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纯水机</w:t>
            </w:r>
          </w:p>
        </w:tc>
        <w:tc>
          <w:tcPr>
            <w:tcW w:w="10430" w:type="dxa"/>
            <w:tcBorders>
              <w:tl2br w:val="nil"/>
              <w:tr2bl w:val="nil"/>
            </w:tcBorders>
            <w:noWrap/>
            <w:vAlign w:val="center"/>
          </w:tcPr>
          <w:p w14:paraId="08A4E257">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1、超纯水指标：</w:t>
            </w:r>
          </w:p>
          <w:p w14:paraId="388BE4B8">
            <w:pPr>
              <w:pStyle w:val="28"/>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电阻率（25°C）：≥18.25 MΩ.cm</w:t>
            </w:r>
          </w:p>
          <w:p w14:paraId="69D23AC3">
            <w:pPr>
              <w:pStyle w:val="28"/>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TOC＜10 ppb</w:t>
            </w:r>
          </w:p>
          <w:p w14:paraId="41253577">
            <w:pPr>
              <w:pStyle w:val="28"/>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微生物＜0.1cfu/ml</w:t>
            </w:r>
          </w:p>
          <w:p w14:paraId="4B80DBEA">
            <w:pPr>
              <w:pStyle w:val="28"/>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重金属含量(ppb.max) ＜0.1 ppb</w:t>
            </w:r>
          </w:p>
          <w:p w14:paraId="29817700">
            <w:pPr>
              <w:pStyle w:val="28"/>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可溶性硅(SiO</w:t>
            </w:r>
            <w:r>
              <w:rPr>
                <w:rFonts w:hint="eastAsia" w:ascii="微软雅黑" w:hAnsi="微软雅黑" w:cs="微软雅黑"/>
                <w:color w:val="auto"/>
                <w:kern w:val="0"/>
                <w:szCs w:val="21"/>
                <w:highlight w:val="none"/>
                <w:vertAlign w:val="subscript"/>
              </w:rPr>
              <w:t>2</w:t>
            </w:r>
            <w:r>
              <w:rPr>
                <w:rFonts w:hint="eastAsia" w:ascii="微软雅黑" w:hAnsi="微软雅黑" w:cs="微软雅黑"/>
                <w:color w:val="auto"/>
                <w:kern w:val="0"/>
                <w:szCs w:val="21"/>
                <w:highlight w:val="none"/>
              </w:rPr>
              <w:t>)＜0.1 ppb</w:t>
            </w:r>
          </w:p>
          <w:p w14:paraId="66BF106B">
            <w:pPr>
              <w:pStyle w:val="28"/>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吸光度(254nm,1cm)≤0.001</w:t>
            </w:r>
          </w:p>
          <w:p w14:paraId="4AE5B568">
            <w:pPr>
              <w:pStyle w:val="28"/>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2、纯水水质</w:t>
            </w:r>
          </w:p>
          <w:p w14:paraId="696D3D22">
            <w:pPr>
              <w:pStyle w:val="28"/>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电导率（25℃）2-10μs/cm</w:t>
            </w:r>
          </w:p>
          <w:p w14:paraId="1ECF1FD7">
            <w:pPr>
              <w:pStyle w:val="28"/>
              <w:spacing w:after="0" w:line="240" w:lineRule="auto"/>
              <w:ind w:firstLine="0" w:firstLineChars="0"/>
              <w:rPr>
                <w:rFonts w:hint="eastAsia" w:ascii="微软雅黑" w:hAnsi="微软雅黑" w:eastAsia="微软雅黑" w:cs="微软雅黑"/>
                <w:color w:val="auto"/>
                <w:kern w:val="0"/>
                <w:szCs w:val="21"/>
                <w:highlight w:val="none"/>
                <w:lang w:eastAsia="zh-CN"/>
              </w:rPr>
            </w:pPr>
            <w:r>
              <w:rPr>
                <w:rFonts w:hint="eastAsia" w:ascii="微软雅黑" w:hAnsi="微软雅黑" w:cs="微软雅黑"/>
                <w:color w:val="auto"/>
                <w:kern w:val="0"/>
                <w:szCs w:val="21"/>
                <w:highlight w:val="none"/>
              </w:rPr>
              <w:t>3、全自动RO膜防垢冲洗程序</w:t>
            </w:r>
            <w:r>
              <w:rPr>
                <w:rFonts w:hint="eastAsia" w:ascii="微软雅黑" w:hAnsi="微软雅黑" w:cs="微软雅黑"/>
                <w:color w:val="auto"/>
                <w:kern w:val="0"/>
                <w:szCs w:val="21"/>
                <w:highlight w:val="none"/>
                <w:lang w:eastAsia="zh-CN"/>
              </w:rPr>
              <w:t>；</w:t>
            </w:r>
          </w:p>
          <w:p w14:paraId="0B053075">
            <w:pPr>
              <w:pStyle w:val="28"/>
              <w:spacing w:after="0" w:line="240" w:lineRule="auto"/>
              <w:ind w:firstLine="0" w:firstLineChars="0"/>
              <w:rPr>
                <w:rFonts w:hint="default" w:ascii="微软雅黑" w:hAnsi="微软雅黑" w:eastAsia="微软雅黑" w:cs="微软雅黑"/>
                <w:color w:val="auto"/>
                <w:kern w:val="0"/>
                <w:szCs w:val="21"/>
                <w:highlight w:val="none"/>
                <w:lang w:val="en-US" w:eastAsia="zh-CN"/>
              </w:rPr>
            </w:pPr>
            <w:r>
              <w:rPr>
                <w:rFonts w:hint="eastAsia" w:ascii="微软雅黑" w:hAnsi="微软雅黑" w:cs="微软雅黑"/>
                <w:color w:val="auto"/>
                <w:kern w:val="0"/>
                <w:szCs w:val="21"/>
                <w:highlight w:val="none"/>
              </w:rPr>
              <w:t>4、无水报警，水满报警，源水、RO水、超纯水(参数可随意设定)超标报警,耗材寿命终结报警，故障自动检测</w:t>
            </w:r>
            <w:r>
              <w:rPr>
                <w:rFonts w:hint="eastAsia" w:ascii="微软雅黑" w:hAnsi="微软雅黑" w:cs="微软雅黑"/>
                <w:color w:val="auto"/>
                <w:kern w:val="0"/>
                <w:szCs w:val="21"/>
                <w:highlight w:val="none"/>
                <w:lang w:eastAsia="zh-CN"/>
              </w:rPr>
              <w:t>；</w:t>
            </w:r>
          </w:p>
          <w:p w14:paraId="6120B891">
            <w:pPr>
              <w:pStyle w:val="28"/>
              <w:spacing w:after="0" w:line="240" w:lineRule="auto"/>
              <w:ind w:firstLine="0" w:firstLineChars="0"/>
              <w:rPr>
                <w:rFonts w:hint="default" w:ascii="微软雅黑" w:hAnsi="微软雅黑" w:eastAsia="微软雅黑" w:cs="微软雅黑"/>
                <w:color w:val="auto"/>
                <w:kern w:val="0"/>
                <w:szCs w:val="21"/>
                <w:highlight w:val="none"/>
                <w:lang w:val="en-US" w:eastAsia="zh-CN"/>
              </w:rPr>
            </w:pPr>
            <w:r>
              <w:rPr>
                <w:rFonts w:hint="eastAsia" w:ascii="微软雅黑" w:hAnsi="微软雅黑" w:cs="微软雅黑"/>
                <w:color w:val="auto"/>
                <w:kern w:val="0"/>
                <w:szCs w:val="21"/>
                <w:highlight w:val="none"/>
              </w:rPr>
              <w:t>5、特设仪器开机密码，系统设置均由密码保护，防止未经授权的更改</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lang w:val="en-US" w:eastAsia="zh-CN"/>
              </w:rPr>
              <w:t xml:space="preserve"> </w:t>
            </w:r>
          </w:p>
          <w:p w14:paraId="3F557821">
            <w:pPr>
              <w:pStyle w:val="28"/>
              <w:spacing w:after="0" w:line="240" w:lineRule="auto"/>
              <w:ind w:firstLine="0" w:firstLineChars="0"/>
              <w:rPr>
                <w:rFonts w:hint="eastAsia" w:ascii="微软雅黑" w:hAnsi="微软雅黑" w:eastAsia="微软雅黑" w:cs="微软雅黑"/>
                <w:color w:val="auto"/>
                <w:kern w:val="0"/>
                <w:szCs w:val="21"/>
                <w:highlight w:val="none"/>
                <w:lang w:eastAsia="zh-CN"/>
              </w:rPr>
            </w:pPr>
            <w:r>
              <w:rPr>
                <w:rFonts w:hint="eastAsia" w:ascii="微软雅黑" w:hAnsi="微软雅黑" w:cs="微软雅黑"/>
                <w:color w:val="auto"/>
                <w:kern w:val="0"/>
                <w:szCs w:val="21"/>
                <w:highlight w:val="none"/>
              </w:rPr>
              <w:t>6、历史告警、历史取水记录以及耗材管理功能</w:t>
            </w:r>
            <w:r>
              <w:rPr>
                <w:rFonts w:hint="eastAsia" w:ascii="微软雅黑" w:hAnsi="微软雅黑" w:cs="微软雅黑"/>
                <w:color w:val="auto"/>
                <w:kern w:val="0"/>
                <w:szCs w:val="21"/>
                <w:highlight w:val="none"/>
                <w:lang w:eastAsia="zh-CN"/>
              </w:rPr>
              <w:t>；</w:t>
            </w:r>
          </w:p>
          <w:p w14:paraId="4CEE6194">
            <w:pPr>
              <w:pStyle w:val="28"/>
              <w:spacing w:after="0" w:line="240" w:lineRule="auto"/>
              <w:ind w:firstLine="0" w:firstLineChars="0"/>
              <w:rPr>
                <w:rFonts w:hint="eastAsia" w:ascii="微软雅黑" w:hAnsi="微软雅黑" w:eastAsia="微软雅黑" w:cs="微软雅黑"/>
                <w:color w:val="auto"/>
                <w:kern w:val="0"/>
                <w:szCs w:val="21"/>
                <w:highlight w:val="none"/>
                <w:lang w:eastAsia="zh-CN"/>
              </w:rPr>
            </w:pPr>
            <w:r>
              <w:rPr>
                <w:rFonts w:hint="eastAsia" w:ascii="微软雅黑" w:hAnsi="微软雅黑" w:cs="微软雅黑"/>
                <w:color w:val="auto"/>
                <w:kern w:val="0"/>
                <w:szCs w:val="21"/>
                <w:highlight w:val="none"/>
              </w:rPr>
              <w:t>7、特设定时取水功能，分质取水，一机两用</w:t>
            </w:r>
            <w:r>
              <w:rPr>
                <w:rFonts w:hint="eastAsia" w:ascii="微软雅黑" w:hAnsi="微软雅黑" w:cs="微软雅黑"/>
                <w:color w:val="auto"/>
                <w:kern w:val="0"/>
                <w:szCs w:val="21"/>
                <w:highlight w:val="none"/>
                <w:lang w:eastAsia="zh-CN"/>
              </w:rPr>
              <w:t>；</w:t>
            </w:r>
          </w:p>
          <w:p w14:paraId="70225191">
            <w:pPr>
              <w:pStyle w:val="28"/>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8、所有管路选用优质原材料，为全新快插式接头，滤柱</w:t>
            </w:r>
            <w:r>
              <w:rPr>
                <w:rFonts w:hint="eastAsia" w:ascii="微软雅黑" w:hAnsi="微软雅黑" w:cs="微软雅黑"/>
                <w:color w:val="auto"/>
                <w:kern w:val="0"/>
                <w:szCs w:val="21"/>
                <w:highlight w:val="none"/>
                <w:lang w:eastAsia="zh-CN"/>
              </w:rPr>
              <w:t>；</w:t>
            </w:r>
          </w:p>
          <w:p w14:paraId="6FA0099B">
            <w:pPr>
              <w:pStyle w:val="28"/>
              <w:spacing w:after="0" w:line="240" w:lineRule="auto"/>
              <w:ind w:firstLine="0" w:firstLineChars="0"/>
              <w:rPr>
                <w:rFonts w:hint="eastAsia" w:ascii="微软雅黑" w:hAnsi="微软雅黑" w:eastAsia="微软雅黑" w:cs="微软雅黑"/>
                <w:color w:val="auto"/>
                <w:kern w:val="0"/>
                <w:szCs w:val="21"/>
                <w:highlight w:val="none"/>
                <w:lang w:eastAsia="zh-CN"/>
              </w:rPr>
            </w:pPr>
            <w:r>
              <w:rPr>
                <w:rFonts w:hint="eastAsia" w:ascii="微软雅黑" w:hAnsi="微软雅黑" w:cs="微软雅黑"/>
                <w:color w:val="auto"/>
                <w:kern w:val="0"/>
                <w:szCs w:val="21"/>
                <w:highlight w:val="none"/>
              </w:rPr>
              <w:t>9、原装树脂，全下垂流超纯化柱设计</w:t>
            </w:r>
            <w:r>
              <w:rPr>
                <w:rFonts w:hint="eastAsia" w:ascii="微软雅黑" w:hAnsi="微软雅黑" w:cs="微软雅黑"/>
                <w:color w:val="auto"/>
                <w:kern w:val="0"/>
                <w:szCs w:val="21"/>
                <w:highlight w:val="none"/>
                <w:lang w:eastAsia="zh-CN"/>
              </w:rPr>
              <w:t>；</w:t>
            </w:r>
          </w:p>
          <w:p w14:paraId="699D68BB">
            <w:pPr>
              <w:pStyle w:val="28"/>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10、全自动微电脑控制系统，多级菜单式操作</w:t>
            </w:r>
          </w:p>
          <w:p w14:paraId="56C7BDA7">
            <w:pPr>
              <w:pStyle w:val="28"/>
              <w:spacing w:after="0" w:line="240" w:lineRule="auto"/>
              <w:ind w:firstLine="0" w:firstLineChars="0"/>
              <w:rPr>
                <w:rFonts w:hint="eastAsia" w:ascii="微软雅黑" w:hAnsi="微软雅黑" w:eastAsia="微软雅黑" w:cs="微软雅黑"/>
                <w:color w:val="auto"/>
                <w:kern w:val="0"/>
                <w:szCs w:val="21"/>
                <w:highlight w:val="none"/>
                <w:lang w:eastAsia="zh-CN"/>
              </w:rPr>
            </w:pPr>
            <w:r>
              <w:rPr>
                <w:rFonts w:hint="eastAsia" w:ascii="微软雅黑" w:hAnsi="微软雅黑" w:cs="微软雅黑"/>
                <w:color w:val="auto"/>
                <w:kern w:val="0"/>
                <w:szCs w:val="21"/>
                <w:highlight w:val="none"/>
              </w:rPr>
              <w:t>11、同时在线2路水质监控，实时监测RO水和超纯水水质及水温</w:t>
            </w:r>
            <w:r>
              <w:rPr>
                <w:rFonts w:hint="eastAsia" w:ascii="微软雅黑" w:hAnsi="微软雅黑" w:cs="微软雅黑"/>
                <w:color w:val="auto"/>
                <w:kern w:val="0"/>
                <w:szCs w:val="21"/>
                <w:highlight w:val="none"/>
                <w:lang w:eastAsia="zh-CN"/>
              </w:rPr>
              <w:t>；</w:t>
            </w:r>
          </w:p>
          <w:p w14:paraId="47C382D7">
            <w:pPr>
              <w:spacing w:after="0" w:line="240" w:lineRule="auto"/>
              <w:ind w:firstLine="0" w:firstLineChars="0"/>
              <w:rPr>
                <w:rFonts w:hint="eastAsia" w:ascii="微软雅黑" w:hAnsi="微软雅黑" w:eastAsia="微软雅黑" w:cs="微软雅黑"/>
                <w:color w:val="auto"/>
                <w:kern w:val="0"/>
                <w:szCs w:val="21"/>
                <w:highlight w:val="none"/>
                <w:lang w:eastAsia="zh-CN"/>
              </w:rPr>
            </w:pPr>
            <w:r>
              <w:rPr>
                <w:rFonts w:hint="eastAsia" w:ascii="微软雅黑" w:hAnsi="微软雅黑" w:cs="微软雅黑"/>
                <w:color w:val="auto"/>
                <w:kern w:val="0"/>
                <w:szCs w:val="21"/>
                <w:highlight w:val="none"/>
              </w:rPr>
              <w:t>★12、制水量≥60 L/h</w:t>
            </w:r>
            <w:r>
              <w:rPr>
                <w:rFonts w:hint="eastAsia" w:ascii="微软雅黑" w:hAnsi="微软雅黑" w:cs="微软雅黑"/>
                <w:color w:val="auto"/>
                <w:kern w:val="0"/>
                <w:szCs w:val="21"/>
                <w:highlight w:val="none"/>
                <w:lang w:eastAsia="zh-CN"/>
              </w:rPr>
              <w:t>；</w:t>
            </w:r>
          </w:p>
        </w:tc>
        <w:tc>
          <w:tcPr>
            <w:tcW w:w="732" w:type="dxa"/>
            <w:tcBorders>
              <w:tl2br w:val="nil"/>
              <w:tr2bl w:val="nil"/>
            </w:tcBorders>
            <w:noWrap/>
            <w:vAlign w:val="center"/>
          </w:tcPr>
          <w:p w14:paraId="327F3D69">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w:t>
            </w:r>
          </w:p>
        </w:tc>
        <w:tc>
          <w:tcPr>
            <w:tcW w:w="954" w:type="dxa"/>
            <w:tcBorders>
              <w:tl2br w:val="nil"/>
              <w:tr2bl w:val="nil"/>
            </w:tcBorders>
            <w:noWrap/>
            <w:vAlign w:val="center"/>
          </w:tcPr>
          <w:p w14:paraId="5663ADAD">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台</w:t>
            </w:r>
          </w:p>
        </w:tc>
      </w:tr>
      <w:tr w14:paraId="43A98D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602" w:type="dxa"/>
            <w:tcBorders>
              <w:tl2br w:val="nil"/>
              <w:tr2bl w:val="nil"/>
            </w:tcBorders>
            <w:noWrap/>
            <w:vAlign w:val="center"/>
          </w:tcPr>
          <w:p w14:paraId="369FFFFE">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37</w:t>
            </w:r>
          </w:p>
        </w:tc>
        <w:tc>
          <w:tcPr>
            <w:tcW w:w="2010" w:type="dxa"/>
            <w:tcBorders>
              <w:tl2br w:val="nil"/>
              <w:tr2bl w:val="nil"/>
            </w:tcBorders>
            <w:noWrap/>
            <w:vAlign w:val="center"/>
          </w:tcPr>
          <w:p w14:paraId="332C77AF">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超纯水仪</w:t>
            </w:r>
          </w:p>
        </w:tc>
        <w:tc>
          <w:tcPr>
            <w:tcW w:w="10430" w:type="dxa"/>
            <w:tcBorders>
              <w:tl2br w:val="nil"/>
              <w:tr2bl w:val="nil"/>
            </w:tcBorders>
            <w:noWrap/>
            <w:vAlign w:val="center"/>
          </w:tcPr>
          <w:p w14:paraId="4BF84832">
            <w:pPr>
              <w:spacing w:after="0" w:line="240" w:lineRule="auto"/>
              <w:ind w:firstLine="0" w:firstLineChars="0"/>
              <w:rPr>
                <w:color w:val="auto"/>
                <w:highlight w:val="none"/>
              </w:rPr>
            </w:pPr>
            <w:r>
              <w:rPr>
                <w:rFonts w:hint="eastAsia"/>
                <w:color w:val="auto"/>
                <w:highlight w:val="none"/>
              </w:rPr>
              <w:t>★1、超纯水指标：</w:t>
            </w:r>
          </w:p>
          <w:p w14:paraId="0EF674EB">
            <w:pPr>
              <w:pStyle w:val="28"/>
              <w:spacing w:after="0" w:line="240" w:lineRule="auto"/>
              <w:ind w:firstLine="0" w:firstLineChars="0"/>
              <w:rPr>
                <w:color w:val="auto"/>
                <w:highlight w:val="none"/>
              </w:rPr>
            </w:pPr>
            <w:r>
              <w:rPr>
                <w:rFonts w:hint="eastAsia"/>
                <w:color w:val="auto"/>
                <w:highlight w:val="none"/>
              </w:rPr>
              <w:t>电阻率（25°C）：≥18.25 MΩ.cm</w:t>
            </w:r>
          </w:p>
          <w:p w14:paraId="1FF00B2D">
            <w:pPr>
              <w:spacing w:after="0" w:line="240" w:lineRule="auto"/>
              <w:ind w:firstLine="0" w:firstLineChars="0"/>
              <w:rPr>
                <w:color w:val="auto"/>
                <w:highlight w:val="none"/>
              </w:rPr>
            </w:pPr>
            <w:r>
              <w:rPr>
                <w:rFonts w:hint="eastAsia"/>
                <w:color w:val="auto"/>
                <w:highlight w:val="none"/>
              </w:rPr>
              <w:t>TOC＜10 ppb</w:t>
            </w:r>
          </w:p>
          <w:p w14:paraId="56E992D7">
            <w:pPr>
              <w:spacing w:after="0" w:line="240" w:lineRule="auto"/>
              <w:ind w:firstLine="0" w:firstLineChars="0"/>
              <w:rPr>
                <w:color w:val="auto"/>
                <w:highlight w:val="none"/>
              </w:rPr>
            </w:pPr>
            <w:r>
              <w:rPr>
                <w:rFonts w:hint="eastAsia"/>
                <w:color w:val="auto"/>
                <w:highlight w:val="none"/>
              </w:rPr>
              <w:t>微生物＜0.1cfu/ml</w:t>
            </w:r>
          </w:p>
          <w:p w14:paraId="59B3259C">
            <w:pPr>
              <w:spacing w:after="0" w:line="240" w:lineRule="auto"/>
              <w:ind w:firstLine="0" w:firstLineChars="0"/>
              <w:rPr>
                <w:color w:val="auto"/>
                <w:highlight w:val="none"/>
              </w:rPr>
            </w:pPr>
            <w:r>
              <w:rPr>
                <w:rFonts w:hint="eastAsia"/>
                <w:color w:val="auto"/>
                <w:highlight w:val="none"/>
              </w:rPr>
              <w:t>重金属含量(ppb.max) ＜0.1 ppb</w:t>
            </w:r>
          </w:p>
          <w:p w14:paraId="48B6B3E7">
            <w:pPr>
              <w:spacing w:after="0" w:line="240" w:lineRule="auto"/>
              <w:ind w:firstLine="0" w:firstLineChars="0"/>
              <w:rPr>
                <w:color w:val="auto"/>
                <w:highlight w:val="none"/>
              </w:rPr>
            </w:pPr>
            <w:r>
              <w:rPr>
                <w:rFonts w:hint="eastAsia"/>
                <w:color w:val="auto"/>
                <w:highlight w:val="none"/>
              </w:rPr>
              <w:t>可溶性硅(SiO2)＜0.1 ppb</w:t>
            </w:r>
          </w:p>
          <w:p w14:paraId="242083C7">
            <w:pPr>
              <w:spacing w:after="0" w:line="240" w:lineRule="auto"/>
              <w:ind w:firstLine="0" w:firstLineChars="0"/>
              <w:rPr>
                <w:rFonts w:hint="eastAsia" w:ascii="微软雅黑" w:hAnsi="微软雅黑" w:eastAsia="微软雅黑" w:cs="微软雅黑"/>
                <w:color w:val="auto"/>
                <w:highlight w:val="none"/>
              </w:rPr>
            </w:pPr>
            <w:r>
              <w:rPr>
                <w:rFonts w:hint="eastAsia" w:ascii="微软雅黑" w:hAnsi="微软雅黑" w:eastAsia="微软雅黑" w:cs="微软雅黑"/>
                <w:color w:val="auto"/>
                <w:highlight w:val="none"/>
              </w:rPr>
              <w:t>吸光度(254nm,1cm)≤0.001</w:t>
            </w:r>
          </w:p>
          <w:p w14:paraId="0E6C417D">
            <w:pPr>
              <w:spacing w:after="0" w:line="240" w:lineRule="auto"/>
              <w:ind w:firstLine="0" w:firstLineChars="0"/>
              <w:rPr>
                <w:rFonts w:hint="eastAsia" w:ascii="微软雅黑" w:hAnsi="微软雅黑" w:eastAsia="微软雅黑" w:cs="微软雅黑"/>
                <w:color w:val="auto"/>
                <w:highlight w:val="none"/>
              </w:rPr>
            </w:pPr>
            <w:r>
              <w:rPr>
                <w:rFonts w:hint="eastAsia" w:ascii="微软雅黑" w:hAnsi="微软雅黑" w:eastAsia="微软雅黑" w:cs="微软雅黑"/>
                <w:color w:val="auto"/>
                <w:highlight w:val="none"/>
              </w:rPr>
              <w:t>2、纯水水质</w:t>
            </w:r>
          </w:p>
          <w:p w14:paraId="6A1903DE">
            <w:pPr>
              <w:spacing w:after="0" w:line="240" w:lineRule="auto"/>
              <w:ind w:firstLine="0" w:firstLineChars="0"/>
              <w:rPr>
                <w:rFonts w:hint="eastAsia" w:ascii="微软雅黑" w:hAnsi="微软雅黑" w:eastAsia="微软雅黑" w:cs="微软雅黑"/>
                <w:color w:val="auto"/>
                <w:highlight w:val="none"/>
              </w:rPr>
            </w:pPr>
            <w:r>
              <w:rPr>
                <w:rFonts w:hint="eastAsia" w:ascii="微软雅黑" w:hAnsi="微软雅黑" w:eastAsia="微软雅黑" w:cs="微软雅黑"/>
                <w:color w:val="auto"/>
                <w:highlight w:val="none"/>
              </w:rPr>
              <w:t>电导率（25℃）：2-10 μs/cm</w:t>
            </w:r>
          </w:p>
          <w:p w14:paraId="5CB642F9">
            <w:pPr>
              <w:spacing w:after="0" w:line="240" w:lineRule="auto"/>
              <w:ind w:firstLine="0" w:firstLineChars="0"/>
              <w:rPr>
                <w:rFonts w:hint="eastAsia" w:ascii="微软雅黑" w:hAnsi="微软雅黑" w:eastAsia="微软雅黑" w:cs="微软雅黑"/>
                <w:color w:val="auto"/>
                <w:highlight w:val="none"/>
              </w:rPr>
            </w:pPr>
            <w:r>
              <w:rPr>
                <w:rFonts w:hint="eastAsia" w:ascii="微软雅黑" w:hAnsi="微软雅黑" w:eastAsia="微软雅黑" w:cs="微软雅黑"/>
                <w:color w:val="auto"/>
                <w:highlight w:val="none"/>
              </w:rPr>
              <w:t>3、全自动RO膜防垢冲洗程序</w:t>
            </w:r>
          </w:p>
          <w:p w14:paraId="573436CD">
            <w:pPr>
              <w:spacing w:after="0" w:line="240" w:lineRule="auto"/>
              <w:ind w:firstLine="0" w:firstLineChars="0"/>
              <w:rPr>
                <w:rFonts w:hint="eastAsia" w:ascii="微软雅黑" w:hAnsi="微软雅黑" w:eastAsia="微软雅黑" w:cs="微软雅黑"/>
                <w:color w:val="auto"/>
                <w:highlight w:val="none"/>
              </w:rPr>
            </w:pPr>
            <w:r>
              <w:rPr>
                <w:rFonts w:hint="eastAsia" w:ascii="微软雅黑" w:hAnsi="微软雅黑" w:eastAsia="微软雅黑" w:cs="微软雅黑"/>
                <w:color w:val="auto"/>
                <w:highlight w:val="none"/>
              </w:rPr>
              <w:t>4、无水报警，水满报警，源水、RO水、超纯水(参数可随意设定)超标报警,耗材寿命终结报警，故障自动检测</w:t>
            </w:r>
            <w:r>
              <w:rPr>
                <w:rFonts w:hint="eastAsia" w:ascii="微软雅黑" w:hAnsi="微软雅黑" w:eastAsia="微软雅黑" w:cs="微软雅黑"/>
                <w:color w:val="auto"/>
                <w:highlight w:val="none"/>
                <w:lang w:eastAsia="zh-CN"/>
              </w:rPr>
              <w:t>；</w:t>
            </w:r>
            <w:r>
              <w:rPr>
                <w:rFonts w:hint="eastAsia" w:ascii="微软雅黑" w:hAnsi="微软雅黑" w:eastAsia="微软雅黑" w:cs="微软雅黑"/>
                <w:color w:val="auto"/>
                <w:highlight w:val="none"/>
                <w:lang w:val="en-US" w:eastAsia="zh-CN"/>
              </w:rPr>
              <w:t xml:space="preserve"> </w:t>
            </w:r>
            <w:r>
              <w:rPr>
                <w:rFonts w:hint="eastAsia" w:ascii="微软雅黑" w:hAnsi="微软雅黑" w:eastAsia="微软雅黑" w:cs="微软雅黑"/>
                <w:color w:val="auto"/>
                <w:highlight w:val="none"/>
              </w:rPr>
              <w:t xml:space="preserve"> </w:t>
            </w:r>
          </w:p>
          <w:p w14:paraId="09274957">
            <w:pPr>
              <w:spacing w:after="0" w:line="240" w:lineRule="auto"/>
              <w:ind w:firstLine="0" w:firstLineChars="0"/>
              <w:rPr>
                <w:rFonts w:hint="eastAsia" w:ascii="微软雅黑" w:hAnsi="微软雅黑" w:eastAsia="微软雅黑" w:cs="微软雅黑"/>
                <w:color w:val="auto"/>
                <w:highlight w:val="none"/>
                <w:lang w:eastAsia="zh-CN"/>
              </w:rPr>
            </w:pPr>
            <w:r>
              <w:rPr>
                <w:rFonts w:hint="eastAsia" w:ascii="微软雅黑" w:hAnsi="微软雅黑" w:eastAsia="微软雅黑" w:cs="微软雅黑"/>
                <w:color w:val="auto"/>
                <w:highlight w:val="none"/>
              </w:rPr>
              <w:t>5、特设仪器开机密码，系统设置均由密码保护，防止未经授权的更改</w:t>
            </w:r>
            <w:r>
              <w:rPr>
                <w:rFonts w:hint="eastAsia" w:ascii="微软雅黑" w:hAnsi="微软雅黑" w:eastAsia="微软雅黑" w:cs="微软雅黑"/>
                <w:color w:val="auto"/>
                <w:highlight w:val="none"/>
                <w:lang w:eastAsia="zh-CN"/>
              </w:rPr>
              <w:t>；</w:t>
            </w:r>
          </w:p>
          <w:p w14:paraId="4335538A">
            <w:pPr>
              <w:spacing w:after="0" w:line="240" w:lineRule="auto"/>
              <w:ind w:firstLine="0" w:firstLineChars="0"/>
              <w:rPr>
                <w:rFonts w:hint="eastAsia" w:ascii="微软雅黑" w:hAnsi="微软雅黑" w:eastAsia="微软雅黑" w:cs="微软雅黑"/>
                <w:color w:val="auto"/>
                <w:highlight w:val="none"/>
                <w:lang w:eastAsia="zh-CN"/>
              </w:rPr>
            </w:pPr>
            <w:r>
              <w:rPr>
                <w:rFonts w:hint="eastAsia" w:ascii="微软雅黑" w:hAnsi="微软雅黑" w:eastAsia="微软雅黑" w:cs="微软雅黑"/>
                <w:color w:val="auto"/>
                <w:highlight w:val="none"/>
              </w:rPr>
              <w:t>★6、历史告警、历史取水记录以及耗材管理功能</w:t>
            </w:r>
            <w:r>
              <w:rPr>
                <w:rFonts w:hint="eastAsia" w:ascii="微软雅黑" w:hAnsi="微软雅黑" w:eastAsia="微软雅黑" w:cs="微软雅黑"/>
                <w:color w:val="auto"/>
                <w:highlight w:val="none"/>
                <w:lang w:eastAsia="zh-CN"/>
              </w:rPr>
              <w:t>；</w:t>
            </w:r>
          </w:p>
          <w:p w14:paraId="6FD2B32A">
            <w:pPr>
              <w:spacing w:after="0" w:line="240" w:lineRule="auto"/>
              <w:ind w:firstLine="0" w:firstLineChars="0"/>
              <w:rPr>
                <w:rFonts w:hint="eastAsia" w:ascii="微软雅黑" w:hAnsi="微软雅黑" w:eastAsia="微软雅黑" w:cs="微软雅黑"/>
                <w:color w:val="auto"/>
                <w:highlight w:val="none"/>
                <w:lang w:eastAsia="zh-CN"/>
              </w:rPr>
            </w:pPr>
            <w:r>
              <w:rPr>
                <w:rFonts w:hint="eastAsia" w:ascii="微软雅黑" w:hAnsi="微软雅黑" w:eastAsia="微软雅黑" w:cs="微软雅黑"/>
                <w:color w:val="auto"/>
                <w:highlight w:val="none"/>
              </w:rPr>
              <w:t>7、特设定时取水功能，分质取水，一机两用</w:t>
            </w:r>
            <w:r>
              <w:rPr>
                <w:rFonts w:hint="eastAsia" w:ascii="微软雅黑" w:hAnsi="微软雅黑" w:eastAsia="微软雅黑" w:cs="微软雅黑"/>
                <w:color w:val="auto"/>
                <w:highlight w:val="none"/>
                <w:lang w:eastAsia="zh-CN"/>
              </w:rPr>
              <w:t>；</w:t>
            </w:r>
          </w:p>
          <w:p w14:paraId="57E90929">
            <w:pPr>
              <w:pStyle w:val="28"/>
              <w:spacing w:after="0" w:line="240" w:lineRule="auto"/>
              <w:ind w:firstLine="0" w:firstLineChars="0"/>
              <w:rPr>
                <w:rFonts w:hint="eastAsia" w:ascii="微软雅黑" w:hAnsi="微软雅黑" w:eastAsia="微软雅黑" w:cs="微软雅黑"/>
                <w:color w:val="auto"/>
                <w:highlight w:val="none"/>
                <w:lang w:eastAsia="zh-CN"/>
              </w:rPr>
            </w:pPr>
            <w:r>
              <w:rPr>
                <w:rFonts w:hint="eastAsia" w:ascii="微软雅黑" w:hAnsi="微软雅黑" w:eastAsia="微软雅黑" w:cs="微软雅黑"/>
                <w:color w:val="auto"/>
                <w:highlight w:val="none"/>
              </w:rPr>
              <w:t>8、所有管路选用优质原材料，为全新快插式接头，滤柱</w:t>
            </w:r>
            <w:r>
              <w:rPr>
                <w:rFonts w:hint="eastAsia" w:ascii="微软雅黑" w:hAnsi="微软雅黑" w:eastAsia="微软雅黑" w:cs="微软雅黑"/>
                <w:color w:val="auto"/>
                <w:highlight w:val="none"/>
                <w:lang w:eastAsia="zh-CN"/>
              </w:rPr>
              <w:t>；</w:t>
            </w:r>
          </w:p>
          <w:p w14:paraId="359BED68">
            <w:pPr>
              <w:pStyle w:val="28"/>
              <w:spacing w:after="0" w:line="240" w:lineRule="auto"/>
              <w:ind w:firstLine="0" w:firstLineChars="0"/>
              <w:rPr>
                <w:rFonts w:hint="eastAsia" w:ascii="微软雅黑" w:hAnsi="微软雅黑" w:eastAsia="微软雅黑" w:cs="微软雅黑"/>
                <w:color w:val="auto"/>
                <w:highlight w:val="none"/>
                <w:lang w:eastAsia="zh-CN"/>
              </w:rPr>
            </w:pPr>
            <w:r>
              <w:rPr>
                <w:rFonts w:hint="eastAsia" w:ascii="微软雅黑" w:hAnsi="微软雅黑" w:eastAsia="微软雅黑" w:cs="微软雅黑"/>
                <w:color w:val="auto"/>
                <w:highlight w:val="none"/>
              </w:rPr>
              <w:t>9、原装树脂，全下垂流超纯化柱设计</w:t>
            </w:r>
            <w:r>
              <w:rPr>
                <w:rFonts w:hint="eastAsia" w:ascii="微软雅黑" w:hAnsi="微软雅黑" w:eastAsia="微软雅黑" w:cs="微软雅黑"/>
                <w:color w:val="auto"/>
                <w:highlight w:val="none"/>
                <w:lang w:eastAsia="zh-CN"/>
              </w:rPr>
              <w:t>；</w:t>
            </w:r>
          </w:p>
          <w:p w14:paraId="39EF7990">
            <w:pPr>
              <w:spacing w:after="0" w:line="240" w:lineRule="auto"/>
              <w:ind w:firstLine="0" w:firstLineChars="0"/>
              <w:rPr>
                <w:rFonts w:hint="eastAsia" w:ascii="微软雅黑" w:hAnsi="微软雅黑" w:eastAsia="微软雅黑" w:cs="微软雅黑"/>
                <w:color w:val="auto"/>
                <w:highlight w:val="none"/>
                <w:lang w:eastAsia="zh-CN"/>
              </w:rPr>
            </w:pPr>
            <w:r>
              <w:rPr>
                <w:rFonts w:hint="eastAsia" w:ascii="微软雅黑" w:hAnsi="微软雅黑" w:eastAsia="微软雅黑" w:cs="微软雅黑"/>
                <w:color w:val="auto"/>
                <w:highlight w:val="none"/>
              </w:rPr>
              <w:t>10、全自动微电脑控制系统，多级菜单式操作</w:t>
            </w:r>
            <w:r>
              <w:rPr>
                <w:rFonts w:hint="eastAsia" w:ascii="微软雅黑" w:hAnsi="微软雅黑" w:eastAsia="微软雅黑" w:cs="微软雅黑"/>
                <w:color w:val="auto"/>
                <w:highlight w:val="none"/>
                <w:lang w:eastAsia="zh-CN"/>
              </w:rPr>
              <w:t>；</w:t>
            </w:r>
          </w:p>
          <w:p w14:paraId="331752E5">
            <w:pPr>
              <w:spacing w:after="0" w:line="240" w:lineRule="auto"/>
              <w:ind w:firstLine="0" w:firstLineChars="0"/>
              <w:rPr>
                <w:rFonts w:hint="eastAsia" w:ascii="微软雅黑" w:hAnsi="微软雅黑" w:eastAsia="微软雅黑" w:cs="微软雅黑"/>
                <w:color w:val="auto"/>
                <w:highlight w:val="none"/>
                <w:lang w:eastAsia="zh-CN"/>
              </w:rPr>
            </w:pPr>
            <w:r>
              <w:rPr>
                <w:rFonts w:hint="eastAsia" w:ascii="微软雅黑" w:hAnsi="微软雅黑" w:eastAsia="微软雅黑" w:cs="微软雅黑"/>
                <w:color w:val="auto"/>
                <w:highlight w:val="none"/>
              </w:rPr>
              <w:t>★11、同时在线2路水质监控，实时监测RO水和超纯水水质及水温</w:t>
            </w:r>
            <w:r>
              <w:rPr>
                <w:rFonts w:hint="eastAsia" w:ascii="微软雅黑" w:hAnsi="微软雅黑" w:eastAsia="微软雅黑" w:cs="微软雅黑"/>
                <w:color w:val="auto"/>
                <w:highlight w:val="none"/>
                <w:lang w:eastAsia="zh-CN"/>
              </w:rPr>
              <w:t>；</w:t>
            </w:r>
          </w:p>
          <w:p w14:paraId="20D3DCE8">
            <w:pPr>
              <w:numPr>
                <w:ilvl w:val="0"/>
                <w:numId w:val="7"/>
              </w:numPr>
              <w:spacing w:after="0" w:line="240" w:lineRule="auto"/>
              <w:ind w:firstLine="0" w:firstLineChars="0"/>
              <w:rPr>
                <w:rFonts w:hint="eastAsia" w:ascii="微软雅黑" w:hAnsi="微软雅黑" w:eastAsia="微软雅黑" w:cs="微软雅黑"/>
                <w:color w:val="auto"/>
                <w:highlight w:val="none"/>
              </w:rPr>
            </w:pPr>
            <w:r>
              <w:rPr>
                <w:rFonts w:hint="eastAsia" w:ascii="微软雅黑" w:hAnsi="微软雅黑" w:eastAsia="微软雅黑" w:cs="微软雅黑"/>
                <w:color w:val="auto"/>
                <w:highlight w:val="none"/>
              </w:rPr>
              <w:t>制水量≥20 L/h</w:t>
            </w:r>
            <w:r>
              <w:rPr>
                <w:rFonts w:hint="eastAsia" w:ascii="微软雅黑" w:hAnsi="微软雅黑" w:eastAsia="微软雅黑" w:cs="微软雅黑"/>
                <w:color w:val="auto"/>
                <w:highlight w:val="none"/>
                <w:lang w:eastAsia="zh-CN"/>
              </w:rPr>
              <w:t>；</w:t>
            </w:r>
          </w:p>
          <w:p w14:paraId="7ACE6F38">
            <w:pPr>
              <w:pStyle w:val="28"/>
              <w:spacing w:line="240" w:lineRule="atLeast"/>
              <w:ind w:firstLine="0" w:firstLineChars="0"/>
              <w:rPr>
                <w:rFonts w:hint="eastAsia" w:eastAsia="微软雅黑"/>
                <w:color w:val="auto"/>
                <w:highlight w:val="none"/>
                <w:lang w:eastAsia="zh-CN"/>
              </w:rPr>
            </w:pPr>
            <w:r>
              <w:rPr>
                <w:rFonts w:hint="eastAsia" w:ascii="微软雅黑" w:hAnsi="微软雅黑" w:eastAsia="微软雅黑" w:cs="微软雅黑"/>
                <w:color w:val="auto"/>
                <w:highlight w:val="none"/>
              </w:rPr>
              <w:t>13、免费提供3次量的耗材（活性炭、pp滤芯，RO膜滤芯）</w:t>
            </w:r>
            <w:r>
              <w:rPr>
                <w:rFonts w:hint="eastAsia"/>
                <w:color w:val="auto"/>
                <w:highlight w:val="none"/>
                <w:lang w:eastAsia="zh-CN"/>
              </w:rPr>
              <w:t>。</w:t>
            </w:r>
          </w:p>
        </w:tc>
        <w:tc>
          <w:tcPr>
            <w:tcW w:w="732" w:type="dxa"/>
            <w:tcBorders>
              <w:tl2br w:val="nil"/>
              <w:tr2bl w:val="nil"/>
            </w:tcBorders>
            <w:noWrap/>
            <w:vAlign w:val="center"/>
          </w:tcPr>
          <w:p w14:paraId="5C8DA75C">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w:t>
            </w:r>
          </w:p>
        </w:tc>
        <w:tc>
          <w:tcPr>
            <w:tcW w:w="954" w:type="dxa"/>
            <w:tcBorders>
              <w:tl2br w:val="nil"/>
              <w:tr2bl w:val="nil"/>
            </w:tcBorders>
            <w:noWrap/>
            <w:vAlign w:val="center"/>
          </w:tcPr>
          <w:p w14:paraId="415A638A">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台</w:t>
            </w:r>
          </w:p>
        </w:tc>
      </w:tr>
      <w:tr w14:paraId="56FDF0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jc w:val="center"/>
        </w:trPr>
        <w:tc>
          <w:tcPr>
            <w:tcW w:w="602" w:type="dxa"/>
            <w:tcBorders>
              <w:tl2br w:val="nil"/>
              <w:tr2bl w:val="nil"/>
            </w:tcBorders>
            <w:noWrap/>
            <w:vAlign w:val="center"/>
          </w:tcPr>
          <w:p w14:paraId="5A9DEF6D">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38</w:t>
            </w:r>
          </w:p>
        </w:tc>
        <w:tc>
          <w:tcPr>
            <w:tcW w:w="2010" w:type="dxa"/>
            <w:tcBorders>
              <w:tl2br w:val="nil"/>
              <w:tr2bl w:val="nil"/>
            </w:tcBorders>
            <w:noWrap/>
            <w:vAlign w:val="center"/>
          </w:tcPr>
          <w:p w14:paraId="77F7147E">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除湿机</w:t>
            </w:r>
          </w:p>
        </w:tc>
        <w:tc>
          <w:tcPr>
            <w:tcW w:w="10430" w:type="dxa"/>
            <w:tcBorders>
              <w:tl2br w:val="nil"/>
              <w:tr2bl w:val="nil"/>
            </w:tcBorders>
            <w:noWrap/>
            <w:vAlign w:val="center"/>
          </w:tcPr>
          <w:p w14:paraId="5CDA1531">
            <w:pPr>
              <w:spacing w:after="0" w:line="240" w:lineRule="auto"/>
              <w:ind w:firstLine="0" w:firstLineChars="0"/>
              <w:rPr>
                <w:rFonts w:ascii="微软雅黑" w:hAnsi="微软雅黑" w:cs="微软雅黑"/>
                <w:color w:val="auto"/>
                <w:kern w:val="0"/>
                <w:szCs w:val="21"/>
                <w:highlight w:val="none"/>
                <w:vertAlign w:val="superscript"/>
              </w:rPr>
            </w:pPr>
            <w:r>
              <w:rPr>
                <w:rFonts w:hint="eastAsia" w:ascii="微软雅黑" w:hAnsi="微软雅黑" w:cs="微软雅黑"/>
                <w:color w:val="auto"/>
                <w:kern w:val="0"/>
                <w:szCs w:val="21"/>
                <w:highlight w:val="none"/>
              </w:rPr>
              <w:t>1、适用面积：10~280m</w:t>
            </w:r>
            <w:r>
              <w:rPr>
                <w:rFonts w:hint="eastAsia" w:ascii="微软雅黑" w:hAnsi="微软雅黑" w:cs="微软雅黑"/>
                <w:color w:val="auto"/>
                <w:kern w:val="0"/>
                <w:szCs w:val="21"/>
                <w:highlight w:val="none"/>
                <w:vertAlign w:val="superscript"/>
              </w:rPr>
              <w:t>2</w:t>
            </w:r>
          </w:p>
          <w:p w14:paraId="356BD689">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2、负离子净化+PET滤网</w:t>
            </w:r>
          </w:p>
          <w:p w14:paraId="05122887">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3、最大日除湿量：12L/天</w:t>
            </w:r>
          </w:p>
          <w:p w14:paraId="24A985F5">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4、节能轻音，38dB轻音除湿</w:t>
            </w:r>
          </w:p>
          <w:p w14:paraId="1684C35A">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5、APP远程控制</w:t>
            </w:r>
          </w:p>
          <w:p w14:paraId="7E4701C6">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6、15s快速出水功能</w:t>
            </w:r>
          </w:p>
        </w:tc>
        <w:tc>
          <w:tcPr>
            <w:tcW w:w="732" w:type="dxa"/>
            <w:tcBorders>
              <w:tl2br w:val="nil"/>
              <w:tr2bl w:val="nil"/>
            </w:tcBorders>
            <w:noWrap/>
            <w:vAlign w:val="center"/>
          </w:tcPr>
          <w:p w14:paraId="051BFDF9">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w:t>
            </w:r>
          </w:p>
        </w:tc>
        <w:tc>
          <w:tcPr>
            <w:tcW w:w="954" w:type="dxa"/>
            <w:tcBorders>
              <w:tl2br w:val="nil"/>
              <w:tr2bl w:val="nil"/>
            </w:tcBorders>
            <w:noWrap/>
            <w:vAlign w:val="center"/>
          </w:tcPr>
          <w:p w14:paraId="1DEAE272">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台</w:t>
            </w:r>
          </w:p>
        </w:tc>
      </w:tr>
    </w:tbl>
    <w:p w14:paraId="0916682D">
      <w:pPr>
        <w:pStyle w:val="65"/>
        <w:numPr>
          <w:ilvl w:val="0"/>
          <w:numId w:val="6"/>
        </w:numPr>
        <w:ind w:firstLineChars="0"/>
        <w:outlineLvl w:val="1"/>
        <w:rPr>
          <w:rFonts w:ascii="微软雅黑" w:hAnsi="微软雅黑" w:cs="宋体"/>
          <w:b/>
          <w:bCs/>
          <w:color w:val="auto"/>
          <w:sz w:val="30"/>
          <w:szCs w:val="30"/>
          <w:highlight w:val="none"/>
        </w:rPr>
        <w:sectPr>
          <w:pgSz w:w="16840" w:h="11907" w:orient="landscape"/>
          <w:pgMar w:top="1797" w:right="1474" w:bottom="1797" w:left="1247" w:header="851" w:footer="851" w:gutter="0"/>
          <w:cols w:space="720" w:num="1"/>
          <w:docGrid w:linePitch="312" w:charSpace="0"/>
        </w:sectPr>
      </w:pPr>
      <w:bookmarkStart w:id="31" w:name="OLE_LINK3"/>
    </w:p>
    <w:p w14:paraId="241FB7E2">
      <w:pPr>
        <w:pStyle w:val="65"/>
        <w:numPr>
          <w:ilvl w:val="0"/>
          <w:numId w:val="6"/>
        </w:numPr>
        <w:ind w:firstLineChars="0"/>
        <w:outlineLvl w:val="1"/>
        <w:rPr>
          <w:rFonts w:ascii="微软雅黑" w:hAnsi="微软雅黑" w:cs="宋体"/>
          <w:b/>
          <w:bCs/>
          <w:color w:val="auto"/>
          <w:sz w:val="30"/>
          <w:szCs w:val="30"/>
          <w:highlight w:val="none"/>
        </w:rPr>
      </w:pPr>
      <w:r>
        <w:rPr>
          <w:rFonts w:hint="eastAsia" w:ascii="微软雅黑" w:hAnsi="微软雅黑" w:cs="宋体"/>
          <w:b/>
          <w:bCs/>
          <w:color w:val="auto"/>
          <w:sz w:val="30"/>
          <w:szCs w:val="30"/>
          <w:highlight w:val="none"/>
        </w:rPr>
        <w:t xml:space="preserve">标项二 </w:t>
      </w:r>
      <w:bookmarkEnd w:id="31"/>
    </w:p>
    <w:tbl>
      <w:tblPr>
        <w:tblStyle w:val="52"/>
        <w:tblW w:w="14489" w:type="dxa"/>
        <w:tblInd w:w="0" w:type="dxa"/>
        <w:tblLayout w:type="fixed"/>
        <w:tblCellMar>
          <w:top w:w="0" w:type="dxa"/>
          <w:left w:w="108" w:type="dxa"/>
          <w:bottom w:w="0" w:type="dxa"/>
          <w:right w:w="108" w:type="dxa"/>
        </w:tblCellMar>
      </w:tblPr>
      <w:tblGrid>
        <w:gridCol w:w="421"/>
        <w:gridCol w:w="1597"/>
        <w:gridCol w:w="10956"/>
        <w:gridCol w:w="765"/>
        <w:gridCol w:w="750"/>
      </w:tblGrid>
      <w:tr w14:paraId="496BBB4C">
        <w:tblPrEx>
          <w:tblCellMar>
            <w:top w:w="0" w:type="dxa"/>
            <w:left w:w="108" w:type="dxa"/>
            <w:bottom w:w="0" w:type="dxa"/>
            <w:right w:w="108" w:type="dxa"/>
          </w:tblCellMar>
        </w:tblPrEx>
        <w:trPr>
          <w:trHeight w:val="280" w:hRule="atLeast"/>
        </w:trPr>
        <w:tc>
          <w:tcPr>
            <w:tcW w:w="421" w:type="dxa"/>
            <w:tcBorders>
              <w:top w:val="single" w:color="auto" w:sz="4" w:space="0"/>
              <w:left w:val="single" w:color="auto" w:sz="4" w:space="0"/>
              <w:bottom w:val="single" w:color="auto" w:sz="4" w:space="0"/>
              <w:right w:val="single" w:color="auto" w:sz="4" w:space="0"/>
            </w:tcBorders>
            <w:noWrap/>
            <w:vAlign w:val="center"/>
          </w:tcPr>
          <w:p w14:paraId="6FDE1F28">
            <w:pPr>
              <w:widowControl/>
              <w:spacing w:after="0" w:line="240" w:lineRule="auto"/>
              <w:ind w:firstLine="0" w:firstLineChars="0"/>
              <w:jc w:val="center"/>
              <w:rPr>
                <w:rFonts w:ascii="微软雅黑" w:hAnsi="微软雅黑"/>
                <w:b/>
                <w:bCs/>
                <w:color w:val="auto"/>
                <w:kern w:val="0"/>
                <w:szCs w:val="21"/>
                <w:highlight w:val="none"/>
              </w:rPr>
            </w:pPr>
            <w:r>
              <w:rPr>
                <w:rFonts w:hint="eastAsia" w:ascii="微软雅黑" w:hAnsi="微软雅黑"/>
                <w:b/>
                <w:bCs/>
                <w:color w:val="auto"/>
                <w:kern w:val="0"/>
                <w:szCs w:val="21"/>
                <w:highlight w:val="none"/>
              </w:rPr>
              <w:t>序号</w:t>
            </w:r>
          </w:p>
        </w:tc>
        <w:tc>
          <w:tcPr>
            <w:tcW w:w="1597" w:type="dxa"/>
            <w:tcBorders>
              <w:top w:val="single" w:color="auto" w:sz="4" w:space="0"/>
              <w:left w:val="nil"/>
              <w:bottom w:val="single" w:color="auto" w:sz="4" w:space="0"/>
              <w:right w:val="single" w:color="auto" w:sz="4" w:space="0"/>
            </w:tcBorders>
            <w:noWrap/>
            <w:vAlign w:val="center"/>
          </w:tcPr>
          <w:p w14:paraId="375E3B5E">
            <w:pPr>
              <w:widowControl/>
              <w:spacing w:after="0" w:line="240" w:lineRule="auto"/>
              <w:ind w:firstLine="0" w:firstLineChars="0"/>
              <w:jc w:val="center"/>
              <w:rPr>
                <w:rFonts w:ascii="微软雅黑" w:hAnsi="微软雅黑"/>
                <w:b/>
                <w:bCs/>
                <w:color w:val="auto"/>
                <w:kern w:val="0"/>
                <w:szCs w:val="21"/>
                <w:highlight w:val="none"/>
              </w:rPr>
            </w:pPr>
            <w:r>
              <w:rPr>
                <w:rFonts w:hint="eastAsia" w:ascii="微软雅黑" w:hAnsi="微软雅黑"/>
                <w:b/>
                <w:bCs/>
                <w:color w:val="auto"/>
                <w:kern w:val="0"/>
                <w:szCs w:val="21"/>
                <w:highlight w:val="none"/>
              </w:rPr>
              <w:t>设备名称</w:t>
            </w:r>
          </w:p>
        </w:tc>
        <w:tc>
          <w:tcPr>
            <w:tcW w:w="10956" w:type="dxa"/>
            <w:tcBorders>
              <w:top w:val="single" w:color="auto" w:sz="4" w:space="0"/>
              <w:left w:val="nil"/>
              <w:bottom w:val="single" w:color="auto" w:sz="4" w:space="0"/>
              <w:right w:val="nil"/>
            </w:tcBorders>
            <w:noWrap/>
            <w:vAlign w:val="center"/>
          </w:tcPr>
          <w:p w14:paraId="3518461D">
            <w:pPr>
              <w:widowControl/>
              <w:spacing w:after="0" w:line="240" w:lineRule="auto"/>
              <w:ind w:firstLine="0" w:firstLineChars="0"/>
              <w:jc w:val="center"/>
              <w:rPr>
                <w:rFonts w:ascii="微软雅黑" w:hAnsi="微软雅黑"/>
                <w:b/>
                <w:bCs/>
                <w:color w:val="auto"/>
                <w:kern w:val="0"/>
                <w:szCs w:val="21"/>
                <w:highlight w:val="none"/>
              </w:rPr>
            </w:pPr>
            <w:r>
              <w:rPr>
                <w:rFonts w:hint="eastAsia" w:ascii="微软雅黑" w:hAnsi="微软雅黑"/>
                <w:b/>
                <w:bCs/>
                <w:color w:val="auto"/>
                <w:kern w:val="0"/>
                <w:szCs w:val="21"/>
                <w:highlight w:val="none"/>
              </w:rPr>
              <w:t>招标技术性能参数要求</w:t>
            </w:r>
          </w:p>
        </w:tc>
        <w:tc>
          <w:tcPr>
            <w:tcW w:w="765" w:type="dxa"/>
            <w:tcBorders>
              <w:top w:val="single" w:color="auto" w:sz="4" w:space="0"/>
              <w:left w:val="single" w:color="auto" w:sz="4" w:space="0"/>
              <w:bottom w:val="single" w:color="auto" w:sz="4" w:space="0"/>
              <w:right w:val="single" w:color="auto" w:sz="4" w:space="0"/>
            </w:tcBorders>
            <w:noWrap/>
            <w:vAlign w:val="center"/>
          </w:tcPr>
          <w:p w14:paraId="7F468C84">
            <w:pPr>
              <w:widowControl/>
              <w:spacing w:after="0" w:line="240" w:lineRule="auto"/>
              <w:ind w:firstLine="0" w:firstLineChars="0"/>
              <w:jc w:val="center"/>
              <w:rPr>
                <w:rFonts w:ascii="微软雅黑" w:hAnsi="微软雅黑"/>
                <w:b/>
                <w:bCs/>
                <w:color w:val="auto"/>
                <w:kern w:val="0"/>
                <w:szCs w:val="21"/>
                <w:highlight w:val="none"/>
              </w:rPr>
            </w:pPr>
            <w:r>
              <w:rPr>
                <w:rFonts w:hint="eastAsia" w:ascii="微软雅黑" w:hAnsi="微软雅黑"/>
                <w:b/>
                <w:bCs/>
                <w:color w:val="auto"/>
                <w:kern w:val="0"/>
                <w:szCs w:val="21"/>
                <w:highlight w:val="none"/>
              </w:rPr>
              <w:t>数量</w:t>
            </w:r>
          </w:p>
        </w:tc>
        <w:tc>
          <w:tcPr>
            <w:tcW w:w="750" w:type="dxa"/>
            <w:tcBorders>
              <w:top w:val="single" w:color="auto" w:sz="4" w:space="0"/>
              <w:left w:val="nil"/>
              <w:bottom w:val="single" w:color="auto" w:sz="4" w:space="0"/>
              <w:right w:val="single" w:color="auto" w:sz="4" w:space="0"/>
            </w:tcBorders>
            <w:noWrap/>
            <w:vAlign w:val="center"/>
          </w:tcPr>
          <w:p w14:paraId="508996D1">
            <w:pPr>
              <w:widowControl/>
              <w:spacing w:after="0" w:line="240" w:lineRule="auto"/>
              <w:ind w:firstLine="0" w:firstLineChars="0"/>
              <w:jc w:val="center"/>
              <w:rPr>
                <w:rFonts w:ascii="微软雅黑" w:hAnsi="微软雅黑"/>
                <w:b/>
                <w:bCs/>
                <w:color w:val="auto"/>
                <w:kern w:val="0"/>
                <w:szCs w:val="21"/>
                <w:highlight w:val="none"/>
              </w:rPr>
            </w:pPr>
            <w:r>
              <w:rPr>
                <w:rFonts w:hint="eastAsia" w:ascii="微软雅黑" w:hAnsi="微软雅黑"/>
                <w:b/>
                <w:bCs/>
                <w:color w:val="auto"/>
                <w:kern w:val="0"/>
                <w:szCs w:val="21"/>
                <w:highlight w:val="none"/>
              </w:rPr>
              <w:t>单位</w:t>
            </w:r>
          </w:p>
        </w:tc>
      </w:tr>
      <w:tr w14:paraId="4B02D345">
        <w:tblPrEx>
          <w:tblCellMar>
            <w:top w:w="0" w:type="dxa"/>
            <w:left w:w="108" w:type="dxa"/>
            <w:bottom w:w="0" w:type="dxa"/>
            <w:right w:w="108" w:type="dxa"/>
          </w:tblCellMar>
        </w:tblPrEx>
        <w:trPr>
          <w:trHeight w:val="280" w:hRule="atLeast"/>
        </w:trPr>
        <w:tc>
          <w:tcPr>
            <w:tcW w:w="421" w:type="dxa"/>
            <w:tcBorders>
              <w:top w:val="single" w:color="auto" w:sz="4" w:space="0"/>
              <w:left w:val="single" w:color="auto" w:sz="4" w:space="0"/>
              <w:bottom w:val="single" w:color="auto" w:sz="4" w:space="0"/>
              <w:right w:val="single" w:color="auto" w:sz="4" w:space="0"/>
            </w:tcBorders>
            <w:noWrap/>
            <w:vAlign w:val="center"/>
          </w:tcPr>
          <w:p w14:paraId="44FD379D">
            <w:pPr>
              <w:widowControl/>
              <w:spacing w:after="0" w:line="240" w:lineRule="auto"/>
              <w:ind w:firstLine="0" w:firstLineChars="0"/>
              <w:jc w:val="center"/>
              <w:rPr>
                <w:rFonts w:ascii="微软雅黑" w:hAnsi="微软雅黑"/>
                <w:b/>
                <w:bCs/>
                <w:color w:val="auto"/>
                <w:kern w:val="0"/>
                <w:szCs w:val="21"/>
                <w:highlight w:val="none"/>
              </w:rPr>
            </w:pPr>
            <w:r>
              <w:rPr>
                <w:rFonts w:hint="eastAsia" w:ascii="微软雅黑" w:hAnsi="微软雅黑"/>
                <w:b/>
                <w:bCs/>
                <w:color w:val="auto"/>
                <w:kern w:val="0"/>
                <w:szCs w:val="21"/>
                <w:highlight w:val="none"/>
              </w:rPr>
              <w:t>1</w:t>
            </w:r>
          </w:p>
        </w:tc>
        <w:tc>
          <w:tcPr>
            <w:tcW w:w="1597" w:type="dxa"/>
            <w:tcBorders>
              <w:top w:val="single" w:color="auto" w:sz="4" w:space="0"/>
              <w:left w:val="nil"/>
              <w:bottom w:val="single" w:color="auto" w:sz="4" w:space="0"/>
              <w:right w:val="single" w:color="auto" w:sz="4" w:space="0"/>
            </w:tcBorders>
            <w:noWrap/>
            <w:vAlign w:val="center"/>
          </w:tcPr>
          <w:p w14:paraId="414B562E">
            <w:pPr>
              <w:widowControl/>
              <w:spacing w:after="0" w:line="240" w:lineRule="auto"/>
              <w:ind w:firstLine="0" w:firstLineChars="0"/>
              <w:jc w:val="center"/>
              <w:rPr>
                <w:rFonts w:ascii="微软雅黑" w:hAnsi="微软雅黑"/>
                <w:b/>
                <w:bCs/>
                <w:color w:val="auto"/>
                <w:kern w:val="0"/>
                <w:szCs w:val="21"/>
                <w:highlight w:val="none"/>
              </w:rPr>
            </w:pPr>
            <w:r>
              <w:rPr>
                <w:rFonts w:hint="eastAsia" w:ascii="微软雅黑" w:hAnsi="微软雅黑"/>
                <w:color w:val="auto"/>
                <w:szCs w:val="21"/>
                <w:highlight w:val="none"/>
              </w:rPr>
              <w:t>干燥实验装置</w:t>
            </w:r>
          </w:p>
        </w:tc>
        <w:tc>
          <w:tcPr>
            <w:tcW w:w="10956" w:type="dxa"/>
            <w:tcBorders>
              <w:top w:val="single" w:color="auto" w:sz="4" w:space="0"/>
              <w:left w:val="nil"/>
              <w:bottom w:val="single" w:color="auto" w:sz="4" w:space="0"/>
              <w:right w:val="nil"/>
            </w:tcBorders>
            <w:noWrap/>
            <w:vAlign w:val="center"/>
          </w:tcPr>
          <w:p w14:paraId="0235FBE1">
            <w:pPr>
              <w:spacing w:after="0" w:line="240" w:lineRule="auto"/>
              <w:ind w:firstLine="0" w:firstLineChars="0"/>
              <w:rPr>
                <w:rFonts w:ascii="微软雅黑" w:hAnsi="微软雅黑"/>
                <w:b/>
                <w:bCs/>
                <w:color w:val="auto"/>
                <w:szCs w:val="21"/>
                <w:highlight w:val="none"/>
              </w:rPr>
            </w:pPr>
            <w:r>
              <w:rPr>
                <w:rFonts w:hint="eastAsia" w:ascii="微软雅黑" w:hAnsi="微软雅黑"/>
                <w:b/>
                <w:bCs/>
                <w:color w:val="auto"/>
                <w:szCs w:val="21"/>
                <w:highlight w:val="none"/>
              </w:rPr>
              <w:t>装置功能</w:t>
            </w:r>
          </w:p>
          <w:p w14:paraId="6C0CA00E">
            <w:pPr>
              <w:pStyle w:val="65"/>
              <w:numPr>
                <w:ilvl w:val="1"/>
                <w:numId w:val="8"/>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s="宋体"/>
                <w:color w:val="auto"/>
                <w:szCs w:val="21"/>
                <w:highlight w:val="none"/>
              </w:rPr>
              <w:t>具备洞道式干燥器的基本结构和功能。</w:t>
            </w:r>
          </w:p>
          <w:p w14:paraId="3B653791">
            <w:pPr>
              <w:pStyle w:val="65"/>
              <w:numPr>
                <w:ilvl w:val="1"/>
                <w:numId w:val="8"/>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s="宋体"/>
                <w:color w:val="auto"/>
                <w:szCs w:val="21"/>
                <w:highlight w:val="none"/>
              </w:rPr>
              <w:t>符合洞道式干燥器的操作要求。</w:t>
            </w:r>
          </w:p>
          <w:p w14:paraId="3511979C">
            <w:pPr>
              <w:pStyle w:val="65"/>
              <w:numPr>
                <w:ilvl w:val="1"/>
                <w:numId w:val="8"/>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s="宋体"/>
                <w:color w:val="auto"/>
                <w:szCs w:val="21"/>
                <w:highlight w:val="none"/>
              </w:rPr>
              <w:t>具备干球温度和湿球温度的测定功能。</w:t>
            </w:r>
          </w:p>
          <w:p w14:paraId="7EF1FEA7">
            <w:pPr>
              <w:pStyle w:val="65"/>
              <w:numPr>
                <w:ilvl w:val="1"/>
                <w:numId w:val="8"/>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s="宋体"/>
                <w:color w:val="auto"/>
                <w:szCs w:val="21"/>
                <w:highlight w:val="none"/>
              </w:rPr>
              <w:t>具备测定在恒定干燥条件下的湿物料干燥曲线功能。</w:t>
            </w:r>
          </w:p>
          <w:p w14:paraId="24C35BB5">
            <w:pPr>
              <w:pStyle w:val="65"/>
              <w:numPr>
                <w:ilvl w:val="1"/>
                <w:numId w:val="8"/>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s="宋体"/>
                <w:color w:val="auto"/>
                <w:szCs w:val="21"/>
                <w:highlight w:val="none"/>
              </w:rPr>
              <w:t>具备测定在恒定干燥条件下的湿物料干燥速率曲线及临界含水量功能。</w:t>
            </w:r>
          </w:p>
          <w:p w14:paraId="75A1FF26">
            <w:pPr>
              <w:pStyle w:val="65"/>
              <w:numPr>
                <w:ilvl w:val="1"/>
                <w:numId w:val="8"/>
              </w:numPr>
              <w:spacing w:after="0" w:line="240" w:lineRule="auto"/>
              <w:ind w:left="0" w:firstLine="0" w:firstLineChars="0"/>
              <w:jc w:val="both"/>
              <w:rPr>
                <w:rFonts w:ascii="微软雅黑" w:hAnsi="微软雅黑"/>
                <w:color w:val="auto"/>
                <w:szCs w:val="21"/>
                <w:highlight w:val="none"/>
              </w:rPr>
            </w:pPr>
            <w:bookmarkStart w:id="32" w:name="OLE_LINK2"/>
            <w:r>
              <w:rPr>
                <w:rFonts w:hint="eastAsia" w:ascii="微软雅黑" w:hAnsi="微软雅黑"/>
                <w:color w:val="auto"/>
                <w:kern w:val="0"/>
                <w:szCs w:val="21"/>
                <w:highlight w:val="none"/>
              </w:rPr>
              <w:t>配套仿真教学平台，平台具备以下功能：</w:t>
            </w:r>
          </w:p>
          <w:p w14:paraId="62C6512F">
            <w:pPr>
              <w:pStyle w:val="65"/>
              <w:spacing w:after="0" w:line="240" w:lineRule="auto"/>
              <w:ind w:firstLine="0" w:firstLineChars="0"/>
              <w:jc w:val="both"/>
              <w:rPr>
                <w:rFonts w:ascii="微软雅黑" w:hAnsi="微软雅黑"/>
                <w:color w:val="auto"/>
                <w:szCs w:val="21"/>
                <w:highlight w:val="none"/>
              </w:rPr>
            </w:pPr>
            <w:r>
              <w:rPr>
                <w:rFonts w:hint="eastAsia" w:ascii="微软雅黑" w:hAnsi="微软雅黑"/>
                <w:color w:val="auto"/>
                <w:kern w:val="0"/>
                <w:szCs w:val="21"/>
                <w:highlight w:val="none"/>
              </w:rPr>
              <w:t>6.1★</w:t>
            </w:r>
            <w:r>
              <w:rPr>
                <w:rFonts w:hint="eastAsia" w:ascii="微软雅黑" w:hAnsi="微软雅黑"/>
                <w:color w:val="auto"/>
                <w:szCs w:val="21"/>
                <w:highlight w:val="none"/>
              </w:rPr>
              <w:t>（1）为学生端配套本实验虚拟仿真系统，可以进行实验装置结构学习、实验操作练习与操作考核，要求仿真装置与本实验真实装置结构相同、操作一致；仿真操作具备通过后台严格数学模型算法计算出仿真实验数据功能。（2）为教师端配套仿真实验教学平台，实现仿真实验教学管理功能，包括学生管理、考试管理、成绩管理等功能</w:t>
            </w:r>
            <w:r>
              <w:rPr>
                <w:rFonts w:hint="eastAsia" w:ascii="微软雅黑" w:hAnsi="微软雅黑" w:cs="宋体"/>
                <w:color w:val="auto"/>
                <w:szCs w:val="21"/>
                <w:highlight w:val="none"/>
              </w:rPr>
              <w:t>。</w:t>
            </w:r>
          </w:p>
          <w:p w14:paraId="6D2565FE">
            <w:pPr>
              <w:pStyle w:val="65"/>
              <w:spacing w:after="0" w:line="240" w:lineRule="auto"/>
              <w:ind w:firstLine="0" w:firstLineChars="0"/>
              <w:jc w:val="both"/>
              <w:rPr>
                <w:rFonts w:ascii="微软雅黑" w:hAnsi="微软雅黑"/>
                <w:color w:val="auto"/>
                <w:szCs w:val="21"/>
                <w:highlight w:val="none"/>
              </w:rPr>
            </w:pPr>
            <w:r>
              <w:rPr>
                <w:rFonts w:hint="eastAsia" w:ascii="微软雅黑" w:hAnsi="微软雅黑"/>
                <w:color w:val="auto"/>
                <w:kern w:val="0"/>
                <w:szCs w:val="21"/>
                <w:highlight w:val="none"/>
              </w:rPr>
              <w:t>6.2★为教师、学生</w:t>
            </w:r>
            <w:r>
              <w:rPr>
                <w:rFonts w:hint="eastAsia" w:ascii="微软雅黑" w:hAnsi="微软雅黑" w:cs="宋体"/>
                <w:color w:val="auto"/>
                <w:szCs w:val="21"/>
                <w:highlight w:val="none"/>
              </w:rPr>
              <w:t>配套本实验装置介绍微课，讲解实验装置结构。</w:t>
            </w:r>
            <w:r>
              <w:rPr>
                <w:rFonts w:hint="eastAsia" w:ascii="微软雅黑" w:hAnsi="微软雅黑" w:cs="宋体"/>
                <w:b/>
                <w:bCs/>
                <w:color w:val="auto"/>
                <w:szCs w:val="21"/>
                <w:highlight w:val="none"/>
              </w:rPr>
              <w:t>（演示内容）</w:t>
            </w:r>
          </w:p>
          <w:p w14:paraId="4EC6AD05">
            <w:pPr>
              <w:pStyle w:val="65"/>
              <w:spacing w:after="0" w:line="240" w:lineRule="auto"/>
              <w:ind w:firstLine="0" w:firstLineChars="0"/>
              <w:jc w:val="both"/>
              <w:rPr>
                <w:rFonts w:ascii="微软雅黑" w:hAnsi="微软雅黑"/>
                <w:color w:val="auto"/>
                <w:szCs w:val="21"/>
                <w:highlight w:val="none"/>
              </w:rPr>
            </w:pPr>
            <w:r>
              <w:rPr>
                <w:rFonts w:hint="eastAsia" w:ascii="微软雅黑" w:hAnsi="微软雅黑"/>
                <w:color w:val="auto"/>
                <w:kern w:val="0"/>
                <w:szCs w:val="21"/>
                <w:highlight w:val="none"/>
              </w:rPr>
              <w:t>6.3★设备端</w:t>
            </w:r>
            <w:r>
              <w:rPr>
                <w:rFonts w:hint="eastAsia" w:ascii="微软雅黑" w:hAnsi="微软雅黑" w:cs="宋体"/>
                <w:color w:val="auto"/>
                <w:szCs w:val="21"/>
                <w:highlight w:val="none"/>
              </w:rPr>
              <w:t>配套</w:t>
            </w:r>
            <w:r>
              <w:rPr>
                <w:rFonts w:ascii="微软雅黑" w:hAnsi="微软雅黑" w:cs="宋体"/>
                <w:color w:val="auto"/>
                <w:szCs w:val="21"/>
                <w:highlight w:val="none"/>
              </w:rPr>
              <w:t>数据采集及测控软件</w:t>
            </w:r>
            <w:r>
              <w:rPr>
                <w:rFonts w:hint="eastAsia" w:ascii="微软雅黑" w:hAnsi="微软雅黑" w:cs="宋体"/>
                <w:color w:val="auto"/>
                <w:szCs w:val="21"/>
                <w:highlight w:val="none"/>
              </w:rPr>
              <w:t>，可以实现实验数据及设备状态实时在线采集、显示、数据变化曲线显示，实现装置运行控制、数据导出与处理等功能；并且可将数据实时上传至</w:t>
            </w:r>
            <w:r>
              <w:rPr>
                <w:rFonts w:ascii="微软雅黑" w:hAnsi="微软雅黑" w:cs="宋体"/>
                <w:color w:val="auto"/>
                <w:szCs w:val="21"/>
                <w:highlight w:val="none"/>
              </w:rPr>
              <w:t>在线的</w:t>
            </w:r>
            <w:r>
              <w:rPr>
                <w:rFonts w:hint="eastAsia" w:ascii="微软雅黑" w:hAnsi="微软雅黑" w:cs="宋体"/>
                <w:color w:val="auto"/>
                <w:szCs w:val="21"/>
                <w:highlight w:val="none"/>
              </w:rPr>
              <w:t>实验学习</w:t>
            </w:r>
            <w:r>
              <w:rPr>
                <w:rFonts w:ascii="微软雅黑" w:hAnsi="微软雅黑" w:cs="宋体"/>
                <w:color w:val="auto"/>
                <w:szCs w:val="21"/>
                <w:highlight w:val="none"/>
              </w:rPr>
              <w:t>平台</w:t>
            </w:r>
            <w:r>
              <w:rPr>
                <w:rFonts w:hint="eastAsia" w:ascii="微软雅黑" w:hAnsi="微软雅黑" w:cs="宋体"/>
                <w:color w:val="auto"/>
                <w:szCs w:val="21"/>
                <w:highlight w:val="none"/>
              </w:rPr>
              <w:t>，教师和学生可以远程实时在线或后期离线查看实验数据以及数据处理结果，便于监控设备运行，了解实验操作状况。</w:t>
            </w:r>
          </w:p>
          <w:p w14:paraId="36E87A73">
            <w:pPr>
              <w:pStyle w:val="65"/>
              <w:spacing w:after="0" w:line="240" w:lineRule="auto"/>
              <w:ind w:firstLine="0" w:firstLineChars="0"/>
              <w:jc w:val="both"/>
              <w:rPr>
                <w:rFonts w:ascii="微软雅黑" w:hAnsi="微软雅黑"/>
                <w:color w:val="auto"/>
                <w:szCs w:val="21"/>
                <w:highlight w:val="none"/>
              </w:rPr>
            </w:pPr>
            <w:r>
              <w:rPr>
                <w:rFonts w:hint="eastAsia" w:ascii="微软雅黑" w:hAnsi="微软雅黑"/>
                <w:color w:val="auto"/>
                <w:kern w:val="0"/>
                <w:szCs w:val="21"/>
                <w:highlight w:val="none"/>
              </w:rPr>
              <w:t>6.4★</w:t>
            </w:r>
            <w:r>
              <w:rPr>
                <w:rFonts w:hint="eastAsia" w:ascii="微软雅黑" w:hAnsi="微软雅黑" w:cs="宋体"/>
                <w:color w:val="auto"/>
                <w:szCs w:val="21"/>
                <w:highlight w:val="none"/>
              </w:rPr>
              <w:t>配套</w:t>
            </w:r>
            <w:r>
              <w:rPr>
                <w:rFonts w:ascii="微软雅黑" w:hAnsi="微软雅黑" w:cs="宋体"/>
                <w:color w:val="auto"/>
                <w:szCs w:val="21"/>
                <w:highlight w:val="none"/>
              </w:rPr>
              <w:t>智能</w:t>
            </w:r>
            <w:r>
              <w:rPr>
                <w:rFonts w:hint="eastAsia" w:ascii="微软雅黑" w:hAnsi="微软雅黑" w:cs="宋体"/>
                <w:color w:val="auto"/>
                <w:szCs w:val="21"/>
                <w:highlight w:val="none"/>
              </w:rPr>
              <w:t>实验学习与实验授课</w:t>
            </w:r>
            <w:r>
              <w:rPr>
                <w:rFonts w:ascii="微软雅黑" w:hAnsi="微软雅黑" w:cs="宋体"/>
                <w:color w:val="auto"/>
                <w:szCs w:val="21"/>
                <w:highlight w:val="none"/>
              </w:rPr>
              <w:t>软件</w:t>
            </w:r>
            <w:r>
              <w:rPr>
                <w:rFonts w:hint="eastAsia" w:ascii="微软雅黑" w:hAnsi="微软雅黑" w:cs="宋体"/>
                <w:color w:val="auto"/>
                <w:szCs w:val="21"/>
                <w:highlight w:val="none"/>
              </w:rPr>
              <w:t>，学生端通过实验学习系统可以进行实验讲义学习、实验装置学习、</w:t>
            </w:r>
            <w:r>
              <w:rPr>
                <w:rFonts w:ascii="微软雅黑" w:hAnsi="微软雅黑" w:cs="宋体"/>
                <w:color w:val="auto"/>
                <w:szCs w:val="21"/>
                <w:highlight w:val="none"/>
              </w:rPr>
              <w:t>装置介绍</w:t>
            </w:r>
            <w:r>
              <w:rPr>
                <w:rFonts w:hint="eastAsia" w:ascii="微软雅黑" w:hAnsi="微软雅黑" w:cs="宋体"/>
                <w:color w:val="auto"/>
                <w:szCs w:val="21"/>
                <w:highlight w:val="none"/>
              </w:rPr>
              <w:t>微课学习、仿真操作练习，实现实验前的预习及课后复习，并能够记录学习过程，</w:t>
            </w:r>
            <w:r>
              <w:rPr>
                <w:rFonts w:ascii="微软雅黑" w:hAnsi="微软雅黑" w:cs="宋体"/>
                <w:color w:val="auto"/>
                <w:szCs w:val="21"/>
                <w:highlight w:val="none"/>
              </w:rPr>
              <w:t>智能</w:t>
            </w:r>
            <w:r>
              <w:rPr>
                <w:rFonts w:hint="eastAsia" w:ascii="微软雅黑" w:hAnsi="微软雅黑" w:cs="宋体"/>
                <w:color w:val="auto"/>
                <w:szCs w:val="21"/>
                <w:highlight w:val="none"/>
              </w:rPr>
              <w:t>自动评分。教师端通过智能实验授课</w:t>
            </w:r>
            <w:r>
              <w:rPr>
                <w:rFonts w:ascii="微软雅黑" w:hAnsi="微软雅黑" w:cs="宋体"/>
                <w:color w:val="auto"/>
                <w:szCs w:val="21"/>
                <w:highlight w:val="none"/>
              </w:rPr>
              <w:t>软件</w:t>
            </w:r>
            <w:r>
              <w:rPr>
                <w:rFonts w:hint="eastAsia" w:ascii="微软雅黑" w:hAnsi="微软雅黑" w:cs="宋体"/>
                <w:color w:val="auto"/>
                <w:szCs w:val="21"/>
                <w:highlight w:val="none"/>
              </w:rPr>
              <w:t>，支持通过现场大屏调用多种数字资源进行实验授课，监控学生操作状态、装置运行状态，可以存储及导出每个人的操作记录、实验数据；实验授课</w:t>
            </w:r>
            <w:r>
              <w:rPr>
                <w:rFonts w:ascii="微软雅黑" w:hAnsi="微软雅黑" w:cs="宋体"/>
                <w:color w:val="auto"/>
                <w:szCs w:val="21"/>
                <w:highlight w:val="none"/>
              </w:rPr>
              <w:t>软件</w:t>
            </w:r>
            <w:r>
              <w:rPr>
                <w:rFonts w:hint="eastAsia" w:ascii="微软雅黑" w:hAnsi="微软雅黑" w:cs="宋体"/>
                <w:color w:val="auto"/>
                <w:szCs w:val="21"/>
                <w:highlight w:val="none"/>
              </w:rPr>
              <w:t>移动端支持现场学生提问评分、操作评分、行为评分等。</w:t>
            </w:r>
          </w:p>
          <w:p w14:paraId="0FAE5B42">
            <w:pPr>
              <w:pStyle w:val="65"/>
              <w:spacing w:after="0" w:line="240" w:lineRule="auto"/>
              <w:ind w:firstLine="0" w:firstLineChars="0"/>
              <w:jc w:val="both"/>
              <w:rPr>
                <w:rFonts w:ascii="微软雅黑" w:hAnsi="微软雅黑"/>
                <w:color w:val="auto"/>
                <w:szCs w:val="21"/>
                <w:highlight w:val="none"/>
              </w:rPr>
            </w:pPr>
            <w:r>
              <w:rPr>
                <w:rFonts w:hint="eastAsia" w:ascii="微软雅黑" w:hAnsi="微软雅黑"/>
                <w:color w:val="auto"/>
                <w:kern w:val="0"/>
                <w:szCs w:val="21"/>
                <w:highlight w:val="none"/>
              </w:rPr>
              <w:t>6.5★</w:t>
            </w:r>
            <w:r>
              <w:rPr>
                <w:rFonts w:hint="eastAsia" w:ascii="微软雅黑" w:hAnsi="微软雅黑" w:cs="宋体"/>
                <w:color w:val="auto"/>
                <w:szCs w:val="21"/>
                <w:highlight w:val="none"/>
              </w:rPr>
              <w:t>配套实验报告生成及评阅</w:t>
            </w:r>
            <w:r>
              <w:rPr>
                <w:rFonts w:ascii="微软雅黑" w:hAnsi="微软雅黑" w:cs="宋体"/>
                <w:color w:val="auto"/>
                <w:szCs w:val="21"/>
                <w:highlight w:val="none"/>
              </w:rPr>
              <w:t>软件</w:t>
            </w:r>
            <w:r>
              <w:rPr>
                <w:rFonts w:hint="eastAsia" w:ascii="微软雅黑" w:hAnsi="微软雅黑" w:cs="宋体"/>
                <w:color w:val="auto"/>
                <w:szCs w:val="21"/>
                <w:highlight w:val="none"/>
              </w:rPr>
              <w:t>，学生端能够根据采集的真实装置的实验数据，生成真实实验的实验报告；也能够根据仿真实验数据，生成仿真实验的实验报告。学生端可对实验数据进行整理，系统保存数据修改记录，可进行追溯。支持学生将手写报告扫描上传；教师端可对报告进行批改、批注和评分。支持电子版实验报告的归档并保存全部电子档案，形成规范教学文档。</w:t>
            </w:r>
          </w:p>
          <w:bookmarkEnd w:id="32"/>
          <w:p w14:paraId="2640A794">
            <w:pPr>
              <w:spacing w:after="0" w:line="240" w:lineRule="auto"/>
              <w:ind w:firstLine="0" w:firstLineChars="0"/>
              <w:rPr>
                <w:rFonts w:hint="eastAsia" w:ascii="微软雅黑" w:hAnsi="微软雅黑"/>
                <w:b/>
                <w:bCs/>
                <w:color w:val="auto"/>
                <w:szCs w:val="21"/>
                <w:highlight w:val="none"/>
              </w:rPr>
            </w:pPr>
          </w:p>
          <w:p w14:paraId="2EEF9F69">
            <w:pPr>
              <w:spacing w:after="0" w:line="240" w:lineRule="auto"/>
              <w:ind w:firstLine="0" w:firstLineChars="0"/>
              <w:rPr>
                <w:rFonts w:ascii="微软雅黑" w:hAnsi="微软雅黑"/>
                <w:b/>
                <w:bCs/>
                <w:color w:val="auto"/>
                <w:szCs w:val="21"/>
                <w:highlight w:val="none"/>
              </w:rPr>
            </w:pPr>
            <w:r>
              <w:rPr>
                <w:rFonts w:hint="eastAsia" w:ascii="微软雅黑" w:hAnsi="微软雅黑"/>
                <w:b/>
                <w:bCs/>
                <w:color w:val="auto"/>
                <w:szCs w:val="21"/>
                <w:highlight w:val="none"/>
              </w:rPr>
              <w:t>规格参数</w:t>
            </w:r>
          </w:p>
          <w:p w14:paraId="39C34DF8">
            <w:pPr>
              <w:numPr>
                <w:ilvl w:val="0"/>
                <w:numId w:val="9"/>
              </w:numPr>
              <w:spacing w:after="0" w:line="240" w:lineRule="auto"/>
              <w:ind w:left="0" w:firstLine="0" w:firstLineChars="0"/>
              <w:rPr>
                <w:rFonts w:ascii="微软雅黑" w:hAnsi="微软雅黑"/>
                <w:color w:val="auto"/>
                <w:szCs w:val="21"/>
                <w:highlight w:val="none"/>
              </w:rPr>
            </w:pPr>
            <w:r>
              <w:rPr>
                <w:rFonts w:hint="eastAsia" w:ascii="微软雅黑" w:hAnsi="微软雅黑"/>
                <w:color w:val="auto"/>
                <w:kern w:val="0"/>
                <w:szCs w:val="21"/>
                <w:highlight w:val="none"/>
              </w:rPr>
              <w:t>★</w:t>
            </w:r>
            <w:r>
              <w:rPr>
                <w:rFonts w:hint="eastAsia" w:ascii="微软雅黑" w:hAnsi="微软雅黑"/>
                <w:color w:val="auto"/>
                <w:szCs w:val="21"/>
                <w:highlight w:val="none"/>
              </w:rPr>
              <w:t>设备主体：长*宽*高</w:t>
            </w:r>
            <w:r>
              <w:rPr>
                <w:rFonts w:ascii="微软雅黑" w:hAnsi="微软雅黑"/>
                <w:color w:val="auto"/>
                <w:szCs w:val="21"/>
                <w:highlight w:val="none"/>
              </w:rPr>
              <w:t>不小于</w:t>
            </w:r>
            <w:r>
              <w:rPr>
                <w:rFonts w:hint="eastAsia" w:ascii="微软雅黑" w:hAnsi="微软雅黑"/>
                <w:color w:val="auto"/>
                <w:szCs w:val="21"/>
                <w:highlight w:val="none"/>
              </w:rPr>
              <w:t>2</w:t>
            </w:r>
            <w:r>
              <w:rPr>
                <w:rFonts w:ascii="微软雅黑" w:hAnsi="微软雅黑"/>
                <w:color w:val="auto"/>
                <w:szCs w:val="21"/>
                <w:highlight w:val="none"/>
              </w:rPr>
              <w:t>200*500*1500mm</w:t>
            </w:r>
            <w:r>
              <w:rPr>
                <w:rFonts w:hint="eastAsia" w:ascii="微软雅黑" w:hAnsi="微软雅黑"/>
                <w:color w:val="auto"/>
                <w:szCs w:val="21"/>
                <w:highlight w:val="none"/>
              </w:rPr>
              <w:t>，主体框架采用</w:t>
            </w:r>
            <w:r>
              <w:rPr>
                <w:rFonts w:ascii="微软雅黑" w:hAnsi="微软雅黑" w:cs="@汉仪中黑 197"/>
                <w:color w:val="auto"/>
                <w:szCs w:val="21"/>
                <w:highlight w:val="none"/>
              </w:rPr>
              <w:t>304</w:t>
            </w:r>
            <w:r>
              <w:rPr>
                <w:rFonts w:hint="eastAsia" w:ascii="微软雅黑" w:hAnsi="微软雅黑"/>
                <w:color w:val="auto"/>
                <w:szCs w:val="21"/>
                <w:highlight w:val="none"/>
              </w:rPr>
              <w:t>不锈钢方管，边长、壁厚不小于40mm*40mm*1.5mm,焊接工艺，稳固不松动，带有可移动脚轮。</w:t>
            </w:r>
            <w:r>
              <w:rPr>
                <w:rFonts w:hint="eastAsia" w:ascii="微软雅黑" w:hAnsi="微软雅黑"/>
                <w:color w:val="auto"/>
                <w:szCs w:val="21"/>
                <w:highlight w:val="none"/>
                <w:lang w:eastAsia="zh-CN"/>
              </w:rPr>
              <w:t>【投标文件中提供相关图纸（需标注招标文件要求的尺寸）、照片或效果图，不提供或提供不完整的，本项评审按负偏离处理】</w:t>
            </w:r>
          </w:p>
          <w:p w14:paraId="1493003C">
            <w:pPr>
              <w:numPr>
                <w:ilvl w:val="0"/>
                <w:numId w:val="9"/>
              </w:numPr>
              <w:spacing w:after="0" w:line="240" w:lineRule="auto"/>
              <w:ind w:left="0" w:firstLine="0" w:firstLineChars="0"/>
              <w:rPr>
                <w:rFonts w:ascii="微软雅黑" w:hAnsi="微软雅黑"/>
                <w:color w:val="auto"/>
                <w:szCs w:val="21"/>
                <w:highlight w:val="none"/>
              </w:rPr>
            </w:pPr>
            <w:r>
              <w:rPr>
                <w:rFonts w:hint="eastAsia" w:ascii="微软雅黑" w:hAnsi="微软雅黑"/>
                <w:color w:val="auto"/>
                <w:kern w:val="0"/>
                <w:szCs w:val="21"/>
                <w:highlight w:val="none"/>
              </w:rPr>
              <w:t>★</w:t>
            </w:r>
            <w:r>
              <w:rPr>
                <w:rFonts w:ascii="微软雅黑" w:hAnsi="微软雅黑"/>
                <w:color w:val="auto"/>
                <w:szCs w:val="21"/>
                <w:highlight w:val="none"/>
              </w:rPr>
              <w:t>电控箱</w:t>
            </w:r>
            <w:r>
              <w:rPr>
                <w:rFonts w:hint="eastAsia" w:ascii="微软雅黑" w:hAnsi="微软雅黑"/>
                <w:color w:val="auto"/>
                <w:szCs w:val="21"/>
                <w:highlight w:val="none"/>
              </w:rPr>
              <w:t>：</w:t>
            </w:r>
            <w:r>
              <w:rPr>
                <w:rFonts w:ascii="微软雅黑" w:hAnsi="微软雅黑"/>
                <w:color w:val="auto"/>
                <w:szCs w:val="21"/>
                <w:highlight w:val="none"/>
              </w:rPr>
              <w:t>钢板</w:t>
            </w:r>
            <w:r>
              <w:rPr>
                <w:rFonts w:hint="eastAsia" w:ascii="微软雅黑" w:hAnsi="微软雅黑"/>
                <w:color w:val="auto"/>
                <w:szCs w:val="21"/>
                <w:highlight w:val="none"/>
              </w:rPr>
              <w:t>喷塑。其中电气系统隔离设计，控制柜嵌入式安装配触摸屏的工业物联网主机、嵌入式安装数显控制仪表，带有急停按钮。</w:t>
            </w:r>
          </w:p>
          <w:p w14:paraId="667CA8CE">
            <w:pPr>
              <w:numPr>
                <w:ilvl w:val="0"/>
                <w:numId w:val="9"/>
              </w:numPr>
              <w:spacing w:after="0" w:line="240" w:lineRule="auto"/>
              <w:ind w:left="0" w:firstLine="0" w:firstLineChars="0"/>
              <w:rPr>
                <w:rFonts w:ascii="微软雅黑" w:hAnsi="微软雅黑"/>
                <w:color w:val="auto"/>
                <w:szCs w:val="21"/>
                <w:highlight w:val="none"/>
              </w:rPr>
            </w:pPr>
            <w:r>
              <w:rPr>
                <w:rFonts w:hint="eastAsia" w:ascii="微软雅黑" w:hAnsi="微软雅黑"/>
                <w:color w:val="auto"/>
                <w:szCs w:val="21"/>
                <w:highlight w:val="none"/>
              </w:rPr>
              <w:t>低噪音涡流风机：</w:t>
            </w:r>
            <w:r>
              <w:rPr>
                <w:rFonts w:ascii="微软雅黑" w:hAnsi="微软雅黑"/>
                <w:color w:val="auto"/>
                <w:szCs w:val="21"/>
                <w:highlight w:val="none"/>
              </w:rPr>
              <w:t>1</w:t>
            </w:r>
            <w:r>
              <w:rPr>
                <w:rFonts w:hint="eastAsia" w:ascii="微软雅黑" w:hAnsi="微软雅黑"/>
                <w:color w:val="auto"/>
                <w:szCs w:val="21"/>
                <w:highlight w:val="none"/>
              </w:rPr>
              <w:t>台，</w:t>
            </w:r>
            <w:r>
              <w:rPr>
                <w:rFonts w:ascii="微软雅黑" w:hAnsi="微软雅黑"/>
                <w:color w:val="auto"/>
                <w:szCs w:val="21"/>
                <w:highlight w:val="none"/>
              </w:rPr>
              <w:t>380V</w:t>
            </w:r>
            <w:r>
              <w:rPr>
                <w:rFonts w:hint="eastAsia" w:ascii="微软雅黑" w:hAnsi="微软雅黑"/>
                <w:color w:val="auto"/>
                <w:szCs w:val="21"/>
                <w:highlight w:val="none"/>
              </w:rPr>
              <w:t>，流量不小于250m</w:t>
            </w:r>
            <w:r>
              <w:rPr>
                <w:rFonts w:hint="eastAsia" w:ascii="微软雅黑" w:hAnsi="微软雅黑"/>
                <w:color w:val="auto"/>
                <w:szCs w:val="21"/>
                <w:highlight w:val="none"/>
                <w:vertAlign w:val="superscript"/>
              </w:rPr>
              <w:t>3</w:t>
            </w:r>
            <w:r>
              <w:rPr>
                <w:rFonts w:hint="eastAsia" w:ascii="微软雅黑" w:hAnsi="微软雅黑"/>
                <w:color w:val="auto"/>
                <w:szCs w:val="21"/>
                <w:highlight w:val="none"/>
              </w:rPr>
              <w:t>/h。</w:t>
            </w:r>
          </w:p>
          <w:p w14:paraId="5764CAB7">
            <w:pPr>
              <w:numPr>
                <w:ilvl w:val="0"/>
                <w:numId w:val="9"/>
              </w:numPr>
              <w:spacing w:after="0" w:line="240" w:lineRule="auto"/>
              <w:ind w:left="0" w:firstLine="0" w:firstLineChars="0"/>
              <w:rPr>
                <w:rFonts w:ascii="微软雅黑" w:hAnsi="微软雅黑"/>
                <w:color w:val="auto"/>
                <w:szCs w:val="21"/>
                <w:highlight w:val="none"/>
              </w:rPr>
            </w:pPr>
            <w:r>
              <w:rPr>
                <w:rFonts w:hint="eastAsia" w:ascii="微软雅黑" w:hAnsi="微软雅黑"/>
                <w:color w:val="auto"/>
                <w:szCs w:val="21"/>
                <w:highlight w:val="none"/>
              </w:rPr>
              <w:t>涡街流量计：</w:t>
            </w:r>
            <w:r>
              <w:rPr>
                <w:rFonts w:ascii="微软雅黑" w:hAnsi="微软雅黑"/>
                <w:color w:val="auto"/>
                <w:szCs w:val="21"/>
                <w:highlight w:val="none"/>
              </w:rPr>
              <w:t>1</w:t>
            </w:r>
            <w:r>
              <w:rPr>
                <w:rFonts w:hint="eastAsia" w:ascii="微软雅黑" w:hAnsi="微软雅黑"/>
                <w:color w:val="auto"/>
                <w:szCs w:val="21"/>
                <w:highlight w:val="none"/>
              </w:rPr>
              <w:t>个，</w:t>
            </w:r>
            <w:r>
              <w:rPr>
                <w:rFonts w:ascii="微软雅黑" w:hAnsi="微软雅黑"/>
                <w:color w:val="auto"/>
                <w:szCs w:val="21"/>
                <w:highlight w:val="none"/>
              </w:rPr>
              <w:t>DN50</w:t>
            </w:r>
            <w:r>
              <w:rPr>
                <w:rFonts w:hint="eastAsia" w:ascii="微软雅黑" w:hAnsi="微软雅黑"/>
                <w:color w:val="auto"/>
                <w:szCs w:val="21"/>
                <w:highlight w:val="none"/>
              </w:rPr>
              <w:t>，</w:t>
            </w:r>
            <w:r>
              <w:rPr>
                <w:rFonts w:ascii="微软雅黑" w:hAnsi="微软雅黑"/>
                <w:color w:val="auto"/>
                <w:szCs w:val="21"/>
                <w:highlight w:val="none"/>
              </w:rPr>
              <w:t>4-20mA</w:t>
            </w:r>
            <w:r>
              <w:rPr>
                <w:rFonts w:hint="eastAsia" w:ascii="微软雅黑" w:hAnsi="微软雅黑"/>
                <w:color w:val="auto"/>
                <w:szCs w:val="21"/>
                <w:highlight w:val="none"/>
              </w:rPr>
              <w:t>输出,量程不小于350 m</w:t>
            </w:r>
            <w:r>
              <w:rPr>
                <w:rFonts w:hint="eastAsia" w:ascii="微软雅黑" w:hAnsi="微软雅黑"/>
                <w:color w:val="auto"/>
                <w:szCs w:val="21"/>
                <w:highlight w:val="none"/>
                <w:vertAlign w:val="superscript"/>
              </w:rPr>
              <w:t>3</w:t>
            </w:r>
            <w:r>
              <w:rPr>
                <w:rFonts w:hint="eastAsia" w:ascii="微软雅黑" w:hAnsi="微软雅黑"/>
                <w:color w:val="auto"/>
                <w:szCs w:val="21"/>
                <w:highlight w:val="none"/>
              </w:rPr>
              <w:t>/h。</w:t>
            </w:r>
          </w:p>
          <w:p w14:paraId="50C1AD30">
            <w:pPr>
              <w:numPr>
                <w:ilvl w:val="0"/>
                <w:numId w:val="9"/>
              </w:numPr>
              <w:spacing w:after="0" w:line="240" w:lineRule="auto"/>
              <w:ind w:left="0" w:firstLine="0" w:firstLineChars="0"/>
              <w:rPr>
                <w:rFonts w:ascii="微软雅黑" w:hAnsi="微软雅黑"/>
                <w:color w:val="auto"/>
                <w:szCs w:val="21"/>
                <w:highlight w:val="none"/>
              </w:rPr>
            </w:pPr>
            <w:r>
              <w:rPr>
                <w:rFonts w:hint="eastAsia" w:ascii="微软雅黑" w:hAnsi="微软雅黑"/>
                <w:color w:val="auto"/>
                <w:szCs w:val="21"/>
                <w:highlight w:val="none"/>
              </w:rPr>
              <w:t>温度传感器：PT100型热电偶，</w:t>
            </w:r>
            <w:r>
              <w:rPr>
                <w:rFonts w:ascii="微软雅黑" w:hAnsi="微软雅黑"/>
                <w:color w:val="auto"/>
                <w:szCs w:val="21"/>
                <w:highlight w:val="none"/>
              </w:rPr>
              <w:t>B</w:t>
            </w:r>
            <w:r>
              <w:rPr>
                <w:rFonts w:hint="eastAsia" w:ascii="微软雅黑" w:hAnsi="微软雅黑"/>
                <w:color w:val="auto"/>
                <w:szCs w:val="21"/>
                <w:highlight w:val="none"/>
              </w:rPr>
              <w:t>级精度,量程不小于200℃。</w:t>
            </w:r>
          </w:p>
          <w:p w14:paraId="311DFB0E">
            <w:pPr>
              <w:numPr>
                <w:ilvl w:val="0"/>
                <w:numId w:val="9"/>
              </w:numPr>
              <w:spacing w:after="0" w:line="240" w:lineRule="auto"/>
              <w:ind w:left="0" w:firstLine="0" w:firstLineChars="0"/>
              <w:rPr>
                <w:rFonts w:ascii="微软雅黑" w:hAnsi="微软雅黑"/>
                <w:color w:val="auto"/>
                <w:szCs w:val="21"/>
                <w:highlight w:val="none"/>
              </w:rPr>
            </w:pPr>
            <w:r>
              <w:rPr>
                <w:rFonts w:hint="eastAsia" w:ascii="微软雅黑" w:hAnsi="微软雅黑"/>
                <w:color w:val="auto"/>
                <w:szCs w:val="21"/>
                <w:highlight w:val="none"/>
              </w:rPr>
              <w:t>洞道箱：干燥室不小于</w:t>
            </w:r>
            <w:r>
              <w:rPr>
                <w:rFonts w:ascii="微软雅黑" w:hAnsi="微软雅黑"/>
                <w:color w:val="auto"/>
                <w:szCs w:val="21"/>
                <w:highlight w:val="none"/>
              </w:rPr>
              <w:t>1200</w:t>
            </w:r>
            <w:r>
              <w:rPr>
                <w:rFonts w:hint="eastAsia" w:ascii="微软雅黑" w:hAnsi="微软雅黑"/>
                <w:color w:val="auto"/>
                <w:szCs w:val="21"/>
                <w:highlight w:val="none"/>
              </w:rPr>
              <w:t>mm*170mm*170mm。双层保温，中间填充保温棉，有视镜可看到干燥室内的干燥物料。</w:t>
            </w:r>
          </w:p>
          <w:p w14:paraId="66352226">
            <w:pPr>
              <w:numPr>
                <w:ilvl w:val="0"/>
                <w:numId w:val="9"/>
              </w:numPr>
              <w:spacing w:after="0" w:line="240" w:lineRule="auto"/>
              <w:ind w:left="0" w:firstLine="0" w:firstLineChars="0"/>
              <w:rPr>
                <w:rFonts w:ascii="微软雅黑" w:hAnsi="微软雅黑"/>
                <w:color w:val="auto"/>
                <w:szCs w:val="21"/>
                <w:highlight w:val="none"/>
              </w:rPr>
            </w:pPr>
            <w:r>
              <w:rPr>
                <w:rFonts w:hint="eastAsia" w:ascii="微软雅黑" w:hAnsi="微软雅黑"/>
                <w:color w:val="auto"/>
                <w:kern w:val="0"/>
                <w:szCs w:val="21"/>
                <w:highlight w:val="none"/>
              </w:rPr>
              <w:t>★</w:t>
            </w:r>
            <w:r>
              <w:rPr>
                <w:rFonts w:hint="eastAsia" w:ascii="微软雅黑" w:hAnsi="微软雅黑"/>
                <w:color w:val="auto"/>
                <w:szCs w:val="21"/>
                <w:highlight w:val="none"/>
              </w:rPr>
              <w:t>仪表：高精度称重传感器</w:t>
            </w:r>
            <w:r>
              <w:rPr>
                <w:rFonts w:ascii="微软雅黑" w:hAnsi="微软雅黑"/>
                <w:color w:val="auto"/>
                <w:szCs w:val="21"/>
                <w:highlight w:val="none"/>
              </w:rPr>
              <w:t>不少于1</w:t>
            </w:r>
            <w:r>
              <w:rPr>
                <w:rFonts w:hint="eastAsia" w:ascii="微软雅黑" w:hAnsi="微软雅黑"/>
                <w:color w:val="auto"/>
                <w:szCs w:val="21"/>
                <w:highlight w:val="none"/>
              </w:rPr>
              <w:t>只，测量范围0-300g，精度不低于万分之二。智能测控数显仪表</w:t>
            </w:r>
            <w:r>
              <w:rPr>
                <w:rFonts w:ascii="微软雅黑" w:hAnsi="微软雅黑"/>
                <w:color w:val="auto"/>
                <w:szCs w:val="21"/>
                <w:highlight w:val="none"/>
              </w:rPr>
              <w:t>不少于6</w:t>
            </w:r>
            <w:r>
              <w:rPr>
                <w:rFonts w:hint="eastAsia" w:ascii="微软雅黑" w:hAnsi="微软雅黑"/>
                <w:color w:val="auto"/>
                <w:szCs w:val="21"/>
                <w:highlight w:val="none"/>
              </w:rPr>
              <w:t>个，显示范围0-9999，用于显示和控制温度、流量、功率、重量等数据。</w:t>
            </w:r>
          </w:p>
          <w:p w14:paraId="1F6BF262">
            <w:pPr>
              <w:numPr>
                <w:ilvl w:val="0"/>
                <w:numId w:val="9"/>
              </w:numPr>
              <w:spacing w:after="0" w:line="240" w:lineRule="auto"/>
              <w:ind w:left="0" w:firstLine="0" w:firstLineChars="0"/>
              <w:rPr>
                <w:rFonts w:ascii="微软雅黑" w:hAnsi="微软雅黑"/>
                <w:color w:val="auto"/>
                <w:szCs w:val="21"/>
                <w:highlight w:val="none"/>
              </w:rPr>
            </w:pPr>
            <w:r>
              <w:rPr>
                <w:rFonts w:hint="eastAsia" w:ascii="微软雅黑" w:hAnsi="微软雅黑"/>
                <w:color w:val="auto"/>
                <w:szCs w:val="21"/>
                <w:highlight w:val="none"/>
              </w:rPr>
              <w:t>预热器：高度不小于800mm，304不锈钢保温外壳，加热功率2-</w:t>
            </w:r>
            <w:r>
              <w:rPr>
                <w:rFonts w:ascii="微软雅黑" w:hAnsi="微软雅黑"/>
                <w:color w:val="auto"/>
                <w:szCs w:val="21"/>
                <w:highlight w:val="none"/>
              </w:rPr>
              <w:t>3kW</w:t>
            </w:r>
            <w:r>
              <w:rPr>
                <w:rFonts w:hint="eastAsia" w:ascii="微软雅黑" w:hAnsi="微软雅黑"/>
                <w:color w:val="auto"/>
                <w:szCs w:val="21"/>
                <w:highlight w:val="none"/>
              </w:rPr>
              <w:t>。</w:t>
            </w:r>
          </w:p>
          <w:p w14:paraId="0B3E66A2">
            <w:pPr>
              <w:numPr>
                <w:ilvl w:val="0"/>
                <w:numId w:val="9"/>
              </w:numPr>
              <w:spacing w:after="0" w:line="240" w:lineRule="auto"/>
              <w:ind w:left="0" w:firstLine="0" w:firstLineChars="0"/>
              <w:rPr>
                <w:rFonts w:ascii="微软雅黑" w:hAnsi="微软雅黑"/>
                <w:color w:val="auto"/>
                <w:szCs w:val="21"/>
                <w:highlight w:val="none"/>
              </w:rPr>
            </w:pPr>
            <w:r>
              <w:rPr>
                <w:rFonts w:hint="eastAsia" w:ascii="微软雅黑" w:hAnsi="微软雅黑"/>
                <w:color w:val="auto"/>
                <w:szCs w:val="21"/>
                <w:highlight w:val="none"/>
              </w:rPr>
              <w:t>管路：管路采用304不锈钢材质，壁厚不小于2mm，接头采用304不锈钢法兰，焊接工艺。</w:t>
            </w:r>
          </w:p>
          <w:p w14:paraId="73F3FDD6">
            <w:pPr>
              <w:numPr>
                <w:ilvl w:val="0"/>
                <w:numId w:val="9"/>
              </w:numPr>
              <w:spacing w:after="0" w:line="240" w:lineRule="auto"/>
              <w:ind w:left="0" w:firstLine="0" w:firstLineChars="0"/>
              <w:rPr>
                <w:rFonts w:ascii="微软雅黑" w:hAnsi="微软雅黑"/>
                <w:color w:val="auto"/>
                <w:szCs w:val="21"/>
                <w:highlight w:val="none"/>
              </w:rPr>
            </w:pPr>
            <w:r>
              <w:rPr>
                <w:rFonts w:hint="eastAsia" w:ascii="微软雅黑" w:hAnsi="微软雅黑"/>
                <w:color w:val="auto"/>
                <w:szCs w:val="21"/>
                <w:highlight w:val="none"/>
              </w:rPr>
              <w:t>阀门：1批，304不锈钢材质工业级阀门，规格与管路配套。</w:t>
            </w:r>
          </w:p>
          <w:p w14:paraId="725DE24A">
            <w:pPr>
              <w:numPr>
                <w:ilvl w:val="0"/>
                <w:numId w:val="9"/>
              </w:numPr>
              <w:spacing w:after="0" w:line="240" w:lineRule="auto"/>
              <w:ind w:left="0" w:firstLine="0" w:firstLineChars="0"/>
              <w:rPr>
                <w:rFonts w:ascii="微软雅黑" w:hAnsi="微软雅黑"/>
                <w:color w:val="auto"/>
                <w:szCs w:val="21"/>
                <w:highlight w:val="none"/>
              </w:rPr>
            </w:pPr>
            <w:r>
              <w:rPr>
                <w:rFonts w:hint="eastAsia" w:ascii="微软雅黑" w:hAnsi="微软雅黑"/>
                <w:color w:val="auto"/>
                <w:kern w:val="0"/>
                <w:szCs w:val="21"/>
                <w:highlight w:val="none"/>
              </w:rPr>
              <w:t>★</w:t>
            </w:r>
            <w:r>
              <w:rPr>
                <w:rFonts w:hint="eastAsia" w:ascii="微软雅黑" w:hAnsi="微软雅黑"/>
                <w:color w:val="auto"/>
                <w:szCs w:val="21"/>
                <w:highlight w:val="none"/>
              </w:rPr>
              <w:t>一体化触控屏工业物联网主机：嵌入控制柜式安装，触控屏尺寸不低于10.1寸。OS支持Windows10及以上,RAM不小于4G,SSD不小于32G。支持RS232、RJ45、USB3.0、IEEE 802.11 b/g/n通信协议。主机全封闭设计，无风扇金属散热。</w:t>
            </w:r>
            <w:bookmarkStart w:id="33" w:name="OLE_LINK4"/>
            <w:r>
              <w:rPr>
                <w:rFonts w:hint="eastAsia" w:ascii="微软雅黑" w:hAnsi="微软雅黑"/>
                <w:color w:val="auto"/>
                <w:szCs w:val="21"/>
                <w:highlight w:val="none"/>
              </w:rPr>
              <w:t>具备集成物联网系统功能，实现本装置数据采集、上传、测控等通信功能</w:t>
            </w:r>
            <w:bookmarkEnd w:id="33"/>
            <w:r>
              <w:rPr>
                <w:rFonts w:hint="eastAsia" w:ascii="微软雅黑" w:hAnsi="微软雅黑"/>
                <w:color w:val="auto"/>
                <w:szCs w:val="21"/>
                <w:highlight w:val="none"/>
              </w:rPr>
              <w:t>。</w:t>
            </w:r>
          </w:p>
        </w:tc>
        <w:tc>
          <w:tcPr>
            <w:tcW w:w="765" w:type="dxa"/>
            <w:tcBorders>
              <w:top w:val="single" w:color="auto" w:sz="4" w:space="0"/>
              <w:left w:val="single" w:color="auto" w:sz="4" w:space="0"/>
              <w:bottom w:val="single" w:color="auto" w:sz="4" w:space="0"/>
              <w:right w:val="single" w:color="auto" w:sz="4" w:space="0"/>
            </w:tcBorders>
            <w:noWrap/>
            <w:vAlign w:val="center"/>
          </w:tcPr>
          <w:p w14:paraId="16BF3249">
            <w:pPr>
              <w:widowControl/>
              <w:spacing w:after="0" w:line="240" w:lineRule="auto"/>
              <w:ind w:firstLine="0" w:firstLineChars="0"/>
              <w:jc w:val="center"/>
              <w:rPr>
                <w:rFonts w:ascii="微软雅黑" w:hAnsi="微软雅黑"/>
                <w:b/>
                <w:bCs/>
                <w:color w:val="auto"/>
                <w:kern w:val="0"/>
                <w:szCs w:val="21"/>
                <w:highlight w:val="none"/>
              </w:rPr>
            </w:pPr>
            <w:r>
              <w:rPr>
                <w:rFonts w:hint="eastAsia" w:ascii="微软雅黑" w:hAnsi="微软雅黑"/>
                <w:color w:val="auto"/>
                <w:szCs w:val="21"/>
                <w:highlight w:val="none"/>
              </w:rPr>
              <w:t>4</w:t>
            </w:r>
          </w:p>
        </w:tc>
        <w:tc>
          <w:tcPr>
            <w:tcW w:w="750" w:type="dxa"/>
            <w:tcBorders>
              <w:top w:val="single" w:color="auto" w:sz="4" w:space="0"/>
              <w:left w:val="nil"/>
              <w:bottom w:val="single" w:color="auto" w:sz="4" w:space="0"/>
              <w:right w:val="single" w:color="auto" w:sz="4" w:space="0"/>
            </w:tcBorders>
            <w:noWrap/>
            <w:vAlign w:val="center"/>
          </w:tcPr>
          <w:p w14:paraId="3FF8E8AC">
            <w:pPr>
              <w:widowControl/>
              <w:spacing w:after="0" w:line="240" w:lineRule="auto"/>
              <w:ind w:firstLine="0" w:firstLineChars="0"/>
              <w:jc w:val="center"/>
              <w:rPr>
                <w:rFonts w:ascii="微软雅黑" w:hAnsi="微软雅黑"/>
                <w:color w:val="auto"/>
                <w:kern w:val="0"/>
                <w:szCs w:val="21"/>
                <w:highlight w:val="none"/>
              </w:rPr>
            </w:pPr>
            <w:r>
              <w:rPr>
                <w:rFonts w:hint="eastAsia" w:ascii="微软雅黑" w:hAnsi="微软雅黑"/>
                <w:color w:val="auto"/>
                <w:kern w:val="0"/>
                <w:szCs w:val="21"/>
                <w:highlight w:val="none"/>
              </w:rPr>
              <w:t>套</w:t>
            </w:r>
          </w:p>
        </w:tc>
      </w:tr>
      <w:tr w14:paraId="2619EE06">
        <w:tblPrEx>
          <w:tblCellMar>
            <w:top w:w="0" w:type="dxa"/>
            <w:left w:w="108" w:type="dxa"/>
            <w:bottom w:w="0" w:type="dxa"/>
            <w:right w:w="108" w:type="dxa"/>
          </w:tblCellMar>
        </w:tblPrEx>
        <w:trPr>
          <w:trHeight w:val="280" w:hRule="atLeast"/>
        </w:trPr>
        <w:tc>
          <w:tcPr>
            <w:tcW w:w="421" w:type="dxa"/>
            <w:tcBorders>
              <w:top w:val="single" w:color="auto" w:sz="4" w:space="0"/>
              <w:left w:val="single" w:color="auto" w:sz="4" w:space="0"/>
              <w:bottom w:val="single" w:color="auto" w:sz="4" w:space="0"/>
              <w:right w:val="single" w:color="auto" w:sz="4" w:space="0"/>
            </w:tcBorders>
            <w:noWrap/>
            <w:vAlign w:val="center"/>
          </w:tcPr>
          <w:p w14:paraId="466FCE2A">
            <w:pPr>
              <w:widowControl/>
              <w:spacing w:after="0" w:line="240" w:lineRule="auto"/>
              <w:ind w:firstLine="0" w:firstLineChars="0"/>
              <w:jc w:val="center"/>
              <w:rPr>
                <w:rFonts w:ascii="微软雅黑" w:hAnsi="微软雅黑"/>
                <w:b/>
                <w:bCs/>
                <w:color w:val="auto"/>
                <w:kern w:val="0"/>
                <w:szCs w:val="21"/>
                <w:highlight w:val="none"/>
              </w:rPr>
            </w:pPr>
            <w:r>
              <w:rPr>
                <w:rFonts w:hint="eastAsia" w:ascii="微软雅黑" w:hAnsi="微软雅黑"/>
                <w:b/>
                <w:bCs/>
                <w:color w:val="auto"/>
                <w:kern w:val="0"/>
                <w:szCs w:val="21"/>
                <w:highlight w:val="none"/>
              </w:rPr>
              <w:t>2</w:t>
            </w:r>
          </w:p>
        </w:tc>
        <w:tc>
          <w:tcPr>
            <w:tcW w:w="1597" w:type="dxa"/>
            <w:tcBorders>
              <w:top w:val="single" w:color="auto" w:sz="4" w:space="0"/>
              <w:left w:val="nil"/>
              <w:bottom w:val="single" w:color="auto" w:sz="4" w:space="0"/>
              <w:right w:val="single" w:color="auto" w:sz="4" w:space="0"/>
            </w:tcBorders>
            <w:noWrap/>
            <w:vAlign w:val="center"/>
          </w:tcPr>
          <w:p w14:paraId="5461943E">
            <w:pPr>
              <w:widowControl/>
              <w:spacing w:after="0" w:line="240" w:lineRule="auto"/>
              <w:ind w:firstLine="0" w:firstLineChars="0"/>
              <w:jc w:val="center"/>
              <w:rPr>
                <w:rFonts w:ascii="微软雅黑" w:hAnsi="微软雅黑"/>
                <w:b/>
                <w:bCs/>
                <w:color w:val="auto"/>
                <w:kern w:val="0"/>
                <w:szCs w:val="21"/>
                <w:highlight w:val="none"/>
              </w:rPr>
            </w:pPr>
            <w:r>
              <w:rPr>
                <w:rFonts w:hint="eastAsia" w:ascii="微软雅黑" w:hAnsi="微软雅黑"/>
                <w:color w:val="auto"/>
                <w:szCs w:val="21"/>
                <w:highlight w:val="none"/>
              </w:rPr>
              <w:t>化工流动综合实验装置</w:t>
            </w:r>
          </w:p>
        </w:tc>
        <w:tc>
          <w:tcPr>
            <w:tcW w:w="10956" w:type="dxa"/>
            <w:tcBorders>
              <w:top w:val="single" w:color="auto" w:sz="4" w:space="0"/>
              <w:left w:val="nil"/>
              <w:bottom w:val="single" w:color="auto" w:sz="4" w:space="0"/>
              <w:right w:val="nil"/>
            </w:tcBorders>
            <w:noWrap/>
            <w:vAlign w:val="center"/>
          </w:tcPr>
          <w:p w14:paraId="3E80F8C6">
            <w:pPr>
              <w:spacing w:after="0" w:line="240" w:lineRule="auto"/>
              <w:ind w:firstLine="0" w:firstLineChars="0"/>
              <w:rPr>
                <w:rFonts w:ascii="微软雅黑" w:hAnsi="微软雅黑"/>
                <w:b/>
                <w:bCs/>
                <w:color w:val="auto"/>
                <w:szCs w:val="21"/>
                <w:highlight w:val="none"/>
              </w:rPr>
            </w:pPr>
            <w:r>
              <w:rPr>
                <w:rFonts w:hint="eastAsia" w:ascii="微软雅黑" w:hAnsi="微软雅黑"/>
                <w:b/>
                <w:bCs/>
                <w:color w:val="auto"/>
                <w:szCs w:val="21"/>
                <w:highlight w:val="none"/>
              </w:rPr>
              <w:t>装置功能</w:t>
            </w:r>
          </w:p>
          <w:p w14:paraId="74D48D22">
            <w:pPr>
              <w:pStyle w:val="65"/>
              <w:numPr>
                <w:ilvl w:val="0"/>
                <w:numId w:val="10"/>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s="宋体"/>
                <w:color w:val="auto"/>
                <w:szCs w:val="21"/>
                <w:highlight w:val="none"/>
              </w:rPr>
              <w:t>具备测定流体流经直管和阀门时阻力损失、流体流动中能量损失的变化规律功能。</w:t>
            </w:r>
          </w:p>
          <w:p w14:paraId="19373CF4">
            <w:pPr>
              <w:pStyle w:val="65"/>
              <w:numPr>
                <w:ilvl w:val="0"/>
                <w:numId w:val="10"/>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s="宋体"/>
                <w:color w:val="auto"/>
                <w:szCs w:val="21"/>
                <w:highlight w:val="none"/>
              </w:rPr>
              <w:t>具备测定光滑直管摩擦系数</w:t>
            </w:r>
            <w:r>
              <w:rPr>
                <w:rFonts w:ascii="微软雅黑" w:hAnsi="微软雅黑"/>
                <w:color w:val="auto"/>
                <w:szCs w:val="21"/>
                <w:highlight w:val="none"/>
              </w:rPr>
              <w:t>λ</w:t>
            </w:r>
            <w:r>
              <w:rPr>
                <w:rFonts w:hint="eastAsia" w:ascii="微软雅黑" w:hAnsi="微软雅黑" w:cs="宋体"/>
                <w:color w:val="auto"/>
                <w:szCs w:val="21"/>
                <w:highlight w:val="none"/>
              </w:rPr>
              <w:t>与雷诺准数</w:t>
            </w:r>
            <w:r>
              <w:rPr>
                <w:rFonts w:ascii="微软雅黑" w:hAnsi="微软雅黑"/>
                <w:color w:val="auto"/>
                <w:szCs w:val="21"/>
                <w:highlight w:val="none"/>
              </w:rPr>
              <w:t>Re</w:t>
            </w:r>
            <w:r>
              <w:rPr>
                <w:rFonts w:hint="eastAsia" w:ascii="微软雅黑" w:hAnsi="微软雅黑" w:cs="宋体"/>
                <w:color w:val="auto"/>
                <w:szCs w:val="21"/>
                <w:highlight w:val="none"/>
              </w:rPr>
              <w:t>的关系功能，并可与经验式对比。</w:t>
            </w:r>
          </w:p>
          <w:p w14:paraId="772A09D2">
            <w:pPr>
              <w:pStyle w:val="65"/>
              <w:numPr>
                <w:ilvl w:val="0"/>
                <w:numId w:val="10"/>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s="宋体"/>
                <w:color w:val="auto"/>
                <w:szCs w:val="21"/>
                <w:highlight w:val="none"/>
              </w:rPr>
              <w:t>具备测定流体流经粗糙管时摩擦系数</w:t>
            </w:r>
            <w:r>
              <w:rPr>
                <w:rFonts w:ascii="微软雅黑" w:hAnsi="微软雅黑"/>
                <w:color w:val="auto"/>
                <w:szCs w:val="21"/>
                <w:highlight w:val="none"/>
              </w:rPr>
              <w:t>λ</w:t>
            </w:r>
            <w:r>
              <w:rPr>
                <w:rFonts w:hint="eastAsia" w:ascii="微软雅黑" w:hAnsi="微软雅黑" w:cs="宋体"/>
                <w:color w:val="auto"/>
                <w:szCs w:val="21"/>
                <w:highlight w:val="none"/>
              </w:rPr>
              <w:t>与雷诺数</w:t>
            </w:r>
            <w:r>
              <w:rPr>
                <w:rFonts w:ascii="微软雅黑" w:hAnsi="微软雅黑"/>
                <w:color w:val="auto"/>
                <w:szCs w:val="21"/>
                <w:highlight w:val="none"/>
              </w:rPr>
              <w:t>Re</w:t>
            </w:r>
            <w:r>
              <w:rPr>
                <w:rFonts w:hint="eastAsia" w:ascii="微软雅黑" w:hAnsi="微软雅黑" w:cs="宋体"/>
                <w:color w:val="auto"/>
                <w:szCs w:val="21"/>
                <w:highlight w:val="none"/>
              </w:rPr>
              <w:t>的关系及变化规律功能。</w:t>
            </w:r>
          </w:p>
          <w:p w14:paraId="22C7AB70">
            <w:pPr>
              <w:pStyle w:val="65"/>
              <w:numPr>
                <w:ilvl w:val="0"/>
                <w:numId w:val="10"/>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s="宋体"/>
                <w:color w:val="auto"/>
                <w:szCs w:val="21"/>
                <w:highlight w:val="none"/>
              </w:rPr>
              <w:t>具备测定圆管内流体层流流动时摩擦系数</w:t>
            </w:r>
            <w:r>
              <w:rPr>
                <w:rFonts w:ascii="微软雅黑" w:hAnsi="微软雅黑"/>
                <w:color w:val="auto"/>
                <w:szCs w:val="21"/>
                <w:highlight w:val="none"/>
              </w:rPr>
              <w:t>λ</w:t>
            </w:r>
            <w:r>
              <w:rPr>
                <w:rFonts w:hint="eastAsia" w:ascii="微软雅黑" w:hAnsi="微软雅黑" w:cs="宋体"/>
                <w:color w:val="auto"/>
                <w:szCs w:val="21"/>
                <w:highlight w:val="none"/>
              </w:rPr>
              <w:t>与雷诺数</w:t>
            </w:r>
            <w:r>
              <w:rPr>
                <w:rFonts w:ascii="微软雅黑" w:hAnsi="微软雅黑"/>
                <w:color w:val="auto"/>
                <w:szCs w:val="21"/>
                <w:highlight w:val="none"/>
              </w:rPr>
              <w:t>Re</w:t>
            </w:r>
            <w:r>
              <w:rPr>
                <w:rFonts w:hint="eastAsia" w:ascii="微软雅黑" w:hAnsi="微软雅黑" w:cs="宋体"/>
                <w:color w:val="auto"/>
                <w:szCs w:val="21"/>
                <w:highlight w:val="none"/>
              </w:rPr>
              <w:t>的关系及变化规律功能，并可与理论式对比。</w:t>
            </w:r>
          </w:p>
          <w:p w14:paraId="61089BC3">
            <w:pPr>
              <w:pStyle w:val="65"/>
              <w:numPr>
                <w:ilvl w:val="0"/>
                <w:numId w:val="10"/>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s="宋体"/>
                <w:color w:val="auto"/>
                <w:szCs w:val="21"/>
                <w:highlight w:val="none"/>
              </w:rPr>
              <w:t>具备测定流体流经阀门、弯头时的局部阻力系数</w:t>
            </w:r>
            <w:r>
              <w:rPr>
                <w:rFonts w:ascii="微软雅黑" w:hAnsi="微软雅黑"/>
                <w:color w:val="auto"/>
                <w:szCs w:val="21"/>
                <w:highlight w:val="none"/>
              </w:rPr>
              <w:t>ξ</w:t>
            </w:r>
            <w:r>
              <w:rPr>
                <w:rFonts w:hint="eastAsia" w:ascii="微软雅黑" w:hAnsi="微软雅黑"/>
                <w:color w:val="auto"/>
                <w:szCs w:val="21"/>
                <w:highlight w:val="none"/>
              </w:rPr>
              <w:t>功能</w:t>
            </w:r>
            <w:r>
              <w:rPr>
                <w:rFonts w:hint="eastAsia" w:ascii="微软雅黑" w:hAnsi="微软雅黑" w:cs="宋体"/>
                <w:color w:val="auto"/>
                <w:szCs w:val="21"/>
                <w:highlight w:val="none"/>
              </w:rPr>
              <w:t>。</w:t>
            </w:r>
          </w:p>
          <w:p w14:paraId="224C6AE6">
            <w:pPr>
              <w:pStyle w:val="65"/>
              <w:numPr>
                <w:ilvl w:val="0"/>
                <w:numId w:val="10"/>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s="宋体"/>
                <w:color w:val="auto"/>
                <w:szCs w:val="21"/>
                <w:highlight w:val="none"/>
              </w:rPr>
              <w:t>具备孔板流量计的校正实验功能，测定其流量系数及其变化规律，具备孔板流量计的永久压强损失的测定功能。</w:t>
            </w:r>
          </w:p>
          <w:p w14:paraId="68ADB1F9">
            <w:pPr>
              <w:pStyle w:val="65"/>
              <w:numPr>
                <w:ilvl w:val="0"/>
                <w:numId w:val="10"/>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s="宋体"/>
                <w:color w:val="auto"/>
                <w:szCs w:val="21"/>
                <w:highlight w:val="none"/>
              </w:rPr>
              <w:t>具备学习心泵结构与特性功能，具备练习离心泵的操作功能。</w:t>
            </w:r>
          </w:p>
          <w:p w14:paraId="6A91950A">
            <w:pPr>
              <w:pStyle w:val="65"/>
              <w:numPr>
                <w:ilvl w:val="0"/>
                <w:numId w:val="10"/>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s="宋体"/>
                <w:color w:val="auto"/>
                <w:szCs w:val="21"/>
                <w:highlight w:val="none"/>
              </w:rPr>
              <w:t>具备测定恒定转速条件下离心泵的扬程</w:t>
            </w:r>
            <w:r>
              <w:rPr>
                <w:rFonts w:ascii="微软雅黑" w:hAnsi="微软雅黑"/>
                <w:color w:val="auto"/>
                <w:szCs w:val="21"/>
                <w:highlight w:val="none"/>
              </w:rPr>
              <w:t>(H</w:t>
            </w:r>
            <w:r>
              <w:rPr>
                <w:rFonts w:hint="eastAsia" w:ascii="微软雅黑" w:hAnsi="微软雅黑"/>
                <w:color w:val="auto"/>
                <w:szCs w:val="21"/>
                <w:highlight w:val="none"/>
                <w:vertAlign w:val="subscript"/>
              </w:rPr>
              <w:t>e</w:t>
            </w:r>
            <w:r>
              <w:rPr>
                <w:rFonts w:ascii="微软雅黑" w:hAnsi="微软雅黑"/>
                <w:color w:val="auto"/>
                <w:szCs w:val="21"/>
                <w:highlight w:val="none"/>
              </w:rPr>
              <w:t>)</w:t>
            </w:r>
            <w:r>
              <w:rPr>
                <w:rFonts w:hint="eastAsia" w:ascii="微软雅黑" w:hAnsi="微软雅黑" w:cs="宋体"/>
                <w:color w:val="auto"/>
                <w:szCs w:val="21"/>
                <w:highlight w:val="none"/>
              </w:rPr>
              <w:t>、轴功率</w:t>
            </w:r>
            <w:r>
              <w:rPr>
                <w:rFonts w:ascii="微软雅黑" w:hAnsi="微软雅黑"/>
                <w:color w:val="auto"/>
                <w:szCs w:val="21"/>
                <w:highlight w:val="none"/>
              </w:rPr>
              <w:t>(N</w:t>
            </w:r>
            <w:r>
              <w:rPr>
                <w:rFonts w:hint="eastAsia" w:ascii="微软雅黑" w:hAnsi="微软雅黑"/>
                <w:color w:val="auto"/>
                <w:szCs w:val="21"/>
                <w:highlight w:val="none"/>
                <w:vertAlign w:val="subscript"/>
              </w:rPr>
              <w:t>a</w:t>
            </w:r>
            <w:r>
              <w:rPr>
                <w:rFonts w:ascii="微软雅黑" w:hAnsi="微软雅黑"/>
                <w:color w:val="auto"/>
                <w:szCs w:val="21"/>
                <w:highlight w:val="none"/>
              </w:rPr>
              <w:fldChar w:fldCharType="begin"/>
            </w:r>
            <w:r>
              <w:rPr>
                <w:rFonts w:ascii="微软雅黑" w:hAnsi="微软雅黑"/>
                <w:color w:val="auto"/>
                <w:szCs w:val="21"/>
                <w:highlight w:val="none"/>
              </w:rPr>
              <w:instrText xml:space="preserve"> QUOTE </w:instrText>
            </w:r>
            <w:r>
              <w:rPr>
                <w:rFonts w:ascii="微软雅黑" w:hAnsi="微软雅黑"/>
                <w:color w:val="auto"/>
                <w:szCs w:val="21"/>
                <w:highlight w:val="none"/>
              </w:rPr>
              <w:drawing>
                <wp:inline distT="0" distB="0" distL="0" distR="0">
                  <wp:extent cx="155575" cy="198120"/>
                  <wp:effectExtent l="0" t="0" r="0" b="0"/>
                  <wp:docPr id="1027" name="_x0000_t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7" name="_x0000_t75"/>
                          <pic:cNvPicPr>
                            <a:picLocks noChangeAspect="1"/>
                          </pic:cNvPicPr>
                        </pic:nvPicPr>
                        <pic:blipFill>
                          <a:blip r:embed="rId36" cstate="print">
                            <a:clrChange>
                              <a:clrFrom>
                                <a:srgbClr val="FFFFFF"/>
                              </a:clrFrom>
                              <a:clrTo>
                                <a:srgbClr val="FFFFFF">
                                  <a:alpha val="0"/>
                                </a:srgbClr>
                              </a:clrTo>
                            </a:clrChange>
                          </a:blip>
                          <a:srcRect/>
                          <a:stretch>
                            <a:fillRect/>
                          </a:stretch>
                        </pic:blipFill>
                        <pic:spPr>
                          <a:xfrm>
                            <a:off x="0" y="0"/>
                            <a:ext cx="155575" cy="198120"/>
                          </a:xfrm>
                          <a:prstGeom prst="rect">
                            <a:avLst/>
                          </a:prstGeom>
                          <a:ln>
                            <a:noFill/>
                          </a:ln>
                        </pic:spPr>
                      </pic:pic>
                    </a:graphicData>
                  </a:graphic>
                </wp:inline>
              </w:drawing>
            </w:r>
            <w:r>
              <w:rPr>
                <w:rFonts w:ascii="微软雅黑" w:hAnsi="微软雅黑"/>
                <w:color w:val="auto"/>
                <w:szCs w:val="21"/>
                <w:highlight w:val="none"/>
              </w:rPr>
              <w:instrText xml:space="preserve"> </w:instrText>
            </w:r>
            <w:r>
              <w:rPr>
                <w:rFonts w:ascii="微软雅黑" w:hAnsi="微软雅黑"/>
                <w:color w:val="auto"/>
                <w:szCs w:val="21"/>
                <w:highlight w:val="none"/>
              </w:rPr>
              <w:fldChar w:fldCharType="end"/>
            </w:r>
            <w:r>
              <w:rPr>
                <w:rFonts w:ascii="微软雅黑" w:hAnsi="微软雅黑"/>
                <w:color w:val="auto"/>
                <w:szCs w:val="21"/>
                <w:highlight w:val="none"/>
              </w:rPr>
              <w:t>)</w:t>
            </w:r>
            <w:r>
              <w:rPr>
                <w:rFonts w:hint="eastAsia" w:ascii="微软雅黑" w:hAnsi="微软雅黑" w:cs="宋体"/>
                <w:color w:val="auto"/>
                <w:szCs w:val="21"/>
                <w:highlight w:val="none"/>
              </w:rPr>
              <w:t>、以及总效率（</w:t>
            </w:r>
            <w:r>
              <w:rPr>
                <w:rFonts w:ascii="微软雅黑" w:hAnsi="微软雅黑"/>
                <w:color w:val="auto"/>
                <w:szCs w:val="21"/>
                <w:highlight w:val="none"/>
              </w:rPr>
              <w:t>η</w:t>
            </w:r>
            <w:r>
              <w:rPr>
                <w:rFonts w:hint="eastAsia" w:ascii="微软雅黑" w:hAnsi="微软雅黑" w:cs="宋体"/>
                <w:color w:val="auto"/>
                <w:szCs w:val="21"/>
                <w:highlight w:val="none"/>
              </w:rPr>
              <w:t>）与流量</w:t>
            </w:r>
            <w:r>
              <w:rPr>
                <w:rFonts w:ascii="微软雅黑" w:hAnsi="微软雅黑"/>
                <w:color w:val="auto"/>
                <w:szCs w:val="21"/>
                <w:highlight w:val="none"/>
              </w:rPr>
              <w:t>(V)</w:t>
            </w:r>
            <w:r>
              <w:rPr>
                <w:rFonts w:hint="eastAsia" w:ascii="微软雅黑" w:hAnsi="微软雅黑" w:cs="宋体"/>
                <w:color w:val="auto"/>
                <w:szCs w:val="21"/>
                <w:highlight w:val="none"/>
              </w:rPr>
              <w:t>之间的曲线关系功能。</w:t>
            </w:r>
          </w:p>
          <w:p w14:paraId="6E0F9CF0">
            <w:pPr>
              <w:pStyle w:val="65"/>
              <w:numPr>
                <w:ilvl w:val="0"/>
                <w:numId w:val="10"/>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s="宋体"/>
                <w:color w:val="auto"/>
                <w:szCs w:val="21"/>
                <w:highlight w:val="none"/>
              </w:rPr>
              <w:t>具备测定改变转速条件下离心泵的有效扬程</w:t>
            </w:r>
            <w:r>
              <w:rPr>
                <w:rFonts w:ascii="微软雅黑" w:hAnsi="微软雅黑"/>
                <w:color w:val="auto"/>
                <w:szCs w:val="21"/>
                <w:highlight w:val="none"/>
              </w:rPr>
              <w:t>(H</w:t>
            </w:r>
            <w:r>
              <w:rPr>
                <w:rFonts w:hint="eastAsia" w:ascii="微软雅黑" w:hAnsi="微软雅黑"/>
                <w:color w:val="auto"/>
                <w:szCs w:val="21"/>
                <w:highlight w:val="none"/>
                <w:vertAlign w:val="subscript"/>
              </w:rPr>
              <w:t>e</w:t>
            </w:r>
            <w:r>
              <w:rPr>
                <w:rFonts w:ascii="微软雅黑" w:hAnsi="微软雅黑"/>
                <w:color w:val="auto"/>
                <w:szCs w:val="21"/>
                <w:highlight w:val="none"/>
              </w:rPr>
              <w:t>)</w:t>
            </w:r>
            <w:r>
              <w:rPr>
                <w:rFonts w:hint="eastAsia" w:ascii="微软雅黑" w:hAnsi="微软雅黑" w:cs="宋体"/>
                <w:color w:val="auto"/>
                <w:szCs w:val="21"/>
                <w:highlight w:val="none"/>
              </w:rPr>
              <w:t>、轴功率</w:t>
            </w:r>
            <w:r>
              <w:rPr>
                <w:rFonts w:ascii="微软雅黑" w:hAnsi="微软雅黑"/>
                <w:color w:val="auto"/>
                <w:szCs w:val="21"/>
                <w:highlight w:val="none"/>
              </w:rPr>
              <w:t>(N</w:t>
            </w:r>
            <w:r>
              <w:rPr>
                <w:rFonts w:hint="eastAsia" w:ascii="微软雅黑" w:hAnsi="微软雅黑"/>
                <w:color w:val="auto"/>
                <w:szCs w:val="21"/>
                <w:highlight w:val="none"/>
                <w:vertAlign w:val="subscript"/>
              </w:rPr>
              <w:t>a</w:t>
            </w:r>
            <w:r>
              <w:rPr>
                <w:rFonts w:ascii="微软雅黑" w:hAnsi="微软雅黑"/>
                <w:color w:val="auto"/>
                <w:szCs w:val="21"/>
                <w:highlight w:val="none"/>
              </w:rPr>
              <w:t>)</w:t>
            </w:r>
            <w:r>
              <w:rPr>
                <w:rFonts w:hint="eastAsia" w:ascii="微软雅黑" w:hAnsi="微软雅黑" w:cs="宋体"/>
                <w:color w:val="auto"/>
                <w:szCs w:val="21"/>
                <w:highlight w:val="none"/>
              </w:rPr>
              <w:t>、以及总效率（</w:t>
            </w:r>
            <w:r>
              <w:rPr>
                <w:rFonts w:ascii="微软雅黑" w:hAnsi="微软雅黑"/>
                <w:color w:val="auto"/>
                <w:szCs w:val="21"/>
                <w:highlight w:val="none"/>
              </w:rPr>
              <w:t>η</w:t>
            </w:r>
            <w:r>
              <w:rPr>
                <w:rFonts w:hint="eastAsia" w:ascii="微软雅黑" w:hAnsi="微软雅黑" w:cs="宋体"/>
                <w:color w:val="auto"/>
                <w:szCs w:val="21"/>
                <w:highlight w:val="none"/>
              </w:rPr>
              <w:t>）与流量</w:t>
            </w:r>
            <w:r>
              <w:rPr>
                <w:rFonts w:ascii="微软雅黑" w:hAnsi="微软雅黑"/>
                <w:color w:val="auto"/>
                <w:szCs w:val="21"/>
                <w:highlight w:val="none"/>
              </w:rPr>
              <w:t>(V)</w:t>
            </w:r>
            <w:r>
              <w:rPr>
                <w:rFonts w:hint="eastAsia" w:ascii="微软雅黑" w:hAnsi="微软雅黑" w:cs="宋体"/>
                <w:color w:val="auto"/>
                <w:szCs w:val="21"/>
                <w:highlight w:val="none"/>
              </w:rPr>
              <w:t>之间的曲线关系功能。</w:t>
            </w:r>
          </w:p>
          <w:p w14:paraId="68048A23">
            <w:pPr>
              <w:pStyle w:val="65"/>
              <w:numPr>
                <w:ilvl w:val="0"/>
                <w:numId w:val="10"/>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s="宋体"/>
                <w:color w:val="auto"/>
                <w:szCs w:val="21"/>
                <w:highlight w:val="none"/>
              </w:rPr>
              <w:t>具备测定泵出口阀门在一定开度下的管路特性曲线功能。</w:t>
            </w:r>
          </w:p>
          <w:p w14:paraId="113450BC">
            <w:pPr>
              <w:pStyle w:val="65"/>
              <w:numPr>
                <w:ilvl w:val="0"/>
                <w:numId w:val="10"/>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olor w:val="auto"/>
                <w:kern w:val="0"/>
                <w:szCs w:val="21"/>
                <w:highlight w:val="none"/>
              </w:rPr>
              <w:t>配套仿真教学平台，平台具备以下功能：</w:t>
            </w:r>
          </w:p>
          <w:p w14:paraId="1F0A04FB">
            <w:pPr>
              <w:pStyle w:val="65"/>
              <w:spacing w:after="0" w:line="240" w:lineRule="auto"/>
              <w:ind w:firstLine="0" w:firstLineChars="0"/>
              <w:jc w:val="both"/>
              <w:rPr>
                <w:rFonts w:ascii="微软雅黑" w:hAnsi="微软雅黑"/>
                <w:color w:val="auto"/>
                <w:szCs w:val="21"/>
                <w:highlight w:val="none"/>
              </w:rPr>
            </w:pPr>
            <w:r>
              <w:rPr>
                <w:rFonts w:hint="eastAsia" w:ascii="微软雅黑" w:hAnsi="微软雅黑"/>
                <w:color w:val="auto"/>
                <w:kern w:val="0"/>
                <w:szCs w:val="21"/>
                <w:highlight w:val="none"/>
              </w:rPr>
              <w:t>11.1★</w:t>
            </w:r>
            <w:r>
              <w:rPr>
                <w:rFonts w:hint="eastAsia" w:ascii="微软雅黑" w:hAnsi="微软雅黑"/>
                <w:color w:val="auto"/>
                <w:szCs w:val="21"/>
                <w:highlight w:val="none"/>
              </w:rPr>
              <w:t>（1）为学生端配套本实验虚拟仿真系统，可以进行实验装置结构学习、实验操作练习与操作考核，要求仿真装置与本实验真实装置结构相同、操作一致；仿真操作具备通过后台严格数学模型算法计算出仿真实验数据功能。（2）为教师端配套仿真实验教学平台，实现仿真实验教学管理功能，包括学生管理、考试管理、成绩管理等功能</w:t>
            </w:r>
            <w:r>
              <w:rPr>
                <w:rFonts w:hint="eastAsia" w:ascii="微软雅黑" w:hAnsi="微软雅黑" w:cs="宋体"/>
                <w:color w:val="auto"/>
                <w:szCs w:val="21"/>
                <w:highlight w:val="none"/>
              </w:rPr>
              <w:t>。</w:t>
            </w:r>
          </w:p>
          <w:p w14:paraId="5E6DCC00">
            <w:pPr>
              <w:pStyle w:val="65"/>
              <w:spacing w:after="0" w:line="240" w:lineRule="auto"/>
              <w:ind w:firstLine="0" w:firstLineChars="0"/>
              <w:jc w:val="both"/>
              <w:rPr>
                <w:rFonts w:ascii="微软雅黑" w:hAnsi="微软雅黑"/>
                <w:b/>
                <w:bCs/>
                <w:color w:val="auto"/>
                <w:szCs w:val="21"/>
                <w:highlight w:val="none"/>
              </w:rPr>
            </w:pPr>
            <w:r>
              <w:rPr>
                <w:rFonts w:hint="eastAsia" w:ascii="微软雅黑" w:hAnsi="微软雅黑"/>
                <w:color w:val="auto"/>
                <w:kern w:val="0"/>
                <w:szCs w:val="21"/>
                <w:highlight w:val="none"/>
              </w:rPr>
              <w:t>11.2★为教师、学生</w:t>
            </w:r>
            <w:r>
              <w:rPr>
                <w:rFonts w:hint="eastAsia" w:ascii="微软雅黑" w:hAnsi="微软雅黑" w:cs="宋体"/>
                <w:color w:val="auto"/>
                <w:szCs w:val="21"/>
                <w:highlight w:val="none"/>
              </w:rPr>
              <w:t>配套本实验装置介绍微课，讲解实验装置结构。</w:t>
            </w:r>
            <w:r>
              <w:rPr>
                <w:rFonts w:hint="eastAsia" w:ascii="微软雅黑" w:hAnsi="微软雅黑" w:cs="宋体"/>
                <w:b/>
                <w:bCs/>
                <w:color w:val="auto"/>
                <w:szCs w:val="21"/>
                <w:highlight w:val="none"/>
              </w:rPr>
              <w:t>（演示内容）</w:t>
            </w:r>
          </w:p>
          <w:p w14:paraId="35380C65">
            <w:pPr>
              <w:pStyle w:val="65"/>
              <w:spacing w:after="0" w:line="240" w:lineRule="auto"/>
              <w:ind w:firstLine="0" w:firstLineChars="0"/>
              <w:jc w:val="both"/>
              <w:rPr>
                <w:rFonts w:ascii="微软雅黑" w:hAnsi="微软雅黑"/>
                <w:color w:val="auto"/>
                <w:szCs w:val="21"/>
                <w:highlight w:val="none"/>
              </w:rPr>
            </w:pPr>
            <w:r>
              <w:rPr>
                <w:rFonts w:hint="eastAsia" w:ascii="微软雅黑" w:hAnsi="微软雅黑"/>
                <w:color w:val="auto"/>
                <w:kern w:val="0"/>
                <w:szCs w:val="21"/>
                <w:highlight w:val="none"/>
              </w:rPr>
              <w:t>11.3★设备端</w:t>
            </w:r>
            <w:r>
              <w:rPr>
                <w:rFonts w:hint="eastAsia" w:ascii="微软雅黑" w:hAnsi="微软雅黑" w:cs="宋体"/>
                <w:color w:val="auto"/>
                <w:szCs w:val="21"/>
                <w:highlight w:val="none"/>
              </w:rPr>
              <w:t>配套</w:t>
            </w:r>
            <w:r>
              <w:rPr>
                <w:rFonts w:ascii="微软雅黑" w:hAnsi="微软雅黑" w:cs="宋体"/>
                <w:color w:val="auto"/>
                <w:szCs w:val="21"/>
                <w:highlight w:val="none"/>
              </w:rPr>
              <w:t>数据采集及测控软件</w:t>
            </w:r>
            <w:r>
              <w:rPr>
                <w:rFonts w:hint="eastAsia" w:ascii="微软雅黑" w:hAnsi="微软雅黑" w:cs="宋体"/>
                <w:color w:val="auto"/>
                <w:szCs w:val="21"/>
                <w:highlight w:val="none"/>
              </w:rPr>
              <w:t>，可以实现实验数据及设备状态实时在线采集、显示、数据变化曲线显示，实现装置运行控制、数据导出与处理等功能；并且可将数据实时上传至</w:t>
            </w:r>
            <w:r>
              <w:rPr>
                <w:rFonts w:ascii="微软雅黑" w:hAnsi="微软雅黑" w:cs="宋体"/>
                <w:color w:val="auto"/>
                <w:szCs w:val="21"/>
                <w:highlight w:val="none"/>
              </w:rPr>
              <w:t>在线的</w:t>
            </w:r>
            <w:r>
              <w:rPr>
                <w:rFonts w:hint="eastAsia" w:ascii="微软雅黑" w:hAnsi="微软雅黑" w:cs="宋体"/>
                <w:color w:val="auto"/>
                <w:szCs w:val="21"/>
                <w:highlight w:val="none"/>
              </w:rPr>
              <w:t>实验学习</w:t>
            </w:r>
            <w:r>
              <w:rPr>
                <w:rFonts w:ascii="微软雅黑" w:hAnsi="微软雅黑" w:cs="宋体"/>
                <w:color w:val="auto"/>
                <w:szCs w:val="21"/>
                <w:highlight w:val="none"/>
              </w:rPr>
              <w:t>平台</w:t>
            </w:r>
            <w:r>
              <w:rPr>
                <w:rFonts w:hint="eastAsia" w:ascii="微软雅黑" w:hAnsi="微软雅黑" w:cs="宋体"/>
                <w:color w:val="auto"/>
                <w:szCs w:val="21"/>
                <w:highlight w:val="none"/>
              </w:rPr>
              <w:t>，教师和学生可以远程实时在线或后期离线查看实验数据以及数据处理结果，便于监控设备运行，了解实验操作状况。</w:t>
            </w:r>
          </w:p>
          <w:p w14:paraId="424043DA">
            <w:pPr>
              <w:pStyle w:val="65"/>
              <w:spacing w:after="0" w:line="240" w:lineRule="auto"/>
              <w:ind w:firstLine="0" w:firstLineChars="0"/>
              <w:jc w:val="both"/>
              <w:rPr>
                <w:rFonts w:ascii="微软雅黑" w:hAnsi="微软雅黑"/>
                <w:color w:val="auto"/>
                <w:szCs w:val="21"/>
                <w:highlight w:val="none"/>
              </w:rPr>
            </w:pPr>
            <w:r>
              <w:rPr>
                <w:rFonts w:hint="eastAsia" w:ascii="微软雅黑" w:hAnsi="微软雅黑"/>
                <w:color w:val="auto"/>
                <w:kern w:val="0"/>
                <w:szCs w:val="21"/>
                <w:highlight w:val="none"/>
              </w:rPr>
              <w:t>11.4★</w:t>
            </w:r>
            <w:r>
              <w:rPr>
                <w:rFonts w:hint="eastAsia" w:ascii="微软雅黑" w:hAnsi="微软雅黑" w:cs="宋体"/>
                <w:color w:val="auto"/>
                <w:szCs w:val="21"/>
                <w:highlight w:val="none"/>
              </w:rPr>
              <w:t>配套</w:t>
            </w:r>
            <w:r>
              <w:rPr>
                <w:rFonts w:ascii="微软雅黑" w:hAnsi="微软雅黑" w:cs="宋体"/>
                <w:color w:val="auto"/>
                <w:szCs w:val="21"/>
                <w:highlight w:val="none"/>
              </w:rPr>
              <w:t>智能</w:t>
            </w:r>
            <w:r>
              <w:rPr>
                <w:rFonts w:hint="eastAsia" w:ascii="微软雅黑" w:hAnsi="微软雅黑" w:cs="宋体"/>
                <w:color w:val="auto"/>
                <w:szCs w:val="21"/>
                <w:highlight w:val="none"/>
              </w:rPr>
              <w:t>实验学习与实验授课</w:t>
            </w:r>
            <w:r>
              <w:rPr>
                <w:rFonts w:ascii="微软雅黑" w:hAnsi="微软雅黑" w:cs="宋体"/>
                <w:color w:val="auto"/>
                <w:szCs w:val="21"/>
                <w:highlight w:val="none"/>
              </w:rPr>
              <w:t>软件</w:t>
            </w:r>
            <w:r>
              <w:rPr>
                <w:rFonts w:hint="eastAsia" w:ascii="微软雅黑" w:hAnsi="微软雅黑" w:cs="宋体"/>
                <w:color w:val="auto"/>
                <w:szCs w:val="21"/>
                <w:highlight w:val="none"/>
              </w:rPr>
              <w:t>，学生端通过实验学习系统可以进行实验讲义学习、实验装置学习、</w:t>
            </w:r>
            <w:r>
              <w:rPr>
                <w:rFonts w:ascii="微软雅黑" w:hAnsi="微软雅黑" w:cs="宋体"/>
                <w:color w:val="auto"/>
                <w:szCs w:val="21"/>
                <w:highlight w:val="none"/>
              </w:rPr>
              <w:t>装置介绍</w:t>
            </w:r>
            <w:r>
              <w:rPr>
                <w:rFonts w:hint="eastAsia" w:ascii="微软雅黑" w:hAnsi="微软雅黑" w:cs="宋体"/>
                <w:color w:val="auto"/>
                <w:szCs w:val="21"/>
                <w:highlight w:val="none"/>
              </w:rPr>
              <w:t>微课学习、仿真操作练习，实现实验前的预习及课后复习，并能够记录学习过程，</w:t>
            </w:r>
            <w:r>
              <w:rPr>
                <w:rFonts w:ascii="微软雅黑" w:hAnsi="微软雅黑" w:cs="宋体"/>
                <w:color w:val="auto"/>
                <w:szCs w:val="21"/>
                <w:highlight w:val="none"/>
              </w:rPr>
              <w:t>智能</w:t>
            </w:r>
            <w:r>
              <w:rPr>
                <w:rFonts w:hint="eastAsia" w:ascii="微软雅黑" w:hAnsi="微软雅黑" w:cs="宋体"/>
                <w:color w:val="auto"/>
                <w:szCs w:val="21"/>
                <w:highlight w:val="none"/>
              </w:rPr>
              <w:t>自动评分。教师端通过智能实验授课</w:t>
            </w:r>
            <w:r>
              <w:rPr>
                <w:rFonts w:ascii="微软雅黑" w:hAnsi="微软雅黑" w:cs="宋体"/>
                <w:color w:val="auto"/>
                <w:szCs w:val="21"/>
                <w:highlight w:val="none"/>
              </w:rPr>
              <w:t>软件</w:t>
            </w:r>
            <w:r>
              <w:rPr>
                <w:rFonts w:hint="eastAsia" w:ascii="微软雅黑" w:hAnsi="微软雅黑" w:cs="宋体"/>
                <w:color w:val="auto"/>
                <w:szCs w:val="21"/>
                <w:highlight w:val="none"/>
              </w:rPr>
              <w:t>，支持通过现场大屏调用多种数字资源进行实验授课，监控学生操作状态、装置运行状态，可以存储及导出每个人的操作记录、实验数据；实验授课</w:t>
            </w:r>
            <w:r>
              <w:rPr>
                <w:rFonts w:ascii="微软雅黑" w:hAnsi="微软雅黑" w:cs="宋体"/>
                <w:color w:val="auto"/>
                <w:szCs w:val="21"/>
                <w:highlight w:val="none"/>
              </w:rPr>
              <w:t>软件</w:t>
            </w:r>
            <w:r>
              <w:rPr>
                <w:rFonts w:hint="eastAsia" w:ascii="微软雅黑" w:hAnsi="微软雅黑" w:cs="宋体"/>
                <w:color w:val="auto"/>
                <w:szCs w:val="21"/>
                <w:highlight w:val="none"/>
              </w:rPr>
              <w:t>移动端支持现场学生提问评分、操作评分、行为评分等。</w:t>
            </w:r>
          </w:p>
          <w:p w14:paraId="3677CEC6">
            <w:pPr>
              <w:pStyle w:val="65"/>
              <w:spacing w:after="0" w:line="240" w:lineRule="auto"/>
              <w:ind w:firstLine="0" w:firstLineChars="0"/>
              <w:jc w:val="both"/>
              <w:rPr>
                <w:rFonts w:ascii="微软雅黑" w:hAnsi="微软雅黑"/>
                <w:color w:val="auto"/>
                <w:szCs w:val="21"/>
                <w:highlight w:val="none"/>
              </w:rPr>
            </w:pPr>
            <w:r>
              <w:rPr>
                <w:rFonts w:hint="eastAsia" w:ascii="微软雅黑" w:hAnsi="微软雅黑"/>
                <w:color w:val="auto"/>
                <w:kern w:val="0"/>
                <w:szCs w:val="21"/>
                <w:highlight w:val="none"/>
              </w:rPr>
              <w:t>11.5★</w:t>
            </w:r>
            <w:r>
              <w:rPr>
                <w:rFonts w:hint="eastAsia" w:ascii="微软雅黑" w:hAnsi="微软雅黑" w:cs="宋体"/>
                <w:color w:val="auto"/>
                <w:szCs w:val="21"/>
                <w:highlight w:val="none"/>
              </w:rPr>
              <w:t>配套实验报告生成及评阅</w:t>
            </w:r>
            <w:r>
              <w:rPr>
                <w:rFonts w:ascii="微软雅黑" w:hAnsi="微软雅黑" w:cs="宋体"/>
                <w:color w:val="auto"/>
                <w:szCs w:val="21"/>
                <w:highlight w:val="none"/>
              </w:rPr>
              <w:t>软件</w:t>
            </w:r>
            <w:r>
              <w:rPr>
                <w:rFonts w:hint="eastAsia" w:ascii="微软雅黑" w:hAnsi="微软雅黑" w:cs="宋体"/>
                <w:color w:val="auto"/>
                <w:szCs w:val="21"/>
                <w:highlight w:val="none"/>
              </w:rPr>
              <w:t>，学生端能够根据采集的真实装置的实验数据，生成真实实验的实验报告；也能够根据仿真实验数据，生成仿真实验的实验报告。学生端可对实验数据进行整理，系统保存数据修改记录，可进行追溯。支持学生将手写报告扫描上传；教师端可对报告进行批改、批注和评分。支持电子版实验报告的归档并保存全部电子档案，形成规范教学文档。</w:t>
            </w:r>
          </w:p>
          <w:p w14:paraId="2D444DD5">
            <w:pPr>
              <w:pStyle w:val="28"/>
              <w:spacing w:after="0" w:line="240" w:lineRule="auto"/>
              <w:ind w:firstLine="0" w:firstLineChars="0"/>
              <w:rPr>
                <w:rFonts w:ascii="微软雅黑" w:hAnsi="微软雅黑"/>
                <w:color w:val="auto"/>
                <w:szCs w:val="21"/>
                <w:highlight w:val="none"/>
              </w:rPr>
            </w:pPr>
          </w:p>
          <w:p w14:paraId="306ABE4B">
            <w:pPr>
              <w:spacing w:after="0" w:line="240" w:lineRule="auto"/>
              <w:ind w:firstLine="0" w:firstLineChars="0"/>
              <w:rPr>
                <w:rFonts w:ascii="微软雅黑" w:hAnsi="微软雅黑"/>
                <w:b/>
                <w:bCs/>
                <w:color w:val="auto"/>
                <w:szCs w:val="21"/>
                <w:highlight w:val="none"/>
              </w:rPr>
            </w:pPr>
            <w:r>
              <w:rPr>
                <w:rFonts w:hint="eastAsia" w:ascii="微软雅黑" w:hAnsi="微软雅黑"/>
                <w:b/>
                <w:bCs/>
                <w:color w:val="auto"/>
                <w:szCs w:val="21"/>
                <w:highlight w:val="none"/>
              </w:rPr>
              <w:t>规格参数</w:t>
            </w:r>
          </w:p>
          <w:p w14:paraId="3469843A">
            <w:pPr>
              <w:numPr>
                <w:ilvl w:val="0"/>
                <w:numId w:val="11"/>
              </w:numPr>
              <w:spacing w:after="0" w:line="240" w:lineRule="auto"/>
              <w:ind w:left="0" w:firstLine="0" w:firstLineChars="0"/>
              <w:rPr>
                <w:rFonts w:ascii="微软雅黑" w:hAnsi="微软雅黑"/>
                <w:color w:val="auto"/>
                <w:szCs w:val="21"/>
                <w:highlight w:val="none"/>
              </w:rPr>
            </w:pPr>
            <w:r>
              <w:rPr>
                <w:rFonts w:hint="eastAsia" w:ascii="微软雅黑" w:hAnsi="微软雅黑"/>
                <w:color w:val="auto"/>
                <w:kern w:val="0"/>
                <w:szCs w:val="21"/>
                <w:highlight w:val="none"/>
              </w:rPr>
              <w:t>★</w:t>
            </w:r>
            <w:r>
              <w:rPr>
                <w:rFonts w:ascii="微软雅黑" w:hAnsi="微软雅黑" w:cs="宋体"/>
                <w:color w:val="auto"/>
                <w:szCs w:val="21"/>
                <w:highlight w:val="none"/>
              </w:rPr>
              <w:t>设备主体：长</w:t>
            </w:r>
            <w:r>
              <w:rPr>
                <w:rFonts w:ascii="微软雅黑" w:hAnsi="微软雅黑"/>
                <w:color w:val="auto"/>
                <w:szCs w:val="21"/>
                <w:highlight w:val="none"/>
              </w:rPr>
              <w:t>*</w:t>
            </w:r>
            <w:r>
              <w:rPr>
                <w:rFonts w:ascii="微软雅黑" w:hAnsi="微软雅黑" w:cs="宋体"/>
                <w:color w:val="auto"/>
                <w:szCs w:val="21"/>
                <w:highlight w:val="none"/>
              </w:rPr>
              <w:t>宽</w:t>
            </w:r>
            <w:r>
              <w:rPr>
                <w:rFonts w:ascii="微软雅黑" w:hAnsi="微软雅黑"/>
                <w:color w:val="auto"/>
                <w:szCs w:val="21"/>
                <w:highlight w:val="none"/>
              </w:rPr>
              <w:t>*</w:t>
            </w:r>
            <w:r>
              <w:rPr>
                <w:rFonts w:ascii="微软雅黑" w:hAnsi="微软雅黑" w:cs="宋体"/>
                <w:color w:val="auto"/>
                <w:szCs w:val="21"/>
                <w:highlight w:val="none"/>
              </w:rPr>
              <w:t>高不小于</w:t>
            </w:r>
            <w:r>
              <w:rPr>
                <w:rFonts w:ascii="微软雅黑" w:hAnsi="微软雅黑"/>
                <w:color w:val="auto"/>
                <w:szCs w:val="21"/>
                <w:highlight w:val="none"/>
              </w:rPr>
              <w:t>5000*500*1700mm</w:t>
            </w:r>
            <w:r>
              <w:rPr>
                <w:rFonts w:ascii="微软雅黑" w:hAnsi="微软雅黑" w:cs="宋体"/>
                <w:color w:val="auto"/>
                <w:szCs w:val="21"/>
                <w:highlight w:val="none"/>
              </w:rPr>
              <w:t>，主体框架采用</w:t>
            </w:r>
            <w:r>
              <w:rPr>
                <w:rFonts w:ascii="微软雅黑" w:hAnsi="微软雅黑"/>
                <w:color w:val="auto"/>
                <w:szCs w:val="21"/>
                <w:highlight w:val="none"/>
              </w:rPr>
              <w:t>304</w:t>
            </w:r>
            <w:r>
              <w:rPr>
                <w:rFonts w:ascii="微软雅黑" w:hAnsi="微软雅黑" w:cs="宋体"/>
                <w:color w:val="auto"/>
                <w:szCs w:val="21"/>
                <w:highlight w:val="none"/>
              </w:rPr>
              <w:t>不锈钢</w:t>
            </w:r>
            <w:r>
              <w:rPr>
                <w:rFonts w:hint="eastAsia" w:ascii="微软雅黑" w:hAnsi="微软雅黑" w:cs="宋体"/>
                <w:color w:val="auto"/>
                <w:szCs w:val="21"/>
                <w:highlight w:val="none"/>
              </w:rPr>
              <w:t>方管，边长、壁厚不小于40mm*40mm*1.5mm，</w:t>
            </w:r>
            <w:r>
              <w:rPr>
                <w:rFonts w:ascii="微软雅黑" w:hAnsi="微软雅黑" w:cs="宋体"/>
                <w:color w:val="auto"/>
                <w:szCs w:val="21"/>
                <w:highlight w:val="none"/>
              </w:rPr>
              <w:t>焊接工艺，稳固不松动，</w:t>
            </w:r>
            <w:r>
              <w:rPr>
                <w:rFonts w:hint="eastAsia" w:ascii="微软雅黑" w:hAnsi="微软雅黑" w:cs="宋体"/>
                <w:color w:val="auto"/>
                <w:szCs w:val="21"/>
                <w:highlight w:val="none"/>
              </w:rPr>
              <w:t>带有</w:t>
            </w:r>
            <w:r>
              <w:rPr>
                <w:rFonts w:ascii="微软雅黑" w:hAnsi="微软雅黑" w:cs="宋体"/>
                <w:color w:val="auto"/>
                <w:szCs w:val="21"/>
                <w:highlight w:val="none"/>
              </w:rPr>
              <w:t>可移动</w:t>
            </w:r>
            <w:r>
              <w:rPr>
                <w:rFonts w:hint="eastAsia" w:ascii="微软雅黑" w:hAnsi="微软雅黑" w:cs="宋体"/>
                <w:color w:val="auto"/>
                <w:szCs w:val="21"/>
                <w:highlight w:val="none"/>
              </w:rPr>
              <w:t>脚轮</w:t>
            </w:r>
            <w:r>
              <w:rPr>
                <w:rFonts w:ascii="微软雅黑" w:hAnsi="微软雅黑" w:cs="宋体"/>
                <w:color w:val="auto"/>
                <w:szCs w:val="21"/>
                <w:highlight w:val="none"/>
              </w:rPr>
              <w:t>。</w:t>
            </w:r>
            <w:r>
              <w:rPr>
                <w:rFonts w:hint="eastAsia" w:ascii="微软雅黑" w:hAnsi="微软雅黑"/>
                <w:color w:val="auto"/>
                <w:szCs w:val="21"/>
                <w:highlight w:val="none"/>
                <w:lang w:eastAsia="zh-CN"/>
              </w:rPr>
              <w:t>【投标文件中提供相关图纸（需标注招标文件要求的尺寸）、照片或效果图，不提供或提供不完整的，本项评审按负偏离处理】</w:t>
            </w:r>
          </w:p>
          <w:p w14:paraId="1A21A8BC">
            <w:pPr>
              <w:pStyle w:val="28"/>
              <w:numPr>
                <w:ilvl w:val="0"/>
                <w:numId w:val="11"/>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olor w:val="auto"/>
                <w:kern w:val="0"/>
                <w:szCs w:val="21"/>
                <w:highlight w:val="none"/>
              </w:rPr>
              <w:t>★</w:t>
            </w:r>
            <w:r>
              <w:rPr>
                <w:rFonts w:ascii="微软雅黑" w:hAnsi="微软雅黑"/>
                <w:color w:val="auto"/>
                <w:szCs w:val="21"/>
                <w:highlight w:val="none"/>
              </w:rPr>
              <w:t>电控箱</w:t>
            </w:r>
            <w:r>
              <w:rPr>
                <w:rFonts w:ascii="微软雅黑" w:hAnsi="微软雅黑" w:cs="宋体"/>
                <w:color w:val="auto"/>
                <w:szCs w:val="21"/>
                <w:highlight w:val="none"/>
              </w:rPr>
              <w:t>：钢板喷塑。其中电气系统隔离设计，控制柜嵌入式安装配触摸屏的工业物联网主机、嵌入式安装数显控制仪表，带有急停按钮。</w:t>
            </w:r>
          </w:p>
          <w:p w14:paraId="185302E6">
            <w:pPr>
              <w:pStyle w:val="28"/>
              <w:numPr>
                <w:ilvl w:val="0"/>
                <w:numId w:val="11"/>
              </w:numPr>
              <w:spacing w:after="0" w:line="240" w:lineRule="auto"/>
              <w:ind w:left="0" w:firstLine="0" w:firstLineChars="0"/>
              <w:jc w:val="both"/>
              <w:rPr>
                <w:rFonts w:ascii="微软雅黑" w:hAnsi="微软雅黑"/>
                <w:color w:val="auto"/>
                <w:szCs w:val="21"/>
                <w:highlight w:val="none"/>
              </w:rPr>
            </w:pPr>
            <w:r>
              <w:rPr>
                <w:rFonts w:ascii="微软雅黑" w:hAnsi="微软雅黑" w:cs="宋体"/>
                <w:color w:val="auto"/>
                <w:szCs w:val="21"/>
                <w:highlight w:val="none"/>
              </w:rPr>
              <w:t>测压件：光滑管测试段不少于2500mm、粗糙管测试段不少于2500mm</w:t>
            </w:r>
            <w:r>
              <w:rPr>
                <w:rFonts w:hint="eastAsia" w:ascii="微软雅黑" w:hAnsi="微软雅黑" w:cs="宋体"/>
                <w:color w:val="auto"/>
                <w:szCs w:val="21"/>
                <w:highlight w:val="none"/>
              </w:rPr>
              <w:t>、</w:t>
            </w:r>
            <w:r>
              <w:rPr>
                <w:rFonts w:ascii="微软雅黑" w:hAnsi="微软雅黑" w:cs="宋体"/>
                <w:color w:val="auto"/>
                <w:szCs w:val="21"/>
                <w:highlight w:val="none"/>
              </w:rPr>
              <w:t>闸阀、标准</w:t>
            </w:r>
            <w:r>
              <w:rPr>
                <w:rFonts w:ascii="微软雅黑" w:hAnsi="微软雅黑"/>
                <w:color w:val="auto"/>
                <w:szCs w:val="21"/>
                <w:highlight w:val="none"/>
              </w:rPr>
              <w:t>90°</w:t>
            </w:r>
            <w:r>
              <w:rPr>
                <w:rFonts w:ascii="微软雅黑" w:hAnsi="微软雅黑" w:cs="宋体"/>
                <w:color w:val="auto"/>
                <w:szCs w:val="21"/>
                <w:highlight w:val="none"/>
              </w:rPr>
              <w:t>弯头、层流管测试段不少于2500mm、，均采用</w:t>
            </w:r>
            <w:r>
              <w:rPr>
                <w:rFonts w:ascii="微软雅黑" w:hAnsi="微软雅黑"/>
                <w:color w:val="auto"/>
                <w:szCs w:val="21"/>
                <w:highlight w:val="none"/>
              </w:rPr>
              <w:t>304</w:t>
            </w:r>
            <w:r>
              <w:rPr>
                <w:rFonts w:ascii="微软雅黑" w:hAnsi="微软雅黑" w:cs="宋体"/>
                <w:color w:val="auto"/>
                <w:szCs w:val="21"/>
                <w:highlight w:val="none"/>
              </w:rPr>
              <w:t>不锈钢材质</w:t>
            </w:r>
            <w:r>
              <w:rPr>
                <w:rFonts w:hint="eastAsia" w:ascii="微软雅黑" w:hAnsi="微软雅黑" w:cs="宋体"/>
                <w:color w:val="auto"/>
                <w:szCs w:val="21"/>
                <w:highlight w:val="none"/>
              </w:rPr>
              <w:t>，壁厚不少于2mm</w:t>
            </w:r>
            <w:r>
              <w:rPr>
                <w:rFonts w:ascii="微软雅黑" w:hAnsi="微软雅黑" w:cs="宋体"/>
                <w:color w:val="auto"/>
                <w:szCs w:val="21"/>
                <w:highlight w:val="none"/>
              </w:rPr>
              <w:t>。</w:t>
            </w:r>
          </w:p>
          <w:p w14:paraId="43A2F9C9">
            <w:pPr>
              <w:numPr>
                <w:ilvl w:val="0"/>
                <w:numId w:val="11"/>
              </w:numPr>
              <w:spacing w:after="0" w:line="240" w:lineRule="auto"/>
              <w:ind w:left="0" w:firstLine="0" w:firstLineChars="0"/>
              <w:rPr>
                <w:rFonts w:ascii="微软雅黑" w:hAnsi="微软雅黑"/>
                <w:color w:val="auto"/>
                <w:szCs w:val="21"/>
                <w:highlight w:val="none"/>
              </w:rPr>
            </w:pPr>
            <w:r>
              <w:rPr>
                <w:rFonts w:hint="eastAsia" w:ascii="微软雅黑" w:hAnsi="微软雅黑"/>
                <w:color w:val="auto"/>
                <w:szCs w:val="21"/>
                <w:highlight w:val="none"/>
              </w:rPr>
              <w:t>离心泵：卧式离心泵</w:t>
            </w:r>
            <w:r>
              <w:rPr>
                <w:rFonts w:ascii="微软雅黑" w:hAnsi="微软雅黑"/>
                <w:color w:val="auto"/>
                <w:szCs w:val="21"/>
                <w:highlight w:val="none"/>
              </w:rPr>
              <w:t>1个</w:t>
            </w:r>
            <w:r>
              <w:rPr>
                <w:rFonts w:hint="eastAsia" w:ascii="微软雅黑" w:hAnsi="微软雅黑"/>
                <w:color w:val="auto"/>
                <w:szCs w:val="21"/>
                <w:highlight w:val="none"/>
              </w:rPr>
              <w:t>，功率不小于</w:t>
            </w:r>
            <w:r>
              <w:rPr>
                <w:rFonts w:ascii="微软雅黑" w:hAnsi="微软雅黑"/>
                <w:color w:val="auto"/>
                <w:szCs w:val="21"/>
                <w:highlight w:val="none"/>
              </w:rPr>
              <w:t>1.5kW</w:t>
            </w:r>
            <w:r>
              <w:rPr>
                <w:rFonts w:hint="eastAsia" w:ascii="微软雅黑" w:hAnsi="微软雅黑"/>
                <w:color w:val="auto"/>
                <w:szCs w:val="21"/>
                <w:highlight w:val="none"/>
              </w:rPr>
              <w:t>，流量不小于</w:t>
            </w:r>
            <w:r>
              <w:rPr>
                <w:rFonts w:ascii="微软雅黑" w:hAnsi="微软雅黑"/>
                <w:color w:val="auto"/>
                <w:szCs w:val="21"/>
                <w:highlight w:val="none"/>
              </w:rPr>
              <w:t>1</w:t>
            </w:r>
            <w:r>
              <w:rPr>
                <w:rFonts w:hint="eastAsia" w:ascii="微软雅黑" w:hAnsi="微软雅黑"/>
                <w:color w:val="auto"/>
                <w:szCs w:val="21"/>
                <w:highlight w:val="none"/>
              </w:rPr>
              <w:t>0</w:t>
            </w:r>
            <w:r>
              <w:rPr>
                <w:rFonts w:ascii="微软雅黑" w:hAnsi="微软雅黑"/>
                <w:color w:val="auto"/>
                <w:szCs w:val="21"/>
                <w:highlight w:val="none"/>
              </w:rPr>
              <w:t>m³/h</w:t>
            </w:r>
            <w:r>
              <w:rPr>
                <w:rFonts w:hint="eastAsia" w:ascii="微软雅黑" w:hAnsi="微软雅黑"/>
                <w:color w:val="auto"/>
                <w:szCs w:val="21"/>
                <w:highlight w:val="none"/>
              </w:rPr>
              <w:t>。</w:t>
            </w:r>
          </w:p>
          <w:p w14:paraId="5E5571C1">
            <w:pPr>
              <w:numPr>
                <w:ilvl w:val="0"/>
                <w:numId w:val="11"/>
              </w:numPr>
              <w:spacing w:after="0" w:line="240" w:lineRule="auto"/>
              <w:ind w:left="0" w:firstLine="0" w:firstLineChars="0"/>
              <w:rPr>
                <w:rFonts w:ascii="微软雅黑" w:hAnsi="微软雅黑"/>
                <w:color w:val="auto"/>
                <w:szCs w:val="21"/>
                <w:highlight w:val="none"/>
              </w:rPr>
            </w:pPr>
            <w:r>
              <w:rPr>
                <w:rFonts w:hint="eastAsia" w:ascii="微软雅黑" w:hAnsi="微软雅黑"/>
                <w:color w:val="auto"/>
                <w:szCs w:val="21"/>
                <w:highlight w:val="none"/>
              </w:rPr>
              <w:t>水箱：低位水箱、流量计校正水箱各1个，采用</w:t>
            </w:r>
            <w:r>
              <w:rPr>
                <w:rFonts w:ascii="微软雅黑" w:hAnsi="微软雅黑"/>
                <w:color w:val="auto"/>
                <w:szCs w:val="21"/>
                <w:highlight w:val="none"/>
              </w:rPr>
              <w:t>304</w:t>
            </w:r>
            <w:r>
              <w:rPr>
                <w:rFonts w:hint="eastAsia" w:ascii="微软雅黑" w:hAnsi="微软雅黑"/>
                <w:color w:val="auto"/>
                <w:szCs w:val="21"/>
                <w:highlight w:val="none"/>
              </w:rPr>
              <w:t>不锈钢材质，壁厚不小于1mm。</w:t>
            </w:r>
          </w:p>
          <w:p w14:paraId="0EF9DBDF">
            <w:pPr>
              <w:numPr>
                <w:ilvl w:val="0"/>
                <w:numId w:val="11"/>
              </w:numPr>
              <w:spacing w:after="0" w:line="240" w:lineRule="auto"/>
              <w:ind w:left="0" w:firstLine="0" w:firstLineChars="0"/>
              <w:rPr>
                <w:rFonts w:ascii="微软雅黑" w:hAnsi="微软雅黑"/>
                <w:color w:val="auto"/>
                <w:szCs w:val="21"/>
                <w:highlight w:val="none"/>
              </w:rPr>
            </w:pPr>
            <w:r>
              <w:rPr>
                <w:rFonts w:hint="eastAsia" w:ascii="微软雅黑" w:hAnsi="微软雅黑"/>
                <w:color w:val="auto"/>
                <w:szCs w:val="21"/>
                <w:highlight w:val="none"/>
              </w:rPr>
              <w:t>倒</w:t>
            </w:r>
            <w:r>
              <w:rPr>
                <w:rFonts w:ascii="微软雅黑" w:hAnsi="微软雅黑"/>
                <w:color w:val="auto"/>
                <w:szCs w:val="21"/>
                <w:highlight w:val="none"/>
              </w:rPr>
              <w:t>U</w:t>
            </w:r>
            <w:r>
              <w:rPr>
                <w:rFonts w:hint="eastAsia" w:ascii="微软雅黑" w:hAnsi="微软雅黑"/>
                <w:color w:val="auto"/>
                <w:szCs w:val="21"/>
                <w:highlight w:val="none"/>
              </w:rPr>
              <w:t>形压差计：</w:t>
            </w:r>
            <w:r>
              <w:rPr>
                <w:rFonts w:ascii="微软雅黑" w:hAnsi="微软雅黑"/>
                <w:color w:val="auto"/>
                <w:szCs w:val="21"/>
                <w:highlight w:val="none"/>
              </w:rPr>
              <w:t>不少于3个，</w:t>
            </w:r>
            <w:r>
              <w:rPr>
                <w:rFonts w:hint="eastAsia" w:ascii="微软雅黑" w:hAnsi="微软雅黑"/>
                <w:color w:val="auto"/>
                <w:szCs w:val="21"/>
                <w:highlight w:val="none"/>
              </w:rPr>
              <w:t>量程±</w:t>
            </w:r>
            <w:r>
              <w:rPr>
                <w:rFonts w:ascii="微软雅黑" w:hAnsi="微软雅黑"/>
                <w:color w:val="auto"/>
                <w:szCs w:val="21"/>
                <w:highlight w:val="none"/>
              </w:rPr>
              <w:t>5000P</w:t>
            </w:r>
            <w:r>
              <w:rPr>
                <w:rFonts w:hint="eastAsia" w:ascii="微软雅黑" w:hAnsi="微软雅黑"/>
                <w:color w:val="auto"/>
                <w:szCs w:val="21"/>
                <w:highlight w:val="none"/>
              </w:rPr>
              <w:t>a。</w:t>
            </w:r>
          </w:p>
          <w:p w14:paraId="2274BCED">
            <w:pPr>
              <w:numPr>
                <w:ilvl w:val="0"/>
                <w:numId w:val="11"/>
              </w:numPr>
              <w:spacing w:after="0" w:line="240" w:lineRule="auto"/>
              <w:ind w:left="0" w:firstLine="0" w:firstLineChars="0"/>
              <w:rPr>
                <w:rFonts w:ascii="微软雅黑" w:hAnsi="微软雅黑"/>
                <w:color w:val="auto"/>
                <w:szCs w:val="21"/>
                <w:highlight w:val="none"/>
              </w:rPr>
            </w:pPr>
            <w:r>
              <w:rPr>
                <w:rFonts w:hint="eastAsia" w:ascii="微软雅黑" w:hAnsi="微软雅黑"/>
                <w:color w:val="auto"/>
                <w:szCs w:val="21"/>
                <w:highlight w:val="none"/>
              </w:rPr>
              <w:t>差压变送器：</w:t>
            </w:r>
            <w:r>
              <w:rPr>
                <w:rFonts w:ascii="微软雅黑" w:hAnsi="微软雅黑"/>
                <w:color w:val="auto"/>
                <w:szCs w:val="21"/>
                <w:highlight w:val="none"/>
              </w:rPr>
              <w:t>，</w:t>
            </w:r>
            <w:r>
              <w:rPr>
                <w:rFonts w:hint="eastAsia" w:ascii="微软雅黑" w:hAnsi="微软雅黑"/>
                <w:color w:val="auto"/>
                <w:szCs w:val="21"/>
                <w:highlight w:val="none"/>
              </w:rPr>
              <w:t>量程</w:t>
            </w:r>
            <w:r>
              <w:rPr>
                <w:rFonts w:ascii="微软雅黑" w:hAnsi="微软雅黑"/>
                <w:color w:val="auto"/>
                <w:szCs w:val="21"/>
                <w:highlight w:val="none"/>
              </w:rPr>
              <w:t>0-15</w:t>
            </w:r>
            <w:r>
              <w:rPr>
                <w:rFonts w:hint="eastAsia" w:ascii="微软雅黑" w:hAnsi="微软雅黑"/>
                <w:color w:val="auto"/>
                <w:szCs w:val="21"/>
                <w:highlight w:val="none"/>
              </w:rPr>
              <w:t>k</w:t>
            </w:r>
            <w:r>
              <w:rPr>
                <w:rFonts w:ascii="微软雅黑" w:hAnsi="微软雅黑"/>
                <w:color w:val="auto"/>
                <w:szCs w:val="21"/>
                <w:highlight w:val="none"/>
              </w:rPr>
              <w:t>P</w:t>
            </w:r>
            <w:r>
              <w:rPr>
                <w:rFonts w:hint="eastAsia" w:ascii="微软雅黑" w:hAnsi="微软雅黑"/>
                <w:color w:val="auto"/>
                <w:szCs w:val="21"/>
                <w:highlight w:val="none"/>
              </w:rPr>
              <w:t>a，</w:t>
            </w:r>
            <w:r>
              <w:rPr>
                <w:rFonts w:ascii="微软雅黑" w:hAnsi="微软雅黑"/>
                <w:color w:val="auto"/>
                <w:szCs w:val="21"/>
                <w:highlight w:val="none"/>
              </w:rPr>
              <w:t>不少于1个</w:t>
            </w:r>
            <w:r>
              <w:rPr>
                <w:rFonts w:hint="eastAsia" w:ascii="微软雅黑" w:hAnsi="微软雅黑"/>
                <w:color w:val="auto"/>
                <w:szCs w:val="21"/>
                <w:highlight w:val="none"/>
              </w:rPr>
              <w:t>。</w:t>
            </w:r>
          </w:p>
          <w:p w14:paraId="73808B70">
            <w:pPr>
              <w:numPr>
                <w:ilvl w:val="0"/>
                <w:numId w:val="11"/>
              </w:numPr>
              <w:spacing w:after="0" w:line="240" w:lineRule="auto"/>
              <w:ind w:left="0" w:firstLine="0" w:firstLineChars="0"/>
              <w:rPr>
                <w:rFonts w:ascii="微软雅黑" w:hAnsi="微软雅黑"/>
                <w:color w:val="auto"/>
                <w:szCs w:val="21"/>
                <w:highlight w:val="none"/>
              </w:rPr>
            </w:pPr>
            <w:r>
              <w:rPr>
                <w:rFonts w:hint="eastAsia" w:ascii="微软雅黑" w:hAnsi="微软雅黑"/>
                <w:color w:val="auto"/>
                <w:szCs w:val="21"/>
                <w:highlight w:val="none"/>
              </w:rPr>
              <w:t>差压变送器：量程</w:t>
            </w:r>
            <w:r>
              <w:rPr>
                <w:rFonts w:ascii="微软雅黑" w:hAnsi="微软雅黑"/>
                <w:color w:val="auto"/>
                <w:szCs w:val="21"/>
                <w:highlight w:val="none"/>
              </w:rPr>
              <w:t>0-40</w:t>
            </w:r>
            <w:r>
              <w:rPr>
                <w:rFonts w:hint="eastAsia" w:ascii="微软雅黑" w:hAnsi="微软雅黑"/>
                <w:color w:val="auto"/>
                <w:szCs w:val="21"/>
                <w:highlight w:val="none"/>
              </w:rPr>
              <w:t>k</w:t>
            </w:r>
            <w:r>
              <w:rPr>
                <w:rFonts w:ascii="微软雅黑" w:hAnsi="微软雅黑"/>
                <w:color w:val="auto"/>
                <w:szCs w:val="21"/>
                <w:highlight w:val="none"/>
              </w:rPr>
              <w:t>P</w:t>
            </w:r>
            <w:r>
              <w:rPr>
                <w:rFonts w:hint="eastAsia" w:ascii="微软雅黑" w:hAnsi="微软雅黑"/>
                <w:color w:val="auto"/>
                <w:szCs w:val="21"/>
                <w:highlight w:val="none"/>
              </w:rPr>
              <w:t>a，</w:t>
            </w:r>
            <w:r>
              <w:rPr>
                <w:rFonts w:ascii="微软雅黑" w:hAnsi="微软雅黑"/>
                <w:color w:val="auto"/>
                <w:szCs w:val="21"/>
                <w:highlight w:val="none"/>
              </w:rPr>
              <w:t>不少于1个</w:t>
            </w:r>
            <w:r>
              <w:rPr>
                <w:rFonts w:hint="eastAsia" w:ascii="微软雅黑" w:hAnsi="微软雅黑"/>
                <w:color w:val="auto"/>
                <w:szCs w:val="21"/>
                <w:highlight w:val="none"/>
              </w:rPr>
              <w:t>。</w:t>
            </w:r>
          </w:p>
          <w:p w14:paraId="2572427F">
            <w:pPr>
              <w:numPr>
                <w:ilvl w:val="0"/>
                <w:numId w:val="11"/>
              </w:numPr>
              <w:spacing w:after="0" w:line="240" w:lineRule="auto"/>
              <w:ind w:left="0" w:firstLine="0" w:firstLineChars="0"/>
              <w:rPr>
                <w:rFonts w:ascii="微软雅黑" w:hAnsi="微软雅黑"/>
                <w:color w:val="auto"/>
                <w:szCs w:val="21"/>
                <w:highlight w:val="none"/>
              </w:rPr>
            </w:pPr>
            <w:r>
              <w:rPr>
                <w:rFonts w:hint="eastAsia" w:ascii="微软雅黑" w:hAnsi="微软雅黑"/>
                <w:color w:val="auto"/>
                <w:szCs w:val="21"/>
                <w:highlight w:val="none"/>
              </w:rPr>
              <w:t>涡轮流量计：</w:t>
            </w:r>
            <w:r>
              <w:rPr>
                <w:rFonts w:ascii="微软雅黑" w:hAnsi="微软雅黑"/>
                <w:color w:val="auto"/>
                <w:szCs w:val="21"/>
                <w:highlight w:val="none"/>
              </w:rPr>
              <w:t>不少于1个，</w:t>
            </w:r>
            <w:r>
              <w:rPr>
                <w:rFonts w:hint="eastAsia" w:ascii="微软雅黑" w:hAnsi="微软雅黑"/>
                <w:color w:val="auto"/>
                <w:szCs w:val="21"/>
                <w:highlight w:val="none"/>
              </w:rPr>
              <w:t>量程</w:t>
            </w:r>
            <w:r>
              <w:rPr>
                <w:rFonts w:ascii="微软雅黑" w:hAnsi="微软雅黑"/>
                <w:color w:val="auto"/>
                <w:szCs w:val="21"/>
                <w:highlight w:val="none"/>
              </w:rPr>
              <w:t>2-20 m</w:t>
            </w:r>
            <w:r>
              <w:rPr>
                <w:rFonts w:ascii="微软雅黑" w:hAnsi="微软雅黑"/>
                <w:color w:val="auto"/>
                <w:szCs w:val="21"/>
                <w:highlight w:val="none"/>
                <w:vertAlign w:val="superscript"/>
              </w:rPr>
              <w:t>3</w:t>
            </w:r>
            <w:r>
              <w:rPr>
                <w:rFonts w:ascii="微软雅黑" w:hAnsi="微软雅黑"/>
                <w:color w:val="auto"/>
                <w:szCs w:val="21"/>
                <w:highlight w:val="none"/>
              </w:rPr>
              <w:t>/h</w:t>
            </w:r>
            <w:r>
              <w:rPr>
                <w:rFonts w:hint="eastAsia" w:ascii="微软雅黑" w:hAnsi="微软雅黑"/>
                <w:color w:val="auto"/>
                <w:szCs w:val="21"/>
                <w:highlight w:val="none"/>
              </w:rPr>
              <w:t>。</w:t>
            </w:r>
          </w:p>
          <w:p w14:paraId="2B6DD0E3">
            <w:pPr>
              <w:numPr>
                <w:ilvl w:val="0"/>
                <w:numId w:val="11"/>
              </w:numPr>
              <w:spacing w:after="0" w:line="240" w:lineRule="auto"/>
              <w:ind w:left="0" w:firstLine="0" w:firstLineChars="0"/>
              <w:rPr>
                <w:rFonts w:ascii="微软雅黑" w:hAnsi="微软雅黑"/>
                <w:color w:val="auto"/>
                <w:szCs w:val="21"/>
                <w:highlight w:val="none"/>
              </w:rPr>
            </w:pPr>
            <w:r>
              <w:rPr>
                <w:rFonts w:hint="eastAsia" w:ascii="微软雅黑" w:hAnsi="微软雅黑"/>
                <w:color w:val="auto"/>
                <w:szCs w:val="21"/>
                <w:highlight w:val="none"/>
              </w:rPr>
              <w:t>标准孔板流量计：</w:t>
            </w:r>
            <w:r>
              <w:rPr>
                <w:rFonts w:ascii="微软雅黑" w:hAnsi="微软雅黑"/>
                <w:color w:val="auto"/>
                <w:szCs w:val="21"/>
                <w:highlight w:val="none"/>
              </w:rPr>
              <w:t>不少于1个，</w:t>
            </w:r>
            <w:r>
              <w:rPr>
                <w:rFonts w:hint="eastAsia" w:ascii="微软雅黑" w:hAnsi="微软雅黑"/>
                <w:color w:val="auto"/>
                <w:szCs w:val="21"/>
                <w:highlight w:val="none"/>
              </w:rPr>
              <w:t>量程</w:t>
            </w:r>
            <w:r>
              <w:rPr>
                <w:rFonts w:ascii="微软雅黑" w:hAnsi="微软雅黑"/>
                <w:color w:val="auto"/>
                <w:szCs w:val="21"/>
                <w:highlight w:val="none"/>
              </w:rPr>
              <w:t>0.6-6 m</w:t>
            </w:r>
            <w:r>
              <w:rPr>
                <w:rFonts w:ascii="微软雅黑" w:hAnsi="微软雅黑"/>
                <w:color w:val="auto"/>
                <w:szCs w:val="21"/>
                <w:highlight w:val="none"/>
                <w:vertAlign w:val="superscript"/>
              </w:rPr>
              <w:t>3</w:t>
            </w:r>
            <w:r>
              <w:rPr>
                <w:rFonts w:ascii="微软雅黑" w:hAnsi="微软雅黑"/>
                <w:color w:val="auto"/>
                <w:szCs w:val="21"/>
                <w:highlight w:val="none"/>
              </w:rPr>
              <w:t>/h</w:t>
            </w:r>
            <w:r>
              <w:rPr>
                <w:rFonts w:hint="eastAsia" w:ascii="微软雅黑" w:hAnsi="微软雅黑"/>
                <w:color w:val="auto"/>
                <w:szCs w:val="21"/>
                <w:highlight w:val="none"/>
              </w:rPr>
              <w:t>。</w:t>
            </w:r>
          </w:p>
          <w:p w14:paraId="2EF36AA2">
            <w:pPr>
              <w:numPr>
                <w:ilvl w:val="0"/>
                <w:numId w:val="11"/>
              </w:numPr>
              <w:spacing w:after="0" w:line="240" w:lineRule="auto"/>
              <w:ind w:left="0" w:firstLine="0" w:firstLineChars="0"/>
              <w:rPr>
                <w:rFonts w:ascii="微软雅黑" w:hAnsi="微软雅黑"/>
                <w:color w:val="auto"/>
                <w:szCs w:val="21"/>
                <w:highlight w:val="none"/>
              </w:rPr>
            </w:pPr>
            <w:r>
              <w:rPr>
                <w:rFonts w:hint="eastAsia" w:ascii="微软雅黑" w:hAnsi="微软雅黑"/>
                <w:color w:val="auto"/>
                <w:szCs w:val="21"/>
                <w:highlight w:val="none"/>
              </w:rPr>
              <w:t>玻璃转子流量计：</w:t>
            </w:r>
            <w:r>
              <w:rPr>
                <w:rFonts w:ascii="微软雅黑" w:hAnsi="微软雅黑"/>
                <w:color w:val="auto"/>
                <w:szCs w:val="21"/>
                <w:highlight w:val="none"/>
              </w:rPr>
              <w:t>不少于1个，</w:t>
            </w:r>
            <w:r>
              <w:rPr>
                <w:rFonts w:hint="eastAsia" w:ascii="微软雅黑" w:hAnsi="微软雅黑"/>
                <w:color w:val="auto"/>
                <w:szCs w:val="21"/>
                <w:highlight w:val="none"/>
              </w:rPr>
              <w:t>量程</w:t>
            </w:r>
            <w:r>
              <w:rPr>
                <w:rFonts w:ascii="微软雅黑" w:hAnsi="微软雅黑"/>
                <w:color w:val="auto"/>
                <w:szCs w:val="21"/>
                <w:highlight w:val="none"/>
              </w:rPr>
              <w:t>0.6-6 m</w:t>
            </w:r>
            <w:r>
              <w:rPr>
                <w:rFonts w:ascii="微软雅黑" w:hAnsi="微软雅黑"/>
                <w:color w:val="auto"/>
                <w:szCs w:val="21"/>
                <w:highlight w:val="none"/>
                <w:vertAlign w:val="superscript"/>
              </w:rPr>
              <w:t>3</w:t>
            </w:r>
            <w:r>
              <w:rPr>
                <w:rFonts w:ascii="微软雅黑" w:hAnsi="微软雅黑"/>
                <w:color w:val="auto"/>
                <w:szCs w:val="21"/>
                <w:highlight w:val="none"/>
              </w:rPr>
              <w:t>/h</w:t>
            </w:r>
            <w:r>
              <w:rPr>
                <w:rFonts w:hint="eastAsia" w:ascii="微软雅黑" w:hAnsi="微软雅黑"/>
                <w:color w:val="auto"/>
                <w:szCs w:val="21"/>
                <w:highlight w:val="none"/>
              </w:rPr>
              <w:t>。</w:t>
            </w:r>
          </w:p>
          <w:p w14:paraId="4B4E9E58">
            <w:pPr>
              <w:numPr>
                <w:ilvl w:val="0"/>
                <w:numId w:val="11"/>
              </w:numPr>
              <w:spacing w:after="0" w:line="240" w:lineRule="auto"/>
              <w:ind w:left="0" w:firstLine="0" w:firstLineChars="0"/>
              <w:rPr>
                <w:rFonts w:ascii="微软雅黑" w:hAnsi="微软雅黑"/>
                <w:color w:val="auto"/>
                <w:szCs w:val="21"/>
                <w:highlight w:val="none"/>
              </w:rPr>
            </w:pPr>
            <w:r>
              <w:rPr>
                <w:rFonts w:hint="eastAsia" w:ascii="微软雅黑" w:hAnsi="微软雅黑"/>
                <w:color w:val="auto"/>
                <w:szCs w:val="21"/>
                <w:highlight w:val="none"/>
              </w:rPr>
              <w:t>玻璃转子流量计：</w:t>
            </w:r>
            <w:r>
              <w:rPr>
                <w:rFonts w:ascii="微软雅黑" w:hAnsi="微软雅黑"/>
                <w:color w:val="auto"/>
                <w:szCs w:val="21"/>
                <w:highlight w:val="none"/>
              </w:rPr>
              <w:t>不少于1个，</w:t>
            </w:r>
            <w:r>
              <w:rPr>
                <w:rFonts w:hint="eastAsia" w:ascii="微软雅黑" w:hAnsi="微软雅黑"/>
                <w:color w:val="auto"/>
                <w:szCs w:val="21"/>
                <w:highlight w:val="none"/>
              </w:rPr>
              <w:t>量程</w:t>
            </w:r>
            <w:r>
              <w:rPr>
                <w:rFonts w:ascii="微软雅黑" w:hAnsi="微软雅黑"/>
                <w:color w:val="auto"/>
                <w:szCs w:val="21"/>
                <w:highlight w:val="none"/>
              </w:rPr>
              <w:t>0.6-60 L/h</w:t>
            </w:r>
            <w:r>
              <w:rPr>
                <w:rFonts w:hint="eastAsia" w:ascii="微软雅黑" w:hAnsi="微软雅黑"/>
                <w:color w:val="auto"/>
                <w:szCs w:val="21"/>
                <w:highlight w:val="none"/>
              </w:rPr>
              <w:t>。</w:t>
            </w:r>
          </w:p>
          <w:p w14:paraId="221D797A">
            <w:pPr>
              <w:numPr>
                <w:ilvl w:val="0"/>
                <w:numId w:val="11"/>
              </w:numPr>
              <w:spacing w:after="0" w:line="240" w:lineRule="auto"/>
              <w:ind w:left="0" w:firstLine="0" w:firstLineChars="0"/>
              <w:rPr>
                <w:rFonts w:ascii="微软雅黑" w:hAnsi="微软雅黑"/>
                <w:color w:val="auto"/>
                <w:szCs w:val="21"/>
                <w:highlight w:val="none"/>
              </w:rPr>
            </w:pPr>
            <w:r>
              <w:rPr>
                <w:rFonts w:hint="eastAsia" w:ascii="微软雅黑" w:hAnsi="微软雅黑"/>
                <w:color w:val="auto"/>
                <w:szCs w:val="21"/>
                <w:highlight w:val="none"/>
              </w:rPr>
              <w:t>※智能测控数显仪表：</w:t>
            </w:r>
            <w:r>
              <w:rPr>
                <w:rFonts w:ascii="微软雅黑" w:hAnsi="微软雅黑"/>
                <w:color w:val="auto"/>
                <w:szCs w:val="21"/>
                <w:highlight w:val="none"/>
              </w:rPr>
              <w:t>不少于</w:t>
            </w:r>
            <w:r>
              <w:rPr>
                <w:rFonts w:hint="eastAsia" w:ascii="微软雅黑" w:hAnsi="微软雅黑"/>
                <w:color w:val="auto"/>
                <w:szCs w:val="21"/>
                <w:highlight w:val="none"/>
              </w:rPr>
              <w:t>1</w:t>
            </w:r>
            <w:r>
              <w:rPr>
                <w:rFonts w:ascii="微软雅黑" w:hAnsi="微软雅黑"/>
                <w:color w:val="auto"/>
                <w:szCs w:val="21"/>
                <w:highlight w:val="none"/>
              </w:rPr>
              <w:t>0</w:t>
            </w:r>
            <w:r>
              <w:rPr>
                <w:rFonts w:hint="eastAsia" w:ascii="微软雅黑" w:hAnsi="微软雅黑"/>
                <w:color w:val="auto"/>
                <w:szCs w:val="21"/>
                <w:highlight w:val="none"/>
              </w:rPr>
              <w:t>个，支持测控、数码显示，显示范围0-9999，用于显示和控制温度、流量、功率、转速等数据。</w:t>
            </w:r>
          </w:p>
          <w:p w14:paraId="5FC9F930">
            <w:pPr>
              <w:numPr>
                <w:ilvl w:val="0"/>
                <w:numId w:val="11"/>
              </w:numPr>
              <w:spacing w:after="0" w:line="240" w:lineRule="auto"/>
              <w:ind w:left="0" w:firstLine="0" w:firstLineChars="0"/>
              <w:rPr>
                <w:rFonts w:ascii="微软雅黑" w:hAnsi="微软雅黑"/>
                <w:color w:val="auto"/>
                <w:szCs w:val="21"/>
                <w:highlight w:val="none"/>
              </w:rPr>
            </w:pPr>
            <w:r>
              <w:rPr>
                <w:rFonts w:hint="eastAsia" w:ascii="微软雅黑" w:hAnsi="微软雅黑"/>
                <w:color w:val="auto"/>
                <w:szCs w:val="21"/>
                <w:highlight w:val="none"/>
              </w:rPr>
              <w:t>温度传感器：PT100型热电偶，</w:t>
            </w:r>
            <w:r>
              <w:rPr>
                <w:rFonts w:ascii="微软雅黑" w:hAnsi="微软雅黑"/>
                <w:color w:val="auto"/>
                <w:szCs w:val="21"/>
                <w:highlight w:val="none"/>
              </w:rPr>
              <w:t>B</w:t>
            </w:r>
            <w:r>
              <w:rPr>
                <w:rFonts w:hint="eastAsia" w:ascii="微软雅黑" w:hAnsi="微软雅黑"/>
                <w:color w:val="auto"/>
                <w:szCs w:val="21"/>
                <w:highlight w:val="none"/>
              </w:rPr>
              <w:t>级精度，量程不小于100℃。</w:t>
            </w:r>
          </w:p>
          <w:p w14:paraId="6269854C">
            <w:pPr>
              <w:numPr>
                <w:ilvl w:val="0"/>
                <w:numId w:val="11"/>
              </w:numPr>
              <w:spacing w:after="0" w:line="240" w:lineRule="auto"/>
              <w:ind w:left="0" w:firstLine="0" w:firstLineChars="0"/>
              <w:rPr>
                <w:rFonts w:ascii="微软雅黑" w:hAnsi="微软雅黑"/>
                <w:color w:val="auto"/>
                <w:szCs w:val="21"/>
                <w:highlight w:val="none"/>
              </w:rPr>
            </w:pPr>
            <w:r>
              <w:rPr>
                <w:rFonts w:hint="eastAsia" w:ascii="微软雅黑" w:hAnsi="微软雅黑"/>
                <w:color w:val="auto"/>
                <w:szCs w:val="21"/>
                <w:highlight w:val="none"/>
              </w:rPr>
              <w:t>变频器：</w:t>
            </w:r>
            <w:r>
              <w:rPr>
                <w:rFonts w:ascii="微软雅黑" w:hAnsi="微软雅黑"/>
                <w:color w:val="auto"/>
                <w:szCs w:val="21"/>
                <w:highlight w:val="none"/>
              </w:rPr>
              <w:t>1</w:t>
            </w:r>
            <w:r>
              <w:rPr>
                <w:rFonts w:hint="eastAsia" w:ascii="微软雅黑" w:hAnsi="微软雅黑"/>
                <w:color w:val="auto"/>
                <w:szCs w:val="21"/>
                <w:highlight w:val="none"/>
              </w:rPr>
              <w:t>台，功率不小于2kW。</w:t>
            </w:r>
          </w:p>
          <w:p w14:paraId="052B8CCE">
            <w:pPr>
              <w:numPr>
                <w:ilvl w:val="0"/>
                <w:numId w:val="11"/>
              </w:numPr>
              <w:spacing w:after="0" w:line="240" w:lineRule="auto"/>
              <w:ind w:left="0" w:firstLine="0" w:firstLineChars="0"/>
              <w:rPr>
                <w:rFonts w:ascii="微软雅黑" w:hAnsi="微软雅黑"/>
                <w:color w:val="auto"/>
                <w:szCs w:val="21"/>
                <w:highlight w:val="none"/>
              </w:rPr>
            </w:pPr>
            <w:r>
              <w:rPr>
                <w:rFonts w:hint="eastAsia" w:ascii="微软雅黑" w:hAnsi="微软雅黑"/>
                <w:color w:val="auto"/>
                <w:szCs w:val="21"/>
                <w:highlight w:val="none"/>
              </w:rPr>
              <w:t>其他：压力变送器、真空表、压力表，均采用工业级不锈钢材质，坚固耐用。</w:t>
            </w:r>
          </w:p>
          <w:p w14:paraId="72C5664B">
            <w:pPr>
              <w:pStyle w:val="28"/>
              <w:numPr>
                <w:ilvl w:val="0"/>
                <w:numId w:val="11"/>
              </w:numPr>
              <w:spacing w:after="0" w:line="240" w:lineRule="auto"/>
              <w:ind w:left="0" w:firstLine="0" w:firstLineChars="0"/>
              <w:jc w:val="both"/>
              <w:rPr>
                <w:rFonts w:ascii="微软雅黑" w:hAnsi="微软雅黑"/>
                <w:color w:val="auto"/>
                <w:szCs w:val="21"/>
                <w:highlight w:val="none"/>
              </w:rPr>
            </w:pPr>
            <w:r>
              <w:rPr>
                <w:rFonts w:ascii="微软雅黑" w:hAnsi="微软雅黑" w:cs="宋体"/>
                <w:color w:val="auto"/>
                <w:szCs w:val="21"/>
                <w:highlight w:val="none"/>
              </w:rPr>
              <w:t>管路：</w:t>
            </w:r>
            <w:r>
              <w:rPr>
                <w:rFonts w:hint="eastAsia" w:ascii="微软雅黑" w:hAnsi="微软雅黑" w:cs="宋体"/>
                <w:color w:val="auto"/>
                <w:szCs w:val="21"/>
                <w:highlight w:val="none"/>
              </w:rPr>
              <w:t>管路采用304不锈钢材质，壁厚不小于2mm，接头采用304不锈钢法兰，焊接工艺</w:t>
            </w:r>
            <w:r>
              <w:rPr>
                <w:rFonts w:ascii="微软雅黑" w:hAnsi="微软雅黑" w:cs="宋体"/>
                <w:color w:val="auto"/>
                <w:szCs w:val="21"/>
                <w:highlight w:val="none"/>
              </w:rPr>
              <w:t>。</w:t>
            </w:r>
          </w:p>
          <w:p w14:paraId="19F23293">
            <w:pPr>
              <w:pStyle w:val="28"/>
              <w:numPr>
                <w:ilvl w:val="0"/>
                <w:numId w:val="11"/>
              </w:numPr>
              <w:spacing w:after="0" w:line="240" w:lineRule="auto"/>
              <w:ind w:left="0" w:firstLine="0" w:firstLineChars="0"/>
              <w:jc w:val="both"/>
              <w:rPr>
                <w:rFonts w:ascii="微软雅黑" w:hAnsi="微软雅黑"/>
                <w:color w:val="auto"/>
                <w:szCs w:val="21"/>
                <w:highlight w:val="none"/>
              </w:rPr>
            </w:pPr>
            <w:r>
              <w:rPr>
                <w:rFonts w:ascii="微软雅黑" w:hAnsi="微软雅黑" w:cs="宋体"/>
                <w:color w:val="auto"/>
                <w:szCs w:val="21"/>
                <w:highlight w:val="none"/>
              </w:rPr>
              <w:t>阀门：</w:t>
            </w:r>
            <w:r>
              <w:rPr>
                <w:rFonts w:hint="eastAsia" w:ascii="微软雅黑" w:hAnsi="微软雅黑" w:cs="宋体"/>
                <w:color w:val="auto"/>
                <w:szCs w:val="21"/>
                <w:highlight w:val="none"/>
              </w:rPr>
              <w:t>1批，304不锈钢材质工业级阀门，规格与管路配套</w:t>
            </w:r>
            <w:r>
              <w:rPr>
                <w:rFonts w:ascii="微软雅黑" w:hAnsi="微软雅黑" w:cs="宋体"/>
                <w:color w:val="auto"/>
                <w:szCs w:val="21"/>
                <w:highlight w:val="none"/>
              </w:rPr>
              <w:t>。</w:t>
            </w:r>
          </w:p>
          <w:p w14:paraId="7B8AF775">
            <w:pPr>
              <w:pStyle w:val="28"/>
              <w:numPr>
                <w:ilvl w:val="0"/>
                <w:numId w:val="11"/>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olor w:val="auto"/>
                <w:kern w:val="0"/>
                <w:szCs w:val="21"/>
                <w:highlight w:val="none"/>
              </w:rPr>
              <w:t>★</w:t>
            </w:r>
            <w:r>
              <w:rPr>
                <w:rFonts w:hint="eastAsia" w:ascii="微软雅黑" w:hAnsi="微软雅黑"/>
                <w:color w:val="auto"/>
                <w:szCs w:val="21"/>
                <w:highlight w:val="none"/>
              </w:rPr>
              <w:t>一体化触控屏工业物联网主机：嵌入控制柜式安装，触控屏尺寸不低于10.1寸。OS支持Windows10及以上,RAM不小于4G,SSD不小于32G。支持RS232、RJ45、USB3.0、IEEE 802.11 b/g/n通信协议。主机全封闭设计，无风扇金属散热。具备集成物联网系统功能，实现本装置数据采集、上传、测控等通信功能</w:t>
            </w:r>
            <w:r>
              <w:rPr>
                <w:rFonts w:ascii="微软雅黑" w:hAnsi="微软雅黑"/>
                <w:color w:val="auto"/>
                <w:szCs w:val="21"/>
                <w:highlight w:val="none"/>
              </w:rPr>
              <w:t>。</w:t>
            </w:r>
          </w:p>
        </w:tc>
        <w:tc>
          <w:tcPr>
            <w:tcW w:w="765" w:type="dxa"/>
            <w:tcBorders>
              <w:top w:val="single" w:color="auto" w:sz="4" w:space="0"/>
              <w:left w:val="single" w:color="auto" w:sz="4" w:space="0"/>
              <w:bottom w:val="single" w:color="auto" w:sz="4" w:space="0"/>
              <w:right w:val="single" w:color="auto" w:sz="4" w:space="0"/>
            </w:tcBorders>
            <w:noWrap/>
            <w:vAlign w:val="center"/>
          </w:tcPr>
          <w:p w14:paraId="1D443D57">
            <w:pPr>
              <w:widowControl/>
              <w:spacing w:after="0" w:line="240" w:lineRule="auto"/>
              <w:ind w:firstLine="0" w:firstLineChars="0"/>
              <w:jc w:val="center"/>
              <w:rPr>
                <w:rFonts w:ascii="微软雅黑" w:hAnsi="微软雅黑"/>
                <w:b/>
                <w:bCs/>
                <w:color w:val="auto"/>
                <w:kern w:val="0"/>
                <w:szCs w:val="21"/>
                <w:highlight w:val="none"/>
              </w:rPr>
            </w:pPr>
            <w:r>
              <w:rPr>
                <w:rFonts w:hint="eastAsia" w:ascii="微软雅黑" w:hAnsi="微软雅黑"/>
                <w:color w:val="auto"/>
                <w:szCs w:val="21"/>
                <w:highlight w:val="none"/>
              </w:rPr>
              <w:t>4</w:t>
            </w:r>
          </w:p>
        </w:tc>
        <w:tc>
          <w:tcPr>
            <w:tcW w:w="750" w:type="dxa"/>
            <w:tcBorders>
              <w:top w:val="single" w:color="auto" w:sz="4" w:space="0"/>
              <w:left w:val="nil"/>
              <w:bottom w:val="single" w:color="auto" w:sz="4" w:space="0"/>
              <w:right w:val="single" w:color="auto" w:sz="4" w:space="0"/>
            </w:tcBorders>
            <w:noWrap/>
            <w:vAlign w:val="center"/>
          </w:tcPr>
          <w:p w14:paraId="5DF1F391">
            <w:pPr>
              <w:widowControl/>
              <w:spacing w:after="0" w:line="240" w:lineRule="auto"/>
              <w:ind w:firstLine="0" w:firstLineChars="0"/>
              <w:jc w:val="center"/>
              <w:rPr>
                <w:rFonts w:ascii="微软雅黑" w:hAnsi="微软雅黑"/>
                <w:color w:val="auto"/>
                <w:kern w:val="0"/>
                <w:szCs w:val="21"/>
                <w:highlight w:val="none"/>
              </w:rPr>
            </w:pPr>
            <w:r>
              <w:rPr>
                <w:rFonts w:hint="eastAsia" w:ascii="微软雅黑" w:hAnsi="微软雅黑"/>
                <w:color w:val="auto"/>
                <w:kern w:val="0"/>
                <w:szCs w:val="21"/>
                <w:highlight w:val="none"/>
              </w:rPr>
              <w:t>套</w:t>
            </w:r>
          </w:p>
        </w:tc>
      </w:tr>
      <w:tr w14:paraId="3963B5F5">
        <w:tblPrEx>
          <w:tblCellMar>
            <w:top w:w="0" w:type="dxa"/>
            <w:left w:w="108" w:type="dxa"/>
            <w:bottom w:w="0" w:type="dxa"/>
            <w:right w:w="108" w:type="dxa"/>
          </w:tblCellMar>
        </w:tblPrEx>
        <w:trPr>
          <w:trHeight w:val="280" w:hRule="atLeast"/>
        </w:trPr>
        <w:tc>
          <w:tcPr>
            <w:tcW w:w="421" w:type="dxa"/>
            <w:tcBorders>
              <w:top w:val="single" w:color="auto" w:sz="4" w:space="0"/>
              <w:left w:val="single" w:color="auto" w:sz="4" w:space="0"/>
              <w:bottom w:val="single" w:color="auto" w:sz="4" w:space="0"/>
              <w:right w:val="single" w:color="auto" w:sz="4" w:space="0"/>
            </w:tcBorders>
            <w:noWrap/>
            <w:vAlign w:val="center"/>
          </w:tcPr>
          <w:p w14:paraId="4BCD28AE">
            <w:pPr>
              <w:widowControl/>
              <w:spacing w:after="0" w:line="240" w:lineRule="auto"/>
              <w:ind w:firstLine="0" w:firstLineChars="0"/>
              <w:jc w:val="center"/>
              <w:rPr>
                <w:rFonts w:ascii="微软雅黑" w:hAnsi="微软雅黑"/>
                <w:b/>
                <w:bCs/>
                <w:color w:val="auto"/>
                <w:kern w:val="0"/>
                <w:szCs w:val="21"/>
                <w:highlight w:val="none"/>
              </w:rPr>
            </w:pPr>
            <w:r>
              <w:rPr>
                <w:rFonts w:hint="eastAsia" w:ascii="微软雅黑" w:hAnsi="微软雅黑"/>
                <w:b/>
                <w:bCs/>
                <w:color w:val="auto"/>
                <w:kern w:val="0"/>
                <w:szCs w:val="21"/>
                <w:highlight w:val="none"/>
              </w:rPr>
              <w:t>3</w:t>
            </w:r>
          </w:p>
        </w:tc>
        <w:tc>
          <w:tcPr>
            <w:tcW w:w="1597" w:type="dxa"/>
            <w:tcBorders>
              <w:top w:val="single" w:color="auto" w:sz="4" w:space="0"/>
              <w:left w:val="nil"/>
              <w:bottom w:val="single" w:color="auto" w:sz="4" w:space="0"/>
              <w:right w:val="single" w:color="auto" w:sz="4" w:space="0"/>
            </w:tcBorders>
            <w:noWrap/>
            <w:vAlign w:val="center"/>
          </w:tcPr>
          <w:p w14:paraId="189E8683">
            <w:pPr>
              <w:widowControl/>
              <w:spacing w:after="0" w:line="240" w:lineRule="auto"/>
              <w:ind w:firstLine="0" w:firstLineChars="0"/>
              <w:jc w:val="center"/>
              <w:rPr>
                <w:rFonts w:ascii="微软雅黑" w:hAnsi="微软雅黑"/>
                <w:b/>
                <w:bCs/>
                <w:color w:val="auto"/>
                <w:kern w:val="0"/>
                <w:szCs w:val="21"/>
                <w:highlight w:val="none"/>
              </w:rPr>
            </w:pPr>
            <w:r>
              <w:rPr>
                <w:rFonts w:hint="eastAsia" w:ascii="微软雅黑" w:hAnsi="微软雅黑"/>
                <w:color w:val="auto"/>
                <w:szCs w:val="21"/>
                <w:highlight w:val="none"/>
              </w:rPr>
              <w:t>精馏实验装置</w:t>
            </w:r>
          </w:p>
        </w:tc>
        <w:tc>
          <w:tcPr>
            <w:tcW w:w="10956" w:type="dxa"/>
            <w:tcBorders>
              <w:top w:val="single" w:color="auto" w:sz="4" w:space="0"/>
              <w:left w:val="nil"/>
              <w:bottom w:val="single" w:color="auto" w:sz="4" w:space="0"/>
              <w:right w:val="nil"/>
            </w:tcBorders>
            <w:noWrap/>
            <w:vAlign w:val="center"/>
          </w:tcPr>
          <w:p w14:paraId="149B0744">
            <w:pPr>
              <w:spacing w:after="0" w:line="240" w:lineRule="auto"/>
              <w:ind w:firstLine="0" w:firstLineChars="0"/>
              <w:rPr>
                <w:rFonts w:ascii="微软雅黑" w:hAnsi="微软雅黑"/>
                <w:b/>
                <w:bCs/>
                <w:color w:val="auto"/>
                <w:szCs w:val="21"/>
                <w:highlight w:val="none"/>
              </w:rPr>
            </w:pPr>
            <w:r>
              <w:rPr>
                <w:rFonts w:hint="eastAsia" w:ascii="微软雅黑" w:hAnsi="微软雅黑"/>
                <w:b/>
                <w:bCs/>
                <w:color w:val="auto"/>
                <w:szCs w:val="21"/>
                <w:highlight w:val="none"/>
              </w:rPr>
              <w:t>装置功能</w:t>
            </w:r>
          </w:p>
          <w:p w14:paraId="1A726D9C">
            <w:pPr>
              <w:pStyle w:val="65"/>
              <w:numPr>
                <w:ilvl w:val="0"/>
                <w:numId w:val="12"/>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s="宋体"/>
                <w:color w:val="auto"/>
                <w:szCs w:val="21"/>
                <w:highlight w:val="none"/>
              </w:rPr>
              <w:t>具备精馏塔的基本结构及流程。</w:t>
            </w:r>
          </w:p>
          <w:p w14:paraId="32E3AC1A">
            <w:pPr>
              <w:pStyle w:val="65"/>
              <w:numPr>
                <w:ilvl w:val="0"/>
                <w:numId w:val="12"/>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s="宋体"/>
                <w:color w:val="auto"/>
                <w:szCs w:val="21"/>
                <w:highlight w:val="none"/>
              </w:rPr>
              <w:t>具备展示液泛现象功能。</w:t>
            </w:r>
          </w:p>
          <w:p w14:paraId="634E1E49">
            <w:pPr>
              <w:pStyle w:val="65"/>
              <w:numPr>
                <w:ilvl w:val="0"/>
                <w:numId w:val="12"/>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s="宋体"/>
                <w:color w:val="auto"/>
                <w:szCs w:val="21"/>
                <w:highlight w:val="none"/>
              </w:rPr>
              <w:t>具备选择全回流和部分回流连续操作功能。</w:t>
            </w:r>
          </w:p>
          <w:p w14:paraId="46ECC33E">
            <w:pPr>
              <w:pStyle w:val="65"/>
              <w:numPr>
                <w:ilvl w:val="0"/>
                <w:numId w:val="12"/>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s="宋体"/>
                <w:color w:val="auto"/>
                <w:szCs w:val="21"/>
                <w:highlight w:val="none"/>
              </w:rPr>
              <w:t>具备全回流时板式精馏塔的全塔效率、单板效率的测定功能。</w:t>
            </w:r>
          </w:p>
          <w:p w14:paraId="040AEA82">
            <w:pPr>
              <w:pStyle w:val="65"/>
              <w:numPr>
                <w:ilvl w:val="0"/>
                <w:numId w:val="12"/>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s="宋体"/>
                <w:color w:val="auto"/>
                <w:szCs w:val="21"/>
                <w:highlight w:val="none"/>
              </w:rPr>
              <w:t>具备部分回流时板式精馏塔的全塔效率、单板效率的测定功能。</w:t>
            </w:r>
          </w:p>
          <w:p w14:paraId="31D32D8E">
            <w:pPr>
              <w:pStyle w:val="65"/>
              <w:numPr>
                <w:ilvl w:val="0"/>
                <w:numId w:val="12"/>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s="宋体"/>
                <w:color w:val="auto"/>
                <w:szCs w:val="21"/>
                <w:highlight w:val="none"/>
              </w:rPr>
              <w:t>具备验证不同进料位置对精馏过程的影响功能。</w:t>
            </w:r>
          </w:p>
          <w:p w14:paraId="0D87807F">
            <w:pPr>
              <w:pStyle w:val="65"/>
              <w:numPr>
                <w:ilvl w:val="0"/>
                <w:numId w:val="12"/>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s="宋体"/>
                <w:color w:val="auto"/>
                <w:szCs w:val="21"/>
                <w:highlight w:val="none"/>
              </w:rPr>
              <w:t>具备料液自循环功能。</w:t>
            </w:r>
          </w:p>
          <w:p w14:paraId="22594ECC">
            <w:pPr>
              <w:pStyle w:val="65"/>
              <w:numPr>
                <w:ilvl w:val="0"/>
                <w:numId w:val="12"/>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olor w:val="auto"/>
                <w:kern w:val="0"/>
                <w:szCs w:val="21"/>
                <w:highlight w:val="none"/>
              </w:rPr>
              <w:t>配套仿真教学平台，平台具备以下功能：</w:t>
            </w:r>
          </w:p>
          <w:p w14:paraId="5730A699">
            <w:pPr>
              <w:pStyle w:val="65"/>
              <w:spacing w:after="0" w:line="240" w:lineRule="auto"/>
              <w:ind w:firstLine="0" w:firstLineChars="0"/>
              <w:jc w:val="both"/>
              <w:rPr>
                <w:rFonts w:ascii="微软雅黑" w:hAnsi="微软雅黑"/>
                <w:color w:val="auto"/>
                <w:szCs w:val="21"/>
                <w:highlight w:val="none"/>
              </w:rPr>
            </w:pPr>
            <w:r>
              <w:rPr>
                <w:rFonts w:hint="eastAsia" w:ascii="微软雅黑" w:hAnsi="微软雅黑"/>
                <w:color w:val="auto"/>
                <w:kern w:val="0"/>
                <w:szCs w:val="21"/>
                <w:highlight w:val="none"/>
              </w:rPr>
              <w:t>8.1★</w:t>
            </w:r>
            <w:r>
              <w:rPr>
                <w:rFonts w:hint="eastAsia" w:ascii="微软雅黑" w:hAnsi="微软雅黑"/>
                <w:color w:val="auto"/>
                <w:szCs w:val="21"/>
                <w:highlight w:val="none"/>
              </w:rPr>
              <w:t>（1）为学生端配套本实验虚拟仿真系统，可以进行实验装置结构学习、实验操作练习与操作考核，要求仿真装置与本实验真实装置结构相同、操作一致；仿真操作具备通过后台严格数学模型算法计算出仿真实验数据功能。（2）为教师端配套仿真实验教学平台，实现仿真实验教学管理功能，包括学生管理、考试管理、成绩管理等功能</w:t>
            </w:r>
            <w:r>
              <w:rPr>
                <w:rFonts w:hint="eastAsia" w:ascii="微软雅黑" w:hAnsi="微软雅黑" w:cs="宋体"/>
                <w:color w:val="auto"/>
                <w:szCs w:val="21"/>
                <w:highlight w:val="none"/>
              </w:rPr>
              <w:t>。</w:t>
            </w:r>
          </w:p>
          <w:p w14:paraId="00742828">
            <w:pPr>
              <w:pStyle w:val="65"/>
              <w:spacing w:after="0" w:line="240" w:lineRule="auto"/>
              <w:ind w:firstLine="0" w:firstLineChars="0"/>
              <w:jc w:val="both"/>
              <w:rPr>
                <w:rFonts w:ascii="微软雅黑" w:hAnsi="微软雅黑"/>
                <w:color w:val="auto"/>
                <w:szCs w:val="21"/>
                <w:highlight w:val="none"/>
              </w:rPr>
            </w:pPr>
            <w:r>
              <w:rPr>
                <w:rFonts w:hint="eastAsia" w:ascii="微软雅黑" w:hAnsi="微软雅黑"/>
                <w:color w:val="auto"/>
                <w:kern w:val="0"/>
                <w:szCs w:val="21"/>
                <w:highlight w:val="none"/>
              </w:rPr>
              <w:t>8.2★为教师、学生</w:t>
            </w:r>
            <w:r>
              <w:rPr>
                <w:rFonts w:hint="eastAsia" w:ascii="微软雅黑" w:hAnsi="微软雅黑" w:cs="宋体"/>
                <w:color w:val="auto"/>
                <w:szCs w:val="21"/>
                <w:highlight w:val="none"/>
              </w:rPr>
              <w:t>配套本实验装置介绍微课，讲解实验装置结构。</w:t>
            </w:r>
            <w:r>
              <w:rPr>
                <w:rFonts w:hint="eastAsia" w:ascii="微软雅黑" w:hAnsi="微软雅黑" w:cs="宋体"/>
                <w:b/>
                <w:bCs/>
                <w:color w:val="auto"/>
                <w:szCs w:val="21"/>
                <w:highlight w:val="none"/>
              </w:rPr>
              <w:t>（演示内容）</w:t>
            </w:r>
          </w:p>
          <w:p w14:paraId="03354194">
            <w:pPr>
              <w:pStyle w:val="65"/>
              <w:spacing w:after="0" w:line="240" w:lineRule="auto"/>
              <w:ind w:firstLine="0" w:firstLineChars="0"/>
              <w:jc w:val="both"/>
              <w:rPr>
                <w:rFonts w:ascii="微软雅黑" w:hAnsi="微软雅黑"/>
                <w:color w:val="auto"/>
                <w:szCs w:val="21"/>
                <w:highlight w:val="none"/>
              </w:rPr>
            </w:pPr>
            <w:r>
              <w:rPr>
                <w:rFonts w:hint="eastAsia" w:ascii="微软雅黑" w:hAnsi="微软雅黑"/>
                <w:color w:val="auto"/>
                <w:kern w:val="0"/>
                <w:szCs w:val="21"/>
                <w:highlight w:val="none"/>
              </w:rPr>
              <w:t>8.3★设备端</w:t>
            </w:r>
            <w:r>
              <w:rPr>
                <w:rFonts w:hint="eastAsia" w:ascii="微软雅黑" w:hAnsi="微软雅黑" w:cs="宋体"/>
                <w:color w:val="auto"/>
                <w:szCs w:val="21"/>
                <w:highlight w:val="none"/>
              </w:rPr>
              <w:t>配套</w:t>
            </w:r>
            <w:r>
              <w:rPr>
                <w:rFonts w:ascii="微软雅黑" w:hAnsi="微软雅黑" w:cs="宋体"/>
                <w:color w:val="auto"/>
                <w:szCs w:val="21"/>
                <w:highlight w:val="none"/>
              </w:rPr>
              <w:t>数据采集及测控软件</w:t>
            </w:r>
            <w:r>
              <w:rPr>
                <w:rFonts w:hint="eastAsia" w:ascii="微软雅黑" w:hAnsi="微软雅黑" w:cs="宋体"/>
                <w:color w:val="auto"/>
                <w:szCs w:val="21"/>
                <w:highlight w:val="none"/>
              </w:rPr>
              <w:t>，可以实现实验数据及设备状态实时在线采集、显示、数据变化曲线显示，实现装置运行控制、数据导出与处理等功能；并且可将数据实时上传至</w:t>
            </w:r>
            <w:r>
              <w:rPr>
                <w:rFonts w:ascii="微软雅黑" w:hAnsi="微软雅黑" w:cs="宋体"/>
                <w:color w:val="auto"/>
                <w:szCs w:val="21"/>
                <w:highlight w:val="none"/>
              </w:rPr>
              <w:t>在线的</w:t>
            </w:r>
            <w:r>
              <w:rPr>
                <w:rFonts w:hint="eastAsia" w:ascii="微软雅黑" w:hAnsi="微软雅黑" w:cs="宋体"/>
                <w:color w:val="auto"/>
                <w:szCs w:val="21"/>
                <w:highlight w:val="none"/>
              </w:rPr>
              <w:t>实验学习</w:t>
            </w:r>
            <w:r>
              <w:rPr>
                <w:rFonts w:ascii="微软雅黑" w:hAnsi="微软雅黑" w:cs="宋体"/>
                <w:color w:val="auto"/>
                <w:szCs w:val="21"/>
                <w:highlight w:val="none"/>
              </w:rPr>
              <w:t>平台</w:t>
            </w:r>
            <w:r>
              <w:rPr>
                <w:rFonts w:hint="eastAsia" w:ascii="微软雅黑" w:hAnsi="微软雅黑" w:cs="宋体"/>
                <w:color w:val="auto"/>
                <w:szCs w:val="21"/>
                <w:highlight w:val="none"/>
              </w:rPr>
              <w:t>，教师和学生可以远程实时在线或后期离线查看实验数据以及数据处理结果，便于监控设备运行，了解实验操作状况。</w:t>
            </w:r>
          </w:p>
          <w:p w14:paraId="2D218357">
            <w:pPr>
              <w:pStyle w:val="65"/>
              <w:spacing w:after="0" w:line="240" w:lineRule="auto"/>
              <w:ind w:firstLine="0" w:firstLineChars="0"/>
              <w:jc w:val="both"/>
              <w:rPr>
                <w:rFonts w:ascii="微软雅黑" w:hAnsi="微软雅黑"/>
                <w:color w:val="auto"/>
                <w:szCs w:val="21"/>
                <w:highlight w:val="none"/>
              </w:rPr>
            </w:pPr>
            <w:r>
              <w:rPr>
                <w:rFonts w:hint="eastAsia" w:ascii="微软雅黑" w:hAnsi="微软雅黑"/>
                <w:color w:val="auto"/>
                <w:kern w:val="0"/>
                <w:szCs w:val="21"/>
                <w:highlight w:val="none"/>
              </w:rPr>
              <w:t>8.4★</w:t>
            </w:r>
            <w:r>
              <w:rPr>
                <w:rFonts w:hint="eastAsia" w:ascii="微软雅黑" w:hAnsi="微软雅黑" w:cs="宋体"/>
                <w:color w:val="auto"/>
                <w:szCs w:val="21"/>
                <w:highlight w:val="none"/>
              </w:rPr>
              <w:t>配套</w:t>
            </w:r>
            <w:r>
              <w:rPr>
                <w:rFonts w:ascii="微软雅黑" w:hAnsi="微软雅黑" w:cs="宋体"/>
                <w:color w:val="auto"/>
                <w:szCs w:val="21"/>
                <w:highlight w:val="none"/>
              </w:rPr>
              <w:t>智能</w:t>
            </w:r>
            <w:r>
              <w:rPr>
                <w:rFonts w:hint="eastAsia" w:ascii="微软雅黑" w:hAnsi="微软雅黑" w:cs="宋体"/>
                <w:color w:val="auto"/>
                <w:szCs w:val="21"/>
                <w:highlight w:val="none"/>
              </w:rPr>
              <w:t>实验学习与实验授课</w:t>
            </w:r>
            <w:r>
              <w:rPr>
                <w:rFonts w:ascii="微软雅黑" w:hAnsi="微软雅黑" w:cs="宋体"/>
                <w:color w:val="auto"/>
                <w:szCs w:val="21"/>
                <w:highlight w:val="none"/>
              </w:rPr>
              <w:t>软件</w:t>
            </w:r>
            <w:r>
              <w:rPr>
                <w:rFonts w:hint="eastAsia" w:ascii="微软雅黑" w:hAnsi="微软雅黑" w:cs="宋体"/>
                <w:color w:val="auto"/>
                <w:szCs w:val="21"/>
                <w:highlight w:val="none"/>
              </w:rPr>
              <w:t>，学生端通过实验学习系统可以进行实验讲义学习、实验装置学习、</w:t>
            </w:r>
            <w:r>
              <w:rPr>
                <w:rFonts w:ascii="微软雅黑" w:hAnsi="微软雅黑" w:cs="宋体"/>
                <w:color w:val="auto"/>
                <w:szCs w:val="21"/>
                <w:highlight w:val="none"/>
              </w:rPr>
              <w:t>装置介绍</w:t>
            </w:r>
            <w:r>
              <w:rPr>
                <w:rFonts w:hint="eastAsia" w:ascii="微软雅黑" w:hAnsi="微软雅黑" w:cs="宋体"/>
                <w:color w:val="auto"/>
                <w:szCs w:val="21"/>
                <w:highlight w:val="none"/>
              </w:rPr>
              <w:t>微课学习、仿真操作练习，实现实验前的预习及课后复习，并能够记录学习过程，</w:t>
            </w:r>
            <w:r>
              <w:rPr>
                <w:rFonts w:ascii="微软雅黑" w:hAnsi="微软雅黑" w:cs="宋体"/>
                <w:color w:val="auto"/>
                <w:szCs w:val="21"/>
                <w:highlight w:val="none"/>
              </w:rPr>
              <w:t>智能</w:t>
            </w:r>
            <w:r>
              <w:rPr>
                <w:rFonts w:hint="eastAsia" w:ascii="微软雅黑" w:hAnsi="微软雅黑" w:cs="宋体"/>
                <w:color w:val="auto"/>
                <w:szCs w:val="21"/>
                <w:highlight w:val="none"/>
              </w:rPr>
              <w:t>自动评分。教师端通过智能实验授课</w:t>
            </w:r>
            <w:r>
              <w:rPr>
                <w:rFonts w:ascii="微软雅黑" w:hAnsi="微软雅黑" w:cs="宋体"/>
                <w:color w:val="auto"/>
                <w:szCs w:val="21"/>
                <w:highlight w:val="none"/>
              </w:rPr>
              <w:t>软件</w:t>
            </w:r>
            <w:r>
              <w:rPr>
                <w:rFonts w:hint="eastAsia" w:ascii="微软雅黑" w:hAnsi="微软雅黑" w:cs="宋体"/>
                <w:color w:val="auto"/>
                <w:szCs w:val="21"/>
                <w:highlight w:val="none"/>
              </w:rPr>
              <w:t>，支持通过现场大屏调用多种数字资源进行实验授课，监控学生操作状态、装置运行状态，可以存储及导出每个人的操作记录、实验数据；实验授课</w:t>
            </w:r>
            <w:r>
              <w:rPr>
                <w:rFonts w:ascii="微软雅黑" w:hAnsi="微软雅黑" w:cs="宋体"/>
                <w:color w:val="auto"/>
                <w:szCs w:val="21"/>
                <w:highlight w:val="none"/>
              </w:rPr>
              <w:t>软件</w:t>
            </w:r>
            <w:r>
              <w:rPr>
                <w:rFonts w:hint="eastAsia" w:ascii="微软雅黑" w:hAnsi="微软雅黑" w:cs="宋体"/>
                <w:color w:val="auto"/>
                <w:szCs w:val="21"/>
                <w:highlight w:val="none"/>
              </w:rPr>
              <w:t>移动端支持现场学生提问评分、操作评分、行为评分等。</w:t>
            </w:r>
          </w:p>
          <w:p w14:paraId="79B864E6">
            <w:pPr>
              <w:pStyle w:val="65"/>
              <w:spacing w:after="0" w:line="240" w:lineRule="auto"/>
              <w:ind w:firstLine="0" w:firstLineChars="0"/>
              <w:jc w:val="both"/>
              <w:rPr>
                <w:rFonts w:ascii="微软雅黑" w:hAnsi="微软雅黑" w:cs="宋体"/>
                <w:color w:val="auto"/>
                <w:szCs w:val="21"/>
                <w:highlight w:val="none"/>
              </w:rPr>
            </w:pPr>
            <w:r>
              <w:rPr>
                <w:rFonts w:hint="eastAsia" w:ascii="微软雅黑" w:hAnsi="微软雅黑"/>
                <w:color w:val="auto"/>
                <w:kern w:val="0"/>
                <w:szCs w:val="21"/>
                <w:highlight w:val="none"/>
              </w:rPr>
              <w:t>8.5★</w:t>
            </w:r>
            <w:r>
              <w:rPr>
                <w:rFonts w:hint="eastAsia" w:ascii="微软雅黑" w:hAnsi="微软雅黑" w:cs="宋体"/>
                <w:color w:val="auto"/>
                <w:szCs w:val="21"/>
                <w:highlight w:val="none"/>
              </w:rPr>
              <w:t>配套实验报告生成及评阅</w:t>
            </w:r>
            <w:r>
              <w:rPr>
                <w:rFonts w:ascii="微软雅黑" w:hAnsi="微软雅黑" w:cs="宋体"/>
                <w:color w:val="auto"/>
                <w:szCs w:val="21"/>
                <w:highlight w:val="none"/>
              </w:rPr>
              <w:t>软件</w:t>
            </w:r>
            <w:r>
              <w:rPr>
                <w:rFonts w:hint="eastAsia" w:ascii="微软雅黑" w:hAnsi="微软雅黑" w:cs="宋体"/>
                <w:color w:val="auto"/>
                <w:szCs w:val="21"/>
                <w:highlight w:val="none"/>
              </w:rPr>
              <w:t>，学生端能够根据采集的真实装置的实验数据，生成真实实验的实验报告；也能够根据仿真实验数据，生成仿真实验的实验报告。学生端可对实验数据进行整理，系统保存数据修改记录，可进行追溯。支持学生将手写报告扫描上传；教师端可对报告进行批改、批注和评分。支持电子版实验报告的归档并保存全部电子档案，形成规范教学文档。</w:t>
            </w:r>
          </w:p>
          <w:p w14:paraId="3203B744">
            <w:pPr>
              <w:pStyle w:val="65"/>
              <w:spacing w:after="0" w:line="240" w:lineRule="auto"/>
              <w:ind w:firstLine="0" w:firstLineChars="0"/>
              <w:jc w:val="both"/>
              <w:rPr>
                <w:rFonts w:ascii="微软雅黑" w:hAnsi="微软雅黑" w:cs="宋体"/>
                <w:color w:val="auto"/>
                <w:szCs w:val="21"/>
                <w:highlight w:val="none"/>
              </w:rPr>
            </w:pPr>
          </w:p>
          <w:p w14:paraId="539A768E">
            <w:pPr>
              <w:spacing w:after="0" w:line="240" w:lineRule="auto"/>
              <w:ind w:firstLine="0" w:firstLineChars="0"/>
              <w:rPr>
                <w:rFonts w:ascii="微软雅黑" w:hAnsi="微软雅黑"/>
                <w:b/>
                <w:bCs/>
                <w:color w:val="auto"/>
                <w:szCs w:val="21"/>
                <w:highlight w:val="none"/>
              </w:rPr>
            </w:pPr>
            <w:r>
              <w:rPr>
                <w:rFonts w:hint="eastAsia" w:ascii="微软雅黑" w:hAnsi="微软雅黑"/>
                <w:b/>
                <w:bCs/>
                <w:color w:val="auto"/>
                <w:szCs w:val="21"/>
                <w:highlight w:val="none"/>
              </w:rPr>
              <w:t>规格参数</w:t>
            </w:r>
          </w:p>
          <w:p w14:paraId="12F1E5AB">
            <w:pPr>
              <w:numPr>
                <w:ilvl w:val="0"/>
                <w:numId w:val="13"/>
              </w:numPr>
              <w:spacing w:after="0" w:line="240" w:lineRule="auto"/>
              <w:ind w:left="0" w:firstLine="0" w:firstLineChars="0"/>
              <w:rPr>
                <w:rFonts w:ascii="微软雅黑" w:hAnsi="微软雅黑"/>
                <w:color w:val="auto"/>
                <w:szCs w:val="21"/>
                <w:highlight w:val="none"/>
              </w:rPr>
            </w:pPr>
            <w:r>
              <w:rPr>
                <w:rFonts w:hint="eastAsia" w:ascii="微软雅黑" w:hAnsi="微软雅黑"/>
                <w:color w:val="auto"/>
                <w:kern w:val="0"/>
                <w:szCs w:val="21"/>
                <w:highlight w:val="none"/>
              </w:rPr>
              <w:t>★</w:t>
            </w:r>
            <w:r>
              <w:rPr>
                <w:rFonts w:hint="eastAsia" w:ascii="微软雅黑" w:hAnsi="微软雅黑"/>
                <w:color w:val="auto"/>
                <w:szCs w:val="21"/>
                <w:highlight w:val="none"/>
              </w:rPr>
              <w:t>设备主体：长*宽*高不小于1</w:t>
            </w:r>
            <w:r>
              <w:rPr>
                <w:rFonts w:ascii="微软雅黑" w:hAnsi="微软雅黑"/>
                <w:color w:val="auto"/>
                <w:szCs w:val="21"/>
                <w:highlight w:val="none"/>
              </w:rPr>
              <w:t>400*600*3000</w:t>
            </w:r>
            <w:r>
              <w:rPr>
                <w:rFonts w:hint="eastAsia" w:ascii="微软雅黑" w:hAnsi="微软雅黑"/>
                <w:color w:val="auto"/>
                <w:szCs w:val="21"/>
                <w:highlight w:val="none"/>
              </w:rPr>
              <w:t xml:space="preserve"> </w:t>
            </w:r>
            <w:r>
              <w:rPr>
                <w:rFonts w:ascii="微软雅黑" w:hAnsi="微软雅黑"/>
                <w:color w:val="auto"/>
                <w:szCs w:val="21"/>
                <w:highlight w:val="none"/>
              </w:rPr>
              <w:t>mm</w:t>
            </w:r>
            <w:r>
              <w:rPr>
                <w:rFonts w:hint="eastAsia" w:ascii="微软雅黑" w:hAnsi="微软雅黑"/>
                <w:color w:val="auto"/>
                <w:szCs w:val="21"/>
                <w:highlight w:val="none"/>
              </w:rPr>
              <w:t>，主体框架采用</w:t>
            </w:r>
            <w:r>
              <w:rPr>
                <w:rFonts w:ascii="微软雅黑" w:hAnsi="微软雅黑"/>
                <w:color w:val="auto"/>
                <w:szCs w:val="21"/>
                <w:highlight w:val="none"/>
              </w:rPr>
              <w:t>304</w:t>
            </w:r>
            <w:r>
              <w:rPr>
                <w:rFonts w:hint="eastAsia" w:ascii="微软雅黑" w:hAnsi="微软雅黑"/>
                <w:color w:val="auto"/>
                <w:szCs w:val="21"/>
                <w:highlight w:val="none"/>
              </w:rPr>
              <w:t>不锈钢方管，边长、壁厚不小于40mm*40mm*1.5mm，焊接工艺，稳固不松动，带有可移动脚轮。</w:t>
            </w:r>
            <w:r>
              <w:rPr>
                <w:rFonts w:hint="eastAsia" w:ascii="微软雅黑" w:hAnsi="微软雅黑"/>
                <w:color w:val="auto"/>
                <w:szCs w:val="21"/>
                <w:highlight w:val="none"/>
                <w:lang w:eastAsia="zh-CN"/>
              </w:rPr>
              <w:t>【投标文件中提供相关图纸（需标注招标文件要求的尺寸）、照片或效果图，不提供或提供不完整的，本项评审按负偏离处理】</w:t>
            </w:r>
          </w:p>
          <w:p w14:paraId="41714BE1">
            <w:pPr>
              <w:numPr>
                <w:ilvl w:val="0"/>
                <w:numId w:val="13"/>
              </w:numPr>
              <w:spacing w:after="0" w:line="240" w:lineRule="auto"/>
              <w:ind w:left="0" w:firstLine="0" w:firstLineChars="0"/>
              <w:rPr>
                <w:rFonts w:ascii="微软雅黑" w:hAnsi="微软雅黑"/>
                <w:color w:val="auto"/>
                <w:szCs w:val="21"/>
                <w:highlight w:val="none"/>
              </w:rPr>
            </w:pPr>
            <w:r>
              <w:rPr>
                <w:rFonts w:hint="eastAsia" w:ascii="微软雅黑" w:hAnsi="微软雅黑"/>
                <w:color w:val="auto"/>
                <w:kern w:val="0"/>
                <w:szCs w:val="21"/>
                <w:highlight w:val="none"/>
              </w:rPr>
              <w:t>★</w:t>
            </w:r>
            <w:r>
              <w:rPr>
                <w:rFonts w:ascii="微软雅黑" w:hAnsi="微软雅黑"/>
                <w:color w:val="auto"/>
                <w:szCs w:val="21"/>
                <w:highlight w:val="none"/>
              </w:rPr>
              <w:t>电控箱</w:t>
            </w:r>
            <w:r>
              <w:rPr>
                <w:rFonts w:ascii="微软雅黑" w:hAnsi="微软雅黑" w:cs="宋体"/>
                <w:color w:val="auto"/>
                <w:szCs w:val="21"/>
                <w:highlight w:val="none"/>
              </w:rPr>
              <w:t>：钢板喷塑。其中电气系统隔离设计，控制柜嵌入式安装配触摸屏的工业物联网主机、嵌入式安装数显控制仪表，带有急停按钮。</w:t>
            </w:r>
          </w:p>
          <w:p w14:paraId="3278C6C3">
            <w:pPr>
              <w:numPr>
                <w:ilvl w:val="0"/>
                <w:numId w:val="13"/>
              </w:numPr>
              <w:spacing w:after="0" w:line="240" w:lineRule="auto"/>
              <w:ind w:left="0" w:firstLine="0" w:firstLineChars="0"/>
              <w:rPr>
                <w:rFonts w:ascii="微软雅黑" w:hAnsi="微软雅黑"/>
                <w:color w:val="auto"/>
                <w:szCs w:val="21"/>
                <w:highlight w:val="none"/>
              </w:rPr>
            </w:pPr>
            <w:r>
              <w:rPr>
                <w:rFonts w:hint="eastAsia" w:ascii="微软雅黑" w:hAnsi="微软雅黑"/>
                <w:color w:val="auto"/>
                <w:kern w:val="0"/>
                <w:szCs w:val="21"/>
                <w:highlight w:val="none"/>
              </w:rPr>
              <w:t>★</w:t>
            </w:r>
            <w:r>
              <w:rPr>
                <w:rFonts w:hint="eastAsia" w:ascii="微软雅黑" w:hAnsi="微软雅黑"/>
                <w:color w:val="auto"/>
                <w:szCs w:val="21"/>
                <w:highlight w:val="none"/>
              </w:rPr>
              <w:t>不锈钢筛板塔：塔高度不低于</w:t>
            </w:r>
            <w:r>
              <w:rPr>
                <w:rFonts w:ascii="微软雅黑" w:hAnsi="微软雅黑"/>
                <w:color w:val="auto"/>
                <w:szCs w:val="21"/>
                <w:highlight w:val="none"/>
              </w:rPr>
              <w:t>2000mm</w:t>
            </w:r>
            <w:r>
              <w:rPr>
                <w:rFonts w:hint="eastAsia" w:ascii="微软雅黑" w:hAnsi="微软雅黑"/>
                <w:color w:val="auto"/>
                <w:szCs w:val="21"/>
                <w:highlight w:val="none"/>
              </w:rPr>
              <w:t>，实际塔板数</w:t>
            </w:r>
            <w:r>
              <w:rPr>
                <w:rFonts w:ascii="微软雅黑" w:hAnsi="微软雅黑"/>
                <w:color w:val="auto"/>
                <w:szCs w:val="21"/>
                <w:highlight w:val="none"/>
              </w:rPr>
              <w:t>N</w:t>
            </w:r>
            <w:r>
              <w:rPr>
                <w:rFonts w:ascii="微软雅黑" w:hAnsi="微软雅黑"/>
                <w:color w:val="auto"/>
                <w:szCs w:val="21"/>
                <w:highlight w:val="none"/>
                <w:vertAlign w:val="subscript"/>
              </w:rPr>
              <w:t>P</w:t>
            </w:r>
            <w:r>
              <w:rPr>
                <w:rFonts w:hint="eastAsia" w:ascii="微软雅黑" w:hAnsi="微软雅黑"/>
                <w:color w:val="auto"/>
                <w:szCs w:val="21"/>
                <w:highlight w:val="none"/>
              </w:rPr>
              <w:t>不少于</w:t>
            </w:r>
            <w:r>
              <w:rPr>
                <w:rFonts w:ascii="微软雅黑" w:hAnsi="微软雅黑"/>
                <w:color w:val="auto"/>
                <w:szCs w:val="21"/>
                <w:highlight w:val="none"/>
              </w:rPr>
              <w:t>20</w:t>
            </w:r>
            <w:r>
              <w:rPr>
                <w:rFonts w:hint="eastAsia" w:ascii="微软雅黑" w:hAnsi="微软雅黑"/>
                <w:color w:val="auto"/>
                <w:szCs w:val="21"/>
                <w:highlight w:val="none"/>
              </w:rPr>
              <w:t>块。塔身视盅不少于</w:t>
            </w:r>
            <w:r>
              <w:rPr>
                <w:rFonts w:ascii="微软雅黑" w:hAnsi="微软雅黑"/>
                <w:color w:val="auto"/>
                <w:szCs w:val="21"/>
                <w:highlight w:val="none"/>
              </w:rPr>
              <w:t>2</w:t>
            </w:r>
            <w:r>
              <w:rPr>
                <w:rFonts w:hint="eastAsia" w:ascii="微软雅黑" w:hAnsi="微软雅黑"/>
                <w:color w:val="auto"/>
                <w:szCs w:val="21"/>
                <w:highlight w:val="none"/>
              </w:rPr>
              <w:t>个，高温玻璃材质。取样口：液相取样不少于</w:t>
            </w:r>
            <w:r>
              <w:rPr>
                <w:rFonts w:ascii="微软雅黑" w:hAnsi="微软雅黑"/>
                <w:color w:val="auto"/>
                <w:szCs w:val="21"/>
                <w:highlight w:val="none"/>
              </w:rPr>
              <w:t>1</w:t>
            </w:r>
            <w:r>
              <w:rPr>
                <w:rFonts w:hint="eastAsia" w:ascii="微软雅黑" w:hAnsi="微软雅黑"/>
                <w:color w:val="auto"/>
                <w:szCs w:val="21"/>
                <w:highlight w:val="none"/>
              </w:rPr>
              <w:t>个，气相取样不少于</w:t>
            </w:r>
            <w:r>
              <w:rPr>
                <w:rFonts w:ascii="微软雅黑" w:hAnsi="微软雅黑"/>
                <w:color w:val="auto"/>
                <w:szCs w:val="21"/>
                <w:highlight w:val="none"/>
              </w:rPr>
              <w:t>2</w:t>
            </w:r>
            <w:r>
              <w:rPr>
                <w:rFonts w:hint="eastAsia" w:ascii="微软雅黑" w:hAnsi="微软雅黑"/>
                <w:color w:val="auto"/>
                <w:szCs w:val="21"/>
                <w:highlight w:val="none"/>
              </w:rPr>
              <w:t>个。塔釜1个，最高加热温度</w:t>
            </w:r>
            <w:r>
              <w:rPr>
                <w:rFonts w:ascii="微软雅黑" w:hAnsi="微软雅黑"/>
                <w:color w:val="auto"/>
                <w:szCs w:val="21"/>
                <w:highlight w:val="none"/>
              </w:rPr>
              <w:t>400℃</w:t>
            </w:r>
            <w:r>
              <w:rPr>
                <w:rFonts w:hint="eastAsia" w:ascii="微软雅黑" w:hAnsi="微软雅黑"/>
                <w:color w:val="auto"/>
                <w:szCs w:val="21"/>
                <w:highlight w:val="none"/>
              </w:rPr>
              <w:t>。加热额定功率为</w:t>
            </w:r>
            <w:r>
              <w:rPr>
                <w:rFonts w:ascii="微软雅黑" w:hAnsi="微软雅黑"/>
                <w:color w:val="auto"/>
                <w:szCs w:val="21"/>
                <w:highlight w:val="none"/>
              </w:rPr>
              <w:t>3.0kW</w:t>
            </w:r>
            <w:r>
              <w:rPr>
                <w:rFonts w:hint="eastAsia" w:ascii="微软雅黑" w:hAnsi="微软雅黑"/>
                <w:color w:val="auto"/>
                <w:szCs w:val="21"/>
                <w:highlight w:val="none"/>
              </w:rPr>
              <w:t>。转子流量计调节进料量，二路加料口。铂电阻测量温度，</w:t>
            </w:r>
            <w:r>
              <w:rPr>
                <w:rFonts w:ascii="微软雅黑" w:hAnsi="微软雅黑"/>
                <w:color w:val="auto"/>
                <w:szCs w:val="21"/>
                <w:highlight w:val="none"/>
              </w:rPr>
              <w:t>0-100℃</w:t>
            </w:r>
            <w:r>
              <w:rPr>
                <w:rFonts w:hint="eastAsia" w:ascii="微软雅黑" w:hAnsi="微软雅黑"/>
                <w:color w:val="auto"/>
                <w:szCs w:val="21"/>
                <w:highlight w:val="none"/>
              </w:rPr>
              <w:t>，</w:t>
            </w:r>
            <w:r>
              <w:rPr>
                <w:rFonts w:ascii="微软雅黑" w:hAnsi="微软雅黑"/>
                <w:color w:val="auto"/>
                <w:szCs w:val="21"/>
                <w:highlight w:val="none"/>
              </w:rPr>
              <w:t xml:space="preserve">1/3B </w:t>
            </w:r>
            <w:r>
              <w:rPr>
                <w:rFonts w:hint="eastAsia" w:ascii="微软雅黑" w:hAnsi="微软雅黑"/>
                <w:color w:val="auto"/>
                <w:szCs w:val="21"/>
                <w:highlight w:val="none"/>
              </w:rPr>
              <w:t>级。回流比由回流转子流量计和馏出转子流量计控制，回流转子流量计量程：</w:t>
            </w:r>
            <w:r>
              <w:rPr>
                <w:rFonts w:ascii="微软雅黑" w:hAnsi="微软雅黑"/>
                <w:color w:val="auto"/>
                <w:szCs w:val="21"/>
                <w:highlight w:val="none"/>
              </w:rPr>
              <w:t>10-100mL/min</w:t>
            </w:r>
            <w:r>
              <w:rPr>
                <w:rFonts w:hint="eastAsia" w:ascii="微软雅黑" w:hAnsi="微软雅黑"/>
                <w:color w:val="auto"/>
                <w:szCs w:val="21"/>
                <w:highlight w:val="none"/>
              </w:rPr>
              <w:t>，馏出转子流量计量程：</w:t>
            </w:r>
            <w:r>
              <w:rPr>
                <w:rFonts w:ascii="微软雅黑" w:hAnsi="微软雅黑"/>
                <w:color w:val="auto"/>
                <w:szCs w:val="21"/>
                <w:highlight w:val="none"/>
              </w:rPr>
              <w:t>6-60 mL/min</w:t>
            </w:r>
            <w:r>
              <w:rPr>
                <w:rFonts w:hint="eastAsia" w:ascii="微软雅黑" w:hAnsi="微软雅黑"/>
                <w:color w:val="auto"/>
                <w:szCs w:val="21"/>
                <w:highlight w:val="none"/>
              </w:rPr>
              <w:t>。塔釜液位自动控制：防干烧自动控制系统，自动放净。（提供筛板塔不同视角三维结构截图，不少于3张）</w:t>
            </w:r>
          </w:p>
          <w:p w14:paraId="5E6E0061">
            <w:pPr>
              <w:numPr>
                <w:ilvl w:val="0"/>
                <w:numId w:val="13"/>
              </w:numPr>
              <w:spacing w:after="0" w:line="240" w:lineRule="auto"/>
              <w:ind w:left="0" w:firstLine="0" w:firstLineChars="0"/>
              <w:rPr>
                <w:rFonts w:ascii="微软雅黑" w:hAnsi="微软雅黑"/>
                <w:color w:val="auto"/>
                <w:szCs w:val="21"/>
                <w:highlight w:val="none"/>
              </w:rPr>
            </w:pPr>
            <w:r>
              <w:rPr>
                <w:rFonts w:hint="eastAsia" w:ascii="微软雅黑" w:hAnsi="微软雅黑"/>
                <w:color w:val="auto"/>
                <w:szCs w:val="21"/>
                <w:highlight w:val="none"/>
              </w:rPr>
              <w:t>原料预热器：304不锈钢材质，功率不小于</w:t>
            </w:r>
            <w:r>
              <w:rPr>
                <w:rFonts w:ascii="微软雅黑" w:hAnsi="微软雅黑"/>
                <w:color w:val="auto"/>
                <w:szCs w:val="21"/>
                <w:highlight w:val="none"/>
              </w:rPr>
              <w:t>0.3kW</w:t>
            </w:r>
            <w:r>
              <w:rPr>
                <w:rFonts w:hint="eastAsia" w:ascii="微软雅黑" w:hAnsi="微软雅黑"/>
                <w:color w:val="auto"/>
                <w:szCs w:val="21"/>
                <w:highlight w:val="none"/>
              </w:rPr>
              <w:t>。</w:t>
            </w:r>
          </w:p>
          <w:p w14:paraId="3D116567">
            <w:pPr>
              <w:numPr>
                <w:ilvl w:val="0"/>
                <w:numId w:val="13"/>
              </w:numPr>
              <w:spacing w:after="0" w:line="240" w:lineRule="auto"/>
              <w:ind w:left="0" w:firstLine="0" w:firstLineChars="0"/>
              <w:rPr>
                <w:rFonts w:ascii="微软雅黑" w:hAnsi="微软雅黑"/>
                <w:color w:val="auto"/>
                <w:szCs w:val="21"/>
                <w:highlight w:val="none"/>
              </w:rPr>
            </w:pPr>
            <w:r>
              <w:rPr>
                <w:rFonts w:hint="eastAsia" w:ascii="微软雅黑" w:hAnsi="微软雅黑"/>
                <w:color w:val="auto"/>
                <w:szCs w:val="21"/>
                <w:highlight w:val="none"/>
              </w:rPr>
              <w:t>进料泵：</w:t>
            </w:r>
            <w:r>
              <w:rPr>
                <w:rFonts w:ascii="微软雅黑" w:hAnsi="微软雅黑"/>
                <w:color w:val="auto"/>
                <w:szCs w:val="21"/>
                <w:highlight w:val="none"/>
              </w:rPr>
              <w:t>1个，</w:t>
            </w:r>
            <w:r>
              <w:rPr>
                <w:rFonts w:hint="eastAsia" w:ascii="微软雅黑" w:hAnsi="微软雅黑"/>
                <w:color w:val="auto"/>
                <w:szCs w:val="21"/>
                <w:highlight w:val="none"/>
              </w:rPr>
              <w:t>流量</w:t>
            </w:r>
            <w:r>
              <w:rPr>
                <w:rFonts w:ascii="微软雅黑" w:hAnsi="微软雅黑"/>
                <w:color w:val="auto"/>
                <w:szCs w:val="21"/>
                <w:highlight w:val="none"/>
              </w:rPr>
              <w:t>8L/min</w:t>
            </w:r>
            <w:r>
              <w:rPr>
                <w:rFonts w:hint="eastAsia" w:ascii="微软雅黑" w:hAnsi="微软雅黑"/>
                <w:color w:val="auto"/>
                <w:szCs w:val="21"/>
                <w:highlight w:val="none"/>
              </w:rPr>
              <w:t>，扬程</w:t>
            </w:r>
            <w:r>
              <w:rPr>
                <w:rFonts w:ascii="微软雅黑" w:hAnsi="微软雅黑"/>
                <w:color w:val="auto"/>
                <w:szCs w:val="21"/>
                <w:highlight w:val="none"/>
              </w:rPr>
              <w:t>1.5m</w:t>
            </w:r>
            <w:r>
              <w:rPr>
                <w:rFonts w:hint="eastAsia" w:ascii="微软雅黑" w:hAnsi="微软雅黑"/>
                <w:color w:val="auto"/>
                <w:szCs w:val="21"/>
                <w:highlight w:val="none"/>
              </w:rPr>
              <w:t>。</w:t>
            </w:r>
          </w:p>
          <w:p w14:paraId="5F6BE3ED">
            <w:pPr>
              <w:numPr>
                <w:ilvl w:val="0"/>
                <w:numId w:val="13"/>
              </w:numPr>
              <w:spacing w:after="0" w:line="240" w:lineRule="auto"/>
              <w:ind w:left="0" w:firstLine="0" w:firstLineChars="0"/>
              <w:rPr>
                <w:rFonts w:ascii="微软雅黑" w:hAnsi="微软雅黑"/>
                <w:color w:val="auto"/>
                <w:szCs w:val="21"/>
                <w:highlight w:val="none"/>
              </w:rPr>
            </w:pPr>
            <w:r>
              <w:rPr>
                <w:rFonts w:hint="eastAsia" w:ascii="微软雅黑" w:hAnsi="微软雅黑"/>
                <w:color w:val="auto"/>
                <w:szCs w:val="21"/>
                <w:highlight w:val="none"/>
              </w:rPr>
              <w:t>回流泵：</w:t>
            </w:r>
            <w:r>
              <w:rPr>
                <w:rFonts w:ascii="微软雅黑" w:hAnsi="微软雅黑"/>
                <w:color w:val="auto"/>
                <w:szCs w:val="21"/>
                <w:highlight w:val="none"/>
              </w:rPr>
              <w:t>1个，</w:t>
            </w:r>
            <w:r>
              <w:rPr>
                <w:rFonts w:hint="eastAsia" w:ascii="微软雅黑" w:hAnsi="微软雅黑"/>
                <w:color w:val="auto"/>
                <w:szCs w:val="21"/>
                <w:highlight w:val="none"/>
              </w:rPr>
              <w:t>流量</w:t>
            </w:r>
            <w:r>
              <w:rPr>
                <w:rFonts w:ascii="微软雅黑" w:hAnsi="微软雅黑"/>
                <w:color w:val="auto"/>
                <w:szCs w:val="21"/>
                <w:highlight w:val="none"/>
              </w:rPr>
              <w:t>8L/min</w:t>
            </w:r>
            <w:r>
              <w:rPr>
                <w:rFonts w:hint="eastAsia" w:ascii="微软雅黑" w:hAnsi="微软雅黑"/>
                <w:color w:val="auto"/>
                <w:szCs w:val="21"/>
                <w:highlight w:val="none"/>
              </w:rPr>
              <w:t>，扬程：</w:t>
            </w:r>
            <w:r>
              <w:rPr>
                <w:rFonts w:ascii="微软雅黑" w:hAnsi="微软雅黑"/>
                <w:color w:val="auto"/>
                <w:szCs w:val="21"/>
                <w:highlight w:val="none"/>
              </w:rPr>
              <w:t>1.5m</w:t>
            </w:r>
            <w:r>
              <w:rPr>
                <w:rFonts w:hint="eastAsia" w:ascii="微软雅黑" w:hAnsi="微软雅黑"/>
                <w:color w:val="auto"/>
                <w:szCs w:val="21"/>
                <w:highlight w:val="none"/>
              </w:rPr>
              <w:t>。</w:t>
            </w:r>
          </w:p>
          <w:p w14:paraId="4913EE30">
            <w:pPr>
              <w:numPr>
                <w:ilvl w:val="0"/>
                <w:numId w:val="13"/>
              </w:numPr>
              <w:spacing w:after="0" w:line="240" w:lineRule="auto"/>
              <w:ind w:left="0" w:firstLine="0" w:firstLineChars="0"/>
              <w:rPr>
                <w:rFonts w:ascii="微软雅黑" w:hAnsi="微软雅黑"/>
                <w:color w:val="auto"/>
                <w:szCs w:val="21"/>
                <w:highlight w:val="none"/>
              </w:rPr>
            </w:pPr>
            <w:r>
              <w:rPr>
                <w:rFonts w:hint="eastAsia" w:ascii="微软雅黑" w:hAnsi="微软雅黑"/>
                <w:color w:val="auto"/>
                <w:szCs w:val="21"/>
                <w:highlight w:val="none"/>
              </w:rPr>
              <w:t>原料罐、塔顶产品罐、塔釜产品罐：各1个，容积不小于10L,304不锈钢材质。</w:t>
            </w:r>
          </w:p>
          <w:p w14:paraId="1CA58147">
            <w:pPr>
              <w:numPr>
                <w:ilvl w:val="0"/>
                <w:numId w:val="13"/>
              </w:numPr>
              <w:spacing w:after="0" w:line="240" w:lineRule="auto"/>
              <w:ind w:left="0" w:firstLine="0" w:firstLineChars="0"/>
              <w:rPr>
                <w:rFonts w:ascii="微软雅黑" w:hAnsi="微软雅黑"/>
                <w:color w:val="auto"/>
                <w:szCs w:val="21"/>
                <w:highlight w:val="none"/>
              </w:rPr>
            </w:pPr>
            <w:r>
              <w:rPr>
                <w:rFonts w:hint="eastAsia" w:ascii="微软雅黑" w:hAnsi="微软雅黑"/>
                <w:color w:val="auto"/>
                <w:szCs w:val="21"/>
                <w:highlight w:val="none"/>
              </w:rPr>
              <w:t>塔顶冷凝器进水流量计：</w:t>
            </w:r>
            <w:r>
              <w:rPr>
                <w:rFonts w:ascii="微软雅黑" w:hAnsi="微软雅黑"/>
                <w:color w:val="auto"/>
                <w:szCs w:val="21"/>
                <w:highlight w:val="none"/>
              </w:rPr>
              <w:t>不少于1个，</w:t>
            </w:r>
            <w:r>
              <w:rPr>
                <w:rFonts w:hint="eastAsia" w:ascii="微软雅黑" w:hAnsi="微软雅黑"/>
                <w:color w:val="auto"/>
                <w:szCs w:val="21"/>
                <w:highlight w:val="none"/>
              </w:rPr>
              <w:t>量程</w:t>
            </w:r>
            <w:r>
              <w:rPr>
                <w:rFonts w:ascii="微软雅黑" w:hAnsi="微软雅黑"/>
                <w:color w:val="auto"/>
                <w:szCs w:val="21"/>
                <w:highlight w:val="none"/>
              </w:rPr>
              <w:t>2-18L/min</w:t>
            </w:r>
            <w:r>
              <w:rPr>
                <w:rFonts w:hint="eastAsia" w:ascii="微软雅黑" w:hAnsi="微软雅黑"/>
                <w:color w:val="auto"/>
                <w:szCs w:val="21"/>
                <w:highlight w:val="none"/>
              </w:rPr>
              <w:t>。</w:t>
            </w:r>
          </w:p>
          <w:p w14:paraId="145D5278">
            <w:pPr>
              <w:numPr>
                <w:ilvl w:val="0"/>
                <w:numId w:val="13"/>
              </w:numPr>
              <w:spacing w:after="0" w:line="240" w:lineRule="auto"/>
              <w:ind w:left="0" w:firstLine="0" w:firstLineChars="0"/>
              <w:rPr>
                <w:rFonts w:ascii="微软雅黑" w:hAnsi="微软雅黑"/>
                <w:color w:val="auto"/>
                <w:szCs w:val="21"/>
                <w:highlight w:val="none"/>
              </w:rPr>
            </w:pPr>
            <w:r>
              <w:rPr>
                <w:rFonts w:hint="eastAsia" w:ascii="微软雅黑" w:hAnsi="微软雅黑"/>
                <w:color w:val="auto"/>
                <w:szCs w:val="21"/>
                <w:highlight w:val="none"/>
              </w:rPr>
              <w:t>进料流量计：</w:t>
            </w:r>
            <w:r>
              <w:rPr>
                <w:rFonts w:ascii="微软雅黑" w:hAnsi="微软雅黑"/>
                <w:color w:val="auto"/>
                <w:szCs w:val="21"/>
                <w:highlight w:val="none"/>
              </w:rPr>
              <w:t>不少于1个，</w:t>
            </w:r>
            <w:r>
              <w:rPr>
                <w:rFonts w:hint="eastAsia" w:ascii="微软雅黑" w:hAnsi="微软雅黑"/>
                <w:color w:val="auto"/>
                <w:szCs w:val="21"/>
                <w:highlight w:val="none"/>
              </w:rPr>
              <w:t>量程</w:t>
            </w:r>
            <w:r>
              <w:rPr>
                <w:rFonts w:ascii="微软雅黑" w:hAnsi="微软雅黑"/>
                <w:color w:val="auto"/>
                <w:szCs w:val="21"/>
                <w:highlight w:val="none"/>
              </w:rPr>
              <w:t>10-100mL/min</w:t>
            </w:r>
            <w:r>
              <w:rPr>
                <w:rFonts w:hint="eastAsia" w:ascii="微软雅黑" w:hAnsi="微软雅黑"/>
                <w:color w:val="auto"/>
                <w:szCs w:val="21"/>
                <w:highlight w:val="none"/>
              </w:rPr>
              <w:t>。</w:t>
            </w:r>
          </w:p>
          <w:p w14:paraId="5B31789E">
            <w:pPr>
              <w:numPr>
                <w:ilvl w:val="0"/>
                <w:numId w:val="13"/>
              </w:numPr>
              <w:spacing w:after="0" w:line="240" w:lineRule="auto"/>
              <w:ind w:left="0" w:firstLine="0" w:firstLineChars="0"/>
              <w:rPr>
                <w:rFonts w:ascii="微软雅黑" w:hAnsi="微软雅黑"/>
                <w:color w:val="auto"/>
                <w:szCs w:val="21"/>
                <w:highlight w:val="none"/>
              </w:rPr>
            </w:pPr>
            <w:r>
              <w:rPr>
                <w:rFonts w:hint="eastAsia" w:ascii="微软雅黑" w:hAnsi="微软雅黑"/>
                <w:color w:val="auto"/>
                <w:szCs w:val="21"/>
                <w:highlight w:val="none"/>
              </w:rPr>
              <w:t>电磁阀：常闭，支持塔釜液位控制。</w:t>
            </w:r>
          </w:p>
          <w:p w14:paraId="13ED39FD">
            <w:pPr>
              <w:numPr>
                <w:ilvl w:val="0"/>
                <w:numId w:val="13"/>
              </w:numPr>
              <w:spacing w:after="0" w:line="240" w:lineRule="auto"/>
              <w:ind w:left="0" w:firstLine="0" w:firstLineChars="0"/>
              <w:rPr>
                <w:rFonts w:ascii="微软雅黑" w:hAnsi="微软雅黑"/>
                <w:color w:val="auto"/>
                <w:szCs w:val="21"/>
                <w:highlight w:val="none"/>
              </w:rPr>
            </w:pPr>
            <w:r>
              <w:rPr>
                <w:rFonts w:hint="eastAsia" w:ascii="微软雅黑" w:hAnsi="微软雅黑"/>
                <w:color w:val="auto"/>
                <w:szCs w:val="21"/>
                <w:highlight w:val="none"/>
              </w:rPr>
              <w:t>温度传感器：PT100型热电偶，</w:t>
            </w:r>
            <w:r>
              <w:rPr>
                <w:rFonts w:ascii="微软雅黑" w:hAnsi="微软雅黑"/>
                <w:color w:val="auto"/>
                <w:szCs w:val="21"/>
                <w:highlight w:val="none"/>
              </w:rPr>
              <w:t>B</w:t>
            </w:r>
            <w:r>
              <w:rPr>
                <w:rFonts w:hint="eastAsia" w:ascii="微软雅黑" w:hAnsi="微软雅黑"/>
                <w:color w:val="auto"/>
                <w:szCs w:val="21"/>
                <w:highlight w:val="none"/>
              </w:rPr>
              <w:t>级精度，量程不低于600℃。</w:t>
            </w:r>
          </w:p>
          <w:p w14:paraId="0ED66AAA">
            <w:pPr>
              <w:numPr>
                <w:ilvl w:val="0"/>
                <w:numId w:val="13"/>
              </w:numPr>
              <w:spacing w:after="0" w:line="240" w:lineRule="auto"/>
              <w:ind w:left="0" w:firstLine="0" w:firstLineChars="0"/>
              <w:rPr>
                <w:rFonts w:ascii="微软雅黑" w:hAnsi="微软雅黑"/>
                <w:color w:val="auto"/>
                <w:szCs w:val="21"/>
                <w:highlight w:val="none"/>
              </w:rPr>
            </w:pPr>
            <w:r>
              <w:rPr>
                <w:rFonts w:hint="eastAsia" w:ascii="微软雅黑" w:hAnsi="微软雅黑"/>
                <w:color w:val="auto"/>
                <w:kern w:val="0"/>
                <w:szCs w:val="21"/>
                <w:highlight w:val="none"/>
              </w:rPr>
              <w:t>★</w:t>
            </w:r>
            <w:r>
              <w:rPr>
                <w:rFonts w:hint="eastAsia" w:ascii="微软雅黑" w:hAnsi="微软雅黑"/>
                <w:color w:val="auto"/>
                <w:szCs w:val="21"/>
                <w:highlight w:val="none"/>
              </w:rPr>
              <w:t>智能测控数显仪表：</w:t>
            </w:r>
            <w:r>
              <w:rPr>
                <w:rFonts w:ascii="微软雅黑" w:hAnsi="微软雅黑"/>
                <w:color w:val="auto"/>
                <w:szCs w:val="21"/>
                <w:highlight w:val="none"/>
              </w:rPr>
              <w:t>不少于8</w:t>
            </w:r>
            <w:r>
              <w:rPr>
                <w:rFonts w:hint="eastAsia" w:ascii="微软雅黑" w:hAnsi="微软雅黑"/>
                <w:color w:val="auto"/>
                <w:szCs w:val="21"/>
                <w:highlight w:val="none"/>
              </w:rPr>
              <w:t>个，支持测控、数码显示，显示范围0-9999，用于显示和控制温度、流量、功率、电压等数据。</w:t>
            </w:r>
          </w:p>
          <w:p w14:paraId="52C6C7BC">
            <w:pPr>
              <w:pStyle w:val="28"/>
              <w:numPr>
                <w:ilvl w:val="0"/>
                <w:numId w:val="13"/>
              </w:numPr>
              <w:spacing w:after="0" w:line="240" w:lineRule="auto"/>
              <w:ind w:left="0" w:firstLine="0" w:firstLineChars="0"/>
              <w:jc w:val="both"/>
              <w:rPr>
                <w:rFonts w:ascii="微软雅黑" w:hAnsi="微软雅黑"/>
                <w:color w:val="auto"/>
                <w:szCs w:val="21"/>
                <w:highlight w:val="none"/>
              </w:rPr>
            </w:pPr>
            <w:r>
              <w:rPr>
                <w:rFonts w:ascii="微软雅黑" w:hAnsi="微软雅黑" w:cs="宋体"/>
                <w:color w:val="auto"/>
                <w:szCs w:val="21"/>
                <w:highlight w:val="none"/>
              </w:rPr>
              <w:t>管路：管路采用</w:t>
            </w:r>
            <w:r>
              <w:rPr>
                <w:rFonts w:ascii="微软雅黑" w:hAnsi="微软雅黑"/>
                <w:color w:val="auto"/>
                <w:szCs w:val="21"/>
                <w:highlight w:val="none"/>
              </w:rPr>
              <w:t>304</w:t>
            </w:r>
            <w:r>
              <w:rPr>
                <w:rFonts w:ascii="微软雅黑" w:hAnsi="微软雅黑" w:cs="宋体"/>
                <w:color w:val="auto"/>
                <w:szCs w:val="21"/>
                <w:highlight w:val="none"/>
              </w:rPr>
              <w:t>不锈钢材质，</w:t>
            </w:r>
            <w:r>
              <w:rPr>
                <w:rFonts w:hint="eastAsia" w:ascii="微软雅黑" w:hAnsi="微软雅黑" w:cs="宋体"/>
                <w:color w:val="auto"/>
                <w:szCs w:val="21"/>
                <w:highlight w:val="none"/>
              </w:rPr>
              <w:t>壁厚不小于2mm，接头采用304不锈钢法兰，焊接工艺</w:t>
            </w:r>
            <w:r>
              <w:rPr>
                <w:rFonts w:ascii="微软雅黑" w:hAnsi="微软雅黑" w:cs="宋体"/>
                <w:color w:val="auto"/>
                <w:szCs w:val="21"/>
                <w:highlight w:val="none"/>
              </w:rPr>
              <w:t>。</w:t>
            </w:r>
          </w:p>
          <w:p w14:paraId="2EE9582E">
            <w:pPr>
              <w:numPr>
                <w:ilvl w:val="0"/>
                <w:numId w:val="13"/>
              </w:numPr>
              <w:spacing w:after="0" w:line="240" w:lineRule="auto"/>
              <w:ind w:left="0" w:firstLine="0" w:firstLineChars="0"/>
              <w:rPr>
                <w:rFonts w:ascii="微软雅黑" w:hAnsi="微软雅黑"/>
                <w:color w:val="auto"/>
                <w:szCs w:val="21"/>
                <w:highlight w:val="none"/>
              </w:rPr>
            </w:pPr>
            <w:r>
              <w:rPr>
                <w:rFonts w:hint="eastAsia" w:ascii="微软雅黑" w:hAnsi="微软雅黑"/>
                <w:color w:val="auto"/>
                <w:szCs w:val="21"/>
                <w:highlight w:val="none"/>
              </w:rPr>
              <w:t>阀门：1批，304不锈钢材质工业级阀门，与管路配套。</w:t>
            </w:r>
          </w:p>
          <w:p w14:paraId="48E8B13B">
            <w:pPr>
              <w:numPr>
                <w:ilvl w:val="0"/>
                <w:numId w:val="13"/>
              </w:numPr>
              <w:spacing w:after="0" w:line="240" w:lineRule="auto"/>
              <w:ind w:left="0" w:firstLine="0" w:firstLineChars="0"/>
              <w:rPr>
                <w:rFonts w:ascii="微软雅黑" w:hAnsi="微软雅黑"/>
                <w:color w:val="auto"/>
                <w:szCs w:val="21"/>
                <w:highlight w:val="none"/>
              </w:rPr>
            </w:pPr>
            <w:r>
              <w:rPr>
                <w:rFonts w:hint="eastAsia" w:ascii="微软雅黑" w:hAnsi="微软雅黑"/>
                <w:color w:val="auto"/>
                <w:kern w:val="0"/>
                <w:szCs w:val="21"/>
                <w:highlight w:val="none"/>
              </w:rPr>
              <w:t>★</w:t>
            </w:r>
            <w:r>
              <w:rPr>
                <w:rFonts w:hint="eastAsia" w:ascii="微软雅黑" w:hAnsi="微软雅黑"/>
                <w:color w:val="auto"/>
                <w:szCs w:val="21"/>
                <w:highlight w:val="none"/>
              </w:rPr>
              <w:t>一体化触控屏工业物联网主机：嵌入控制柜式安装，触控屏尺寸不低于10.1寸。OS支持Windows10及以上,RAM不小于4G,SSD不小于32G。支持RS232、RJ45、USB3.0、IEEE 802.11 b/g/n通信协议。主机全封闭设计，无风扇金属散热。</w:t>
            </w:r>
            <w:bookmarkStart w:id="34" w:name="OLE_LINK7"/>
            <w:r>
              <w:rPr>
                <w:rFonts w:hint="eastAsia" w:ascii="微软雅黑" w:hAnsi="微软雅黑"/>
                <w:color w:val="auto"/>
                <w:szCs w:val="21"/>
                <w:highlight w:val="none"/>
              </w:rPr>
              <w:t>具备集成物联网系统功能，实现本装置数据采集、上传、测控等通信功能</w:t>
            </w:r>
            <w:bookmarkEnd w:id="34"/>
            <w:r>
              <w:rPr>
                <w:rFonts w:hint="eastAsia" w:ascii="微软雅黑" w:hAnsi="微软雅黑"/>
                <w:color w:val="auto"/>
                <w:szCs w:val="21"/>
                <w:highlight w:val="none"/>
              </w:rPr>
              <w:t>。</w:t>
            </w:r>
          </w:p>
        </w:tc>
        <w:tc>
          <w:tcPr>
            <w:tcW w:w="765" w:type="dxa"/>
            <w:tcBorders>
              <w:top w:val="single" w:color="auto" w:sz="4" w:space="0"/>
              <w:left w:val="single" w:color="auto" w:sz="4" w:space="0"/>
              <w:bottom w:val="single" w:color="auto" w:sz="4" w:space="0"/>
              <w:right w:val="single" w:color="auto" w:sz="4" w:space="0"/>
            </w:tcBorders>
            <w:noWrap/>
            <w:vAlign w:val="center"/>
          </w:tcPr>
          <w:p w14:paraId="21E3FA14">
            <w:pPr>
              <w:widowControl/>
              <w:spacing w:after="0" w:line="240" w:lineRule="auto"/>
              <w:ind w:firstLine="0" w:firstLineChars="0"/>
              <w:jc w:val="center"/>
              <w:rPr>
                <w:rFonts w:ascii="微软雅黑" w:hAnsi="微软雅黑"/>
                <w:b/>
                <w:bCs/>
                <w:color w:val="auto"/>
                <w:kern w:val="0"/>
                <w:szCs w:val="21"/>
                <w:highlight w:val="none"/>
              </w:rPr>
            </w:pPr>
            <w:r>
              <w:rPr>
                <w:rFonts w:hint="eastAsia" w:ascii="微软雅黑" w:hAnsi="微软雅黑"/>
                <w:color w:val="auto"/>
                <w:szCs w:val="21"/>
                <w:highlight w:val="none"/>
              </w:rPr>
              <w:t>4</w:t>
            </w:r>
          </w:p>
        </w:tc>
        <w:tc>
          <w:tcPr>
            <w:tcW w:w="750" w:type="dxa"/>
            <w:tcBorders>
              <w:top w:val="single" w:color="auto" w:sz="4" w:space="0"/>
              <w:left w:val="nil"/>
              <w:bottom w:val="single" w:color="auto" w:sz="4" w:space="0"/>
              <w:right w:val="single" w:color="auto" w:sz="4" w:space="0"/>
            </w:tcBorders>
            <w:noWrap/>
            <w:vAlign w:val="center"/>
          </w:tcPr>
          <w:p w14:paraId="41FD9C58">
            <w:pPr>
              <w:widowControl/>
              <w:spacing w:after="0" w:line="240" w:lineRule="auto"/>
              <w:ind w:firstLine="0" w:firstLineChars="0"/>
              <w:jc w:val="center"/>
              <w:rPr>
                <w:rFonts w:ascii="微软雅黑" w:hAnsi="微软雅黑"/>
                <w:color w:val="auto"/>
                <w:kern w:val="0"/>
                <w:szCs w:val="21"/>
                <w:highlight w:val="none"/>
              </w:rPr>
            </w:pPr>
          </w:p>
        </w:tc>
      </w:tr>
      <w:tr w14:paraId="32317957">
        <w:tblPrEx>
          <w:tblCellMar>
            <w:top w:w="0" w:type="dxa"/>
            <w:left w:w="108" w:type="dxa"/>
            <w:bottom w:w="0" w:type="dxa"/>
            <w:right w:w="108" w:type="dxa"/>
          </w:tblCellMar>
        </w:tblPrEx>
        <w:trPr>
          <w:trHeight w:val="280" w:hRule="atLeast"/>
        </w:trPr>
        <w:tc>
          <w:tcPr>
            <w:tcW w:w="421" w:type="dxa"/>
            <w:tcBorders>
              <w:top w:val="single" w:color="auto" w:sz="4" w:space="0"/>
              <w:left w:val="single" w:color="auto" w:sz="4" w:space="0"/>
              <w:bottom w:val="single" w:color="auto" w:sz="4" w:space="0"/>
              <w:right w:val="single" w:color="auto" w:sz="4" w:space="0"/>
            </w:tcBorders>
            <w:noWrap/>
            <w:vAlign w:val="center"/>
          </w:tcPr>
          <w:p w14:paraId="4148579D">
            <w:pPr>
              <w:widowControl/>
              <w:spacing w:after="0" w:line="240" w:lineRule="auto"/>
              <w:ind w:firstLine="0" w:firstLineChars="0"/>
              <w:jc w:val="center"/>
              <w:rPr>
                <w:rFonts w:ascii="微软雅黑" w:hAnsi="微软雅黑"/>
                <w:b/>
                <w:bCs/>
                <w:color w:val="auto"/>
                <w:kern w:val="0"/>
                <w:szCs w:val="21"/>
                <w:highlight w:val="none"/>
              </w:rPr>
            </w:pPr>
            <w:r>
              <w:rPr>
                <w:rFonts w:hint="eastAsia" w:ascii="微软雅黑" w:hAnsi="微软雅黑"/>
                <w:b/>
                <w:bCs/>
                <w:color w:val="auto"/>
                <w:kern w:val="0"/>
                <w:szCs w:val="21"/>
                <w:highlight w:val="none"/>
              </w:rPr>
              <w:t>4</w:t>
            </w:r>
          </w:p>
        </w:tc>
        <w:tc>
          <w:tcPr>
            <w:tcW w:w="1597" w:type="dxa"/>
            <w:tcBorders>
              <w:top w:val="single" w:color="auto" w:sz="4" w:space="0"/>
              <w:left w:val="nil"/>
              <w:bottom w:val="single" w:color="auto" w:sz="4" w:space="0"/>
              <w:right w:val="single" w:color="auto" w:sz="4" w:space="0"/>
            </w:tcBorders>
            <w:noWrap/>
            <w:vAlign w:val="center"/>
          </w:tcPr>
          <w:p w14:paraId="0F55F330">
            <w:pPr>
              <w:widowControl/>
              <w:spacing w:after="0" w:line="240" w:lineRule="auto"/>
              <w:ind w:firstLine="0" w:firstLineChars="0"/>
              <w:jc w:val="center"/>
              <w:rPr>
                <w:rFonts w:ascii="微软雅黑" w:hAnsi="微软雅黑"/>
                <w:b/>
                <w:bCs/>
                <w:color w:val="auto"/>
                <w:kern w:val="0"/>
                <w:szCs w:val="21"/>
                <w:highlight w:val="none"/>
              </w:rPr>
            </w:pPr>
            <w:r>
              <w:rPr>
                <w:rFonts w:hint="eastAsia" w:ascii="微软雅黑" w:hAnsi="微软雅黑"/>
                <w:color w:val="auto"/>
                <w:szCs w:val="21"/>
                <w:highlight w:val="none"/>
              </w:rPr>
              <w:t>传热实验装置</w:t>
            </w:r>
          </w:p>
        </w:tc>
        <w:tc>
          <w:tcPr>
            <w:tcW w:w="10956" w:type="dxa"/>
            <w:tcBorders>
              <w:top w:val="single" w:color="auto" w:sz="4" w:space="0"/>
              <w:left w:val="nil"/>
              <w:bottom w:val="single" w:color="auto" w:sz="4" w:space="0"/>
              <w:right w:val="nil"/>
            </w:tcBorders>
            <w:noWrap/>
            <w:vAlign w:val="center"/>
          </w:tcPr>
          <w:p w14:paraId="6F5F210C">
            <w:pPr>
              <w:spacing w:after="0" w:line="240" w:lineRule="auto"/>
              <w:ind w:firstLine="0" w:firstLineChars="0"/>
              <w:rPr>
                <w:rFonts w:ascii="微软雅黑" w:hAnsi="微软雅黑"/>
                <w:b/>
                <w:bCs/>
                <w:color w:val="auto"/>
                <w:szCs w:val="21"/>
                <w:highlight w:val="none"/>
              </w:rPr>
            </w:pPr>
            <w:r>
              <w:rPr>
                <w:rFonts w:hint="eastAsia" w:ascii="微软雅黑" w:hAnsi="微软雅黑"/>
                <w:b/>
                <w:bCs/>
                <w:color w:val="auto"/>
                <w:szCs w:val="21"/>
                <w:highlight w:val="none"/>
              </w:rPr>
              <w:t>装置功能</w:t>
            </w:r>
          </w:p>
          <w:p w14:paraId="2F83B46F">
            <w:pPr>
              <w:pStyle w:val="65"/>
              <w:numPr>
                <w:ilvl w:val="1"/>
                <w:numId w:val="14"/>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s="宋体"/>
                <w:color w:val="auto"/>
                <w:szCs w:val="21"/>
                <w:highlight w:val="none"/>
              </w:rPr>
              <w:t>具备测定空气与水蒸汽在套管换热器中间壁传热时的总传热系数功能。</w:t>
            </w:r>
          </w:p>
          <w:p w14:paraId="6AADCF87">
            <w:pPr>
              <w:pStyle w:val="65"/>
              <w:numPr>
                <w:ilvl w:val="1"/>
                <w:numId w:val="14"/>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s="宋体"/>
                <w:color w:val="auto"/>
                <w:szCs w:val="21"/>
                <w:highlight w:val="none"/>
              </w:rPr>
              <w:t>具备测定空气在圆形光滑管中作湍流流动时的对流传热准数关联式功能。</w:t>
            </w:r>
          </w:p>
          <w:p w14:paraId="28FF59A4">
            <w:pPr>
              <w:pStyle w:val="65"/>
              <w:numPr>
                <w:ilvl w:val="1"/>
                <w:numId w:val="14"/>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s="宋体"/>
                <w:color w:val="auto"/>
                <w:szCs w:val="21"/>
                <w:highlight w:val="none"/>
              </w:rPr>
              <w:t>具备测定空气在插入螺旋线圈的强化管中作湍流流动时的对流传热准数关联式功能。</w:t>
            </w:r>
          </w:p>
          <w:p w14:paraId="671EBC1F">
            <w:pPr>
              <w:pStyle w:val="65"/>
              <w:numPr>
                <w:ilvl w:val="1"/>
                <w:numId w:val="14"/>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s="宋体"/>
                <w:color w:val="auto"/>
                <w:szCs w:val="21"/>
                <w:highlight w:val="none"/>
              </w:rPr>
              <w:t>具备测定套管换热器的管内压降</w:t>
            </w:r>
            <w:r>
              <w:rPr>
                <w:rFonts w:ascii="微软雅黑" w:hAnsi="微软雅黑"/>
                <w:color w:val="auto"/>
                <w:szCs w:val="21"/>
                <w:highlight w:val="none"/>
              </w:rPr>
              <w:t>Δp</w:t>
            </w:r>
            <w:r>
              <w:rPr>
                <w:rFonts w:hint="eastAsia" w:ascii="微软雅黑" w:hAnsi="微软雅黑" w:cs="宋体"/>
                <w:color w:val="auto"/>
                <w:szCs w:val="21"/>
                <w:highlight w:val="none"/>
              </w:rPr>
              <w:t>和</w:t>
            </w:r>
            <w:r>
              <w:rPr>
                <w:rFonts w:ascii="微软雅黑" w:hAnsi="微软雅黑"/>
                <w:color w:val="auto"/>
                <w:szCs w:val="21"/>
                <w:highlight w:val="none"/>
              </w:rPr>
              <w:t>Nu</w:t>
            </w:r>
            <w:r>
              <w:rPr>
                <w:rFonts w:hint="eastAsia" w:ascii="微软雅黑" w:hAnsi="微软雅黑" w:cs="宋体"/>
                <w:color w:val="auto"/>
                <w:szCs w:val="21"/>
                <w:highlight w:val="none"/>
              </w:rPr>
              <w:t>之间的关系功能。</w:t>
            </w:r>
          </w:p>
          <w:p w14:paraId="2123DF69">
            <w:pPr>
              <w:pStyle w:val="65"/>
              <w:numPr>
                <w:ilvl w:val="1"/>
                <w:numId w:val="14"/>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s="宋体"/>
                <w:color w:val="auto"/>
                <w:szCs w:val="21"/>
                <w:highlight w:val="none"/>
              </w:rPr>
              <w:t>具备对流传热系数</w:t>
            </w:r>
            <w:r>
              <w:rPr>
                <w:rFonts w:ascii="微软雅黑" w:hAnsi="微软雅黑"/>
                <w:color w:val="auto"/>
                <w:szCs w:val="21"/>
                <w:highlight w:val="none"/>
              </w:rPr>
              <w:t>α</w:t>
            </w:r>
            <w:r>
              <w:rPr>
                <w:rFonts w:hint="eastAsia" w:ascii="微软雅黑" w:hAnsi="微软雅黑" w:cs="宋体"/>
                <w:color w:val="auto"/>
                <w:szCs w:val="21"/>
                <w:highlight w:val="none"/>
              </w:rPr>
              <w:t>的测定功能。</w:t>
            </w:r>
          </w:p>
          <w:p w14:paraId="783E7311">
            <w:pPr>
              <w:pStyle w:val="65"/>
              <w:numPr>
                <w:ilvl w:val="1"/>
                <w:numId w:val="14"/>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s="宋体"/>
                <w:color w:val="auto"/>
                <w:szCs w:val="21"/>
                <w:highlight w:val="none"/>
              </w:rPr>
              <w:t>具备强化管和光滑管的数据对比功能。</w:t>
            </w:r>
          </w:p>
          <w:p w14:paraId="0ED14EA9">
            <w:pPr>
              <w:pStyle w:val="65"/>
              <w:numPr>
                <w:ilvl w:val="1"/>
                <w:numId w:val="14"/>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s="宋体"/>
                <w:color w:val="auto"/>
                <w:szCs w:val="21"/>
                <w:highlight w:val="none"/>
              </w:rPr>
              <w:t>带有不锈钢防护罩，防护罩有视窗，能展示实验过程中的冷凝现象的同时提高安全性。</w:t>
            </w:r>
          </w:p>
          <w:p w14:paraId="0EC36A10">
            <w:pPr>
              <w:pStyle w:val="65"/>
              <w:numPr>
                <w:ilvl w:val="1"/>
                <w:numId w:val="14"/>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s="宋体"/>
                <w:color w:val="auto"/>
                <w:szCs w:val="21"/>
                <w:highlight w:val="none"/>
              </w:rPr>
              <w:t>蒸汽发生器有压力控制器，可实现输出稳定蒸汽，配有安全阀。</w:t>
            </w:r>
          </w:p>
          <w:p w14:paraId="79C891EB">
            <w:pPr>
              <w:pStyle w:val="65"/>
              <w:numPr>
                <w:ilvl w:val="1"/>
                <w:numId w:val="14"/>
              </w:numPr>
              <w:spacing w:after="0" w:line="240" w:lineRule="auto"/>
              <w:ind w:left="0" w:firstLine="0" w:firstLineChars="0"/>
              <w:jc w:val="both"/>
              <w:rPr>
                <w:rFonts w:ascii="微软雅黑" w:hAnsi="微软雅黑"/>
                <w:color w:val="auto"/>
                <w:szCs w:val="21"/>
                <w:highlight w:val="none"/>
              </w:rPr>
            </w:pPr>
            <w:bookmarkStart w:id="35" w:name="OLE_LINK5"/>
            <w:r>
              <w:rPr>
                <w:rFonts w:hint="eastAsia" w:ascii="微软雅黑" w:hAnsi="微软雅黑"/>
                <w:color w:val="auto"/>
                <w:kern w:val="0"/>
                <w:szCs w:val="21"/>
                <w:highlight w:val="none"/>
              </w:rPr>
              <w:t>配套仿真教学平台，平台具备以下功能：</w:t>
            </w:r>
          </w:p>
          <w:p w14:paraId="1E92E7B9">
            <w:pPr>
              <w:pStyle w:val="65"/>
              <w:spacing w:after="0" w:line="240" w:lineRule="auto"/>
              <w:ind w:firstLine="0" w:firstLineChars="0"/>
              <w:jc w:val="both"/>
              <w:rPr>
                <w:rFonts w:ascii="微软雅黑" w:hAnsi="微软雅黑"/>
                <w:color w:val="auto"/>
                <w:szCs w:val="21"/>
                <w:highlight w:val="none"/>
              </w:rPr>
            </w:pPr>
            <w:r>
              <w:rPr>
                <w:rFonts w:hint="eastAsia" w:ascii="微软雅黑" w:hAnsi="微软雅黑"/>
                <w:color w:val="auto"/>
                <w:kern w:val="0"/>
                <w:szCs w:val="21"/>
                <w:highlight w:val="none"/>
              </w:rPr>
              <w:t>9.1★</w:t>
            </w:r>
            <w:r>
              <w:rPr>
                <w:rFonts w:hint="eastAsia" w:ascii="微软雅黑" w:hAnsi="微软雅黑"/>
                <w:color w:val="auto"/>
                <w:szCs w:val="21"/>
                <w:highlight w:val="none"/>
              </w:rPr>
              <w:t>（1）为学生端配套本实验虚拟仿真系统，可以进行实验装置结构学习、实验操作练习与操作考核，要求仿真装置与本实验真实装置结构相同、操作一致；仿真操作具备通过后台严格数学模型算法计算出仿真实验数据功能。（2）为教师端配套仿真实验教学平台，实现仿真实验教学管理功能，包括学生管理、考试管理、成绩管理等功能</w:t>
            </w:r>
            <w:r>
              <w:rPr>
                <w:rFonts w:hint="eastAsia" w:ascii="微软雅黑" w:hAnsi="微软雅黑" w:cs="宋体"/>
                <w:color w:val="auto"/>
                <w:szCs w:val="21"/>
                <w:highlight w:val="none"/>
              </w:rPr>
              <w:t>。</w:t>
            </w:r>
          </w:p>
          <w:p w14:paraId="04D067B9">
            <w:pPr>
              <w:pStyle w:val="65"/>
              <w:spacing w:after="0" w:line="240" w:lineRule="auto"/>
              <w:ind w:firstLine="0" w:firstLineChars="0"/>
              <w:jc w:val="both"/>
              <w:rPr>
                <w:rFonts w:ascii="微软雅黑" w:hAnsi="微软雅黑"/>
                <w:color w:val="auto"/>
                <w:szCs w:val="21"/>
                <w:highlight w:val="none"/>
              </w:rPr>
            </w:pPr>
            <w:r>
              <w:rPr>
                <w:rFonts w:hint="eastAsia" w:ascii="微软雅黑" w:hAnsi="微软雅黑"/>
                <w:color w:val="auto"/>
                <w:kern w:val="0"/>
                <w:szCs w:val="21"/>
                <w:highlight w:val="none"/>
              </w:rPr>
              <w:t>9.2★为教师、学生</w:t>
            </w:r>
            <w:r>
              <w:rPr>
                <w:rFonts w:hint="eastAsia" w:ascii="微软雅黑" w:hAnsi="微软雅黑" w:cs="宋体"/>
                <w:color w:val="auto"/>
                <w:szCs w:val="21"/>
                <w:highlight w:val="none"/>
              </w:rPr>
              <w:t>配套本实验装置介绍微课，讲解实验装置结构。</w:t>
            </w:r>
            <w:r>
              <w:rPr>
                <w:rFonts w:hint="eastAsia" w:ascii="微软雅黑" w:hAnsi="微软雅黑" w:cs="宋体"/>
                <w:b/>
                <w:bCs/>
                <w:color w:val="auto"/>
                <w:szCs w:val="21"/>
                <w:highlight w:val="none"/>
              </w:rPr>
              <w:t>（演示内容）</w:t>
            </w:r>
          </w:p>
          <w:p w14:paraId="4A27CA92">
            <w:pPr>
              <w:pStyle w:val="65"/>
              <w:spacing w:after="0" w:line="240" w:lineRule="auto"/>
              <w:ind w:firstLine="0" w:firstLineChars="0"/>
              <w:jc w:val="both"/>
              <w:rPr>
                <w:rFonts w:ascii="微软雅黑" w:hAnsi="微软雅黑"/>
                <w:color w:val="auto"/>
                <w:szCs w:val="21"/>
                <w:highlight w:val="none"/>
              </w:rPr>
            </w:pPr>
            <w:r>
              <w:rPr>
                <w:rFonts w:hint="eastAsia" w:ascii="微软雅黑" w:hAnsi="微软雅黑"/>
                <w:color w:val="auto"/>
                <w:kern w:val="0"/>
                <w:szCs w:val="21"/>
                <w:highlight w:val="none"/>
              </w:rPr>
              <w:t>9.3★设备端</w:t>
            </w:r>
            <w:r>
              <w:rPr>
                <w:rFonts w:hint="eastAsia" w:ascii="微软雅黑" w:hAnsi="微软雅黑" w:cs="宋体"/>
                <w:color w:val="auto"/>
                <w:szCs w:val="21"/>
                <w:highlight w:val="none"/>
              </w:rPr>
              <w:t>配套</w:t>
            </w:r>
            <w:r>
              <w:rPr>
                <w:rFonts w:ascii="微软雅黑" w:hAnsi="微软雅黑" w:cs="宋体"/>
                <w:color w:val="auto"/>
                <w:szCs w:val="21"/>
                <w:highlight w:val="none"/>
              </w:rPr>
              <w:t>数据采集及测控软件</w:t>
            </w:r>
            <w:r>
              <w:rPr>
                <w:rFonts w:hint="eastAsia" w:ascii="微软雅黑" w:hAnsi="微软雅黑" w:cs="宋体"/>
                <w:color w:val="auto"/>
                <w:szCs w:val="21"/>
                <w:highlight w:val="none"/>
              </w:rPr>
              <w:t>，可以实现实验数据及设备状态实时在线采集、显示、数据变化曲线显示，实现装置运行控制、数据导出与处理等功能；并且可将数据实时上传至</w:t>
            </w:r>
            <w:r>
              <w:rPr>
                <w:rFonts w:ascii="微软雅黑" w:hAnsi="微软雅黑" w:cs="宋体"/>
                <w:color w:val="auto"/>
                <w:szCs w:val="21"/>
                <w:highlight w:val="none"/>
              </w:rPr>
              <w:t>在线的</w:t>
            </w:r>
            <w:r>
              <w:rPr>
                <w:rFonts w:hint="eastAsia" w:ascii="微软雅黑" w:hAnsi="微软雅黑" w:cs="宋体"/>
                <w:color w:val="auto"/>
                <w:szCs w:val="21"/>
                <w:highlight w:val="none"/>
              </w:rPr>
              <w:t>实验学习</w:t>
            </w:r>
            <w:r>
              <w:rPr>
                <w:rFonts w:ascii="微软雅黑" w:hAnsi="微软雅黑" w:cs="宋体"/>
                <w:color w:val="auto"/>
                <w:szCs w:val="21"/>
                <w:highlight w:val="none"/>
              </w:rPr>
              <w:t>平台</w:t>
            </w:r>
            <w:r>
              <w:rPr>
                <w:rFonts w:hint="eastAsia" w:ascii="微软雅黑" w:hAnsi="微软雅黑" w:cs="宋体"/>
                <w:color w:val="auto"/>
                <w:szCs w:val="21"/>
                <w:highlight w:val="none"/>
              </w:rPr>
              <w:t>，教师和学生可以远程实时在线或后期离线查看实验数据以及数据处理结果，便于监控设备运行，了解实验操作状况。</w:t>
            </w:r>
          </w:p>
          <w:p w14:paraId="73931CE0">
            <w:pPr>
              <w:pStyle w:val="65"/>
              <w:spacing w:after="0" w:line="240" w:lineRule="auto"/>
              <w:ind w:firstLine="0" w:firstLineChars="0"/>
              <w:jc w:val="both"/>
              <w:rPr>
                <w:rFonts w:ascii="微软雅黑" w:hAnsi="微软雅黑"/>
                <w:color w:val="auto"/>
                <w:szCs w:val="21"/>
                <w:highlight w:val="none"/>
              </w:rPr>
            </w:pPr>
            <w:r>
              <w:rPr>
                <w:rFonts w:hint="eastAsia" w:ascii="微软雅黑" w:hAnsi="微软雅黑"/>
                <w:color w:val="auto"/>
                <w:kern w:val="0"/>
                <w:szCs w:val="21"/>
                <w:highlight w:val="none"/>
              </w:rPr>
              <w:t>9.4★</w:t>
            </w:r>
            <w:r>
              <w:rPr>
                <w:rFonts w:hint="eastAsia" w:ascii="微软雅黑" w:hAnsi="微软雅黑" w:cs="宋体"/>
                <w:color w:val="auto"/>
                <w:szCs w:val="21"/>
                <w:highlight w:val="none"/>
              </w:rPr>
              <w:t>配套</w:t>
            </w:r>
            <w:r>
              <w:rPr>
                <w:rFonts w:ascii="微软雅黑" w:hAnsi="微软雅黑" w:cs="宋体"/>
                <w:color w:val="auto"/>
                <w:szCs w:val="21"/>
                <w:highlight w:val="none"/>
              </w:rPr>
              <w:t>智能</w:t>
            </w:r>
            <w:r>
              <w:rPr>
                <w:rFonts w:hint="eastAsia" w:ascii="微软雅黑" w:hAnsi="微软雅黑" w:cs="宋体"/>
                <w:color w:val="auto"/>
                <w:szCs w:val="21"/>
                <w:highlight w:val="none"/>
              </w:rPr>
              <w:t>实验学习与实验授课</w:t>
            </w:r>
            <w:r>
              <w:rPr>
                <w:rFonts w:ascii="微软雅黑" w:hAnsi="微软雅黑" w:cs="宋体"/>
                <w:color w:val="auto"/>
                <w:szCs w:val="21"/>
                <w:highlight w:val="none"/>
              </w:rPr>
              <w:t>软件</w:t>
            </w:r>
            <w:r>
              <w:rPr>
                <w:rFonts w:hint="eastAsia" w:ascii="微软雅黑" w:hAnsi="微软雅黑" w:cs="宋体"/>
                <w:color w:val="auto"/>
                <w:szCs w:val="21"/>
                <w:highlight w:val="none"/>
              </w:rPr>
              <w:t>，学生端通过实验学习系统可以进行实验讲义学习、实验装置学习、</w:t>
            </w:r>
            <w:r>
              <w:rPr>
                <w:rFonts w:ascii="微软雅黑" w:hAnsi="微软雅黑" w:cs="宋体"/>
                <w:color w:val="auto"/>
                <w:szCs w:val="21"/>
                <w:highlight w:val="none"/>
              </w:rPr>
              <w:t>装置介绍</w:t>
            </w:r>
            <w:r>
              <w:rPr>
                <w:rFonts w:hint="eastAsia" w:ascii="微软雅黑" w:hAnsi="微软雅黑" w:cs="宋体"/>
                <w:color w:val="auto"/>
                <w:szCs w:val="21"/>
                <w:highlight w:val="none"/>
              </w:rPr>
              <w:t>微课学习、仿真操作练习，实现实验前的预习及课后复习，并能够记录学习过程，</w:t>
            </w:r>
            <w:r>
              <w:rPr>
                <w:rFonts w:ascii="微软雅黑" w:hAnsi="微软雅黑" w:cs="宋体"/>
                <w:color w:val="auto"/>
                <w:szCs w:val="21"/>
                <w:highlight w:val="none"/>
              </w:rPr>
              <w:t>智能</w:t>
            </w:r>
            <w:r>
              <w:rPr>
                <w:rFonts w:hint="eastAsia" w:ascii="微软雅黑" w:hAnsi="微软雅黑" w:cs="宋体"/>
                <w:color w:val="auto"/>
                <w:szCs w:val="21"/>
                <w:highlight w:val="none"/>
              </w:rPr>
              <w:t>自动评分。教师端通过智能实验授课</w:t>
            </w:r>
            <w:r>
              <w:rPr>
                <w:rFonts w:ascii="微软雅黑" w:hAnsi="微软雅黑" w:cs="宋体"/>
                <w:color w:val="auto"/>
                <w:szCs w:val="21"/>
                <w:highlight w:val="none"/>
              </w:rPr>
              <w:t>软件</w:t>
            </w:r>
            <w:r>
              <w:rPr>
                <w:rFonts w:hint="eastAsia" w:ascii="微软雅黑" w:hAnsi="微软雅黑" w:cs="宋体"/>
                <w:color w:val="auto"/>
                <w:szCs w:val="21"/>
                <w:highlight w:val="none"/>
              </w:rPr>
              <w:t>，支持通过现场大屏调用多种数字资源进行实验授课，监控学生操作状态、装置运行状态，可以存储及导出每个人的操作记录、实验数据；实验授课</w:t>
            </w:r>
            <w:r>
              <w:rPr>
                <w:rFonts w:ascii="微软雅黑" w:hAnsi="微软雅黑" w:cs="宋体"/>
                <w:color w:val="auto"/>
                <w:szCs w:val="21"/>
                <w:highlight w:val="none"/>
              </w:rPr>
              <w:t>软件</w:t>
            </w:r>
            <w:r>
              <w:rPr>
                <w:rFonts w:hint="eastAsia" w:ascii="微软雅黑" w:hAnsi="微软雅黑" w:cs="宋体"/>
                <w:color w:val="auto"/>
                <w:szCs w:val="21"/>
                <w:highlight w:val="none"/>
              </w:rPr>
              <w:t>移动端支持现场学生提问评分、操作评分、行为评分等。</w:t>
            </w:r>
          </w:p>
          <w:p w14:paraId="6DC7B568">
            <w:pPr>
              <w:pStyle w:val="65"/>
              <w:spacing w:after="0" w:line="240" w:lineRule="auto"/>
              <w:ind w:firstLine="0" w:firstLineChars="0"/>
              <w:jc w:val="both"/>
              <w:rPr>
                <w:rFonts w:ascii="微软雅黑" w:hAnsi="微软雅黑"/>
                <w:color w:val="auto"/>
                <w:szCs w:val="21"/>
                <w:highlight w:val="none"/>
              </w:rPr>
            </w:pPr>
            <w:r>
              <w:rPr>
                <w:rFonts w:hint="eastAsia" w:ascii="微软雅黑" w:hAnsi="微软雅黑"/>
                <w:color w:val="auto"/>
                <w:kern w:val="0"/>
                <w:szCs w:val="21"/>
                <w:highlight w:val="none"/>
              </w:rPr>
              <w:t>9.5★</w:t>
            </w:r>
            <w:r>
              <w:rPr>
                <w:rFonts w:hint="eastAsia" w:ascii="微软雅黑" w:hAnsi="微软雅黑" w:cs="宋体"/>
                <w:color w:val="auto"/>
                <w:szCs w:val="21"/>
                <w:highlight w:val="none"/>
              </w:rPr>
              <w:t>配套实验报告生成及评阅</w:t>
            </w:r>
            <w:r>
              <w:rPr>
                <w:rFonts w:ascii="微软雅黑" w:hAnsi="微软雅黑" w:cs="宋体"/>
                <w:color w:val="auto"/>
                <w:szCs w:val="21"/>
                <w:highlight w:val="none"/>
              </w:rPr>
              <w:t>软件</w:t>
            </w:r>
            <w:r>
              <w:rPr>
                <w:rFonts w:hint="eastAsia" w:ascii="微软雅黑" w:hAnsi="微软雅黑" w:cs="宋体"/>
                <w:color w:val="auto"/>
                <w:szCs w:val="21"/>
                <w:highlight w:val="none"/>
              </w:rPr>
              <w:t>，学生端能够根据采集的真实装置的实验数据，生成真实实验的实验报告；也能够根据仿真实验数据，生成仿真实验的实验报告。学生端可对实验数据进行整理，系统保存数据修改记录，可进行追溯。支持学生将手写报告扫描上传；教师端可对报告进行批改、批注和评分。支持电子版实验报告的归档并保存全部电子档案，形成规范教学文档。</w:t>
            </w:r>
          </w:p>
          <w:bookmarkEnd w:id="35"/>
          <w:p w14:paraId="6D12938B">
            <w:pPr>
              <w:spacing w:after="0" w:line="240" w:lineRule="auto"/>
              <w:ind w:firstLine="0" w:firstLineChars="0"/>
              <w:rPr>
                <w:rFonts w:hint="eastAsia" w:ascii="微软雅黑" w:hAnsi="微软雅黑"/>
                <w:b/>
                <w:bCs/>
                <w:color w:val="auto"/>
                <w:szCs w:val="21"/>
                <w:highlight w:val="none"/>
              </w:rPr>
            </w:pPr>
          </w:p>
          <w:p w14:paraId="218756B0">
            <w:pPr>
              <w:spacing w:after="0" w:line="240" w:lineRule="auto"/>
              <w:ind w:firstLine="0" w:firstLineChars="0"/>
              <w:rPr>
                <w:rFonts w:ascii="微软雅黑" w:hAnsi="微软雅黑"/>
                <w:b/>
                <w:bCs/>
                <w:color w:val="auto"/>
                <w:szCs w:val="21"/>
                <w:highlight w:val="none"/>
              </w:rPr>
            </w:pPr>
            <w:r>
              <w:rPr>
                <w:rFonts w:hint="eastAsia" w:ascii="微软雅黑" w:hAnsi="微软雅黑"/>
                <w:b/>
                <w:bCs/>
                <w:color w:val="auto"/>
                <w:szCs w:val="21"/>
                <w:highlight w:val="none"/>
              </w:rPr>
              <w:t>规格参数</w:t>
            </w:r>
          </w:p>
          <w:p w14:paraId="601553CF">
            <w:pPr>
              <w:pStyle w:val="65"/>
              <w:numPr>
                <w:ilvl w:val="0"/>
                <w:numId w:val="15"/>
              </w:numPr>
              <w:spacing w:after="0" w:line="240" w:lineRule="auto"/>
              <w:ind w:left="0" w:firstLine="0" w:firstLineChars="0"/>
              <w:jc w:val="both"/>
              <w:rPr>
                <w:rFonts w:ascii="微软雅黑" w:hAnsi="微软雅黑" w:cs="@汉仪中黑 197"/>
                <w:b/>
                <w:bCs/>
                <w:color w:val="auto"/>
                <w:szCs w:val="21"/>
                <w:highlight w:val="none"/>
              </w:rPr>
            </w:pPr>
            <w:r>
              <w:rPr>
                <w:rFonts w:hint="eastAsia" w:ascii="微软雅黑" w:hAnsi="微软雅黑"/>
                <w:color w:val="auto"/>
                <w:kern w:val="0"/>
                <w:szCs w:val="21"/>
                <w:highlight w:val="none"/>
              </w:rPr>
              <w:t>★</w:t>
            </w:r>
            <w:r>
              <w:rPr>
                <w:rFonts w:hint="eastAsia" w:ascii="微软雅黑" w:hAnsi="微软雅黑" w:cs="宋体"/>
                <w:color w:val="auto"/>
                <w:szCs w:val="21"/>
                <w:highlight w:val="none"/>
              </w:rPr>
              <w:t>设备主体：长</w:t>
            </w:r>
            <w:r>
              <w:rPr>
                <w:rFonts w:hint="eastAsia" w:ascii="微软雅黑" w:hAnsi="微软雅黑"/>
                <w:color w:val="auto"/>
                <w:szCs w:val="21"/>
                <w:highlight w:val="none"/>
              </w:rPr>
              <w:t>*</w:t>
            </w:r>
            <w:r>
              <w:rPr>
                <w:rFonts w:hint="eastAsia" w:ascii="微软雅黑" w:hAnsi="微软雅黑" w:cs="宋体"/>
                <w:color w:val="auto"/>
                <w:szCs w:val="21"/>
                <w:highlight w:val="none"/>
              </w:rPr>
              <w:t>宽</w:t>
            </w:r>
            <w:r>
              <w:rPr>
                <w:rFonts w:hint="eastAsia" w:ascii="微软雅黑" w:hAnsi="微软雅黑"/>
                <w:color w:val="auto"/>
                <w:szCs w:val="21"/>
                <w:highlight w:val="none"/>
              </w:rPr>
              <w:t>*</w:t>
            </w:r>
            <w:r>
              <w:rPr>
                <w:rFonts w:hint="eastAsia" w:ascii="微软雅黑" w:hAnsi="微软雅黑" w:cs="宋体"/>
                <w:color w:val="auto"/>
                <w:szCs w:val="21"/>
                <w:highlight w:val="none"/>
              </w:rPr>
              <w:t>高不小于</w:t>
            </w:r>
            <w:r>
              <w:rPr>
                <w:rFonts w:hint="eastAsia" w:ascii="微软雅黑" w:hAnsi="微软雅黑"/>
                <w:color w:val="auto"/>
                <w:szCs w:val="21"/>
                <w:highlight w:val="none"/>
              </w:rPr>
              <w:t>2</w:t>
            </w:r>
            <w:r>
              <w:rPr>
                <w:rFonts w:ascii="微软雅黑" w:hAnsi="微软雅黑"/>
                <w:color w:val="auto"/>
                <w:szCs w:val="21"/>
                <w:highlight w:val="none"/>
              </w:rPr>
              <w:t>500*500*</w:t>
            </w:r>
            <w:r>
              <w:rPr>
                <w:rFonts w:hint="eastAsia" w:ascii="微软雅黑" w:hAnsi="微软雅黑"/>
                <w:color w:val="auto"/>
                <w:szCs w:val="21"/>
                <w:highlight w:val="none"/>
              </w:rPr>
              <w:t>1</w:t>
            </w:r>
            <w:r>
              <w:rPr>
                <w:rFonts w:ascii="微软雅黑" w:hAnsi="微软雅黑"/>
                <w:color w:val="auto"/>
                <w:szCs w:val="21"/>
                <w:highlight w:val="none"/>
              </w:rPr>
              <w:t>600</w:t>
            </w:r>
            <w:r>
              <w:rPr>
                <w:rFonts w:hint="eastAsia" w:ascii="微软雅黑" w:hAnsi="微软雅黑"/>
                <w:color w:val="auto"/>
                <w:szCs w:val="21"/>
                <w:highlight w:val="none"/>
              </w:rPr>
              <w:t>mm</w:t>
            </w:r>
            <w:r>
              <w:rPr>
                <w:rFonts w:hint="eastAsia" w:ascii="微软雅黑" w:hAnsi="微软雅黑" w:cs="宋体"/>
                <w:color w:val="auto"/>
                <w:szCs w:val="21"/>
                <w:highlight w:val="none"/>
              </w:rPr>
              <w:t>，主体框架采用</w:t>
            </w:r>
            <w:r>
              <w:rPr>
                <w:rFonts w:ascii="微软雅黑" w:hAnsi="微软雅黑" w:cs="@汉仪中黑 197"/>
                <w:color w:val="auto"/>
                <w:szCs w:val="21"/>
                <w:highlight w:val="none"/>
              </w:rPr>
              <w:t>304</w:t>
            </w:r>
            <w:r>
              <w:rPr>
                <w:rFonts w:hint="eastAsia" w:ascii="微软雅黑" w:hAnsi="微软雅黑" w:cs="宋体"/>
                <w:color w:val="auto"/>
                <w:szCs w:val="21"/>
                <w:highlight w:val="none"/>
              </w:rPr>
              <w:t>不锈钢方管，边长、壁厚不小于40mm*40mm*1.5mm，焊接工艺，稳固不松动，带有可移动脚轮。</w:t>
            </w:r>
            <w:r>
              <w:rPr>
                <w:rFonts w:hint="eastAsia" w:ascii="微软雅黑" w:hAnsi="微软雅黑"/>
                <w:b w:val="0"/>
                <w:bCs w:val="0"/>
                <w:color w:val="auto"/>
                <w:szCs w:val="21"/>
                <w:highlight w:val="none"/>
                <w:lang w:eastAsia="zh-CN"/>
              </w:rPr>
              <w:t>【投标文件中提供相关图纸（需标注招标文件要求的尺寸）、照片或效果图，不提供或提供不完整的，本项评审按负偏离处理】</w:t>
            </w:r>
          </w:p>
          <w:p w14:paraId="2D3D1D0B">
            <w:pPr>
              <w:pStyle w:val="65"/>
              <w:numPr>
                <w:ilvl w:val="0"/>
                <w:numId w:val="15"/>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olor w:val="auto"/>
                <w:kern w:val="0"/>
                <w:szCs w:val="21"/>
                <w:highlight w:val="none"/>
              </w:rPr>
              <w:t>★</w:t>
            </w:r>
            <w:r>
              <w:rPr>
                <w:rFonts w:ascii="微软雅黑" w:hAnsi="微软雅黑"/>
                <w:color w:val="auto"/>
                <w:szCs w:val="21"/>
                <w:highlight w:val="none"/>
              </w:rPr>
              <w:t>电控箱</w:t>
            </w:r>
            <w:r>
              <w:rPr>
                <w:rFonts w:hint="eastAsia" w:ascii="微软雅黑" w:hAnsi="微软雅黑" w:cs="宋体"/>
                <w:color w:val="auto"/>
                <w:szCs w:val="21"/>
                <w:highlight w:val="none"/>
              </w:rPr>
              <w:t>：钢板喷塑。其中电气系统隔离设计，控制柜嵌入式安装配触摸屏的工业物联网主机、嵌入式安装数显控制仪表，带有急停按钮。</w:t>
            </w:r>
          </w:p>
          <w:p w14:paraId="1C8FF79B">
            <w:pPr>
              <w:pStyle w:val="65"/>
              <w:numPr>
                <w:ilvl w:val="0"/>
                <w:numId w:val="15"/>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s="宋体"/>
                <w:color w:val="auto"/>
                <w:szCs w:val="21"/>
                <w:highlight w:val="none"/>
              </w:rPr>
              <w:t>冷流体：空气，流量</w:t>
            </w:r>
            <w:r>
              <w:rPr>
                <w:rFonts w:ascii="微软雅黑" w:hAnsi="微软雅黑"/>
                <w:color w:val="auto"/>
                <w:szCs w:val="21"/>
                <w:highlight w:val="none"/>
              </w:rPr>
              <w:t>2-20m³/h</w:t>
            </w:r>
            <w:r>
              <w:rPr>
                <w:rFonts w:hint="eastAsia" w:ascii="微软雅黑" w:hAnsi="微软雅黑" w:cs="宋体"/>
                <w:color w:val="auto"/>
                <w:szCs w:val="21"/>
                <w:highlight w:val="none"/>
              </w:rPr>
              <w:t>，温度：常温。</w:t>
            </w:r>
          </w:p>
          <w:p w14:paraId="5A1AA928">
            <w:pPr>
              <w:pStyle w:val="65"/>
              <w:numPr>
                <w:ilvl w:val="0"/>
                <w:numId w:val="15"/>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s="宋体"/>
                <w:color w:val="auto"/>
                <w:szCs w:val="21"/>
                <w:highlight w:val="none"/>
              </w:rPr>
              <w:t>热流体：蒸汽，压力</w:t>
            </w:r>
            <w:r>
              <w:rPr>
                <w:rFonts w:ascii="微软雅黑" w:hAnsi="微软雅黑"/>
                <w:color w:val="auto"/>
                <w:szCs w:val="21"/>
                <w:highlight w:val="none"/>
              </w:rPr>
              <w:t>1atm~1.5atm</w:t>
            </w:r>
            <w:r>
              <w:rPr>
                <w:rFonts w:hint="eastAsia" w:ascii="微软雅黑" w:hAnsi="微软雅黑" w:cs="宋体"/>
                <w:color w:val="auto"/>
                <w:szCs w:val="21"/>
                <w:highlight w:val="none"/>
              </w:rPr>
              <w:t>，温度：</w:t>
            </w:r>
            <w:r>
              <w:rPr>
                <w:rFonts w:ascii="微软雅黑" w:hAnsi="微软雅黑"/>
                <w:color w:val="auto"/>
                <w:szCs w:val="21"/>
                <w:highlight w:val="none"/>
              </w:rPr>
              <w:t>95~105℃</w:t>
            </w:r>
            <w:r>
              <w:rPr>
                <w:rFonts w:hint="eastAsia" w:ascii="微软雅黑" w:hAnsi="微软雅黑" w:cs="宋体"/>
                <w:color w:val="auto"/>
                <w:szCs w:val="21"/>
                <w:highlight w:val="none"/>
              </w:rPr>
              <w:t>。</w:t>
            </w:r>
          </w:p>
          <w:p w14:paraId="4BD8580B">
            <w:pPr>
              <w:pStyle w:val="65"/>
              <w:numPr>
                <w:ilvl w:val="0"/>
                <w:numId w:val="15"/>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s="宋体"/>
                <w:color w:val="auto"/>
                <w:szCs w:val="21"/>
                <w:highlight w:val="none"/>
              </w:rPr>
              <w:t>普通传热管：雷诺准数</w:t>
            </w:r>
            <w:r>
              <w:rPr>
                <w:rFonts w:ascii="微软雅黑" w:hAnsi="微软雅黑"/>
                <w:color w:val="auto"/>
                <w:szCs w:val="21"/>
                <w:highlight w:val="none"/>
              </w:rPr>
              <w:t>Re</w:t>
            </w:r>
            <w:r>
              <w:rPr>
                <w:rFonts w:hint="eastAsia" w:ascii="微软雅黑" w:hAnsi="微软雅黑" w:cs="宋体"/>
                <w:color w:val="auto"/>
                <w:szCs w:val="21"/>
                <w:highlight w:val="none"/>
              </w:rPr>
              <w:t>：</w:t>
            </w:r>
            <w:r>
              <w:rPr>
                <w:rFonts w:hint="eastAsia" w:ascii="微软雅黑" w:hAnsi="微软雅黑"/>
                <w:color w:val="auto"/>
                <w:szCs w:val="21"/>
                <w:highlight w:val="none"/>
              </w:rPr>
              <w:t>0</w:t>
            </w:r>
            <w:r>
              <w:rPr>
                <w:rFonts w:ascii="微软雅黑" w:hAnsi="微软雅黑"/>
                <w:color w:val="auto"/>
                <w:szCs w:val="21"/>
                <w:highlight w:val="none"/>
              </w:rPr>
              <w:t>-5</w:t>
            </w:r>
            <w:r>
              <w:rPr>
                <w:rFonts w:hint="eastAsia" w:ascii="微软雅黑" w:hAnsi="微软雅黑"/>
                <w:color w:val="auto"/>
                <w:szCs w:val="21"/>
                <w:highlight w:val="none"/>
              </w:rPr>
              <w:t>×</w:t>
            </w:r>
            <w:r>
              <w:rPr>
                <w:rFonts w:ascii="微软雅黑" w:hAnsi="微软雅黑"/>
                <w:color w:val="auto"/>
                <w:szCs w:val="21"/>
                <w:highlight w:val="none"/>
              </w:rPr>
              <w:t>10</w:t>
            </w:r>
            <w:r>
              <w:rPr>
                <w:rFonts w:ascii="微软雅黑" w:hAnsi="微软雅黑"/>
                <w:color w:val="auto"/>
                <w:szCs w:val="21"/>
                <w:highlight w:val="none"/>
                <w:vertAlign w:val="superscript"/>
              </w:rPr>
              <w:t>4</w:t>
            </w:r>
            <w:r>
              <w:rPr>
                <w:rFonts w:hint="eastAsia" w:ascii="微软雅黑" w:hAnsi="微软雅黑" w:cs="宋体"/>
                <w:color w:val="auto"/>
                <w:szCs w:val="21"/>
                <w:highlight w:val="none"/>
              </w:rPr>
              <w:t>、努塞尔准数</w:t>
            </w:r>
            <w:r>
              <w:rPr>
                <w:rFonts w:ascii="微软雅黑" w:hAnsi="微软雅黑"/>
                <w:color w:val="auto"/>
                <w:szCs w:val="21"/>
                <w:highlight w:val="none"/>
              </w:rPr>
              <w:t>Nu</w:t>
            </w:r>
            <w:r>
              <w:rPr>
                <w:rFonts w:hint="eastAsia" w:ascii="微软雅黑" w:hAnsi="微软雅黑" w:cs="宋体"/>
                <w:color w:val="auto"/>
                <w:szCs w:val="21"/>
                <w:highlight w:val="none"/>
              </w:rPr>
              <w:t>：</w:t>
            </w:r>
            <w:r>
              <w:rPr>
                <w:rFonts w:ascii="微软雅黑" w:hAnsi="微软雅黑"/>
                <w:color w:val="auto"/>
                <w:szCs w:val="21"/>
                <w:highlight w:val="none"/>
              </w:rPr>
              <w:t>40-120</w:t>
            </w:r>
            <w:r>
              <w:rPr>
                <w:rFonts w:hint="eastAsia" w:ascii="微软雅黑" w:hAnsi="微软雅黑" w:cs="宋体"/>
                <w:color w:val="auto"/>
                <w:szCs w:val="21"/>
                <w:highlight w:val="none"/>
              </w:rPr>
              <w:t>、普兰德准数</w:t>
            </w:r>
            <w:r>
              <w:rPr>
                <w:rFonts w:ascii="微软雅黑" w:hAnsi="微软雅黑"/>
                <w:color w:val="auto"/>
                <w:szCs w:val="21"/>
                <w:highlight w:val="none"/>
              </w:rPr>
              <w:t>Pr</w:t>
            </w:r>
            <w:r>
              <w:rPr>
                <w:rFonts w:hint="eastAsia" w:ascii="微软雅黑" w:hAnsi="微软雅黑" w:cs="宋体"/>
                <w:color w:val="auto"/>
                <w:szCs w:val="21"/>
                <w:highlight w:val="none"/>
              </w:rPr>
              <w:t>：</w:t>
            </w:r>
            <w:r>
              <w:rPr>
                <w:rFonts w:ascii="微软雅黑" w:hAnsi="微软雅黑"/>
                <w:color w:val="auto"/>
                <w:szCs w:val="21"/>
                <w:highlight w:val="none"/>
              </w:rPr>
              <w:t>0.7</w:t>
            </w:r>
            <w:r>
              <w:rPr>
                <w:rFonts w:hint="eastAsia" w:ascii="微软雅黑" w:hAnsi="微软雅黑" w:cs="宋体"/>
                <w:color w:val="auto"/>
                <w:szCs w:val="21"/>
                <w:highlight w:val="none"/>
              </w:rPr>
              <w:t>、对流传热系数</w:t>
            </w:r>
            <w:r>
              <w:rPr>
                <w:rFonts w:ascii="微软雅黑" w:hAnsi="微软雅黑"/>
                <w:color w:val="auto"/>
                <w:szCs w:val="21"/>
                <w:highlight w:val="none"/>
              </w:rPr>
              <w:t>α</w:t>
            </w:r>
            <w:r>
              <w:rPr>
                <w:rFonts w:hint="eastAsia" w:ascii="微软雅黑" w:hAnsi="微软雅黑" w:cs="宋体"/>
                <w:color w:val="auto"/>
                <w:szCs w:val="21"/>
                <w:highlight w:val="none"/>
              </w:rPr>
              <w:t>：</w:t>
            </w:r>
            <w:r>
              <w:rPr>
                <w:rFonts w:ascii="微软雅黑" w:hAnsi="微软雅黑"/>
                <w:color w:val="auto"/>
                <w:szCs w:val="21"/>
                <w:highlight w:val="none"/>
              </w:rPr>
              <w:t>50-150W/m</w:t>
            </w:r>
            <w:r>
              <w:rPr>
                <w:rFonts w:ascii="微软雅黑" w:hAnsi="微软雅黑"/>
                <w:color w:val="auto"/>
                <w:szCs w:val="21"/>
                <w:highlight w:val="none"/>
                <w:vertAlign w:val="superscript"/>
              </w:rPr>
              <w:t>2</w:t>
            </w:r>
            <w:r>
              <w:rPr>
                <w:rFonts w:ascii="微软雅黑" w:hAnsi="微软雅黑"/>
                <w:color w:val="auto"/>
                <w:szCs w:val="21"/>
                <w:highlight w:val="none"/>
              </w:rPr>
              <w:t>•℃</w:t>
            </w:r>
            <w:r>
              <w:rPr>
                <w:rFonts w:hint="eastAsia" w:ascii="微软雅黑" w:hAnsi="微软雅黑" w:cs="宋体"/>
                <w:color w:val="auto"/>
                <w:szCs w:val="21"/>
                <w:highlight w:val="none"/>
              </w:rPr>
              <w:t>。</w:t>
            </w:r>
          </w:p>
          <w:p w14:paraId="45B68925">
            <w:pPr>
              <w:pStyle w:val="65"/>
              <w:numPr>
                <w:ilvl w:val="0"/>
                <w:numId w:val="15"/>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s="宋体"/>
                <w:color w:val="auto"/>
                <w:szCs w:val="21"/>
                <w:highlight w:val="none"/>
              </w:rPr>
              <w:t>强化传热管：雷诺准数</w:t>
            </w:r>
            <w:r>
              <w:rPr>
                <w:rFonts w:ascii="微软雅黑" w:hAnsi="微软雅黑"/>
                <w:color w:val="auto"/>
                <w:szCs w:val="21"/>
                <w:highlight w:val="none"/>
              </w:rPr>
              <w:t>Re</w:t>
            </w:r>
            <w:r>
              <w:rPr>
                <w:rFonts w:hint="eastAsia" w:ascii="微软雅黑" w:hAnsi="微软雅黑" w:cs="宋体"/>
                <w:color w:val="auto"/>
                <w:szCs w:val="21"/>
                <w:highlight w:val="none"/>
              </w:rPr>
              <w:t>：</w:t>
            </w:r>
            <w:r>
              <w:rPr>
                <w:rFonts w:hint="eastAsia" w:ascii="微软雅黑" w:hAnsi="微软雅黑"/>
                <w:color w:val="auto"/>
                <w:szCs w:val="21"/>
                <w:highlight w:val="none"/>
              </w:rPr>
              <w:t>0</w:t>
            </w:r>
            <w:r>
              <w:rPr>
                <w:rFonts w:ascii="微软雅黑" w:hAnsi="微软雅黑"/>
                <w:color w:val="auto"/>
                <w:szCs w:val="21"/>
                <w:highlight w:val="none"/>
              </w:rPr>
              <w:t>-5</w:t>
            </w:r>
            <w:r>
              <w:rPr>
                <w:rFonts w:hint="eastAsia" w:ascii="微软雅黑" w:hAnsi="微软雅黑"/>
                <w:color w:val="auto"/>
                <w:szCs w:val="21"/>
                <w:highlight w:val="none"/>
              </w:rPr>
              <w:t>×</w:t>
            </w:r>
            <w:r>
              <w:rPr>
                <w:rFonts w:ascii="微软雅黑" w:hAnsi="微软雅黑"/>
                <w:color w:val="auto"/>
                <w:szCs w:val="21"/>
                <w:highlight w:val="none"/>
              </w:rPr>
              <w:t>10</w:t>
            </w:r>
            <w:r>
              <w:rPr>
                <w:rFonts w:ascii="微软雅黑" w:hAnsi="微软雅黑"/>
                <w:color w:val="auto"/>
                <w:szCs w:val="21"/>
                <w:highlight w:val="none"/>
                <w:vertAlign w:val="superscript"/>
              </w:rPr>
              <w:t>4</w:t>
            </w:r>
            <w:r>
              <w:rPr>
                <w:rFonts w:hint="eastAsia" w:ascii="微软雅黑" w:hAnsi="微软雅黑" w:cs="宋体"/>
                <w:color w:val="auto"/>
                <w:szCs w:val="21"/>
                <w:highlight w:val="none"/>
              </w:rPr>
              <w:t>、努塞尔准数</w:t>
            </w:r>
            <w:r>
              <w:rPr>
                <w:rFonts w:ascii="微软雅黑" w:hAnsi="微软雅黑"/>
                <w:color w:val="auto"/>
                <w:szCs w:val="21"/>
                <w:highlight w:val="none"/>
              </w:rPr>
              <w:t>Nu</w:t>
            </w:r>
            <w:r>
              <w:rPr>
                <w:rFonts w:hint="eastAsia" w:ascii="微软雅黑" w:hAnsi="微软雅黑" w:cs="宋体"/>
                <w:color w:val="auto"/>
                <w:szCs w:val="21"/>
                <w:highlight w:val="none"/>
              </w:rPr>
              <w:t>：</w:t>
            </w:r>
            <w:r>
              <w:rPr>
                <w:rFonts w:ascii="微软雅黑" w:hAnsi="微软雅黑"/>
                <w:color w:val="auto"/>
                <w:szCs w:val="21"/>
                <w:highlight w:val="none"/>
              </w:rPr>
              <w:t>40-120</w:t>
            </w:r>
            <w:r>
              <w:rPr>
                <w:rFonts w:hint="eastAsia" w:ascii="微软雅黑" w:hAnsi="微软雅黑" w:cs="宋体"/>
                <w:color w:val="auto"/>
                <w:szCs w:val="21"/>
                <w:highlight w:val="none"/>
              </w:rPr>
              <w:t>、普兰德准数</w:t>
            </w:r>
            <w:r>
              <w:rPr>
                <w:rFonts w:ascii="微软雅黑" w:hAnsi="微软雅黑"/>
                <w:color w:val="auto"/>
                <w:szCs w:val="21"/>
                <w:highlight w:val="none"/>
              </w:rPr>
              <w:t>Pr</w:t>
            </w:r>
            <w:r>
              <w:rPr>
                <w:rFonts w:hint="eastAsia" w:ascii="微软雅黑" w:hAnsi="微软雅黑" w:cs="宋体"/>
                <w:color w:val="auto"/>
                <w:szCs w:val="21"/>
                <w:highlight w:val="none"/>
              </w:rPr>
              <w:t>：</w:t>
            </w:r>
            <w:r>
              <w:rPr>
                <w:rFonts w:ascii="微软雅黑" w:hAnsi="微软雅黑"/>
                <w:color w:val="auto"/>
                <w:szCs w:val="21"/>
                <w:highlight w:val="none"/>
              </w:rPr>
              <w:t>0.7</w:t>
            </w:r>
            <w:r>
              <w:rPr>
                <w:rFonts w:hint="eastAsia" w:ascii="微软雅黑" w:hAnsi="微软雅黑" w:cs="宋体"/>
                <w:color w:val="auto"/>
                <w:szCs w:val="21"/>
                <w:highlight w:val="none"/>
              </w:rPr>
              <w:t>、对流传热系数</w:t>
            </w:r>
            <w:r>
              <w:rPr>
                <w:rFonts w:ascii="微软雅黑" w:hAnsi="微软雅黑"/>
                <w:color w:val="auto"/>
                <w:szCs w:val="21"/>
                <w:highlight w:val="none"/>
              </w:rPr>
              <w:t>α</w:t>
            </w:r>
            <w:r>
              <w:rPr>
                <w:rFonts w:hint="eastAsia" w:ascii="微软雅黑" w:hAnsi="微软雅黑" w:cs="宋体"/>
                <w:color w:val="auto"/>
                <w:szCs w:val="21"/>
                <w:highlight w:val="none"/>
              </w:rPr>
              <w:t>：</w:t>
            </w:r>
            <w:r>
              <w:rPr>
                <w:rFonts w:ascii="微软雅黑" w:hAnsi="微软雅黑"/>
                <w:color w:val="auto"/>
                <w:szCs w:val="21"/>
                <w:highlight w:val="none"/>
              </w:rPr>
              <w:t>100-200W/m</w:t>
            </w:r>
            <w:r>
              <w:rPr>
                <w:rFonts w:ascii="微软雅黑" w:hAnsi="微软雅黑"/>
                <w:color w:val="auto"/>
                <w:szCs w:val="21"/>
                <w:highlight w:val="none"/>
                <w:vertAlign w:val="superscript"/>
              </w:rPr>
              <w:t>2</w:t>
            </w:r>
            <w:r>
              <w:rPr>
                <w:rFonts w:ascii="微软雅黑" w:hAnsi="微软雅黑"/>
                <w:color w:val="auto"/>
                <w:szCs w:val="21"/>
                <w:highlight w:val="none"/>
              </w:rPr>
              <w:t>•℃</w:t>
            </w:r>
            <w:r>
              <w:rPr>
                <w:rFonts w:hint="eastAsia" w:ascii="微软雅黑" w:hAnsi="微软雅黑" w:cs="宋体"/>
                <w:color w:val="auto"/>
                <w:szCs w:val="21"/>
                <w:highlight w:val="none"/>
              </w:rPr>
              <w:t>。强化比：</w:t>
            </w:r>
            <w:r>
              <w:rPr>
                <w:rFonts w:ascii="微软雅黑" w:hAnsi="微软雅黑"/>
                <w:color w:val="auto"/>
                <w:szCs w:val="21"/>
                <w:highlight w:val="none"/>
              </w:rPr>
              <w:t>1.3-2.0</w:t>
            </w:r>
            <w:r>
              <w:rPr>
                <w:rFonts w:hint="eastAsia" w:ascii="微软雅黑" w:hAnsi="微软雅黑" w:cs="宋体"/>
                <w:color w:val="auto"/>
                <w:szCs w:val="21"/>
                <w:highlight w:val="none"/>
              </w:rPr>
              <w:t>。</w:t>
            </w:r>
          </w:p>
          <w:p w14:paraId="06B8208B">
            <w:pPr>
              <w:pStyle w:val="65"/>
              <w:numPr>
                <w:ilvl w:val="0"/>
                <w:numId w:val="15"/>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s="宋体"/>
                <w:color w:val="auto"/>
                <w:szCs w:val="21"/>
                <w:highlight w:val="none"/>
              </w:rPr>
              <w:t>紫铜管规格：长度</w:t>
            </w:r>
            <w:r>
              <w:rPr>
                <w:rFonts w:ascii="微软雅黑" w:hAnsi="微软雅黑" w:cs="宋体"/>
                <w:color w:val="auto"/>
                <w:szCs w:val="21"/>
                <w:highlight w:val="none"/>
              </w:rPr>
              <w:t>不小于</w:t>
            </w:r>
            <w:r>
              <w:rPr>
                <w:rFonts w:ascii="微软雅黑" w:hAnsi="微软雅黑"/>
                <w:color w:val="auto"/>
                <w:szCs w:val="21"/>
                <w:highlight w:val="none"/>
              </w:rPr>
              <w:t>1000mm</w:t>
            </w:r>
            <w:r>
              <w:rPr>
                <w:rFonts w:hint="eastAsia" w:ascii="微软雅黑" w:hAnsi="微软雅黑" w:cs="宋体"/>
                <w:color w:val="auto"/>
                <w:szCs w:val="21"/>
                <w:highlight w:val="none"/>
              </w:rPr>
              <w:t>。</w:t>
            </w:r>
          </w:p>
          <w:p w14:paraId="60C52EA4">
            <w:pPr>
              <w:pStyle w:val="65"/>
              <w:numPr>
                <w:ilvl w:val="0"/>
                <w:numId w:val="15"/>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s="宋体"/>
                <w:color w:val="auto"/>
                <w:szCs w:val="21"/>
                <w:highlight w:val="none"/>
              </w:rPr>
              <w:t>外套玻璃管规格：长度</w:t>
            </w:r>
            <w:r>
              <w:rPr>
                <w:rFonts w:ascii="微软雅黑" w:hAnsi="微软雅黑" w:cs="宋体"/>
                <w:color w:val="auto"/>
                <w:szCs w:val="21"/>
                <w:highlight w:val="none"/>
              </w:rPr>
              <w:t>不小于</w:t>
            </w:r>
            <w:r>
              <w:rPr>
                <w:rFonts w:ascii="微软雅黑" w:hAnsi="微软雅黑"/>
                <w:color w:val="auto"/>
                <w:szCs w:val="21"/>
                <w:highlight w:val="none"/>
              </w:rPr>
              <w:t>1000mm</w:t>
            </w:r>
            <w:r>
              <w:rPr>
                <w:rFonts w:hint="eastAsia" w:ascii="微软雅黑" w:hAnsi="微软雅黑" w:cs="宋体"/>
                <w:color w:val="auto"/>
                <w:szCs w:val="21"/>
                <w:highlight w:val="none"/>
              </w:rPr>
              <w:t>。</w:t>
            </w:r>
          </w:p>
          <w:p w14:paraId="079B219F">
            <w:pPr>
              <w:pStyle w:val="65"/>
              <w:numPr>
                <w:ilvl w:val="0"/>
                <w:numId w:val="15"/>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s="宋体"/>
                <w:color w:val="auto"/>
                <w:szCs w:val="21"/>
                <w:highlight w:val="none"/>
              </w:rPr>
              <w:t>不锈钢防护壳：带有透明视窗，防炸裂、防泄漏、提高安全性，便于观察实验现象。</w:t>
            </w:r>
          </w:p>
          <w:p w14:paraId="656594A5">
            <w:pPr>
              <w:pStyle w:val="65"/>
              <w:numPr>
                <w:ilvl w:val="0"/>
                <w:numId w:val="15"/>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s="宋体"/>
                <w:color w:val="auto"/>
                <w:szCs w:val="21"/>
                <w:highlight w:val="none"/>
              </w:rPr>
              <w:t>漩涡气泵：流量不低于</w:t>
            </w:r>
            <w:r>
              <w:rPr>
                <w:rFonts w:ascii="微软雅黑" w:hAnsi="微软雅黑"/>
                <w:color w:val="auto"/>
                <w:szCs w:val="21"/>
                <w:highlight w:val="none"/>
              </w:rPr>
              <w:t>140m³/h</w:t>
            </w:r>
            <w:r>
              <w:rPr>
                <w:rFonts w:hint="eastAsia" w:ascii="微软雅黑" w:hAnsi="微软雅黑" w:cs="宋体"/>
                <w:color w:val="auto"/>
                <w:szCs w:val="21"/>
                <w:highlight w:val="none"/>
              </w:rPr>
              <w:t>，风压不低于</w:t>
            </w:r>
            <w:r>
              <w:rPr>
                <w:rFonts w:ascii="微软雅黑" w:hAnsi="微软雅黑"/>
                <w:color w:val="auto"/>
                <w:szCs w:val="21"/>
                <w:highlight w:val="none"/>
              </w:rPr>
              <w:t>14kPa</w:t>
            </w:r>
            <w:r>
              <w:rPr>
                <w:rFonts w:hint="eastAsia" w:ascii="微软雅黑" w:hAnsi="微软雅黑" w:cs="宋体"/>
                <w:color w:val="auto"/>
                <w:szCs w:val="21"/>
                <w:highlight w:val="none"/>
              </w:rPr>
              <w:t>。</w:t>
            </w:r>
          </w:p>
          <w:p w14:paraId="05046D83">
            <w:pPr>
              <w:pStyle w:val="65"/>
              <w:numPr>
                <w:ilvl w:val="0"/>
                <w:numId w:val="15"/>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s="宋体"/>
                <w:color w:val="auto"/>
                <w:szCs w:val="21"/>
                <w:highlight w:val="none"/>
              </w:rPr>
              <w:t>蒸汽压力传感器：</w:t>
            </w:r>
            <w:r>
              <w:rPr>
                <w:rFonts w:ascii="微软雅黑" w:hAnsi="微软雅黑"/>
                <w:color w:val="auto"/>
                <w:szCs w:val="21"/>
                <w:highlight w:val="none"/>
              </w:rPr>
              <w:t>0~0.1MPa</w:t>
            </w:r>
            <w:r>
              <w:rPr>
                <w:rFonts w:hint="eastAsia" w:ascii="微软雅黑" w:hAnsi="微软雅黑" w:cs="宋体"/>
                <w:color w:val="auto"/>
                <w:szCs w:val="21"/>
                <w:highlight w:val="none"/>
              </w:rPr>
              <w:t>，</w:t>
            </w:r>
            <w:r>
              <w:rPr>
                <w:rFonts w:ascii="微软雅黑" w:hAnsi="微软雅黑"/>
                <w:color w:val="auto"/>
                <w:szCs w:val="21"/>
                <w:highlight w:val="none"/>
              </w:rPr>
              <w:t>4-20mA</w:t>
            </w:r>
            <w:r>
              <w:rPr>
                <w:rFonts w:hint="eastAsia" w:ascii="微软雅黑" w:hAnsi="微软雅黑" w:cs="宋体"/>
                <w:color w:val="auto"/>
                <w:szCs w:val="21"/>
                <w:highlight w:val="none"/>
              </w:rPr>
              <w:t>输出。</w:t>
            </w:r>
          </w:p>
          <w:p w14:paraId="15E9FFD4">
            <w:pPr>
              <w:pStyle w:val="65"/>
              <w:numPr>
                <w:ilvl w:val="0"/>
                <w:numId w:val="15"/>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s="宋体"/>
                <w:color w:val="auto"/>
                <w:szCs w:val="21"/>
                <w:highlight w:val="none"/>
              </w:rPr>
              <w:t>涡街流量计：</w:t>
            </w:r>
            <w:r>
              <w:rPr>
                <w:rFonts w:ascii="微软雅黑" w:hAnsi="微软雅黑"/>
                <w:color w:val="auto"/>
                <w:szCs w:val="21"/>
                <w:highlight w:val="none"/>
              </w:rPr>
              <w:t>6-30m³/h</w:t>
            </w:r>
            <w:r>
              <w:rPr>
                <w:rFonts w:hint="eastAsia" w:ascii="微软雅黑" w:hAnsi="微软雅黑" w:cs="宋体"/>
                <w:color w:val="auto"/>
                <w:szCs w:val="21"/>
                <w:highlight w:val="none"/>
              </w:rPr>
              <w:t>，</w:t>
            </w:r>
            <w:r>
              <w:rPr>
                <w:rFonts w:ascii="微软雅黑" w:hAnsi="微软雅黑"/>
                <w:color w:val="auto"/>
                <w:szCs w:val="21"/>
                <w:highlight w:val="none"/>
              </w:rPr>
              <w:t>4-20mA</w:t>
            </w:r>
            <w:r>
              <w:rPr>
                <w:rFonts w:hint="eastAsia" w:ascii="微软雅黑" w:hAnsi="微软雅黑" w:cs="宋体"/>
                <w:color w:val="auto"/>
                <w:szCs w:val="21"/>
                <w:highlight w:val="none"/>
              </w:rPr>
              <w:t>输出。</w:t>
            </w:r>
          </w:p>
          <w:p w14:paraId="4D081532">
            <w:pPr>
              <w:pStyle w:val="65"/>
              <w:numPr>
                <w:ilvl w:val="0"/>
                <w:numId w:val="15"/>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s="宋体"/>
                <w:color w:val="auto"/>
                <w:szCs w:val="21"/>
                <w:highlight w:val="none"/>
              </w:rPr>
              <w:t>蒸汽发生器：标准化工业级蒸汽发生器，</w:t>
            </w:r>
            <w:r>
              <w:rPr>
                <w:rFonts w:ascii="微软雅黑" w:hAnsi="微软雅黑"/>
                <w:color w:val="auto"/>
                <w:szCs w:val="21"/>
                <w:highlight w:val="none"/>
              </w:rPr>
              <w:t>0-0.4MPa</w:t>
            </w:r>
            <w:r>
              <w:rPr>
                <w:rFonts w:hint="eastAsia" w:ascii="微软雅黑" w:hAnsi="微软雅黑" w:cs="宋体"/>
                <w:color w:val="auto"/>
                <w:szCs w:val="21"/>
                <w:highlight w:val="none"/>
              </w:rPr>
              <w:t>，蒸汽压力稳定，带有压力仪表、温度仪表、自动控制，带有安全阀。</w:t>
            </w:r>
          </w:p>
          <w:p w14:paraId="4A220D4F">
            <w:pPr>
              <w:pStyle w:val="65"/>
              <w:numPr>
                <w:ilvl w:val="0"/>
                <w:numId w:val="15"/>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s="宋体"/>
                <w:color w:val="auto"/>
                <w:szCs w:val="21"/>
                <w:highlight w:val="none"/>
              </w:rPr>
              <w:t>压差传感器：</w:t>
            </w:r>
            <w:r>
              <w:rPr>
                <w:rFonts w:ascii="微软雅黑" w:hAnsi="微软雅黑"/>
                <w:color w:val="auto"/>
                <w:szCs w:val="21"/>
                <w:highlight w:val="none"/>
              </w:rPr>
              <w:t>0~10 kPa</w:t>
            </w:r>
            <w:r>
              <w:rPr>
                <w:rFonts w:hint="eastAsia" w:ascii="微软雅黑" w:hAnsi="微软雅黑" w:cs="宋体"/>
                <w:color w:val="auto"/>
                <w:szCs w:val="21"/>
                <w:highlight w:val="none"/>
              </w:rPr>
              <w:t>，</w:t>
            </w:r>
            <w:r>
              <w:rPr>
                <w:rFonts w:ascii="微软雅黑" w:hAnsi="微软雅黑"/>
                <w:color w:val="auto"/>
                <w:szCs w:val="21"/>
                <w:highlight w:val="none"/>
              </w:rPr>
              <w:t>4-20mA</w:t>
            </w:r>
            <w:r>
              <w:rPr>
                <w:rFonts w:hint="eastAsia" w:ascii="微软雅黑" w:hAnsi="微软雅黑" w:cs="宋体"/>
                <w:color w:val="auto"/>
                <w:szCs w:val="21"/>
                <w:highlight w:val="none"/>
              </w:rPr>
              <w:t>输出。</w:t>
            </w:r>
          </w:p>
          <w:p w14:paraId="176569FE">
            <w:pPr>
              <w:pStyle w:val="65"/>
              <w:numPr>
                <w:ilvl w:val="0"/>
                <w:numId w:val="15"/>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s="宋体"/>
                <w:color w:val="auto"/>
                <w:szCs w:val="21"/>
                <w:highlight w:val="none"/>
              </w:rPr>
              <w:t>温度传感器：</w:t>
            </w:r>
            <w:r>
              <w:rPr>
                <w:rFonts w:hint="eastAsia" w:ascii="微软雅黑" w:hAnsi="微软雅黑"/>
                <w:color w:val="auto"/>
                <w:szCs w:val="21"/>
                <w:highlight w:val="none"/>
              </w:rPr>
              <w:t>PT100型热电偶</w:t>
            </w:r>
            <w:r>
              <w:rPr>
                <w:rFonts w:hint="eastAsia" w:ascii="微软雅黑" w:hAnsi="微软雅黑" w:cs="宋体"/>
                <w:color w:val="auto"/>
                <w:szCs w:val="21"/>
                <w:highlight w:val="none"/>
              </w:rPr>
              <w:t>，</w:t>
            </w:r>
            <w:r>
              <w:rPr>
                <w:rFonts w:hint="eastAsia" w:ascii="微软雅黑" w:hAnsi="微软雅黑"/>
                <w:color w:val="auto"/>
                <w:szCs w:val="21"/>
                <w:highlight w:val="none"/>
              </w:rPr>
              <w:t>B</w:t>
            </w:r>
            <w:r>
              <w:rPr>
                <w:rFonts w:hint="eastAsia" w:ascii="微软雅黑" w:hAnsi="微软雅黑" w:cs="宋体"/>
                <w:color w:val="auto"/>
                <w:szCs w:val="21"/>
                <w:highlight w:val="none"/>
              </w:rPr>
              <w:t>级精度以上，量程不小于300℃。</w:t>
            </w:r>
          </w:p>
          <w:p w14:paraId="289FE408">
            <w:pPr>
              <w:pStyle w:val="65"/>
              <w:numPr>
                <w:ilvl w:val="0"/>
                <w:numId w:val="15"/>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olor w:val="auto"/>
                <w:kern w:val="0"/>
                <w:szCs w:val="21"/>
                <w:highlight w:val="none"/>
              </w:rPr>
              <w:t>★</w:t>
            </w:r>
            <w:r>
              <w:rPr>
                <w:rFonts w:hint="eastAsia" w:ascii="微软雅黑" w:hAnsi="微软雅黑" w:cs="宋体"/>
                <w:color w:val="auto"/>
                <w:szCs w:val="21"/>
                <w:highlight w:val="none"/>
              </w:rPr>
              <w:t>智能测控数显仪表：</w:t>
            </w:r>
            <w:r>
              <w:rPr>
                <w:rFonts w:ascii="微软雅黑" w:hAnsi="微软雅黑" w:cs="宋体"/>
                <w:color w:val="auto"/>
                <w:szCs w:val="21"/>
                <w:highlight w:val="none"/>
              </w:rPr>
              <w:t>不少于18</w:t>
            </w:r>
            <w:r>
              <w:rPr>
                <w:rFonts w:hint="eastAsia" w:ascii="微软雅黑" w:hAnsi="微软雅黑" w:cs="宋体"/>
                <w:color w:val="auto"/>
                <w:szCs w:val="21"/>
                <w:highlight w:val="none"/>
              </w:rPr>
              <w:t>个，支持测控、数码显示，显示范围0-9999，用于显示和控制温度、流量、功率、重量等数据。</w:t>
            </w:r>
          </w:p>
          <w:p w14:paraId="18FBC792">
            <w:pPr>
              <w:pStyle w:val="65"/>
              <w:numPr>
                <w:ilvl w:val="0"/>
                <w:numId w:val="15"/>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s="宋体"/>
                <w:color w:val="auto"/>
                <w:szCs w:val="21"/>
                <w:highlight w:val="none"/>
              </w:rPr>
              <w:t>管路：管路采用</w:t>
            </w:r>
            <w:r>
              <w:rPr>
                <w:rFonts w:hint="eastAsia" w:ascii="微软雅黑" w:hAnsi="微软雅黑"/>
                <w:color w:val="auto"/>
                <w:szCs w:val="21"/>
                <w:highlight w:val="none"/>
              </w:rPr>
              <w:t>304</w:t>
            </w:r>
            <w:r>
              <w:rPr>
                <w:rFonts w:hint="eastAsia" w:ascii="微软雅黑" w:hAnsi="微软雅黑" w:cs="宋体"/>
                <w:color w:val="auto"/>
                <w:szCs w:val="21"/>
                <w:highlight w:val="none"/>
              </w:rPr>
              <w:t>不锈钢材质，壁厚不小于2mm，接头采用304不锈钢法兰，焊接工艺</w:t>
            </w:r>
            <w:r>
              <w:rPr>
                <w:rFonts w:ascii="微软雅黑" w:hAnsi="微软雅黑"/>
                <w:color w:val="auto"/>
                <w:szCs w:val="21"/>
                <w:highlight w:val="none"/>
              </w:rPr>
              <w:t>。</w:t>
            </w:r>
          </w:p>
          <w:p w14:paraId="0E23FC84">
            <w:pPr>
              <w:pStyle w:val="65"/>
              <w:numPr>
                <w:ilvl w:val="0"/>
                <w:numId w:val="15"/>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s="宋体"/>
                <w:color w:val="auto"/>
                <w:szCs w:val="21"/>
                <w:highlight w:val="none"/>
              </w:rPr>
              <w:t>阀门：1批，304不锈钢材质工业级阀门，规格与管路配套。</w:t>
            </w:r>
          </w:p>
          <w:p w14:paraId="159B0A94">
            <w:pPr>
              <w:pStyle w:val="65"/>
              <w:numPr>
                <w:ilvl w:val="0"/>
                <w:numId w:val="15"/>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olor w:val="auto"/>
                <w:kern w:val="0"/>
                <w:szCs w:val="21"/>
                <w:highlight w:val="none"/>
              </w:rPr>
              <w:t>★</w:t>
            </w:r>
            <w:r>
              <w:rPr>
                <w:rFonts w:hint="eastAsia" w:ascii="微软雅黑" w:hAnsi="微软雅黑" w:cs="宋体"/>
                <w:color w:val="auto"/>
                <w:szCs w:val="21"/>
                <w:highlight w:val="none"/>
              </w:rPr>
              <w:t>一体化触控屏工业物联网主机：嵌入控制柜式安装，触控屏尺寸不低于10.1寸。OS支持Windows10及以上,RAM不小于4G,SSD不小于32G。支持RS232、RJ45、USB3.0、IEEE 802.11 b/g/n通信协议。主机全封闭设计，无风扇金属散热。</w:t>
            </w:r>
            <w:r>
              <w:rPr>
                <w:rFonts w:hint="eastAsia" w:ascii="微软雅黑" w:hAnsi="微软雅黑"/>
                <w:color w:val="auto"/>
                <w:szCs w:val="21"/>
                <w:highlight w:val="none"/>
              </w:rPr>
              <w:t>具备集成物联网系统功能，实现本装置数据采集、上传、测控等通信功能</w:t>
            </w:r>
            <w:r>
              <w:rPr>
                <w:rFonts w:hint="eastAsia" w:ascii="微软雅黑" w:hAnsi="微软雅黑" w:cs="宋体"/>
                <w:color w:val="auto"/>
                <w:szCs w:val="21"/>
                <w:highlight w:val="none"/>
              </w:rPr>
              <w:t>。</w:t>
            </w:r>
          </w:p>
        </w:tc>
        <w:tc>
          <w:tcPr>
            <w:tcW w:w="765" w:type="dxa"/>
            <w:tcBorders>
              <w:top w:val="single" w:color="auto" w:sz="4" w:space="0"/>
              <w:left w:val="single" w:color="auto" w:sz="4" w:space="0"/>
              <w:bottom w:val="single" w:color="auto" w:sz="4" w:space="0"/>
              <w:right w:val="single" w:color="auto" w:sz="4" w:space="0"/>
            </w:tcBorders>
            <w:noWrap/>
            <w:vAlign w:val="center"/>
          </w:tcPr>
          <w:p w14:paraId="77F19333">
            <w:pPr>
              <w:widowControl/>
              <w:spacing w:after="0" w:line="240" w:lineRule="auto"/>
              <w:ind w:firstLine="0" w:firstLineChars="0"/>
              <w:jc w:val="center"/>
              <w:rPr>
                <w:rFonts w:ascii="微软雅黑" w:hAnsi="微软雅黑"/>
                <w:b/>
                <w:bCs/>
                <w:color w:val="auto"/>
                <w:kern w:val="0"/>
                <w:szCs w:val="21"/>
                <w:highlight w:val="none"/>
              </w:rPr>
            </w:pPr>
            <w:r>
              <w:rPr>
                <w:rFonts w:hint="eastAsia" w:ascii="微软雅黑" w:hAnsi="微软雅黑"/>
                <w:color w:val="auto"/>
                <w:szCs w:val="21"/>
                <w:highlight w:val="none"/>
              </w:rPr>
              <w:t>4</w:t>
            </w:r>
          </w:p>
        </w:tc>
        <w:tc>
          <w:tcPr>
            <w:tcW w:w="750" w:type="dxa"/>
            <w:tcBorders>
              <w:top w:val="single" w:color="auto" w:sz="4" w:space="0"/>
              <w:left w:val="nil"/>
              <w:bottom w:val="single" w:color="auto" w:sz="4" w:space="0"/>
              <w:right w:val="single" w:color="auto" w:sz="4" w:space="0"/>
            </w:tcBorders>
            <w:noWrap/>
            <w:vAlign w:val="center"/>
          </w:tcPr>
          <w:p w14:paraId="09A8F7A7">
            <w:pPr>
              <w:widowControl/>
              <w:spacing w:after="0" w:line="240" w:lineRule="auto"/>
              <w:ind w:firstLine="0" w:firstLineChars="0"/>
              <w:jc w:val="center"/>
              <w:rPr>
                <w:rFonts w:ascii="微软雅黑" w:hAnsi="微软雅黑"/>
                <w:color w:val="auto"/>
                <w:kern w:val="0"/>
                <w:szCs w:val="21"/>
                <w:highlight w:val="none"/>
              </w:rPr>
            </w:pPr>
            <w:r>
              <w:rPr>
                <w:rFonts w:hint="eastAsia" w:ascii="微软雅黑" w:hAnsi="微软雅黑"/>
                <w:color w:val="auto"/>
                <w:kern w:val="0"/>
                <w:szCs w:val="21"/>
                <w:highlight w:val="none"/>
              </w:rPr>
              <w:t>套</w:t>
            </w:r>
          </w:p>
        </w:tc>
      </w:tr>
      <w:tr w14:paraId="08244EB3">
        <w:tblPrEx>
          <w:tblCellMar>
            <w:top w:w="0" w:type="dxa"/>
            <w:left w:w="108" w:type="dxa"/>
            <w:bottom w:w="0" w:type="dxa"/>
            <w:right w:w="108" w:type="dxa"/>
          </w:tblCellMar>
        </w:tblPrEx>
        <w:trPr>
          <w:trHeight w:val="280" w:hRule="atLeast"/>
        </w:trPr>
        <w:tc>
          <w:tcPr>
            <w:tcW w:w="421" w:type="dxa"/>
            <w:tcBorders>
              <w:top w:val="single" w:color="auto" w:sz="4" w:space="0"/>
              <w:left w:val="single" w:color="auto" w:sz="4" w:space="0"/>
              <w:bottom w:val="single" w:color="auto" w:sz="4" w:space="0"/>
              <w:right w:val="single" w:color="auto" w:sz="4" w:space="0"/>
            </w:tcBorders>
            <w:noWrap/>
            <w:vAlign w:val="center"/>
          </w:tcPr>
          <w:p w14:paraId="2F08D6DF">
            <w:pPr>
              <w:widowControl/>
              <w:spacing w:after="0" w:line="240" w:lineRule="auto"/>
              <w:ind w:firstLine="0" w:firstLineChars="0"/>
              <w:jc w:val="center"/>
              <w:rPr>
                <w:rFonts w:ascii="微软雅黑" w:hAnsi="微软雅黑"/>
                <w:b/>
                <w:bCs/>
                <w:color w:val="auto"/>
                <w:kern w:val="0"/>
                <w:szCs w:val="21"/>
                <w:highlight w:val="none"/>
              </w:rPr>
            </w:pPr>
            <w:r>
              <w:rPr>
                <w:rFonts w:hint="eastAsia" w:ascii="微软雅黑" w:hAnsi="微软雅黑"/>
                <w:b/>
                <w:bCs/>
                <w:color w:val="auto"/>
                <w:kern w:val="0"/>
                <w:szCs w:val="21"/>
                <w:highlight w:val="none"/>
              </w:rPr>
              <w:t>5</w:t>
            </w:r>
          </w:p>
        </w:tc>
        <w:tc>
          <w:tcPr>
            <w:tcW w:w="1597" w:type="dxa"/>
            <w:tcBorders>
              <w:top w:val="single" w:color="auto" w:sz="4" w:space="0"/>
              <w:left w:val="nil"/>
              <w:bottom w:val="single" w:color="auto" w:sz="4" w:space="0"/>
              <w:right w:val="single" w:color="auto" w:sz="4" w:space="0"/>
            </w:tcBorders>
            <w:noWrap/>
            <w:vAlign w:val="center"/>
          </w:tcPr>
          <w:p w14:paraId="012801CE">
            <w:pPr>
              <w:widowControl/>
              <w:spacing w:after="0" w:line="240" w:lineRule="auto"/>
              <w:ind w:firstLine="0" w:firstLineChars="0"/>
              <w:jc w:val="center"/>
              <w:rPr>
                <w:rFonts w:ascii="微软雅黑" w:hAnsi="微软雅黑"/>
                <w:color w:val="auto"/>
                <w:szCs w:val="21"/>
                <w:highlight w:val="none"/>
              </w:rPr>
            </w:pPr>
            <w:r>
              <w:rPr>
                <w:rFonts w:hint="eastAsia" w:ascii="微软雅黑" w:hAnsi="微软雅黑"/>
                <w:color w:val="auto"/>
                <w:szCs w:val="21"/>
                <w:highlight w:val="none"/>
              </w:rPr>
              <w:t>过滤实验装置</w:t>
            </w:r>
          </w:p>
          <w:p w14:paraId="76D9F8AD">
            <w:pPr>
              <w:widowControl/>
              <w:spacing w:after="0" w:line="240" w:lineRule="auto"/>
              <w:ind w:firstLine="0" w:firstLineChars="0"/>
              <w:jc w:val="center"/>
              <w:rPr>
                <w:rFonts w:ascii="微软雅黑" w:hAnsi="微软雅黑"/>
                <w:b/>
                <w:bCs/>
                <w:color w:val="auto"/>
                <w:kern w:val="0"/>
                <w:szCs w:val="21"/>
                <w:highlight w:val="none"/>
              </w:rPr>
            </w:pPr>
            <w:r>
              <w:rPr>
                <w:rFonts w:hint="eastAsia" w:ascii="微软雅黑" w:hAnsi="微软雅黑"/>
                <w:color w:val="auto"/>
                <w:sz w:val="24"/>
                <w:szCs w:val="24"/>
                <w:highlight w:val="none"/>
              </w:rPr>
              <w:t>（</w:t>
            </w:r>
            <w:r>
              <w:rPr>
                <w:rFonts w:hint="eastAsia" w:ascii="微软雅黑" w:hAnsi="微软雅黑"/>
                <w:b/>
                <w:bCs/>
                <w:color w:val="auto"/>
                <w:sz w:val="24"/>
                <w:szCs w:val="24"/>
                <w:highlight w:val="none"/>
              </w:rPr>
              <w:t>核心产品）</w:t>
            </w:r>
          </w:p>
        </w:tc>
        <w:tc>
          <w:tcPr>
            <w:tcW w:w="10956" w:type="dxa"/>
            <w:tcBorders>
              <w:top w:val="single" w:color="auto" w:sz="4" w:space="0"/>
              <w:left w:val="nil"/>
              <w:bottom w:val="single" w:color="auto" w:sz="4" w:space="0"/>
              <w:right w:val="nil"/>
            </w:tcBorders>
            <w:noWrap/>
            <w:vAlign w:val="center"/>
          </w:tcPr>
          <w:p w14:paraId="2325F192">
            <w:pPr>
              <w:spacing w:after="0" w:line="240" w:lineRule="auto"/>
              <w:ind w:firstLine="0" w:firstLineChars="0"/>
              <w:rPr>
                <w:rFonts w:ascii="微软雅黑" w:hAnsi="微软雅黑"/>
                <w:b/>
                <w:bCs/>
                <w:color w:val="auto"/>
                <w:szCs w:val="21"/>
                <w:highlight w:val="none"/>
              </w:rPr>
            </w:pPr>
            <w:r>
              <w:rPr>
                <w:rFonts w:hint="eastAsia" w:ascii="微软雅黑" w:hAnsi="微软雅黑"/>
                <w:b/>
                <w:bCs/>
                <w:color w:val="auto"/>
                <w:szCs w:val="21"/>
                <w:highlight w:val="none"/>
              </w:rPr>
              <w:t>装置功能</w:t>
            </w:r>
          </w:p>
          <w:p w14:paraId="01B142A3">
            <w:pPr>
              <w:pStyle w:val="65"/>
              <w:numPr>
                <w:ilvl w:val="0"/>
                <w:numId w:val="16"/>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s="宋体"/>
                <w:color w:val="auto"/>
                <w:szCs w:val="21"/>
                <w:highlight w:val="none"/>
              </w:rPr>
              <w:t>具备学习板框压滤机的构造和操作方法。</w:t>
            </w:r>
          </w:p>
          <w:p w14:paraId="08561D77">
            <w:pPr>
              <w:pStyle w:val="65"/>
              <w:numPr>
                <w:ilvl w:val="0"/>
                <w:numId w:val="16"/>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s="宋体"/>
                <w:color w:val="auto"/>
                <w:szCs w:val="21"/>
                <w:highlight w:val="none"/>
              </w:rPr>
              <w:t>具备板框压滤机的组装功能。</w:t>
            </w:r>
          </w:p>
          <w:p w14:paraId="6AB52530">
            <w:pPr>
              <w:pStyle w:val="65"/>
              <w:numPr>
                <w:ilvl w:val="0"/>
                <w:numId w:val="16"/>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s="宋体"/>
                <w:color w:val="auto"/>
                <w:szCs w:val="21"/>
                <w:highlight w:val="none"/>
              </w:rPr>
              <w:t>具备通过恒压过滤实验验证过滤基本原理功能。</w:t>
            </w:r>
          </w:p>
          <w:p w14:paraId="426093CB">
            <w:pPr>
              <w:pStyle w:val="65"/>
              <w:numPr>
                <w:ilvl w:val="0"/>
                <w:numId w:val="16"/>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s="宋体"/>
                <w:color w:val="auto"/>
                <w:szCs w:val="21"/>
                <w:highlight w:val="none"/>
              </w:rPr>
              <w:t>具备测定过滤常数</w:t>
            </w:r>
            <w:r>
              <w:rPr>
                <w:rFonts w:ascii="微软雅黑" w:hAnsi="微软雅黑"/>
                <w:color w:val="auto"/>
                <w:szCs w:val="21"/>
                <w:highlight w:val="none"/>
              </w:rPr>
              <w:t>K</w:t>
            </w:r>
            <w:r>
              <w:rPr>
                <w:rFonts w:hint="eastAsia" w:ascii="微软雅黑" w:hAnsi="微软雅黑" w:cs="宋体"/>
                <w:color w:val="auto"/>
                <w:szCs w:val="21"/>
                <w:highlight w:val="none"/>
              </w:rPr>
              <w:t>、</w:t>
            </w:r>
            <w:r>
              <w:rPr>
                <w:rFonts w:ascii="微软雅黑" w:hAnsi="微软雅黑"/>
                <w:color w:val="auto"/>
                <w:szCs w:val="21"/>
                <w:highlight w:val="none"/>
              </w:rPr>
              <w:t>q</w:t>
            </w:r>
            <w:r>
              <w:rPr>
                <w:rFonts w:ascii="微软雅黑" w:hAnsi="微软雅黑"/>
                <w:color w:val="auto"/>
                <w:szCs w:val="21"/>
                <w:highlight w:val="none"/>
                <w:vertAlign w:val="subscript"/>
              </w:rPr>
              <w:t>e</w:t>
            </w:r>
            <w:r>
              <w:rPr>
                <w:rFonts w:hint="eastAsia" w:ascii="微软雅黑" w:hAnsi="微软雅黑" w:cs="宋体"/>
                <w:color w:val="auto"/>
                <w:szCs w:val="21"/>
                <w:highlight w:val="none"/>
              </w:rPr>
              <w:t>、</w:t>
            </w:r>
            <w:r>
              <w:rPr>
                <w:rFonts w:ascii="微软雅黑" w:hAnsi="微软雅黑"/>
                <w:color w:val="auto"/>
                <w:szCs w:val="21"/>
                <w:highlight w:val="none"/>
              </w:rPr>
              <w:t>τ</w:t>
            </w:r>
            <w:r>
              <w:rPr>
                <w:rFonts w:ascii="微软雅黑" w:hAnsi="微软雅黑"/>
                <w:color w:val="auto"/>
                <w:szCs w:val="21"/>
                <w:highlight w:val="none"/>
                <w:vertAlign w:val="subscript"/>
              </w:rPr>
              <w:t>e</w:t>
            </w:r>
            <w:r>
              <w:rPr>
                <w:rFonts w:hint="eastAsia" w:ascii="微软雅黑" w:hAnsi="微软雅黑" w:cs="宋体"/>
                <w:color w:val="auto"/>
                <w:szCs w:val="21"/>
                <w:highlight w:val="none"/>
              </w:rPr>
              <w:t>及压缩性指数</w:t>
            </w:r>
            <w:r>
              <w:rPr>
                <w:rFonts w:ascii="微软雅黑" w:hAnsi="微软雅黑"/>
                <w:color w:val="auto"/>
                <w:szCs w:val="21"/>
                <w:highlight w:val="none"/>
              </w:rPr>
              <w:t>s</w:t>
            </w:r>
            <w:r>
              <w:rPr>
                <w:rFonts w:hint="eastAsia" w:ascii="微软雅黑" w:hAnsi="微软雅黑"/>
                <w:color w:val="auto"/>
                <w:szCs w:val="21"/>
                <w:highlight w:val="none"/>
              </w:rPr>
              <w:t>功能</w:t>
            </w:r>
            <w:r>
              <w:rPr>
                <w:rFonts w:hint="eastAsia" w:ascii="微软雅黑" w:hAnsi="微软雅黑" w:cs="宋体"/>
                <w:color w:val="auto"/>
                <w:szCs w:val="21"/>
                <w:highlight w:val="none"/>
              </w:rPr>
              <w:t>。</w:t>
            </w:r>
          </w:p>
          <w:p w14:paraId="0E12BCD9">
            <w:pPr>
              <w:pStyle w:val="65"/>
              <w:numPr>
                <w:ilvl w:val="0"/>
                <w:numId w:val="16"/>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s="宋体"/>
                <w:color w:val="auto"/>
                <w:szCs w:val="21"/>
                <w:highlight w:val="none"/>
              </w:rPr>
              <w:t>具备验证操作压力对过滤速率的影响功能。</w:t>
            </w:r>
          </w:p>
          <w:p w14:paraId="7FE38C19">
            <w:pPr>
              <w:pStyle w:val="65"/>
              <w:numPr>
                <w:ilvl w:val="0"/>
                <w:numId w:val="16"/>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s="宋体"/>
                <w:color w:val="auto"/>
                <w:szCs w:val="21"/>
                <w:highlight w:val="none"/>
              </w:rPr>
              <w:t>具备进行滤饼洗涤操作功能。</w:t>
            </w:r>
          </w:p>
          <w:p w14:paraId="57828EEC">
            <w:pPr>
              <w:pStyle w:val="65"/>
              <w:numPr>
                <w:ilvl w:val="0"/>
                <w:numId w:val="16"/>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s="宋体"/>
                <w:color w:val="auto"/>
                <w:szCs w:val="21"/>
                <w:highlight w:val="none"/>
              </w:rPr>
              <w:t>具备恒压定值调节阀的调节功能。</w:t>
            </w:r>
          </w:p>
          <w:p w14:paraId="46B1C6AE">
            <w:pPr>
              <w:pStyle w:val="65"/>
              <w:numPr>
                <w:ilvl w:val="0"/>
                <w:numId w:val="16"/>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s="宋体"/>
                <w:color w:val="auto"/>
                <w:szCs w:val="21"/>
                <w:highlight w:val="none"/>
              </w:rPr>
              <w:t>具备在线实时测量滤液量体积的变化并采集数据功能。</w:t>
            </w:r>
          </w:p>
          <w:p w14:paraId="2D1FDDF9">
            <w:pPr>
              <w:pStyle w:val="65"/>
              <w:numPr>
                <w:ilvl w:val="0"/>
                <w:numId w:val="16"/>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olor w:val="auto"/>
                <w:kern w:val="0"/>
                <w:szCs w:val="21"/>
                <w:highlight w:val="none"/>
              </w:rPr>
              <w:t>配套仿真教学平台，平台具备以下功能：</w:t>
            </w:r>
          </w:p>
          <w:p w14:paraId="3A936E5A">
            <w:pPr>
              <w:pStyle w:val="65"/>
              <w:spacing w:after="0" w:line="240" w:lineRule="auto"/>
              <w:ind w:firstLine="0" w:firstLineChars="0"/>
              <w:jc w:val="both"/>
              <w:rPr>
                <w:rFonts w:ascii="微软雅黑" w:hAnsi="微软雅黑"/>
                <w:color w:val="auto"/>
                <w:szCs w:val="21"/>
                <w:highlight w:val="none"/>
              </w:rPr>
            </w:pPr>
            <w:r>
              <w:rPr>
                <w:rFonts w:hint="eastAsia" w:ascii="微软雅黑" w:hAnsi="微软雅黑"/>
                <w:color w:val="auto"/>
                <w:kern w:val="0"/>
                <w:szCs w:val="21"/>
                <w:highlight w:val="none"/>
              </w:rPr>
              <w:t>9.1★</w:t>
            </w:r>
            <w:r>
              <w:rPr>
                <w:rFonts w:hint="eastAsia" w:ascii="微软雅黑" w:hAnsi="微软雅黑"/>
                <w:color w:val="auto"/>
                <w:szCs w:val="21"/>
                <w:highlight w:val="none"/>
              </w:rPr>
              <w:t>（1）为学生端配套本实验虚拟仿真系统，可以进行实验装置结构学习、实验操作练习与操作考核，要求仿真装置与本实验真实装置结构相同、操作一致；仿真操作具备通过后台严格数学模型算法计算出仿真实验数据功能。（2）为教师端配套仿真实验教学平台，实现仿真实验教学管理功能，包括学生管理、考试管理、成绩管理等功能</w:t>
            </w:r>
            <w:r>
              <w:rPr>
                <w:rFonts w:hint="eastAsia" w:ascii="微软雅黑" w:hAnsi="微软雅黑" w:cs="宋体"/>
                <w:color w:val="auto"/>
                <w:szCs w:val="21"/>
                <w:highlight w:val="none"/>
              </w:rPr>
              <w:t>。（演示内容）</w:t>
            </w:r>
          </w:p>
          <w:p w14:paraId="44FD44D1">
            <w:pPr>
              <w:pStyle w:val="65"/>
              <w:spacing w:after="0" w:line="240" w:lineRule="auto"/>
              <w:ind w:firstLine="0" w:firstLineChars="0"/>
              <w:jc w:val="both"/>
              <w:rPr>
                <w:rFonts w:ascii="微软雅黑" w:hAnsi="微软雅黑"/>
                <w:b/>
                <w:bCs/>
                <w:color w:val="auto"/>
                <w:szCs w:val="21"/>
                <w:highlight w:val="none"/>
              </w:rPr>
            </w:pPr>
            <w:r>
              <w:rPr>
                <w:rFonts w:hint="eastAsia" w:ascii="微软雅黑" w:hAnsi="微软雅黑"/>
                <w:color w:val="auto"/>
                <w:kern w:val="0"/>
                <w:szCs w:val="21"/>
                <w:highlight w:val="none"/>
              </w:rPr>
              <w:t>9.2★为教师、学生</w:t>
            </w:r>
            <w:r>
              <w:rPr>
                <w:rFonts w:hint="eastAsia" w:ascii="微软雅黑" w:hAnsi="微软雅黑" w:cs="宋体"/>
                <w:color w:val="auto"/>
                <w:szCs w:val="21"/>
                <w:highlight w:val="none"/>
              </w:rPr>
              <w:t>配套本实验装置介绍微课，讲解实验装置结构。</w:t>
            </w:r>
            <w:r>
              <w:rPr>
                <w:rFonts w:hint="eastAsia" w:ascii="微软雅黑" w:hAnsi="微软雅黑" w:cs="宋体"/>
                <w:b/>
                <w:bCs/>
                <w:color w:val="auto"/>
                <w:szCs w:val="21"/>
                <w:highlight w:val="none"/>
              </w:rPr>
              <w:t>（演示内容）</w:t>
            </w:r>
          </w:p>
          <w:p w14:paraId="4345E2C3">
            <w:pPr>
              <w:pStyle w:val="65"/>
              <w:spacing w:after="0" w:line="240" w:lineRule="auto"/>
              <w:ind w:firstLine="0" w:firstLineChars="0"/>
              <w:jc w:val="both"/>
              <w:rPr>
                <w:rFonts w:ascii="微软雅黑" w:hAnsi="微软雅黑"/>
                <w:color w:val="auto"/>
                <w:szCs w:val="21"/>
                <w:highlight w:val="none"/>
              </w:rPr>
            </w:pPr>
            <w:r>
              <w:rPr>
                <w:rFonts w:hint="eastAsia" w:ascii="微软雅黑" w:hAnsi="微软雅黑"/>
                <w:color w:val="auto"/>
                <w:kern w:val="0"/>
                <w:szCs w:val="21"/>
                <w:highlight w:val="none"/>
              </w:rPr>
              <w:t>9.3★设备端</w:t>
            </w:r>
            <w:r>
              <w:rPr>
                <w:rFonts w:hint="eastAsia" w:ascii="微软雅黑" w:hAnsi="微软雅黑" w:cs="宋体"/>
                <w:color w:val="auto"/>
                <w:szCs w:val="21"/>
                <w:highlight w:val="none"/>
              </w:rPr>
              <w:t>配套</w:t>
            </w:r>
            <w:r>
              <w:rPr>
                <w:rFonts w:ascii="微软雅黑" w:hAnsi="微软雅黑" w:cs="宋体"/>
                <w:color w:val="auto"/>
                <w:szCs w:val="21"/>
                <w:highlight w:val="none"/>
              </w:rPr>
              <w:t>数据采集及测控软件</w:t>
            </w:r>
            <w:r>
              <w:rPr>
                <w:rFonts w:hint="eastAsia" w:ascii="微软雅黑" w:hAnsi="微软雅黑" w:cs="宋体"/>
                <w:color w:val="auto"/>
                <w:szCs w:val="21"/>
                <w:highlight w:val="none"/>
              </w:rPr>
              <w:t>，可以实现实验数据及设备状态实时在线采集、显示、数据变化曲线显示，实现装置运行控制、数据导出与处理等功能；并且可将数据实时上传至</w:t>
            </w:r>
            <w:r>
              <w:rPr>
                <w:rFonts w:ascii="微软雅黑" w:hAnsi="微软雅黑" w:cs="宋体"/>
                <w:color w:val="auto"/>
                <w:szCs w:val="21"/>
                <w:highlight w:val="none"/>
              </w:rPr>
              <w:t>在线的</w:t>
            </w:r>
            <w:r>
              <w:rPr>
                <w:rFonts w:hint="eastAsia" w:ascii="微软雅黑" w:hAnsi="微软雅黑" w:cs="宋体"/>
                <w:color w:val="auto"/>
                <w:szCs w:val="21"/>
                <w:highlight w:val="none"/>
              </w:rPr>
              <w:t>实验学习</w:t>
            </w:r>
            <w:r>
              <w:rPr>
                <w:rFonts w:ascii="微软雅黑" w:hAnsi="微软雅黑" w:cs="宋体"/>
                <w:color w:val="auto"/>
                <w:szCs w:val="21"/>
                <w:highlight w:val="none"/>
              </w:rPr>
              <w:t>平台</w:t>
            </w:r>
            <w:r>
              <w:rPr>
                <w:rFonts w:hint="eastAsia" w:ascii="微软雅黑" w:hAnsi="微软雅黑" w:cs="宋体"/>
                <w:color w:val="auto"/>
                <w:szCs w:val="21"/>
                <w:highlight w:val="none"/>
              </w:rPr>
              <w:t>，教师和学生可以远程实时在线或后期离线查看实验数据以及数据处理结果，便于监控设备运行，了解实验操作状况。（演示内容）</w:t>
            </w:r>
          </w:p>
          <w:p w14:paraId="6B192EB3">
            <w:pPr>
              <w:pStyle w:val="65"/>
              <w:spacing w:after="0" w:line="240" w:lineRule="auto"/>
              <w:ind w:firstLine="0" w:firstLineChars="0"/>
              <w:jc w:val="both"/>
              <w:rPr>
                <w:rFonts w:ascii="微软雅黑" w:hAnsi="微软雅黑"/>
                <w:color w:val="auto"/>
                <w:szCs w:val="21"/>
                <w:highlight w:val="none"/>
              </w:rPr>
            </w:pPr>
            <w:r>
              <w:rPr>
                <w:rFonts w:hint="eastAsia" w:ascii="微软雅黑" w:hAnsi="微软雅黑"/>
                <w:color w:val="auto"/>
                <w:kern w:val="0"/>
                <w:szCs w:val="21"/>
                <w:highlight w:val="none"/>
              </w:rPr>
              <w:t>9.4★</w:t>
            </w:r>
            <w:r>
              <w:rPr>
                <w:rFonts w:hint="eastAsia" w:ascii="微软雅黑" w:hAnsi="微软雅黑" w:cs="宋体"/>
                <w:color w:val="auto"/>
                <w:szCs w:val="21"/>
                <w:highlight w:val="none"/>
              </w:rPr>
              <w:t>配套</w:t>
            </w:r>
            <w:r>
              <w:rPr>
                <w:rFonts w:ascii="微软雅黑" w:hAnsi="微软雅黑" w:cs="宋体"/>
                <w:color w:val="auto"/>
                <w:szCs w:val="21"/>
                <w:highlight w:val="none"/>
              </w:rPr>
              <w:t>智能</w:t>
            </w:r>
            <w:r>
              <w:rPr>
                <w:rFonts w:hint="eastAsia" w:ascii="微软雅黑" w:hAnsi="微软雅黑" w:cs="宋体"/>
                <w:color w:val="auto"/>
                <w:szCs w:val="21"/>
                <w:highlight w:val="none"/>
              </w:rPr>
              <w:t>实验学习与实验授课</w:t>
            </w:r>
            <w:r>
              <w:rPr>
                <w:rFonts w:ascii="微软雅黑" w:hAnsi="微软雅黑" w:cs="宋体"/>
                <w:color w:val="auto"/>
                <w:szCs w:val="21"/>
                <w:highlight w:val="none"/>
              </w:rPr>
              <w:t>软件</w:t>
            </w:r>
            <w:r>
              <w:rPr>
                <w:rFonts w:hint="eastAsia" w:ascii="微软雅黑" w:hAnsi="微软雅黑" w:cs="宋体"/>
                <w:color w:val="auto"/>
                <w:szCs w:val="21"/>
                <w:highlight w:val="none"/>
              </w:rPr>
              <w:t>，学生端通过实验学习系统可以进行实验讲义学习、实验装置学习、</w:t>
            </w:r>
            <w:r>
              <w:rPr>
                <w:rFonts w:ascii="微软雅黑" w:hAnsi="微软雅黑" w:cs="宋体"/>
                <w:color w:val="auto"/>
                <w:szCs w:val="21"/>
                <w:highlight w:val="none"/>
              </w:rPr>
              <w:t>装置介绍</w:t>
            </w:r>
            <w:r>
              <w:rPr>
                <w:rFonts w:hint="eastAsia" w:ascii="微软雅黑" w:hAnsi="微软雅黑" w:cs="宋体"/>
                <w:color w:val="auto"/>
                <w:szCs w:val="21"/>
                <w:highlight w:val="none"/>
              </w:rPr>
              <w:t>微课学习、仿真操作练习，实现实验前的预习及课后复习，并能够记录学习过程，</w:t>
            </w:r>
            <w:r>
              <w:rPr>
                <w:rFonts w:ascii="微软雅黑" w:hAnsi="微软雅黑" w:cs="宋体"/>
                <w:color w:val="auto"/>
                <w:szCs w:val="21"/>
                <w:highlight w:val="none"/>
              </w:rPr>
              <w:t>智能</w:t>
            </w:r>
            <w:r>
              <w:rPr>
                <w:rFonts w:hint="eastAsia" w:ascii="微软雅黑" w:hAnsi="微软雅黑" w:cs="宋体"/>
                <w:color w:val="auto"/>
                <w:szCs w:val="21"/>
                <w:highlight w:val="none"/>
              </w:rPr>
              <w:t>自动评分。教师端通过智能实验授课</w:t>
            </w:r>
            <w:r>
              <w:rPr>
                <w:rFonts w:ascii="微软雅黑" w:hAnsi="微软雅黑" w:cs="宋体"/>
                <w:color w:val="auto"/>
                <w:szCs w:val="21"/>
                <w:highlight w:val="none"/>
              </w:rPr>
              <w:t>软件</w:t>
            </w:r>
            <w:r>
              <w:rPr>
                <w:rFonts w:hint="eastAsia" w:ascii="微软雅黑" w:hAnsi="微软雅黑" w:cs="宋体"/>
                <w:color w:val="auto"/>
                <w:szCs w:val="21"/>
                <w:highlight w:val="none"/>
              </w:rPr>
              <w:t>，支持通过现场大屏调用多种数字资源进行实验授课，监控学生操作状态、装置运行状态，可以存储及导出每个人的操作记录、实验数据；实验授课</w:t>
            </w:r>
            <w:r>
              <w:rPr>
                <w:rFonts w:ascii="微软雅黑" w:hAnsi="微软雅黑" w:cs="宋体"/>
                <w:color w:val="auto"/>
                <w:szCs w:val="21"/>
                <w:highlight w:val="none"/>
              </w:rPr>
              <w:t>软件</w:t>
            </w:r>
            <w:r>
              <w:rPr>
                <w:rFonts w:hint="eastAsia" w:ascii="微软雅黑" w:hAnsi="微软雅黑" w:cs="宋体"/>
                <w:color w:val="auto"/>
                <w:szCs w:val="21"/>
                <w:highlight w:val="none"/>
              </w:rPr>
              <w:t>移动端支持现场学生提问评分、操作评分、行为评分等。（演示内容）</w:t>
            </w:r>
          </w:p>
          <w:p w14:paraId="4E97F5D9">
            <w:pPr>
              <w:spacing w:after="0" w:line="240" w:lineRule="auto"/>
              <w:ind w:firstLine="0" w:firstLineChars="0"/>
              <w:rPr>
                <w:rFonts w:hint="eastAsia" w:ascii="微软雅黑" w:hAnsi="微软雅黑"/>
                <w:b/>
                <w:bCs/>
                <w:color w:val="auto"/>
                <w:szCs w:val="21"/>
                <w:highlight w:val="none"/>
              </w:rPr>
            </w:pPr>
          </w:p>
          <w:p w14:paraId="40217D64">
            <w:pPr>
              <w:spacing w:after="0" w:line="240" w:lineRule="auto"/>
              <w:ind w:firstLine="0" w:firstLineChars="0"/>
              <w:rPr>
                <w:rFonts w:ascii="微软雅黑" w:hAnsi="微软雅黑"/>
                <w:b/>
                <w:bCs/>
                <w:color w:val="auto"/>
                <w:szCs w:val="21"/>
                <w:highlight w:val="none"/>
              </w:rPr>
            </w:pPr>
            <w:r>
              <w:rPr>
                <w:rFonts w:hint="eastAsia" w:ascii="微软雅黑" w:hAnsi="微软雅黑"/>
                <w:b/>
                <w:bCs/>
                <w:color w:val="auto"/>
                <w:szCs w:val="21"/>
                <w:highlight w:val="none"/>
              </w:rPr>
              <w:t>规格参数</w:t>
            </w:r>
          </w:p>
          <w:p w14:paraId="5FD4429D">
            <w:pPr>
              <w:numPr>
                <w:ilvl w:val="0"/>
                <w:numId w:val="17"/>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olor w:val="auto"/>
                <w:kern w:val="0"/>
                <w:szCs w:val="21"/>
                <w:highlight w:val="none"/>
              </w:rPr>
              <w:t>★</w:t>
            </w:r>
            <w:r>
              <w:rPr>
                <w:rFonts w:hint="eastAsia" w:ascii="微软雅黑" w:hAnsi="微软雅黑"/>
                <w:color w:val="auto"/>
                <w:szCs w:val="21"/>
                <w:highlight w:val="none"/>
              </w:rPr>
              <w:t>设备主体：长*宽*高不小于1</w:t>
            </w:r>
            <w:r>
              <w:rPr>
                <w:rFonts w:ascii="微软雅黑" w:hAnsi="微软雅黑"/>
                <w:color w:val="auto"/>
                <w:szCs w:val="21"/>
                <w:highlight w:val="none"/>
              </w:rPr>
              <w:t>800*600*1500 mm</w:t>
            </w:r>
            <w:r>
              <w:rPr>
                <w:rFonts w:hint="eastAsia" w:ascii="微软雅黑" w:hAnsi="微软雅黑"/>
                <w:color w:val="auto"/>
                <w:szCs w:val="21"/>
                <w:highlight w:val="none"/>
              </w:rPr>
              <w:t>，主体框架采用</w:t>
            </w:r>
            <w:r>
              <w:rPr>
                <w:rFonts w:ascii="微软雅黑" w:hAnsi="微软雅黑"/>
                <w:color w:val="auto"/>
                <w:szCs w:val="21"/>
                <w:highlight w:val="none"/>
              </w:rPr>
              <w:t>304</w:t>
            </w:r>
            <w:r>
              <w:rPr>
                <w:rFonts w:hint="eastAsia" w:ascii="微软雅黑" w:hAnsi="微软雅黑"/>
                <w:color w:val="auto"/>
                <w:szCs w:val="21"/>
                <w:highlight w:val="none"/>
              </w:rPr>
              <w:t>不锈钢方管，边长、壁厚不小于40mm*40mm*1.5mm，焊接工艺，稳固不松动，带有可移动脚轮。</w:t>
            </w:r>
            <w:r>
              <w:rPr>
                <w:rFonts w:hint="eastAsia" w:ascii="微软雅黑" w:hAnsi="微软雅黑"/>
                <w:color w:val="auto"/>
                <w:szCs w:val="21"/>
                <w:highlight w:val="none"/>
                <w:lang w:eastAsia="zh-CN"/>
              </w:rPr>
              <w:t>【投标文件中提供相关图纸（需标注招标文件要求的尺寸）、照片或效果图，不提供或提供不完整的，本项评审按负偏离处理】</w:t>
            </w:r>
          </w:p>
          <w:p w14:paraId="6D0C6057">
            <w:pPr>
              <w:numPr>
                <w:ilvl w:val="0"/>
                <w:numId w:val="17"/>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olor w:val="auto"/>
                <w:kern w:val="0"/>
                <w:szCs w:val="21"/>
                <w:highlight w:val="none"/>
              </w:rPr>
              <w:t>★</w:t>
            </w:r>
            <w:r>
              <w:rPr>
                <w:rFonts w:ascii="微软雅黑" w:hAnsi="微软雅黑"/>
                <w:color w:val="auto"/>
                <w:szCs w:val="21"/>
                <w:highlight w:val="none"/>
              </w:rPr>
              <w:t>电控箱</w:t>
            </w:r>
            <w:r>
              <w:rPr>
                <w:rFonts w:hint="eastAsia" w:ascii="微软雅黑" w:hAnsi="微软雅黑"/>
                <w:color w:val="auto"/>
                <w:szCs w:val="21"/>
                <w:highlight w:val="none"/>
              </w:rPr>
              <w:t>：钢板</w:t>
            </w:r>
            <w:r>
              <w:rPr>
                <w:rFonts w:ascii="微软雅黑" w:hAnsi="微软雅黑"/>
                <w:color w:val="auto"/>
                <w:szCs w:val="21"/>
                <w:highlight w:val="none"/>
              </w:rPr>
              <w:t>喷塑</w:t>
            </w:r>
            <w:r>
              <w:rPr>
                <w:rFonts w:hint="eastAsia" w:ascii="微软雅黑" w:hAnsi="微软雅黑"/>
                <w:color w:val="auto"/>
                <w:szCs w:val="21"/>
                <w:highlight w:val="none"/>
              </w:rPr>
              <w:t>。其中电气系统隔离设计，控制柜嵌入式安装配触摸屏的工业物联网主机、嵌入式安装数显控制仪表，带有急停按钮。</w:t>
            </w:r>
          </w:p>
          <w:p w14:paraId="0ED8EB9C">
            <w:pPr>
              <w:numPr>
                <w:ilvl w:val="0"/>
                <w:numId w:val="17"/>
              </w:numPr>
              <w:spacing w:after="0" w:line="240" w:lineRule="auto"/>
              <w:ind w:left="0" w:firstLine="0" w:firstLineChars="0"/>
              <w:jc w:val="both"/>
              <w:rPr>
                <w:rFonts w:ascii="微软雅黑" w:hAnsi="微软雅黑"/>
                <w:b/>
                <w:bCs/>
                <w:color w:val="auto"/>
                <w:szCs w:val="21"/>
                <w:highlight w:val="none"/>
              </w:rPr>
            </w:pPr>
            <w:r>
              <w:rPr>
                <w:rFonts w:hint="eastAsia" w:ascii="微软雅黑" w:hAnsi="微软雅黑"/>
                <w:color w:val="auto"/>
                <w:kern w:val="0"/>
                <w:szCs w:val="21"/>
                <w:highlight w:val="none"/>
              </w:rPr>
              <w:t>★</w:t>
            </w:r>
            <w:r>
              <w:rPr>
                <w:rFonts w:hint="eastAsia" w:ascii="微软雅黑" w:hAnsi="微软雅黑"/>
                <w:color w:val="auto"/>
                <w:szCs w:val="21"/>
                <w:highlight w:val="none"/>
              </w:rPr>
              <w:t>滤板滤框：方形滤板滤框，采用304不锈钢材质，按照工业级压滤机滤板滤框外观和结构设计，滤板带有双面纵横交错沟槽设计，不带任</w:t>
            </w:r>
            <w:r>
              <w:rPr>
                <w:rFonts w:ascii="微软雅黑" w:hAnsi="微软雅黑"/>
                <w:color w:val="auto"/>
                <w:szCs w:val="21"/>
                <w:highlight w:val="none"/>
              </w:rPr>
              <w:t>何</w:t>
            </w:r>
            <w:r>
              <w:rPr>
                <w:rFonts w:hint="eastAsia" w:ascii="微软雅黑" w:hAnsi="微软雅黑"/>
                <w:color w:val="auto"/>
                <w:szCs w:val="21"/>
                <w:highlight w:val="none"/>
              </w:rPr>
              <w:t>密封圈，单片厚度不小于2</w:t>
            </w:r>
            <w:r>
              <w:rPr>
                <w:rFonts w:ascii="微软雅黑" w:hAnsi="微软雅黑"/>
                <w:color w:val="auto"/>
                <w:szCs w:val="21"/>
                <w:highlight w:val="none"/>
              </w:rPr>
              <w:t>0</w:t>
            </w:r>
            <w:r>
              <w:rPr>
                <w:rFonts w:hint="eastAsia" w:ascii="微软雅黑" w:hAnsi="微软雅黑"/>
                <w:color w:val="auto"/>
                <w:szCs w:val="21"/>
                <w:highlight w:val="none"/>
              </w:rPr>
              <w:t>mm。</w:t>
            </w:r>
            <w:r>
              <w:rPr>
                <w:rFonts w:hint="eastAsia" w:ascii="微软雅黑" w:hAnsi="微软雅黑" w:cs="宋体"/>
                <w:b/>
                <w:bCs/>
                <w:color w:val="auto"/>
                <w:szCs w:val="21"/>
                <w:highlight w:val="none"/>
              </w:rPr>
              <w:t>（演示内容）</w:t>
            </w:r>
          </w:p>
          <w:p w14:paraId="32D378D8">
            <w:pPr>
              <w:numPr>
                <w:ilvl w:val="0"/>
                <w:numId w:val="17"/>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olor w:val="auto"/>
                <w:kern w:val="0"/>
                <w:szCs w:val="21"/>
                <w:highlight w:val="none"/>
              </w:rPr>
              <w:t>★</w:t>
            </w:r>
            <w:r>
              <w:rPr>
                <w:rFonts w:hint="eastAsia" w:ascii="微软雅黑" w:hAnsi="微软雅黑"/>
                <w:color w:val="auto"/>
                <w:szCs w:val="21"/>
                <w:highlight w:val="none"/>
              </w:rPr>
              <w:t>罐体：配料罐、压力罐、滤液罐、清水罐各</w:t>
            </w:r>
            <w:r>
              <w:rPr>
                <w:rFonts w:ascii="微软雅黑" w:hAnsi="微软雅黑"/>
                <w:color w:val="auto"/>
                <w:szCs w:val="21"/>
                <w:highlight w:val="none"/>
              </w:rPr>
              <w:t>1</w:t>
            </w:r>
            <w:r>
              <w:rPr>
                <w:rFonts w:hint="eastAsia" w:ascii="微软雅黑" w:hAnsi="微软雅黑"/>
                <w:color w:val="auto"/>
                <w:szCs w:val="21"/>
                <w:highlight w:val="none"/>
              </w:rPr>
              <w:t>个，全部采用</w:t>
            </w:r>
            <w:r>
              <w:rPr>
                <w:rFonts w:ascii="微软雅黑" w:hAnsi="微软雅黑"/>
                <w:color w:val="auto"/>
                <w:szCs w:val="21"/>
                <w:highlight w:val="none"/>
              </w:rPr>
              <w:t>304</w:t>
            </w:r>
            <w:r>
              <w:rPr>
                <w:rFonts w:hint="eastAsia" w:ascii="微软雅黑" w:hAnsi="微软雅黑"/>
                <w:color w:val="auto"/>
                <w:szCs w:val="21"/>
                <w:highlight w:val="none"/>
              </w:rPr>
              <w:t>不锈钢，耐磨、耐腐蚀、易清洁。滤液槽带有液位传感器，压力罐带有两个视镜，便于观察压力罐内部现象，带有防爆泄压阀。</w:t>
            </w:r>
          </w:p>
          <w:p w14:paraId="75CFC0A5">
            <w:pPr>
              <w:numPr>
                <w:ilvl w:val="0"/>
                <w:numId w:val="17"/>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olor w:val="auto"/>
                <w:szCs w:val="21"/>
                <w:highlight w:val="none"/>
              </w:rPr>
              <w:t>仪表：电远传压力表：</w:t>
            </w:r>
            <w:r>
              <w:rPr>
                <w:rFonts w:ascii="微软雅黑" w:hAnsi="微软雅黑"/>
                <w:color w:val="auto"/>
                <w:szCs w:val="21"/>
                <w:highlight w:val="none"/>
              </w:rPr>
              <w:t>3</w:t>
            </w:r>
            <w:r>
              <w:rPr>
                <w:rFonts w:hint="eastAsia" w:ascii="微软雅黑" w:hAnsi="微软雅黑"/>
                <w:color w:val="auto"/>
                <w:szCs w:val="21"/>
                <w:highlight w:val="none"/>
              </w:rPr>
              <w:t>个，量程0-1MPa。</w:t>
            </w:r>
          </w:p>
          <w:p w14:paraId="3E1E7367">
            <w:pPr>
              <w:numPr>
                <w:ilvl w:val="0"/>
                <w:numId w:val="17"/>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olor w:val="auto"/>
                <w:szCs w:val="21"/>
                <w:highlight w:val="none"/>
              </w:rPr>
              <w:t>无油静音空气压缩机：</w:t>
            </w:r>
            <w:r>
              <w:rPr>
                <w:rFonts w:ascii="微软雅黑" w:hAnsi="微软雅黑"/>
                <w:color w:val="auto"/>
                <w:szCs w:val="21"/>
                <w:highlight w:val="none"/>
              </w:rPr>
              <w:t>1</w:t>
            </w:r>
            <w:r>
              <w:rPr>
                <w:rFonts w:hint="eastAsia" w:ascii="微软雅黑" w:hAnsi="微软雅黑"/>
                <w:color w:val="auto"/>
                <w:szCs w:val="21"/>
                <w:highlight w:val="none"/>
              </w:rPr>
              <w:t>台。</w:t>
            </w:r>
          </w:p>
          <w:p w14:paraId="313DFAD4">
            <w:pPr>
              <w:numPr>
                <w:ilvl w:val="0"/>
                <w:numId w:val="17"/>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olor w:val="auto"/>
                <w:szCs w:val="21"/>
                <w:highlight w:val="none"/>
              </w:rPr>
              <w:t>稳压阀：</w:t>
            </w:r>
            <w:r>
              <w:rPr>
                <w:rFonts w:ascii="微软雅黑" w:hAnsi="微软雅黑"/>
                <w:color w:val="auto"/>
                <w:szCs w:val="21"/>
                <w:highlight w:val="none"/>
              </w:rPr>
              <w:t>1</w:t>
            </w:r>
            <w:r>
              <w:rPr>
                <w:rFonts w:hint="eastAsia" w:ascii="微软雅黑" w:hAnsi="微软雅黑"/>
                <w:color w:val="auto"/>
                <w:szCs w:val="21"/>
                <w:highlight w:val="none"/>
              </w:rPr>
              <w:t>个。</w:t>
            </w:r>
          </w:p>
          <w:p w14:paraId="31CC6AA3">
            <w:pPr>
              <w:numPr>
                <w:ilvl w:val="0"/>
                <w:numId w:val="17"/>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olor w:val="auto"/>
                <w:szCs w:val="21"/>
                <w:highlight w:val="none"/>
              </w:rPr>
              <w:t>安全阀：</w:t>
            </w:r>
            <w:r>
              <w:rPr>
                <w:rFonts w:ascii="微软雅黑" w:hAnsi="微软雅黑"/>
                <w:color w:val="auto"/>
                <w:szCs w:val="21"/>
                <w:highlight w:val="none"/>
              </w:rPr>
              <w:t>1</w:t>
            </w:r>
            <w:r>
              <w:rPr>
                <w:rFonts w:hint="eastAsia" w:ascii="微软雅黑" w:hAnsi="微软雅黑"/>
                <w:color w:val="auto"/>
                <w:szCs w:val="21"/>
                <w:highlight w:val="none"/>
              </w:rPr>
              <w:t>个。</w:t>
            </w:r>
          </w:p>
          <w:p w14:paraId="0A23BDF8">
            <w:pPr>
              <w:numPr>
                <w:ilvl w:val="0"/>
                <w:numId w:val="17"/>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olor w:val="auto"/>
                <w:kern w:val="0"/>
                <w:szCs w:val="21"/>
                <w:highlight w:val="none"/>
              </w:rPr>
              <w:t>★</w:t>
            </w:r>
            <w:r>
              <w:rPr>
                <w:rFonts w:hint="eastAsia" w:ascii="微软雅黑" w:hAnsi="微软雅黑"/>
                <w:color w:val="auto"/>
                <w:szCs w:val="21"/>
                <w:highlight w:val="none"/>
              </w:rPr>
              <w:t>智能测控数显仪表：</w:t>
            </w:r>
            <w:r>
              <w:rPr>
                <w:rFonts w:ascii="微软雅黑" w:hAnsi="微软雅黑"/>
                <w:color w:val="auto"/>
                <w:szCs w:val="21"/>
                <w:highlight w:val="none"/>
              </w:rPr>
              <w:t>不少于2</w:t>
            </w:r>
            <w:r>
              <w:rPr>
                <w:rFonts w:hint="eastAsia" w:ascii="微软雅黑" w:hAnsi="微软雅黑"/>
                <w:color w:val="auto"/>
                <w:szCs w:val="21"/>
                <w:highlight w:val="none"/>
              </w:rPr>
              <w:t>个，支持测控、数码显示, 显示范围0-9999，用于显示和控制实验压力数据。</w:t>
            </w:r>
          </w:p>
          <w:p w14:paraId="183B82E7">
            <w:pPr>
              <w:numPr>
                <w:ilvl w:val="0"/>
                <w:numId w:val="17"/>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olor w:val="auto"/>
                <w:szCs w:val="21"/>
                <w:highlight w:val="none"/>
              </w:rPr>
              <w:t>管路：管路采用304不锈钢材质，壁厚不小于2mm，接头采用304不锈钢法兰，焊接工艺。</w:t>
            </w:r>
          </w:p>
          <w:p w14:paraId="3E19870C">
            <w:pPr>
              <w:numPr>
                <w:ilvl w:val="0"/>
                <w:numId w:val="17"/>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olor w:val="auto"/>
                <w:szCs w:val="21"/>
                <w:highlight w:val="none"/>
              </w:rPr>
              <w:t>阀门：1批，304不锈钢材质工业级阀门，规格与管路配套。</w:t>
            </w:r>
          </w:p>
          <w:p w14:paraId="745EBADC">
            <w:pPr>
              <w:numPr>
                <w:ilvl w:val="0"/>
                <w:numId w:val="17"/>
              </w:numPr>
              <w:spacing w:after="0" w:line="240" w:lineRule="auto"/>
              <w:ind w:left="0" w:firstLine="0" w:firstLineChars="0"/>
              <w:jc w:val="both"/>
              <w:rPr>
                <w:rFonts w:ascii="微软雅黑" w:hAnsi="微软雅黑"/>
                <w:b/>
                <w:bCs/>
                <w:color w:val="auto"/>
                <w:szCs w:val="21"/>
                <w:highlight w:val="none"/>
              </w:rPr>
            </w:pPr>
            <w:r>
              <w:rPr>
                <w:rFonts w:hint="eastAsia" w:ascii="微软雅黑" w:hAnsi="微软雅黑"/>
                <w:color w:val="auto"/>
                <w:kern w:val="0"/>
                <w:szCs w:val="21"/>
                <w:highlight w:val="none"/>
              </w:rPr>
              <w:t>★</w:t>
            </w:r>
            <w:r>
              <w:rPr>
                <w:rFonts w:hint="eastAsia" w:ascii="微软雅黑" w:hAnsi="微软雅黑"/>
                <w:color w:val="auto"/>
                <w:szCs w:val="21"/>
                <w:highlight w:val="none"/>
              </w:rPr>
              <w:t>一体化触控屏工业物联网主机：嵌入控制柜式安装，触控屏尺寸不低于10.1寸。OS支持Windows10及以上,RAM不小于4G,SSD不小于32G。支持RS232、RJ45、USB3.0、IEEE 802.11 b/g/n通信协议。主机全封闭设计，无风扇金属散热。具备集成物联网系统功能，实现本装置数据采集、上传、测控等通信功能。</w:t>
            </w:r>
            <w:r>
              <w:rPr>
                <w:rFonts w:hint="eastAsia" w:ascii="微软雅黑" w:hAnsi="微软雅黑" w:cs="宋体"/>
                <w:b/>
                <w:bCs/>
                <w:color w:val="auto"/>
                <w:szCs w:val="21"/>
                <w:highlight w:val="none"/>
              </w:rPr>
              <w:t>（演示内容）</w:t>
            </w:r>
          </w:p>
          <w:p w14:paraId="71339283">
            <w:pPr>
              <w:numPr>
                <w:ilvl w:val="0"/>
                <w:numId w:val="17"/>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olor w:val="auto"/>
                <w:szCs w:val="21"/>
                <w:highlight w:val="none"/>
              </w:rPr>
              <w:t>※配备鼓风干燥箱：</w:t>
            </w:r>
            <w:r>
              <w:rPr>
                <w:rFonts w:ascii="微软雅黑" w:hAnsi="微软雅黑"/>
                <w:color w:val="auto"/>
                <w:szCs w:val="21"/>
                <w:highlight w:val="none"/>
              </w:rPr>
              <w:t>1.容积：</w:t>
            </w:r>
            <w:r>
              <w:rPr>
                <w:rFonts w:hint="eastAsia" w:ascii="微软雅黑" w:hAnsi="微软雅黑"/>
                <w:color w:val="auto"/>
                <w:szCs w:val="21"/>
                <w:highlight w:val="none"/>
              </w:rPr>
              <w:t>不小于130</w:t>
            </w:r>
            <w:r>
              <w:rPr>
                <w:rFonts w:ascii="微软雅黑" w:hAnsi="微软雅黑"/>
                <w:color w:val="auto"/>
                <w:szCs w:val="21"/>
                <w:highlight w:val="none"/>
              </w:rPr>
              <w:t xml:space="preserve"> L</w:t>
            </w:r>
            <w:r>
              <w:rPr>
                <w:rFonts w:hint="eastAsia" w:ascii="微软雅黑" w:hAnsi="微软雅黑"/>
                <w:color w:val="auto"/>
                <w:szCs w:val="21"/>
                <w:highlight w:val="none"/>
              </w:rPr>
              <w:t>。</w:t>
            </w:r>
            <w:r>
              <w:rPr>
                <w:rFonts w:ascii="微软雅黑" w:hAnsi="微软雅黑"/>
                <w:color w:val="auto"/>
                <w:szCs w:val="21"/>
                <w:highlight w:val="none"/>
              </w:rPr>
              <w:t>2.</w:t>
            </w:r>
            <w:r>
              <w:rPr>
                <w:rFonts w:hint="eastAsia" w:ascii="微软雅黑" w:hAnsi="微软雅黑"/>
                <w:color w:val="auto"/>
                <w:szCs w:val="21"/>
                <w:highlight w:val="none"/>
              </w:rPr>
              <w:t>控温</w:t>
            </w:r>
            <w:r>
              <w:rPr>
                <w:rFonts w:ascii="微软雅黑" w:hAnsi="微软雅黑"/>
                <w:color w:val="auto"/>
                <w:szCs w:val="21"/>
                <w:highlight w:val="none"/>
              </w:rPr>
              <w:t>范围：</w:t>
            </w:r>
            <w:r>
              <w:rPr>
                <w:rFonts w:hint="eastAsia" w:ascii="微软雅黑" w:hAnsi="微软雅黑"/>
                <w:color w:val="auto"/>
                <w:szCs w:val="21"/>
                <w:highlight w:val="none"/>
              </w:rPr>
              <w:t>R</w:t>
            </w:r>
            <w:r>
              <w:rPr>
                <w:rFonts w:ascii="微软雅黑" w:hAnsi="微软雅黑"/>
                <w:color w:val="auto"/>
                <w:szCs w:val="21"/>
                <w:highlight w:val="none"/>
              </w:rPr>
              <w:t>T+</w:t>
            </w:r>
            <w:r>
              <w:rPr>
                <w:rFonts w:hint="eastAsia" w:ascii="微软雅黑" w:hAnsi="微软雅黑"/>
                <w:color w:val="auto"/>
                <w:szCs w:val="21"/>
                <w:highlight w:val="none"/>
              </w:rPr>
              <w:t>5-</w:t>
            </w:r>
            <w:r>
              <w:rPr>
                <w:rFonts w:ascii="微软雅黑" w:hAnsi="微软雅黑"/>
                <w:color w:val="auto"/>
                <w:szCs w:val="21"/>
                <w:highlight w:val="none"/>
              </w:rPr>
              <w:t>300</w:t>
            </w:r>
            <w:r>
              <w:rPr>
                <w:rFonts w:hint="eastAsia" w:ascii="微软雅黑" w:hAnsi="微软雅黑"/>
                <w:color w:val="auto"/>
                <w:szCs w:val="21"/>
                <w:highlight w:val="none"/>
              </w:rPr>
              <w:t>℃。</w:t>
            </w:r>
            <w:r>
              <w:rPr>
                <w:rFonts w:ascii="微软雅黑" w:hAnsi="微软雅黑"/>
                <w:color w:val="auto"/>
                <w:szCs w:val="21"/>
                <w:highlight w:val="none"/>
              </w:rPr>
              <w:t>3.温度分辨率：</w:t>
            </w:r>
            <w:r>
              <w:rPr>
                <w:rFonts w:hint="eastAsia" w:ascii="微软雅黑" w:hAnsi="微软雅黑"/>
                <w:color w:val="auto"/>
                <w:szCs w:val="21"/>
                <w:highlight w:val="none"/>
              </w:rPr>
              <w:t>±</w:t>
            </w:r>
            <w:r>
              <w:rPr>
                <w:rFonts w:ascii="微软雅黑" w:hAnsi="微软雅黑"/>
                <w:color w:val="auto"/>
                <w:szCs w:val="21"/>
                <w:highlight w:val="none"/>
              </w:rPr>
              <w:t>0.1</w:t>
            </w:r>
            <w:r>
              <w:rPr>
                <w:rFonts w:hint="eastAsia" w:ascii="微软雅黑" w:hAnsi="微软雅黑"/>
                <w:color w:val="auto"/>
                <w:szCs w:val="21"/>
                <w:highlight w:val="none"/>
              </w:rPr>
              <w:t>℃。</w:t>
            </w:r>
            <w:r>
              <w:rPr>
                <w:rFonts w:ascii="微软雅黑" w:hAnsi="微软雅黑"/>
                <w:color w:val="auto"/>
                <w:szCs w:val="21"/>
                <w:highlight w:val="none"/>
              </w:rPr>
              <w:t>4</w:t>
            </w:r>
            <w:r>
              <w:rPr>
                <w:rFonts w:hint="eastAsia" w:ascii="微软雅黑" w:hAnsi="微软雅黑"/>
                <w:color w:val="auto"/>
                <w:szCs w:val="21"/>
                <w:highlight w:val="none"/>
              </w:rPr>
              <w:t>.</w:t>
            </w:r>
            <w:r>
              <w:rPr>
                <w:rFonts w:ascii="微软雅黑" w:hAnsi="微软雅黑"/>
                <w:color w:val="auto"/>
                <w:szCs w:val="21"/>
                <w:highlight w:val="none"/>
              </w:rPr>
              <w:t>功率</w:t>
            </w:r>
            <w:r>
              <w:rPr>
                <w:rFonts w:hint="eastAsia" w:ascii="微软雅黑" w:hAnsi="微软雅黑"/>
                <w:color w:val="auto"/>
                <w:szCs w:val="21"/>
                <w:highlight w:val="none"/>
              </w:rPr>
              <w:t>不高于2</w:t>
            </w:r>
            <w:r>
              <w:rPr>
                <w:rFonts w:ascii="微软雅黑" w:hAnsi="微软雅黑"/>
                <w:color w:val="auto"/>
                <w:szCs w:val="21"/>
                <w:highlight w:val="none"/>
              </w:rPr>
              <w:t>000W</w:t>
            </w:r>
            <w:r>
              <w:rPr>
                <w:rFonts w:hint="eastAsia" w:ascii="微软雅黑" w:hAnsi="微软雅黑"/>
                <w:color w:val="auto"/>
                <w:szCs w:val="21"/>
                <w:highlight w:val="none"/>
              </w:rPr>
              <w:t>。</w:t>
            </w:r>
            <w:r>
              <w:rPr>
                <w:rFonts w:ascii="微软雅黑" w:hAnsi="微软雅黑"/>
                <w:color w:val="auto"/>
                <w:szCs w:val="21"/>
                <w:highlight w:val="none"/>
              </w:rPr>
              <w:t xml:space="preserve">5. </w:t>
            </w:r>
            <w:r>
              <w:rPr>
                <w:rFonts w:hint="eastAsia" w:ascii="微软雅黑" w:hAnsi="微软雅黑"/>
                <w:color w:val="auto"/>
                <w:szCs w:val="21"/>
                <w:highlight w:val="none"/>
              </w:rPr>
              <w:t>内部空间不小于450*550*550</w:t>
            </w:r>
            <w:r>
              <w:rPr>
                <w:rFonts w:ascii="微软雅黑" w:hAnsi="微软雅黑"/>
                <w:color w:val="auto"/>
                <w:szCs w:val="21"/>
                <w:highlight w:val="none"/>
              </w:rPr>
              <w:t>隔板：两块</w:t>
            </w:r>
            <w:r>
              <w:rPr>
                <w:rFonts w:hint="eastAsia" w:ascii="微软雅黑" w:hAnsi="微软雅黑"/>
                <w:color w:val="auto"/>
                <w:szCs w:val="21"/>
                <w:highlight w:val="none"/>
              </w:rPr>
              <w:t>。</w:t>
            </w:r>
            <w:r>
              <w:rPr>
                <w:rFonts w:ascii="微软雅黑" w:hAnsi="微软雅黑"/>
                <w:color w:val="auto"/>
                <w:szCs w:val="21"/>
                <w:highlight w:val="none"/>
              </w:rPr>
              <w:t>6. 材质：不锈钢内胆</w:t>
            </w:r>
            <w:r>
              <w:rPr>
                <w:rFonts w:hint="eastAsia" w:ascii="微软雅黑" w:hAnsi="微软雅黑"/>
                <w:color w:val="auto"/>
                <w:szCs w:val="21"/>
                <w:highlight w:val="none"/>
              </w:rPr>
              <w:t>。7.带有控制系统、支持定时、超温报警、自动控温功能</w:t>
            </w:r>
            <w:r>
              <w:rPr>
                <w:rFonts w:ascii="微软雅黑" w:hAnsi="微软雅黑"/>
                <w:color w:val="auto"/>
                <w:szCs w:val="21"/>
                <w:highlight w:val="none"/>
              </w:rPr>
              <w:t>。</w:t>
            </w:r>
          </w:p>
        </w:tc>
        <w:tc>
          <w:tcPr>
            <w:tcW w:w="765" w:type="dxa"/>
            <w:tcBorders>
              <w:top w:val="single" w:color="auto" w:sz="4" w:space="0"/>
              <w:left w:val="single" w:color="auto" w:sz="4" w:space="0"/>
              <w:bottom w:val="single" w:color="auto" w:sz="4" w:space="0"/>
              <w:right w:val="single" w:color="auto" w:sz="4" w:space="0"/>
            </w:tcBorders>
            <w:noWrap/>
            <w:vAlign w:val="center"/>
          </w:tcPr>
          <w:p w14:paraId="6288B0E3">
            <w:pPr>
              <w:widowControl/>
              <w:spacing w:after="0" w:line="240" w:lineRule="auto"/>
              <w:ind w:firstLine="0" w:firstLineChars="0"/>
              <w:jc w:val="center"/>
              <w:rPr>
                <w:rFonts w:ascii="微软雅黑" w:hAnsi="微软雅黑"/>
                <w:b/>
                <w:bCs/>
                <w:color w:val="auto"/>
                <w:kern w:val="0"/>
                <w:szCs w:val="21"/>
                <w:highlight w:val="none"/>
              </w:rPr>
            </w:pPr>
            <w:r>
              <w:rPr>
                <w:rFonts w:hint="eastAsia" w:ascii="微软雅黑" w:hAnsi="微软雅黑"/>
                <w:color w:val="auto"/>
                <w:szCs w:val="21"/>
                <w:highlight w:val="none"/>
              </w:rPr>
              <w:t>2</w:t>
            </w:r>
          </w:p>
        </w:tc>
        <w:tc>
          <w:tcPr>
            <w:tcW w:w="750" w:type="dxa"/>
            <w:tcBorders>
              <w:top w:val="single" w:color="auto" w:sz="4" w:space="0"/>
              <w:left w:val="nil"/>
              <w:bottom w:val="single" w:color="auto" w:sz="4" w:space="0"/>
              <w:right w:val="single" w:color="auto" w:sz="4" w:space="0"/>
            </w:tcBorders>
            <w:noWrap/>
            <w:vAlign w:val="center"/>
          </w:tcPr>
          <w:p w14:paraId="30F6D3B3">
            <w:pPr>
              <w:widowControl/>
              <w:spacing w:after="0" w:line="240" w:lineRule="auto"/>
              <w:ind w:firstLine="0" w:firstLineChars="0"/>
              <w:jc w:val="center"/>
              <w:rPr>
                <w:rFonts w:ascii="微软雅黑" w:hAnsi="微软雅黑"/>
                <w:color w:val="auto"/>
                <w:kern w:val="0"/>
                <w:szCs w:val="21"/>
                <w:highlight w:val="none"/>
              </w:rPr>
            </w:pPr>
            <w:r>
              <w:rPr>
                <w:rFonts w:hint="eastAsia" w:ascii="微软雅黑" w:hAnsi="微软雅黑"/>
                <w:color w:val="auto"/>
                <w:kern w:val="0"/>
                <w:szCs w:val="21"/>
                <w:highlight w:val="none"/>
              </w:rPr>
              <w:t>套</w:t>
            </w:r>
          </w:p>
        </w:tc>
      </w:tr>
      <w:tr w14:paraId="2041D17E">
        <w:tblPrEx>
          <w:tblCellMar>
            <w:top w:w="0" w:type="dxa"/>
            <w:left w:w="108" w:type="dxa"/>
            <w:bottom w:w="0" w:type="dxa"/>
            <w:right w:w="108" w:type="dxa"/>
          </w:tblCellMar>
        </w:tblPrEx>
        <w:trPr>
          <w:trHeight w:val="280" w:hRule="atLeast"/>
        </w:trPr>
        <w:tc>
          <w:tcPr>
            <w:tcW w:w="421" w:type="dxa"/>
            <w:tcBorders>
              <w:top w:val="single" w:color="auto" w:sz="4" w:space="0"/>
              <w:left w:val="single" w:color="auto" w:sz="4" w:space="0"/>
              <w:bottom w:val="single" w:color="auto" w:sz="4" w:space="0"/>
              <w:right w:val="single" w:color="auto" w:sz="4" w:space="0"/>
            </w:tcBorders>
            <w:noWrap/>
            <w:vAlign w:val="center"/>
          </w:tcPr>
          <w:p w14:paraId="73EBE63E">
            <w:pPr>
              <w:widowControl/>
              <w:spacing w:after="0" w:line="240" w:lineRule="auto"/>
              <w:ind w:firstLine="0" w:firstLineChars="0"/>
              <w:jc w:val="center"/>
              <w:rPr>
                <w:rFonts w:ascii="微软雅黑" w:hAnsi="微软雅黑"/>
                <w:b/>
                <w:bCs/>
                <w:color w:val="auto"/>
                <w:kern w:val="0"/>
                <w:szCs w:val="21"/>
                <w:highlight w:val="none"/>
              </w:rPr>
            </w:pPr>
            <w:r>
              <w:rPr>
                <w:rFonts w:hint="eastAsia" w:ascii="微软雅黑" w:hAnsi="微软雅黑"/>
                <w:b/>
                <w:bCs/>
                <w:color w:val="auto"/>
                <w:kern w:val="0"/>
                <w:szCs w:val="21"/>
                <w:highlight w:val="none"/>
              </w:rPr>
              <w:t>6</w:t>
            </w:r>
          </w:p>
        </w:tc>
        <w:tc>
          <w:tcPr>
            <w:tcW w:w="1597" w:type="dxa"/>
            <w:tcBorders>
              <w:top w:val="single" w:color="auto" w:sz="4" w:space="0"/>
              <w:left w:val="nil"/>
              <w:bottom w:val="single" w:color="auto" w:sz="4" w:space="0"/>
              <w:right w:val="single" w:color="auto" w:sz="4" w:space="0"/>
            </w:tcBorders>
            <w:noWrap/>
            <w:vAlign w:val="center"/>
          </w:tcPr>
          <w:p w14:paraId="3BECC1B9">
            <w:pPr>
              <w:widowControl/>
              <w:spacing w:after="0" w:line="240" w:lineRule="auto"/>
              <w:ind w:firstLine="0" w:firstLineChars="0"/>
              <w:jc w:val="center"/>
              <w:rPr>
                <w:rFonts w:ascii="微软雅黑" w:hAnsi="微软雅黑"/>
                <w:b/>
                <w:bCs/>
                <w:color w:val="auto"/>
                <w:kern w:val="0"/>
                <w:szCs w:val="21"/>
                <w:highlight w:val="none"/>
              </w:rPr>
            </w:pPr>
            <w:r>
              <w:rPr>
                <w:rFonts w:hint="eastAsia" w:ascii="微软雅黑" w:hAnsi="微软雅黑"/>
                <w:color w:val="auto"/>
                <w:szCs w:val="21"/>
                <w:highlight w:val="none"/>
              </w:rPr>
              <w:t>吸收解吸实验装置</w:t>
            </w:r>
          </w:p>
        </w:tc>
        <w:tc>
          <w:tcPr>
            <w:tcW w:w="10956" w:type="dxa"/>
            <w:tcBorders>
              <w:top w:val="single" w:color="auto" w:sz="4" w:space="0"/>
              <w:left w:val="nil"/>
              <w:bottom w:val="single" w:color="auto" w:sz="4" w:space="0"/>
              <w:right w:val="nil"/>
            </w:tcBorders>
            <w:noWrap/>
            <w:vAlign w:val="center"/>
          </w:tcPr>
          <w:p w14:paraId="04D0B0F3">
            <w:pPr>
              <w:spacing w:after="0" w:line="240" w:lineRule="auto"/>
              <w:ind w:firstLine="0" w:firstLineChars="0"/>
              <w:rPr>
                <w:rFonts w:ascii="微软雅黑" w:hAnsi="微软雅黑"/>
                <w:b/>
                <w:bCs/>
                <w:color w:val="auto"/>
                <w:szCs w:val="21"/>
                <w:highlight w:val="none"/>
              </w:rPr>
            </w:pPr>
            <w:r>
              <w:rPr>
                <w:rFonts w:hint="eastAsia" w:ascii="微软雅黑" w:hAnsi="微软雅黑"/>
                <w:b/>
                <w:bCs/>
                <w:color w:val="auto"/>
                <w:szCs w:val="21"/>
                <w:highlight w:val="none"/>
              </w:rPr>
              <w:t>装置功能</w:t>
            </w:r>
          </w:p>
          <w:p w14:paraId="55210C7A">
            <w:pPr>
              <w:pStyle w:val="65"/>
              <w:numPr>
                <w:ilvl w:val="0"/>
                <w:numId w:val="18"/>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s="宋体"/>
                <w:color w:val="auto"/>
                <w:szCs w:val="21"/>
                <w:highlight w:val="none"/>
              </w:rPr>
              <w:t>具备进行吸收与解吸过程操作功能。</w:t>
            </w:r>
          </w:p>
          <w:p w14:paraId="6FE898FB">
            <w:pPr>
              <w:pStyle w:val="65"/>
              <w:numPr>
                <w:ilvl w:val="0"/>
                <w:numId w:val="18"/>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s="宋体"/>
                <w:color w:val="auto"/>
                <w:szCs w:val="21"/>
                <w:highlight w:val="none"/>
              </w:rPr>
              <w:t>具备展示填料塔吸收与解吸装置的基本结构与流程功能。</w:t>
            </w:r>
          </w:p>
          <w:p w14:paraId="4941CE44">
            <w:pPr>
              <w:pStyle w:val="65"/>
              <w:numPr>
                <w:ilvl w:val="0"/>
                <w:numId w:val="18"/>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s="宋体"/>
                <w:color w:val="auto"/>
                <w:szCs w:val="21"/>
                <w:highlight w:val="none"/>
              </w:rPr>
              <w:t>具备测定填料塔的流体力学性能功能。</w:t>
            </w:r>
          </w:p>
          <w:p w14:paraId="7C92F4EB">
            <w:pPr>
              <w:pStyle w:val="65"/>
              <w:numPr>
                <w:ilvl w:val="0"/>
                <w:numId w:val="18"/>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s="宋体"/>
                <w:color w:val="auto"/>
                <w:szCs w:val="21"/>
                <w:highlight w:val="none"/>
              </w:rPr>
              <w:t>具备观察填料塔塔内压降、液泛现象功能。</w:t>
            </w:r>
          </w:p>
          <w:p w14:paraId="2CCAE2FE">
            <w:pPr>
              <w:pStyle w:val="65"/>
              <w:numPr>
                <w:ilvl w:val="0"/>
                <w:numId w:val="18"/>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s="宋体"/>
                <w:color w:val="auto"/>
                <w:szCs w:val="21"/>
                <w:highlight w:val="none"/>
              </w:rPr>
              <w:t>具备测定不同喷淋密度下填料吸收塔、解吸塔的总体积传质系数功能。</w:t>
            </w:r>
          </w:p>
          <w:p w14:paraId="7E72FB6B">
            <w:pPr>
              <w:pStyle w:val="65"/>
              <w:numPr>
                <w:ilvl w:val="0"/>
                <w:numId w:val="18"/>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s="宋体"/>
                <w:color w:val="auto"/>
                <w:szCs w:val="21"/>
                <w:highlight w:val="none"/>
              </w:rPr>
              <w:t>具备测定气体空塔速度和液体喷淋密度对总体传质系数的影响功能。</w:t>
            </w:r>
          </w:p>
          <w:p w14:paraId="1C242D36">
            <w:pPr>
              <w:pStyle w:val="65"/>
              <w:numPr>
                <w:ilvl w:val="0"/>
                <w:numId w:val="18"/>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s="宋体"/>
                <w:color w:val="auto"/>
                <w:szCs w:val="21"/>
                <w:highlight w:val="none"/>
              </w:rPr>
              <w:t>具备解吸塔支持吸收液循环操作功能，实现吸收与解吸联合实验运行。</w:t>
            </w:r>
          </w:p>
          <w:p w14:paraId="32E7357A">
            <w:pPr>
              <w:pStyle w:val="65"/>
              <w:numPr>
                <w:ilvl w:val="0"/>
                <w:numId w:val="18"/>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olor w:val="auto"/>
                <w:kern w:val="0"/>
                <w:szCs w:val="21"/>
                <w:highlight w:val="none"/>
              </w:rPr>
              <w:t>配套仿真教学平台，平台具备以下功能：</w:t>
            </w:r>
          </w:p>
          <w:p w14:paraId="6AFB6062">
            <w:pPr>
              <w:pStyle w:val="65"/>
              <w:spacing w:after="0" w:line="240" w:lineRule="auto"/>
              <w:ind w:firstLine="0" w:firstLineChars="0"/>
              <w:jc w:val="both"/>
              <w:rPr>
                <w:rFonts w:ascii="微软雅黑" w:hAnsi="微软雅黑"/>
                <w:color w:val="auto"/>
                <w:szCs w:val="21"/>
                <w:highlight w:val="none"/>
              </w:rPr>
            </w:pPr>
            <w:r>
              <w:rPr>
                <w:rFonts w:hint="eastAsia" w:ascii="微软雅黑" w:hAnsi="微软雅黑"/>
                <w:color w:val="auto"/>
                <w:kern w:val="0"/>
                <w:szCs w:val="21"/>
                <w:highlight w:val="none"/>
              </w:rPr>
              <w:t>8.1★</w:t>
            </w:r>
            <w:r>
              <w:rPr>
                <w:rFonts w:hint="eastAsia" w:ascii="微软雅黑" w:hAnsi="微软雅黑"/>
                <w:color w:val="auto"/>
                <w:szCs w:val="21"/>
                <w:highlight w:val="none"/>
              </w:rPr>
              <w:t>（1）为学生端配套本实验虚拟仿真系统，可以进行实验装置结构学习、实验操作练习与操作考核，要求仿真装置与本实验真实装置结构相同、操作一致；仿真操作具备通过后台严格数学模型算法计算出仿真实验数据功能。（2）为教师端配套仿真实验教学平台，实现仿真实验教学管理功能，包括学生管理、考试管理、成绩管理等功能</w:t>
            </w:r>
            <w:r>
              <w:rPr>
                <w:rFonts w:hint="eastAsia" w:ascii="微软雅黑" w:hAnsi="微软雅黑" w:cs="宋体"/>
                <w:color w:val="auto"/>
                <w:szCs w:val="21"/>
                <w:highlight w:val="none"/>
              </w:rPr>
              <w:t>。</w:t>
            </w:r>
          </w:p>
          <w:p w14:paraId="48AD925A">
            <w:pPr>
              <w:pStyle w:val="65"/>
              <w:spacing w:after="0" w:line="240" w:lineRule="auto"/>
              <w:ind w:firstLine="0" w:firstLineChars="0"/>
              <w:jc w:val="both"/>
              <w:rPr>
                <w:rFonts w:ascii="微软雅黑" w:hAnsi="微软雅黑"/>
                <w:b/>
                <w:bCs/>
                <w:color w:val="auto"/>
                <w:szCs w:val="21"/>
                <w:highlight w:val="none"/>
              </w:rPr>
            </w:pPr>
            <w:r>
              <w:rPr>
                <w:rFonts w:hint="eastAsia" w:ascii="微软雅黑" w:hAnsi="微软雅黑"/>
                <w:color w:val="auto"/>
                <w:kern w:val="0"/>
                <w:szCs w:val="21"/>
                <w:highlight w:val="none"/>
              </w:rPr>
              <w:t>8.2★为教师、学生</w:t>
            </w:r>
            <w:r>
              <w:rPr>
                <w:rFonts w:hint="eastAsia" w:ascii="微软雅黑" w:hAnsi="微软雅黑" w:cs="宋体"/>
                <w:color w:val="auto"/>
                <w:szCs w:val="21"/>
                <w:highlight w:val="none"/>
              </w:rPr>
              <w:t>配套本实验装置介绍微课，讲解实验装置结构。</w:t>
            </w:r>
            <w:r>
              <w:rPr>
                <w:rFonts w:hint="eastAsia" w:ascii="微软雅黑" w:hAnsi="微软雅黑" w:cs="宋体"/>
                <w:b/>
                <w:bCs/>
                <w:color w:val="auto"/>
                <w:szCs w:val="21"/>
                <w:highlight w:val="none"/>
              </w:rPr>
              <w:t>（演示内容）</w:t>
            </w:r>
          </w:p>
          <w:p w14:paraId="45D45F30">
            <w:pPr>
              <w:pStyle w:val="65"/>
              <w:spacing w:after="0" w:line="240" w:lineRule="auto"/>
              <w:ind w:firstLine="0" w:firstLineChars="0"/>
              <w:jc w:val="both"/>
              <w:rPr>
                <w:rFonts w:ascii="微软雅黑" w:hAnsi="微软雅黑"/>
                <w:color w:val="auto"/>
                <w:szCs w:val="21"/>
                <w:highlight w:val="none"/>
              </w:rPr>
            </w:pPr>
            <w:r>
              <w:rPr>
                <w:rFonts w:hint="eastAsia" w:ascii="微软雅黑" w:hAnsi="微软雅黑"/>
                <w:color w:val="auto"/>
                <w:kern w:val="0"/>
                <w:szCs w:val="21"/>
                <w:highlight w:val="none"/>
              </w:rPr>
              <w:t>8.3★设备端</w:t>
            </w:r>
            <w:r>
              <w:rPr>
                <w:rFonts w:hint="eastAsia" w:ascii="微软雅黑" w:hAnsi="微软雅黑" w:cs="宋体"/>
                <w:color w:val="auto"/>
                <w:szCs w:val="21"/>
                <w:highlight w:val="none"/>
              </w:rPr>
              <w:t>配套</w:t>
            </w:r>
            <w:r>
              <w:rPr>
                <w:rFonts w:ascii="微软雅黑" w:hAnsi="微软雅黑" w:cs="宋体"/>
                <w:color w:val="auto"/>
                <w:szCs w:val="21"/>
                <w:highlight w:val="none"/>
              </w:rPr>
              <w:t>数据采集及测控软件</w:t>
            </w:r>
            <w:r>
              <w:rPr>
                <w:rFonts w:hint="eastAsia" w:ascii="微软雅黑" w:hAnsi="微软雅黑" w:cs="宋体"/>
                <w:color w:val="auto"/>
                <w:szCs w:val="21"/>
                <w:highlight w:val="none"/>
              </w:rPr>
              <w:t>，可以实现实验数据及设备状态实时在线采集、显示、数据变化曲线显示，实现装置运行控制、数据导出与处理等功能；并且可将数据实时上传至</w:t>
            </w:r>
            <w:r>
              <w:rPr>
                <w:rFonts w:ascii="微软雅黑" w:hAnsi="微软雅黑" w:cs="宋体"/>
                <w:color w:val="auto"/>
                <w:szCs w:val="21"/>
                <w:highlight w:val="none"/>
              </w:rPr>
              <w:t>在线的</w:t>
            </w:r>
            <w:r>
              <w:rPr>
                <w:rFonts w:hint="eastAsia" w:ascii="微软雅黑" w:hAnsi="微软雅黑" w:cs="宋体"/>
                <w:color w:val="auto"/>
                <w:szCs w:val="21"/>
                <w:highlight w:val="none"/>
              </w:rPr>
              <w:t>实验学习</w:t>
            </w:r>
            <w:r>
              <w:rPr>
                <w:rFonts w:ascii="微软雅黑" w:hAnsi="微软雅黑" w:cs="宋体"/>
                <w:color w:val="auto"/>
                <w:szCs w:val="21"/>
                <w:highlight w:val="none"/>
              </w:rPr>
              <w:t>平台</w:t>
            </w:r>
            <w:r>
              <w:rPr>
                <w:rFonts w:hint="eastAsia" w:ascii="微软雅黑" w:hAnsi="微软雅黑" w:cs="宋体"/>
                <w:color w:val="auto"/>
                <w:szCs w:val="21"/>
                <w:highlight w:val="none"/>
              </w:rPr>
              <w:t>，教师和学生可以远程实时在线或后期离线查看实验数据以及数据处理结果，便于监控设备运行，了解实验操作状况。</w:t>
            </w:r>
          </w:p>
          <w:p w14:paraId="7F547BC4">
            <w:pPr>
              <w:pStyle w:val="65"/>
              <w:spacing w:after="0" w:line="240" w:lineRule="auto"/>
              <w:ind w:firstLine="0" w:firstLineChars="0"/>
              <w:jc w:val="both"/>
              <w:rPr>
                <w:rFonts w:ascii="微软雅黑" w:hAnsi="微软雅黑"/>
                <w:color w:val="auto"/>
                <w:szCs w:val="21"/>
                <w:highlight w:val="none"/>
              </w:rPr>
            </w:pPr>
            <w:r>
              <w:rPr>
                <w:rFonts w:hint="eastAsia" w:ascii="微软雅黑" w:hAnsi="微软雅黑"/>
                <w:color w:val="auto"/>
                <w:kern w:val="0"/>
                <w:szCs w:val="21"/>
                <w:highlight w:val="none"/>
              </w:rPr>
              <w:t>8.4★</w:t>
            </w:r>
            <w:r>
              <w:rPr>
                <w:rFonts w:hint="eastAsia" w:ascii="微软雅黑" w:hAnsi="微软雅黑" w:cs="宋体"/>
                <w:color w:val="auto"/>
                <w:szCs w:val="21"/>
                <w:highlight w:val="none"/>
              </w:rPr>
              <w:t>配套</w:t>
            </w:r>
            <w:r>
              <w:rPr>
                <w:rFonts w:ascii="微软雅黑" w:hAnsi="微软雅黑" w:cs="宋体"/>
                <w:color w:val="auto"/>
                <w:szCs w:val="21"/>
                <w:highlight w:val="none"/>
              </w:rPr>
              <w:t>智能</w:t>
            </w:r>
            <w:r>
              <w:rPr>
                <w:rFonts w:hint="eastAsia" w:ascii="微软雅黑" w:hAnsi="微软雅黑" w:cs="宋体"/>
                <w:color w:val="auto"/>
                <w:szCs w:val="21"/>
                <w:highlight w:val="none"/>
              </w:rPr>
              <w:t>实验学习与实验授课</w:t>
            </w:r>
            <w:r>
              <w:rPr>
                <w:rFonts w:ascii="微软雅黑" w:hAnsi="微软雅黑" w:cs="宋体"/>
                <w:color w:val="auto"/>
                <w:szCs w:val="21"/>
                <w:highlight w:val="none"/>
              </w:rPr>
              <w:t>软件</w:t>
            </w:r>
            <w:r>
              <w:rPr>
                <w:rFonts w:hint="eastAsia" w:ascii="微软雅黑" w:hAnsi="微软雅黑" w:cs="宋体"/>
                <w:color w:val="auto"/>
                <w:szCs w:val="21"/>
                <w:highlight w:val="none"/>
              </w:rPr>
              <w:t>，学生端通过实验学习系统可以进行实验讲义学习、实验装置学习、</w:t>
            </w:r>
            <w:r>
              <w:rPr>
                <w:rFonts w:ascii="微软雅黑" w:hAnsi="微软雅黑" w:cs="宋体"/>
                <w:color w:val="auto"/>
                <w:szCs w:val="21"/>
                <w:highlight w:val="none"/>
              </w:rPr>
              <w:t>装置介绍</w:t>
            </w:r>
            <w:r>
              <w:rPr>
                <w:rFonts w:hint="eastAsia" w:ascii="微软雅黑" w:hAnsi="微软雅黑" w:cs="宋体"/>
                <w:color w:val="auto"/>
                <w:szCs w:val="21"/>
                <w:highlight w:val="none"/>
              </w:rPr>
              <w:t>微课学习、仿真操作练习，实现实验前的预习及课后复习，并能够记录学习过程，</w:t>
            </w:r>
            <w:r>
              <w:rPr>
                <w:rFonts w:ascii="微软雅黑" w:hAnsi="微软雅黑" w:cs="宋体"/>
                <w:color w:val="auto"/>
                <w:szCs w:val="21"/>
                <w:highlight w:val="none"/>
              </w:rPr>
              <w:t>智能</w:t>
            </w:r>
            <w:r>
              <w:rPr>
                <w:rFonts w:hint="eastAsia" w:ascii="微软雅黑" w:hAnsi="微软雅黑" w:cs="宋体"/>
                <w:color w:val="auto"/>
                <w:szCs w:val="21"/>
                <w:highlight w:val="none"/>
              </w:rPr>
              <w:t>自动评分。教师端通过智能实验授课</w:t>
            </w:r>
            <w:r>
              <w:rPr>
                <w:rFonts w:ascii="微软雅黑" w:hAnsi="微软雅黑" w:cs="宋体"/>
                <w:color w:val="auto"/>
                <w:szCs w:val="21"/>
                <w:highlight w:val="none"/>
              </w:rPr>
              <w:t>软件</w:t>
            </w:r>
            <w:r>
              <w:rPr>
                <w:rFonts w:hint="eastAsia" w:ascii="微软雅黑" w:hAnsi="微软雅黑" w:cs="宋体"/>
                <w:color w:val="auto"/>
                <w:szCs w:val="21"/>
                <w:highlight w:val="none"/>
              </w:rPr>
              <w:t>，支持通过现场大屏调用多种数字资源进行实验授课，监控学生操作状态、装置运行状态，可以存储及导出每个人的操作记录、实验数据；实验授课</w:t>
            </w:r>
            <w:r>
              <w:rPr>
                <w:rFonts w:ascii="微软雅黑" w:hAnsi="微软雅黑" w:cs="宋体"/>
                <w:color w:val="auto"/>
                <w:szCs w:val="21"/>
                <w:highlight w:val="none"/>
              </w:rPr>
              <w:t>软件</w:t>
            </w:r>
            <w:r>
              <w:rPr>
                <w:rFonts w:hint="eastAsia" w:ascii="微软雅黑" w:hAnsi="微软雅黑" w:cs="宋体"/>
                <w:color w:val="auto"/>
                <w:szCs w:val="21"/>
                <w:highlight w:val="none"/>
              </w:rPr>
              <w:t>移动端支持现场学生提问评分、操作评分、行为评分等。</w:t>
            </w:r>
          </w:p>
          <w:p w14:paraId="671D0B68">
            <w:pPr>
              <w:pStyle w:val="65"/>
              <w:spacing w:after="0" w:line="240" w:lineRule="auto"/>
              <w:ind w:firstLine="0" w:firstLineChars="0"/>
              <w:jc w:val="both"/>
              <w:rPr>
                <w:rFonts w:ascii="微软雅黑" w:hAnsi="微软雅黑"/>
                <w:color w:val="auto"/>
                <w:szCs w:val="21"/>
                <w:highlight w:val="none"/>
              </w:rPr>
            </w:pPr>
            <w:r>
              <w:rPr>
                <w:rFonts w:hint="eastAsia" w:ascii="微软雅黑" w:hAnsi="微软雅黑"/>
                <w:color w:val="auto"/>
                <w:kern w:val="0"/>
                <w:szCs w:val="21"/>
                <w:highlight w:val="none"/>
              </w:rPr>
              <w:t>8.5★</w:t>
            </w:r>
            <w:r>
              <w:rPr>
                <w:rFonts w:hint="eastAsia" w:ascii="微软雅黑" w:hAnsi="微软雅黑" w:cs="宋体"/>
                <w:color w:val="auto"/>
                <w:szCs w:val="21"/>
                <w:highlight w:val="none"/>
              </w:rPr>
              <w:t>配套实验报告生成及评阅</w:t>
            </w:r>
            <w:r>
              <w:rPr>
                <w:rFonts w:ascii="微软雅黑" w:hAnsi="微软雅黑" w:cs="宋体"/>
                <w:color w:val="auto"/>
                <w:szCs w:val="21"/>
                <w:highlight w:val="none"/>
              </w:rPr>
              <w:t>软件</w:t>
            </w:r>
            <w:r>
              <w:rPr>
                <w:rFonts w:hint="eastAsia" w:ascii="微软雅黑" w:hAnsi="微软雅黑" w:cs="宋体"/>
                <w:color w:val="auto"/>
                <w:szCs w:val="21"/>
                <w:highlight w:val="none"/>
              </w:rPr>
              <w:t>，学生端能够根据采集的真实装置的实验数据，生成真实实验的实验报告；也能够根据仿真实验数据，生成仿真实验的实验报告。学生端可对实验数据进行整理，系统保存数据修改记录，可进行追溯。支持学生将手写报告扫描上传；教师端可对报告进行批改、批注和评分。支持电子版实验报告的归档并保存全部电子档案，形成规范教学文档。</w:t>
            </w:r>
          </w:p>
          <w:p w14:paraId="604B82B3">
            <w:pPr>
              <w:spacing w:after="0" w:line="240" w:lineRule="auto"/>
              <w:ind w:firstLine="0" w:firstLineChars="0"/>
              <w:rPr>
                <w:rFonts w:ascii="微软雅黑" w:hAnsi="微软雅黑"/>
                <w:color w:val="auto"/>
                <w:szCs w:val="21"/>
                <w:highlight w:val="none"/>
              </w:rPr>
            </w:pPr>
          </w:p>
          <w:p w14:paraId="4BE1F8C6">
            <w:pPr>
              <w:spacing w:after="0" w:line="240" w:lineRule="auto"/>
              <w:ind w:firstLine="0" w:firstLineChars="0"/>
              <w:rPr>
                <w:rFonts w:ascii="微软雅黑" w:hAnsi="微软雅黑"/>
                <w:b/>
                <w:bCs/>
                <w:color w:val="auto"/>
                <w:szCs w:val="21"/>
                <w:highlight w:val="none"/>
              </w:rPr>
            </w:pPr>
            <w:r>
              <w:rPr>
                <w:rFonts w:hint="eastAsia" w:ascii="微软雅黑" w:hAnsi="微软雅黑"/>
                <w:b/>
                <w:bCs/>
                <w:color w:val="auto"/>
                <w:szCs w:val="21"/>
                <w:highlight w:val="none"/>
              </w:rPr>
              <w:t>规格参数</w:t>
            </w:r>
          </w:p>
          <w:p w14:paraId="3711A56A">
            <w:pPr>
              <w:numPr>
                <w:ilvl w:val="0"/>
                <w:numId w:val="19"/>
              </w:numPr>
              <w:spacing w:after="0" w:line="240" w:lineRule="auto"/>
              <w:ind w:left="0" w:firstLine="0" w:firstLineChars="0"/>
              <w:rPr>
                <w:rFonts w:ascii="微软雅黑" w:hAnsi="微软雅黑"/>
                <w:color w:val="auto"/>
                <w:szCs w:val="21"/>
                <w:highlight w:val="none"/>
              </w:rPr>
            </w:pPr>
            <w:r>
              <w:rPr>
                <w:rFonts w:hint="eastAsia" w:ascii="微软雅黑" w:hAnsi="微软雅黑"/>
                <w:color w:val="auto"/>
                <w:kern w:val="0"/>
                <w:szCs w:val="21"/>
                <w:highlight w:val="none"/>
              </w:rPr>
              <w:t>★</w:t>
            </w:r>
            <w:r>
              <w:rPr>
                <w:rFonts w:hint="eastAsia" w:ascii="微软雅黑" w:hAnsi="微软雅黑"/>
                <w:color w:val="auto"/>
                <w:szCs w:val="21"/>
                <w:highlight w:val="none"/>
              </w:rPr>
              <w:t>设备主体：长*宽*高尺寸不小于2</w:t>
            </w:r>
            <w:r>
              <w:rPr>
                <w:rFonts w:ascii="微软雅黑" w:hAnsi="微软雅黑"/>
                <w:color w:val="auto"/>
                <w:szCs w:val="21"/>
                <w:highlight w:val="none"/>
              </w:rPr>
              <w:t>400*600*3000mm</w:t>
            </w:r>
            <w:r>
              <w:rPr>
                <w:rFonts w:hint="eastAsia" w:ascii="微软雅黑" w:hAnsi="微软雅黑"/>
                <w:color w:val="auto"/>
                <w:szCs w:val="21"/>
                <w:highlight w:val="none"/>
              </w:rPr>
              <w:t>，主体框架采用</w:t>
            </w:r>
            <w:r>
              <w:rPr>
                <w:rFonts w:ascii="微软雅黑" w:hAnsi="微软雅黑"/>
                <w:color w:val="auto"/>
                <w:szCs w:val="21"/>
                <w:highlight w:val="none"/>
              </w:rPr>
              <w:t>304</w:t>
            </w:r>
            <w:r>
              <w:rPr>
                <w:rFonts w:hint="eastAsia" w:ascii="微软雅黑" w:hAnsi="微软雅黑"/>
                <w:color w:val="auto"/>
                <w:szCs w:val="21"/>
                <w:highlight w:val="none"/>
              </w:rPr>
              <w:t>不锈钢方管，边长、壁厚不小于40mm*40mm*1.5mm，焊接工艺，稳固不松动，带有可移动脚轮。</w:t>
            </w:r>
            <w:r>
              <w:rPr>
                <w:rFonts w:hint="eastAsia" w:ascii="微软雅黑" w:hAnsi="微软雅黑"/>
                <w:color w:val="auto"/>
                <w:szCs w:val="21"/>
                <w:highlight w:val="none"/>
                <w:lang w:eastAsia="zh-CN"/>
              </w:rPr>
              <w:t>【投标文件中提供相关图纸（需标注招标文件要求的尺寸）、照片或效果图，不提供或提供不完整的，本项评审按负偏离处理】</w:t>
            </w:r>
          </w:p>
          <w:p w14:paraId="3B03930C">
            <w:pPr>
              <w:numPr>
                <w:ilvl w:val="0"/>
                <w:numId w:val="19"/>
              </w:numPr>
              <w:spacing w:after="0" w:line="240" w:lineRule="auto"/>
              <w:ind w:left="0" w:firstLine="0" w:firstLineChars="0"/>
              <w:rPr>
                <w:rFonts w:ascii="微软雅黑" w:hAnsi="微软雅黑"/>
                <w:color w:val="auto"/>
                <w:szCs w:val="21"/>
                <w:highlight w:val="none"/>
              </w:rPr>
            </w:pPr>
            <w:r>
              <w:rPr>
                <w:rFonts w:hint="eastAsia" w:ascii="微软雅黑" w:hAnsi="微软雅黑"/>
                <w:color w:val="auto"/>
                <w:kern w:val="0"/>
                <w:szCs w:val="21"/>
                <w:highlight w:val="none"/>
              </w:rPr>
              <w:t>★</w:t>
            </w:r>
            <w:r>
              <w:rPr>
                <w:rFonts w:ascii="微软雅黑" w:hAnsi="微软雅黑"/>
                <w:color w:val="auto"/>
                <w:szCs w:val="21"/>
                <w:highlight w:val="none"/>
              </w:rPr>
              <w:t>电控箱</w:t>
            </w:r>
            <w:r>
              <w:rPr>
                <w:rFonts w:hint="eastAsia" w:ascii="微软雅黑" w:hAnsi="微软雅黑"/>
                <w:color w:val="auto"/>
                <w:szCs w:val="21"/>
                <w:highlight w:val="none"/>
              </w:rPr>
              <w:t>：钢板</w:t>
            </w:r>
            <w:r>
              <w:rPr>
                <w:rFonts w:ascii="微软雅黑" w:hAnsi="微软雅黑"/>
                <w:color w:val="auto"/>
                <w:szCs w:val="21"/>
                <w:highlight w:val="none"/>
              </w:rPr>
              <w:t>喷塑</w:t>
            </w:r>
            <w:r>
              <w:rPr>
                <w:rFonts w:hint="eastAsia" w:ascii="微软雅黑" w:hAnsi="微软雅黑"/>
                <w:color w:val="auto"/>
                <w:szCs w:val="21"/>
                <w:highlight w:val="none"/>
              </w:rPr>
              <w:t>。其中电气系统隔离设计，控制柜嵌入式安装配触摸屏的工业物联网主机、嵌入式安装数显控制仪表，带有急停按钮。</w:t>
            </w:r>
          </w:p>
          <w:p w14:paraId="132D0E66">
            <w:pPr>
              <w:numPr>
                <w:ilvl w:val="0"/>
                <w:numId w:val="19"/>
              </w:numPr>
              <w:spacing w:after="0" w:line="240" w:lineRule="auto"/>
              <w:ind w:left="0" w:firstLine="0" w:firstLineChars="0"/>
              <w:rPr>
                <w:rFonts w:ascii="微软雅黑" w:hAnsi="微软雅黑"/>
                <w:color w:val="auto"/>
                <w:szCs w:val="21"/>
                <w:highlight w:val="none"/>
              </w:rPr>
            </w:pPr>
            <w:r>
              <w:rPr>
                <w:rFonts w:hint="eastAsia" w:ascii="微软雅黑" w:hAnsi="微软雅黑"/>
                <w:color w:val="auto"/>
                <w:szCs w:val="21"/>
                <w:highlight w:val="none"/>
              </w:rPr>
              <w:t>吸收塔：高效填料塔，透明亚克力材质，可观察实验现象，塔内径</w:t>
            </w:r>
            <w:r>
              <w:rPr>
                <w:rFonts w:ascii="微软雅黑" w:hAnsi="微软雅黑"/>
                <w:color w:val="auto"/>
                <w:szCs w:val="21"/>
                <w:highlight w:val="none"/>
              </w:rPr>
              <w:t>不小于120mm</w:t>
            </w:r>
            <w:r>
              <w:rPr>
                <w:rFonts w:hint="eastAsia" w:ascii="微软雅黑" w:hAnsi="微软雅黑"/>
                <w:color w:val="auto"/>
                <w:szCs w:val="21"/>
                <w:highlight w:val="none"/>
              </w:rPr>
              <w:t>，吸收塔填料总高度不小于</w:t>
            </w:r>
            <w:r>
              <w:rPr>
                <w:rFonts w:hint="eastAsia" w:ascii="微软雅黑" w:hAnsi="微软雅黑" w:cs="@汉仪中黑 197"/>
                <w:color w:val="auto"/>
                <w:szCs w:val="21"/>
                <w:highlight w:val="none"/>
              </w:rPr>
              <w:t>1</w:t>
            </w:r>
            <w:r>
              <w:rPr>
                <w:rFonts w:ascii="微软雅黑" w:hAnsi="微软雅黑"/>
                <w:color w:val="auto"/>
                <w:szCs w:val="21"/>
                <w:highlight w:val="none"/>
              </w:rPr>
              <w:t>500mm</w:t>
            </w:r>
            <w:r>
              <w:rPr>
                <w:rFonts w:hint="eastAsia" w:ascii="微软雅黑" w:hAnsi="微软雅黑"/>
                <w:color w:val="auto"/>
                <w:szCs w:val="21"/>
                <w:highlight w:val="none"/>
              </w:rPr>
              <w:t>。</w:t>
            </w:r>
          </w:p>
          <w:p w14:paraId="428E2D21">
            <w:pPr>
              <w:numPr>
                <w:ilvl w:val="0"/>
                <w:numId w:val="19"/>
              </w:numPr>
              <w:spacing w:after="0" w:line="240" w:lineRule="auto"/>
              <w:ind w:left="0" w:firstLine="0" w:firstLineChars="0"/>
              <w:rPr>
                <w:rFonts w:ascii="微软雅黑" w:hAnsi="微软雅黑"/>
                <w:color w:val="auto"/>
                <w:szCs w:val="21"/>
                <w:highlight w:val="none"/>
              </w:rPr>
            </w:pPr>
            <w:r>
              <w:rPr>
                <w:rFonts w:hint="eastAsia" w:ascii="微软雅黑" w:hAnsi="微软雅黑"/>
                <w:color w:val="auto"/>
                <w:szCs w:val="21"/>
                <w:highlight w:val="none"/>
              </w:rPr>
              <w:t>解吸塔：高效填料塔，透明亚克力材质，可观察实验现象，塔内径</w:t>
            </w:r>
            <w:r>
              <w:rPr>
                <w:rFonts w:ascii="微软雅黑" w:hAnsi="微软雅黑"/>
                <w:color w:val="auto"/>
                <w:szCs w:val="21"/>
                <w:highlight w:val="none"/>
              </w:rPr>
              <w:t>不小于120mm</w:t>
            </w:r>
            <w:r>
              <w:rPr>
                <w:rFonts w:hint="eastAsia" w:ascii="微软雅黑" w:hAnsi="微软雅黑"/>
                <w:color w:val="auto"/>
                <w:szCs w:val="21"/>
                <w:highlight w:val="none"/>
              </w:rPr>
              <w:t>，吸收塔填料总高度不小于</w:t>
            </w:r>
            <w:r>
              <w:rPr>
                <w:rFonts w:hint="eastAsia" w:ascii="微软雅黑" w:hAnsi="微软雅黑" w:cs="@汉仪中黑 197"/>
                <w:color w:val="auto"/>
                <w:szCs w:val="21"/>
                <w:highlight w:val="none"/>
              </w:rPr>
              <w:t>1</w:t>
            </w:r>
            <w:r>
              <w:rPr>
                <w:rFonts w:ascii="微软雅黑" w:hAnsi="微软雅黑"/>
                <w:color w:val="auto"/>
                <w:szCs w:val="21"/>
                <w:highlight w:val="none"/>
              </w:rPr>
              <w:t>500mm</w:t>
            </w:r>
            <w:r>
              <w:rPr>
                <w:rFonts w:hint="eastAsia" w:ascii="微软雅黑" w:hAnsi="微软雅黑"/>
                <w:color w:val="auto"/>
                <w:szCs w:val="21"/>
                <w:highlight w:val="none"/>
              </w:rPr>
              <w:t>。</w:t>
            </w:r>
          </w:p>
          <w:p w14:paraId="63662F2A">
            <w:pPr>
              <w:numPr>
                <w:ilvl w:val="0"/>
                <w:numId w:val="19"/>
              </w:numPr>
              <w:spacing w:after="0" w:line="240" w:lineRule="auto"/>
              <w:ind w:left="0" w:firstLine="0" w:firstLineChars="0"/>
              <w:rPr>
                <w:rFonts w:ascii="微软雅黑" w:hAnsi="微软雅黑"/>
                <w:color w:val="auto"/>
                <w:szCs w:val="21"/>
                <w:highlight w:val="none"/>
              </w:rPr>
            </w:pPr>
            <w:r>
              <w:rPr>
                <w:rFonts w:hint="eastAsia" w:ascii="微软雅黑" w:hAnsi="微软雅黑"/>
                <w:color w:val="auto"/>
                <w:szCs w:val="21"/>
                <w:highlight w:val="none"/>
              </w:rPr>
              <w:t>流量计：</w:t>
            </w:r>
            <w:r>
              <w:rPr>
                <w:rFonts w:ascii="微软雅黑" w:hAnsi="微软雅黑"/>
                <w:color w:val="auto"/>
                <w:szCs w:val="21"/>
                <w:highlight w:val="none"/>
              </w:rPr>
              <w:t>CO</w:t>
            </w:r>
            <w:r>
              <w:rPr>
                <w:rFonts w:ascii="微软雅黑" w:hAnsi="微软雅黑"/>
                <w:color w:val="auto"/>
                <w:szCs w:val="21"/>
                <w:highlight w:val="none"/>
                <w:vertAlign w:val="subscript"/>
              </w:rPr>
              <w:t>2</w:t>
            </w:r>
            <w:r>
              <w:rPr>
                <w:rFonts w:hint="eastAsia" w:ascii="微软雅黑" w:hAnsi="微软雅黑"/>
                <w:color w:val="auto"/>
                <w:szCs w:val="21"/>
                <w:highlight w:val="none"/>
              </w:rPr>
              <w:t>转子流量计：量程</w:t>
            </w:r>
            <w:r>
              <w:rPr>
                <w:rFonts w:ascii="微软雅黑" w:hAnsi="微软雅黑"/>
                <w:color w:val="auto"/>
                <w:szCs w:val="21"/>
                <w:highlight w:val="none"/>
              </w:rPr>
              <w:t>40-400 L/h</w:t>
            </w:r>
            <w:r>
              <w:rPr>
                <w:rFonts w:hint="eastAsia" w:ascii="微软雅黑" w:hAnsi="微软雅黑"/>
                <w:color w:val="auto"/>
                <w:szCs w:val="21"/>
                <w:highlight w:val="none"/>
              </w:rPr>
              <w:t>。气体质量流量计：量程</w:t>
            </w:r>
            <w:r>
              <w:rPr>
                <w:rFonts w:ascii="微软雅黑" w:hAnsi="微软雅黑"/>
                <w:color w:val="auto"/>
                <w:szCs w:val="21"/>
                <w:highlight w:val="none"/>
              </w:rPr>
              <w:t>0.5-28 m³/h</w:t>
            </w:r>
            <w:r>
              <w:rPr>
                <w:rFonts w:hint="eastAsia" w:ascii="微软雅黑" w:hAnsi="微软雅黑"/>
                <w:color w:val="auto"/>
                <w:szCs w:val="21"/>
                <w:highlight w:val="none"/>
              </w:rPr>
              <w:t>。吸收液流量计：量程</w:t>
            </w:r>
            <w:r>
              <w:rPr>
                <w:rFonts w:ascii="微软雅黑" w:hAnsi="微软雅黑"/>
                <w:color w:val="auto"/>
                <w:szCs w:val="21"/>
                <w:highlight w:val="none"/>
              </w:rPr>
              <w:t>40-400L/h</w:t>
            </w:r>
            <w:r>
              <w:rPr>
                <w:rFonts w:hint="eastAsia" w:ascii="微软雅黑" w:hAnsi="微软雅黑"/>
                <w:color w:val="auto"/>
                <w:szCs w:val="21"/>
                <w:highlight w:val="none"/>
              </w:rPr>
              <w:t>。解吸液流量计：量程</w:t>
            </w:r>
            <w:r>
              <w:rPr>
                <w:rFonts w:ascii="微软雅黑" w:hAnsi="微软雅黑"/>
                <w:color w:val="auto"/>
                <w:szCs w:val="21"/>
                <w:highlight w:val="none"/>
              </w:rPr>
              <w:t>40-400L/h</w:t>
            </w:r>
            <w:r>
              <w:rPr>
                <w:rFonts w:hint="eastAsia" w:ascii="微软雅黑" w:hAnsi="微软雅黑"/>
                <w:color w:val="auto"/>
                <w:szCs w:val="21"/>
                <w:highlight w:val="none"/>
              </w:rPr>
              <w:t>。</w:t>
            </w:r>
          </w:p>
          <w:p w14:paraId="622C58D7">
            <w:pPr>
              <w:numPr>
                <w:ilvl w:val="0"/>
                <w:numId w:val="19"/>
              </w:numPr>
              <w:spacing w:after="0" w:line="240" w:lineRule="auto"/>
              <w:ind w:left="0" w:firstLine="0" w:firstLineChars="0"/>
              <w:rPr>
                <w:rFonts w:ascii="微软雅黑" w:hAnsi="微软雅黑"/>
                <w:color w:val="auto"/>
                <w:szCs w:val="21"/>
                <w:highlight w:val="none"/>
              </w:rPr>
            </w:pPr>
            <w:r>
              <w:rPr>
                <w:rFonts w:hint="eastAsia" w:ascii="微软雅黑" w:hAnsi="微软雅黑"/>
                <w:color w:val="auto"/>
                <w:szCs w:val="21"/>
                <w:highlight w:val="none"/>
              </w:rPr>
              <w:t>旋涡气泵：</w:t>
            </w:r>
            <w:r>
              <w:rPr>
                <w:rFonts w:ascii="微软雅黑" w:hAnsi="微软雅黑"/>
                <w:color w:val="auto"/>
                <w:szCs w:val="21"/>
                <w:highlight w:val="none"/>
              </w:rPr>
              <w:t>不少于</w:t>
            </w:r>
            <w:r>
              <w:rPr>
                <w:rFonts w:hint="eastAsia" w:ascii="微软雅黑" w:hAnsi="微软雅黑" w:cs="@汉仪中黑 197"/>
                <w:color w:val="auto"/>
                <w:szCs w:val="21"/>
                <w:highlight w:val="none"/>
              </w:rPr>
              <w:t>2</w:t>
            </w:r>
            <w:r>
              <w:rPr>
                <w:rFonts w:hint="eastAsia" w:ascii="微软雅黑" w:hAnsi="微软雅黑"/>
                <w:color w:val="auto"/>
                <w:szCs w:val="21"/>
                <w:highlight w:val="none"/>
              </w:rPr>
              <w:t>个，风量</w:t>
            </w:r>
            <w:r>
              <w:rPr>
                <w:rFonts w:hint="eastAsia" w:ascii="微软雅黑" w:hAnsi="微软雅黑" w:cs="@汉仪中黑 197"/>
                <w:color w:val="auto"/>
                <w:szCs w:val="21"/>
                <w:highlight w:val="none"/>
              </w:rPr>
              <w:t>≥</w:t>
            </w:r>
            <w:r>
              <w:rPr>
                <w:rFonts w:ascii="微软雅黑" w:hAnsi="微软雅黑"/>
                <w:color w:val="auto"/>
                <w:szCs w:val="21"/>
                <w:highlight w:val="none"/>
              </w:rPr>
              <w:t>200m</w:t>
            </w:r>
            <w:r>
              <w:rPr>
                <w:rFonts w:ascii="微软雅黑" w:hAnsi="微软雅黑"/>
                <w:color w:val="auto"/>
                <w:szCs w:val="21"/>
                <w:highlight w:val="none"/>
                <w:vertAlign w:val="superscript"/>
              </w:rPr>
              <w:t>3</w:t>
            </w:r>
            <w:r>
              <w:rPr>
                <w:rFonts w:ascii="微软雅黑" w:hAnsi="微软雅黑"/>
                <w:color w:val="auto"/>
                <w:szCs w:val="21"/>
                <w:highlight w:val="none"/>
              </w:rPr>
              <w:t>/h</w:t>
            </w:r>
            <w:r>
              <w:rPr>
                <w:rFonts w:hint="eastAsia" w:ascii="微软雅黑" w:hAnsi="微软雅黑"/>
                <w:color w:val="auto"/>
                <w:szCs w:val="21"/>
                <w:highlight w:val="none"/>
              </w:rPr>
              <w:t>,风压</w:t>
            </w:r>
            <w:r>
              <w:rPr>
                <w:rFonts w:hint="eastAsia" w:ascii="微软雅黑" w:hAnsi="微软雅黑" w:cs="@汉仪中黑 197"/>
                <w:color w:val="auto"/>
                <w:szCs w:val="21"/>
                <w:highlight w:val="none"/>
              </w:rPr>
              <w:t>≥</w:t>
            </w:r>
            <w:r>
              <w:rPr>
                <w:rFonts w:hint="eastAsia" w:ascii="微软雅黑" w:hAnsi="微软雅黑"/>
                <w:color w:val="auto"/>
                <w:szCs w:val="21"/>
                <w:highlight w:val="none"/>
              </w:rPr>
              <w:t>19</w:t>
            </w:r>
            <w:r>
              <w:rPr>
                <w:rFonts w:ascii="微软雅黑" w:hAnsi="微软雅黑"/>
                <w:color w:val="auto"/>
                <w:szCs w:val="21"/>
                <w:highlight w:val="none"/>
              </w:rPr>
              <w:t>0mbar</w:t>
            </w:r>
            <w:r>
              <w:rPr>
                <w:rFonts w:hint="eastAsia" w:ascii="微软雅黑" w:hAnsi="微软雅黑"/>
                <w:color w:val="auto"/>
                <w:szCs w:val="21"/>
                <w:highlight w:val="none"/>
              </w:rPr>
              <w:t>。</w:t>
            </w:r>
          </w:p>
          <w:p w14:paraId="5A59103D">
            <w:pPr>
              <w:numPr>
                <w:ilvl w:val="0"/>
                <w:numId w:val="19"/>
              </w:numPr>
              <w:spacing w:after="0" w:line="240" w:lineRule="auto"/>
              <w:ind w:left="0" w:firstLine="0" w:firstLineChars="0"/>
              <w:rPr>
                <w:rFonts w:ascii="微软雅黑" w:hAnsi="微软雅黑" w:cs="@汉仪中黑 197"/>
                <w:color w:val="auto"/>
                <w:szCs w:val="21"/>
                <w:highlight w:val="none"/>
              </w:rPr>
            </w:pPr>
            <w:r>
              <w:rPr>
                <w:rFonts w:hint="eastAsia" w:ascii="微软雅黑" w:hAnsi="微软雅黑"/>
                <w:color w:val="auto"/>
                <w:szCs w:val="21"/>
                <w:highlight w:val="none"/>
              </w:rPr>
              <w:t>气体混合器：</w:t>
            </w:r>
            <w:r>
              <w:rPr>
                <w:rFonts w:ascii="微软雅黑" w:hAnsi="微软雅黑" w:cs="@汉仪中黑 197"/>
                <w:color w:val="auto"/>
                <w:szCs w:val="21"/>
                <w:highlight w:val="none"/>
              </w:rPr>
              <w:t>1</w:t>
            </w:r>
            <w:r>
              <w:rPr>
                <w:rFonts w:hint="eastAsia" w:ascii="微软雅黑" w:hAnsi="微软雅黑"/>
                <w:color w:val="auto"/>
                <w:szCs w:val="21"/>
                <w:highlight w:val="none"/>
              </w:rPr>
              <w:t>个，</w:t>
            </w:r>
            <w:r>
              <w:rPr>
                <w:rFonts w:hint="eastAsia" w:ascii="微软雅黑" w:hAnsi="微软雅黑" w:cs="@汉仪中黑 197"/>
                <w:color w:val="auto"/>
                <w:szCs w:val="21"/>
                <w:highlight w:val="none"/>
              </w:rPr>
              <w:t>3</w:t>
            </w:r>
            <w:r>
              <w:rPr>
                <w:rFonts w:ascii="微软雅黑" w:hAnsi="微软雅黑" w:cs="@汉仪中黑 197"/>
                <w:color w:val="auto"/>
                <w:szCs w:val="21"/>
                <w:highlight w:val="none"/>
              </w:rPr>
              <w:t>04</w:t>
            </w:r>
            <w:r>
              <w:rPr>
                <w:rFonts w:hint="eastAsia" w:ascii="微软雅黑" w:hAnsi="微软雅黑"/>
                <w:color w:val="auto"/>
                <w:szCs w:val="21"/>
                <w:highlight w:val="none"/>
              </w:rPr>
              <w:t>不锈钢材质，长度不小于200mm。</w:t>
            </w:r>
          </w:p>
          <w:p w14:paraId="25D0CFB9">
            <w:pPr>
              <w:numPr>
                <w:ilvl w:val="0"/>
                <w:numId w:val="19"/>
              </w:numPr>
              <w:spacing w:after="0" w:line="240" w:lineRule="auto"/>
              <w:ind w:left="0" w:firstLine="0" w:firstLineChars="0"/>
              <w:rPr>
                <w:rFonts w:ascii="微软雅黑" w:hAnsi="微软雅黑" w:cs="@汉仪中黑 197"/>
                <w:color w:val="auto"/>
                <w:szCs w:val="21"/>
                <w:highlight w:val="none"/>
              </w:rPr>
            </w:pPr>
            <w:r>
              <w:rPr>
                <w:rFonts w:hint="eastAsia" w:ascii="微软雅黑" w:hAnsi="微软雅黑"/>
                <w:color w:val="auto"/>
                <w:szCs w:val="21"/>
                <w:highlight w:val="none"/>
              </w:rPr>
              <w:t>气体混合罐：</w:t>
            </w:r>
            <w:r>
              <w:rPr>
                <w:rFonts w:ascii="微软雅黑" w:hAnsi="微软雅黑" w:cs="@汉仪中黑 197"/>
                <w:color w:val="auto"/>
                <w:szCs w:val="21"/>
                <w:highlight w:val="none"/>
              </w:rPr>
              <w:t>1</w:t>
            </w:r>
            <w:r>
              <w:rPr>
                <w:rFonts w:hint="eastAsia" w:ascii="微软雅黑" w:hAnsi="微软雅黑"/>
                <w:color w:val="auto"/>
                <w:szCs w:val="21"/>
                <w:highlight w:val="none"/>
              </w:rPr>
              <w:t>个，</w:t>
            </w:r>
            <w:r>
              <w:rPr>
                <w:rFonts w:hint="eastAsia" w:ascii="微软雅黑" w:hAnsi="微软雅黑" w:cs="@汉仪中黑 197"/>
                <w:color w:val="auto"/>
                <w:szCs w:val="21"/>
                <w:highlight w:val="none"/>
              </w:rPr>
              <w:t>3</w:t>
            </w:r>
            <w:r>
              <w:rPr>
                <w:rFonts w:ascii="微软雅黑" w:hAnsi="微软雅黑" w:cs="@汉仪中黑 197"/>
                <w:color w:val="auto"/>
                <w:szCs w:val="21"/>
                <w:highlight w:val="none"/>
              </w:rPr>
              <w:t>04</w:t>
            </w:r>
            <w:r>
              <w:rPr>
                <w:rFonts w:hint="eastAsia" w:ascii="微软雅黑" w:hAnsi="微软雅黑"/>
                <w:color w:val="auto"/>
                <w:szCs w:val="21"/>
                <w:highlight w:val="none"/>
              </w:rPr>
              <w:t>不锈钢材质，壁厚不小于1.5mm。</w:t>
            </w:r>
          </w:p>
          <w:p w14:paraId="56BDC4B2">
            <w:pPr>
              <w:pStyle w:val="28"/>
              <w:numPr>
                <w:ilvl w:val="0"/>
                <w:numId w:val="19"/>
              </w:numPr>
              <w:spacing w:after="0" w:line="240" w:lineRule="auto"/>
              <w:ind w:left="0" w:firstLine="0" w:firstLineChars="0"/>
              <w:jc w:val="both"/>
              <w:rPr>
                <w:rFonts w:ascii="微软雅黑" w:hAnsi="微软雅黑"/>
                <w:color w:val="auto"/>
                <w:szCs w:val="21"/>
                <w:highlight w:val="none"/>
              </w:rPr>
            </w:pPr>
            <w:r>
              <w:rPr>
                <w:rFonts w:ascii="微软雅黑" w:hAnsi="微软雅黑" w:cs="宋体"/>
                <w:color w:val="auto"/>
                <w:szCs w:val="21"/>
                <w:highlight w:val="none"/>
              </w:rPr>
              <w:t>水箱：长</w:t>
            </w:r>
            <w:r>
              <w:rPr>
                <w:rFonts w:ascii="微软雅黑" w:hAnsi="微软雅黑"/>
                <w:color w:val="auto"/>
                <w:szCs w:val="21"/>
                <w:highlight w:val="none"/>
              </w:rPr>
              <w:t>*</w:t>
            </w:r>
            <w:r>
              <w:rPr>
                <w:rFonts w:ascii="微软雅黑" w:hAnsi="微软雅黑" w:cs="宋体"/>
                <w:color w:val="auto"/>
                <w:szCs w:val="21"/>
                <w:highlight w:val="none"/>
              </w:rPr>
              <w:t>宽</w:t>
            </w:r>
            <w:r>
              <w:rPr>
                <w:rFonts w:ascii="微软雅黑" w:hAnsi="微软雅黑"/>
                <w:color w:val="auto"/>
                <w:szCs w:val="21"/>
                <w:highlight w:val="none"/>
              </w:rPr>
              <w:t>*</w:t>
            </w:r>
            <w:r>
              <w:rPr>
                <w:rFonts w:ascii="微软雅黑" w:hAnsi="微软雅黑" w:cs="宋体"/>
                <w:color w:val="auto"/>
                <w:szCs w:val="21"/>
                <w:highlight w:val="none"/>
              </w:rPr>
              <w:t>高尺寸不小于</w:t>
            </w:r>
            <w:r>
              <w:rPr>
                <w:rFonts w:ascii="微软雅黑" w:hAnsi="微软雅黑"/>
                <w:color w:val="auto"/>
                <w:szCs w:val="21"/>
                <w:highlight w:val="none"/>
              </w:rPr>
              <w:t>500*500*500mm</w:t>
            </w:r>
            <w:r>
              <w:rPr>
                <w:rFonts w:ascii="微软雅黑" w:hAnsi="微软雅黑" w:cs="宋体"/>
                <w:color w:val="auto"/>
                <w:szCs w:val="21"/>
                <w:highlight w:val="none"/>
              </w:rPr>
              <w:t>，</w:t>
            </w:r>
            <w:r>
              <w:rPr>
                <w:rFonts w:ascii="微软雅黑" w:hAnsi="微软雅黑"/>
                <w:color w:val="auto"/>
                <w:szCs w:val="21"/>
                <w:highlight w:val="none"/>
              </w:rPr>
              <w:t>1</w:t>
            </w:r>
            <w:r>
              <w:rPr>
                <w:rFonts w:ascii="微软雅黑" w:hAnsi="微软雅黑" w:cs="宋体"/>
                <w:color w:val="auto"/>
                <w:szCs w:val="21"/>
                <w:highlight w:val="none"/>
              </w:rPr>
              <w:t>个，</w:t>
            </w:r>
            <w:r>
              <w:rPr>
                <w:rFonts w:ascii="微软雅黑" w:hAnsi="微软雅黑"/>
                <w:color w:val="auto"/>
                <w:szCs w:val="21"/>
                <w:highlight w:val="none"/>
              </w:rPr>
              <w:t>304</w:t>
            </w:r>
            <w:r>
              <w:rPr>
                <w:rFonts w:ascii="微软雅黑" w:hAnsi="微软雅黑" w:cs="宋体"/>
                <w:color w:val="auto"/>
                <w:szCs w:val="21"/>
                <w:highlight w:val="none"/>
              </w:rPr>
              <w:t>不锈钢材质</w:t>
            </w:r>
            <w:r>
              <w:rPr>
                <w:rFonts w:hint="eastAsia" w:ascii="微软雅黑" w:hAnsi="微软雅黑" w:cs="宋体"/>
                <w:color w:val="auto"/>
                <w:szCs w:val="21"/>
                <w:highlight w:val="none"/>
              </w:rPr>
              <w:t>，</w:t>
            </w:r>
            <w:r>
              <w:rPr>
                <w:rFonts w:hint="eastAsia" w:ascii="微软雅黑" w:hAnsi="微软雅黑"/>
                <w:color w:val="auto"/>
                <w:szCs w:val="21"/>
                <w:highlight w:val="none"/>
              </w:rPr>
              <w:t>壁厚不小于1.5mm</w:t>
            </w:r>
            <w:r>
              <w:rPr>
                <w:rFonts w:ascii="微软雅黑" w:hAnsi="微软雅黑" w:cs="宋体"/>
                <w:color w:val="auto"/>
                <w:szCs w:val="21"/>
                <w:highlight w:val="none"/>
              </w:rPr>
              <w:t>。</w:t>
            </w:r>
          </w:p>
          <w:p w14:paraId="492FCE5C">
            <w:pPr>
              <w:pStyle w:val="28"/>
              <w:numPr>
                <w:ilvl w:val="0"/>
                <w:numId w:val="19"/>
              </w:numPr>
              <w:spacing w:after="0" w:line="240" w:lineRule="auto"/>
              <w:ind w:left="0" w:firstLine="0" w:firstLineChars="0"/>
              <w:jc w:val="both"/>
              <w:rPr>
                <w:rFonts w:ascii="微软雅黑" w:hAnsi="微软雅黑"/>
                <w:color w:val="auto"/>
                <w:szCs w:val="21"/>
                <w:highlight w:val="none"/>
              </w:rPr>
            </w:pPr>
            <w:r>
              <w:rPr>
                <w:rFonts w:ascii="微软雅黑" w:hAnsi="微软雅黑" w:cs="宋体"/>
                <w:color w:val="auto"/>
                <w:szCs w:val="21"/>
                <w:highlight w:val="none"/>
              </w:rPr>
              <w:t>水箱：长</w:t>
            </w:r>
            <w:r>
              <w:rPr>
                <w:rFonts w:ascii="微软雅黑" w:hAnsi="微软雅黑"/>
                <w:color w:val="auto"/>
                <w:szCs w:val="21"/>
                <w:highlight w:val="none"/>
              </w:rPr>
              <w:t>*</w:t>
            </w:r>
            <w:r>
              <w:rPr>
                <w:rFonts w:ascii="微软雅黑" w:hAnsi="微软雅黑" w:cs="宋体"/>
                <w:color w:val="auto"/>
                <w:szCs w:val="21"/>
                <w:highlight w:val="none"/>
              </w:rPr>
              <w:t>宽</w:t>
            </w:r>
            <w:r>
              <w:rPr>
                <w:rFonts w:ascii="微软雅黑" w:hAnsi="微软雅黑"/>
                <w:color w:val="auto"/>
                <w:szCs w:val="21"/>
                <w:highlight w:val="none"/>
              </w:rPr>
              <w:t>*</w:t>
            </w:r>
            <w:r>
              <w:rPr>
                <w:rFonts w:ascii="微软雅黑" w:hAnsi="微软雅黑" w:cs="宋体"/>
                <w:color w:val="auto"/>
                <w:szCs w:val="21"/>
                <w:highlight w:val="none"/>
              </w:rPr>
              <w:t>高尺寸不小于</w:t>
            </w:r>
            <w:r>
              <w:rPr>
                <w:rFonts w:ascii="微软雅黑" w:hAnsi="微软雅黑"/>
                <w:color w:val="auto"/>
                <w:szCs w:val="21"/>
                <w:highlight w:val="none"/>
              </w:rPr>
              <w:t>500*250*500mm</w:t>
            </w:r>
            <w:r>
              <w:rPr>
                <w:rFonts w:ascii="微软雅黑" w:hAnsi="微软雅黑" w:cs="宋体"/>
                <w:color w:val="auto"/>
                <w:szCs w:val="21"/>
                <w:highlight w:val="none"/>
              </w:rPr>
              <w:t>，</w:t>
            </w:r>
            <w:r>
              <w:rPr>
                <w:rFonts w:ascii="微软雅黑" w:hAnsi="微软雅黑"/>
                <w:color w:val="auto"/>
                <w:szCs w:val="21"/>
                <w:highlight w:val="none"/>
              </w:rPr>
              <w:t>1</w:t>
            </w:r>
            <w:r>
              <w:rPr>
                <w:rFonts w:ascii="微软雅黑" w:hAnsi="微软雅黑" w:cs="宋体"/>
                <w:color w:val="auto"/>
                <w:szCs w:val="21"/>
                <w:highlight w:val="none"/>
              </w:rPr>
              <w:t>个，</w:t>
            </w:r>
            <w:r>
              <w:rPr>
                <w:rFonts w:ascii="微软雅黑" w:hAnsi="微软雅黑"/>
                <w:color w:val="auto"/>
                <w:szCs w:val="21"/>
                <w:highlight w:val="none"/>
              </w:rPr>
              <w:t>304</w:t>
            </w:r>
            <w:r>
              <w:rPr>
                <w:rFonts w:ascii="微软雅黑" w:hAnsi="微软雅黑" w:cs="宋体"/>
                <w:color w:val="auto"/>
                <w:szCs w:val="21"/>
                <w:highlight w:val="none"/>
              </w:rPr>
              <w:t>不锈钢材质</w:t>
            </w:r>
            <w:r>
              <w:rPr>
                <w:rFonts w:hint="eastAsia" w:ascii="微软雅黑" w:hAnsi="微软雅黑" w:cs="宋体"/>
                <w:color w:val="auto"/>
                <w:szCs w:val="21"/>
                <w:highlight w:val="none"/>
              </w:rPr>
              <w:t>，</w:t>
            </w:r>
            <w:r>
              <w:rPr>
                <w:rFonts w:hint="eastAsia" w:ascii="微软雅黑" w:hAnsi="微软雅黑"/>
                <w:color w:val="auto"/>
                <w:szCs w:val="21"/>
                <w:highlight w:val="none"/>
              </w:rPr>
              <w:t>壁厚不小于1.5mm。</w:t>
            </w:r>
          </w:p>
          <w:p w14:paraId="4A0C7643">
            <w:pPr>
              <w:pStyle w:val="28"/>
              <w:numPr>
                <w:ilvl w:val="0"/>
                <w:numId w:val="19"/>
              </w:numPr>
              <w:spacing w:after="0" w:line="240" w:lineRule="auto"/>
              <w:ind w:left="0" w:firstLine="0" w:firstLineChars="0"/>
              <w:jc w:val="both"/>
              <w:rPr>
                <w:rFonts w:ascii="微软雅黑" w:hAnsi="微软雅黑"/>
                <w:color w:val="auto"/>
                <w:szCs w:val="21"/>
                <w:highlight w:val="none"/>
              </w:rPr>
            </w:pPr>
            <w:r>
              <w:rPr>
                <w:rFonts w:ascii="微软雅黑" w:hAnsi="微软雅黑" w:cs="宋体"/>
                <w:color w:val="auto"/>
                <w:szCs w:val="21"/>
                <w:highlight w:val="none"/>
              </w:rPr>
              <w:t>泵：离心泵，不少于2个，扬程</w:t>
            </w:r>
            <w:r>
              <w:rPr>
                <w:rFonts w:hint="eastAsia" w:ascii="微软雅黑" w:hAnsi="微软雅黑" w:cs="宋体"/>
                <w:color w:val="auto"/>
                <w:szCs w:val="21"/>
                <w:highlight w:val="none"/>
              </w:rPr>
              <w:t>不小于</w:t>
            </w:r>
            <w:r>
              <w:rPr>
                <w:rFonts w:ascii="微软雅黑" w:hAnsi="微软雅黑"/>
                <w:color w:val="auto"/>
                <w:szCs w:val="21"/>
                <w:highlight w:val="none"/>
              </w:rPr>
              <w:t>10m</w:t>
            </w:r>
            <w:r>
              <w:rPr>
                <w:rFonts w:ascii="微软雅黑" w:hAnsi="微软雅黑" w:cs="宋体"/>
                <w:color w:val="auto"/>
                <w:szCs w:val="21"/>
                <w:highlight w:val="none"/>
              </w:rPr>
              <w:t>。</w:t>
            </w:r>
          </w:p>
          <w:p w14:paraId="5B21D62F">
            <w:pPr>
              <w:numPr>
                <w:ilvl w:val="0"/>
                <w:numId w:val="19"/>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olor w:val="auto"/>
                <w:szCs w:val="21"/>
                <w:highlight w:val="none"/>
              </w:rPr>
              <w:t>温度传感器：</w:t>
            </w:r>
            <w:r>
              <w:rPr>
                <w:rFonts w:ascii="微软雅黑" w:hAnsi="微软雅黑"/>
                <w:color w:val="auto"/>
                <w:szCs w:val="21"/>
                <w:highlight w:val="none"/>
              </w:rPr>
              <w:t>不少于6</w:t>
            </w:r>
            <w:r>
              <w:rPr>
                <w:rFonts w:hint="eastAsia" w:ascii="微软雅黑" w:hAnsi="微软雅黑"/>
                <w:color w:val="auto"/>
                <w:szCs w:val="21"/>
                <w:highlight w:val="none"/>
              </w:rPr>
              <w:t>个，PT100型热电偶，B级精度。</w:t>
            </w:r>
          </w:p>
          <w:p w14:paraId="3C22ADDA">
            <w:pPr>
              <w:numPr>
                <w:ilvl w:val="0"/>
                <w:numId w:val="19"/>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olor w:val="auto"/>
                <w:szCs w:val="21"/>
                <w:highlight w:val="none"/>
              </w:rPr>
              <w:t>压力表：</w:t>
            </w:r>
            <w:r>
              <w:rPr>
                <w:rFonts w:ascii="微软雅黑" w:hAnsi="微软雅黑"/>
                <w:color w:val="auto"/>
                <w:szCs w:val="21"/>
                <w:highlight w:val="none"/>
              </w:rPr>
              <w:t>不少于1</w:t>
            </w:r>
            <w:r>
              <w:rPr>
                <w:rFonts w:hint="eastAsia" w:ascii="微软雅黑" w:hAnsi="微软雅黑"/>
                <w:color w:val="auto"/>
                <w:szCs w:val="21"/>
                <w:highlight w:val="none"/>
              </w:rPr>
              <w:t>个，量程不小于0</w:t>
            </w:r>
            <w:r>
              <w:rPr>
                <w:rFonts w:ascii="微软雅黑" w:hAnsi="微软雅黑"/>
                <w:color w:val="auto"/>
                <w:szCs w:val="21"/>
                <w:highlight w:val="none"/>
              </w:rPr>
              <w:t>.6MP</w:t>
            </w:r>
            <w:r>
              <w:rPr>
                <w:rFonts w:hint="eastAsia" w:ascii="微软雅黑" w:hAnsi="微软雅黑"/>
                <w:color w:val="auto"/>
                <w:szCs w:val="21"/>
                <w:highlight w:val="none"/>
              </w:rPr>
              <w:t>a。</w:t>
            </w:r>
          </w:p>
          <w:p w14:paraId="197469CD">
            <w:pPr>
              <w:numPr>
                <w:ilvl w:val="0"/>
                <w:numId w:val="19"/>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olor w:val="auto"/>
                <w:szCs w:val="21"/>
                <w:highlight w:val="none"/>
              </w:rPr>
              <w:t>压力变送器：</w:t>
            </w:r>
            <w:r>
              <w:rPr>
                <w:rFonts w:ascii="微软雅黑" w:hAnsi="微软雅黑"/>
                <w:color w:val="auto"/>
                <w:szCs w:val="21"/>
                <w:highlight w:val="none"/>
              </w:rPr>
              <w:t>不少于4</w:t>
            </w:r>
            <w:r>
              <w:rPr>
                <w:rFonts w:hint="eastAsia" w:ascii="微软雅黑" w:hAnsi="微软雅黑"/>
                <w:color w:val="auto"/>
                <w:szCs w:val="21"/>
                <w:highlight w:val="none"/>
              </w:rPr>
              <w:t>个，量程0</w:t>
            </w:r>
            <w:r>
              <w:rPr>
                <w:rFonts w:ascii="微软雅黑" w:hAnsi="微软雅黑"/>
                <w:color w:val="auto"/>
                <w:szCs w:val="21"/>
                <w:highlight w:val="none"/>
              </w:rPr>
              <w:t>-50</w:t>
            </w:r>
            <w:r>
              <w:rPr>
                <w:rFonts w:hint="eastAsia" w:ascii="微软雅黑" w:hAnsi="微软雅黑"/>
                <w:color w:val="auto"/>
                <w:szCs w:val="21"/>
                <w:highlight w:val="none"/>
              </w:rPr>
              <w:t>k</w:t>
            </w:r>
            <w:r>
              <w:rPr>
                <w:rFonts w:ascii="微软雅黑" w:hAnsi="微软雅黑"/>
                <w:color w:val="auto"/>
                <w:szCs w:val="21"/>
                <w:highlight w:val="none"/>
              </w:rPr>
              <w:t>P</w:t>
            </w:r>
            <w:r>
              <w:rPr>
                <w:rFonts w:hint="eastAsia" w:ascii="微软雅黑" w:hAnsi="微软雅黑"/>
                <w:color w:val="auto"/>
                <w:szCs w:val="21"/>
                <w:highlight w:val="none"/>
              </w:rPr>
              <w:t>a。</w:t>
            </w:r>
          </w:p>
          <w:p w14:paraId="220B9CA4">
            <w:pPr>
              <w:numPr>
                <w:ilvl w:val="0"/>
                <w:numId w:val="19"/>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olor w:val="auto"/>
                <w:szCs w:val="21"/>
                <w:highlight w:val="none"/>
              </w:rPr>
              <w:t>倒U型压差计：</w:t>
            </w:r>
            <w:r>
              <w:rPr>
                <w:rFonts w:ascii="微软雅黑" w:hAnsi="微软雅黑"/>
                <w:color w:val="auto"/>
                <w:szCs w:val="21"/>
                <w:highlight w:val="none"/>
              </w:rPr>
              <w:t>2</w:t>
            </w:r>
            <w:r>
              <w:rPr>
                <w:rFonts w:hint="eastAsia" w:ascii="微软雅黑" w:hAnsi="微软雅黑"/>
                <w:color w:val="auto"/>
                <w:szCs w:val="21"/>
                <w:highlight w:val="none"/>
              </w:rPr>
              <w:t>台，量程±</w:t>
            </w:r>
            <w:r>
              <w:rPr>
                <w:rFonts w:ascii="微软雅黑" w:hAnsi="微软雅黑"/>
                <w:color w:val="auto"/>
                <w:szCs w:val="21"/>
                <w:highlight w:val="none"/>
              </w:rPr>
              <w:t>5000P</w:t>
            </w:r>
            <w:r>
              <w:rPr>
                <w:rFonts w:hint="eastAsia" w:ascii="微软雅黑" w:hAnsi="微软雅黑"/>
                <w:color w:val="auto"/>
                <w:szCs w:val="21"/>
                <w:highlight w:val="none"/>
              </w:rPr>
              <w:t>a。</w:t>
            </w:r>
          </w:p>
          <w:p w14:paraId="3284F7C7">
            <w:pPr>
              <w:numPr>
                <w:ilvl w:val="0"/>
                <w:numId w:val="19"/>
              </w:numPr>
              <w:spacing w:after="0" w:line="240" w:lineRule="auto"/>
              <w:ind w:left="0" w:firstLine="0" w:firstLineChars="0"/>
              <w:jc w:val="both"/>
              <w:rPr>
                <w:rFonts w:ascii="微软雅黑" w:hAnsi="微软雅黑"/>
                <w:color w:val="auto"/>
                <w:szCs w:val="21"/>
                <w:highlight w:val="none"/>
              </w:rPr>
            </w:pPr>
            <w:r>
              <w:rPr>
                <w:rFonts w:hint="eastAsia" w:ascii="微软雅黑" w:hAnsi="微软雅黑"/>
                <w:color w:val="auto"/>
                <w:kern w:val="0"/>
                <w:szCs w:val="21"/>
                <w:highlight w:val="none"/>
              </w:rPr>
              <w:t>★</w:t>
            </w:r>
            <w:r>
              <w:rPr>
                <w:rFonts w:hint="eastAsia" w:ascii="微软雅黑" w:hAnsi="微软雅黑"/>
                <w:color w:val="auto"/>
                <w:szCs w:val="21"/>
                <w:highlight w:val="none"/>
              </w:rPr>
              <w:t>智能测控数显仪表：</w:t>
            </w:r>
            <w:r>
              <w:rPr>
                <w:rFonts w:ascii="微软雅黑" w:hAnsi="微软雅黑"/>
                <w:color w:val="auto"/>
                <w:szCs w:val="21"/>
                <w:highlight w:val="none"/>
              </w:rPr>
              <w:t>不少于12</w:t>
            </w:r>
            <w:r>
              <w:rPr>
                <w:rFonts w:hint="eastAsia" w:ascii="微软雅黑" w:hAnsi="微软雅黑"/>
                <w:color w:val="auto"/>
                <w:szCs w:val="21"/>
                <w:highlight w:val="none"/>
              </w:rPr>
              <w:t>个，支持测控、数码显示，显示范围0-9999，用于显示和控制温度、流量、压力等数据。</w:t>
            </w:r>
          </w:p>
          <w:p w14:paraId="3222499D">
            <w:pPr>
              <w:numPr>
                <w:ilvl w:val="0"/>
                <w:numId w:val="19"/>
              </w:numPr>
              <w:spacing w:after="0" w:line="240" w:lineRule="auto"/>
              <w:ind w:left="0" w:firstLine="0" w:firstLineChars="0"/>
              <w:rPr>
                <w:rFonts w:ascii="微软雅黑" w:hAnsi="微软雅黑"/>
                <w:color w:val="auto"/>
                <w:szCs w:val="21"/>
                <w:highlight w:val="none"/>
              </w:rPr>
            </w:pPr>
            <w:r>
              <w:rPr>
                <w:rFonts w:hint="eastAsia" w:ascii="微软雅黑" w:hAnsi="微软雅黑"/>
                <w:color w:val="auto"/>
                <w:kern w:val="0"/>
                <w:szCs w:val="21"/>
                <w:highlight w:val="none"/>
              </w:rPr>
              <w:t>★</w:t>
            </w:r>
            <w:r>
              <w:rPr>
                <w:rFonts w:hint="eastAsia" w:ascii="微软雅黑" w:hAnsi="微软雅黑"/>
                <w:color w:val="auto"/>
                <w:szCs w:val="21"/>
                <w:highlight w:val="none"/>
              </w:rPr>
              <w:t>管路：管路采用304不锈钢材质，壁厚不小于2mm，接头采用304不锈钢法兰，焊接工艺。</w:t>
            </w:r>
          </w:p>
          <w:p w14:paraId="686EC7FA">
            <w:pPr>
              <w:numPr>
                <w:ilvl w:val="0"/>
                <w:numId w:val="19"/>
              </w:numPr>
              <w:spacing w:after="0" w:line="240" w:lineRule="auto"/>
              <w:ind w:left="0" w:firstLine="0" w:firstLineChars="0"/>
              <w:rPr>
                <w:rFonts w:ascii="微软雅黑" w:hAnsi="微软雅黑"/>
                <w:color w:val="auto"/>
                <w:szCs w:val="21"/>
                <w:highlight w:val="none"/>
              </w:rPr>
            </w:pPr>
            <w:r>
              <w:rPr>
                <w:rFonts w:hint="eastAsia" w:ascii="微软雅黑" w:hAnsi="微软雅黑"/>
                <w:color w:val="auto"/>
                <w:szCs w:val="21"/>
                <w:highlight w:val="none"/>
              </w:rPr>
              <w:t>阀门：1批，304不锈钢材质工业级阀门，规格与管路配套。</w:t>
            </w:r>
          </w:p>
          <w:p w14:paraId="7CFAA7A5">
            <w:pPr>
              <w:numPr>
                <w:ilvl w:val="0"/>
                <w:numId w:val="19"/>
              </w:numPr>
              <w:spacing w:after="0" w:line="240" w:lineRule="auto"/>
              <w:ind w:left="0" w:firstLine="0" w:firstLineChars="0"/>
              <w:rPr>
                <w:rFonts w:ascii="微软雅黑" w:hAnsi="微软雅黑"/>
                <w:color w:val="auto"/>
                <w:szCs w:val="21"/>
                <w:highlight w:val="none"/>
              </w:rPr>
            </w:pPr>
            <w:r>
              <w:rPr>
                <w:rFonts w:hint="eastAsia" w:ascii="微软雅黑" w:hAnsi="微软雅黑"/>
                <w:color w:val="auto"/>
                <w:kern w:val="0"/>
                <w:szCs w:val="21"/>
                <w:highlight w:val="none"/>
              </w:rPr>
              <w:t>★</w:t>
            </w:r>
            <w:r>
              <w:rPr>
                <w:rFonts w:hint="eastAsia" w:ascii="微软雅黑" w:hAnsi="微软雅黑"/>
                <w:color w:val="auto"/>
                <w:szCs w:val="21"/>
                <w:highlight w:val="none"/>
              </w:rPr>
              <w:t>一体化触控屏工业物联网主机：嵌入控制柜式安装，触控屏尺寸不低于10.1寸。OS支持Windows10及以上,RAM不小于4G,SSD不小于32G。支持RS232、RJ45、USB3.0、IEEE 802.11 b/g/n通信协议。主机全封闭设计，无风扇金属散热。具备集成物联网系统功能，实现本装置数据采集、上传、测控等通信功能。</w:t>
            </w:r>
          </w:p>
          <w:p w14:paraId="36FE5F60">
            <w:pPr>
              <w:numPr>
                <w:ilvl w:val="0"/>
                <w:numId w:val="19"/>
              </w:numPr>
              <w:spacing w:after="0" w:line="240" w:lineRule="auto"/>
              <w:ind w:left="0" w:firstLine="0" w:firstLineChars="0"/>
              <w:rPr>
                <w:rFonts w:ascii="微软雅黑" w:hAnsi="微软雅黑"/>
                <w:color w:val="auto"/>
                <w:szCs w:val="21"/>
                <w:highlight w:val="none"/>
              </w:rPr>
            </w:pPr>
            <w:r>
              <w:rPr>
                <w:rFonts w:hint="eastAsia" w:ascii="微软雅黑" w:hAnsi="微软雅黑"/>
                <w:color w:val="auto"/>
                <w:kern w:val="0"/>
                <w:szCs w:val="21"/>
                <w:highlight w:val="none"/>
              </w:rPr>
              <w:t>★</w:t>
            </w:r>
            <w:r>
              <w:rPr>
                <w:rFonts w:hint="eastAsia" w:ascii="微软雅黑" w:hAnsi="微软雅黑"/>
                <w:color w:val="auto"/>
                <w:szCs w:val="21"/>
                <w:highlight w:val="none"/>
              </w:rPr>
              <w:t>配套检测仪器1套，两套设备共用一台检测仪器：包括色谱仪，同步配套色谱工作站、色谱专用电脑、氢气发生器、配套TCD检测器、六通阀，支持双通道进样检测。色谱检测器参数：配套TCD检测器（灵敏度</w:t>
            </w:r>
            <w:r>
              <w:rPr>
                <w:rFonts w:ascii="微软雅黑" w:hAnsi="微软雅黑"/>
                <w:color w:val="auto"/>
                <w:szCs w:val="21"/>
                <w:highlight w:val="none"/>
              </w:rPr>
              <w:t>S</w:t>
            </w:r>
            <w:r>
              <w:rPr>
                <w:rFonts w:hint="eastAsia" w:ascii="微软雅黑" w:hAnsi="微软雅黑"/>
                <w:color w:val="auto"/>
                <w:szCs w:val="21"/>
                <w:highlight w:val="none"/>
              </w:rPr>
              <w:t>≥</w:t>
            </w:r>
            <w:r>
              <w:rPr>
                <w:rFonts w:ascii="微软雅黑" w:hAnsi="微软雅黑"/>
                <w:color w:val="auto"/>
                <w:szCs w:val="21"/>
                <w:highlight w:val="none"/>
              </w:rPr>
              <w:t>3500mv·mL/mg</w:t>
            </w:r>
            <w:r>
              <w:rPr>
                <w:rFonts w:hint="eastAsia" w:ascii="微软雅黑" w:hAnsi="微软雅黑"/>
                <w:color w:val="auto"/>
                <w:szCs w:val="21"/>
                <w:highlight w:val="none"/>
              </w:rPr>
              <w:t>）。控温区域：六路控温。控温精度：±</w:t>
            </w:r>
            <w:r>
              <w:rPr>
                <w:rFonts w:ascii="微软雅黑" w:hAnsi="微软雅黑"/>
                <w:color w:val="auto"/>
                <w:szCs w:val="21"/>
                <w:highlight w:val="none"/>
              </w:rPr>
              <w:t>0.1℃</w:t>
            </w:r>
            <w:r>
              <w:rPr>
                <w:rFonts w:hint="eastAsia" w:ascii="微软雅黑" w:hAnsi="微软雅黑"/>
                <w:color w:val="auto"/>
                <w:szCs w:val="21"/>
                <w:highlight w:val="none"/>
              </w:rPr>
              <w:t>—</w:t>
            </w:r>
            <w:r>
              <w:rPr>
                <w:rFonts w:ascii="微软雅黑" w:hAnsi="微软雅黑"/>
                <w:color w:val="auto"/>
                <w:szCs w:val="21"/>
                <w:highlight w:val="none"/>
              </w:rPr>
              <w:t>±0.2℃。控温范围：室温±6℃</w:t>
            </w:r>
            <w:r>
              <w:rPr>
                <w:rFonts w:hint="eastAsia" w:ascii="微软雅黑" w:hAnsi="微软雅黑"/>
                <w:color w:val="auto"/>
                <w:szCs w:val="21"/>
                <w:highlight w:val="none"/>
              </w:rPr>
              <w:t>—</w:t>
            </w:r>
            <w:r>
              <w:rPr>
                <w:rFonts w:ascii="微软雅黑" w:hAnsi="微软雅黑"/>
                <w:color w:val="auto"/>
                <w:szCs w:val="21"/>
                <w:highlight w:val="none"/>
              </w:rPr>
              <w:t>400℃，以1℃为增量。程序升温：七阶程序升温。 电源：220V</w:t>
            </w:r>
            <w:r>
              <w:rPr>
                <w:rFonts w:hint="eastAsia" w:ascii="微软雅黑" w:hAnsi="微软雅黑"/>
                <w:color w:val="auto"/>
                <w:szCs w:val="21"/>
                <w:highlight w:val="none"/>
              </w:rPr>
              <w:t>，</w:t>
            </w:r>
            <w:r>
              <w:rPr>
                <w:rFonts w:ascii="微软雅黑" w:hAnsi="微软雅黑"/>
                <w:color w:val="auto"/>
                <w:szCs w:val="21"/>
                <w:highlight w:val="none"/>
              </w:rPr>
              <w:t>50H</w:t>
            </w:r>
            <w:r>
              <w:rPr>
                <w:rFonts w:hint="eastAsia" w:ascii="微软雅黑" w:hAnsi="微软雅黑"/>
                <w:color w:val="auto"/>
                <w:szCs w:val="21"/>
                <w:highlight w:val="none"/>
              </w:rPr>
              <w:t>z，</w:t>
            </w:r>
            <w:r>
              <w:rPr>
                <w:rFonts w:ascii="微软雅黑" w:hAnsi="微软雅黑"/>
                <w:color w:val="auto"/>
                <w:szCs w:val="21"/>
                <w:highlight w:val="none"/>
              </w:rPr>
              <w:t>2000W</w:t>
            </w:r>
            <w:r>
              <w:rPr>
                <w:rFonts w:hint="eastAsia" w:ascii="微软雅黑" w:hAnsi="微软雅黑"/>
                <w:color w:val="auto"/>
                <w:szCs w:val="21"/>
                <w:highlight w:val="none"/>
              </w:rPr>
              <w:t>。</w:t>
            </w:r>
            <w:r>
              <w:rPr>
                <w:rFonts w:hint="eastAsia" w:ascii="微软雅黑" w:hAnsi="微软雅黑"/>
                <w:color w:val="auto"/>
                <w:szCs w:val="21"/>
                <w:highlight w:val="none"/>
                <w:lang w:eastAsia="zh-CN"/>
              </w:rPr>
              <w:t>【投标文件中提供相关图纸、照片或效果图，不提供或提供不完整的，本项评审按负偏离处理】</w:t>
            </w:r>
          </w:p>
        </w:tc>
        <w:tc>
          <w:tcPr>
            <w:tcW w:w="765" w:type="dxa"/>
            <w:tcBorders>
              <w:top w:val="single" w:color="auto" w:sz="4" w:space="0"/>
              <w:left w:val="single" w:color="auto" w:sz="4" w:space="0"/>
              <w:bottom w:val="single" w:color="auto" w:sz="4" w:space="0"/>
              <w:right w:val="single" w:color="auto" w:sz="4" w:space="0"/>
            </w:tcBorders>
            <w:noWrap/>
            <w:vAlign w:val="center"/>
          </w:tcPr>
          <w:p w14:paraId="579DB838">
            <w:pPr>
              <w:widowControl/>
              <w:spacing w:after="0" w:line="240" w:lineRule="auto"/>
              <w:ind w:firstLine="0" w:firstLineChars="0"/>
              <w:jc w:val="center"/>
              <w:rPr>
                <w:rFonts w:ascii="微软雅黑" w:hAnsi="微软雅黑"/>
                <w:b/>
                <w:bCs/>
                <w:color w:val="auto"/>
                <w:kern w:val="0"/>
                <w:szCs w:val="21"/>
                <w:highlight w:val="none"/>
              </w:rPr>
            </w:pPr>
            <w:r>
              <w:rPr>
                <w:rFonts w:hint="eastAsia" w:ascii="微软雅黑" w:hAnsi="微软雅黑"/>
                <w:color w:val="auto"/>
                <w:szCs w:val="21"/>
                <w:highlight w:val="none"/>
              </w:rPr>
              <w:t>2</w:t>
            </w:r>
          </w:p>
        </w:tc>
        <w:tc>
          <w:tcPr>
            <w:tcW w:w="750" w:type="dxa"/>
            <w:tcBorders>
              <w:top w:val="single" w:color="auto" w:sz="4" w:space="0"/>
              <w:left w:val="nil"/>
              <w:bottom w:val="single" w:color="auto" w:sz="4" w:space="0"/>
              <w:right w:val="single" w:color="auto" w:sz="4" w:space="0"/>
            </w:tcBorders>
            <w:noWrap/>
            <w:vAlign w:val="center"/>
          </w:tcPr>
          <w:p w14:paraId="58B12E15">
            <w:pPr>
              <w:widowControl/>
              <w:spacing w:after="0" w:line="240" w:lineRule="auto"/>
              <w:ind w:firstLine="0" w:firstLineChars="0"/>
              <w:jc w:val="center"/>
              <w:rPr>
                <w:rFonts w:ascii="微软雅黑" w:hAnsi="微软雅黑"/>
                <w:color w:val="auto"/>
                <w:kern w:val="0"/>
                <w:szCs w:val="21"/>
                <w:highlight w:val="none"/>
              </w:rPr>
            </w:pPr>
            <w:r>
              <w:rPr>
                <w:rFonts w:hint="eastAsia" w:ascii="微软雅黑" w:hAnsi="微软雅黑"/>
                <w:color w:val="auto"/>
                <w:kern w:val="0"/>
                <w:szCs w:val="21"/>
                <w:highlight w:val="none"/>
              </w:rPr>
              <w:t>套</w:t>
            </w:r>
          </w:p>
        </w:tc>
      </w:tr>
    </w:tbl>
    <w:p w14:paraId="180E9DE7">
      <w:pPr>
        <w:ind w:firstLine="420"/>
        <w:rPr>
          <w:color w:val="auto"/>
          <w:highlight w:val="none"/>
        </w:rPr>
      </w:pPr>
    </w:p>
    <w:p w14:paraId="7227F33F">
      <w:pPr>
        <w:pStyle w:val="2"/>
        <w:numPr>
          <w:ilvl w:val="0"/>
          <w:numId w:val="4"/>
        </w:numPr>
        <w:jc w:val="both"/>
        <w:rPr>
          <w:rFonts w:ascii="微软雅黑" w:hAnsi="微软雅黑" w:cs="宋体"/>
          <w:color w:val="auto"/>
          <w:szCs w:val="21"/>
          <w:highlight w:val="none"/>
        </w:rPr>
        <w:sectPr>
          <w:pgSz w:w="16840" w:h="11907" w:orient="landscape"/>
          <w:pgMar w:top="1797" w:right="1474" w:bottom="1797" w:left="1247" w:header="851" w:footer="851" w:gutter="0"/>
          <w:cols w:space="720" w:num="1"/>
          <w:docGrid w:linePitch="312" w:charSpace="0"/>
        </w:sectPr>
      </w:pPr>
    </w:p>
    <w:p w14:paraId="50A0B2C7">
      <w:pPr>
        <w:pStyle w:val="2"/>
        <w:numPr>
          <w:ilvl w:val="0"/>
          <w:numId w:val="4"/>
        </w:numPr>
        <w:jc w:val="both"/>
        <w:rPr>
          <w:rFonts w:ascii="微软雅黑" w:hAnsi="微软雅黑" w:cs="宋体"/>
          <w:color w:val="auto"/>
          <w:szCs w:val="21"/>
          <w:highlight w:val="none"/>
        </w:rPr>
      </w:pPr>
      <w:r>
        <w:rPr>
          <w:rFonts w:hint="eastAsia" w:ascii="微软雅黑" w:hAnsi="微软雅黑" w:cs="宋体"/>
          <w:color w:val="auto"/>
          <w:szCs w:val="21"/>
          <w:highlight w:val="none"/>
        </w:rPr>
        <w:t>商务要求表</w:t>
      </w:r>
    </w:p>
    <w:p w14:paraId="3FF761AC">
      <w:pPr>
        <w:pStyle w:val="65"/>
        <w:numPr>
          <w:ilvl w:val="0"/>
          <w:numId w:val="20"/>
        </w:numPr>
        <w:ind w:firstLineChars="0"/>
        <w:rPr>
          <w:rFonts w:ascii="微软雅黑" w:hAnsi="微软雅黑" w:cs="宋体"/>
          <w:b/>
          <w:bCs/>
          <w:color w:val="auto"/>
          <w:szCs w:val="21"/>
          <w:highlight w:val="none"/>
        </w:rPr>
      </w:pPr>
      <w:r>
        <w:rPr>
          <w:rFonts w:hint="eastAsia" w:ascii="微软雅黑" w:hAnsi="微软雅黑" w:cs="宋体"/>
          <w:b/>
          <w:bCs/>
          <w:color w:val="auto"/>
          <w:szCs w:val="21"/>
          <w:highlight w:val="none"/>
        </w:rPr>
        <w:t>（标项一）</w:t>
      </w:r>
    </w:p>
    <w:tbl>
      <w:tblPr>
        <w:tblStyle w:val="52"/>
        <w:tblW w:w="8737"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577"/>
        <w:gridCol w:w="7160"/>
      </w:tblGrid>
      <w:tr w14:paraId="633AB97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5" w:hRule="atLeast"/>
        </w:trPr>
        <w:tc>
          <w:tcPr>
            <w:tcW w:w="1577" w:type="dxa"/>
            <w:tcBorders>
              <w:top w:val="single" w:color="auto" w:sz="4" w:space="0"/>
              <w:left w:val="single" w:color="auto" w:sz="4" w:space="0"/>
              <w:bottom w:val="single" w:color="auto" w:sz="4" w:space="0"/>
              <w:right w:val="single" w:color="auto" w:sz="4" w:space="0"/>
            </w:tcBorders>
            <w:vAlign w:val="center"/>
          </w:tcPr>
          <w:p w14:paraId="106AD41C">
            <w:pPr>
              <w:pStyle w:val="25"/>
              <w:spacing w:line="240" w:lineRule="auto"/>
              <w:ind w:left="0" w:leftChars="0" w:firstLine="0" w:firstLineChars="0"/>
              <w:rPr>
                <w:rFonts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质保期</w:t>
            </w:r>
          </w:p>
        </w:tc>
        <w:tc>
          <w:tcPr>
            <w:tcW w:w="7160" w:type="dxa"/>
            <w:tcBorders>
              <w:top w:val="single" w:color="auto" w:sz="4" w:space="0"/>
              <w:left w:val="single" w:color="auto" w:sz="4" w:space="0"/>
              <w:bottom w:val="single" w:color="auto" w:sz="4" w:space="0"/>
              <w:right w:val="single" w:color="auto" w:sz="4" w:space="0"/>
            </w:tcBorders>
            <w:vAlign w:val="center"/>
          </w:tcPr>
          <w:p w14:paraId="6D57FABB">
            <w:pPr>
              <w:pStyle w:val="25"/>
              <w:spacing w:line="240" w:lineRule="auto"/>
              <w:ind w:left="0" w:leftChars="0" w:firstLine="0" w:firstLineChars="0"/>
              <w:rPr>
                <w:rFonts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lang w:val="en-US" w:eastAsia="zh-CN"/>
              </w:rPr>
              <w:t>项目所有</w:t>
            </w:r>
            <w:r>
              <w:rPr>
                <w:rFonts w:hint="eastAsia" w:ascii="微软雅黑" w:hAnsi="微软雅黑" w:eastAsia="微软雅黑" w:cs="微软雅黑"/>
                <w:color w:val="auto"/>
                <w:sz w:val="21"/>
                <w:szCs w:val="21"/>
                <w:highlight w:val="none"/>
              </w:rPr>
              <w:t>设备</w:t>
            </w:r>
            <w:r>
              <w:rPr>
                <w:rFonts w:hint="eastAsia" w:ascii="微软雅黑" w:hAnsi="微软雅黑" w:eastAsia="微软雅黑" w:cs="微软雅黑"/>
                <w:color w:val="auto"/>
                <w:sz w:val="21"/>
                <w:szCs w:val="21"/>
                <w:highlight w:val="none"/>
                <w:lang w:val="en-US" w:eastAsia="zh-CN"/>
              </w:rPr>
              <w:t>免费</w:t>
            </w:r>
            <w:r>
              <w:rPr>
                <w:rFonts w:hint="eastAsia" w:ascii="微软雅黑" w:hAnsi="微软雅黑" w:eastAsia="微软雅黑" w:cs="微软雅黑"/>
                <w:color w:val="auto"/>
                <w:sz w:val="21"/>
                <w:szCs w:val="21"/>
                <w:highlight w:val="none"/>
              </w:rPr>
              <w:t>质保期3年；</w:t>
            </w:r>
          </w:p>
        </w:tc>
      </w:tr>
      <w:tr w14:paraId="0DEA485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5" w:hRule="atLeast"/>
        </w:trPr>
        <w:tc>
          <w:tcPr>
            <w:tcW w:w="1577" w:type="dxa"/>
            <w:tcBorders>
              <w:top w:val="single" w:color="auto" w:sz="4" w:space="0"/>
              <w:left w:val="single" w:color="auto" w:sz="4" w:space="0"/>
              <w:bottom w:val="single" w:color="auto" w:sz="4" w:space="0"/>
              <w:right w:val="single" w:color="auto" w:sz="4" w:space="0"/>
            </w:tcBorders>
            <w:vAlign w:val="center"/>
          </w:tcPr>
          <w:p w14:paraId="5EEADD6E">
            <w:pPr>
              <w:snapToGrid w:val="0"/>
              <w:spacing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实施要求</w:t>
            </w:r>
          </w:p>
        </w:tc>
        <w:tc>
          <w:tcPr>
            <w:tcW w:w="7160" w:type="dxa"/>
            <w:tcBorders>
              <w:top w:val="single" w:color="auto" w:sz="4" w:space="0"/>
              <w:left w:val="single" w:color="auto" w:sz="4" w:space="0"/>
              <w:bottom w:val="single" w:color="auto" w:sz="4" w:space="0"/>
              <w:right w:val="single" w:color="auto" w:sz="4" w:space="0"/>
            </w:tcBorders>
            <w:vAlign w:val="center"/>
          </w:tcPr>
          <w:p w14:paraId="733DA9D0">
            <w:pPr>
              <w:pStyle w:val="25"/>
              <w:spacing w:line="240" w:lineRule="auto"/>
              <w:ind w:left="0" w:leftChars="0" w:firstLine="0" w:firstLineChars="0"/>
              <w:rPr>
                <w:rFonts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中标人应派经招标人认可的有经验和能力、具有相应资质的技术人员，负责系统设备安装工作，在设备安装期间应充分了解设备安装进度要求，解决安装中出现的技术问题。</w:t>
            </w:r>
          </w:p>
          <w:p w14:paraId="1FA87D23">
            <w:pPr>
              <w:pStyle w:val="25"/>
              <w:spacing w:line="240" w:lineRule="auto"/>
              <w:ind w:left="0" w:leftChars="0" w:firstLine="0" w:firstLineChars="0"/>
              <w:rPr>
                <w:rFonts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中标人负责设备的安装、调试。</w:t>
            </w:r>
          </w:p>
          <w:p w14:paraId="1DD562D6">
            <w:pPr>
              <w:pStyle w:val="25"/>
              <w:spacing w:line="240" w:lineRule="auto"/>
              <w:ind w:left="0" w:leftChars="0" w:firstLine="0" w:firstLineChars="0"/>
              <w:rPr>
                <w:rFonts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调试所需专用工具设施物料由中标人自备、自费运到现场，完工后自费搬走。</w:t>
            </w:r>
          </w:p>
          <w:p w14:paraId="1E3D6B49">
            <w:pPr>
              <w:pStyle w:val="25"/>
              <w:spacing w:line="240" w:lineRule="auto"/>
              <w:ind w:left="0" w:leftChars="0" w:firstLine="0" w:firstLineChars="0"/>
              <w:rPr>
                <w:rFonts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安装完成后，进行调试、验收按国家有关规范标准（国家无验收规范标准的按双方合同规定的要求）进行。</w:t>
            </w:r>
          </w:p>
          <w:p w14:paraId="35498432">
            <w:pPr>
              <w:pStyle w:val="25"/>
              <w:spacing w:line="240" w:lineRule="auto"/>
              <w:ind w:left="0" w:leftChars="0" w:firstLine="0" w:firstLineChars="0"/>
              <w:rPr>
                <w:rFonts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设备的拆箱、通电、调试等各项工作由中标人负责，但必须在招标人指定人员的参与下进行。在实际实施前必须先经招标人同意方可进行。调试的原始记录须经各方签字后作为验收的文件之一。</w:t>
            </w:r>
          </w:p>
          <w:p w14:paraId="6061403D">
            <w:pPr>
              <w:pStyle w:val="25"/>
              <w:spacing w:line="240" w:lineRule="auto"/>
              <w:ind w:left="0" w:leftChars="0" w:firstLine="0" w:firstLineChars="0"/>
              <w:rPr>
                <w:rFonts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所有的招标设备应按照国家有关技术标准在制造厂检查和试验合格，以表明其运行性能、安全性能以及设备材料和结构在电气、机械上的完整性。</w:t>
            </w:r>
          </w:p>
        </w:tc>
      </w:tr>
      <w:tr w14:paraId="6C94BB8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5" w:hRule="atLeast"/>
        </w:trPr>
        <w:tc>
          <w:tcPr>
            <w:tcW w:w="1577" w:type="dxa"/>
            <w:tcBorders>
              <w:top w:val="single" w:color="auto" w:sz="4" w:space="0"/>
              <w:left w:val="single" w:color="auto" w:sz="4" w:space="0"/>
              <w:bottom w:val="single" w:color="auto" w:sz="4" w:space="0"/>
              <w:right w:val="single" w:color="auto" w:sz="4" w:space="0"/>
            </w:tcBorders>
            <w:vAlign w:val="center"/>
          </w:tcPr>
          <w:p w14:paraId="6FE605D3">
            <w:pPr>
              <w:pStyle w:val="25"/>
              <w:spacing w:line="240" w:lineRule="auto"/>
              <w:ind w:left="0" w:leftChars="0" w:firstLine="0" w:firstLineChars="0"/>
              <w:rPr>
                <w:rFonts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交货地点、交货时间、安装调试期及验收</w:t>
            </w:r>
          </w:p>
        </w:tc>
        <w:tc>
          <w:tcPr>
            <w:tcW w:w="7160" w:type="dxa"/>
            <w:tcBorders>
              <w:top w:val="single" w:color="auto" w:sz="4" w:space="0"/>
              <w:left w:val="single" w:color="auto" w:sz="4" w:space="0"/>
              <w:bottom w:val="single" w:color="auto" w:sz="4" w:space="0"/>
              <w:right w:val="single" w:color="auto" w:sz="4" w:space="0"/>
            </w:tcBorders>
            <w:vAlign w:val="center"/>
          </w:tcPr>
          <w:p w14:paraId="667A4FC9">
            <w:pPr>
              <w:spacing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交货及安装调试时间：</w:t>
            </w:r>
            <w:r>
              <w:rPr>
                <w:rFonts w:hint="eastAsia" w:ascii="微软雅黑" w:hAnsi="微软雅黑" w:eastAsia="微软雅黑"/>
                <w:color w:val="auto"/>
                <w:sz w:val="21"/>
                <w:szCs w:val="21"/>
                <w:highlight w:val="none"/>
              </w:rPr>
              <w:t>中标供应商在签订合同60日内完成</w:t>
            </w:r>
            <w:r>
              <w:rPr>
                <w:rFonts w:hint="eastAsia" w:ascii="微软雅黑" w:hAnsi="微软雅黑" w:cs="微软雅黑"/>
                <w:color w:val="auto"/>
                <w:kern w:val="0"/>
                <w:szCs w:val="21"/>
                <w:highlight w:val="none"/>
              </w:rPr>
              <w:t>所有设备安装、调试，并交付采购人验收。采购人接到验收申请之日起10个工作日内按规定组织验收。</w:t>
            </w:r>
          </w:p>
          <w:p w14:paraId="7D53ADA7">
            <w:pPr>
              <w:pStyle w:val="28"/>
              <w:spacing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验收要求：由供应商负责运输安全，供应商必须保证所提供的货物全新，完全符合招标文件中规定的质量、规格和要求；</w:t>
            </w:r>
          </w:p>
          <w:p w14:paraId="0E39E57E">
            <w:pPr>
              <w:pStyle w:val="28"/>
              <w:spacing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采购方在供应商送货后对货物进行检查验收，如果发现数量不足或有质量问题，供应商应负责根据合同及使用单位的要求采取补足或更换等处理措施，并承担由此发生的一切损失和费用；</w:t>
            </w:r>
          </w:p>
          <w:p w14:paraId="5E25D622">
            <w:pPr>
              <w:spacing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交货地点：嘉兴南湖学院指定地点。</w:t>
            </w:r>
          </w:p>
        </w:tc>
      </w:tr>
      <w:tr w14:paraId="1524230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5" w:hRule="atLeast"/>
        </w:trPr>
        <w:tc>
          <w:tcPr>
            <w:tcW w:w="1577" w:type="dxa"/>
            <w:tcBorders>
              <w:top w:val="single" w:color="auto" w:sz="4" w:space="0"/>
              <w:left w:val="single" w:color="auto" w:sz="4" w:space="0"/>
              <w:bottom w:val="single" w:color="auto" w:sz="4" w:space="0"/>
              <w:right w:val="single" w:color="auto" w:sz="4" w:space="0"/>
            </w:tcBorders>
            <w:vAlign w:val="center"/>
          </w:tcPr>
          <w:p w14:paraId="20EA25F2">
            <w:pPr>
              <w:pStyle w:val="25"/>
              <w:spacing w:line="240" w:lineRule="auto"/>
              <w:ind w:left="0" w:leftChars="0" w:firstLine="0" w:firstLineChars="0"/>
              <w:rPr>
                <w:rFonts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售后要求</w:t>
            </w:r>
          </w:p>
        </w:tc>
        <w:tc>
          <w:tcPr>
            <w:tcW w:w="7160" w:type="dxa"/>
            <w:tcBorders>
              <w:top w:val="single" w:color="auto" w:sz="4" w:space="0"/>
              <w:left w:val="single" w:color="auto" w:sz="4" w:space="0"/>
              <w:bottom w:val="single" w:color="auto" w:sz="4" w:space="0"/>
              <w:right w:val="single" w:color="auto" w:sz="4" w:space="0"/>
            </w:tcBorders>
            <w:vAlign w:val="center"/>
          </w:tcPr>
          <w:p w14:paraId="51BE85E9">
            <w:pPr>
              <w:spacing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设有投标货物的售后技术服务机构，配有较强的技术队伍，能提供快速的售后服务响应。提供7*24小时上门服务。</w:t>
            </w:r>
          </w:p>
        </w:tc>
      </w:tr>
      <w:tr w14:paraId="4AD33BB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5" w:hRule="atLeast"/>
        </w:trPr>
        <w:tc>
          <w:tcPr>
            <w:tcW w:w="1577" w:type="dxa"/>
            <w:tcBorders>
              <w:top w:val="single" w:color="auto" w:sz="4" w:space="0"/>
              <w:left w:val="single" w:color="auto" w:sz="4" w:space="0"/>
              <w:bottom w:val="single" w:color="auto" w:sz="4" w:space="0"/>
              <w:right w:val="single" w:color="auto" w:sz="4" w:space="0"/>
            </w:tcBorders>
            <w:vAlign w:val="center"/>
          </w:tcPr>
          <w:p w14:paraId="26615050">
            <w:pPr>
              <w:pStyle w:val="25"/>
              <w:spacing w:line="240" w:lineRule="auto"/>
              <w:ind w:left="0" w:leftChars="0" w:firstLine="0" w:firstLineChars="0"/>
              <w:rPr>
                <w:rFonts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报价要求</w:t>
            </w:r>
          </w:p>
        </w:tc>
        <w:tc>
          <w:tcPr>
            <w:tcW w:w="7160" w:type="dxa"/>
            <w:tcBorders>
              <w:top w:val="single" w:color="auto" w:sz="4" w:space="0"/>
              <w:left w:val="single" w:color="auto" w:sz="4" w:space="0"/>
              <w:bottom w:val="single" w:color="auto" w:sz="4" w:space="0"/>
              <w:right w:val="single" w:color="auto" w:sz="4" w:space="0"/>
            </w:tcBorders>
            <w:vAlign w:val="center"/>
          </w:tcPr>
          <w:p w14:paraId="7E52D571">
            <w:pPr>
              <w:spacing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包含项目实施所需的一切设备、线材、布线等相关配件、运输、包装、送货、安装、辅件、调试、人员费用、税金等一切相关费用。</w:t>
            </w:r>
          </w:p>
        </w:tc>
      </w:tr>
      <w:tr w14:paraId="6848385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5" w:hRule="atLeast"/>
        </w:trPr>
        <w:tc>
          <w:tcPr>
            <w:tcW w:w="1577" w:type="dxa"/>
            <w:tcBorders>
              <w:top w:val="single" w:color="auto" w:sz="4" w:space="0"/>
              <w:left w:val="single" w:color="auto" w:sz="4" w:space="0"/>
              <w:bottom w:val="single" w:color="auto" w:sz="4" w:space="0"/>
              <w:right w:val="single" w:color="auto" w:sz="4" w:space="0"/>
            </w:tcBorders>
            <w:vAlign w:val="center"/>
          </w:tcPr>
          <w:p w14:paraId="24A702CC">
            <w:pPr>
              <w:pStyle w:val="25"/>
              <w:spacing w:line="240" w:lineRule="auto"/>
              <w:ind w:left="0" w:leftChars="0" w:firstLine="0" w:firstLineChars="0"/>
              <w:rPr>
                <w:rFonts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付款条件及合同支付</w:t>
            </w:r>
          </w:p>
        </w:tc>
        <w:tc>
          <w:tcPr>
            <w:tcW w:w="7160" w:type="dxa"/>
            <w:tcBorders>
              <w:top w:val="single" w:color="auto" w:sz="4" w:space="0"/>
              <w:left w:val="single" w:color="auto" w:sz="4" w:space="0"/>
              <w:bottom w:val="single" w:color="auto" w:sz="4" w:space="0"/>
              <w:right w:val="single" w:color="auto" w:sz="4" w:space="0"/>
            </w:tcBorders>
            <w:vAlign w:val="center"/>
          </w:tcPr>
          <w:p w14:paraId="362316BD">
            <w:pPr>
              <w:spacing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中标供应商与嘉兴南湖学院签定合同；</w:t>
            </w:r>
          </w:p>
          <w:p w14:paraId="7B2C2733">
            <w:pPr>
              <w:spacing w:line="240" w:lineRule="auto"/>
              <w:ind w:firstLine="0" w:firstLineChars="0"/>
              <w:rPr>
                <w:rFonts w:hint="eastAsia" w:ascii="微软雅黑" w:hAnsi="微软雅黑" w:eastAsia="微软雅黑" w:cs="微软雅黑"/>
                <w:color w:val="auto"/>
                <w:kern w:val="0"/>
                <w:szCs w:val="21"/>
                <w:highlight w:val="none"/>
                <w:lang w:eastAsia="zh-CN"/>
              </w:rPr>
            </w:pPr>
            <w:r>
              <w:rPr>
                <w:rFonts w:hint="eastAsia" w:ascii="微软雅黑" w:hAnsi="微软雅黑" w:cs="微软雅黑"/>
                <w:color w:val="auto"/>
                <w:kern w:val="0"/>
                <w:szCs w:val="21"/>
                <w:highlight w:val="none"/>
              </w:rPr>
              <w:t>2</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szCs w:val="21"/>
                <w:highlight w:val="none"/>
              </w:rPr>
              <w:t>合同生效以及具备实施条件后7个工作日内</w:t>
            </w:r>
            <w:r>
              <w:rPr>
                <w:rFonts w:hint="eastAsia" w:ascii="微软雅黑" w:hAnsi="微软雅黑" w:cs="微软雅黑"/>
                <w:color w:val="auto"/>
                <w:kern w:val="0"/>
                <w:szCs w:val="21"/>
                <w:highlight w:val="none"/>
              </w:rPr>
              <w:t>，采购人向中标供应商支付合同金额40%预付款；</w:t>
            </w:r>
            <w:r>
              <w:rPr>
                <w:rFonts w:hint="eastAsia" w:ascii="微软雅黑" w:hAnsi="微软雅黑" w:cs="微软雅黑"/>
                <w:b/>
                <w:bCs/>
                <w:color w:val="auto"/>
                <w:kern w:val="0"/>
                <w:szCs w:val="21"/>
                <w:highlight w:val="none"/>
                <w:lang w:eastAsia="zh-CN"/>
              </w:rPr>
              <w:t>（</w:t>
            </w:r>
            <w:r>
              <w:rPr>
                <w:rFonts w:hint="eastAsia" w:ascii="微软雅黑" w:hAnsi="微软雅黑" w:cs="微软雅黑"/>
                <w:b/>
                <w:bCs/>
                <w:color w:val="auto"/>
                <w:szCs w:val="21"/>
                <w:highlight w:val="none"/>
              </w:rPr>
              <w:t>采购单位根据项目特点、供应商诚信等因素，可以要求供应商提交银行、保险公司等金融机构出具的预付款保函或其他担保措施。</w:t>
            </w:r>
            <w:r>
              <w:rPr>
                <w:rFonts w:hint="eastAsia" w:ascii="微软雅黑" w:hAnsi="微软雅黑" w:cs="微软雅黑"/>
                <w:b/>
                <w:bCs/>
                <w:color w:val="auto"/>
                <w:szCs w:val="21"/>
                <w:highlight w:val="none"/>
                <w:lang w:eastAsia="zh-CN"/>
              </w:rPr>
              <w:t>）</w:t>
            </w:r>
          </w:p>
          <w:p w14:paraId="67E8C7DC">
            <w:pPr>
              <w:spacing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3</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全部安装完毕、验收合格且收到合法有效的发票后七个工作日，采购人支付至合同价的100%。</w:t>
            </w:r>
          </w:p>
        </w:tc>
      </w:tr>
      <w:tr w14:paraId="4C7A6E0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9" w:hRule="atLeast"/>
        </w:trPr>
        <w:tc>
          <w:tcPr>
            <w:tcW w:w="1577" w:type="dxa"/>
            <w:tcBorders>
              <w:top w:val="single" w:color="auto" w:sz="4" w:space="0"/>
              <w:left w:val="single" w:color="auto" w:sz="4" w:space="0"/>
              <w:bottom w:val="single" w:color="auto" w:sz="4" w:space="0"/>
              <w:right w:val="single" w:color="auto" w:sz="4" w:space="0"/>
            </w:tcBorders>
            <w:vAlign w:val="center"/>
          </w:tcPr>
          <w:p w14:paraId="35A606EC">
            <w:pPr>
              <w:pStyle w:val="25"/>
              <w:spacing w:line="240" w:lineRule="auto"/>
              <w:ind w:left="0" w:leftChars="0" w:firstLine="0" w:firstLineChars="0"/>
              <w:rPr>
                <w:rFonts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培训</w:t>
            </w:r>
          </w:p>
        </w:tc>
        <w:tc>
          <w:tcPr>
            <w:tcW w:w="7160" w:type="dxa"/>
            <w:tcBorders>
              <w:top w:val="single" w:color="auto" w:sz="4" w:space="0"/>
              <w:left w:val="single" w:color="auto" w:sz="4" w:space="0"/>
              <w:bottom w:val="single" w:color="auto" w:sz="4" w:space="0"/>
              <w:right w:val="single" w:color="auto" w:sz="4" w:space="0"/>
            </w:tcBorders>
            <w:vAlign w:val="center"/>
          </w:tcPr>
          <w:p w14:paraId="3D6450BE">
            <w:pPr>
              <w:spacing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中标人应提供操作及维护培训，主要内容为设备的基本结构、性能、主要部件的构造及原理，日常使用操作、保养与管理，常见故障的排除等，培训地点通过协商安排，培训次数不少于2次，直至学会为止。</w:t>
            </w:r>
          </w:p>
        </w:tc>
      </w:tr>
      <w:tr w14:paraId="355F802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41" w:hRule="atLeast"/>
        </w:trPr>
        <w:tc>
          <w:tcPr>
            <w:tcW w:w="1577" w:type="dxa"/>
            <w:tcBorders>
              <w:top w:val="single" w:color="auto" w:sz="4" w:space="0"/>
              <w:left w:val="single" w:color="auto" w:sz="4" w:space="0"/>
              <w:bottom w:val="single" w:color="auto" w:sz="4" w:space="0"/>
              <w:right w:val="single" w:color="auto" w:sz="4" w:space="0"/>
            </w:tcBorders>
            <w:vAlign w:val="center"/>
          </w:tcPr>
          <w:p w14:paraId="0FDBD6B1">
            <w:pPr>
              <w:pStyle w:val="25"/>
              <w:spacing w:line="240" w:lineRule="auto"/>
              <w:ind w:left="0" w:leftChars="0" w:firstLine="0" w:firstLineChars="0"/>
              <w:rPr>
                <w:rFonts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备品备件及耗材等要求</w:t>
            </w:r>
          </w:p>
        </w:tc>
        <w:tc>
          <w:tcPr>
            <w:tcW w:w="7160" w:type="dxa"/>
            <w:tcBorders>
              <w:top w:val="single" w:color="auto" w:sz="4" w:space="0"/>
              <w:left w:val="single" w:color="auto" w:sz="4" w:space="0"/>
              <w:bottom w:val="single" w:color="auto" w:sz="4" w:space="0"/>
              <w:right w:val="single" w:color="auto" w:sz="4" w:space="0"/>
            </w:tcBorders>
            <w:vAlign w:val="center"/>
          </w:tcPr>
          <w:p w14:paraId="7FC7F719">
            <w:pPr>
              <w:spacing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质保期内免费更换一切在正常情况下损坏的零配件，每年提供两次免费上门巡检服务；质保期后，中标供应商负责设备的终身维修及零配件的及时供应。</w:t>
            </w:r>
          </w:p>
        </w:tc>
      </w:tr>
      <w:tr w14:paraId="1E4580B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7" w:hRule="atLeast"/>
        </w:trPr>
        <w:tc>
          <w:tcPr>
            <w:tcW w:w="1577" w:type="dxa"/>
            <w:tcBorders>
              <w:top w:val="single" w:color="auto" w:sz="4" w:space="0"/>
              <w:left w:val="single" w:color="auto" w:sz="4" w:space="0"/>
              <w:bottom w:val="single" w:color="auto" w:sz="4" w:space="0"/>
              <w:right w:val="single" w:color="auto" w:sz="4" w:space="0"/>
            </w:tcBorders>
            <w:vAlign w:val="center"/>
          </w:tcPr>
          <w:p w14:paraId="2BC34A2E">
            <w:pPr>
              <w:pStyle w:val="25"/>
              <w:spacing w:line="240" w:lineRule="auto"/>
              <w:ind w:left="0" w:leftChars="0" w:firstLine="0" w:firstLineChars="0"/>
              <w:rPr>
                <w:rFonts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责任认定</w:t>
            </w:r>
          </w:p>
        </w:tc>
        <w:tc>
          <w:tcPr>
            <w:tcW w:w="7160" w:type="dxa"/>
            <w:tcBorders>
              <w:top w:val="single" w:color="auto" w:sz="4" w:space="0"/>
              <w:left w:val="single" w:color="auto" w:sz="4" w:space="0"/>
              <w:bottom w:val="single" w:color="auto" w:sz="4" w:space="0"/>
              <w:right w:val="single" w:color="auto" w:sz="4" w:space="0"/>
            </w:tcBorders>
            <w:vAlign w:val="center"/>
          </w:tcPr>
          <w:p w14:paraId="7E019887">
            <w:pPr>
              <w:spacing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在质保期内，因中标供应商的原因，未能完全履行服务承诺，采购人有权追究中标供应商的责任。</w:t>
            </w:r>
          </w:p>
        </w:tc>
      </w:tr>
      <w:tr w14:paraId="606D825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1577" w:type="dxa"/>
            <w:tcBorders>
              <w:top w:val="single" w:color="auto" w:sz="4" w:space="0"/>
              <w:left w:val="single" w:color="auto" w:sz="4" w:space="0"/>
              <w:bottom w:val="single" w:color="auto" w:sz="4" w:space="0"/>
              <w:right w:val="single" w:color="auto" w:sz="4" w:space="0"/>
            </w:tcBorders>
            <w:vAlign w:val="center"/>
          </w:tcPr>
          <w:p w14:paraId="6B68725A">
            <w:pPr>
              <w:pStyle w:val="25"/>
              <w:spacing w:line="240" w:lineRule="auto"/>
              <w:ind w:left="0" w:leftChars="0" w:firstLine="0" w:firstLineChars="0"/>
              <w:rPr>
                <w:rFonts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政策性条件</w:t>
            </w:r>
          </w:p>
        </w:tc>
        <w:tc>
          <w:tcPr>
            <w:tcW w:w="7160" w:type="dxa"/>
            <w:tcBorders>
              <w:top w:val="single" w:color="auto" w:sz="4" w:space="0"/>
              <w:left w:val="single" w:color="auto" w:sz="4" w:space="0"/>
              <w:bottom w:val="single" w:color="auto" w:sz="4" w:space="0"/>
              <w:right w:val="single" w:color="auto" w:sz="4" w:space="0"/>
            </w:tcBorders>
            <w:vAlign w:val="center"/>
          </w:tcPr>
          <w:p w14:paraId="20F7E088">
            <w:pPr>
              <w:spacing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投标供应商属于监狱企业、残疾人福利性单位视为小型、微型企业，享受中小企业政策扶持。</w:t>
            </w:r>
          </w:p>
        </w:tc>
      </w:tr>
      <w:tr w14:paraId="7B8F788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1577" w:type="dxa"/>
            <w:tcBorders>
              <w:top w:val="single" w:color="auto" w:sz="4" w:space="0"/>
              <w:left w:val="single" w:color="auto" w:sz="4" w:space="0"/>
              <w:bottom w:val="single" w:color="auto" w:sz="4" w:space="0"/>
              <w:right w:val="single" w:color="auto" w:sz="4" w:space="0"/>
            </w:tcBorders>
            <w:vAlign w:val="center"/>
          </w:tcPr>
          <w:p w14:paraId="642F3C7E">
            <w:pPr>
              <w:pStyle w:val="25"/>
              <w:spacing w:line="240" w:lineRule="auto"/>
              <w:ind w:left="0" w:leftChars="0" w:firstLine="0" w:firstLineChars="0"/>
              <w:rPr>
                <w:rFonts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特殊条款</w:t>
            </w:r>
          </w:p>
        </w:tc>
        <w:tc>
          <w:tcPr>
            <w:tcW w:w="7160" w:type="dxa"/>
            <w:tcBorders>
              <w:top w:val="single" w:color="auto" w:sz="4" w:space="0"/>
              <w:left w:val="single" w:color="auto" w:sz="4" w:space="0"/>
              <w:bottom w:val="single" w:color="auto" w:sz="4" w:space="0"/>
              <w:right w:val="single" w:color="auto" w:sz="4" w:space="0"/>
            </w:tcBorders>
            <w:vAlign w:val="center"/>
          </w:tcPr>
          <w:p w14:paraId="5AF58A11">
            <w:pPr>
              <w:spacing w:line="240" w:lineRule="auto"/>
              <w:ind w:firstLine="0" w:firstLineChars="0"/>
              <w:rPr>
                <w:color w:val="auto"/>
                <w:highlight w:val="none"/>
              </w:rPr>
            </w:pPr>
            <w:r>
              <w:rPr>
                <w:rFonts w:hint="eastAsia" w:ascii="微软雅黑" w:hAnsi="微软雅黑" w:cs="微软雅黑"/>
                <w:color w:val="auto"/>
                <w:kern w:val="0"/>
                <w:szCs w:val="21"/>
                <w:highlight w:val="none"/>
              </w:rPr>
              <w:t>招标文件中的技术要求（规格）书为原则性要求，并不是详尽的要求，中标供应商有责任对投标文件中提出的技术规范、标准负责。其中▲部分不可偏离，★部分为关键性指标要，中标供应商对投标内容所涉及的专利承担责任，并负责保护采购人的利益不受任何损害。一切由于文字、商标、技术等专利引起的法律裁决、诉讼和费用均与采购人无关。</w:t>
            </w:r>
          </w:p>
        </w:tc>
      </w:tr>
      <w:tr w14:paraId="3273148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1577" w:type="dxa"/>
            <w:tcBorders>
              <w:top w:val="single" w:color="auto" w:sz="4" w:space="0"/>
              <w:left w:val="single" w:color="auto" w:sz="4" w:space="0"/>
              <w:bottom w:val="single" w:color="auto" w:sz="4" w:space="0"/>
              <w:right w:val="single" w:color="auto" w:sz="4" w:space="0"/>
            </w:tcBorders>
            <w:vAlign w:val="center"/>
          </w:tcPr>
          <w:p w14:paraId="4A0F17A0">
            <w:pPr>
              <w:pStyle w:val="25"/>
              <w:spacing w:line="240" w:lineRule="auto"/>
              <w:ind w:left="0" w:leftChars="0" w:firstLine="0" w:firstLineChars="0"/>
              <w:rPr>
                <w:rFonts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采购人的其他要求及说明</w:t>
            </w:r>
          </w:p>
        </w:tc>
        <w:tc>
          <w:tcPr>
            <w:tcW w:w="7160" w:type="dxa"/>
            <w:tcBorders>
              <w:top w:val="single" w:color="auto" w:sz="4" w:space="0"/>
              <w:left w:val="single" w:color="auto" w:sz="4" w:space="0"/>
              <w:bottom w:val="single" w:color="auto" w:sz="4" w:space="0"/>
              <w:right w:val="single" w:color="auto" w:sz="4" w:space="0"/>
            </w:tcBorders>
            <w:vAlign w:val="center"/>
          </w:tcPr>
          <w:p w14:paraId="400A4465">
            <w:pPr>
              <w:spacing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供应商有任何合理化的建议，可列章节说明，供评标委员会评标时参考。</w:t>
            </w:r>
          </w:p>
          <w:p w14:paraId="60FD29D3">
            <w:pPr>
              <w:spacing w:line="240" w:lineRule="auto"/>
              <w:ind w:firstLine="0" w:firstLineChars="0"/>
              <w:rPr>
                <w:rFonts w:hint="eastAsia" w:ascii="微软雅黑" w:hAnsi="微软雅黑" w:cs="微软雅黑"/>
                <w:color w:val="auto"/>
                <w:kern w:val="0"/>
                <w:szCs w:val="21"/>
                <w:highlight w:val="none"/>
              </w:rPr>
            </w:pPr>
            <w:r>
              <w:rPr>
                <w:rFonts w:hint="eastAsia" w:ascii="微软雅黑" w:hAnsi="微软雅黑" w:cs="微软雅黑"/>
                <w:color w:val="auto"/>
                <w:kern w:val="0"/>
                <w:szCs w:val="21"/>
                <w:highlight w:val="none"/>
              </w:rPr>
              <w:t>2</w:t>
            </w:r>
            <w:r>
              <w:rPr>
                <w:rFonts w:hint="eastAsia" w:ascii="微软雅黑" w:hAnsi="微软雅黑" w:cs="微软雅黑"/>
                <w:color w:val="auto"/>
                <w:kern w:val="0"/>
                <w:szCs w:val="21"/>
                <w:highlight w:val="none"/>
                <w:lang w:eastAsia="zh-CN"/>
              </w:rPr>
              <w:t>、</w:t>
            </w:r>
            <w:r>
              <w:rPr>
                <w:rFonts w:hint="eastAsia" w:ascii="微软雅黑" w:hAnsi="微软雅黑" w:cs="微软雅黑"/>
                <w:color w:val="auto"/>
                <w:kern w:val="0"/>
                <w:szCs w:val="21"/>
                <w:highlight w:val="none"/>
              </w:rPr>
              <w:t>产品要求（规格、材质等）只是对产品的一些原则性要求，并不是详尽的要求，供应商有责任对设计符合技术规范，对行业国家标准负责。中标供应商应对响应内容所涉及的专利承担一切后果，由此引起的纠纷与采购人无关。</w:t>
            </w:r>
          </w:p>
          <w:p w14:paraId="406D299C">
            <w:pPr>
              <w:spacing w:line="240" w:lineRule="auto"/>
              <w:ind w:firstLine="0" w:firstLineChars="0"/>
              <w:rPr>
                <w:color w:val="auto"/>
                <w:highlight w:val="none"/>
              </w:rPr>
            </w:pPr>
            <w:r>
              <w:rPr>
                <w:rFonts w:hint="eastAsia" w:ascii="微软雅黑" w:hAnsi="微软雅黑" w:cs="微软雅黑"/>
                <w:color w:val="auto"/>
                <w:kern w:val="0"/>
                <w:szCs w:val="21"/>
                <w:highlight w:val="none"/>
                <w:lang w:val="en-US" w:eastAsia="zh-CN"/>
              </w:rPr>
              <w:t>3、</w:t>
            </w:r>
            <w:r>
              <w:rPr>
                <w:color w:val="auto"/>
                <w:highlight w:val="none"/>
              </w:rPr>
              <w:t>中标供应商在项目实施过程中应规范开展水电气改造和墙体开凿等施工作业，承担本项目安全主体责任</w:t>
            </w:r>
            <w:r>
              <w:rPr>
                <w:rFonts w:hint="eastAsia"/>
                <w:color w:val="auto"/>
                <w:highlight w:val="none"/>
                <w:lang w:eastAsia="zh-CN"/>
              </w:rPr>
              <w:t>。</w:t>
            </w:r>
          </w:p>
        </w:tc>
      </w:tr>
      <w:bookmarkEnd w:id="23"/>
      <w:bookmarkEnd w:id="24"/>
      <w:bookmarkEnd w:id="25"/>
      <w:bookmarkEnd w:id="26"/>
      <w:bookmarkEnd w:id="27"/>
      <w:bookmarkEnd w:id="28"/>
      <w:bookmarkEnd w:id="29"/>
    </w:tbl>
    <w:p w14:paraId="03E7B86B">
      <w:pPr>
        <w:pStyle w:val="65"/>
        <w:numPr>
          <w:ilvl w:val="0"/>
          <w:numId w:val="21"/>
        </w:numPr>
        <w:ind w:left="0" w:firstLine="420" w:firstLineChars="0"/>
        <w:rPr>
          <w:rFonts w:ascii="微软雅黑" w:hAnsi="微软雅黑" w:cs="宋体"/>
          <w:b/>
          <w:bCs/>
          <w:color w:val="auto"/>
          <w:szCs w:val="21"/>
          <w:highlight w:val="none"/>
        </w:rPr>
      </w:pPr>
      <w:bookmarkStart w:id="36" w:name="_Toc19683"/>
      <w:bookmarkStart w:id="37" w:name="_Toc493511542"/>
      <w:r>
        <w:rPr>
          <w:rFonts w:hint="eastAsia" w:ascii="微软雅黑" w:hAnsi="微软雅黑" w:cs="宋体"/>
          <w:b/>
          <w:bCs/>
          <w:color w:val="auto"/>
          <w:szCs w:val="21"/>
          <w:highlight w:val="none"/>
        </w:rPr>
        <w:t>（标项二）</w:t>
      </w:r>
    </w:p>
    <w:tbl>
      <w:tblPr>
        <w:tblStyle w:val="52"/>
        <w:tblW w:w="8731"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565"/>
        <w:gridCol w:w="7166"/>
      </w:tblGrid>
      <w:tr w14:paraId="6E7BFA8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5" w:hRule="atLeast"/>
        </w:trPr>
        <w:tc>
          <w:tcPr>
            <w:tcW w:w="1565" w:type="dxa"/>
            <w:tcBorders>
              <w:top w:val="single" w:color="auto" w:sz="4" w:space="0"/>
              <w:left w:val="single" w:color="auto" w:sz="4" w:space="0"/>
              <w:bottom w:val="single" w:color="auto" w:sz="4" w:space="0"/>
              <w:right w:val="single" w:color="auto" w:sz="4" w:space="0"/>
            </w:tcBorders>
            <w:vAlign w:val="center"/>
          </w:tcPr>
          <w:p w14:paraId="6B9AA2E1">
            <w:pPr>
              <w:pStyle w:val="25"/>
              <w:spacing w:after="0" w:line="240" w:lineRule="auto"/>
              <w:ind w:left="0" w:leftChars="0" w:firstLine="0" w:firstLineChars="0"/>
              <w:rPr>
                <w:rFonts w:ascii="微软雅黑" w:hAnsi="微软雅黑" w:eastAsia="微软雅黑"/>
                <w:color w:val="auto"/>
                <w:sz w:val="21"/>
                <w:szCs w:val="21"/>
                <w:highlight w:val="none"/>
              </w:rPr>
            </w:pPr>
            <w:r>
              <w:rPr>
                <w:rFonts w:hint="eastAsia" w:ascii="微软雅黑" w:hAnsi="微软雅黑" w:eastAsia="微软雅黑"/>
                <w:color w:val="auto"/>
                <w:sz w:val="21"/>
                <w:szCs w:val="21"/>
                <w:highlight w:val="none"/>
              </w:rPr>
              <w:t>质保期</w:t>
            </w:r>
          </w:p>
        </w:tc>
        <w:tc>
          <w:tcPr>
            <w:tcW w:w="7166" w:type="dxa"/>
            <w:tcBorders>
              <w:top w:val="single" w:color="auto" w:sz="4" w:space="0"/>
              <w:left w:val="single" w:color="auto" w:sz="4" w:space="0"/>
              <w:bottom w:val="single" w:color="auto" w:sz="4" w:space="0"/>
              <w:right w:val="single" w:color="auto" w:sz="4" w:space="0"/>
            </w:tcBorders>
            <w:vAlign w:val="center"/>
          </w:tcPr>
          <w:p w14:paraId="266792EB">
            <w:pPr>
              <w:spacing w:after="0" w:line="240" w:lineRule="auto"/>
              <w:ind w:firstLine="0" w:firstLineChars="0"/>
              <w:rPr>
                <w:rFonts w:ascii="微软雅黑" w:hAnsi="微软雅黑"/>
                <w:color w:val="auto"/>
                <w:szCs w:val="21"/>
                <w:highlight w:val="none"/>
              </w:rPr>
            </w:pPr>
            <w:r>
              <w:rPr>
                <w:rFonts w:hint="eastAsia" w:ascii="微软雅黑" w:hAnsi="微软雅黑" w:eastAsia="微软雅黑" w:cs="微软雅黑"/>
                <w:color w:val="auto"/>
                <w:sz w:val="21"/>
                <w:szCs w:val="21"/>
                <w:highlight w:val="none"/>
                <w:lang w:val="en-US" w:eastAsia="zh-CN"/>
              </w:rPr>
              <w:t>项目所有</w:t>
            </w:r>
            <w:r>
              <w:rPr>
                <w:rFonts w:hint="eastAsia" w:ascii="微软雅黑" w:hAnsi="微软雅黑" w:eastAsia="微软雅黑" w:cs="微软雅黑"/>
                <w:color w:val="auto"/>
                <w:sz w:val="21"/>
                <w:szCs w:val="21"/>
                <w:highlight w:val="none"/>
              </w:rPr>
              <w:t>设备</w:t>
            </w:r>
            <w:r>
              <w:rPr>
                <w:rFonts w:hint="eastAsia" w:ascii="微软雅黑" w:hAnsi="微软雅黑" w:eastAsia="微软雅黑" w:cs="微软雅黑"/>
                <w:color w:val="auto"/>
                <w:sz w:val="21"/>
                <w:szCs w:val="21"/>
                <w:highlight w:val="none"/>
                <w:lang w:val="en-US" w:eastAsia="zh-CN"/>
              </w:rPr>
              <w:t>免费</w:t>
            </w:r>
            <w:r>
              <w:rPr>
                <w:rFonts w:hint="eastAsia" w:ascii="微软雅黑" w:hAnsi="微软雅黑" w:eastAsia="微软雅黑" w:cs="微软雅黑"/>
                <w:color w:val="auto"/>
                <w:sz w:val="21"/>
                <w:szCs w:val="21"/>
                <w:highlight w:val="none"/>
              </w:rPr>
              <w:t>质保期3年；</w:t>
            </w:r>
          </w:p>
        </w:tc>
      </w:tr>
      <w:tr w14:paraId="4B6B1AF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5" w:hRule="atLeast"/>
        </w:trPr>
        <w:tc>
          <w:tcPr>
            <w:tcW w:w="1565" w:type="dxa"/>
            <w:tcBorders>
              <w:top w:val="single" w:color="auto" w:sz="4" w:space="0"/>
              <w:left w:val="single" w:color="auto" w:sz="4" w:space="0"/>
              <w:bottom w:val="single" w:color="auto" w:sz="4" w:space="0"/>
              <w:right w:val="single" w:color="auto" w:sz="4" w:space="0"/>
            </w:tcBorders>
            <w:vAlign w:val="center"/>
          </w:tcPr>
          <w:p w14:paraId="254770AD">
            <w:pPr>
              <w:snapToGrid w:val="0"/>
              <w:spacing w:after="0" w:line="240" w:lineRule="auto"/>
              <w:ind w:firstLine="0" w:firstLineChars="0"/>
              <w:rPr>
                <w:rFonts w:ascii="微软雅黑" w:hAnsi="微软雅黑"/>
                <w:color w:val="auto"/>
                <w:kern w:val="0"/>
                <w:szCs w:val="21"/>
                <w:highlight w:val="none"/>
              </w:rPr>
            </w:pPr>
            <w:r>
              <w:rPr>
                <w:rFonts w:hint="eastAsia" w:ascii="微软雅黑" w:hAnsi="微软雅黑"/>
                <w:color w:val="auto"/>
                <w:kern w:val="0"/>
                <w:szCs w:val="21"/>
                <w:highlight w:val="none"/>
              </w:rPr>
              <w:t>实施要求</w:t>
            </w:r>
          </w:p>
        </w:tc>
        <w:tc>
          <w:tcPr>
            <w:tcW w:w="7166" w:type="dxa"/>
            <w:tcBorders>
              <w:top w:val="single" w:color="auto" w:sz="4" w:space="0"/>
              <w:left w:val="single" w:color="auto" w:sz="4" w:space="0"/>
              <w:bottom w:val="single" w:color="auto" w:sz="4" w:space="0"/>
              <w:right w:val="single" w:color="auto" w:sz="4" w:space="0"/>
            </w:tcBorders>
            <w:vAlign w:val="center"/>
          </w:tcPr>
          <w:p w14:paraId="40BA7018">
            <w:pPr>
              <w:spacing w:after="0" w:line="240" w:lineRule="auto"/>
              <w:ind w:firstLine="0" w:firstLineChars="0"/>
              <w:rPr>
                <w:rFonts w:ascii="微软雅黑" w:hAnsi="微软雅黑"/>
                <w:color w:val="auto"/>
                <w:kern w:val="0"/>
                <w:szCs w:val="21"/>
                <w:highlight w:val="none"/>
              </w:rPr>
            </w:pPr>
            <w:r>
              <w:rPr>
                <w:rFonts w:hint="eastAsia" w:ascii="微软雅黑" w:hAnsi="微软雅黑"/>
                <w:color w:val="auto"/>
                <w:kern w:val="0"/>
                <w:szCs w:val="21"/>
                <w:highlight w:val="none"/>
              </w:rPr>
              <w:t>供应商应按照要求进行设备摆放，负责接通水电、安装调试完成，确保设备正常运行。</w:t>
            </w:r>
          </w:p>
        </w:tc>
      </w:tr>
      <w:tr w14:paraId="319E162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5" w:hRule="atLeast"/>
        </w:trPr>
        <w:tc>
          <w:tcPr>
            <w:tcW w:w="1565" w:type="dxa"/>
            <w:tcBorders>
              <w:top w:val="single" w:color="auto" w:sz="4" w:space="0"/>
              <w:left w:val="single" w:color="auto" w:sz="4" w:space="0"/>
              <w:bottom w:val="single" w:color="auto" w:sz="4" w:space="0"/>
              <w:right w:val="single" w:color="auto" w:sz="4" w:space="0"/>
            </w:tcBorders>
            <w:vAlign w:val="center"/>
          </w:tcPr>
          <w:p w14:paraId="66F746AE">
            <w:pPr>
              <w:pStyle w:val="25"/>
              <w:spacing w:after="0" w:line="240" w:lineRule="auto"/>
              <w:ind w:left="0" w:leftChars="0" w:firstLine="0" w:firstLineChars="0"/>
              <w:rPr>
                <w:rFonts w:ascii="微软雅黑" w:hAnsi="微软雅黑" w:eastAsia="微软雅黑"/>
                <w:color w:val="auto"/>
                <w:sz w:val="21"/>
                <w:szCs w:val="21"/>
                <w:highlight w:val="none"/>
              </w:rPr>
            </w:pPr>
            <w:r>
              <w:rPr>
                <w:rFonts w:hint="eastAsia" w:ascii="微软雅黑" w:hAnsi="微软雅黑" w:eastAsia="微软雅黑"/>
                <w:color w:val="auto"/>
                <w:sz w:val="21"/>
                <w:szCs w:val="21"/>
                <w:highlight w:val="none"/>
              </w:rPr>
              <w:t>交货地点、交货时间、安装调试期及验收</w:t>
            </w:r>
          </w:p>
        </w:tc>
        <w:tc>
          <w:tcPr>
            <w:tcW w:w="7166" w:type="dxa"/>
            <w:tcBorders>
              <w:top w:val="single" w:color="auto" w:sz="4" w:space="0"/>
              <w:left w:val="single" w:color="auto" w:sz="4" w:space="0"/>
              <w:bottom w:val="single" w:color="auto" w:sz="4" w:space="0"/>
              <w:right w:val="single" w:color="auto" w:sz="4" w:space="0"/>
            </w:tcBorders>
            <w:vAlign w:val="center"/>
          </w:tcPr>
          <w:p w14:paraId="375F7B32">
            <w:pPr>
              <w:pStyle w:val="25"/>
              <w:spacing w:after="0" w:line="240" w:lineRule="auto"/>
              <w:ind w:left="0" w:leftChars="0" w:firstLine="0" w:firstLineChars="0"/>
              <w:rPr>
                <w:rFonts w:ascii="微软雅黑" w:hAnsi="微软雅黑" w:eastAsia="微软雅黑"/>
                <w:color w:val="auto"/>
                <w:sz w:val="21"/>
                <w:szCs w:val="21"/>
                <w:highlight w:val="none"/>
              </w:rPr>
            </w:pPr>
            <w:r>
              <w:rPr>
                <w:rFonts w:hint="eastAsia" w:ascii="微软雅黑" w:hAnsi="微软雅黑" w:eastAsia="微软雅黑"/>
                <w:color w:val="auto"/>
                <w:sz w:val="21"/>
                <w:szCs w:val="21"/>
                <w:highlight w:val="none"/>
              </w:rPr>
              <w:t>交货及安装调试时间：中标供应商在签订合同60日内完成所有设备安装、调试，并交付采购人验收。采购人接到验收申请之日起10个工作日内按规定组织验收。</w:t>
            </w:r>
          </w:p>
          <w:p w14:paraId="6505FBE9">
            <w:pPr>
              <w:pStyle w:val="25"/>
              <w:spacing w:after="0" w:line="240" w:lineRule="auto"/>
              <w:ind w:left="0" w:leftChars="0" w:firstLine="0" w:firstLineChars="0"/>
              <w:rPr>
                <w:rFonts w:ascii="微软雅黑" w:hAnsi="微软雅黑" w:eastAsia="微软雅黑"/>
                <w:color w:val="auto"/>
                <w:sz w:val="21"/>
                <w:szCs w:val="21"/>
                <w:highlight w:val="none"/>
              </w:rPr>
            </w:pPr>
            <w:r>
              <w:rPr>
                <w:rFonts w:hint="eastAsia" w:ascii="微软雅黑" w:hAnsi="微软雅黑" w:eastAsia="微软雅黑"/>
                <w:color w:val="auto"/>
                <w:sz w:val="21"/>
                <w:szCs w:val="21"/>
                <w:highlight w:val="none"/>
              </w:rPr>
              <w:t>交货地点：嘉兴南湖学院指定地点。</w:t>
            </w:r>
          </w:p>
        </w:tc>
      </w:tr>
      <w:tr w14:paraId="2AB4EAE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5" w:hRule="atLeast"/>
        </w:trPr>
        <w:tc>
          <w:tcPr>
            <w:tcW w:w="1565" w:type="dxa"/>
            <w:tcBorders>
              <w:top w:val="single" w:color="auto" w:sz="4" w:space="0"/>
              <w:left w:val="single" w:color="auto" w:sz="4" w:space="0"/>
              <w:bottom w:val="single" w:color="auto" w:sz="4" w:space="0"/>
              <w:right w:val="single" w:color="auto" w:sz="4" w:space="0"/>
            </w:tcBorders>
            <w:vAlign w:val="center"/>
          </w:tcPr>
          <w:p w14:paraId="18C591D8">
            <w:pPr>
              <w:pStyle w:val="25"/>
              <w:spacing w:after="0" w:line="240" w:lineRule="auto"/>
              <w:ind w:left="0" w:leftChars="0" w:firstLine="0" w:firstLineChars="0"/>
              <w:rPr>
                <w:rFonts w:ascii="微软雅黑" w:hAnsi="微软雅黑" w:eastAsia="微软雅黑"/>
                <w:color w:val="auto"/>
                <w:sz w:val="21"/>
                <w:szCs w:val="21"/>
                <w:highlight w:val="none"/>
              </w:rPr>
            </w:pPr>
            <w:r>
              <w:rPr>
                <w:rFonts w:hint="eastAsia" w:ascii="微软雅黑" w:hAnsi="微软雅黑" w:eastAsia="微软雅黑"/>
                <w:color w:val="auto"/>
                <w:sz w:val="21"/>
                <w:szCs w:val="21"/>
                <w:highlight w:val="none"/>
              </w:rPr>
              <w:t>售后要求</w:t>
            </w:r>
          </w:p>
        </w:tc>
        <w:tc>
          <w:tcPr>
            <w:tcW w:w="7166" w:type="dxa"/>
            <w:tcBorders>
              <w:top w:val="single" w:color="auto" w:sz="4" w:space="0"/>
              <w:left w:val="single" w:color="auto" w:sz="4" w:space="0"/>
              <w:bottom w:val="single" w:color="auto" w:sz="4" w:space="0"/>
              <w:right w:val="single" w:color="auto" w:sz="4" w:space="0"/>
            </w:tcBorders>
            <w:vAlign w:val="center"/>
          </w:tcPr>
          <w:p w14:paraId="6E78C89C">
            <w:pPr>
              <w:pStyle w:val="25"/>
              <w:spacing w:after="0" w:line="240" w:lineRule="auto"/>
              <w:ind w:left="0" w:leftChars="0" w:firstLine="0" w:firstLineChars="0"/>
              <w:rPr>
                <w:rFonts w:ascii="微软雅黑" w:hAnsi="微软雅黑" w:eastAsia="微软雅黑"/>
                <w:color w:val="auto"/>
                <w:sz w:val="21"/>
                <w:szCs w:val="21"/>
                <w:highlight w:val="none"/>
              </w:rPr>
            </w:pPr>
            <w:r>
              <w:rPr>
                <w:rFonts w:hint="eastAsia" w:ascii="微软雅黑" w:hAnsi="微软雅黑" w:eastAsia="微软雅黑"/>
                <w:color w:val="auto"/>
                <w:sz w:val="21"/>
                <w:szCs w:val="21"/>
                <w:highlight w:val="none"/>
              </w:rPr>
              <w:t>设有投标货物的售后技术服务机构，配有较强的技术队伍，能提供快速的售后服务响应。提供7*24小时上门服务。</w:t>
            </w:r>
          </w:p>
        </w:tc>
      </w:tr>
      <w:tr w14:paraId="324E80E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5" w:hRule="atLeast"/>
        </w:trPr>
        <w:tc>
          <w:tcPr>
            <w:tcW w:w="1565" w:type="dxa"/>
            <w:tcBorders>
              <w:top w:val="single" w:color="auto" w:sz="4" w:space="0"/>
              <w:left w:val="single" w:color="auto" w:sz="4" w:space="0"/>
              <w:bottom w:val="single" w:color="auto" w:sz="4" w:space="0"/>
              <w:right w:val="single" w:color="auto" w:sz="4" w:space="0"/>
            </w:tcBorders>
            <w:vAlign w:val="center"/>
          </w:tcPr>
          <w:p w14:paraId="79A47ED9">
            <w:pPr>
              <w:pStyle w:val="25"/>
              <w:spacing w:after="0" w:line="240" w:lineRule="auto"/>
              <w:ind w:left="0" w:leftChars="0" w:firstLine="0" w:firstLineChars="0"/>
              <w:rPr>
                <w:rFonts w:ascii="微软雅黑" w:hAnsi="微软雅黑" w:eastAsia="微软雅黑"/>
                <w:color w:val="auto"/>
                <w:sz w:val="21"/>
                <w:szCs w:val="21"/>
                <w:highlight w:val="none"/>
              </w:rPr>
            </w:pPr>
            <w:r>
              <w:rPr>
                <w:rFonts w:hint="eastAsia" w:ascii="微软雅黑" w:hAnsi="微软雅黑" w:eastAsia="微软雅黑"/>
                <w:color w:val="auto"/>
                <w:sz w:val="21"/>
                <w:szCs w:val="21"/>
                <w:highlight w:val="none"/>
              </w:rPr>
              <w:t>报价要求</w:t>
            </w:r>
          </w:p>
        </w:tc>
        <w:tc>
          <w:tcPr>
            <w:tcW w:w="7166" w:type="dxa"/>
            <w:tcBorders>
              <w:top w:val="single" w:color="auto" w:sz="4" w:space="0"/>
              <w:left w:val="single" w:color="auto" w:sz="4" w:space="0"/>
              <w:bottom w:val="single" w:color="auto" w:sz="4" w:space="0"/>
              <w:right w:val="single" w:color="auto" w:sz="4" w:space="0"/>
            </w:tcBorders>
            <w:vAlign w:val="center"/>
          </w:tcPr>
          <w:p w14:paraId="36A3505B">
            <w:pPr>
              <w:pStyle w:val="25"/>
              <w:spacing w:after="0" w:line="240" w:lineRule="auto"/>
              <w:ind w:left="0" w:leftChars="0" w:firstLine="0" w:firstLineChars="0"/>
              <w:rPr>
                <w:rFonts w:ascii="微软雅黑" w:hAnsi="微软雅黑" w:eastAsia="微软雅黑"/>
                <w:color w:val="auto"/>
                <w:sz w:val="21"/>
                <w:szCs w:val="21"/>
                <w:highlight w:val="none"/>
              </w:rPr>
            </w:pPr>
            <w:r>
              <w:rPr>
                <w:rFonts w:hint="eastAsia" w:ascii="微软雅黑" w:hAnsi="微软雅黑" w:eastAsia="微软雅黑"/>
                <w:color w:val="auto"/>
                <w:sz w:val="21"/>
                <w:szCs w:val="21"/>
                <w:highlight w:val="none"/>
              </w:rPr>
              <w:t>包含项目实施所需的一切设备、线材、布线等相关配件、运输、包装、送货、安装、辅件、调试、人员费用、税金等一切相关费用。</w:t>
            </w:r>
          </w:p>
        </w:tc>
      </w:tr>
      <w:tr w14:paraId="09F77CE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5" w:hRule="atLeast"/>
        </w:trPr>
        <w:tc>
          <w:tcPr>
            <w:tcW w:w="1565" w:type="dxa"/>
            <w:tcBorders>
              <w:top w:val="single" w:color="auto" w:sz="4" w:space="0"/>
              <w:left w:val="single" w:color="auto" w:sz="4" w:space="0"/>
              <w:bottom w:val="single" w:color="auto" w:sz="4" w:space="0"/>
              <w:right w:val="single" w:color="auto" w:sz="4" w:space="0"/>
            </w:tcBorders>
            <w:vAlign w:val="center"/>
          </w:tcPr>
          <w:p w14:paraId="08B439EC">
            <w:pPr>
              <w:pStyle w:val="25"/>
              <w:spacing w:after="0" w:line="240" w:lineRule="auto"/>
              <w:ind w:left="0" w:leftChars="0" w:firstLine="0" w:firstLineChars="0"/>
              <w:rPr>
                <w:rFonts w:ascii="微软雅黑" w:hAnsi="微软雅黑" w:eastAsia="微软雅黑"/>
                <w:color w:val="auto"/>
                <w:sz w:val="21"/>
                <w:szCs w:val="21"/>
                <w:highlight w:val="none"/>
              </w:rPr>
            </w:pPr>
            <w:r>
              <w:rPr>
                <w:rFonts w:hint="eastAsia" w:ascii="微软雅黑" w:hAnsi="微软雅黑" w:eastAsia="微软雅黑"/>
                <w:color w:val="auto"/>
                <w:sz w:val="21"/>
                <w:szCs w:val="21"/>
                <w:highlight w:val="none"/>
              </w:rPr>
              <w:t>付款条件及合同支付</w:t>
            </w:r>
          </w:p>
        </w:tc>
        <w:tc>
          <w:tcPr>
            <w:tcW w:w="7166" w:type="dxa"/>
            <w:tcBorders>
              <w:top w:val="single" w:color="auto" w:sz="4" w:space="0"/>
              <w:left w:val="single" w:color="auto" w:sz="4" w:space="0"/>
              <w:bottom w:val="single" w:color="auto" w:sz="4" w:space="0"/>
              <w:right w:val="single" w:color="auto" w:sz="4" w:space="0"/>
            </w:tcBorders>
            <w:vAlign w:val="center"/>
          </w:tcPr>
          <w:p w14:paraId="051ECCF5">
            <w:pPr>
              <w:pStyle w:val="25"/>
              <w:spacing w:after="0" w:line="240" w:lineRule="auto"/>
              <w:ind w:left="0" w:leftChars="0" w:firstLine="0" w:firstLineChars="0"/>
              <w:rPr>
                <w:rFonts w:ascii="微软雅黑" w:hAnsi="微软雅黑" w:eastAsia="微软雅黑"/>
                <w:color w:val="auto"/>
                <w:sz w:val="21"/>
                <w:szCs w:val="21"/>
                <w:highlight w:val="none"/>
              </w:rPr>
            </w:pPr>
            <w:r>
              <w:rPr>
                <w:rFonts w:hint="eastAsia" w:ascii="微软雅黑" w:hAnsi="微软雅黑" w:eastAsia="微软雅黑"/>
                <w:color w:val="auto"/>
                <w:sz w:val="21"/>
                <w:szCs w:val="21"/>
                <w:highlight w:val="none"/>
              </w:rPr>
              <w:t>1</w:t>
            </w:r>
            <w:r>
              <w:rPr>
                <w:rFonts w:hint="eastAsia" w:ascii="微软雅黑" w:hAnsi="微软雅黑" w:eastAsia="微软雅黑"/>
                <w:color w:val="auto"/>
                <w:sz w:val="21"/>
                <w:szCs w:val="21"/>
                <w:highlight w:val="none"/>
                <w:lang w:eastAsia="zh-CN"/>
              </w:rPr>
              <w:t>、</w:t>
            </w:r>
            <w:r>
              <w:rPr>
                <w:rFonts w:hint="eastAsia" w:ascii="微软雅黑" w:hAnsi="微软雅黑" w:eastAsia="微软雅黑"/>
                <w:color w:val="auto"/>
                <w:sz w:val="21"/>
                <w:szCs w:val="21"/>
                <w:highlight w:val="none"/>
              </w:rPr>
              <w:t>中标供应商与嘉兴南湖学院签定合同；</w:t>
            </w:r>
          </w:p>
          <w:p w14:paraId="5B0387DC">
            <w:pPr>
              <w:pStyle w:val="25"/>
              <w:spacing w:after="0" w:line="240" w:lineRule="auto"/>
              <w:ind w:left="0" w:leftChars="0" w:firstLine="0" w:firstLineChars="0"/>
              <w:rPr>
                <w:rFonts w:hint="eastAsia" w:ascii="微软雅黑" w:hAnsi="微软雅黑" w:eastAsia="微软雅黑"/>
                <w:b/>
                <w:bCs/>
                <w:color w:val="auto"/>
                <w:sz w:val="21"/>
                <w:szCs w:val="21"/>
                <w:highlight w:val="none"/>
                <w:lang w:eastAsia="zh-CN"/>
              </w:rPr>
            </w:pPr>
            <w:r>
              <w:rPr>
                <w:rFonts w:hint="eastAsia" w:ascii="微软雅黑" w:hAnsi="微软雅黑" w:eastAsia="微软雅黑"/>
                <w:color w:val="auto"/>
                <w:sz w:val="21"/>
                <w:szCs w:val="21"/>
                <w:highlight w:val="none"/>
              </w:rPr>
              <w:t>2</w:t>
            </w:r>
            <w:r>
              <w:rPr>
                <w:rFonts w:hint="eastAsia" w:ascii="微软雅黑" w:hAnsi="微软雅黑" w:eastAsia="微软雅黑"/>
                <w:color w:val="auto"/>
                <w:sz w:val="21"/>
                <w:szCs w:val="21"/>
                <w:highlight w:val="none"/>
                <w:lang w:eastAsia="zh-CN"/>
              </w:rPr>
              <w:t>、</w:t>
            </w:r>
            <w:r>
              <w:rPr>
                <w:rFonts w:hint="eastAsia" w:ascii="微软雅黑" w:hAnsi="微软雅黑" w:eastAsia="微软雅黑"/>
                <w:color w:val="auto"/>
                <w:sz w:val="21"/>
                <w:szCs w:val="21"/>
                <w:highlight w:val="none"/>
              </w:rPr>
              <w:t>合同生效以及具备实施条件后7个工作日内，采购人向中标供应商支付合同金额40%预付款；</w:t>
            </w:r>
            <w:r>
              <w:rPr>
                <w:rFonts w:hint="eastAsia" w:ascii="微软雅黑" w:hAnsi="微软雅黑" w:eastAsia="微软雅黑"/>
                <w:b/>
                <w:bCs/>
                <w:color w:val="auto"/>
                <w:sz w:val="21"/>
                <w:szCs w:val="21"/>
                <w:highlight w:val="none"/>
                <w:lang w:eastAsia="zh-CN"/>
              </w:rPr>
              <w:t>（</w:t>
            </w:r>
            <w:r>
              <w:rPr>
                <w:rFonts w:hint="eastAsia" w:ascii="微软雅黑" w:hAnsi="微软雅黑" w:eastAsia="微软雅黑"/>
                <w:b/>
                <w:bCs/>
                <w:color w:val="auto"/>
                <w:sz w:val="21"/>
                <w:szCs w:val="21"/>
                <w:highlight w:val="none"/>
              </w:rPr>
              <w:t>采购单位根据项目特点、供应商诚信等因素，可以要求供应商提交银行、保险公司等金融机构出具的预付款保函或其他担保措施。</w:t>
            </w:r>
            <w:r>
              <w:rPr>
                <w:rFonts w:hint="eastAsia" w:ascii="微软雅黑" w:hAnsi="微软雅黑" w:eastAsia="微软雅黑"/>
                <w:b/>
                <w:bCs/>
                <w:color w:val="auto"/>
                <w:sz w:val="21"/>
                <w:szCs w:val="21"/>
                <w:highlight w:val="none"/>
                <w:lang w:eastAsia="zh-CN"/>
              </w:rPr>
              <w:t>）</w:t>
            </w:r>
          </w:p>
          <w:p w14:paraId="4FBF79E4">
            <w:pPr>
              <w:pStyle w:val="25"/>
              <w:spacing w:after="0" w:line="240" w:lineRule="auto"/>
              <w:ind w:left="0" w:leftChars="0" w:firstLine="0" w:firstLineChars="0"/>
              <w:rPr>
                <w:rFonts w:ascii="微软雅黑" w:hAnsi="微软雅黑" w:eastAsia="微软雅黑"/>
                <w:color w:val="auto"/>
                <w:sz w:val="21"/>
                <w:szCs w:val="21"/>
                <w:highlight w:val="none"/>
              </w:rPr>
            </w:pPr>
            <w:r>
              <w:rPr>
                <w:rFonts w:hint="eastAsia" w:ascii="微软雅黑" w:hAnsi="微软雅黑" w:eastAsia="微软雅黑"/>
                <w:color w:val="auto"/>
                <w:sz w:val="21"/>
                <w:szCs w:val="21"/>
                <w:highlight w:val="none"/>
              </w:rPr>
              <w:t>3</w:t>
            </w:r>
            <w:r>
              <w:rPr>
                <w:rFonts w:hint="eastAsia" w:ascii="微软雅黑" w:hAnsi="微软雅黑" w:eastAsia="微软雅黑"/>
                <w:color w:val="auto"/>
                <w:sz w:val="21"/>
                <w:szCs w:val="21"/>
                <w:highlight w:val="none"/>
                <w:lang w:eastAsia="zh-CN"/>
              </w:rPr>
              <w:t>、</w:t>
            </w:r>
            <w:r>
              <w:rPr>
                <w:rFonts w:hint="eastAsia" w:ascii="微软雅黑" w:hAnsi="微软雅黑" w:eastAsia="微软雅黑"/>
                <w:color w:val="auto"/>
                <w:sz w:val="21"/>
                <w:szCs w:val="21"/>
                <w:highlight w:val="none"/>
              </w:rPr>
              <w:t>全部安装完毕、验收合格且收到合法有效的发票后七个工作日，采购人支付至合同价的100%。</w:t>
            </w:r>
          </w:p>
        </w:tc>
      </w:tr>
      <w:tr w14:paraId="7439D16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9" w:hRule="atLeast"/>
        </w:trPr>
        <w:tc>
          <w:tcPr>
            <w:tcW w:w="1565" w:type="dxa"/>
            <w:tcBorders>
              <w:top w:val="single" w:color="auto" w:sz="4" w:space="0"/>
              <w:left w:val="single" w:color="auto" w:sz="4" w:space="0"/>
              <w:bottom w:val="single" w:color="auto" w:sz="4" w:space="0"/>
              <w:right w:val="single" w:color="auto" w:sz="4" w:space="0"/>
            </w:tcBorders>
            <w:vAlign w:val="center"/>
          </w:tcPr>
          <w:p w14:paraId="767F91FE">
            <w:pPr>
              <w:pStyle w:val="25"/>
              <w:spacing w:after="0" w:line="240" w:lineRule="auto"/>
              <w:ind w:left="0" w:leftChars="0" w:firstLine="0" w:firstLineChars="0"/>
              <w:rPr>
                <w:rFonts w:ascii="微软雅黑" w:hAnsi="微软雅黑" w:eastAsia="微软雅黑"/>
                <w:color w:val="auto"/>
                <w:sz w:val="21"/>
                <w:szCs w:val="21"/>
                <w:highlight w:val="none"/>
              </w:rPr>
            </w:pPr>
            <w:r>
              <w:rPr>
                <w:rFonts w:hint="eastAsia" w:ascii="微软雅黑" w:hAnsi="微软雅黑" w:eastAsia="微软雅黑"/>
                <w:color w:val="auto"/>
                <w:sz w:val="21"/>
                <w:szCs w:val="21"/>
                <w:highlight w:val="none"/>
              </w:rPr>
              <w:t>培训</w:t>
            </w:r>
          </w:p>
        </w:tc>
        <w:tc>
          <w:tcPr>
            <w:tcW w:w="7166" w:type="dxa"/>
            <w:tcBorders>
              <w:top w:val="single" w:color="auto" w:sz="4" w:space="0"/>
              <w:left w:val="single" w:color="auto" w:sz="4" w:space="0"/>
              <w:bottom w:val="single" w:color="auto" w:sz="4" w:space="0"/>
              <w:right w:val="single" w:color="auto" w:sz="4" w:space="0"/>
            </w:tcBorders>
            <w:vAlign w:val="center"/>
          </w:tcPr>
          <w:p w14:paraId="1710A294">
            <w:pPr>
              <w:pStyle w:val="25"/>
              <w:spacing w:after="0" w:line="240" w:lineRule="auto"/>
              <w:ind w:left="0" w:leftChars="0" w:firstLine="0" w:firstLineChars="0"/>
              <w:rPr>
                <w:rFonts w:ascii="微软雅黑" w:hAnsi="微软雅黑" w:eastAsia="微软雅黑"/>
                <w:color w:val="auto"/>
                <w:sz w:val="21"/>
                <w:szCs w:val="21"/>
                <w:highlight w:val="none"/>
              </w:rPr>
            </w:pPr>
            <w:r>
              <w:rPr>
                <w:rFonts w:hint="eastAsia" w:ascii="微软雅黑" w:hAnsi="微软雅黑" w:eastAsia="微软雅黑"/>
                <w:color w:val="auto"/>
                <w:sz w:val="21"/>
                <w:szCs w:val="21"/>
                <w:highlight w:val="none"/>
              </w:rPr>
              <w:t>验收合格后10个工作日内向采购人相关人员提供免费培训一次，培训内容包括但不限于随机功能等。</w:t>
            </w:r>
          </w:p>
        </w:tc>
      </w:tr>
      <w:tr w14:paraId="41F2CF9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41" w:hRule="atLeast"/>
        </w:trPr>
        <w:tc>
          <w:tcPr>
            <w:tcW w:w="1565" w:type="dxa"/>
            <w:tcBorders>
              <w:top w:val="single" w:color="auto" w:sz="4" w:space="0"/>
              <w:left w:val="single" w:color="auto" w:sz="4" w:space="0"/>
              <w:bottom w:val="single" w:color="auto" w:sz="4" w:space="0"/>
              <w:right w:val="single" w:color="auto" w:sz="4" w:space="0"/>
            </w:tcBorders>
            <w:vAlign w:val="center"/>
          </w:tcPr>
          <w:p w14:paraId="6923E4EA">
            <w:pPr>
              <w:pStyle w:val="25"/>
              <w:spacing w:after="0" w:line="240" w:lineRule="auto"/>
              <w:ind w:left="0" w:leftChars="0" w:firstLine="0" w:firstLineChars="0"/>
              <w:rPr>
                <w:rFonts w:ascii="微软雅黑" w:hAnsi="微软雅黑" w:eastAsia="微软雅黑"/>
                <w:color w:val="auto"/>
                <w:sz w:val="21"/>
                <w:szCs w:val="21"/>
                <w:highlight w:val="none"/>
              </w:rPr>
            </w:pPr>
            <w:r>
              <w:rPr>
                <w:rFonts w:hint="eastAsia" w:ascii="微软雅黑" w:hAnsi="微软雅黑" w:eastAsia="微软雅黑"/>
                <w:color w:val="auto"/>
                <w:sz w:val="21"/>
                <w:szCs w:val="21"/>
                <w:highlight w:val="none"/>
              </w:rPr>
              <w:t>备品备件及耗材等要求</w:t>
            </w:r>
          </w:p>
        </w:tc>
        <w:tc>
          <w:tcPr>
            <w:tcW w:w="7166" w:type="dxa"/>
            <w:tcBorders>
              <w:top w:val="single" w:color="auto" w:sz="4" w:space="0"/>
              <w:left w:val="single" w:color="auto" w:sz="4" w:space="0"/>
              <w:bottom w:val="single" w:color="auto" w:sz="4" w:space="0"/>
              <w:right w:val="single" w:color="auto" w:sz="4" w:space="0"/>
            </w:tcBorders>
            <w:vAlign w:val="center"/>
          </w:tcPr>
          <w:p w14:paraId="2111C658">
            <w:pPr>
              <w:pStyle w:val="25"/>
              <w:spacing w:after="0" w:line="240" w:lineRule="auto"/>
              <w:ind w:left="0" w:leftChars="0" w:firstLine="0" w:firstLineChars="0"/>
              <w:rPr>
                <w:rFonts w:ascii="微软雅黑" w:hAnsi="微软雅黑" w:eastAsia="微软雅黑"/>
                <w:color w:val="auto"/>
                <w:sz w:val="21"/>
                <w:szCs w:val="21"/>
                <w:highlight w:val="none"/>
              </w:rPr>
            </w:pPr>
            <w:r>
              <w:rPr>
                <w:rFonts w:hint="eastAsia" w:ascii="微软雅黑" w:hAnsi="微软雅黑" w:eastAsia="微软雅黑"/>
                <w:color w:val="auto"/>
                <w:sz w:val="21"/>
                <w:szCs w:val="21"/>
                <w:highlight w:val="none"/>
              </w:rPr>
              <w:t>质保期内免费更换一切在正常情况下损坏的零配件，每年提供两次免费上门巡检服务；质保期后，中标供应商负责设备的终身维修及零配件的及时供应。</w:t>
            </w:r>
          </w:p>
        </w:tc>
      </w:tr>
      <w:tr w14:paraId="7A0E8D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7" w:hRule="atLeast"/>
        </w:trPr>
        <w:tc>
          <w:tcPr>
            <w:tcW w:w="1565" w:type="dxa"/>
            <w:tcBorders>
              <w:top w:val="single" w:color="auto" w:sz="4" w:space="0"/>
              <w:left w:val="single" w:color="auto" w:sz="4" w:space="0"/>
              <w:bottom w:val="single" w:color="auto" w:sz="4" w:space="0"/>
              <w:right w:val="single" w:color="auto" w:sz="4" w:space="0"/>
            </w:tcBorders>
            <w:vAlign w:val="center"/>
          </w:tcPr>
          <w:p w14:paraId="1B11F752">
            <w:pPr>
              <w:pStyle w:val="25"/>
              <w:spacing w:after="0" w:line="240" w:lineRule="auto"/>
              <w:ind w:left="0" w:leftChars="0" w:firstLine="0" w:firstLineChars="0"/>
              <w:rPr>
                <w:rFonts w:ascii="微软雅黑" w:hAnsi="微软雅黑" w:eastAsia="微软雅黑"/>
                <w:color w:val="auto"/>
                <w:sz w:val="21"/>
                <w:szCs w:val="21"/>
                <w:highlight w:val="none"/>
              </w:rPr>
            </w:pPr>
            <w:r>
              <w:rPr>
                <w:rFonts w:hint="eastAsia" w:ascii="微软雅黑" w:hAnsi="微软雅黑" w:eastAsia="微软雅黑"/>
                <w:color w:val="auto"/>
                <w:sz w:val="21"/>
                <w:szCs w:val="21"/>
                <w:highlight w:val="none"/>
              </w:rPr>
              <w:t>责任认定</w:t>
            </w:r>
          </w:p>
        </w:tc>
        <w:tc>
          <w:tcPr>
            <w:tcW w:w="7166" w:type="dxa"/>
            <w:tcBorders>
              <w:top w:val="single" w:color="auto" w:sz="4" w:space="0"/>
              <w:left w:val="single" w:color="auto" w:sz="4" w:space="0"/>
              <w:bottom w:val="single" w:color="auto" w:sz="4" w:space="0"/>
              <w:right w:val="single" w:color="auto" w:sz="4" w:space="0"/>
            </w:tcBorders>
            <w:vAlign w:val="center"/>
          </w:tcPr>
          <w:p w14:paraId="1B49D21E">
            <w:pPr>
              <w:pStyle w:val="25"/>
              <w:spacing w:after="0" w:line="240" w:lineRule="auto"/>
              <w:ind w:left="0" w:leftChars="0" w:firstLine="0" w:firstLineChars="0"/>
              <w:rPr>
                <w:rFonts w:ascii="微软雅黑" w:hAnsi="微软雅黑" w:eastAsia="微软雅黑"/>
                <w:color w:val="auto"/>
                <w:sz w:val="21"/>
                <w:szCs w:val="21"/>
                <w:highlight w:val="none"/>
              </w:rPr>
            </w:pPr>
            <w:r>
              <w:rPr>
                <w:rFonts w:hint="eastAsia" w:ascii="微软雅黑" w:hAnsi="微软雅黑" w:eastAsia="微软雅黑"/>
                <w:color w:val="auto"/>
                <w:sz w:val="21"/>
                <w:szCs w:val="21"/>
                <w:highlight w:val="none"/>
              </w:rPr>
              <w:t>在质保期内，因中标供应商的原因，未能完全履行服务承诺，采购人有权追究中标供应商的责任。</w:t>
            </w:r>
          </w:p>
        </w:tc>
      </w:tr>
      <w:tr w14:paraId="09EF184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1565" w:type="dxa"/>
            <w:tcBorders>
              <w:top w:val="single" w:color="auto" w:sz="4" w:space="0"/>
              <w:left w:val="single" w:color="auto" w:sz="4" w:space="0"/>
              <w:bottom w:val="single" w:color="auto" w:sz="4" w:space="0"/>
              <w:right w:val="single" w:color="auto" w:sz="4" w:space="0"/>
            </w:tcBorders>
            <w:vAlign w:val="center"/>
          </w:tcPr>
          <w:p w14:paraId="1B61228C">
            <w:pPr>
              <w:pStyle w:val="25"/>
              <w:spacing w:after="0" w:line="240" w:lineRule="auto"/>
              <w:ind w:left="0" w:leftChars="0" w:firstLine="0" w:firstLineChars="0"/>
              <w:rPr>
                <w:rFonts w:ascii="微软雅黑" w:hAnsi="微软雅黑" w:eastAsia="微软雅黑"/>
                <w:color w:val="auto"/>
                <w:sz w:val="21"/>
                <w:szCs w:val="21"/>
                <w:highlight w:val="none"/>
              </w:rPr>
            </w:pPr>
            <w:r>
              <w:rPr>
                <w:rFonts w:hint="eastAsia" w:ascii="微软雅黑" w:hAnsi="微软雅黑" w:eastAsia="微软雅黑"/>
                <w:color w:val="auto"/>
                <w:sz w:val="21"/>
                <w:szCs w:val="21"/>
                <w:highlight w:val="none"/>
              </w:rPr>
              <w:t>政策性条件</w:t>
            </w:r>
          </w:p>
        </w:tc>
        <w:tc>
          <w:tcPr>
            <w:tcW w:w="7166" w:type="dxa"/>
            <w:tcBorders>
              <w:top w:val="single" w:color="auto" w:sz="4" w:space="0"/>
              <w:left w:val="single" w:color="auto" w:sz="4" w:space="0"/>
              <w:bottom w:val="single" w:color="auto" w:sz="4" w:space="0"/>
              <w:right w:val="single" w:color="auto" w:sz="4" w:space="0"/>
            </w:tcBorders>
            <w:vAlign w:val="center"/>
          </w:tcPr>
          <w:p w14:paraId="78770B08">
            <w:pPr>
              <w:pStyle w:val="25"/>
              <w:spacing w:after="0" w:line="240" w:lineRule="auto"/>
              <w:ind w:left="0" w:leftChars="0" w:firstLine="0" w:firstLineChars="0"/>
              <w:rPr>
                <w:rFonts w:ascii="微软雅黑" w:hAnsi="微软雅黑" w:eastAsia="微软雅黑"/>
                <w:color w:val="auto"/>
                <w:sz w:val="21"/>
                <w:szCs w:val="21"/>
                <w:highlight w:val="none"/>
              </w:rPr>
            </w:pPr>
            <w:r>
              <w:rPr>
                <w:rFonts w:hint="eastAsia" w:ascii="微软雅黑" w:hAnsi="微软雅黑" w:eastAsia="微软雅黑"/>
                <w:color w:val="auto"/>
                <w:sz w:val="21"/>
                <w:szCs w:val="21"/>
                <w:highlight w:val="none"/>
              </w:rPr>
              <w:t>投标供应商属于监狱企业、残疾人福利性单位视为小型、微型企业，享受中小企业政策扶持。</w:t>
            </w:r>
          </w:p>
        </w:tc>
      </w:tr>
      <w:tr w14:paraId="6EC7D3F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1565" w:type="dxa"/>
            <w:tcBorders>
              <w:top w:val="single" w:color="auto" w:sz="4" w:space="0"/>
              <w:left w:val="single" w:color="auto" w:sz="4" w:space="0"/>
              <w:bottom w:val="single" w:color="auto" w:sz="4" w:space="0"/>
              <w:right w:val="single" w:color="auto" w:sz="4" w:space="0"/>
            </w:tcBorders>
            <w:vAlign w:val="center"/>
          </w:tcPr>
          <w:p w14:paraId="34827A9D">
            <w:pPr>
              <w:pStyle w:val="25"/>
              <w:spacing w:after="0" w:line="240" w:lineRule="auto"/>
              <w:ind w:left="0" w:leftChars="0" w:firstLine="0" w:firstLineChars="0"/>
              <w:rPr>
                <w:rFonts w:ascii="微软雅黑" w:hAnsi="微软雅黑" w:eastAsia="微软雅黑"/>
                <w:color w:val="auto"/>
                <w:sz w:val="21"/>
                <w:szCs w:val="21"/>
                <w:highlight w:val="none"/>
              </w:rPr>
            </w:pPr>
            <w:r>
              <w:rPr>
                <w:rFonts w:hint="eastAsia" w:ascii="微软雅黑" w:hAnsi="微软雅黑" w:eastAsia="微软雅黑"/>
                <w:color w:val="auto"/>
                <w:sz w:val="21"/>
                <w:szCs w:val="21"/>
                <w:highlight w:val="none"/>
              </w:rPr>
              <w:t>特殊条款</w:t>
            </w:r>
          </w:p>
        </w:tc>
        <w:tc>
          <w:tcPr>
            <w:tcW w:w="7166" w:type="dxa"/>
            <w:tcBorders>
              <w:top w:val="single" w:color="auto" w:sz="4" w:space="0"/>
              <w:left w:val="single" w:color="auto" w:sz="4" w:space="0"/>
              <w:bottom w:val="single" w:color="auto" w:sz="4" w:space="0"/>
              <w:right w:val="single" w:color="auto" w:sz="4" w:space="0"/>
            </w:tcBorders>
            <w:vAlign w:val="center"/>
          </w:tcPr>
          <w:p w14:paraId="0CA69C53">
            <w:pPr>
              <w:pStyle w:val="25"/>
              <w:spacing w:after="0" w:line="240" w:lineRule="auto"/>
              <w:ind w:left="0" w:leftChars="0" w:firstLine="0" w:firstLineChars="0"/>
              <w:rPr>
                <w:rFonts w:ascii="微软雅黑" w:hAnsi="微软雅黑" w:eastAsia="微软雅黑"/>
                <w:color w:val="auto"/>
                <w:sz w:val="21"/>
                <w:szCs w:val="21"/>
                <w:highlight w:val="none"/>
              </w:rPr>
            </w:pPr>
            <w:r>
              <w:rPr>
                <w:rFonts w:hint="eastAsia" w:ascii="微软雅黑" w:hAnsi="微软雅黑" w:eastAsia="微软雅黑"/>
                <w:color w:val="auto"/>
                <w:sz w:val="21"/>
                <w:szCs w:val="21"/>
                <w:highlight w:val="none"/>
              </w:rPr>
              <w:t>招标文件中的技术要求（规格）书为原则性要求，并不是详尽的要求，中标供应商有责任对投标文件中提出的技术规范、标准负责。其中※部分为关键性指标，中标供应商对投标内容所涉及的专利承担责任，并负责保护采购人的利益不受任何损害。一切由于文字、商标、技术等专利引起的法律裁决、诉讼和费用均与采购人无关。</w:t>
            </w:r>
          </w:p>
        </w:tc>
      </w:tr>
      <w:tr w14:paraId="13DD09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1565" w:type="dxa"/>
            <w:tcBorders>
              <w:top w:val="single" w:color="auto" w:sz="4" w:space="0"/>
              <w:left w:val="single" w:color="auto" w:sz="4" w:space="0"/>
              <w:bottom w:val="single" w:color="auto" w:sz="4" w:space="0"/>
              <w:right w:val="single" w:color="auto" w:sz="4" w:space="0"/>
            </w:tcBorders>
            <w:vAlign w:val="center"/>
          </w:tcPr>
          <w:p w14:paraId="031BDDAA">
            <w:pPr>
              <w:pStyle w:val="25"/>
              <w:spacing w:after="0" w:line="240" w:lineRule="auto"/>
              <w:ind w:left="0" w:leftChars="0" w:firstLine="0" w:firstLineChars="0"/>
              <w:rPr>
                <w:rFonts w:ascii="微软雅黑" w:hAnsi="微软雅黑" w:eastAsia="微软雅黑"/>
                <w:color w:val="auto"/>
                <w:sz w:val="21"/>
                <w:szCs w:val="21"/>
                <w:highlight w:val="none"/>
              </w:rPr>
            </w:pPr>
            <w:r>
              <w:rPr>
                <w:rFonts w:hint="eastAsia" w:ascii="微软雅黑" w:hAnsi="微软雅黑" w:eastAsia="微软雅黑"/>
                <w:color w:val="auto"/>
                <w:sz w:val="21"/>
                <w:szCs w:val="21"/>
                <w:highlight w:val="none"/>
              </w:rPr>
              <w:t>采购人的其他要求及说明</w:t>
            </w:r>
          </w:p>
        </w:tc>
        <w:tc>
          <w:tcPr>
            <w:tcW w:w="7166" w:type="dxa"/>
            <w:tcBorders>
              <w:top w:val="single" w:color="auto" w:sz="4" w:space="0"/>
              <w:left w:val="single" w:color="auto" w:sz="4" w:space="0"/>
              <w:bottom w:val="single" w:color="auto" w:sz="4" w:space="0"/>
              <w:right w:val="single" w:color="auto" w:sz="4" w:space="0"/>
            </w:tcBorders>
            <w:vAlign w:val="center"/>
          </w:tcPr>
          <w:p w14:paraId="539C5DAF">
            <w:pPr>
              <w:pStyle w:val="25"/>
              <w:spacing w:after="0" w:line="240" w:lineRule="auto"/>
              <w:ind w:left="0" w:leftChars="0" w:firstLine="0" w:firstLineChars="0"/>
              <w:rPr>
                <w:rFonts w:hint="eastAsia" w:ascii="微软雅黑" w:hAnsi="微软雅黑" w:eastAsia="微软雅黑"/>
                <w:color w:val="auto"/>
                <w:sz w:val="21"/>
                <w:szCs w:val="21"/>
                <w:highlight w:val="none"/>
              </w:rPr>
            </w:pPr>
            <w:r>
              <w:rPr>
                <w:rFonts w:hint="eastAsia" w:ascii="微软雅黑" w:hAnsi="微软雅黑" w:eastAsia="微软雅黑"/>
                <w:color w:val="auto"/>
                <w:sz w:val="21"/>
                <w:szCs w:val="21"/>
                <w:highlight w:val="none"/>
                <w:lang w:val="en-US" w:eastAsia="zh-CN"/>
              </w:rPr>
              <w:t>1、</w:t>
            </w:r>
            <w:r>
              <w:rPr>
                <w:rFonts w:hint="eastAsia" w:ascii="微软雅黑" w:hAnsi="微软雅黑" w:eastAsia="微软雅黑"/>
                <w:color w:val="auto"/>
                <w:sz w:val="21"/>
                <w:szCs w:val="21"/>
                <w:highlight w:val="none"/>
              </w:rPr>
              <w:t>供应商有任何合理化的建议，可列章节说明，供评标委员会评标时参考。</w:t>
            </w:r>
          </w:p>
          <w:p w14:paraId="7556A432">
            <w:pPr>
              <w:pStyle w:val="25"/>
              <w:spacing w:after="0" w:line="240" w:lineRule="auto"/>
              <w:ind w:left="0" w:leftChars="0" w:firstLine="0" w:firstLineChars="0"/>
              <w:rPr>
                <w:rFonts w:hint="eastAsia" w:ascii="微软雅黑" w:hAnsi="微软雅黑" w:eastAsia="微软雅黑"/>
                <w:color w:val="auto"/>
                <w:sz w:val="21"/>
                <w:szCs w:val="21"/>
                <w:highlight w:val="none"/>
              </w:rPr>
            </w:pPr>
            <w:r>
              <w:rPr>
                <w:rFonts w:hint="eastAsia" w:ascii="微软雅黑" w:hAnsi="微软雅黑" w:eastAsia="微软雅黑"/>
                <w:color w:val="auto"/>
                <w:sz w:val="21"/>
                <w:szCs w:val="21"/>
                <w:highlight w:val="none"/>
                <w:lang w:val="en-US" w:eastAsia="zh-CN"/>
              </w:rPr>
              <w:t>2、</w:t>
            </w:r>
            <w:r>
              <w:rPr>
                <w:rFonts w:hint="eastAsia" w:ascii="微软雅黑" w:hAnsi="微软雅黑" w:eastAsia="微软雅黑"/>
                <w:color w:val="auto"/>
                <w:sz w:val="21"/>
                <w:szCs w:val="21"/>
                <w:highlight w:val="none"/>
              </w:rPr>
              <w:t>产品要求（规格、材质等）只是对产品的一些原则性要求，并不是详尽的要求，供应商有责任对设计符合技术规范，对行业国家标准负责。中标供应商应对响应内容所涉及的专利承担一切后果，由此引起的纠纷与采购人无关。</w:t>
            </w:r>
          </w:p>
          <w:p w14:paraId="7DA059F8">
            <w:pPr>
              <w:pStyle w:val="25"/>
              <w:spacing w:after="0" w:line="240" w:lineRule="auto"/>
              <w:ind w:left="0" w:leftChars="0" w:firstLine="0" w:firstLineChars="0"/>
              <w:rPr>
                <w:color w:val="auto"/>
                <w:highlight w:val="none"/>
              </w:rPr>
            </w:pPr>
            <w:r>
              <w:rPr>
                <w:rFonts w:hint="eastAsia" w:ascii="微软雅黑" w:hAnsi="微软雅黑" w:eastAsia="微软雅黑"/>
                <w:color w:val="auto"/>
                <w:sz w:val="21"/>
                <w:szCs w:val="21"/>
                <w:highlight w:val="none"/>
                <w:lang w:val="en-US" w:eastAsia="zh-CN"/>
              </w:rPr>
              <w:t>3、</w:t>
            </w:r>
            <w:r>
              <w:rPr>
                <w:rFonts w:hint="eastAsia" w:ascii="微软雅黑" w:hAnsi="微软雅黑" w:eastAsia="微软雅黑"/>
                <w:color w:val="auto"/>
                <w:sz w:val="21"/>
                <w:szCs w:val="21"/>
                <w:highlight w:val="none"/>
              </w:rPr>
              <w:t>中标供应商在项目实施过程中应规范开展水电气改造和墙体开凿等施工作业，承担本项目安全主体责任</w:t>
            </w:r>
            <w:r>
              <w:rPr>
                <w:rFonts w:hint="eastAsia" w:ascii="微软雅黑" w:hAnsi="微软雅黑" w:eastAsia="微软雅黑"/>
                <w:color w:val="auto"/>
                <w:sz w:val="21"/>
                <w:szCs w:val="21"/>
                <w:highlight w:val="none"/>
                <w:lang w:eastAsia="zh-CN"/>
              </w:rPr>
              <w:t>。</w:t>
            </w:r>
          </w:p>
        </w:tc>
      </w:tr>
    </w:tbl>
    <w:p w14:paraId="28F84067">
      <w:pPr>
        <w:pStyle w:val="2"/>
        <w:numPr>
          <w:ilvl w:val="0"/>
          <w:numId w:val="4"/>
        </w:numPr>
        <w:jc w:val="both"/>
        <w:rPr>
          <w:rFonts w:ascii="微软雅黑" w:hAnsi="微软雅黑" w:cs="宋体"/>
          <w:color w:val="auto"/>
          <w:szCs w:val="21"/>
          <w:highlight w:val="none"/>
        </w:rPr>
      </w:pPr>
      <w:r>
        <w:rPr>
          <w:rFonts w:hint="eastAsia" w:ascii="微软雅黑" w:hAnsi="微软雅黑" w:cs="宋体"/>
          <w:color w:val="auto"/>
          <w:szCs w:val="21"/>
          <w:highlight w:val="none"/>
        </w:rPr>
        <w:t>演示要求</w:t>
      </w:r>
    </w:p>
    <w:tbl>
      <w:tblPr>
        <w:tblStyle w:val="52"/>
        <w:tblW w:w="869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108" w:type="dxa"/>
          <w:bottom w:w="57" w:type="dxa"/>
          <w:right w:w="108" w:type="dxa"/>
        </w:tblCellMar>
      </w:tblPr>
      <w:tblGrid>
        <w:gridCol w:w="1346"/>
        <w:gridCol w:w="7344"/>
      </w:tblGrid>
      <w:tr w14:paraId="590FDE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8690" w:type="dxa"/>
            <w:gridSpan w:val="2"/>
            <w:vAlign w:val="center"/>
          </w:tcPr>
          <w:p w14:paraId="56CB873C">
            <w:pPr>
              <w:widowControl/>
              <w:spacing w:line="240" w:lineRule="auto"/>
              <w:ind w:firstLine="0" w:firstLineChars="0"/>
              <w:rPr>
                <w:rFonts w:ascii="微软雅黑" w:hAnsi="微软雅黑" w:cs="微软雅黑"/>
                <w:color w:val="auto"/>
                <w:szCs w:val="21"/>
                <w:highlight w:val="none"/>
              </w:rPr>
            </w:pPr>
            <w:r>
              <w:rPr>
                <w:rFonts w:hint="eastAsia" w:ascii="微软雅黑" w:hAnsi="微软雅黑" w:cs="微软雅黑"/>
                <w:b/>
                <w:bCs/>
                <w:color w:val="auto"/>
                <w:szCs w:val="21"/>
                <w:highlight w:val="none"/>
              </w:rPr>
              <w:t>标项一</w:t>
            </w:r>
            <w:r>
              <w:rPr>
                <w:rFonts w:hint="eastAsia" w:ascii="微软雅黑" w:hAnsi="微软雅黑" w:cs="微软雅黑"/>
                <w:b/>
                <w:bCs/>
                <w:color w:val="auto"/>
                <w:szCs w:val="21"/>
                <w:highlight w:val="none"/>
                <w:lang w:eastAsia="zh-CN"/>
              </w:rPr>
              <w:t>、</w:t>
            </w:r>
            <w:r>
              <w:rPr>
                <w:rFonts w:hint="eastAsia" w:ascii="微软雅黑" w:hAnsi="微软雅黑" w:cs="微软雅黑"/>
                <w:b/>
                <w:bCs/>
                <w:color w:val="auto"/>
                <w:szCs w:val="21"/>
                <w:highlight w:val="none"/>
              </w:rPr>
              <w:t>演示：</w:t>
            </w:r>
            <w:r>
              <w:rPr>
                <w:rFonts w:hint="eastAsia" w:ascii="微软雅黑" w:hAnsi="微软雅黑" w:cs="微软雅黑"/>
                <w:color w:val="auto"/>
                <w:szCs w:val="21"/>
                <w:highlight w:val="none"/>
              </w:rPr>
              <w:t>演示内容须提供视频，不允许使用PPT、图片等形式，否则视为未提供演示内容。演示时间不超过15分钟。</w:t>
            </w:r>
          </w:p>
        </w:tc>
      </w:tr>
      <w:tr w14:paraId="270234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522" w:hRule="atLeast"/>
          <w:jc w:val="center"/>
        </w:trPr>
        <w:tc>
          <w:tcPr>
            <w:tcW w:w="1346" w:type="dxa"/>
            <w:vAlign w:val="center"/>
          </w:tcPr>
          <w:p w14:paraId="50C9E0A5">
            <w:pPr>
              <w:spacing w:after="0" w:line="240" w:lineRule="auto"/>
              <w:ind w:firstLine="0" w:firstLineChars="0"/>
              <w:rPr>
                <w:rFonts w:ascii="微软雅黑" w:hAnsi="微软雅黑" w:cs="微软雅黑"/>
                <w:b/>
                <w:bCs/>
                <w:color w:val="auto"/>
                <w:szCs w:val="21"/>
                <w:highlight w:val="none"/>
              </w:rPr>
            </w:pPr>
            <w:r>
              <w:rPr>
                <w:rFonts w:hint="eastAsia" w:ascii="微软雅黑" w:hAnsi="微软雅黑" w:cs="微软雅黑"/>
                <w:b/>
                <w:bCs/>
                <w:color w:val="auto"/>
                <w:szCs w:val="21"/>
                <w:highlight w:val="none"/>
              </w:rPr>
              <w:t>演示一</w:t>
            </w:r>
          </w:p>
        </w:tc>
        <w:tc>
          <w:tcPr>
            <w:tcW w:w="7344" w:type="dxa"/>
            <w:vAlign w:val="center"/>
          </w:tcPr>
          <w:p w14:paraId="6BBC046A">
            <w:pPr>
              <w:spacing w:after="0" w:line="240" w:lineRule="auto"/>
              <w:ind w:firstLine="0" w:firstLineChars="0"/>
              <w:rPr>
                <w:rFonts w:ascii="微软雅黑" w:hAnsi="微软雅黑" w:cs="微软雅黑"/>
                <w:bCs/>
                <w:color w:val="auto"/>
                <w:szCs w:val="21"/>
                <w:highlight w:val="none"/>
              </w:rPr>
            </w:pPr>
            <w:r>
              <w:rPr>
                <w:rFonts w:hint="eastAsia" w:ascii="微软雅黑" w:hAnsi="微软雅黑" w:cs="微软雅黑"/>
                <w:b/>
                <w:bCs/>
                <w:color w:val="auto"/>
                <w:szCs w:val="21"/>
                <w:highlight w:val="none"/>
              </w:rPr>
              <w:t>演示内容1：序号6、</w:t>
            </w:r>
            <w:r>
              <w:rPr>
                <w:rFonts w:hint="eastAsia" w:ascii="微软雅黑" w:hAnsi="微软雅黑" w:cs="微软雅黑"/>
                <w:b/>
                <w:bCs/>
                <w:color w:val="auto"/>
                <w:kern w:val="0"/>
                <w:szCs w:val="21"/>
                <w:highlight w:val="none"/>
              </w:rPr>
              <w:t>燃烧热实验装置</w:t>
            </w:r>
            <w:r>
              <w:rPr>
                <w:rFonts w:hint="eastAsia" w:ascii="微软雅黑" w:hAnsi="微软雅黑" w:cs="微软雅黑"/>
                <w:color w:val="auto"/>
                <w:kern w:val="0"/>
                <w:szCs w:val="21"/>
                <w:highlight w:val="none"/>
              </w:rPr>
              <w:t>：</w:t>
            </w:r>
            <w:r>
              <w:rPr>
                <w:rFonts w:hint="eastAsia" w:ascii="微软雅黑" w:hAnsi="微软雅黑" w:cs="微软雅黑"/>
                <w:color w:val="auto"/>
                <w:szCs w:val="21"/>
                <w:highlight w:val="none"/>
              </w:rPr>
              <w:t>对配套实验室基础操作三维虚拟仿真软件演示，包括玻璃仪器的洗涤（包括水清洗、洗涤剂清洗和铬酸洗液清洗三种清洗方法，人物三维动画形象表现清洗过程，操作过程不低于27步）、称量、溶解、化学试剂的取用、加热、试管加热、容量瓶、量筒或者量杯、过滤、奈氏比色管。需提供不少于10种称量方法，滴定过程需包含（快滴、慢滴、半滴）的演示。</w:t>
            </w:r>
          </w:p>
        </w:tc>
      </w:tr>
      <w:tr w14:paraId="105690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1346" w:type="dxa"/>
            <w:vAlign w:val="center"/>
          </w:tcPr>
          <w:p w14:paraId="1AA970A3">
            <w:pPr>
              <w:spacing w:after="0" w:line="240" w:lineRule="auto"/>
              <w:ind w:firstLine="0" w:firstLineChars="0"/>
              <w:rPr>
                <w:rFonts w:ascii="微软雅黑" w:hAnsi="微软雅黑" w:cs="微软雅黑"/>
                <w:b/>
                <w:bCs/>
                <w:color w:val="auto"/>
                <w:szCs w:val="21"/>
                <w:highlight w:val="none"/>
              </w:rPr>
            </w:pPr>
            <w:r>
              <w:rPr>
                <w:rFonts w:hint="eastAsia" w:ascii="微软雅黑" w:hAnsi="微软雅黑" w:cs="微软雅黑"/>
                <w:b/>
                <w:bCs/>
                <w:color w:val="auto"/>
                <w:szCs w:val="21"/>
                <w:highlight w:val="none"/>
              </w:rPr>
              <w:t>演示二</w:t>
            </w:r>
          </w:p>
        </w:tc>
        <w:tc>
          <w:tcPr>
            <w:tcW w:w="7344" w:type="dxa"/>
            <w:vAlign w:val="center"/>
          </w:tcPr>
          <w:p w14:paraId="7152CB85">
            <w:pPr>
              <w:pStyle w:val="25"/>
              <w:spacing w:after="0" w:line="240" w:lineRule="auto"/>
              <w:ind w:left="0" w:leftChars="0" w:firstLine="0" w:firstLineChars="0"/>
              <w:rPr>
                <w:rFonts w:ascii="微软雅黑" w:hAnsi="微软雅黑" w:eastAsia="微软雅黑" w:cs="微软雅黑"/>
                <w:bCs/>
                <w:color w:val="auto"/>
                <w:sz w:val="21"/>
                <w:szCs w:val="21"/>
                <w:highlight w:val="none"/>
              </w:rPr>
            </w:pPr>
            <w:r>
              <w:rPr>
                <w:rFonts w:hint="eastAsia" w:ascii="微软雅黑" w:hAnsi="微软雅黑" w:eastAsia="微软雅黑" w:cs="微软雅黑"/>
                <w:b/>
                <w:bCs/>
                <w:color w:val="auto"/>
                <w:sz w:val="21"/>
                <w:szCs w:val="21"/>
                <w:highlight w:val="none"/>
              </w:rPr>
              <w:t>演示内容2：序号7</w:t>
            </w:r>
            <w:r>
              <w:rPr>
                <w:rFonts w:hint="eastAsia" w:ascii="微软雅黑" w:hAnsi="微软雅黑" w:eastAsia="微软雅黑" w:cs="微软雅黑"/>
                <w:b/>
                <w:bCs/>
                <w:color w:val="auto"/>
                <w:sz w:val="21"/>
                <w:szCs w:val="21"/>
                <w:highlight w:val="none"/>
                <w:lang w:eastAsia="zh-CN"/>
              </w:rPr>
              <w:t>、</w:t>
            </w:r>
            <w:r>
              <w:rPr>
                <w:rFonts w:hint="eastAsia" w:ascii="微软雅黑" w:hAnsi="微软雅黑" w:eastAsia="微软雅黑" w:cs="微软雅黑"/>
                <w:b/>
                <w:bCs/>
                <w:color w:val="auto"/>
                <w:sz w:val="21"/>
                <w:szCs w:val="21"/>
                <w:highlight w:val="none"/>
              </w:rPr>
              <w:t>玻璃恒温水浴：</w:t>
            </w:r>
            <w:r>
              <w:rPr>
                <w:rFonts w:hint="eastAsia" w:ascii="微软雅黑" w:hAnsi="微软雅黑" w:eastAsia="微软雅黑" w:cs="微软雅黑"/>
                <w:color w:val="auto"/>
                <w:sz w:val="21"/>
                <w:szCs w:val="21"/>
                <w:highlight w:val="none"/>
              </w:rPr>
              <w:t>对配套玻璃恒温水浴三维仿真软件演示，软件一共包含80种玻璃仪器的使用方法，玻璃仪器可360度进行观看，以提供不同角度的全景进行视频演示。</w:t>
            </w:r>
          </w:p>
        </w:tc>
      </w:tr>
      <w:tr w14:paraId="227443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1346" w:type="dxa"/>
            <w:vAlign w:val="center"/>
          </w:tcPr>
          <w:p w14:paraId="64018A77">
            <w:pPr>
              <w:spacing w:after="0" w:line="240" w:lineRule="auto"/>
              <w:ind w:firstLine="0" w:firstLineChars="0"/>
              <w:rPr>
                <w:rFonts w:ascii="微软雅黑" w:hAnsi="微软雅黑" w:cs="微软雅黑"/>
                <w:b/>
                <w:bCs/>
                <w:color w:val="auto"/>
                <w:szCs w:val="21"/>
                <w:highlight w:val="none"/>
              </w:rPr>
            </w:pPr>
            <w:r>
              <w:rPr>
                <w:rFonts w:hint="eastAsia" w:ascii="微软雅黑" w:hAnsi="微软雅黑" w:cs="微软雅黑"/>
                <w:b/>
                <w:bCs/>
                <w:color w:val="auto"/>
                <w:szCs w:val="21"/>
                <w:highlight w:val="none"/>
              </w:rPr>
              <w:t>演示三</w:t>
            </w:r>
          </w:p>
        </w:tc>
        <w:tc>
          <w:tcPr>
            <w:tcW w:w="7344" w:type="dxa"/>
            <w:vAlign w:val="center"/>
          </w:tcPr>
          <w:p w14:paraId="2A29D8F0">
            <w:pPr>
              <w:pStyle w:val="25"/>
              <w:spacing w:after="0" w:line="240" w:lineRule="auto"/>
              <w:ind w:left="0" w:leftChars="0" w:firstLine="0" w:firstLineChars="0"/>
              <w:rPr>
                <w:rFonts w:ascii="微软雅黑" w:hAnsi="微软雅黑" w:eastAsia="微软雅黑" w:cs="微软雅黑"/>
                <w:bCs/>
                <w:color w:val="auto"/>
                <w:sz w:val="21"/>
                <w:szCs w:val="21"/>
                <w:highlight w:val="none"/>
              </w:rPr>
            </w:pPr>
            <w:r>
              <w:rPr>
                <w:rFonts w:hint="eastAsia" w:ascii="微软雅黑" w:hAnsi="微软雅黑" w:eastAsia="微软雅黑" w:cs="微软雅黑"/>
                <w:b/>
                <w:bCs/>
                <w:color w:val="auto"/>
                <w:sz w:val="21"/>
                <w:szCs w:val="21"/>
                <w:highlight w:val="none"/>
              </w:rPr>
              <w:t>演示内容3：序号8、数字电位差综合测试仪：</w:t>
            </w:r>
            <w:r>
              <w:rPr>
                <w:rFonts w:hint="eastAsia" w:ascii="微软雅黑" w:hAnsi="微软雅黑" w:eastAsia="微软雅黑" w:cs="微软雅黑"/>
                <w:color w:val="auto"/>
                <w:sz w:val="21"/>
                <w:szCs w:val="21"/>
                <w:highlight w:val="none"/>
              </w:rPr>
              <w:t>对配套的教学管理软件功能演示，教学管理平台可与仿真软件网页端、电脑客户端和移动客户端的数据对接，软件分为学生端、管理员端和教师端，支持实验上传、自带理论试题题库、登录管理、课程管理等功能。理论考试及虚拟仿真步骤的分数可根据后台管理设置，以提供演示视频及截图证明管理软件具理论试题库，并可根据需要设置理论考核参数及单步修改或者批量修改仿真考核步骤分数。</w:t>
            </w:r>
          </w:p>
        </w:tc>
      </w:tr>
      <w:tr w14:paraId="72CE92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1346" w:type="dxa"/>
            <w:vAlign w:val="center"/>
          </w:tcPr>
          <w:p w14:paraId="61536C86">
            <w:pPr>
              <w:spacing w:after="0" w:line="240" w:lineRule="auto"/>
              <w:ind w:firstLine="0" w:firstLineChars="0"/>
              <w:rPr>
                <w:rFonts w:ascii="微软雅黑" w:hAnsi="微软雅黑" w:cs="微软雅黑"/>
                <w:b/>
                <w:bCs/>
                <w:color w:val="auto"/>
                <w:szCs w:val="21"/>
                <w:highlight w:val="none"/>
              </w:rPr>
            </w:pPr>
            <w:r>
              <w:rPr>
                <w:rFonts w:hint="eastAsia" w:ascii="微软雅黑" w:hAnsi="微软雅黑" w:cs="微软雅黑"/>
                <w:b/>
                <w:bCs/>
                <w:color w:val="auto"/>
                <w:szCs w:val="21"/>
                <w:highlight w:val="none"/>
              </w:rPr>
              <w:t>演示四</w:t>
            </w:r>
          </w:p>
        </w:tc>
        <w:tc>
          <w:tcPr>
            <w:tcW w:w="7344" w:type="dxa"/>
            <w:vAlign w:val="center"/>
          </w:tcPr>
          <w:p w14:paraId="5877463E">
            <w:pPr>
              <w:widowControl/>
              <w:spacing w:after="0" w:line="240" w:lineRule="auto"/>
              <w:ind w:firstLine="0" w:firstLineChars="0"/>
              <w:rPr>
                <w:rFonts w:ascii="微软雅黑" w:hAnsi="微软雅黑" w:cs="微软雅黑"/>
                <w:bCs/>
                <w:color w:val="auto"/>
                <w:szCs w:val="21"/>
                <w:highlight w:val="none"/>
              </w:rPr>
            </w:pPr>
            <w:r>
              <w:rPr>
                <w:rFonts w:hint="eastAsia" w:ascii="微软雅黑" w:hAnsi="微软雅黑" w:cs="微软雅黑"/>
                <w:b/>
                <w:bCs/>
                <w:color w:val="auto"/>
                <w:szCs w:val="21"/>
                <w:highlight w:val="none"/>
              </w:rPr>
              <w:t>演示内容4：序号9、凝固点降低装置：</w:t>
            </w:r>
            <w:r>
              <w:rPr>
                <w:rFonts w:hint="eastAsia" w:ascii="微软雅黑" w:hAnsi="微软雅黑" w:cs="微软雅黑"/>
                <w:color w:val="auto"/>
                <w:szCs w:val="21"/>
                <w:highlight w:val="none"/>
              </w:rPr>
              <w:t>对配化学实验室安全事故可视化演练虚拟仿真综合实验软件手机端演示，包括个人防护安全仿真演练、火灾事故处理仿真演练、强酸试剂洒出事故仿真演练、水银泄露事故仿真演练、实验室安全隐患查找于处理仿真演练模块，交互步骤</w:t>
            </w:r>
            <w:r>
              <w:rPr>
                <w:rFonts w:hint="eastAsia" w:ascii="微软雅黑" w:hAnsi="微软雅黑" w:cs="微软雅黑"/>
                <w:color w:val="auto"/>
                <w:szCs w:val="21"/>
                <w:highlight w:val="none"/>
                <w:lang w:eastAsia="zh-CN"/>
              </w:rPr>
              <w:t>，</w:t>
            </w:r>
            <w:r>
              <w:rPr>
                <w:rFonts w:hint="eastAsia" w:ascii="微软雅黑" w:hAnsi="微软雅黑" w:cs="微软雅黑"/>
                <w:color w:val="auto"/>
                <w:szCs w:val="21"/>
                <w:highlight w:val="none"/>
              </w:rPr>
              <w:t>有中英文切换功能，可实现中英文双版操作，选择英文后，所有界面内容均使用英文展现，包括三维场景界面、功能按钮、数据图表、评分系统等全部为英文，提供中英文切换功能。软件具有实验室喷淋使用、灭火器使用、人工呼吸、安全通道、灭火毯、洗眼器、双眼洗眼器、消防栓、齐气瓶的使用、烘箱的使用、灭菌锅的使用、离心机的使用、通风橱的使用，增加学生紧急情况时的应变能力。</w:t>
            </w:r>
          </w:p>
        </w:tc>
      </w:tr>
      <w:tr w14:paraId="6B53AE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1346" w:type="dxa"/>
            <w:vAlign w:val="center"/>
          </w:tcPr>
          <w:p w14:paraId="79C92BD7">
            <w:pPr>
              <w:spacing w:after="0" w:line="240" w:lineRule="auto"/>
              <w:ind w:firstLine="0" w:firstLineChars="0"/>
              <w:rPr>
                <w:rFonts w:ascii="微软雅黑" w:hAnsi="微软雅黑" w:cs="微软雅黑"/>
                <w:b/>
                <w:bCs/>
                <w:color w:val="auto"/>
                <w:szCs w:val="21"/>
                <w:highlight w:val="none"/>
              </w:rPr>
            </w:pPr>
            <w:r>
              <w:rPr>
                <w:rFonts w:hint="eastAsia" w:ascii="微软雅黑" w:hAnsi="微软雅黑" w:cs="微软雅黑"/>
                <w:b/>
                <w:bCs/>
                <w:color w:val="auto"/>
                <w:szCs w:val="21"/>
                <w:highlight w:val="none"/>
              </w:rPr>
              <w:t>演示五</w:t>
            </w:r>
          </w:p>
        </w:tc>
        <w:tc>
          <w:tcPr>
            <w:tcW w:w="7344" w:type="dxa"/>
            <w:vAlign w:val="center"/>
          </w:tcPr>
          <w:p w14:paraId="35A3E34C">
            <w:pPr>
              <w:widowControl/>
              <w:spacing w:after="0" w:line="240" w:lineRule="auto"/>
              <w:ind w:firstLine="0" w:firstLineChars="0"/>
              <w:rPr>
                <w:rFonts w:ascii="微软雅黑" w:hAnsi="微软雅黑" w:cs="微软雅黑"/>
                <w:bCs/>
                <w:color w:val="auto"/>
                <w:szCs w:val="21"/>
                <w:highlight w:val="none"/>
              </w:rPr>
            </w:pPr>
            <w:r>
              <w:rPr>
                <w:rFonts w:hint="eastAsia" w:ascii="微软雅黑" w:hAnsi="微软雅黑" w:cs="微软雅黑"/>
                <w:b/>
                <w:bCs/>
                <w:color w:val="auto"/>
                <w:szCs w:val="21"/>
                <w:highlight w:val="none"/>
              </w:rPr>
              <w:t>演示内容5：序号10、</w:t>
            </w:r>
            <w:r>
              <w:rPr>
                <w:rFonts w:hint="eastAsia" w:ascii="微软雅黑" w:hAnsi="微软雅黑" w:cs="微软雅黑"/>
                <w:b/>
                <w:bCs/>
                <w:color w:val="auto"/>
                <w:kern w:val="0"/>
                <w:szCs w:val="21"/>
                <w:highlight w:val="none"/>
              </w:rPr>
              <w:t>紫外可见分光光度计：</w:t>
            </w:r>
            <w:r>
              <w:rPr>
                <w:rFonts w:hint="eastAsia" w:ascii="微软雅黑" w:hAnsi="微软雅黑" w:cs="微软雅黑"/>
                <w:color w:val="auto"/>
                <w:szCs w:val="21"/>
                <w:highlight w:val="none"/>
              </w:rPr>
              <w:t>对提供分光光度计三维仿真软件演示，分为实验前准备、开始测量和整理实验仪器三个模块。</w:t>
            </w:r>
          </w:p>
        </w:tc>
      </w:tr>
      <w:tr w14:paraId="77F08A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1346" w:type="dxa"/>
            <w:vAlign w:val="center"/>
          </w:tcPr>
          <w:p w14:paraId="0463FB48">
            <w:pPr>
              <w:spacing w:after="0" w:line="240" w:lineRule="auto"/>
              <w:ind w:firstLine="0" w:firstLineChars="0"/>
              <w:rPr>
                <w:rFonts w:ascii="微软雅黑" w:hAnsi="微软雅黑" w:cs="微软雅黑"/>
                <w:b/>
                <w:bCs/>
                <w:color w:val="auto"/>
                <w:szCs w:val="21"/>
                <w:highlight w:val="none"/>
              </w:rPr>
            </w:pPr>
            <w:r>
              <w:rPr>
                <w:rFonts w:hint="eastAsia" w:ascii="微软雅黑" w:hAnsi="微软雅黑" w:cs="微软雅黑"/>
                <w:b/>
                <w:bCs/>
                <w:color w:val="auto"/>
                <w:szCs w:val="21"/>
                <w:highlight w:val="none"/>
              </w:rPr>
              <w:t>演示六</w:t>
            </w:r>
          </w:p>
        </w:tc>
        <w:tc>
          <w:tcPr>
            <w:tcW w:w="7344" w:type="dxa"/>
            <w:vAlign w:val="center"/>
          </w:tcPr>
          <w:p w14:paraId="0AABB2A1">
            <w:pPr>
              <w:widowControl/>
              <w:spacing w:after="0" w:line="240" w:lineRule="auto"/>
              <w:ind w:firstLine="0" w:firstLineChars="0"/>
              <w:rPr>
                <w:rFonts w:ascii="微软雅黑" w:hAnsi="微软雅黑" w:cs="微软雅黑"/>
                <w:bCs/>
                <w:color w:val="auto"/>
                <w:szCs w:val="21"/>
                <w:highlight w:val="none"/>
              </w:rPr>
            </w:pPr>
            <w:r>
              <w:rPr>
                <w:rFonts w:hint="eastAsia" w:ascii="微软雅黑" w:hAnsi="微软雅黑" w:cs="微软雅黑"/>
                <w:b/>
                <w:bCs/>
                <w:color w:val="auto"/>
                <w:szCs w:val="21"/>
                <w:highlight w:val="none"/>
              </w:rPr>
              <w:t>演示内容6：序号11、DP-AF精密数字（真空）压力计：</w:t>
            </w:r>
            <w:r>
              <w:rPr>
                <w:rFonts w:hint="eastAsia" w:ascii="微软雅黑" w:hAnsi="微软雅黑" w:cs="微软雅黑"/>
                <w:color w:val="auto"/>
                <w:szCs w:val="21"/>
                <w:highlight w:val="none"/>
              </w:rPr>
              <w:t>对配套饱和蒸气压实验三维实物仿真软件演示，仿真软件具有数据模型，可模拟真实实验变量，数据通过 Excel 格式进行导出；</w:t>
            </w:r>
          </w:p>
        </w:tc>
      </w:tr>
      <w:tr w14:paraId="10779A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1346" w:type="dxa"/>
            <w:vAlign w:val="center"/>
          </w:tcPr>
          <w:p w14:paraId="61F1C952">
            <w:pPr>
              <w:spacing w:after="0" w:line="240" w:lineRule="auto"/>
              <w:ind w:firstLine="0" w:firstLineChars="0"/>
              <w:rPr>
                <w:rFonts w:ascii="微软雅黑" w:hAnsi="微软雅黑" w:cs="微软雅黑"/>
                <w:b/>
                <w:bCs/>
                <w:color w:val="auto"/>
                <w:szCs w:val="21"/>
                <w:highlight w:val="none"/>
              </w:rPr>
            </w:pPr>
            <w:r>
              <w:rPr>
                <w:rFonts w:hint="eastAsia" w:ascii="微软雅黑" w:hAnsi="微软雅黑" w:cs="微软雅黑"/>
                <w:b/>
                <w:bCs/>
                <w:color w:val="auto"/>
                <w:szCs w:val="21"/>
                <w:highlight w:val="none"/>
              </w:rPr>
              <w:t>演示七</w:t>
            </w:r>
          </w:p>
        </w:tc>
        <w:tc>
          <w:tcPr>
            <w:tcW w:w="7344" w:type="dxa"/>
            <w:vAlign w:val="center"/>
          </w:tcPr>
          <w:p w14:paraId="13C53B10">
            <w:pPr>
              <w:widowControl/>
              <w:spacing w:after="0" w:line="240" w:lineRule="auto"/>
              <w:ind w:firstLine="0" w:firstLineChars="0"/>
              <w:rPr>
                <w:rFonts w:ascii="微软雅黑" w:hAnsi="微软雅黑" w:cs="微软雅黑"/>
                <w:bCs/>
                <w:color w:val="auto"/>
                <w:szCs w:val="21"/>
                <w:highlight w:val="none"/>
              </w:rPr>
            </w:pPr>
            <w:r>
              <w:rPr>
                <w:rFonts w:hint="eastAsia" w:ascii="微软雅黑" w:hAnsi="微软雅黑" w:cs="微软雅黑"/>
                <w:b/>
                <w:bCs/>
                <w:color w:val="auto"/>
                <w:szCs w:val="21"/>
                <w:highlight w:val="none"/>
              </w:rPr>
              <w:t>演示内容7：序号11、DP-AF精密数字（真空）压力计：</w:t>
            </w:r>
            <w:r>
              <w:rPr>
                <w:rFonts w:hint="eastAsia" w:ascii="微软雅黑" w:hAnsi="微软雅黑" w:cs="微软雅黑"/>
                <w:color w:val="auto"/>
                <w:szCs w:val="21"/>
                <w:highlight w:val="none"/>
              </w:rPr>
              <w:t>对配套氨基甲酸铵分解反应测定装置三维实物仿真软件演示，仿真软件具有数据模型，可模拟真实实验变量，数据通过 Excel 格式进行导出；</w:t>
            </w:r>
          </w:p>
        </w:tc>
      </w:tr>
      <w:tr w14:paraId="72D235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1421" w:hRule="atLeast"/>
          <w:jc w:val="center"/>
        </w:trPr>
        <w:tc>
          <w:tcPr>
            <w:tcW w:w="1346" w:type="dxa"/>
            <w:vAlign w:val="center"/>
          </w:tcPr>
          <w:p w14:paraId="57691163">
            <w:pPr>
              <w:spacing w:after="0" w:line="240" w:lineRule="auto"/>
              <w:ind w:firstLine="0" w:firstLineChars="0"/>
              <w:rPr>
                <w:rFonts w:ascii="微软雅黑" w:hAnsi="微软雅黑" w:cs="微软雅黑"/>
                <w:b/>
                <w:bCs/>
                <w:color w:val="auto"/>
                <w:szCs w:val="21"/>
                <w:highlight w:val="none"/>
              </w:rPr>
            </w:pPr>
            <w:r>
              <w:rPr>
                <w:rFonts w:hint="eastAsia" w:ascii="微软雅黑" w:hAnsi="微软雅黑" w:cs="微软雅黑"/>
                <w:b/>
                <w:bCs/>
                <w:color w:val="auto"/>
                <w:szCs w:val="21"/>
                <w:highlight w:val="none"/>
              </w:rPr>
              <w:t>演示八</w:t>
            </w:r>
          </w:p>
        </w:tc>
        <w:tc>
          <w:tcPr>
            <w:tcW w:w="7344" w:type="dxa"/>
            <w:vAlign w:val="center"/>
          </w:tcPr>
          <w:p w14:paraId="74CCE09F">
            <w:pPr>
              <w:widowControl/>
              <w:spacing w:after="0" w:line="240" w:lineRule="auto"/>
              <w:ind w:firstLine="0" w:firstLineChars="0"/>
              <w:rPr>
                <w:rFonts w:ascii="微软雅黑" w:hAnsi="微软雅黑" w:cs="微软雅黑"/>
                <w:bCs/>
                <w:color w:val="auto"/>
                <w:szCs w:val="21"/>
                <w:highlight w:val="none"/>
              </w:rPr>
            </w:pPr>
            <w:r>
              <w:rPr>
                <w:rFonts w:hint="eastAsia" w:ascii="微软雅黑" w:hAnsi="微软雅黑" w:cs="微软雅黑"/>
                <w:b/>
                <w:bCs/>
                <w:color w:val="auto"/>
                <w:szCs w:val="21"/>
                <w:highlight w:val="none"/>
              </w:rPr>
              <w:t>演示内容8：序号12、</w:t>
            </w:r>
            <w:r>
              <w:rPr>
                <w:rFonts w:hint="eastAsia" w:ascii="微软雅黑" w:hAnsi="微软雅黑" w:cs="微软雅黑"/>
                <w:b/>
                <w:bCs/>
                <w:color w:val="auto"/>
                <w:kern w:val="0"/>
                <w:szCs w:val="21"/>
                <w:highlight w:val="none"/>
              </w:rPr>
              <w:t>精密数字（微差压）压力计：</w:t>
            </w:r>
            <w:r>
              <w:rPr>
                <w:rFonts w:hint="eastAsia" w:ascii="微软雅黑" w:hAnsi="微软雅黑" w:cs="微软雅黑"/>
                <w:color w:val="auto"/>
                <w:szCs w:val="21"/>
                <w:highlight w:val="none"/>
              </w:rPr>
              <w:t>对配套表面张力实验装置三维实物仿真软件演示，软件采用3D虚拟仿真技术，包含：实验原理、实验仪器简介、实物仿真操作、实验虚拟考核、数据分析处理；可对接教学管理平台，仿真实验及考核步</w:t>
            </w:r>
            <w:r>
              <w:rPr>
                <w:rFonts w:hint="eastAsia" w:ascii="微软雅黑" w:hAnsi="微软雅黑" w:cs="微软雅黑"/>
                <w:color w:val="auto"/>
                <w:szCs w:val="21"/>
                <w:highlight w:val="none"/>
                <w:lang w:eastAsia="zh-CN"/>
              </w:rPr>
              <w:t>骤完整</w:t>
            </w:r>
            <w:r>
              <w:rPr>
                <w:rFonts w:hint="eastAsia" w:ascii="微软雅黑" w:hAnsi="微软雅黑" w:cs="微软雅黑"/>
                <w:color w:val="auto"/>
                <w:szCs w:val="21"/>
                <w:highlight w:val="none"/>
              </w:rPr>
              <w:t>。</w:t>
            </w:r>
          </w:p>
        </w:tc>
      </w:tr>
      <w:tr w14:paraId="797FA6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1346" w:type="dxa"/>
            <w:vAlign w:val="center"/>
          </w:tcPr>
          <w:p w14:paraId="056B191E">
            <w:pPr>
              <w:spacing w:after="0" w:line="240" w:lineRule="auto"/>
              <w:ind w:firstLine="0" w:firstLineChars="0"/>
              <w:rPr>
                <w:rFonts w:ascii="微软雅黑" w:hAnsi="微软雅黑" w:cs="微软雅黑"/>
                <w:b/>
                <w:bCs/>
                <w:color w:val="auto"/>
                <w:szCs w:val="21"/>
                <w:highlight w:val="none"/>
              </w:rPr>
            </w:pPr>
            <w:r>
              <w:rPr>
                <w:rFonts w:hint="eastAsia" w:ascii="微软雅黑" w:hAnsi="微软雅黑" w:cs="微软雅黑"/>
                <w:b/>
                <w:bCs/>
                <w:color w:val="auto"/>
                <w:szCs w:val="21"/>
                <w:highlight w:val="none"/>
              </w:rPr>
              <w:t>演示九</w:t>
            </w:r>
          </w:p>
        </w:tc>
        <w:tc>
          <w:tcPr>
            <w:tcW w:w="7344" w:type="dxa"/>
            <w:vAlign w:val="center"/>
          </w:tcPr>
          <w:p w14:paraId="78AF55E8">
            <w:pPr>
              <w:widowControl/>
              <w:spacing w:after="0" w:line="240" w:lineRule="auto"/>
              <w:ind w:firstLine="0" w:firstLineChars="0"/>
              <w:rPr>
                <w:rFonts w:hint="eastAsia" w:ascii="微软雅黑" w:hAnsi="微软雅黑" w:eastAsia="微软雅黑" w:cs="微软雅黑"/>
                <w:bCs/>
                <w:color w:val="auto"/>
                <w:szCs w:val="21"/>
                <w:highlight w:val="none"/>
                <w:lang w:eastAsia="zh-CN"/>
              </w:rPr>
            </w:pPr>
            <w:r>
              <w:rPr>
                <w:rFonts w:hint="eastAsia" w:ascii="微软雅黑" w:hAnsi="微软雅黑" w:cs="微软雅黑"/>
                <w:b/>
                <w:bCs/>
                <w:color w:val="auto"/>
                <w:szCs w:val="21"/>
                <w:highlight w:val="none"/>
              </w:rPr>
              <w:t>演示内容9：序号14、</w:t>
            </w:r>
            <w:r>
              <w:rPr>
                <w:rFonts w:hint="eastAsia" w:ascii="微软雅黑" w:hAnsi="微软雅黑" w:cs="微软雅黑"/>
                <w:b/>
                <w:bCs/>
                <w:color w:val="auto"/>
                <w:kern w:val="0"/>
                <w:szCs w:val="21"/>
                <w:highlight w:val="none"/>
              </w:rPr>
              <w:t>电导率仪：</w:t>
            </w:r>
            <w:r>
              <w:rPr>
                <w:rFonts w:hint="eastAsia" w:ascii="微软雅黑" w:hAnsi="微软雅黑" w:cs="微软雅黑"/>
                <w:color w:val="auto"/>
                <w:szCs w:val="21"/>
                <w:highlight w:val="none"/>
              </w:rPr>
              <w:t>对配套实验室化学仪器操作三维虚拟仿真系列软件手机端演示，包含电导率仪</w:t>
            </w:r>
            <w:r>
              <w:rPr>
                <w:rFonts w:hint="eastAsia" w:ascii="微软雅黑" w:hAnsi="微软雅黑" w:cs="微软雅黑"/>
                <w:color w:val="auto"/>
                <w:szCs w:val="21"/>
                <w:highlight w:val="none"/>
                <w:lang w:val="en-US" w:eastAsia="zh-CN"/>
              </w:rPr>
              <w:t xml:space="preserve"> </w:t>
            </w:r>
            <w:r>
              <w:rPr>
                <w:rFonts w:hint="eastAsia" w:ascii="微软雅黑" w:hAnsi="微软雅黑" w:cs="微软雅黑"/>
                <w:color w:val="auto"/>
                <w:szCs w:val="21"/>
                <w:highlight w:val="none"/>
              </w:rPr>
              <w:t>、超级恒温水浴、玻璃恒温水浴、烘箱、通风厨</w:t>
            </w:r>
            <w:r>
              <w:rPr>
                <w:rFonts w:hint="eastAsia" w:ascii="微软雅黑" w:hAnsi="微软雅黑" w:cs="微软雅黑"/>
                <w:color w:val="auto"/>
                <w:szCs w:val="21"/>
                <w:highlight w:val="none"/>
                <w:lang w:val="en-US" w:eastAsia="zh-CN"/>
              </w:rPr>
              <w:t xml:space="preserve"> </w:t>
            </w:r>
            <w:r>
              <w:rPr>
                <w:rFonts w:hint="eastAsia" w:ascii="微软雅黑" w:hAnsi="微软雅黑" w:cs="微软雅黑"/>
                <w:color w:val="auto"/>
                <w:szCs w:val="21"/>
                <w:highlight w:val="none"/>
              </w:rPr>
              <w:t>、离心机</w:t>
            </w:r>
            <w:r>
              <w:rPr>
                <w:rFonts w:hint="eastAsia" w:ascii="微软雅黑" w:hAnsi="微软雅黑" w:cs="微软雅黑"/>
                <w:color w:val="auto"/>
                <w:szCs w:val="21"/>
                <w:highlight w:val="none"/>
                <w:lang w:val="en-US" w:eastAsia="zh-CN"/>
              </w:rPr>
              <w:t xml:space="preserve"> </w:t>
            </w:r>
            <w:r>
              <w:rPr>
                <w:rFonts w:hint="eastAsia" w:ascii="微软雅黑" w:hAnsi="微软雅黑" w:cs="微软雅黑"/>
                <w:color w:val="auto"/>
                <w:szCs w:val="21"/>
                <w:highlight w:val="none"/>
              </w:rPr>
              <w:t>、分光光度计</w:t>
            </w:r>
            <w:r>
              <w:rPr>
                <w:rFonts w:hint="eastAsia" w:ascii="微软雅黑" w:hAnsi="微软雅黑" w:cs="微软雅黑"/>
                <w:color w:val="auto"/>
                <w:szCs w:val="21"/>
                <w:highlight w:val="none"/>
                <w:lang w:val="en-US" w:eastAsia="zh-CN"/>
              </w:rPr>
              <w:t xml:space="preserve"> </w:t>
            </w:r>
            <w:r>
              <w:rPr>
                <w:rFonts w:hint="eastAsia" w:ascii="微软雅黑" w:hAnsi="微软雅黑" w:cs="微软雅黑"/>
                <w:color w:val="auto"/>
                <w:szCs w:val="21"/>
                <w:highlight w:val="none"/>
              </w:rPr>
              <w:t>、离子计</w:t>
            </w:r>
            <w:r>
              <w:rPr>
                <w:rFonts w:hint="eastAsia" w:ascii="微软雅黑" w:hAnsi="微软雅黑" w:cs="微软雅黑"/>
                <w:color w:val="auto"/>
                <w:szCs w:val="21"/>
                <w:highlight w:val="none"/>
                <w:lang w:val="en-US" w:eastAsia="zh-CN"/>
              </w:rPr>
              <w:t xml:space="preserve"> </w:t>
            </w:r>
            <w:r>
              <w:rPr>
                <w:rFonts w:hint="eastAsia" w:ascii="微软雅黑" w:hAnsi="微软雅黑" w:cs="微软雅黑"/>
                <w:color w:val="auto"/>
                <w:szCs w:val="21"/>
                <w:highlight w:val="none"/>
              </w:rPr>
              <w:t>、阿贝折光仪</w:t>
            </w:r>
            <w:r>
              <w:rPr>
                <w:rFonts w:hint="eastAsia" w:ascii="微软雅黑" w:hAnsi="微软雅黑" w:cs="微软雅黑"/>
                <w:color w:val="auto"/>
                <w:szCs w:val="21"/>
                <w:highlight w:val="none"/>
                <w:lang w:val="en-US" w:eastAsia="zh-CN"/>
              </w:rPr>
              <w:t xml:space="preserve"> </w:t>
            </w:r>
            <w:r>
              <w:rPr>
                <w:rFonts w:hint="eastAsia" w:ascii="微软雅黑" w:hAnsi="微软雅黑" w:cs="微软雅黑"/>
                <w:color w:val="auto"/>
                <w:szCs w:val="21"/>
                <w:highlight w:val="none"/>
              </w:rPr>
              <w:t>、烘箱</w:t>
            </w:r>
            <w:r>
              <w:rPr>
                <w:rFonts w:hint="eastAsia" w:ascii="微软雅黑" w:hAnsi="微软雅黑" w:cs="微软雅黑"/>
                <w:color w:val="auto"/>
                <w:szCs w:val="21"/>
                <w:highlight w:val="none"/>
                <w:lang w:val="en-US" w:eastAsia="zh-CN"/>
              </w:rPr>
              <w:t xml:space="preserve"> </w:t>
            </w:r>
            <w:r>
              <w:rPr>
                <w:rFonts w:hint="eastAsia" w:ascii="微软雅黑" w:hAnsi="微软雅黑" w:cs="微软雅黑"/>
                <w:color w:val="auto"/>
                <w:szCs w:val="21"/>
                <w:highlight w:val="none"/>
              </w:rPr>
              <w:t>、PH计</w:t>
            </w:r>
            <w:r>
              <w:rPr>
                <w:rFonts w:hint="eastAsia" w:ascii="微软雅黑" w:hAnsi="微软雅黑" w:cs="微软雅黑"/>
                <w:color w:val="auto"/>
                <w:szCs w:val="21"/>
                <w:highlight w:val="none"/>
                <w:lang w:val="en-US" w:eastAsia="zh-CN"/>
              </w:rPr>
              <w:t xml:space="preserve"> </w:t>
            </w:r>
            <w:r>
              <w:rPr>
                <w:rFonts w:hint="eastAsia" w:ascii="微软雅黑" w:hAnsi="微软雅黑" w:cs="微软雅黑"/>
                <w:color w:val="auto"/>
                <w:szCs w:val="21"/>
                <w:highlight w:val="none"/>
              </w:rPr>
              <w:t>、旋光仪包括配制溶液、仪器零点校正和反映过程的旋光度测定三个部分，</w:t>
            </w:r>
            <w:r>
              <w:rPr>
                <w:rFonts w:hint="eastAsia" w:ascii="微软雅黑" w:hAnsi="微软雅黑" w:cs="微软雅黑"/>
                <w:color w:val="auto"/>
                <w:szCs w:val="21"/>
                <w:highlight w:val="none"/>
                <w:lang w:eastAsia="zh-CN"/>
              </w:rPr>
              <w:t>各类</w:t>
            </w:r>
            <w:r>
              <w:rPr>
                <w:rFonts w:hint="eastAsia" w:ascii="微软雅黑" w:hAnsi="微软雅黑" w:cs="微软雅黑"/>
                <w:color w:val="auto"/>
                <w:szCs w:val="21"/>
                <w:highlight w:val="none"/>
              </w:rPr>
              <w:t>仿真</w:t>
            </w:r>
            <w:r>
              <w:rPr>
                <w:rFonts w:hint="eastAsia" w:ascii="微软雅黑" w:hAnsi="微软雅黑" w:cs="微软雅黑"/>
                <w:color w:val="auto"/>
                <w:szCs w:val="21"/>
                <w:highlight w:val="none"/>
                <w:lang w:eastAsia="zh-CN"/>
              </w:rPr>
              <w:t>步骤完整。</w:t>
            </w:r>
          </w:p>
        </w:tc>
      </w:tr>
    </w:tbl>
    <w:p w14:paraId="3121B60A">
      <w:pPr>
        <w:pStyle w:val="2"/>
        <w:ind w:left="420"/>
        <w:jc w:val="both"/>
        <w:rPr>
          <w:rFonts w:ascii="微软雅黑" w:hAnsi="微软雅黑" w:cs="宋体"/>
          <w:color w:val="auto"/>
          <w:szCs w:val="21"/>
          <w:highlight w:val="none"/>
        </w:rPr>
      </w:pPr>
    </w:p>
    <w:tbl>
      <w:tblPr>
        <w:tblStyle w:val="52"/>
        <w:tblW w:w="874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108" w:type="dxa"/>
          <w:bottom w:w="57" w:type="dxa"/>
          <w:right w:w="108" w:type="dxa"/>
        </w:tblCellMar>
      </w:tblPr>
      <w:tblGrid>
        <w:gridCol w:w="1346"/>
        <w:gridCol w:w="7399"/>
      </w:tblGrid>
      <w:tr w14:paraId="4F0B49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8745" w:type="dxa"/>
            <w:gridSpan w:val="2"/>
            <w:vAlign w:val="center"/>
          </w:tcPr>
          <w:p w14:paraId="755167E2">
            <w:pPr>
              <w:widowControl/>
              <w:spacing w:after="0" w:line="240" w:lineRule="auto"/>
              <w:ind w:firstLine="0" w:firstLineChars="0"/>
              <w:jc w:val="both"/>
              <w:rPr>
                <w:rFonts w:ascii="微软雅黑" w:hAnsi="微软雅黑" w:cs="微软雅黑"/>
                <w:color w:val="auto"/>
                <w:szCs w:val="21"/>
                <w:highlight w:val="none"/>
              </w:rPr>
            </w:pPr>
            <w:r>
              <w:rPr>
                <w:rFonts w:hint="eastAsia" w:ascii="微软雅黑" w:hAnsi="微软雅黑" w:cs="微软雅黑"/>
                <w:b/>
                <w:bCs/>
                <w:color w:val="auto"/>
                <w:szCs w:val="21"/>
                <w:highlight w:val="none"/>
              </w:rPr>
              <w:t>标项二</w:t>
            </w:r>
            <w:r>
              <w:rPr>
                <w:rFonts w:hint="eastAsia" w:ascii="微软雅黑" w:hAnsi="微软雅黑" w:cs="微软雅黑"/>
                <w:b/>
                <w:bCs/>
                <w:color w:val="auto"/>
                <w:szCs w:val="21"/>
                <w:highlight w:val="none"/>
                <w:lang w:eastAsia="zh-CN"/>
              </w:rPr>
              <w:t>、</w:t>
            </w:r>
            <w:r>
              <w:rPr>
                <w:rFonts w:hint="eastAsia" w:ascii="微软雅黑" w:hAnsi="微软雅黑" w:cs="微软雅黑"/>
                <w:b/>
                <w:bCs/>
                <w:color w:val="auto"/>
                <w:szCs w:val="21"/>
                <w:highlight w:val="none"/>
              </w:rPr>
              <w:t>演示：</w:t>
            </w:r>
            <w:r>
              <w:rPr>
                <w:rFonts w:hint="eastAsia" w:ascii="微软雅黑" w:hAnsi="微软雅黑" w:cs="微软雅黑"/>
                <w:color w:val="auto"/>
                <w:szCs w:val="21"/>
                <w:highlight w:val="none"/>
              </w:rPr>
              <w:t>演示内容须提供视频，不允许使用PPT、图片等形式，否则视为未提供演示内容。演示时间不超过15分钟。</w:t>
            </w:r>
          </w:p>
        </w:tc>
      </w:tr>
      <w:tr w14:paraId="6E4A6F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1346" w:type="dxa"/>
            <w:vAlign w:val="center"/>
          </w:tcPr>
          <w:p w14:paraId="7F10A6C4">
            <w:pPr>
              <w:spacing w:after="0" w:line="240" w:lineRule="auto"/>
              <w:ind w:firstLine="0" w:firstLineChars="0"/>
              <w:jc w:val="both"/>
              <w:rPr>
                <w:rFonts w:ascii="微软雅黑" w:hAnsi="微软雅黑" w:cs="微软雅黑"/>
                <w:b/>
                <w:bCs/>
                <w:color w:val="auto"/>
                <w:szCs w:val="21"/>
                <w:highlight w:val="none"/>
              </w:rPr>
            </w:pPr>
            <w:r>
              <w:rPr>
                <w:rFonts w:hint="eastAsia" w:ascii="微软雅黑" w:hAnsi="微软雅黑" w:cs="微软雅黑"/>
                <w:b/>
                <w:bCs/>
                <w:color w:val="auto"/>
                <w:szCs w:val="21"/>
                <w:highlight w:val="none"/>
              </w:rPr>
              <w:t>演示一</w:t>
            </w:r>
          </w:p>
        </w:tc>
        <w:tc>
          <w:tcPr>
            <w:tcW w:w="7399" w:type="dxa"/>
            <w:vAlign w:val="center"/>
          </w:tcPr>
          <w:p w14:paraId="3CDAAE88">
            <w:pPr>
              <w:spacing w:after="0" w:line="240" w:lineRule="auto"/>
              <w:ind w:firstLine="0" w:firstLineChars="0"/>
              <w:jc w:val="both"/>
              <w:rPr>
                <w:rFonts w:ascii="微软雅黑" w:hAnsi="微软雅黑" w:cs="微软雅黑"/>
                <w:b/>
                <w:bCs/>
                <w:color w:val="auto"/>
                <w:szCs w:val="21"/>
                <w:highlight w:val="none"/>
              </w:rPr>
            </w:pPr>
            <w:r>
              <w:rPr>
                <w:rFonts w:hint="eastAsia" w:ascii="微软雅黑" w:hAnsi="微软雅黑" w:cs="微软雅黑"/>
                <w:b/>
                <w:bCs/>
                <w:color w:val="auto"/>
                <w:szCs w:val="21"/>
                <w:highlight w:val="none"/>
              </w:rPr>
              <w:t>演示内容1：</w:t>
            </w:r>
            <w:r>
              <w:rPr>
                <w:rFonts w:hint="eastAsia" w:ascii="微软雅黑" w:hAnsi="微软雅黑" w:cs="微软雅黑"/>
                <w:b/>
                <w:bCs/>
                <w:color w:val="auto"/>
                <w:szCs w:val="21"/>
                <w:highlight w:val="none"/>
                <w:lang w:eastAsia="zh-CN"/>
              </w:rPr>
              <w:t>序号</w:t>
            </w:r>
            <w:r>
              <w:rPr>
                <w:rFonts w:hint="eastAsia" w:ascii="微软雅黑" w:hAnsi="微软雅黑" w:cs="微软雅黑"/>
                <w:b/>
                <w:bCs/>
                <w:color w:val="auto"/>
                <w:szCs w:val="21"/>
                <w:highlight w:val="none"/>
                <w:lang w:val="en-US" w:eastAsia="zh-CN"/>
              </w:rPr>
              <w:t>1、</w:t>
            </w:r>
            <w:r>
              <w:rPr>
                <w:rFonts w:hint="eastAsia" w:ascii="微软雅黑" w:hAnsi="微软雅黑" w:cs="微软雅黑"/>
                <w:b/>
                <w:bCs/>
                <w:color w:val="auto"/>
                <w:szCs w:val="21"/>
                <w:highlight w:val="none"/>
              </w:rPr>
              <w:t>干燥实验装置</w:t>
            </w:r>
          </w:p>
          <w:p w14:paraId="2C665EAA">
            <w:pPr>
              <w:pStyle w:val="65"/>
              <w:spacing w:after="0" w:line="240" w:lineRule="auto"/>
              <w:ind w:firstLine="0" w:firstLineChars="0"/>
              <w:jc w:val="both"/>
              <w:rPr>
                <w:rFonts w:ascii="微软雅黑" w:hAnsi="微软雅黑" w:cs="微软雅黑"/>
                <w:bCs/>
                <w:color w:val="auto"/>
                <w:szCs w:val="21"/>
                <w:highlight w:val="none"/>
              </w:rPr>
            </w:pPr>
            <w:r>
              <w:rPr>
                <w:rFonts w:hint="eastAsia" w:ascii="微软雅黑" w:hAnsi="微软雅黑" w:cs="微软雅黑"/>
                <w:color w:val="auto"/>
                <w:kern w:val="0"/>
                <w:szCs w:val="21"/>
                <w:highlight w:val="none"/>
              </w:rPr>
              <w:t>6.2★为教师、学生</w:t>
            </w:r>
            <w:r>
              <w:rPr>
                <w:rFonts w:hint="eastAsia" w:ascii="微软雅黑" w:hAnsi="微软雅黑" w:cs="微软雅黑"/>
                <w:color w:val="auto"/>
                <w:szCs w:val="21"/>
                <w:highlight w:val="none"/>
              </w:rPr>
              <w:t>配套本实验装置介绍微课，讲解实验装置结构。</w:t>
            </w:r>
          </w:p>
        </w:tc>
      </w:tr>
      <w:tr w14:paraId="7664A9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1346" w:type="dxa"/>
            <w:vAlign w:val="center"/>
          </w:tcPr>
          <w:p w14:paraId="38A96574">
            <w:pPr>
              <w:spacing w:after="0" w:line="240" w:lineRule="auto"/>
              <w:ind w:firstLine="0" w:firstLineChars="0"/>
              <w:jc w:val="both"/>
              <w:rPr>
                <w:rFonts w:ascii="微软雅黑" w:hAnsi="微软雅黑" w:cs="微软雅黑"/>
                <w:b/>
                <w:bCs/>
                <w:color w:val="auto"/>
                <w:szCs w:val="21"/>
                <w:highlight w:val="none"/>
              </w:rPr>
            </w:pPr>
            <w:r>
              <w:rPr>
                <w:rFonts w:hint="eastAsia" w:ascii="微软雅黑" w:hAnsi="微软雅黑" w:cs="微软雅黑"/>
                <w:b/>
                <w:bCs/>
                <w:color w:val="auto"/>
                <w:szCs w:val="21"/>
                <w:highlight w:val="none"/>
              </w:rPr>
              <w:t>演示二</w:t>
            </w:r>
          </w:p>
        </w:tc>
        <w:tc>
          <w:tcPr>
            <w:tcW w:w="7399" w:type="dxa"/>
            <w:vAlign w:val="center"/>
          </w:tcPr>
          <w:p w14:paraId="55A5F79E">
            <w:pPr>
              <w:pStyle w:val="25"/>
              <w:spacing w:after="0" w:line="240" w:lineRule="auto"/>
              <w:ind w:left="0" w:leftChars="0" w:firstLine="0" w:firstLineChars="0"/>
              <w:jc w:val="both"/>
              <w:rPr>
                <w:rFonts w:ascii="微软雅黑" w:hAnsi="微软雅黑" w:eastAsia="微软雅黑" w:cs="微软雅黑"/>
                <w:b/>
                <w:bCs/>
                <w:color w:val="auto"/>
                <w:sz w:val="21"/>
                <w:szCs w:val="21"/>
                <w:highlight w:val="none"/>
              </w:rPr>
            </w:pPr>
            <w:r>
              <w:rPr>
                <w:rFonts w:hint="eastAsia" w:ascii="微软雅黑" w:hAnsi="微软雅黑" w:eastAsia="微软雅黑" w:cs="微软雅黑"/>
                <w:b/>
                <w:bCs/>
                <w:color w:val="auto"/>
                <w:sz w:val="21"/>
                <w:szCs w:val="21"/>
                <w:highlight w:val="none"/>
              </w:rPr>
              <w:t>演示内容2：</w:t>
            </w:r>
            <w:r>
              <w:rPr>
                <w:rFonts w:hint="eastAsia" w:ascii="微软雅黑" w:hAnsi="微软雅黑" w:eastAsia="微软雅黑" w:cs="微软雅黑"/>
                <w:b/>
                <w:bCs/>
                <w:color w:val="auto"/>
                <w:sz w:val="21"/>
                <w:szCs w:val="21"/>
                <w:highlight w:val="none"/>
                <w:lang w:eastAsia="zh-CN"/>
              </w:rPr>
              <w:t>序号</w:t>
            </w:r>
            <w:r>
              <w:rPr>
                <w:rFonts w:hint="eastAsia" w:ascii="微软雅黑" w:hAnsi="微软雅黑" w:eastAsia="微软雅黑" w:cs="微软雅黑"/>
                <w:b/>
                <w:bCs/>
                <w:color w:val="auto"/>
                <w:sz w:val="21"/>
                <w:szCs w:val="21"/>
                <w:highlight w:val="none"/>
                <w:lang w:val="en-US" w:eastAsia="zh-CN"/>
              </w:rPr>
              <w:t>2、</w:t>
            </w:r>
            <w:r>
              <w:rPr>
                <w:rFonts w:hint="eastAsia" w:ascii="微软雅黑" w:hAnsi="微软雅黑" w:eastAsia="微软雅黑" w:cs="微软雅黑"/>
                <w:b/>
                <w:bCs/>
                <w:color w:val="auto"/>
                <w:sz w:val="21"/>
                <w:szCs w:val="21"/>
                <w:highlight w:val="none"/>
              </w:rPr>
              <w:t>化工流动综合实验装置</w:t>
            </w:r>
          </w:p>
          <w:p w14:paraId="5B19587D">
            <w:pPr>
              <w:pStyle w:val="65"/>
              <w:spacing w:after="0" w:line="240" w:lineRule="auto"/>
              <w:ind w:firstLine="0" w:firstLineChars="0"/>
              <w:jc w:val="both"/>
              <w:rPr>
                <w:rFonts w:ascii="微软雅黑" w:hAnsi="微软雅黑" w:cs="微软雅黑"/>
                <w:color w:val="auto"/>
                <w:szCs w:val="21"/>
                <w:highlight w:val="none"/>
              </w:rPr>
            </w:pPr>
            <w:r>
              <w:rPr>
                <w:rFonts w:hint="eastAsia" w:ascii="微软雅黑" w:hAnsi="微软雅黑" w:cs="微软雅黑"/>
                <w:color w:val="auto"/>
                <w:kern w:val="0"/>
                <w:szCs w:val="21"/>
                <w:highlight w:val="none"/>
              </w:rPr>
              <w:t>11.2★为教师、学生</w:t>
            </w:r>
            <w:r>
              <w:rPr>
                <w:rFonts w:hint="eastAsia" w:ascii="微软雅黑" w:hAnsi="微软雅黑" w:cs="微软雅黑"/>
                <w:color w:val="auto"/>
                <w:szCs w:val="21"/>
                <w:highlight w:val="none"/>
              </w:rPr>
              <w:t>配套本实验装置介绍微课，讲解实验装置结构。</w:t>
            </w:r>
          </w:p>
        </w:tc>
      </w:tr>
      <w:tr w14:paraId="1E0986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1346" w:type="dxa"/>
            <w:vAlign w:val="center"/>
          </w:tcPr>
          <w:p w14:paraId="0EC4714C">
            <w:pPr>
              <w:spacing w:after="0" w:line="240" w:lineRule="auto"/>
              <w:ind w:firstLine="0" w:firstLineChars="0"/>
              <w:jc w:val="both"/>
              <w:rPr>
                <w:rFonts w:ascii="微软雅黑" w:hAnsi="微软雅黑" w:cs="微软雅黑"/>
                <w:b/>
                <w:bCs/>
                <w:color w:val="auto"/>
                <w:szCs w:val="21"/>
                <w:highlight w:val="none"/>
              </w:rPr>
            </w:pPr>
            <w:r>
              <w:rPr>
                <w:rFonts w:hint="eastAsia" w:ascii="微软雅黑" w:hAnsi="微软雅黑" w:cs="微软雅黑"/>
                <w:b/>
                <w:bCs/>
                <w:color w:val="auto"/>
                <w:szCs w:val="21"/>
                <w:highlight w:val="none"/>
              </w:rPr>
              <w:t>演示三</w:t>
            </w:r>
          </w:p>
        </w:tc>
        <w:tc>
          <w:tcPr>
            <w:tcW w:w="7399" w:type="dxa"/>
            <w:vAlign w:val="center"/>
          </w:tcPr>
          <w:p w14:paraId="213B3B2A">
            <w:pPr>
              <w:pStyle w:val="25"/>
              <w:spacing w:after="0" w:line="240" w:lineRule="auto"/>
              <w:ind w:left="0" w:leftChars="0" w:firstLine="0" w:firstLineChars="0"/>
              <w:jc w:val="both"/>
              <w:rPr>
                <w:rFonts w:ascii="微软雅黑" w:hAnsi="微软雅黑" w:eastAsia="微软雅黑" w:cs="微软雅黑"/>
                <w:b/>
                <w:bCs/>
                <w:color w:val="auto"/>
                <w:sz w:val="21"/>
                <w:szCs w:val="21"/>
                <w:highlight w:val="none"/>
              </w:rPr>
            </w:pPr>
            <w:r>
              <w:rPr>
                <w:rFonts w:hint="eastAsia" w:ascii="微软雅黑" w:hAnsi="微软雅黑" w:eastAsia="微软雅黑" w:cs="微软雅黑"/>
                <w:b/>
                <w:bCs/>
                <w:color w:val="auto"/>
                <w:sz w:val="21"/>
                <w:szCs w:val="21"/>
                <w:highlight w:val="none"/>
              </w:rPr>
              <w:t>演示内容3：</w:t>
            </w:r>
            <w:r>
              <w:rPr>
                <w:rFonts w:hint="eastAsia" w:ascii="微软雅黑" w:hAnsi="微软雅黑" w:eastAsia="微软雅黑" w:cs="微软雅黑"/>
                <w:b/>
                <w:bCs/>
                <w:color w:val="auto"/>
                <w:sz w:val="21"/>
                <w:szCs w:val="21"/>
                <w:highlight w:val="none"/>
                <w:lang w:eastAsia="zh-CN"/>
              </w:rPr>
              <w:t>序号</w:t>
            </w:r>
            <w:r>
              <w:rPr>
                <w:rFonts w:hint="eastAsia" w:ascii="微软雅黑" w:hAnsi="微软雅黑" w:eastAsia="微软雅黑" w:cs="微软雅黑"/>
                <w:b/>
                <w:bCs/>
                <w:color w:val="auto"/>
                <w:sz w:val="21"/>
                <w:szCs w:val="21"/>
                <w:highlight w:val="none"/>
                <w:lang w:val="en-US" w:eastAsia="zh-CN"/>
              </w:rPr>
              <w:t>3、</w:t>
            </w:r>
            <w:r>
              <w:rPr>
                <w:rFonts w:hint="eastAsia" w:ascii="微软雅黑" w:hAnsi="微软雅黑" w:eastAsia="微软雅黑" w:cs="微软雅黑"/>
                <w:b/>
                <w:bCs/>
                <w:color w:val="auto"/>
                <w:sz w:val="21"/>
                <w:szCs w:val="21"/>
                <w:highlight w:val="none"/>
              </w:rPr>
              <w:t>精馏实验装置</w:t>
            </w:r>
          </w:p>
          <w:p w14:paraId="785989D4">
            <w:pPr>
              <w:pStyle w:val="65"/>
              <w:spacing w:after="0" w:line="240" w:lineRule="auto"/>
              <w:ind w:firstLine="0" w:firstLineChars="0"/>
              <w:jc w:val="both"/>
              <w:rPr>
                <w:rFonts w:ascii="微软雅黑" w:hAnsi="微软雅黑" w:cs="微软雅黑"/>
                <w:color w:val="auto"/>
                <w:szCs w:val="21"/>
                <w:highlight w:val="none"/>
              </w:rPr>
            </w:pPr>
            <w:r>
              <w:rPr>
                <w:rFonts w:hint="eastAsia" w:ascii="微软雅黑" w:hAnsi="微软雅黑" w:cs="微软雅黑"/>
                <w:color w:val="auto"/>
                <w:kern w:val="0"/>
                <w:szCs w:val="21"/>
                <w:highlight w:val="none"/>
              </w:rPr>
              <w:t>8.2★为教师、学生</w:t>
            </w:r>
            <w:r>
              <w:rPr>
                <w:rFonts w:hint="eastAsia" w:ascii="微软雅黑" w:hAnsi="微软雅黑" w:cs="微软雅黑"/>
                <w:color w:val="auto"/>
                <w:szCs w:val="21"/>
                <w:highlight w:val="none"/>
              </w:rPr>
              <w:t>配套本实验装置介绍微课，讲解实验装置结构。</w:t>
            </w:r>
          </w:p>
        </w:tc>
      </w:tr>
      <w:tr w14:paraId="579CEE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1346" w:type="dxa"/>
            <w:vAlign w:val="center"/>
          </w:tcPr>
          <w:p w14:paraId="6E789E8E">
            <w:pPr>
              <w:spacing w:after="0" w:line="240" w:lineRule="auto"/>
              <w:ind w:firstLine="0" w:firstLineChars="0"/>
              <w:jc w:val="both"/>
              <w:rPr>
                <w:rFonts w:ascii="微软雅黑" w:hAnsi="微软雅黑" w:cs="微软雅黑"/>
                <w:b/>
                <w:bCs/>
                <w:color w:val="auto"/>
                <w:szCs w:val="21"/>
                <w:highlight w:val="none"/>
              </w:rPr>
            </w:pPr>
            <w:r>
              <w:rPr>
                <w:rFonts w:hint="eastAsia" w:ascii="微软雅黑" w:hAnsi="微软雅黑" w:cs="微软雅黑"/>
                <w:b/>
                <w:bCs/>
                <w:color w:val="auto"/>
                <w:szCs w:val="21"/>
                <w:highlight w:val="none"/>
              </w:rPr>
              <w:t>演示四</w:t>
            </w:r>
          </w:p>
        </w:tc>
        <w:tc>
          <w:tcPr>
            <w:tcW w:w="7399" w:type="dxa"/>
            <w:vAlign w:val="center"/>
          </w:tcPr>
          <w:p w14:paraId="24679C2F">
            <w:pPr>
              <w:widowControl/>
              <w:spacing w:after="0" w:line="240" w:lineRule="auto"/>
              <w:ind w:firstLine="0" w:firstLineChars="0"/>
              <w:jc w:val="both"/>
              <w:rPr>
                <w:rFonts w:ascii="微软雅黑" w:hAnsi="微软雅黑" w:cs="微软雅黑"/>
                <w:b/>
                <w:bCs/>
                <w:color w:val="auto"/>
                <w:szCs w:val="21"/>
                <w:highlight w:val="none"/>
              </w:rPr>
            </w:pPr>
            <w:r>
              <w:rPr>
                <w:rFonts w:hint="eastAsia" w:ascii="微软雅黑" w:hAnsi="微软雅黑" w:cs="微软雅黑"/>
                <w:b/>
                <w:bCs/>
                <w:color w:val="auto"/>
                <w:szCs w:val="21"/>
                <w:highlight w:val="none"/>
              </w:rPr>
              <w:t>演示内容4：</w:t>
            </w:r>
            <w:r>
              <w:rPr>
                <w:rFonts w:hint="eastAsia" w:ascii="微软雅黑" w:hAnsi="微软雅黑" w:cs="微软雅黑"/>
                <w:b/>
                <w:bCs/>
                <w:color w:val="auto"/>
                <w:szCs w:val="21"/>
                <w:highlight w:val="none"/>
                <w:lang w:eastAsia="zh-CN"/>
              </w:rPr>
              <w:t>序号</w:t>
            </w:r>
            <w:r>
              <w:rPr>
                <w:rFonts w:hint="eastAsia" w:ascii="微软雅黑" w:hAnsi="微软雅黑" w:cs="微软雅黑"/>
                <w:b/>
                <w:bCs/>
                <w:color w:val="auto"/>
                <w:szCs w:val="21"/>
                <w:highlight w:val="none"/>
                <w:lang w:val="en-US" w:eastAsia="zh-CN"/>
              </w:rPr>
              <w:t>4、</w:t>
            </w:r>
            <w:r>
              <w:rPr>
                <w:rFonts w:hint="eastAsia" w:ascii="微软雅黑" w:hAnsi="微软雅黑" w:cs="微软雅黑"/>
                <w:b/>
                <w:bCs/>
                <w:color w:val="auto"/>
                <w:szCs w:val="21"/>
                <w:highlight w:val="none"/>
              </w:rPr>
              <w:t>传热实验装置</w:t>
            </w:r>
          </w:p>
          <w:p w14:paraId="35DF6E72">
            <w:pPr>
              <w:pStyle w:val="65"/>
              <w:spacing w:after="0" w:line="240" w:lineRule="auto"/>
              <w:ind w:firstLine="0" w:firstLineChars="0"/>
              <w:jc w:val="both"/>
              <w:rPr>
                <w:rFonts w:ascii="微软雅黑" w:hAnsi="微软雅黑" w:cs="微软雅黑"/>
                <w:color w:val="auto"/>
                <w:szCs w:val="21"/>
                <w:highlight w:val="none"/>
              </w:rPr>
            </w:pPr>
            <w:r>
              <w:rPr>
                <w:rFonts w:hint="eastAsia" w:ascii="微软雅黑" w:hAnsi="微软雅黑" w:cs="微软雅黑"/>
                <w:color w:val="auto"/>
                <w:kern w:val="0"/>
                <w:szCs w:val="21"/>
                <w:highlight w:val="none"/>
              </w:rPr>
              <w:t>9.2★为教师、学生</w:t>
            </w:r>
            <w:r>
              <w:rPr>
                <w:rFonts w:hint="eastAsia" w:ascii="微软雅黑" w:hAnsi="微软雅黑" w:cs="微软雅黑"/>
                <w:color w:val="auto"/>
                <w:szCs w:val="21"/>
                <w:highlight w:val="none"/>
              </w:rPr>
              <w:t>配套本实验装置介绍微课，讲解实验装置结构。</w:t>
            </w:r>
          </w:p>
        </w:tc>
      </w:tr>
      <w:tr w14:paraId="780845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1346" w:type="dxa"/>
            <w:vAlign w:val="center"/>
          </w:tcPr>
          <w:p w14:paraId="3A69D0E5">
            <w:pPr>
              <w:spacing w:after="0" w:line="240" w:lineRule="auto"/>
              <w:ind w:firstLine="0" w:firstLineChars="0"/>
              <w:jc w:val="both"/>
              <w:rPr>
                <w:rFonts w:ascii="微软雅黑" w:hAnsi="微软雅黑" w:cs="微软雅黑"/>
                <w:b/>
                <w:bCs/>
                <w:color w:val="auto"/>
                <w:szCs w:val="21"/>
                <w:highlight w:val="none"/>
              </w:rPr>
            </w:pPr>
            <w:r>
              <w:rPr>
                <w:rFonts w:hint="eastAsia" w:ascii="微软雅黑" w:hAnsi="微软雅黑" w:cs="微软雅黑"/>
                <w:b/>
                <w:bCs/>
                <w:color w:val="auto"/>
                <w:szCs w:val="21"/>
                <w:highlight w:val="none"/>
              </w:rPr>
              <w:t>演示五</w:t>
            </w:r>
          </w:p>
        </w:tc>
        <w:tc>
          <w:tcPr>
            <w:tcW w:w="7399" w:type="dxa"/>
            <w:vAlign w:val="center"/>
          </w:tcPr>
          <w:p w14:paraId="087FC2E7">
            <w:pPr>
              <w:widowControl/>
              <w:spacing w:after="0" w:line="240" w:lineRule="auto"/>
              <w:ind w:firstLine="0" w:firstLineChars="0"/>
              <w:jc w:val="both"/>
              <w:rPr>
                <w:rFonts w:ascii="微软雅黑" w:hAnsi="微软雅黑" w:cs="微软雅黑"/>
                <w:b/>
                <w:bCs/>
                <w:color w:val="auto"/>
                <w:szCs w:val="21"/>
                <w:highlight w:val="none"/>
              </w:rPr>
            </w:pPr>
            <w:r>
              <w:rPr>
                <w:rFonts w:hint="eastAsia" w:ascii="微软雅黑" w:hAnsi="微软雅黑" w:cs="微软雅黑"/>
                <w:b/>
                <w:bCs/>
                <w:color w:val="auto"/>
                <w:szCs w:val="21"/>
                <w:highlight w:val="none"/>
              </w:rPr>
              <w:t>演示内容5：</w:t>
            </w:r>
            <w:r>
              <w:rPr>
                <w:rFonts w:hint="eastAsia" w:ascii="微软雅黑" w:hAnsi="微软雅黑" w:cs="微软雅黑"/>
                <w:b/>
                <w:bCs/>
                <w:color w:val="auto"/>
                <w:szCs w:val="21"/>
                <w:highlight w:val="none"/>
                <w:lang w:eastAsia="zh-CN"/>
              </w:rPr>
              <w:t>序号</w:t>
            </w:r>
            <w:r>
              <w:rPr>
                <w:rFonts w:hint="eastAsia" w:ascii="微软雅黑" w:hAnsi="微软雅黑" w:cs="微软雅黑"/>
                <w:b/>
                <w:bCs/>
                <w:color w:val="auto"/>
                <w:szCs w:val="21"/>
                <w:highlight w:val="none"/>
                <w:lang w:val="en-US" w:eastAsia="zh-CN"/>
              </w:rPr>
              <w:t>5、</w:t>
            </w:r>
            <w:r>
              <w:rPr>
                <w:rFonts w:hint="eastAsia" w:ascii="微软雅黑" w:hAnsi="微软雅黑" w:cs="微软雅黑"/>
                <w:b/>
                <w:bCs/>
                <w:color w:val="auto"/>
                <w:szCs w:val="21"/>
                <w:highlight w:val="none"/>
              </w:rPr>
              <w:t>过滤实验装置</w:t>
            </w:r>
          </w:p>
          <w:p w14:paraId="2864C600">
            <w:pPr>
              <w:pStyle w:val="28"/>
              <w:spacing w:after="0" w:line="240" w:lineRule="auto"/>
              <w:ind w:firstLine="0" w:firstLineChars="0"/>
              <w:jc w:val="both"/>
              <w:rPr>
                <w:rFonts w:ascii="微软雅黑" w:hAnsi="微软雅黑" w:cs="微软雅黑"/>
                <w:color w:val="auto"/>
                <w:szCs w:val="21"/>
                <w:highlight w:val="none"/>
              </w:rPr>
            </w:pPr>
            <w:r>
              <w:rPr>
                <w:rFonts w:hint="eastAsia" w:ascii="微软雅黑" w:hAnsi="微软雅黑" w:cs="微软雅黑"/>
                <w:color w:val="auto"/>
                <w:kern w:val="0"/>
                <w:szCs w:val="21"/>
                <w:highlight w:val="none"/>
              </w:rPr>
              <w:t>9.1★</w:t>
            </w:r>
            <w:r>
              <w:rPr>
                <w:rFonts w:hint="eastAsia" w:ascii="微软雅黑" w:hAnsi="微软雅黑" w:cs="微软雅黑"/>
                <w:color w:val="auto"/>
                <w:szCs w:val="21"/>
                <w:highlight w:val="none"/>
              </w:rPr>
              <w:t>（1）为学生端配套本实验虚拟仿真系统，可以进行实验装置结构学习、实验操作练习与操作考核，要求仿真装置与本实验真实装置结构相同、操作一致；仿真操作具备通过后台严格数学模型算法计算出仿真实验数据功能。（2）为教师端配套仿真实验教学平台，实现仿真实验教学管理功能，包括学生管理、考试管理、成绩管理等功能。</w:t>
            </w:r>
          </w:p>
          <w:p w14:paraId="3D0CBCAD">
            <w:pPr>
              <w:pStyle w:val="28"/>
              <w:spacing w:after="0" w:line="240" w:lineRule="auto"/>
              <w:ind w:firstLine="0" w:firstLineChars="0"/>
              <w:jc w:val="both"/>
              <w:rPr>
                <w:rFonts w:ascii="微软雅黑" w:hAnsi="微软雅黑" w:cs="微软雅黑"/>
                <w:color w:val="auto"/>
                <w:szCs w:val="21"/>
                <w:highlight w:val="none"/>
              </w:rPr>
            </w:pPr>
            <w:r>
              <w:rPr>
                <w:rFonts w:hint="eastAsia" w:ascii="微软雅黑" w:hAnsi="微软雅黑" w:cs="微软雅黑"/>
                <w:color w:val="auto"/>
                <w:kern w:val="0"/>
                <w:szCs w:val="21"/>
                <w:highlight w:val="none"/>
              </w:rPr>
              <w:t>9.2★为教师、学生</w:t>
            </w:r>
            <w:r>
              <w:rPr>
                <w:rFonts w:hint="eastAsia" w:ascii="微软雅黑" w:hAnsi="微软雅黑" w:cs="微软雅黑"/>
                <w:color w:val="auto"/>
                <w:szCs w:val="21"/>
                <w:highlight w:val="none"/>
              </w:rPr>
              <w:t>配套本实验装置介绍微课，讲解实验装置结构。</w:t>
            </w:r>
          </w:p>
          <w:p w14:paraId="2CAF080C">
            <w:pPr>
              <w:pStyle w:val="28"/>
              <w:spacing w:after="0" w:line="240" w:lineRule="auto"/>
              <w:ind w:firstLine="0" w:firstLineChars="0"/>
              <w:jc w:val="both"/>
              <w:rPr>
                <w:rFonts w:ascii="微软雅黑" w:hAnsi="微软雅黑" w:cs="微软雅黑"/>
                <w:color w:val="auto"/>
                <w:szCs w:val="21"/>
                <w:highlight w:val="none"/>
              </w:rPr>
            </w:pPr>
            <w:r>
              <w:rPr>
                <w:rFonts w:hint="eastAsia" w:ascii="微软雅黑" w:hAnsi="微软雅黑" w:cs="微软雅黑"/>
                <w:color w:val="auto"/>
                <w:kern w:val="0"/>
                <w:szCs w:val="21"/>
                <w:highlight w:val="none"/>
              </w:rPr>
              <w:t>9.3★设备端</w:t>
            </w:r>
            <w:r>
              <w:rPr>
                <w:rFonts w:hint="eastAsia" w:ascii="微软雅黑" w:hAnsi="微软雅黑" w:cs="微软雅黑"/>
                <w:color w:val="auto"/>
                <w:szCs w:val="21"/>
                <w:highlight w:val="none"/>
              </w:rPr>
              <w:t>配套数据采集及测控软件，可以实现实验数据及设备状态实时在线采集、显示、数据变化曲线显示，实现装置运行控制、数据导出与处理等功能；并且可将数据实时上传至在线的实验学习平台，教师和学生可以远程实时在线或后期离线查看实验数据以及数据处理结果，便于监控设备运行，了解实验操作状况。</w:t>
            </w:r>
          </w:p>
          <w:p w14:paraId="51D48DF9">
            <w:pPr>
              <w:pStyle w:val="28"/>
              <w:spacing w:after="0" w:line="240" w:lineRule="auto"/>
              <w:ind w:firstLine="0" w:firstLineChars="0"/>
              <w:jc w:val="both"/>
              <w:rPr>
                <w:rFonts w:ascii="微软雅黑" w:hAnsi="微软雅黑" w:cs="微软雅黑"/>
                <w:color w:val="auto"/>
                <w:szCs w:val="21"/>
                <w:highlight w:val="none"/>
              </w:rPr>
            </w:pPr>
            <w:r>
              <w:rPr>
                <w:rFonts w:hint="eastAsia" w:ascii="微软雅黑" w:hAnsi="微软雅黑" w:cs="微软雅黑"/>
                <w:color w:val="auto"/>
                <w:kern w:val="0"/>
                <w:szCs w:val="21"/>
                <w:highlight w:val="none"/>
              </w:rPr>
              <w:t>9.4★</w:t>
            </w:r>
            <w:r>
              <w:rPr>
                <w:rFonts w:hint="eastAsia" w:ascii="微软雅黑" w:hAnsi="微软雅黑" w:cs="微软雅黑"/>
                <w:color w:val="auto"/>
                <w:szCs w:val="21"/>
                <w:highlight w:val="none"/>
              </w:rPr>
              <w:t>配套智能实验学习与实验授课软件，学生端通过实验学习系统可以进行实验讲义学习、实验装置学习、装置介绍微课学习、仿真操作练习，实现实验前的预习及课后复习，并能够记录学习过程，智能自动评分。教师端通过智能实验授课软件，支持通过现场大屏调用多种数字资源进行实验授课，监控学生操作状态、装置运行状态，可以存储及导出每个人的操作记录、实验数据；实验授课软件移动端支持现场学生提问评分、操作评分、行为评分等。</w:t>
            </w:r>
          </w:p>
          <w:p w14:paraId="4EED9C3F">
            <w:pPr>
              <w:spacing w:after="0" w:line="240" w:lineRule="auto"/>
              <w:ind w:firstLine="0" w:firstLineChars="0"/>
              <w:jc w:val="both"/>
              <w:rPr>
                <w:rFonts w:ascii="微软雅黑" w:hAnsi="微软雅黑" w:cs="微软雅黑"/>
                <w:b/>
                <w:bCs/>
                <w:color w:val="auto"/>
                <w:szCs w:val="21"/>
                <w:highlight w:val="none"/>
              </w:rPr>
            </w:pPr>
            <w:r>
              <w:rPr>
                <w:rFonts w:hint="eastAsia" w:ascii="微软雅黑" w:hAnsi="微软雅黑" w:cs="微软雅黑"/>
                <w:b/>
                <w:bCs/>
                <w:color w:val="auto"/>
                <w:szCs w:val="21"/>
                <w:highlight w:val="none"/>
              </w:rPr>
              <w:t>规格参数中</w:t>
            </w:r>
          </w:p>
          <w:p w14:paraId="0C8FE9FE">
            <w:pPr>
              <w:spacing w:after="0" w:line="240" w:lineRule="auto"/>
              <w:ind w:firstLine="0" w:firstLineChars="0"/>
              <w:jc w:val="both"/>
              <w:rPr>
                <w:rFonts w:ascii="微软雅黑" w:hAnsi="微软雅黑" w:cs="微软雅黑"/>
                <w:b/>
                <w:bCs/>
                <w:color w:val="auto"/>
                <w:szCs w:val="21"/>
                <w:highlight w:val="none"/>
              </w:rPr>
            </w:pPr>
            <w:r>
              <w:rPr>
                <w:rFonts w:hint="eastAsia" w:ascii="微软雅黑" w:hAnsi="微软雅黑" w:cs="微软雅黑"/>
                <w:color w:val="auto"/>
                <w:kern w:val="0"/>
                <w:szCs w:val="21"/>
                <w:highlight w:val="none"/>
              </w:rPr>
              <w:t>3.★</w:t>
            </w:r>
            <w:r>
              <w:rPr>
                <w:rFonts w:hint="eastAsia" w:ascii="微软雅黑" w:hAnsi="微软雅黑" w:cs="微软雅黑"/>
                <w:color w:val="auto"/>
                <w:szCs w:val="21"/>
                <w:highlight w:val="none"/>
              </w:rPr>
              <w:t>滤板滤框：方形滤板滤框，采用304不锈钢材质，按照工业级压滤机滤板滤框外观和结构设计，滤板带有双面纵横交错沟槽设计，不带任何密封圈，单片厚度不小于20mm。</w:t>
            </w:r>
            <w:r>
              <w:rPr>
                <w:rFonts w:hint="eastAsia" w:ascii="微软雅黑" w:hAnsi="微软雅黑" w:cs="微软雅黑"/>
                <w:b/>
                <w:bCs/>
                <w:color w:val="auto"/>
                <w:szCs w:val="21"/>
                <w:highlight w:val="none"/>
              </w:rPr>
              <w:t>（演示实物）</w:t>
            </w:r>
          </w:p>
          <w:p w14:paraId="0810653B">
            <w:pPr>
              <w:pStyle w:val="28"/>
              <w:spacing w:after="0" w:line="240" w:lineRule="auto"/>
              <w:ind w:firstLine="0" w:firstLineChars="0"/>
              <w:jc w:val="both"/>
              <w:rPr>
                <w:rFonts w:ascii="微软雅黑" w:hAnsi="微软雅黑" w:cs="微软雅黑"/>
                <w:color w:val="auto"/>
                <w:szCs w:val="21"/>
                <w:highlight w:val="none"/>
              </w:rPr>
            </w:pPr>
            <w:r>
              <w:rPr>
                <w:rFonts w:hint="eastAsia" w:ascii="微软雅黑" w:hAnsi="微软雅黑" w:cs="微软雅黑"/>
                <w:color w:val="auto"/>
                <w:kern w:val="0"/>
                <w:szCs w:val="21"/>
                <w:highlight w:val="none"/>
              </w:rPr>
              <w:t>12.★</w:t>
            </w:r>
            <w:r>
              <w:rPr>
                <w:rFonts w:hint="eastAsia" w:ascii="微软雅黑" w:hAnsi="微软雅黑" w:cs="微软雅黑"/>
                <w:color w:val="auto"/>
                <w:szCs w:val="21"/>
                <w:highlight w:val="none"/>
              </w:rPr>
              <w:t>一体化触控屏工业物联网主机：嵌入控制柜式安装，触控屏尺寸不低于10.1寸。OS支持Windows10及以上,RAM不小于4G,SSD不小于32G。支持RS232、RJ45、USB3.0、IEEE 802.11 b/g/n通信协议。主机全封闭设计，无风扇金属散热。具备集成物联网系统功能，实现本装置数据采集、上传、测控等通信功能。</w:t>
            </w:r>
          </w:p>
        </w:tc>
      </w:tr>
      <w:tr w14:paraId="65C359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1872" w:hRule="atLeast"/>
          <w:jc w:val="center"/>
        </w:trPr>
        <w:tc>
          <w:tcPr>
            <w:tcW w:w="1346" w:type="dxa"/>
            <w:vAlign w:val="center"/>
          </w:tcPr>
          <w:p w14:paraId="705F1AC3">
            <w:pPr>
              <w:spacing w:after="0" w:line="240" w:lineRule="auto"/>
              <w:ind w:firstLine="0" w:firstLineChars="0"/>
              <w:jc w:val="both"/>
              <w:rPr>
                <w:rFonts w:ascii="微软雅黑" w:hAnsi="微软雅黑" w:cs="微软雅黑"/>
                <w:b/>
                <w:bCs/>
                <w:color w:val="auto"/>
                <w:szCs w:val="21"/>
                <w:highlight w:val="none"/>
              </w:rPr>
            </w:pPr>
            <w:r>
              <w:rPr>
                <w:rFonts w:hint="eastAsia" w:ascii="微软雅黑" w:hAnsi="微软雅黑" w:cs="微软雅黑"/>
                <w:b/>
                <w:bCs/>
                <w:color w:val="auto"/>
                <w:szCs w:val="21"/>
                <w:highlight w:val="none"/>
              </w:rPr>
              <w:t>演示六</w:t>
            </w:r>
          </w:p>
        </w:tc>
        <w:tc>
          <w:tcPr>
            <w:tcW w:w="7399" w:type="dxa"/>
            <w:vAlign w:val="center"/>
          </w:tcPr>
          <w:p w14:paraId="0B928DF9">
            <w:pPr>
              <w:widowControl/>
              <w:spacing w:after="0" w:line="240" w:lineRule="auto"/>
              <w:ind w:firstLine="0" w:firstLineChars="0"/>
              <w:jc w:val="both"/>
              <w:rPr>
                <w:rFonts w:ascii="微软雅黑" w:hAnsi="微软雅黑" w:cs="微软雅黑"/>
                <w:b/>
                <w:bCs/>
                <w:color w:val="auto"/>
                <w:szCs w:val="21"/>
                <w:highlight w:val="none"/>
              </w:rPr>
            </w:pPr>
            <w:r>
              <w:rPr>
                <w:rFonts w:hint="eastAsia" w:ascii="微软雅黑" w:hAnsi="微软雅黑" w:cs="微软雅黑"/>
                <w:b/>
                <w:bCs/>
                <w:color w:val="auto"/>
                <w:szCs w:val="21"/>
                <w:highlight w:val="none"/>
              </w:rPr>
              <w:t>演示内容6：</w:t>
            </w:r>
            <w:r>
              <w:rPr>
                <w:rFonts w:hint="eastAsia" w:ascii="微软雅黑" w:hAnsi="微软雅黑" w:cs="微软雅黑"/>
                <w:b/>
                <w:bCs/>
                <w:color w:val="auto"/>
                <w:szCs w:val="21"/>
                <w:highlight w:val="none"/>
                <w:lang w:eastAsia="zh-CN"/>
              </w:rPr>
              <w:t>序号</w:t>
            </w:r>
            <w:r>
              <w:rPr>
                <w:rFonts w:hint="eastAsia" w:ascii="微软雅黑" w:hAnsi="微软雅黑" w:cs="微软雅黑"/>
                <w:b/>
                <w:bCs/>
                <w:color w:val="auto"/>
                <w:szCs w:val="21"/>
                <w:highlight w:val="none"/>
                <w:lang w:val="en-US" w:eastAsia="zh-CN"/>
              </w:rPr>
              <w:t>6、</w:t>
            </w:r>
            <w:r>
              <w:rPr>
                <w:rFonts w:hint="eastAsia" w:ascii="微软雅黑" w:hAnsi="微软雅黑" w:cs="微软雅黑"/>
                <w:b/>
                <w:bCs/>
                <w:color w:val="auto"/>
                <w:szCs w:val="21"/>
                <w:highlight w:val="none"/>
              </w:rPr>
              <w:t>吸收解吸实验装置</w:t>
            </w:r>
          </w:p>
          <w:p w14:paraId="105D48ED">
            <w:pPr>
              <w:pStyle w:val="65"/>
              <w:spacing w:after="0" w:line="240" w:lineRule="auto"/>
              <w:ind w:firstLine="0" w:firstLineChars="0"/>
              <w:jc w:val="both"/>
              <w:rPr>
                <w:rFonts w:hint="eastAsia" w:ascii="微软雅黑" w:hAnsi="微软雅黑" w:cs="微软雅黑"/>
                <w:color w:val="auto"/>
                <w:szCs w:val="21"/>
                <w:highlight w:val="none"/>
              </w:rPr>
            </w:pPr>
            <w:r>
              <w:rPr>
                <w:rFonts w:hint="eastAsia" w:ascii="微软雅黑" w:hAnsi="微软雅黑" w:cs="微软雅黑"/>
                <w:color w:val="auto"/>
                <w:kern w:val="0"/>
                <w:szCs w:val="21"/>
                <w:highlight w:val="none"/>
              </w:rPr>
              <w:t>8.2★为教师、学生</w:t>
            </w:r>
            <w:r>
              <w:rPr>
                <w:rFonts w:hint="eastAsia" w:ascii="微软雅黑" w:hAnsi="微软雅黑" w:cs="微软雅黑"/>
                <w:color w:val="auto"/>
                <w:szCs w:val="21"/>
                <w:highlight w:val="none"/>
              </w:rPr>
              <w:t>配套本实验装置介绍微课，讲解实验装置结构。</w:t>
            </w:r>
          </w:p>
          <w:p w14:paraId="6E0C3D46">
            <w:pPr>
              <w:pStyle w:val="28"/>
              <w:spacing w:after="0" w:line="240" w:lineRule="auto"/>
              <w:ind w:firstLine="0" w:firstLineChars="0"/>
              <w:jc w:val="both"/>
              <w:rPr>
                <w:rFonts w:hint="eastAsia" w:ascii="微软雅黑" w:hAnsi="微软雅黑" w:cs="微软雅黑"/>
                <w:color w:val="auto"/>
                <w:szCs w:val="21"/>
                <w:highlight w:val="none"/>
              </w:rPr>
            </w:pPr>
            <w:r>
              <w:rPr>
                <w:rFonts w:hint="eastAsia" w:ascii="微软雅黑" w:hAnsi="微软雅黑" w:cs="微软雅黑"/>
                <w:color w:val="auto"/>
                <w:kern w:val="0"/>
                <w:szCs w:val="21"/>
                <w:highlight w:val="none"/>
                <w:lang w:val="en-US" w:eastAsia="zh-CN"/>
              </w:rPr>
              <w:t>8</w:t>
            </w:r>
            <w:r>
              <w:rPr>
                <w:rFonts w:hint="eastAsia" w:ascii="微软雅黑" w:hAnsi="微软雅黑" w:cs="微软雅黑"/>
                <w:color w:val="auto"/>
                <w:kern w:val="0"/>
                <w:szCs w:val="21"/>
                <w:highlight w:val="none"/>
              </w:rPr>
              <w:t>.5★</w:t>
            </w:r>
            <w:r>
              <w:rPr>
                <w:rFonts w:hint="eastAsia" w:ascii="微软雅黑" w:hAnsi="微软雅黑" w:cs="微软雅黑"/>
                <w:color w:val="auto"/>
                <w:szCs w:val="21"/>
                <w:highlight w:val="none"/>
              </w:rPr>
              <w:t>配套实验报告生成及评阅软件，学生端能够根据采集的真实装置的实验数据，生成真实实验的实验报告；也能够根据仿真实验数据，生成仿真实验的实验报告。学生端可对实验数据进行整理，系统保存数据修改记录，可进行追溯。支持学生将手写报告扫描上传；教师端可对报告进行批改、批注和评分。支持电子版实验报告的归档并保存全部电子档案，形成规范教学文档。</w:t>
            </w:r>
          </w:p>
        </w:tc>
      </w:tr>
    </w:tbl>
    <w:p w14:paraId="7C4944B5">
      <w:pPr>
        <w:pStyle w:val="2"/>
        <w:numPr>
          <w:ilvl w:val="0"/>
          <w:numId w:val="4"/>
        </w:numPr>
        <w:jc w:val="both"/>
        <w:rPr>
          <w:rFonts w:ascii="微软雅黑" w:hAnsi="微软雅黑" w:cs="宋体"/>
          <w:color w:val="auto"/>
          <w:szCs w:val="21"/>
          <w:highlight w:val="none"/>
        </w:rPr>
      </w:pPr>
      <w:r>
        <w:rPr>
          <w:rFonts w:hint="eastAsia" w:ascii="微软雅黑" w:hAnsi="微软雅黑" w:cs="宋体"/>
          <w:color w:val="auto"/>
          <w:szCs w:val="21"/>
          <w:highlight w:val="none"/>
        </w:rPr>
        <w:t>其他要求</w:t>
      </w:r>
    </w:p>
    <w:p w14:paraId="21DDD1DC">
      <w:pPr>
        <w:pStyle w:val="65"/>
        <w:numPr>
          <w:ilvl w:val="0"/>
          <w:numId w:val="21"/>
        </w:numPr>
        <w:ind w:left="0" w:firstLine="420" w:firstLineChars="0"/>
        <w:rPr>
          <w:rFonts w:ascii="微软雅黑" w:hAnsi="微软雅黑" w:cs="宋体"/>
          <w:b/>
          <w:bCs/>
          <w:color w:val="auto"/>
          <w:szCs w:val="21"/>
          <w:highlight w:val="none"/>
        </w:rPr>
      </w:pPr>
      <w:r>
        <w:rPr>
          <w:rFonts w:hint="eastAsia" w:ascii="微软雅黑" w:hAnsi="微软雅黑" w:cs="宋体"/>
          <w:b/>
          <w:bCs/>
          <w:color w:val="auto"/>
          <w:szCs w:val="21"/>
          <w:highlight w:val="none"/>
        </w:rPr>
        <w:t>（标项一）</w:t>
      </w:r>
    </w:p>
    <w:p w14:paraId="55C8B35F">
      <w:pPr>
        <w:numPr>
          <w:ilvl w:val="0"/>
          <w:numId w:val="22"/>
        </w:numPr>
        <w:tabs>
          <w:tab w:val="left" w:pos="0"/>
        </w:tabs>
        <w:ind w:left="14" w:firstLine="420"/>
        <w:rPr>
          <w:rFonts w:ascii="微软雅黑" w:hAnsi="微软雅黑" w:cs="微软雅黑"/>
          <w:color w:val="auto"/>
          <w:szCs w:val="21"/>
          <w:highlight w:val="none"/>
        </w:rPr>
      </w:pPr>
      <w:r>
        <w:rPr>
          <w:rFonts w:hint="eastAsia" w:ascii="微软雅黑" w:hAnsi="微软雅黑" w:cs="微软雅黑"/>
          <w:color w:val="auto"/>
          <w:szCs w:val="21"/>
          <w:highlight w:val="none"/>
        </w:rPr>
        <w:t>投标供应商应在投标文件中提供技术方案（包括安装调试、项目运维方案、培训计划、培训范围等）。</w:t>
      </w:r>
    </w:p>
    <w:p w14:paraId="0F96242C">
      <w:pPr>
        <w:numPr>
          <w:ilvl w:val="0"/>
          <w:numId w:val="22"/>
        </w:numPr>
        <w:tabs>
          <w:tab w:val="left" w:pos="0"/>
        </w:tabs>
        <w:ind w:left="14" w:firstLine="420"/>
        <w:rPr>
          <w:rFonts w:ascii="微软雅黑" w:hAnsi="微软雅黑" w:cs="微软雅黑"/>
          <w:color w:val="auto"/>
          <w:szCs w:val="21"/>
          <w:highlight w:val="none"/>
        </w:rPr>
      </w:pPr>
      <w:r>
        <w:rPr>
          <w:rFonts w:hint="eastAsia" w:ascii="微软雅黑" w:hAnsi="微软雅黑" w:cs="微软雅黑"/>
          <w:color w:val="auto"/>
          <w:szCs w:val="21"/>
          <w:highlight w:val="none"/>
        </w:rPr>
        <w:t>投标供应商应在投标文件中提供售后服务保障方案（包括免费服务范围、主要服务内容、解决问题方案、排除问题的速度、备品备件库情况等）。</w:t>
      </w:r>
    </w:p>
    <w:p w14:paraId="0DF66B9A">
      <w:pPr>
        <w:numPr>
          <w:ilvl w:val="0"/>
          <w:numId w:val="22"/>
        </w:numPr>
        <w:ind w:left="14" w:firstLine="420"/>
        <w:rPr>
          <w:rFonts w:ascii="微软雅黑" w:hAnsi="微软雅黑" w:cs="微软雅黑"/>
          <w:color w:val="auto"/>
          <w:szCs w:val="21"/>
          <w:highlight w:val="none"/>
        </w:rPr>
      </w:pPr>
      <w:r>
        <w:rPr>
          <w:rFonts w:hint="eastAsia" w:ascii="微软雅黑" w:hAnsi="微软雅黑" w:cs="微软雅黑"/>
          <w:color w:val="auto"/>
          <w:szCs w:val="21"/>
          <w:highlight w:val="none"/>
        </w:rPr>
        <w:tab/>
      </w:r>
      <w:r>
        <w:rPr>
          <w:rFonts w:hint="eastAsia" w:ascii="微软雅黑" w:hAnsi="微软雅黑" w:cs="微软雅黑"/>
          <w:color w:val="auto"/>
          <w:szCs w:val="21"/>
          <w:highlight w:val="none"/>
        </w:rPr>
        <w:t>投标供应商应在投标文件中提供针对配件耗材的说明（包括随机提供的耗材、备品配件、易损件是否齐全，保修期内外选购价格是否合理等）。</w:t>
      </w:r>
    </w:p>
    <w:p w14:paraId="418AAE97">
      <w:pPr>
        <w:pStyle w:val="65"/>
        <w:numPr>
          <w:ilvl w:val="0"/>
          <w:numId w:val="21"/>
        </w:numPr>
        <w:ind w:left="0" w:firstLine="420" w:firstLineChars="0"/>
        <w:rPr>
          <w:rFonts w:ascii="微软雅黑" w:hAnsi="微软雅黑" w:cs="宋体"/>
          <w:b/>
          <w:bCs/>
          <w:color w:val="auto"/>
          <w:szCs w:val="21"/>
          <w:highlight w:val="none"/>
        </w:rPr>
      </w:pPr>
      <w:r>
        <w:rPr>
          <w:rFonts w:hint="eastAsia" w:ascii="微软雅黑" w:hAnsi="微软雅黑" w:cs="宋体"/>
          <w:b/>
          <w:bCs/>
          <w:color w:val="auto"/>
          <w:szCs w:val="21"/>
          <w:highlight w:val="none"/>
        </w:rPr>
        <w:t>（标项二）</w:t>
      </w:r>
    </w:p>
    <w:p w14:paraId="0058A0D0">
      <w:pPr>
        <w:numPr>
          <w:ilvl w:val="0"/>
          <w:numId w:val="23"/>
        </w:numPr>
        <w:ind w:left="14" w:firstLine="405" w:firstLineChars="193"/>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投标供应商应在投标文件中提供技术方案（包括方案总体设计及布局、投标方案与需求的吻合程度、项目建设思路、原则、特点、技术要求的理解情况等）。</w:t>
      </w:r>
    </w:p>
    <w:p w14:paraId="126901D1">
      <w:pPr>
        <w:numPr>
          <w:ilvl w:val="0"/>
          <w:numId w:val="23"/>
        </w:numPr>
        <w:ind w:left="14" w:firstLine="405" w:firstLineChars="193"/>
        <w:rPr>
          <w:color w:val="auto"/>
          <w:highlight w:val="none"/>
        </w:rPr>
      </w:pPr>
      <w:r>
        <w:rPr>
          <w:rFonts w:hint="eastAsia" w:ascii="微软雅黑" w:hAnsi="微软雅黑" w:cs="微软雅黑"/>
          <w:color w:val="auto"/>
          <w:szCs w:val="21"/>
          <w:highlight w:val="none"/>
          <w:lang w:bidi="ar"/>
        </w:rPr>
        <w:t>投标供应商应在投标文件中其他方案（包括进度保障、培训措施、售后服务保障方案等）。</w:t>
      </w:r>
    </w:p>
    <w:p w14:paraId="0A14EA39">
      <w:pPr>
        <w:pStyle w:val="65"/>
        <w:ind w:firstLine="424" w:firstLineChars="202"/>
        <w:rPr>
          <w:color w:val="auto"/>
          <w:highlight w:val="none"/>
          <w:lang w:val="en"/>
        </w:rPr>
        <w:sectPr>
          <w:pgSz w:w="11907" w:h="16840"/>
          <w:pgMar w:top="1474" w:right="1797" w:bottom="1247" w:left="1797" w:header="851" w:footer="851" w:gutter="0"/>
          <w:cols w:space="720" w:num="1"/>
          <w:docGrid w:linePitch="312" w:charSpace="0"/>
        </w:sectPr>
      </w:pPr>
    </w:p>
    <w:p w14:paraId="3C09BAF6">
      <w:pPr>
        <w:pStyle w:val="2"/>
        <w:numPr>
          <w:ilvl w:val="0"/>
          <w:numId w:val="3"/>
        </w:numPr>
        <w:rPr>
          <w:rStyle w:val="66"/>
          <w:b/>
          <w:bCs/>
          <w:color w:val="auto"/>
          <w:highlight w:val="none"/>
        </w:rPr>
      </w:pPr>
      <w:r>
        <w:rPr>
          <w:rStyle w:val="66"/>
          <w:rFonts w:hint="eastAsia"/>
          <w:b/>
          <w:bCs/>
          <w:color w:val="auto"/>
          <w:highlight w:val="none"/>
        </w:rPr>
        <w:t xml:space="preserve">  </w:t>
      </w:r>
      <w:bookmarkStart w:id="38" w:name="_Toc19017"/>
      <w:bookmarkStart w:id="39" w:name="_Toc32265"/>
      <w:r>
        <w:rPr>
          <w:rStyle w:val="66"/>
          <w:rFonts w:hint="eastAsia"/>
          <w:b/>
          <w:bCs/>
          <w:color w:val="auto"/>
          <w:highlight w:val="none"/>
        </w:rPr>
        <w:t>投标人须知</w:t>
      </w:r>
      <w:bookmarkEnd w:id="13"/>
      <w:bookmarkEnd w:id="36"/>
      <w:bookmarkEnd w:id="37"/>
      <w:bookmarkEnd w:id="38"/>
      <w:bookmarkEnd w:id="39"/>
    </w:p>
    <w:p w14:paraId="5C5644A2">
      <w:pPr>
        <w:pStyle w:val="3"/>
        <w:ind w:firstLine="420"/>
        <w:jc w:val="center"/>
        <w:rPr>
          <w:color w:val="auto"/>
          <w:highlight w:val="none"/>
        </w:rPr>
      </w:pPr>
      <w:bookmarkStart w:id="40" w:name="_Toc15642"/>
      <w:bookmarkStart w:id="41" w:name="_Toc493511543"/>
      <w:bookmarkStart w:id="42" w:name="_Toc177870535"/>
      <w:r>
        <w:rPr>
          <w:rFonts w:hint="eastAsia"/>
          <w:color w:val="auto"/>
          <w:highlight w:val="none"/>
        </w:rPr>
        <w:t>电子交易注意事项</w:t>
      </w:r>
      <w:bookmarkEnd w:id="40"/>
    </w:p>
    <w:p w14:paraId="7493EFD0">
      <w:pPr>
        <w:ind w:firstLine="210" w:firstLineChars="100"/>
        <w:rPr>
          <w:rFonts w:ascii="微软雅黑" w:hAnsi="微软雅黑"/>
          <w:color w:val="auto"/>
          <w:szCs w:val="21"/>
          <w:highlight w:val="none"/>
          <w:shd w:val="clear" w:color="auto" w:fill="FFFFFF"/>
        </w:rPr>
      </w:pPr>
      <w:r>
        <w:rPr>
          <w:rFonts w:hint="eastAsia" w:ascii="微软雅黑" w:hAnsi="微软雅黑"/>
          <w:color w:val="auto"/>
          <w:szCs w:val="21"/>
          <w:highlight w:val="none"/>
          <w:shd w:val="clear" w:color="auto" w:fill="FFFFFF"/>
        </w:rPr>
        <w:t>政府采购项目电子交易活动适用《浙江省政府采购项目电子交易管理暂行办法》，现将相关注意事项告知如下：</w:t>
      </w:r>
    </w:p>
    <w:p w14:paraId="6A63ED28">
      <w:pPr>
        <w:ind w:firstLine="210" w:firstLineChars="100"/>
        <w:rPr>
          <w:rFonts w:ascii="微软雅黑" w:hAnsi="微软雅黑"/>
          <w:color w:val="auto"/>
          <w:szCs w:val="21"/>
          <w:highlight w:val="none"/>
        </w:rPr>
      </w:pPr>
      <w:r>
        <w:rPr>
          <w:rFonts w:hint="eastAsia" w:ascii="微软雅黑" w:hAnsi="微软雅黑"/>
          <w:color w:val="auto"/>
          <w:szCs w:val="21"/>
          <w:highlight w:val="none"/>
        </w:rPr>
        <w:t>　1.代理机构按照招标文件规定的时间通过电子交易平台组织开标、开启投标文件，所有供应商均应当准时在线参加，直至评审结束。</w:t>
      </w:r>
    </w:p>
    <w:p w14:paraId="168DF545">
      <w:pPr>
        <w:pStyle w:val="47"/>
        <w:spacing w:beforeAutospacing="0" w:after="120" w:afterAutospacing="0"/>
        <w:ind w:firstLine="210" w:firstLineChars="100"/>
        <w:rPr>
          <w:rFonts w:ascii="微软雅黑" w:hAnsi="微软雅黑"/>
          <w:color w:val="auto"/>
          <w:kern w:val="2"/>
          <w:sz w:val="21"/>
          <w:szCs w:val="21"/>
          <w:highlight w:val="none"/>
        </w:rPr>
      </w:pPr>
      <w:r>
        <w:rPr>
          <w:rFonts w:hint="eastAsia" w:ascii="微软雅黑" w:hAnsi="微软雅黑"/>
          <w:color w:val="auto"/>
          <w:kern w:val="2"/>
          <w:sz w:val="21"/>
          <w:szCs w:val="21"/>
          <w:highlight w:val="none"/>
        </w:rPr>
        <w:t>　2. 投标文件未按时解密，供应商如提供备份投标文件的，以符合要求的备份投标文件作为依据，否则视为投标文件撤回。投标文件已按时解密的，备份投标文件自动失效。</w:t>
      </w:r>
    </w:p>
    <w:p w14:paraId="5F071475">
      <w:pPr>
        <w:pStyle w:val="47"/>
        <w:spacing w:beforeAutospacing="0" w:after="120" w:afterAutospacing="0"/>
        <w:ind w:firstLine="210" w:firstLineChars="100"/>
        <w:rPr>
          <w:rFonts w:ascii="微软雅黑" w:hAnsi="微软雅黑"/>
          <w:color w:val="auto"/>
          <w:kern w:val="2"/>
          <w:sz w:val="21"/>
          <w:szCs w:val="21"/>
          <w:highlight w:val="none"/>
        </w:rPr>
      </w:pPr>
      <w:r>
        <w:rPr>
          <w:rFonts w:hint="eastAsia" w:ascii="微软雅黑" w:hAnsi="微软雅黑"/>
          <w:color w:val="auto"/>
          <w:kern w:val="2"/>
          <w:sz w:val="21"/>
          <w:szCs w:val="21"/>
          <w:highlight w:val="none"/>
        </w:rPr>
        <w:t>　3. 采购过程中出现以下情形，导致电子交易平台无法正常运行，或者无法保证电子交易的公平、公正和安全时，代理机构可中止电子交易活动：</w:t>
      </w:r>
    </w:p>
    <w:p w14:paraId="2DA8B5C8">
      <w:pPr>
        <w:pStyle w:val="47"/>
        <w:spacing w:beforeAutospacing="0" w:after="120" w:afterAutospacing="0"/>
        <w:ind w:firstLine="420"/>
        <w:rPr>
          <w:rFonts w:ascii="微软雅黑" w:hAnsi="微软雅黑"/>
          <w:color w:val="auto"/>
          <w:kern w:val="2"/>
          <w:sz w:val="21"/>
          <w:szCs w:val="21"/>
          <w:highlight w:val="none"/>
        </w:rPr>
      </w:pPr>
      <w:r>
        <w:rPr>
          <w:rFonts w:hint="eastAsia" w:ascii="微软雅黑" w:hAnsi="微软雅黑"/>
          <w:color w:val="auto"/>
          <w:kern w:val="2"/>
          <w:sz w:val="21"/>
          <w:szCs w:val="21"/>
          <w:highlight w:val="none"/>
        </w:rPr>
        <w:t>（一）电子交易平台发生故障而无法登录访问的。</w:t>
      </w:r>
    </w:p>
    <w:p w14:paraId="3C527500">
      <w:pPr>
        <w:pStyle w:val="47"/>
        <w:spacing w:beforeAutospacing="0" w:after="120" w:afterAutospacing="0"/>
        <w:ind w:firstLine="420"/>
        <w:rPr>
          <w:rFonts w:ascii="微软雅黑" w:hAnsi="微软雅黑"/>
          <w:color w:val="auto"/>
          <w:kern w:val="2"/>
          <w:sz w:val="21"/>
          <w:szCs w:val="21"/>
          <w:highlight w:val="none"/>
        </w:rPr>
      </w:pPr>
      <w:r>
        <w:rPr>
          <w:rFonts w:hint="eastAsia" w:ascii="微软雅黑" w:hAnsi="微软雅黑"/>
          <w:color w:val="auto"/>
          <w:kern w:val="2"/>
          <w:sz w:val="21"/>
          <w:szCs w:val="21"/>
          <w:highlight w:val="none"/>
        </w:rPr>
        <w:t>（二）电子交易平台应用或数据库出现错误，不能进行正常操作的。</w:t>
      </w:r>
    </w:p>
    <w:p w14:paraId="425F5572">
      <w:pPr>
        <w:pStyle w:val="47"/>
        <w:spacing w:beforeAutospacing="0" w:after="120" w:afterAutospacing="0"/>
        <w:ind w:firstLine="420"/>
        <w:rPr>
          <w:rFonts w:ascii="微软雅黑" w:hAnsi="微软雅黑"/>
          <w:color w:val="auto"/>
          <w:kern w:val="2"/>
          <w:sz w:val="21"/>
          <w:szCs w:val="21"/>
          <w:highlight w:val="none"/>
        </w:rPr>
      </w:pPr>
      <w:r>
        <w:rPr>
          <w:rFonts w:hint="eastAsia" w:ascii="微软雅黑" w:hAnsi="微软雅黑"/>
          <w:color w:val="auto"/>
          <w:kern w:val="2"/>
          <w:sz w:val="21"/>
          <w:szCs w:val="21"/>
          <w:highlight w:val="none"/>
        </w:rPr>
        <w:t>（三）电子交易平台发现严重安全漏洞，有潜在泄密危险的。</w:t>
      </w:r>
    </w:p>
    <w:p w14:paraId="5E5DC516">
      <w:pPr>
        <w:pStyle w:val="47"/>
        <w:spacing w:beforeAutospacing="0" w:after="120" w:afterAutospacing="0"/>
        <w:ind w:firstLine="420"/>
        <w:rPr>
          <w:rFonts w:ascii="微软雅黑" w:hAnsi="微软雅黑"/>
          <w:color w:val="auto"/>
          <w:kern w:val="2"/>
          <w:sz w:val="21"/>
          <w:szCs w:val="21"/>
          <w:highlight w:val="none"/>
        </w:rPr>
      </w:pPr>
      <w:r>
        <w:rPr>
          <w:rFonts w:hint="eastAsia" w:ascii="微软雅黑" w:hAnsi="微软雅黑"/>
          <w:color w:val="auto"/>
          <w:kern w:val="2"/>
          <w:sz w:val="21"/>
          <w:szCs w:val="21"/>
          <w:highlight w:val="none"/>
        </w:rPr>
        <w:t>（四）病毒发作导致不能进行正常操作的。 </w:t>
      </w:r>
    </w:p>
    <w:p w14:paraId="4E5ED28E">
      <w:pPr>
        <w:pStyle w:val="47"/>
        <w:spacing w:beforeAutospacing="0" w:after="120" w:afterAutospacing="0"/>
        <w:ind w:firstLine="420"/>
        <w:rPr>
          <w:rFonts w:ascii="微软雅黑" w:hAnsi="微软雅黑"/>
          <w:color w:val="auto"/>
          <w:kern w:val="2"/>
          <w:sz w:val="21"/>
          <w:szCs w:val="21"/>
          <w:highlight w:val="none"/>
        </w:rPr>
      </w:pPr>
      <w:r>
        <w:rPr>
          <w:rFonts w:hint="eastAsia" w:ascii="微软雅黑" w:hAnsi="微软雅黑"/>
          <w:color w:val="auto"/>
          <w:kern w:val="2"/>
          <w:sz w:val="21"/>
          <w:szCs w:val="21"/>
          <w:highlight w:val="none"/>
        </w:rPr>
        <w:t>（五）其他无法保证电子交易的公平、公正和安全的情况。</w:t>
      </w:r>
    </w:p>
    <w:p w14:paraId="26C06B34">
      <w:pPr>
        <w:pStyle w:val="47"/>
        <w:spacing w:beforeAutospacing="0" w:after="120" w:afterAutospacing="0"/>
        <w:ind w:firstLine="420"/>
        <w:rPr>
          <w:rFonts w:ascii="微软雅黑" w:hAnsi="微软雅黑"/>
          <w:color w:val="auto"/>
          <w:kern w:val="2"/>
          <w:sz w:val="21"/>
          <w:szCs w:val="21"/>
          <w:highlight w:val="none"/>
        </w:rPr>
      </w:pPr>
      <w:r>
        <w:rPr>
          <w:rFonts w:hint="eastAsia" w:ascii="微软雅黑" w:hAnsi="微软雅黑"/>
          <w:color w:val="auto"/>
          <w:kern w:val="2"/>
          <w:sz w:val="21"/>
          <w:szCs w:val="21"/>
          <w:highlight w:val="none"/>
        </w:rPr>
        <w:t>出现前款规定情形，不影响采购公平、公正性的，代理机构可以待上述情形消除后继续组织电子交易活动，也可以决定某些环节以纸质形式进行；影响或可能影响采购公平、公正性的，应当重新采购。</w:t>
      </w:r>
    </w:p>
    <w:p w14:paraId="3EDD66A8">
      <w:pPr>
        <w:pStyle w:val="47"/>
        <w:numPr>
          <w:ilvl w:val="0"/>
          <w:numId w:val="24"/>
        </w:numPr>
        <w:spacing w:beforeAutospacing="0" w:after="120" w:afterAutospacing="0" w:line="560" w:lineRule="exact"/>
        <w:ind w:firstLineChars="0"/>
        <w:rPr>
          <w:rFonts w:ascii="微软雅黑" w:hAnsi="微软雅黑"/>
          <w:color w:val="auto"/>
          <w:sz w:val="21"/>
          <w:szCs w:val="21"/>
          <w:highlight w:val="none"/>
        </w:rPr>
      </w:pPr>
      <w:r>
        <w:rPr>
          <w:rFonts w:hint="eastAsia" w:ascii="微软雅黑" w:hAnsi="微软雅黑"/>
          <w:color w:val="auto"/>
          <w:sz w:val="21"/>
          <w:szCs w:val="21"/>
          <w:highlight w:val="none"/>
          <w:shd w:val="clear" w:color="auto" w:fill="FFFFFF"/>
        </w:rPr>
        <w:t>评审中需要供应商对投标文件作出澄清、说明或者补正的，评审小组和供应商应当通过电子交易平台交换数据电文。供应商需在半小时内提交澄清说明或补正，供应商已经明确表示澄清说明或补正完毕的除外。</w:t>
      </w:r>
    </w:p>
    <w:p w14:paraId="59AB85FF">
      <w:pPr>
        <w:ind w:left="238" w:firstLine="420"/>
        <w:jc w:val="center"/>
        <w:rPr>
          <w:rFonts w:ascii="微软雅黑" w:hAnsi="微软雅黑"/>
          <w:b/>
          <w:color w:val="auto"/>
          <w:szCs w:val="21"/>
          <w:highlight w:val="none"/>
        </w:rPr>
        <w:sectPr>
          <w:pgSz w:w="11907" w:h="16840"/>
          <w:pgMar w:top="1474" w:right="1797" w:bottom="1247" w:left="1797" w:header="851" w:footer="851" w:gutter="0"/>
          <w:cols w:space="720" w:num="1"/>
          <w:docGrid w:linePitch="312" w:charSpace="0"/>
        </w:sectPr>
      </w:pPr>
    </w:p>
    <w:p w14:paraId="3E59E8CF">
      <w:pPr>
        <w:ind w:left="238" w:firstLine="420"/>
        <w:jc w:val="center"/>
        <w:rPr>
          <w:rFonts w:ascii="微软雅黑" w:hAnsi="微软雅黑"/>
          <w:b/>
          <w:color w:val="auto"/>
          <w:szCs w:val="21"/>
          <w:highlight w:val="none"/>
        </w:rPr>
        <w:sectPr>
          <w:footerReference r:id="rId20" w:type="first"/>
          <w:footerReference r:id="rId19" w:type="default"/>
          <w:type w:val="continuous"/>
          <w:pgSz w:w="11907" w:h="16840"/>
          <w:pgMar w:top="1474" w:right="1797" w:bottom="1247" w:left="1797" w:header="851" w:footer="851" w:gutter="0"/>
          <w:cols w:space="720" w:num="1"/>
          <w:docGrid w:linePitch="312" w:charSpace="0"/>
        </w:sectPr>
      </w:pPr>
      <w:bookmarkStart w:id="43" w:name="_Toc9927"/>
    </w:p>
    <w:p w14:paraId="76E25793">
      <w:pPr>
        <w:ind w:left="238" w:firstLine="420"/>
        <w:jc w:val="center"/>
        <w:outlineLvl w:val="1"/>
        <w:rPr>
          <w:rFonts w:ascii="微软雅黑" w:hAnsi="微软雅黑"/>
          <w:b/>
          <w:color w:val="auto"/>
          <w:szCs w:val="21"/>
          <w:highlight w:val="none"/>
        </w:rPr>
      </w:pPr>
      <w:r>
        <w:rPr>
          <w:rFonts w:hint="eastAsia" w:ascii="微软雅黑" w:hAnsi="微软雅黑"/>
          <w:b/>
          <w:color w:val="auto"/>
          <w:szCs w:val="21"/>
          <w:highlight w:val="none"/>
        </w:rPr>
        <w:t>前附表</w:t>
      </w:r>
      <w:bookmarkEnd w:id="41"/>
      <w:bookmarkEnd w:id="42"/>
      <w:bookmarkEnd w:id="43"/>
    </w:p>
    <w:tbl>
      <w:tblPr>
        <w:tblStyle w:val="52"/>
        <w:tblW w:w="8567" w:type="dxa"/>
        <w:tblInd w:w="108"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28" w:type="dxa"/>
          <w:bottom w:w="0" w:type="dxa"/>
          <w:right w:w="28" w:type="dxa"/>
        </w:tblCellMar>
      </w:tblPr>
      <w:tblGrid>
        <w:gridCol w:w="629"/>
        <w:gridCol w:w="1798"/>
        <w:gridCol w:w="6140"/>
      </w:tblGrid>
      <w:tr w14:paraId="58C7047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90" w:hRule="atLeast"/>
          <w:tblHeader/>
        </w:trPr>
        <w:tc>
          <w:tcPr>
            <w:tcW w:w="629" w:type="dxa"/>
            <w:tcBorders>
              <w:tl2br w:val="nil"/>
              <w:tr2bl w:val="nil"/>
            </w:tcBorders>
          </w:tcPr>
          <w:p w14:paraId="6446AC32">
            <w:pPr>
              <w:snapToGrid w:val="0"/>
              <w:spacing w:line="240" w:lineRule="auto"/>
              <w:ind w:firstLine="0" w:firstLineChars="0"/>
              <w:jc w:val="center"/>
              <w:rPr>
                <w:rFonts w:ascii="微软雅黑" w:hAnsi="微软雅黑" w:cs="仿宋_GB2312"/>
                <w:b/>
                <w:color w:val="auto"/>
                <w:szCs w:val="21"/>
                <w:highlight w:val="none"/>
              </w:rPr>
            </w:pPr>
            <w:r>
              <w:rPr>
                <w:rFonts w:hint="eastAsia" w:ascii="微软雅黑" w:hAnsi="微软雅黑" w:cs="仿宋_GB2312"/>
                <w:b/>
                <w:color w:val="auto"/>
                <w:szCs w:val="21"/>
                <w:highlight w:val="none"/>
              </w:rPr>
              <w:t>序号</w:t>
            </w:r>
          </w:p>
        </w:tc>
        <w:tc>
          <w:tcPr>
            <w:tcW w:w="1798" w:type="dxa"/>
            <w:tcBorders>
              <w:tl2br w:val="nil"/>
              <w:tr2bl w:val="nil"/>
            </w:tcBorders>
            <w:vAlign w:val="center"/>
          </w:tcPr>
          <w:p w14:paraId="0648D581">
            <w:pPr>
              <w:snapToGrid w:val="0"/>
              <w:spacing w:line="240" w:lineRule="auto"/>
              <w:ind w:firstLine="0" w:firstLineChars="0"/>
              <w:jc w:val="center"/>
              <w:rPr>
                <w:rFonts w:ascii="微软雅黑" w:hAnsi="微软雅黑" w:cs="仿宋_GB2312"/>
                <w:b/>
                <w:color w:val="auto"/>
                <w:szCs w:val="21"/>
                <w:highlight w:val="none"/>
              </w:rPr>
            </w:pPr>
            <w:r>
              <w:rPr>
                <w:rFonts w:hint="eastAsia" w:ascii="微软雅黑" w:hAnsi="微软雅黑" w:cs="仿宋_GB2312"/>
                <w:b/>
                <w:color w:val="auto"/>
                <w:szCs w:val="21"/>
                <w:highlight w:val="none"/>
              </w:rPr>
              <w:t>事项</w:t>
            </w:r>
          </w:p>
        </w:tc>
        <w:tc>
          <w:tcPr>
            <w:tcW w:w="6140" w:type="dxa"/>
            <w:tcBorders>
              <w:tl2br w:val="nil"/>
              <w:tr2bl w:val="nil"/>
            </w:tcBorders>
            <w:vAlign w:val="center"/>
          </w:tcPr>
          <w:p w14:paraId="33337973">
            <w:pPr>
              <w:snapToGrid w:val="0"/>
              <w:spacing w:line="240" w:lineRule="auto"/>
              <w:ind w:firstLine="0" w:firstLineChars="0"/>
              <w:jc w:val="center"/>
              <w:rPr>
                <w:rFonts w:ascii="微软雅黑" w:hAnsi="微软雅黑" w:cs="仿宋_GB2312"/>
                <w:b/>
                <w:color w:val="auto"/>
                <w:szCs w:val="21"/>
                <w:highlight w:val="none"/>
              </w:rPr>
            </w:pPr>
            <w:r>
              <w:rPr>
                <w:rFonts w:hint="eastAsia" w:ascii="微软雅黑" w:hAnsi="微软雅黑" w:cs="仿宋_GB2312"/>
                <w:b/>
                <w:color w:val="auto"/>
                <w:szCs w:val="21"/>
                <w:highlight w:val="none"/>
              </w:rPr>
              <w:t>本项目的特别规定</w:t>
            </w:r>
          </w:p>
        </w:tc>
      </w:tr>
      <w:tr w14:paraId="03548F7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90" w:hRule="atLeast"/>
          <w:tblHeader/>
        </w:trPr>
        <w:tc>
          <w:tcPr>
            <w:tcW w:w="629" w:type="dxa"/>
            <w:tcBorders>
              <w:tl2br w:val="nil"/>
              <w:tr2bl w:val="nil"/>
            </w:tcBorders>
            <w:vAlign w:val="center"/>
          </w:tcPr>
          <w:p w14:paraId="66036BAC">
            <w:pPr>
              <w:snapToGrid w:val="0"/>
              <w:spacing w:line="240" w:lineRule="auto"/>
              <w:ind w:firstLine="0" w:firstLineChars="0"/>
              <w:jc w:val="center"/>
              <w:rPr>
                <w:rFonts w:ascii="微软雅黑" w:hAnsi="微软雅黑" w:cs="仿宋_GB2312"/>
                <w:b/>
                <w:color w:val="auto"/>
                <w:szCs w:val="21"/>
                <w:highlight w:val="none"/>
              </w:rPr>
            </w:pPr>
            <w:r>
              <w:rPr>
                <w:rFonts w:hint="eastAsia" w:ascii="微软雅黑" w:hAnsi="微软雅黑" w:cs="仿宋_GB2312"/>
                <w:b/>
                <w:color w:val="auto"/>
                <w:szCs w:val="21"/>
                <w:highlight w:val="none"/>
              </w:rPr>
              <w:t>1</w:t>
            </w:r>
          </w:p>
        </w:tc>
        <w:tc>
          <w:tcPr>
            <w:tcW w:w="1798" w:type="dxa"/>
            <w:tcBorders>
              <w:tl2br w:val="nil"/>
              <w:tr2bl w:val="nil"/>
            </w:tcBorders>
            <w:vAlign w:val="center"/>
          </w:tcPr>
          <w:p w14:paraId="2C469DE5">
            <w:pPr>
              <w:snapToGrid w:val="0"/>
              <w:spacing w:line="240" w:lineRule="auto"/>
              <w:ind w:firstLine="0" w:firstLineChars="0"/>
              <w:jc w:val="center"/>
              <w:rPr>
                <w:rFonts w:ascii="微软雅黑" w:hAnsi="微软雅黑" w:cs="仿宋_GB2312"/>
                <w:b/>
                <w:color w:val="auto"/>
                <w:szCs w:val="21"/>
                <w:highlight w:val="none"/>
              </w:rPr>
            </w:pPr>
            <w:r>
              <w:rPr>
                <w:rFonts w:hint="eastAsia" w:ascii="微软雅黑" w:hAnsi="微软雅黑" w:cs="仿宋_GB2312"/>
                <w:b/>
                <w:color w:val="auto"/>
                <w:szCs w:val="21"/>
                <w:highlight w:val="none"/>
              </w:rPr>
              <w:t>项目名称</w:t>
            </w:r>
          </w:p>
        </w:tc>
        <w:tc>
          <w:tcPr>
            <w:tcW w:w="6140" w:type="dxa"/>
            <w:tcBorders>
              <w:tl2br w:val="nil"/>
              <w:tr2bl w:val="nil"/>
            </w:tcBorders>
            <w:vAlign w:val="center"/>
          </w:tcPr>
          <w:p w14:paraId="2C243010">
            <w:pPr>
              <w:snapToGrid w:val="0"/>
              <w:spacing w:line="240" w:lineRule="auto"/>
              <w:ind w:firstLine="0" w:firstLineChars="0"/>
              <w:rPr>
                <w:rFonts w:hint="eastAsia" w:ascii="微软雅黑" w:hAnsi="微软雅黑" w:eastAsia="微软雅黑" w:cs="仿宋_GB2312"/>
                <w:b/>
                <w:color w:val="auto"/>
                <w:szCs w:val="21"/>
                <w:highlight w:val="none"/>
                <w:lang w:eastAsia="zh-CN"/>
              </w:rPr>
            </w:pPr>
            <w:r>
              <w:rPr>
                <w:rFonts w:hint="eastAsia" w:ascii="微软雅黑" w:hAnsi="微软雅黑"/>
                <w:color w:val="auto"/>
                <w:szCs w:val="21"/>
                <w:highlight w:val="none"/>
                <w:lang w:eastAsia="zh-CN"/>
              </w:rPr>
              <w:t>嘉兴南湖学院化工基础实验室采购项目</w:t>
            </w:r>
          </w:p>
        </w:tc>
      </w:tr>
      <w:tr w14:paraId="3CCC9EA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90" w:hRule="atLeast"/>
          <w:tblHeader/>
        </w:trPr>
        <w:tc>
          <w:tcPr>
            <w:tcW w:w="629" w:type="dxa"/>
            <w:tcBorders>
              <w:tl2br w:val="nil"/>
              <w:tr2bl w:val="nil"/>
            </w:tcBorders>
            <w:vAlign w:val="center"/>
          </w:tcPr>
          <w:p w14:paraId="5E0F62F3">
            <w:pPr>
              <w:snapToGrid w:val="0"/>
              <w:spacing w:line="240" w:lineRule="auto"/>
              <w:ind w:firstLine="0" w:firstLineChars="0"/>
              <w:jc w:val="center"/>
              <w:rPr>
                <w:rFonts w:ascii="微软雅黑" w:hAnsi="微软雅黑" w:cs="仿宋_GB2312"/>
                <w:b/>
                <w:color w:val="auto"/>
                <w:szCs w:val="21"/>
                <w:highlight w:val="none"/>
              </w:rPr>
            </w:pPr>
            <w:r>
              <w:rPr>
                <w:rFonts w:hint="eastAsia" w:ascii="微软雅黑" w:hAnsi="微软雅黑" w:cs="仿宋_GB2312"/>
                <w:b/>
                <w:color w:val="auto"/>
                <w:szCs w:val="21"/>
                <w:highlight w:val="none"/>
              </w:rPr>
              <w:t>2</w:t>
            </w:r>
          </w:p>
        </w:tc>
        <w:tc>
          <w:tcPr>
            <w:tcW w:w="1798" w:type="dxa"/>
            <w:tcBorders>
              <w:tl2br w:val="nil"/>
              <w:tr2bl w:val="nil"/>
            </w:tcBorders>
            <w:vAlign w:val="center"/>
          </w:tcPr>
          <w:p w14:paraId="0F53E504">
            <w:pPr>
              <w:snapToGrid w:val="0"/>
              <w:spacing w:line="240" w:lineRule="auto"/>
              <w:ind w:firstLine="0" w:firstLineChars="0"/>
              <w:jc w:val="center"/>
              <w:rPr>
                <w:rFonts w:ascii="微软雅黑" w:hAnsi="微软雅黑" w:cs="仿宋_GB2312"/>
                <w:b/>
                <w:color w:val="auto"/>
                <w:szCs w:val="21"/>
                <w:highlight w:val="none"/>
              </w:rPr>
            </w:pPr>
            <w:r>
              <w:rPr>
                <w:rFonts w:hint="eastAsia" w:ascii="微软雅黑" w:hAnsi="微软雅黑" w:cs="仿宋_GB2312"/>
                <w:b/>
                <w:color w:val="auto"/>
                <w:szCs w:val="21"/>
                <w:highlight w:val="none"/>
              </w:rPr>
              <w:t>采购内容</w:t>
            </w:r>
          </w:p>
        </w:tc>
        <w:tc>
          <w:tcPr>
            <w:tcW w:w="6140" w:type="dxa"/>
            <w:tcBorders>
              <w:tl2br w:val="nil"/>
              <w:tr2bl w:val="nil"/>
            </w:tcBorders>
            <w:vAlign w:val="center"/>
          </w:tcPr>
          <w:p w14:paraId="208581AD">
            <w:pPr>
              <w:snapToGrid w:val="0"/>
              <w:spacing w:line="240" w:lineRule="auto"/>
              <w:ind w:firstLine="0" w:firstLineChars="0"/>
              <w:jc w:val="center"/>
              <w:rPr>
                <w:rFonts w:ascii="微软雅黑" w:hAnsi="微软雅黑" w:cs="仿宋_GB2312"/>
                <w:b/>
                <w:color w:val="auto"/>
                <w:szCs w:val="21"/>
                <w:highlight w:val="none"/>
              </w:rPr>
            </w:pPr>
            <w:r>
              <w:rPr>
                <w:rFonts w:hint="eastAsia" w:ascii="微软雅黑" w:hAnsi="微软雅黑" w:cs="仿宋_GB2312"/>
                <w:b/>
                <w:color w:val="auto"/>
                <w:szCs w:val="21"/>
                <w:highlight w:val="none"/>
              </w:rPr>
              <w:t>详见第二章</w:t>
            </w:r>
          </w:p>
        </w:tc>
      </w:tr>
      <w:tr w14:paraId="6DE13C3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1713" w:hRule="atLeast"/>
          <w:tblHeader/>
        </w:trPr>
        <w:tc>
          <w:tcPr>
            <w:tcW w:w="629" w:type="dxa"/>
            <w:tcBorders>
              <w:tl2br w:val="nil"/>
              <w:tr2bl w:val="nil"/>
            </w:tcBorders>
            <w:vAlign w:val="center"/>
          </w:tcPr>
          <w:p w14:paraId="10EFD147">
            <w:pPr>
              <w:snapToGrid w:val="0"/>
              <w:spacing w:line="240" w:lineRule="auto"/>
              <w:ind w:firstLine="0" w:firstLineChars="0"/>
              <w:jc w:val="center"/>
              <w:rPr>
                <w:rFonts w:ascii="微软雅黑" w:hAnsi="微软雅黑" w:cs="仿宋_GB2312"/>
                <w:color w:val="auto"/>
                <w:szCs w:val="21"/>
                <w:highlight w:val="none"/>
              </w:rPr>
            </w:pPr>
            <w:r>
              <w:rPr>
                <w:rFonts w:hint="eastAsia" w:ascii="微软雅黑" w:hAnsi="微软雅黑" w:cs="仿宋_GB2312"/>
                <w:color w:val="auto"/>
                <w:szCs w:val="21"/>
                <w:highlight w:val="none"/>
              </w:rPr>
              <w:t>3</w:t>
            </w:r>
          </w:p>
        </w:tc>
        <w:tc>
          <w:tcPr>
            <w:tcW w:w="1798" w:type="dxa"/>
            <w:tcBorders>
              <w:tl2br w:val="nil"/>
              <w:tr2bl w:val="nil"/>
            </w:tcBorders>
            <w:vAlign w:val="center"/>
          </w:tcPr>
          <w:p w14:paraId="5B3C4B63">
            <w:pPr>
              <w:snapToGrid w:val="0"/>
              <w:spacing w:line="240" w:lineRule="auto"/>
              <w:ind w:firstLine="0" w:firstLineChars="0"/>
              <w:jc w:val="center"/>
              <w:rPr>
                <w:rFonts w:ascii="微软雅黑" w:hAnsi="微软雅黑" w:cs="仿宋_GB2312"/>
                <w:b/>
                <w:color w:val="auto"/>
                <w:szCs w:val="21"/>
                <w:highlight w:val="none"/>
              </w:rPr>
            </w:pPr>
            <w:r>
              <w:rPr>
                <w:rFonts w:hint="eastAsia" w:ascii="微软雅黑" w:hAnsi="微软雅黑" w:cs="仿宋_GB2312"/>
                <w:b/>
                <w:color w:val="auto"/>
                <w:szCs w:val="21"/>
                <w:highlight w:val="none"/>
              </w:rPr>
              <w:t>报价要求</w:t>
            </w:r>
          </w:p>
        </w:tc>
        <w:tc>
          <w:tcPr>
            <w:tcW w:w="6140" w:type="dxa"/>
            <w:tcBorders>
              <w:tl2br w:val="nil"/>
              <w:tr2bl w:val="nil"/>
            </w:tcBorders>
            <w:vAlign w:val="center"/>
          </w:tcPr>
          <w:p w14:paraId="3324F074">
            <w:pPr>
              <w:spacing w:line="240" w:lineRule="auto"/>
              <w:ind w:firstLine="0" w:firstLineChars="0"/>
              <w:rPr>
                <w:rFonts w:ascii="微软雅黑" w:hAnsi="微软雅黑" w:cs="宋体"/>
                <w:color w:val="auto"/>
                <w:szCs w:val="21"/>
                <w:highlight w:val="none"/>
                <w:lang w:val="zh-CN"/>
              </w:rPr>
            </w:pPr>
            <w:r>
              <w:rPr>
                <w:rFonts w:hint="eastAsia" w:ascii="微软雅黑" w:hAnsi="微软雅黑" w:cs="宋体"/>
                <w:color w:val="auto"/>
                <w:szCs w:val="21"/>
                <w:highlight w:val="none"/>
                <w:lang w:val="zh-CN"/>
              </w:rPr>
              <w:t>有关本项目实施所需的所有费用（含税费）均计入报价。开标一览表（报价表）是报价的唯一载体。投标文件中价格全部采用人民币报价。招标文件未列明，而投标供应商认为必需的费用也需列入报价。</w:t>
            </w:r>
          </w:p>
          <w:p w14:paraId="2B2963AA">
            <w:pPr>
              <w:spacing w:line="240" w:lineRule="auto"/>
              <w:ind w:firstLine="0" w:firstLineChars="0"/>
              <w:rPr>
                <w:rFonts w:ascii="微软雅黑" w:hAnsi="微软雅黑"/>
                <w:color w:val="auto"/>
                <w:szCs w:val="21"/>
                <w:highlight w:val="none"/>
              </w:rPr>
            </w:pPr>
            <w:r>
              <w:rPr>
                <w:rFonts w:hint="eastAsia" w:ascii="微软雅黑" w:hAnsi="微软雅黑" w:cs="仿宋_GB2312"/>
                <w:b/>
                <w:color w:val="auto"/>
                <w:kern w:val="0"/>
                <w:szCs w:val="21"/>
                <w:highlight w:val="none"/>
                <w:lang w:val="zh-CN"/>
              </w:rPr>
              <w:t>提醒：</w:t>
            </w:r>
            <w:r>
              <w:rPr>
                <w:rFonts w:hint="eastAsia" w:ascii="微软雅黑" w:hAnsi="微软雅黑"/>
                <w:color w:val="auto"/>
                <w:szCs w:val="21"/>
                <w:highlight w:val="none"/>
              </w:rPr>
              <w:t>投标报价是履行合同的最终价格，有关本项目实施所涉及的一切费用均计入报价</w:t>
            </w:r>
            <w:r>
              <w:rPr>
                <w:rFonts w:hint="eastAsia" w:ascii="微软雅黑" w:hAnsi="微软雅黑" w:cs="仿宋_GB2312"/>
                <w:b/>
                <w:color w:val="auto"/>
                <w:kern w:val="0"/>
                <w:szCs w:val="21"/>
                <w:highlight w:val="none"/>
                <w:lang w:val="zh-CN"/>
              </w:rPr>
              <w:t>。</w:t>
            </w:r>
          </w:p>
        </w:tc>
      </w:tr>
      <w:tr w14:paraId="55D3F16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1011" w:hRule="atLeast"/>
          <w:tblHeader/>
        </w:trPr>
        <w:tc>
          <w:tcPr>
            <w:tcW w:w="629" w:type="dxa"/>
            <w:tcBorders>
              <w:tl2br w:val="nil"/>
              <w:tr2bl w:val="nil"/>
            </w:tcBorders>
            <w:vAlign w:val="center"/>
          </w:tcPr>
          <w:p w14:paraId="74CFBA15">
            <w:pPr>
              <w:snapToGrid w:val="0"/>
              <w:spacing w:line="240" w:lineRule="auto"/>
              <w:ind w:firstLine="0" w:firstLineChars="0"/>
              <w:jc w:val="center"/>
              <w:rPr>
                <w:rFonts w:ascii="微软雅黑" w:hAnsi="微软雅黑" w:cs="仿宋_GB2312"/>
                <w:color w:val="auto"/>
                <w:szCs w:val="21"/>
                <w:highlight w:val="none"/>
              </w:rPr>
            </w:pPr>
            <w:r>
              <w:rPr>
                <w:rFonts w:hint="eastAsia" w:ascii="微软雅黑" w:hAnsi="微软雅黑" w:cs="仿宋_GB2312"/>
                <w:color w:val="auto"/>
                <w:szCs w:val="21"/>
                <w:highlight w:val="none"/>
              </w:rPr>
              <w:t>4</w:t>
            </w:r>
          </w:p>
        </w:tc>
        <w:tc>
          <w:tcPr>
            <w:tcW w:w="1798" w:type="dxa"/>
            <w:tcBorders>
              <w:tl2br w:val="nil"/>
              <w:tr2bl w:val="nil"/>
            </w:tcBorders>
            <w:vAlign w:val="center"/>
          </w:tcPr>
          <w:p w14:paraId="6022A925">
            <w:pPr>
              <w:snapToGrid w:val="0"/>
              <w:spacing w:line="240" w:lineRule="auto"/>
              <w:ind w:firstLine="0" w:firstLineChars="0"/>
              <w:jc w:val="center"/>
              <w:rPr>
                <w:rFonts w:ascii="微软雅黑" w:hAnsi="微软雅黑" w:cs="仿宋_GB2312"/>
                <w:b/>
                <w:color w:val="auto"/>
                <w:szCs w:val="21"/>
                <w:highlight w:val="none"/>
              </w:rPr>
            </w:pPr>
            <w:r>
              <w:rPr>
                <w:rFonts w:hint="eastAsia" w:ascii="微软雅黑" w:hAnsi="微软雅黑" w:cs="仿宋_GB2312"/>
                <w:b/>
                <w:color w:val="auto"/>
                <w:szCs w:val="21"/>
                <w:highlight w:val="none"/>
              </w:rPr>
              <w:t>分包</w:t>
            </w:r>
          </w:p>
        </w:tc>
        <w:tc>
          <w:tcPr>
            <w:tcW w:w="6140" w:type="dxa"/>
            <w:tcBorders>
              <w:tl2br w:val="nil"/>
              <w:tr2bl w:val="nil"/>
            </w:tcBorders>
            <w:vAlign w:val="center"/>
          </w:tcPr>
          <w:p w14:paraId="2CBFD17A">
            <w:pPr>
              <w:spacing w:line="240" w:lineRule="auto"/>
              <w:ind w:firstLine="0" w:firstLineChars="0"/>
              <w:rPr>
                <w:rFonts w:ascii="微软雅黑" w:hAnsi="微软雅黑" w:cs="仿宋_GB2312"/>
                <w:color w:val="auto"/>
                <w:szCs w:val="21"/>
                <w:highlight w:val="none"/>
              </w:rPr>
            </w:pPr>
            <w:r>
              <w:rPr>
                <w:rFonts w:ascii="微软雅黑" w:hAnsi="微软雅黑" w:cs="Arial"/>
                <w:color w:val="auto"/>
                <w:kern w:val="0"/>
                <w:szCs w:val="21"/>
                <w:highlight w:val="none"/>
              </w:rPr>
              <w:sym w:font="Wingdings" w:char="00A8"/>
            </w:r>
            <w:r>
              <w:rPr>
                <w:rFonts w:ascii="微软雅黑" w:hAnsi="微软雅黑" w:cs="Arial"/>
                <w:color w:val="auto"/>
                <w:kern w:val="0"/>
                <w:szCs w:val="21"/>
                <w:highlight w:val="none"/>
              </w:rPr>
              <w:t xml:space="preserve"> </w:t>
            </w:r>
            <w:r>
              <w:rPr>
                <w:rFonts w:hint="eastAsia" w:ascii="微软雅黑" w:hAnsi="微软雅黑" w:cs="宋体"/>
                <w:color w:val="auto"/>
                <w:szCs w:val="21"/>
                <w:highlight w:val="none"/>
                <w:lang w:val="zh-CN"/>
              </w:rPr>
              <w:t>A同意将非主体、非关键性的</w:t>
            </w:r>
            <w:r>
              <w:rPr>
                <w:rFonts w:hint="eastAsia" w:ascii="微软雅黑" w:hAnsi="微软雅黑" w:cs="宋体"/>
                <w:color w:val="auto"/>
                <w:szCs w:val="21"/>
                <w:highlight w:val="none"/>
                <w:u w:val="single"/>
                <w:lang w:val="zh-CN"/>
              </w:rPr>
              <w:t xml:space="preserve">             </w:t>
            </w:r>
            <w:r>
              <w:rPr>
                <w:rFonts w:hint="eastAsia" w:ascii="微软雅黑" w:hAnsi="微软雅黑" w:cs="宋体"/>
                <w:color w:val="auto"/>
                <w:szCs w:val="21"/>
                <w:highlight w:val="none"/>
                <w:lang w:val="zh-CN"/>
              </w:rPr>
              <w:t>工作分包。</w:t>
            </w:r>
            <w:r>
              <w:rPr>
                <w:rFonts w:ascii="微软雅黑" w:hAnsi="微软雅黑" w:cs="Arial"/>
                <w:color w:val="auto"/>
                <w:kern w:val="0"/>
                <w:szCs w:val="21"/>
                <w:highlight w:val="none"/>
              </w:rPr>
              <w:sym w:font="Wingdings" w:char="00FE"/>
            </w:r>
            <w:r>
              <w:rPr>
                <w:rFonts w:ascii="微软雅黑" w:hAnsi="微软雅黑" w:cs="Arial"/>
                <w:color w:val="auto"/>
                <w:kern w:val="0"/>
                <w:szCs w:val="21"/>
                <w:highlight w:val="none"/>
              </w:rPr>
              <w:t xml:space="preserve"> </w:t>
            </w:r>
            <w:r>
              <w:rPr>
                <w:rFonts w:hint="eastAsia" w:ascii="微软雅黑" w:hAnsi="微软雅黑" w:cs="宋体"/>
                <w:color w:val="auto"/>
                <w:szCs w:val="21"/>
                <w:highlight w:val="none"/>
                <w:lang w:val="zh-CN"/>
              </w:rPr>
              <w:t>B不同意分包。</w:t>
            </w:r>
          </w:p>
        </w:tc>
      </w:tr>
      <w:tr w14:paraId="6FC0BC3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90" w:hRule="atLeast"/>
          <w:tblHeader/>
        </w:trPr>
        <w:tc>
          <w:tcPr>
            <w:tcW w:w="629" w:type="dxa"/>
            <w:tcBorders>
              <w:tl2br w:val="nil"/>
              <w:tr2bl w:val="nil"/>
            </w:tcBorders>
            <w:vAlign w:val="center"/>
          </w:tcPr>
          <w:p w14:paraId="3EE13CE9">
            <w:pPr>
              <w:snapToGrid w:val="0"/>
              <w:spacing w:line="240" w:lineRule="auto"/>
              <w:ind w:firstLine="0" w:firstLineChars="0"/>
              <w:jc w:val="center"/>
              <w:rPr>
                <w:rFonts w:ascii="微软雅黑" w:hAnsi="微软雅黑" w:cs="仿宋_GB2312"/>
                <w:color w:val="auto"/>
                <w:szCs w:val="21"/>
                <w:highlight w:val="none"/>
              </w:rPr>
            </w:pPr>
          </w:p>
          <w:p w14:paraId="61EA8278">
            <w:pPr>
              <w:snapToGrid w:val="0"/>
              <w:spacing w:line="240" w:lineRule="auto"/>
              <w:ind w:firstLine="0" w:firstLineChars="0"/>
              <w:jc w:val="center"/>
              <w:rPr>
                <w:rFonts w:ascii="微软雅黑" w:hAnsi="微软雅黑" w:cs="仿宋_GB2312"/>
                <w:color w:val="auto"/>
                <w:szCs w:val="21"/>
                <w:highlight w:val="none"/>
              </w:rPr>
            </w:pPr>
            <w:r>
              <w:rPr>
                <w:rFonts w:hint="eastAsia" w:ascii="微软雅黑" w:hAnsi="微软雅黑" w:cs="仿宋_GB2312"/>
                <w:color w:val="auto"/>
                <w:szCs w:val="21"/>
                <w:highlight w:val="none"/>
              </w:rPr>
              <w:t>5</w:t>
            </w:r>
          </w:p>
        </w:tc>
        <w:tc>
          <w:tcPr>
            <w:tcW w:w="1798" w:type="dxa"/>
            <w:tcBorders>
              <w:tl2br w:val="nil"/>
              <w:tr2bl w:val="nil"/>
            </w:tcBorders>
            <w:vAlign w:val="center"/>
          </w:tcPr>
          <w:p w14:paraId="7C9C2EE6">
            <w:pPr>
              <w:snapToGrid w:val="0"/>
              <w:spacing w:line="240" w:lineRule="auto"/>
              <w:ind w:firstLine="0" w:firstLineChars="0"/>
              <w:jc w:val="center"/>
              <w:rPr>
                <w:rFonts w:ascii="微软雅黑" w:hAnsi="微软雅黑" w:cs="仿宋_GB2312"/>
                <w:b/>
                <w:color w:val="auto"/>
                <w:szCs w:val="21"/>
                <w:highlight w:val="none"/>
              </w:rPr>
            </w:pPr>
            <w:r>
              <w:rPr>
                <w:rFonts w:hint="eastAsia" w:ascii="微软雅黑" w:hAnsi="微软雅黑" w:cs="仿宋_GB2312"/>
                <w:b/>
                <w:color w:val="auto"/>
                <w:szCs w:val="21"/>
                <w:highlight w:val="none"/>
              </w:rPr>
              <w:t>开标前答疑会或现场踏勘</w:t>
            </w:r>
          </w:p>
        </w:tc>
        <w:tc>
          <w:tcPr>
            <w:tcW w:w="6140" w:type="dxa"/>
            <w:tcBorders>
              <w:tl2br w:val="nil"/>
              <w:tr2bl w:val="nil"/>
            </w:tcBorders>
            <w:vAlign w:val="center"/>
          </w:tcPr>
          <w:p w14:paraId="0EC030AF">
            <w:pPr>
              <w:spacing w:line="240" w:lineRule="auto"/>
              <w:ind w:firstLine="0" w:firstLineChars="0"/>
              <w:rPr>
                <w:rFonts w:ascii="微软雅黑" w:hAnsi="微软雅黑"/>
                <w:color w:val="auto"/>
                <w:szCs w:val="21"/>
                <w:highlight w:val="none"/>
              </w:rPr>
            </w:pPr>
            <w:r>
              <w:rPr>
                <w:rFonts w:ascii="微软雅黑" w:hAnsi="微软雅黑" w:cs="Arial"/>
                <w:color w:val="auto"/>
                <w:kern w:val="0"/>
                <w:szCs w:val="21"/>
                <w:highlight w:val="none"/>
              </w:rPr>
              <w:sym w:font="Wingdings" w:char="00A8"/>
            </w:r>
            <w:r>
              <w:rPr>
                <w:rFonts w:hint="eastAsia" w:ascii="微软雅黑" w:hAnsi="微软雅黑" w:cs="宋体"/>
                <w:color w:val="auto"/>
                <w:szCs w:val="21"/>
                <w:highlight w:val="none"/>
                <w:lang w:val="zh-CN"/>
              </w:rPr>
              <w:t>A不组织。</w:t>
            </w:r>
          </w:p>
          <w:p w14:paraId="7E185840">
            <w:pPr>
              <w:spacing w:line="240" w:lineRule="auto"/>
              <w:ind w:firstLine="0" w:firstLineChars="0"/>
              <w:rPr>
                <w:rFonts w:ascii="微软雅黑" w:hAnsi="微软雅黑"/>
                <w:color w:val="auto"/>
                <w:szCs w:val="21"/>
                <w:highlight w:val="none"/>
              </w:rPr>
            </w:pPr>
            <w:r>
              <w:rPr>
                <w:rFonts w:ascii="微软雅黑" w:hAnsi="微软雅黑" w:cs="Arial"/>
                <w:color w:val="auto"/>
                <w:kern w:val="0"/>
                <w:szCs w:val="21"/>
                <w:highlight w:val="none"/>
              </w:rPr>
              <w:sym w:font="Wingdings" w:char="00A8"/>
            </w:r>
            <w:r>
              <w:rPr>
                <w:rFonts w:hint="eastAsia" w:ascii="微软雅黑" w:hAnsi="微软雅黑" w:cs="宋体"/>
                <w:color w:val="auto"/>
                <w:szCs w:val="21"/>
                <w:highlight w:val="none"/>
                <w:lang w:val="zh-CN"/>
              </w:rPr>
              <w:t>B组织</w:t>
            </w:r>
            <w:r>
              <w:rPr>
                <w:rFonts w:hint="eastAsia" w:ascii="微软雅黑" w:hAnsi="微软雅黑"/>
                <w:color w:val="auto"/>
                <w:szCs w:val="21"/>
                <w:highlight w:val="none"/>
              </w:rPr>
              <w:t>。</w:t>
            </w:r>
          </w:p>
          <w:p w14:paraId="06FE95AD">
            <w:pPr>
              <w:spacing w:line="240" w:lineRule="auto"/>
              <w:ind w:firstLine="0" w:firstLineChars="0"/>
              <w:rPr>
                <w:color w:val="auto"/>
                <w:highlight w:val="none"/>
              </w:rPr>
            </w:pPr>
            <w:r>
              <w:rPr>
                <w:rFonts w:ascii="微软雅黑" w:hAnsi="微软雅黑" w:cs="Arial"/>
                <w:color w:val="auto"/>
                <w:kern w:val="0"/>
                <w:szCs w:val="21"/>
                <w:highlight w:val="none"/>
              </w:rPr>
              <w:sym w:font="Wingdings" w:char="00FE"/>
            </w:r>
            <w:r>
              <w:rPr>
                <w:rFonts w:hint="eastAsia" w:ascii="微软雅黑" w:hAnsi="微软雅黑" w:cs="宋体"/>
                <w:color w:val="auto"/>
                <w:szCs w:val="21"/>
                <w:highlight w:val="none"/>
              </w:rPr>
              <w:t>C其他</w:t>
            </w:r>
            <w:r>
              <w:rPr>
                <w:rFonts w:hint="eastAsia" w:ascii="微软雅黑" w:hAnsi="微软雅黑" w:cs="宋体"/>
                <w:color w:val="auto"/>
                <w:szCs w:val="21"/>
                <w:highlight w:val="none"/>
                <w:lang w:val="zh-CN"/>
              </w:rPr>
              <w:t>。</w:t>
            </w:r>
            <w:r>
              <w:rPr>
                <w:rFonts w:hint="eastAsia" w:ascii="微软雅黑" w:hAnsi="微软雅黑"/>
                <w:color w:val="auto"/>
                <w:szCs w:val="21"/>
                <w:highlight w:val="none"/>
                <w:lang w:val="zh-CN"/>
              </w:rPr>
              <w:t>本项目（</w:t>
            </w:r>
            <w:r>
              <w:rPr>
                <w:rFonts w:hint="eastAsia" w:ascii="微软雅黑" w:hAnsi="微软雅黑"/>
                <w:color w:val="auto"/>
                <w:szCs w:val="21"/>
                <w:highlight w:val="none"/>
              </w:rPr>
              <w:t>标项一、二）</w:t>
            </w:r>
            <w:r>
              <w:rPr>
                <w:rFonts w:hint="eastAsia" w:ascii="微软雅黑" w:hAnsi="微软雅黑"/>
                <w:color w:val="auto"/>
                <w:szCs w:val="21"/>
                <w:highlight w:val="none"/>
                <w:lang w:val="zh-CN"/>
              </w:rPr>
              <w:t>自行进行现场踏勘，联系人及联系电话同采购方联系人。（招标文件中不能详细表述的不可预见费用、招标需求等，投标供应商需通过现场踏勘后考虑在最终报价内，否则后果由中标供应商自负）</w:t>
            </w:r>
          </w:p>
        </w:tc>
      </w:tr>
      <w:tr w14:paraId="202E274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97" w:hRule="atLeast"/>
          <w:tblHeader/>
        </w:trPr>
        <w:tc>
          <w:tcPr>
            <w:tcW w:w="629" w:type="dxa"/>
            <w:tcBorders>
              <w:tl2br w:val="nil"/>
              <w:tr2bl w:val="nil"/>
            </w:tcBorders>
            <w:vAlign w:val="center"/>
          </w:tcPr>
          <w:p w14:paraId="5001E79E">
            <w:pPr>
              <w:snapToGrid w:val="0"/>
              <w:spacing w:line="240" w:lineRule="auto"/>
              <w:ind w:firstLine="0" w:firstLineChars="0"/>
              <w:jc w:val="center"/>
              <w:rPr>
                <w:rFonts w:ascii="微软雅黑" w:hAnsi="微软雅黑" w:cs="仿宋_GB2312"/>
                <w:color w:val="auto"/>
                <w:szCs w:val="21"/>
                <w:highlight w:val="none"/>
              </w:rPr>
            </w:pPr>
            <w:r>
              <w:rPr>
                <w:rFonts w:hint="eastAsia" w:ascii="微软雅黑" w:hAnsi="微软雅黑" w:cs="仿宋_GB2312"/>
                <w:color w:val="auto"/>
                <w:szCs w:val="21"/>
                <w:highlight w:val="none"/>
              </w:rPr>
              <w:t>6</w:t>
            </w:r>
          </w:p>
        </w:tc>
        <w:tc>
          <w:tcPr>
            <w:tcW w:w="1798" w:type="dxa"/>
            <w:tcBorders>
              <w:tl2br w:val="nil"/>
              <w:tr2bl w:val="nil"/>
            </w:tcBorders>
            <w:vAlign w:val="center"/>
          </w:tcPr>
          <w:p w14:paraId="741F7DA0">
            <w:pPr>
              <w:snapToGrid w:val="0"/>
              <w:spacing w:line="240" w:lineRule="auto"/>
              <w:ind w:firstLine="0" w:firstLineChars="0"/>
              <w:jc w:val="center"/>
              <w:rPr>
                <w:rFonts w:ascii="微软雅黑" w:hAnsi="微软雅黑" w:cs="仿宋_GB2312"/>
                <w:b/>
                <w:color w:val="auto"/>
                <w:szCs w:val="21"/>
                <w:highlight w:val="none"/>
              </w:rPr>
            </w:pPr>
            <w:r>
              <w:rPr>
                <w:rFonts w:hint="eastAsia" w:ascii="微软雅黑" w:hAnsi="微软雅黑" w:cs="仿宋_GB2312"/>
                <w:b/>
                <w:color w:val="auto"/>
                <w:szCs w:val="21"/>
                <w:highlight w:val="none"/>
              </w:rPr>
              <w:t>投标</w:t>
            </w:r>
            <w:r>
              <w:rPr>
                <w:rFonts w:hint="eastAsia" w:ascii="微软雅黑" w:hAnsi="微软雅黑" w:cs="仿宋_GB2312"/>
                <w:b/>
                <w:color w:val="auto"/>
                <w:szCs w:val="21"/>
                <w:highlight w:val="none"/>
                <w:lang w:val="zh-CN"/>
              </w:rPr>
              <w:t>文件组成</w:t>
            </w:r>
          </w:p>
        </w:tc>
        <w:tc>
          <w:tcPr>
            <w:tcW w:w="6140" w:type="dxa"/>
            <w:tcBorders>
              <w:tl2br w:val="nil"/>
              <w:tr2bl w:val="nil"/>
            </w:tcBorders>
            <w:vAlign w:val="center"/>
          </w:tcPr>
          <w:p w14:paraId="77234C2C">
            <w:pPr>
              <w:snapToGrid w:val="0"/>
              <w:spacing w:line="240" w:lineRule="auto"/>
              <w:ind w:firstLine="0" w:firstLineChars="0"/>
              <w:rPr>
                <w:rFonts w:ascii="微软雅黑" w:hAnsi="微软雅黑"/>
                <w:color w:val="auto"/>
                <w:szCs w:val="21"/>
                <w:highlight w:val="none"/>
                <w:lang w:val="zh-CN"/>
              </w:rPr>
            </w:pPr>
            <w:r>
              <w:rPr>
                <w:rFonts w:hint="eastAsia" w:ascii="微软雅黑" w:hAnsi="微软雅黑"/>
                <w:color w:val="auto"/>
                <w:szCs w:val="21"/>
                <w:highlight w:val="none"/>
                <w:lang w:val="zh-CN"/>
              </w:rPr>
              <w:t>电子</w:t>
            </w:r>
            <w:r>
              <w:rPr>
                <w:rFonts w:hint="eastAsia" w:ascii="微软雅黑" w:hAnsi="微软雅黑"/>
                <w:color w:val="auto"/>
                <w:szCs w:val="21"/>
                <w:highlight w:val="none"/>
              </w:rPr>
              <w:t>投标</w:t>
            </w:r>
            <w:r>
              <w:rPr>
                <w:rFonts w:hint="eastAsia" w:ascii="微软雅黑" w:hAnsi="微软雅黑"/>
                <w:color w:val="auto"/>
                <w:szCs w:val="21"/>
                <w:highlight w:val="none"/>
                <w:lang w:val="zh-CN"/>
              </w:rPr>
              <w:t>文件和备份</w:t>
            </w:r>
            <w:r>
              <w:rPr>
                <w:rFonts w:hint="eastAsia" w:ascii="微软雅黑" w:hAnsi="微软雅黑"/>
                <w:color w:val="auto"/>
                <w:szCs w:val="21"/>
                <w:highlight w:val="none"/>
              </w:rPr>
              <w:t>投标</w:t>
            </w:r>
            <w:r>
              <w:rPr>
                <w:rFonts w:hint="eastAsia" w:ascii="微软雅黑" w:hAnsi="微软雅黑"/>
                <w:color w:val="auto"/>
                <w:szCs w:val="21"/>
                <w:highlight w:val="none"/>
                <w:lang w:val="zh-CN"/>
              </w:rPr>
              <w:t>文件均由</w:t>
            </w:r>
            <w:r>
              <w:rPr>
                <w:rFonts w:hint="eastAsia" w:ascii="微软雅黑" w:hAnsi="微软雅黑"/>
                <w:color w:val="auto"/>
                <w:szCs w:val="21"/>
                <w:highlight w:val="none"/>
              </w:rPr>
              <w:t>资格</w:t>
            </w:r>
            <w:r>
              <w:rPr>
                <w:rFonts w:hint="eastAsia" w:ascii="微软雅黑" w:hAnsi="微软雅黑"/>
                <w:color w:val="auto"/>
                <w:szCs w:val="21"/>
                <w:highlight w:val="none"/>
                <w:lang w:val="zh-CN"/>
              </w:rPr>
              <w:t>文件、</w:t>
            </w:r>
            <w:r>
              <w:rPr>
                <w:rFonts w:hint="eastAsia" w:ascii="微软雅黑" w:hAnsi="微软雅黑"/>
                <w:color w:val="auto"/>
                <w:szCs w:val="21"/>
                <w:highlight w:val="none"/>
              </w:rPr>
              <w:t>商务</w:t>
            </w:r>
            <w:r>
              <w:rPr>
                <w:rFonts w:hint="eastAsia" w:ascii="微软雅黑" w:hAnsi="微软雅黑"/>
                <w:color w:val="auto"/>
                <w:szCs w:val="21"/>
                <w:highlight w:val="none"/>
                <w:lang w:val="zh-CN"/>
              </w:rPr>
              <w:t>技术文件及投标报价文件</w:t>
            </w:r>
            <w:r>
              <w:rPr>
                <w:rFonts w:hint="eastAsia" w:ascii="微软雅黑" w:hAnsi="微软雅黑"/>
                <w:color w:val="auto"/>
                <w:szCs w:val="21"/>
                <w:highlight w:val="none"/>
              </w:rPr>
              <w:t>三</w:t>
            </w:r>
            <w:r>
              <w:rPr>
                <w:rFonts w:hint="eastAsia" w:ascii="微软雅黑" w:hAnsi="微软雅黑"/>
                <w:color w:val="auto"/>
                <w:szCs w:val="21"/>
                <w:highlight w:val="none"/>
                <w:lang w:val="zh-CN"/>
              </w:rPr>
              <w:t>部分组成。</w:t>
            </w:r>
          </w:p>
        </w:tc>
      </w:tr>
      <w:tr w14:paraId="210448C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97" w:hRule="atLeast"/>
          <w:tblHeader/>
        </w:trPr>
        <w:tc>
          <w:tcPr>
            <w:tcW w:w="629" w:type="dxa"/>
            <w:tcBorders>
              <w:tl2br w:val="nil"/>
              <w:tr2bl w:val="nil"/>
            </w:tcBorders>
            <w:vAlign w:val="center"/>
          </w:tcPr>
          <w:p w14:paraId="25A67D6E">
            <w:pPr>
              <w:snapToGrid w:val="0"/>
              <w:spacing w:line="240" w:lineRule="auto"/>
              <w:ind w:firstLine="0" w:firstLineChars="0"/>
              <w:jc w:val="center"/>
              <w:rPr>
                <w:rFonts w:ascii="微软雅黑" w:hAnsi="微软雅黑" w:cs="仿宋_GB2312"/>
                <w:color w:val="auto"/>
                <w:szCs w:val="21"/>
                <w:highlight w:val="none"/>
              </w:rPr>
            </w:pPr>
            <w:r>
              <w:rPr>
                <w:rFonts w:hint="eastAsia" w:ascii="微软雅黑" w:hAnsi="微软雅黑" w:cs="仿宋_GB2312"/>
                <w:color w:val="auto"/>
                <w:szCs w:val="21"/>
                <w:highlight w:val="none"/>
              </w:rPr>
              <w:t>7</w:t>
            </w:r>
          </w:p>
        </w:tc>
        <w:tc>
          <w:tcPr>
            <w:tcW w:w="1798" w:type="dxa"/>
            <w:tcBorders>
              <w:tl2br w:val="nil"/>
              <w:tr2bl w:val="nil"/>
            </w:tcBorders>
            <w:vAlign w:val="center"/>
          </w:tcPr>
          <w:p w14:paraId="7F26B13C">
            <w:pPr>
              <w:snapToGrid w:val="0"/>
              <w:spacing w:line="240" w:lineRule="auto"/>
              <w:ind w:firstLine="0" w:firstLineChars="0"/>
              <w:jc w:val="center"/>
              <w:rPr>
                <w:rFonts w:ascii="微软雅黑" w:hAnsi="微软雅黑" w:cs="仿宋_GB2312"/>
                <w:b/>
                <w:color w:val="auto"/>
                <w:szCs w:val="21"/>
                <w:highlight w:val="none"/>
              </w:rPr>
            </w:pPr>
            <w:r>
              <w:rPr>
                <w:rFonts w:hint="eastAsia" w:ascii="微软雅黑" w:hAnsi="微软雅黑" w:cs="仿宋_GB2312"/>
                <w:b/>
                <w:color w:val="auto"/>
                <w:szCs w:val="21"/>
                <w:highlight w:val="none"/>
                <w:lang w:val="zh-CN"/>
              </w:rPr>
              <w:t>开标时间及地点</w:t>
            </w:r>
          </w:p>
        </w:tc>
        <w:tc>
          <w:tcPr>
            <w:tcW w:w="6140" w:type="dxa"/>
            <w:tcBorders>
              <w:tl2br w:val="nil"/>
              <w:tr2bl w:val="nil"/>
            </w:tcBorders>
            <w:vAlign w:val="center"/>
          </w:tcPr>
          <w:p w14:paraId="0A6A478E">
            <w:pPr>
              <w:snapToGrid w:val="0"/>
              <w:spacing w:line="240" w:lineRule="auto"/>
              <w:ind w:firstLine="0" w:firstLineChars="0"/>
              <w:rPr>
                <w:rFonts w:ascii="微软雅黑" w:hAnsi="微软雅黑"/>
                <w:color w:val="auto"/>
                <w:szCs w:val="21"/>
                <w:highlight w:val="none"/>
              </w:rPr>
            </w:pPr>
            <w:r>
              <w:rPr>
                <w:rFonts w:hint="eastAsia" w:ascii="微软雅黑" w:hAnsi="微软雅黑"/>
                <w:color w:val="auto"/>
                <w:szCs w:val="21"/>
                <w:highlight w:val="none"/>
              </w:rPr>
              <w:t>时间：</w:t>
            </w:r>
            <w:r>
              <w:rPr>
                <w:rFonts w:hint="eastAsia" w:ascii="微软雅黑" w:hAnsi="微软雅黑" w:cs="Arial"/>
                <w:color w:val="auto"/>
                <w:szCs w:val="21"/>
                <w:highlight w:val="none"/>
                <w:u w:val="single"/>
              </w:rPr>
              <w:t xml:space="preserve">2025年    月    日    ：    </w:t>
            </w:r>
            <w:r>
              <w:rPr>
                <w:rFonts w:hint="eastAsia" w:ascii="微软雅黑" w:hAnsi="微软雅黑"/>
                <w:color w:val="auto"/>
                <w:szCs w:val="21"/>
                <w:highlight w:val="none"/>
              </w:rPr>
              <w:t>地点：政采云平台</w:t>
            </w:r>
          </w:p>
          <w:p w14:paraId="2A47D6B3">
            <w:pPr>
              <w:snapToGrid w:val="0"/>
              <w:spacing w:line="240" w:lineRule="auto"/>
              <w:ind w:firstLine="0" w:firstLineChars="0"/>
              <w:rPr>
                <w:rFonts w:ascii="微软雅黑" w:hAnsi="微软雅黑"/>
                <w:color w:val="auto"/>
                <w:szCs w:val="21"/>
                <w:highlight w:val="none"/>
                <w:lang w:val="zh-CN"/>
              </w:rPr>
            </w:pPr>
            <w:r>
              <w:rPr>
                <w:rFonts w:hint="eastAsia" w:ascii="微软雅黑" w:hAnsi="微软雅黑"/>
                <w:b/>
                <w:bCs/>
                <w:color w:val="auto"/>
                <w:szCs w:val="21"/>
                <w:highlight w:val="none"/>
                <w:u w:val="single"/>
                <w:lang w:val="zh-CN"/>
              </w:rPr>
              <w:t>供应商无需到开标现场，但须准时在线参加，直至评审结束。</w:t>
            </w:r>
          </w:p>
        </w:tc>
      </w:tr>
      <w:tr w14:paraId="0011021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90" w:hRule="atLeast"/>
          <w:tblHeader/>
        </w:trPr>
        <w:tc>
          <w:tcPr>
            <w:tcW w:w="629" w:type="dxa"/>
            <w:tcBorders>
              <w:tl2br w:val="nil"/>
              <w:tr2bl w:val="nil"/>
            </w:tcBorders>
            <w:vAlign w:val="center"/>
          </w:tcPr>
          <w:p w14:paraId="3C68B32A">
            <w:pPr>
              <w:snapToGrid w:val="0"/>
              <w:spacing w:line="240" w:lineRule="auto"/>
              <w:ind w:firstLine="0" w:firstLineChars="0"/>
              <w:jc w:val="center"/>
              <w:rPr>
                <w:rFonts w:ascii="微软雅黑" w:hAnsi="微软雅黑" w:cs="仿宋_GB2312"/>
                <w:color w:val="auto"/>
                <w:szCs w:val="21"/>
                <w:highlight w:val="none"/>
              </w:rPr>
            </w:pPr>
            <w:r>
              <w:rPr>
                <w:rFonts w:hint="eastAsia" w:ascii="微软雅黑" w:hAnsi="微软雅黑" w:cs="仿宋_GB2312"/>
                <w:color w:val="auto"/>
                <w:szCs w:val="21"/>
                <w:highlight w:val="none"/>
              </w:rPr>
              <w:t>8</w:t>
            </w:r>
          </w:p>
        </w:tc>
        <w:tc>
          <w:tcPr>
            <w:tcW w:w="1798" w:type="dxa"/>
            <w:tcBorders>
              <w:tl2br w:val="nil"/>
              <w:tr2bl w:val="nil"/>
            </w:tcBorders>
            <w:vAlign w:val="center"/>
          </w:tcPr>
          <w:p w14:paraId="17AE26EE">
            <w:pPr>
              <w:snapToGrid w:val="0"/>
              <w:spacing w:line="240" w:lineRule="auto"/>
              <w:ind w:firstLine="0" w:firstLineChars="0"/>
              <w:jc w:val="center"/>
              <w:rPr>
                <w:rFonts w:ascii="微软雅黑" w:hAnsi="微软雅黑" w:cs="仿宋_GB2312"/>
                <w:bCs/>
                <w:color w:val="auto"/>
                <w:szCs w:val="21"/>
                <w:highlight w:val="none"/>
              </w:rPr>
            </w:pPr>
            <w:r>
              <w:rPr>
                <w:rFonts w:hint="eastAsia" w:ascii="微软雅黑" w:hAnsi="微软雅黑" w:cs="仿宋_GB2312"/>
                <w:b/>
                <w:color w:val="auto"/>
                <w:szCs w:val="21"/>
                <w:highlight w:val="none"/>
              </w:rPr>
              <w:t>方案讲解演示</w:t>
            </w:r>
          </w:p>
        </w:tc>
        <w:tc>
          <w:tcPr>
            <w:tcW w:w="6140" w:type="dxa"/>
            <w:tcBorders>
              <w:tl2br w:val="nil"/>
              <w:tr2bl w:val="nil"/>
            </w:tcBorders>
            <w:vAlign w:val="center"/>
          </w:tcPr>
          <w:p w14:paraId="0F1835AE">
            <w:pPr>
              <w:snapToGrid w:val="0"/>
              <w:spacing w:line="240" w:lineRule="auto"/>
              <w:ind w:firstLine="0" w:firstLineChars="0"/>
              <w:rPr>
                <w:rFonts w:ascii="微软雅黑" w:hAnsi="微软雅黑"/>
                <w:color w:val="auto"/>
                <w:kern w:val="0"/>
                <w:szCs w:val="21"/>
                <w:highlight w:val="none"/>
              </w:rPr>
            </w:pPr>
            <w:r>
              <w:rPr>
                <w:rFonts w:ascii="微软雅黑" w:hAnsi="微软雅黑" w:cs="Arial"/>
                <w:color w:val="auto"/>
                <w:kern w:val="0"/>
                <w:szCs w:val="21"/>
                <w:highlight w:val="none"/>
              </w:rPr>
              <w:sym w:font="Wingdings" w:char="00A8"/>
            </w:r>
            <w:r>
              <w:rPr>
                <w:rFonts w:hint="eastAsia" w:ascii="微软雅黑" w:hAnsi="微软雅黑" w:cs="宋体"/>
                <w:color w:val="auto"/>
                <w:szCs w:val="21"/>
                <w:highlight w:val="none"/>
                <w:lang w:val="zh-CN"/>
              </w:rPr>
              <w:t>A不组织。</w:t>
            </w:r>
          </w:p>
          <w:p w14:paraId="2ED0170C">
            <w:pPr>
              <w:spacing w:line="240" w:lineRule="auto"/>
              <w:ind w:firstLine="0" w:firstLineChars="0"/>
              <w:rPr>
                <w:rFonts w:ascii="微软雅黑" w:hAnsi="微软雅黑"/>
                <w:color w:val="auto"/>
                <w:szCs w:val="21"/>
                <w:highlight w:val="none"/>
                <w:lang w:val="zh-CN"/>
              </w:rPr>
            </w:pPr>
            <w:r>
              <w:rPr>
                <w:rFonts w:ascii="微软雅黑" w:hAnsi="微软雅黑" w:cs="Arial"/>
                <w:color w:val="auto"/>
                <w:kern w:val="0"/>
                <w:szCs w:val="21"/>
                <w:highlight w:val="none"/>
              </w:rPr>
              <w:sym w:font="Wingdings" w:char="00FE"/>
            </w:r>
            <w:r>
              <w:rPr>
                <w:rFonts w:hint="eastAsia" w:ascii="微软雅黑" w:hAnsi="微软雅黑" w:cs="宋体"/>
                <w:color w:val="auto"/>
                <w:szCs w:val="21"/>
                <w:highlight w:val="none"/>
                <w:lang w:val="zh-CN"/>
              </w:rPr>
              <w:t>B组织。标项一、标项二：</w:t>
            </w:r>
            <w:r>
              <w:rPr>
                <w:rFonts w:hint="eastAsia" w:ascii="微软雅黑" w:hAnsi="微软雅黑" w:cs="宋体"/>
                <w:color w:val="auto"/>
                <w:kern w:val="0"/>
                <w:szCs w:val="21"/>
                <w:highlight w:val="none"/>
              </w:rPr>
              <w:t>演示视频由各供应商自行录制讲解视频（时间控制在15分钟以内），制作成MP4、AVI等常规格式存入U盘并密封包装后，在投标截止前快递或直接送达至招标代理机构。</w:t>
            </w:r>
          </w:p>
        </w:tc>
      </w:tr>
      <w:tr w14:paraId="787FFBB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686" w:hRule="atLeast"/>
          <w:tblHeader/>
        </w:trPr>
        <w:tc>
          <w:tcPr>
            <w:tcW w:w="629" w:type="dxa"/>
            <w:tcBorders>
              <w:tl2br w:val="nil"/>
              <w:tr2bl w:val="nil"/>
            </w:tcBorders>
            <w:vAlign w:val="center"/>
          </w:tcPr>
          <w:p w14:paraId="278A51A6">
            <w:pPr>
              <w:snapToGrid w:val="0"/>
              <w:spacing w:line="240" w:lineRule="auto"/>
              <w:ind w:firstLine="0" w:firstLineChars="0"/>
              <w:jc w:val="center"/>
              <w:rPr>
                <w:rFonts w:ascii="微软雅黑" w:hAnsi="微软雅黑" w:cs="仿宋_GB2312"/>
                <w:color w:val="auto"/>
                <w:szCs w:val="21"/>
                <w:highlight w:val="none"/>
              </w:rPr>
            </w:pPr>
            <w:r>
              <w:rPr>
                <w:rFonts w:hint="eastAsia" w:ascii="微软雅黑" w:hAnsi="微软雅黑" w:cs="仿宋_GB2312"/>
                <w:color w:val="auto"/>
                <w:szCs w:val="21"/>
                <w:highlight w:val="none"/>
              </w:rPr>
              <w:t>9</w:t>
            </w:r>
          </w:p>
        </w:tc>
        <w:tc>
          <w:tcPr>
            <w:tcW w:w="1798" w:type="dxa"/>
            <w:tcBorders>
              <w:tl2br w:val="nil"/>
              <w:tr2bl w:val="nil"/>
            </w:tcBorders>
            <w:vAlign w:val="center"/>
          </w:tcPr>
          <w:p w14:paraId="006B1B9C">
            <w:pPr>
              <w:snapToGrid w:val="0"/>
              <w:spacing w:line="240" w:lineRule="auto"/>
              <w:ind w:firstLine="0" w:firstLineChars="0"/>
              <w:jc w:val="center"/>
              <w:rPr>
                <w:rFonts w:ascii="微软雅黑" w:hAnsi="微软雅黑" w:cs="仿宋_GB2312"/>
                <w:b/>
                <w:color w:val="auto"/>
                <w:szCs w:val="21"/>
                <w:highlight w:val="none"/>
              </w:rPr>
            </w:pPr>
            <w:r>
              <w:rPr>
                <w:rFonts w:hint="eastAsia" w:ascii="微软雅黑" w:hAnsi="微软雅黑" w:cs="仿宋_GB2312"/>
                <w:b/>
                <w:color w:val="auto"/>
                <w:szCs w:val="21"/>
                <w:highlight w:val="none"/>
              </w:rPr>
              <w:t>是否允许采购进口产品</w:t>
            </w:r>
          </w:p>
        </w:tc>
        <w:tc>
          <w:tcPr>
            <w:tcW w:w="6140" w:type="dxa"/>
            <w:tcBorders>
              <w:tl2br w:val="nil"/>
              <w:tr2bl w:val="nil"/>
            </w:tcBorders>
            <w:vAlign w:val="center"/>
          </w:tcPr>
          <w:p w14:paraId="280EE9AB">
            <w:pPr>
              <w:spacing w:line="240" w:lineRule="auto"/>
              <w:ind w:firstLine="0" w:firstLineChars="0"/>
              <w:rPr>
                <w:rFonts w:ascii="微软雅黑" w:hAnsi="微软雅黑" w:cs="Arial"/>
                <w:color w:val="auto"/>
                <w:kern w:val="0"/>
                <w:szCs w:val="21"/>
                <w:highlight w:val="none"/>
              </w:rPr>
            </w:pPr>
            <w:r>
              <w:rPr>
                <w:rFonts w:ascii="微软雅黑" w:hAnsi="微软雅黑" w:cs="Arial"/>
                <w:color w:val="auto"/>
                <w:kern w:val="0"/>
                <w:szCs w:val="21"/>
                <w:highlight w:val="none"/>
              </w:rPr>
              <w:sym w:font="Wingdings" w:char="00FE"/>
            </w:r>
            <w:r>
              <w:rPr>
                <w:rFonts w:hint="eastAsia" w:ascii="微软雅黑" w:hAnsi="微软雅黑" w:cs="宋体"/>
                <w:color w:val="auto"/>
                <w:szCs w:val="21"/>
                <w:highlight w:val="none"/>
                <w:shd w:val="clear" w:color="FFFFFF" w:fill="D9D9D9"/>
                <w:lang w:val="zh-CN"/>
              </w:rPr>
              <w:t>不允许采购进口产品</w:t>
            </w:r>
            <w:r>
              <w:rPr>
                <w:rFonts w:hint="eastAsia" w:ascii="微软雅黑" w:hAnsi="微软雅黑" w:cs="宋体"/>
                <w:color w:val="auto"/>
                <w:szCs w:val="21"/>
                <w:highlight w:val="none"/>
                <w:lang w:val="zh-CN"/>
              </w:rPr>
              <w:t>。</w:t>
            </w:r>
          </w:p>
          <w:p w14:paraId="5F270F3A">
            <w:pPr>
              <w:spacing w:line="240" w:lineRule="auto"/>
              <w:ind w:firstLine="0" w:firstLineChars="0"/>
              <w:rPr>
                <w:rFonts w:ascii="微软雅黑" w:hAnsi="微软雅黑"/>
                <w:color w:val="auto"/>
                <w:szCs w:val="21"/>
                <w:highlight w:val="none"/>
              </w:rPr>
            </w:pPr>
            <w:r>
              <w:rPr>
                <w:rFonts w:ascii="微软雅黑" w:hAnsi="微软雅黑" w:cs="Arial"/>
                <w:color w:val="auto"/>
                <w:kern w:val="0"/>
                <w:szCs w:val="21"/>
                <w:highlight w:val="none"/>
              </w:rPr>
              <w:sym w:font="Wingdings" w:char="00A8"/>
            </w:r>
            <w:r>
              <w:rPr>
                <w:rFonts w:hint="eastAsia" w:ascii="微软雅黑" w:hAnsi="微软雅黑" w:cs="宋体"/>
                <w:color w:val="auto"/>
                <w:szCs w:val="21"/>
                <w:highlight w:val="none"/>
                <w:lang w:val="zh-CN"/>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532EA0B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686" w:hRule="atLeast"/>
          <w:tblHeader/>
        </w:trPr>
        <w:tc>
          <w:tcPr>
            <w:tcW w:w="629" w:type="dxa"/>
            <w:tcBorders>
              <w:tl2br w:val="nil"/>
              <w:tr2bl w:val="nil"/>
            </w:tcBorders>
            <w:vAlign w:val="center"/>
          </w:tcPr>
          <w:p w14:paraId="60E7D918">
            <w:pPr>
              <w:snapToGrid w:val="0"/>
              <w:spacing w:line="240" w:lineRule="auto"/>
              <w:ind w:firstLine="0" w:firstLineChars="0"/>
              <w:jc w:val="center"/>
              <w:rPr>
                <w:rFonts w:ascii="微软雅黑" w:hAnsi="微软雅黑" w:cs="仿宋_GB2312"/>
                <w:color w:val="auto"/>
                <w:szCs w:val="21"/>
                <w:highlight w:val="none"/>
              </w:rPr>
            </w:pPr>
            <w:r>
              <w:rPr>
                <w:rFonts w:hint="eastAsia" w:ascii="微软雅黑" w:hAnsi="微软雅黑" w:cs="仿宋_GB2312"/>
                <w:color w:val="auto"/>
                <w:szCs w:val="21"/>
                <w:highlight w:val="none"/>
              </w:rPr>
              <w:t>10</w:t>
            </w:r>
          </w:p>
        </w:tc>
        <w:tc>
          <w:tcPr>
            <w:tcW w:w="1798" w:type="dxa"/>
            <w:tcBorders>
              <w:tl2br w:val="nil"/>
              <w:tr2bl w:val="nil"/>
            </w:tcBorders>
            <w:vAlign w:val="center"/>
          </w:tcPr>
          <w:p w14:paraId="39804A42">
            <w:pPr>
              <w:snapToGrid w:val="0"/>
              <w:spacing w:line="240" w:lineRule="auto"/>
              <w:ind w:firstLine="0" w:firstLineChars="0"/>
              <w:jc w:val="center"/>
              <w:rPr>
                <w:rFonts w:ascii="微软雅黑" w:hAnsi="微软雅黑" w:cs="仿宋_GB2312"/>
                <w:b/>
                <w:color w:val="auto"/>
                <w:szCs w:val="21"/>
                <w:highlight w:val="none"/>
              </w:rPr>
            </w:pPr>
            <w:r>
              <w:rPr>
                <w:rFonts w:hint="eastAsia" w:ascii="微软雅黑" w:hAnsi="微软雅黑" w:cs="仿宋_GB2312"/>
                <w:b/>
                <w:color w:val="auto"/>
                <w:szCs w:val="21"/>
                <w:highlight w:val="none"/>
              </w:rPr>
              <w:t>项目属性与核心产品</w:t>
            </w:r>
          </w:p>
        </w:tc>
        <w:tc>
          <w:tcPr>
            <w:tcW w:w="6140" w:type="dxa"/>
            <w:tcBorders>
              <w:tl2br w:val="nil"/>
              <w:tr2bl w:val="nil"/>
            </w:tcBorders>
            <w:vAlign w:val="center"/>
          </w:tcPr>
          <w:p w14:paraId="09AD85F8">
            <w:pPr>
              <w:widowControl/>
              <w:ind w:firstLine="0" w:firstLineChars="0"/>
              <w:rPr>
                <w:rFonts w:ascii="微软雅黑" w:hAnsi="微软雅黑"/>
                <w:color w:val="auto"/>
                <w:szCs w:val="21"/>
                <w:highlight w:val="none"/>
              </w:rPr>
            </w:pPr>
            <w:r>
              <w:rPr>
                <w:rFonts w:ascii="微软雅黑" w:hAnsi="微软雅黑" w:cs="Arial"/>
                <w:color w:val="auto"/>
                <w:kern w:val="0"/>
                <w:szCs w:val="21"/>
                <w:highlight w:val="none"/>
              </w:rPr>
              <w:sym w:font="Wingdings" w:char="00FE"/>
            </w:r>
            <w:r>
              <w:rPr>
                <w:rFonts w:hint="eastAsia" w:ascii="微软雅黑" w:hAnsi="微软雅黑" w:cs="宋体"/>
                <w:color w:val="auto"/>
                <w:szCs w:val="21"/>
                <w:highlight w:val="none"/>
                <w:lang w:val="zh-CN"/>
              </w:rPr>
              <w:t>A货物类，核心产品为</w:t>
            </w:r>
            <w:r>
              <w:rPr>
                <w:rFonts w:hint="eastAsia" w:ascii="微软雅黑" w:hAnsi="微软雅黑" w:cs="宋体"/>
                <w:color w:val="auto"/>
                <w:szCs w:val="21"/>
                <w:highlight w:val="none"/>
                <w:u w:val="single"/>
                <w:lang w:val="zh-CN"/>
              </w:rPr>
              <w:t>：</w:t>
            </w:r>
            <w:r>
              <w:rPr>
                <w:rFonts w:hint="eastAsia" w:ascii="微软雅黑" w:hAnsi="微软雅黑" w:cs="宋体"/>
                <w:b/>
                <w:bCs/>
                <w:color w:val="auto"/>
                <w:szCs w:val="21"/>
                <w:highlight w:val="none"/>
                <w:u w:val="single"/>
                <w:lang w:val="zh-CN"/>
              </w:rPr>
              <w:t>标项一：</w:t>
            </w:r>
            <w:r>
              <w:rPr>
                <w:rFonts w:hint="eastAsia"/>
                <w:b/>
                <w:bCs/>
                <w:color w:val="auto"/>
                <w:highlight w:val="none"/>
                <w:u w:val="single"/>
              </w:rPr>
              <w:t>紫外可见分光光谱仪</w:t>
            </w:r>
            <w:r>
              <w:rPr>
                <w:rFonts w:hint="eastAsia"/>
                <w:color w:val="auto"/>
                <w:highlight w:val="none"/>
                <w:u w:val="single"/>
              </w:rPr>
              <w:t>；</w:t>
            </w:r>
            <w:r>
              <w:rPr>
                <w:rFonts w:hint="eastAsia"/>
                <w:b/>
                <w:bCs/>
                <w:color w:val="auto"/>
                <w:highlight w:val="none"/>
                <w:u w:val="single"/>
              </w:rPr>
              <w:t xml:space="preserve"> 标项二：过滤实验装置</w:t>
            </w:r>
            <w:r>
              <w:rPr>
                <w:rFonts w:hint="eastAsia" w:ascii="微软雅黑" w:hAnsi="微软雅黑" w:cs="微软雅黑"/>
                <w:color w:val="auto"/>
                <w:kern w:val="0"/>
                <w:sz w:val="22"/>
                <w:szCs w:val="22"/>
                <w:highlight w:val="none"/>
                <w:lang w:bidi="ar"/>
              </w:rPr>
              <w:t>；</w:t>
            </w:r>
          </w:p>
          <w:p w14:paraId="60F93337">
            <w:pPr>
              <w:spacing w:line="240" w:lineRule="auto"/>
              <w:ind w:firstLine="0" w:firstLineChars="0"/>
              <w:rPr>
                <w:rFonts w:ascii="微软雅黑" w:hAnsi="微软雅黑"/>
                <w:color w:val="auto"/>
                <w:szCs w:val="21"/>
                <w:highlight w:val="none"/>
              </w:rPr>
            </w:pPr>
            <w:r>
              <w:rPr>
                <w:rFonts w:ascii="微软雅黑" w:hAnsi="微软雅黑" w:cs="Arial"/>
                <w:color w:val="auto"/>
                <w:kern w:val="0"/>
                <w:szCs w:val="21"/>
                <w:highlight w:val="none"/>
              </w:rPr>
              <w:sym w:font="Wingdings" w:char="00A8"/>
            </w:r>
            <w:r>
              <w:rPr>
                <w:rFonts w:hint="eastAsia" w:ascii="微软雅黑" w:hAnsi="微软雅黑" w:cs="宋体"/>
                <w:color w:val="auto"/>
                <w:szCs w:val="21"/>
                <w:highlight w:val="none"/>
                <w:lang w:val="zh-CN"/>
              </w:rPr>
              <w:t>B服务类。</w:t>
            </w:r>
          </w:p>
        </w:tc>
      </w:tr>
      <w:tr w14:paraId="643F7E7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686" w:hRule="atLeast"/>
          <w:tblHeader/>
        </w:trPr>
        <w:tc>
          <w:tcPr>
            <w:tcW w:w="629" w:type="dxa"/>
            <w:tcBorders>
              <w:tl2br w:val="nil"/>
              <w:tr2bl w:val="nil"/>
            </w:tcBorders>
            <w:vAlign w:val="center"/>
          </w:tcPr>
          <w:p w14:paraId="3ED78CBA">
            <w:pPr>
              <w:snapToGrid w:val="0"/>
              <w:spacing w:line="240" w:lineRule="auto"/>
              <w:ind w:firstLine="0" w:firstLineChars="0"/>
              <w:jc w:val="center"/>
              <w:rPr>
                <w:rFonts w:ascii="微软雅黑" w:hAnsi="微软雅黑" w:cs="仿宋_GB2312"/>
                <w:color w:val="auto"/>
                <w:szCs w:val="21"/>
                <w:highlight w:val="none"/>
              </w:rPr>
            </w:pPr>
            <w:r>
              <w:rPr>
                <w:rFonts w:hint="eastAsia" w:ascii="微软雅黑" w:hAnsi="微软雅黑" w:cs="仿宋_GB2312"/>
                <w:color w:val="auto"/>
                <w:szCs w:val="21"/>
                <w:highlight w:val="none"/>
              </w:rPr>
              <w:t>11</w:t>
            </w:r>
          </w:p>
        </w:tc>
        <w:tc>
          <w:tcPr>
            <w:tcW w:w="1798" w:type="dxa"/>
            <w:tcBorders>
              <w:tl2br w:val="nil"/>
              <w:tr2bl w:val="nil"/>
            </w:tcBorders>
            <w:vAlign w:val="center"/>
          </w:tcPr>
          <w:p w14:paraId="6E3EA105">
            <w:pPr>
              <w:snapToGrid w:val="0"/>
              <w:spacing w:line="240" w:lineRule="auto"/>
              <w:ind w:firstLine="0" w:firstLineChars="0"/>
              <w:jc w:val="center"/>
              <w:rPr>
                <w:rFonts w:ascii="微软雅黑" w:hAnsi="微软雅黑" w:cs="仿宋_GB2312"/>
                <w:b/>
                <w:color w:val="auto"/>
                <w:szCs w:val="21"/>
                <w:highlight w:val="none"/>
              </w:rPr>
            </w:pPr>
            <w:r>
              <w:rPr>
                <w:rFonts w:hint="eastAsia" w:ascii="微软雅黑" w:hAnsi="微软雅黑" w:cs="仿宋_GB2312"/>
                <w:b/>
                <w:color w:val="auto"/>
                <w:szCs w:val="21"/>
                <w:highlight w:val="none"/>
              </w:rPr>
              <w:t>采购标的对应的中小企业划分标准所属行业</w:t>
            </w:r>
          </w:p>
        </w:tc>
        <w:tc>
          <w:tcPr>
            <w:tcW w:w="6140" w:type="dxa"/>
            <w:tcBorders>
              <w:tl2br w:val="nil"/>
              <w:tr2bl w:val="nil"/>
            </w:tcBorders>
            <w:vAlign w:val="center"/>
          </w:tcPr>
          <w:p w14:paraId="73B43AC5">
            <w:pPr>
              <w:snapToGrid w:val="0"/>
              <w:spacing w:line="240" w:lineRule="auto"/>
              <w:ind w:firstLine="0" w:firstLineChars="0"/>
              <w:rPr>
                <w:rFonts w:ascii="微软雅黑" w:hAnsi="微软雅黑"/>
                <w:color w:val="auto"/>
                <w:szCs w:val="21"/>
                <w:highlight w:val="none"/>
              </w:rPr>
            </w:pPr>
            <w:r>
              <w:rPr>
                <w:rFonts w:hint="eastAsia" w:ascii="微软雅黑" w:hAnsi="微软雅黑" w:cs="宋体"/>
                <w:color w:val="auto"/>
                <w:szCs w:val="21"/>
                <w:highlight w:val="none"/>
                <w:lang w:val="zh-CN"/>
              </w:rPr>
              <w:t>标的：</w:t>
            </w:r>
            <w:r>
              <w:rPr>
                <w:rFonts w:hint="eastAsia"/>
                <w:color w:val="auto"/>
                <w:highlight w:val="none"/>
                <w:u w:val="single"/>
              </w:rPr>
              <w:t>化工基础实验室建设（设备采购）</w:t>
            </w:r>
            <w:r>
              <w:rPr>
                <w:rFonts w:hint="eastAsia" w:ascii="微软雅黑" w:hAnsi="微软雅黑" w:cs="Arial"/>
                <w:color w:val="auto"/>
                <w:kern w:val="0"/>
                <w:szCs w:val="21"/>
                <w:highlight w:val="none"/>
              </w:rPr>
              <w:t>，</w:t>
            </w:r>
            <w:r>
              <w:rPr>
                <w:rFonts w:hint="eastAsia" w:ascii="微软雅黑" w:hAnsi="微软雅黑" w:cs="宋体"/>
                <w:color w:val="auto"/>
                <w:szCs w:val="21"/>
                <w:highlight w:val="none"/>
                <w:lang w:val="zh-CN"/>
              </w:rPr>
              <w:t>属于</w:t>
            </w:r>
            <w:r>
              <w:rPr>
                <w:rFonts w:hint="eastAsia" w:ascii="微软雅黑" w:hAnsi="微软雅黑" w:cs="Arial"/>
                <w:color w:val="auto"/>
                <w:kern w:val="0"/>
                <w:szCs w:val="21"/>
                <w:highlight w:val="none"/>
                <w:u w:val="single"/>
              </w:rPr>
              <w:t xml:space="preserve"> 工业 </w:t>
            </w:r>
            <w:r>
              <w:rPr>
                <w:rFonts w:hint="eastAsia" w:ascii="微软雅黑" w:hAnsi="微软雅黑" w:cs="宋体"/>
                <w:color w:val="auto"/>
                <w:szCs w:val="21"/>
                <w:highlight w:val="none"/>
                <w:lang w:val="zh-CN"/>
              </w:rPr>
              <w:t>行业；</w:t>
            </w:r>
          </w:p>
        </w:tc>
      </w:tr>
      <w:tr w14:paraId="245F6F1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686" w:hRule="atLeast"/>
          <w:tblHeader/>
        </w:trPr>
        <w:tc>
          <w:tcPr>
            <w:tcW w:w="629" w:type="dxa"/>
            <w:tcBorders>
              <w:tl2br w:val="nil"/>
              <w:tr2bl w:val="nil"/>
            </w:tcBorders>
            <w:vAlign w:val="center"/>
          </w:tcPr>
          <w:p w14:paraId="72E29E06">
            <w:pPr>
              <w:snapToGrid w:val="0"/>
              <w:spacing w:line="240" w:lineRule="auto"/>
              <w:ind w:firstLine="0" w:firstLineChars="0"/>
              <w:jc w:val="center"/>
              <w:rPr>
                <w:rFonts w:ascii="微软雅黑" w:hAnsi="微软雅黑" w:cs="仿宋_GB2312"/>
                <w:color w:val="auto"/>
                <w:szCs w:val="21"/>
                <w:highlight w:val="none"/>
              </w:rPr>
            </w:pPr>
            <w:r>
              <w:rPr>
                <w:rFonts w:hint="eastAsia" w:ascii="微软雅黑" w:hAnsi="微软雅黑" w:cs="仿宋_GB2312"/>
                <w:color w:val="auto"/>
                <w:szCs w:val="21"/>
                <w:highlight w:val="none"/>
              </w:rPr>
              <w:t>12</w:t>
            </w:r>
          </w:p>
        </w:tc>
        <w:tc>
          <w:tcPr>
            <w:tcW w:w="1798" w:type="dxa"/>
            <w:tcBorders>
              <w:tl2br w:val="nil"/>
              <w:tr2bl w:val="nil"/>
            </w:tcBorders>
            <w:vAlign w:val="center"/>
          </w:tcPr>
          <w:p w14:paraId="7AD5385F">
            <w:pPr>
              <w:snapToGrid w:val="0"/>
              <w:spacing w:line="240" w:lineRule="auto"/>
              <w:ind w:firstLine="0" w:firstLineChars="0"/>
              <w:jc w:val="center"/>
              <w:rPr>
                <w:rFonts w:ascii="微软雅黑" w:hAnsi="微软雅黑" w:cs="仿宋_GB2312"/>
                <w:b/>
                <w:color w:val="auto"/>
                <w:szCs w:val="21"/>
                <w:highlight w:val="none"/>
              </w:rPr>
            </w:pPr>
            <w:r>
              <w:rPr>
                <w:rFonts w:hint="eastAsia" w:ascii="微软雅黑" w:hAnsi="微软雅黑" w:cs="仿宋_GB2312"/>
                <w:b/>
                <w:color w:val="auto"/>
                <w:szCs w:val="21"/>
                <w:highlight w:val="none"/>
              </w:rPr>
              <w:t>节能产品、环境标志产品</w:t>
            </w:r>
          </w:p>
        </w:tc>
        <w:tc>
          <w:tcPr>
            <w:tcW w:w="6140" w:type="dxa"/>
            <w:tcBorders>
              <w:tl2br w:val="nil"/>
              <w:tr2bl w:val="nil"/>
            </w:tcBorders>
            <w:vAlign w:val="center"/>
          </w:tcPr>
          <w:p w14:paraId="60E09FCD">
            <w:pPr>
              <w:snapToGrid w:val="0"/>
              <w:spacing w:line="240" w:lineRule="auto"/>
              <w:ind w:firstLine="0" w:firstLineChars="0"/>
              <w:rPr>
                <w:rFonts w:ascii="微软雅黑" w:hAnsi="微软雅黑"/>
                <w:color w:val="auto"/>
                <w:szCs w:val="21"/>
                <w:highlight w:val="none"/>
              </w:rPr>
            </w:pPr>
            <w:r>
              <w:rPr>
                <w:rFonts w:hint="eastAsia" w:ascii="微软雅黑" w:hAnsi="微软雅黑"/>
                <w:snapToGrid w:val="0"/>
                <w:color w:val="auto"/>
                <w:kern w:val="0"/>
                <w:szCs w:val="21"/>
                <w:highlight w:val="none"/>
              </w:rPr>
              <w:t>按《节能产品政府采购品目清单》财库〔2019〕19号执行；政府采购节能产品、环境标志产品实施品目清单管理：投标产品符合财库〔2019〕9号《关于调整优化节能产品、环境标志产品政府采购执行机制的通知》条件。</w:t>
            </w:r>
          </w:p>
        </w:tc>
      </w:tr>
      <w:tr w14:paraId="105501C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1939" w:hRule="atLeast"/>
          <w:tblHeader/>
        </w:trPr>
        <w:tc>
          <w:tcPr>
            <w:tcW w:w="629" w:type="dxa"/>
            <w:tcBorders>
              <w:tl2br w:val="nil"/>
              <w:tr2bl w:val="nil"/>
            </w:tcBorders>
            <w:vAlign w:val="center"/>
          </w:tcPr>
          <w:p w14:paraId="7C35833E">
            <w:pPr>
              <w:snapToGrid w:val="0"/>
              <w:spacing w:line="240" w:lineRule="auto"/>
              <w:ind w:firstLine="0" w:firstLineChars="0"/>
              <w:jc w:val="center"/>
              <w:rPr>
                <w:rFonts w:ascii="微软雅黑" w:hAnsi="微软雅黑" w:cs="仿宋_GB2312"/>
                <w:color w:val="auto"/>
                <w:szCs w:val="21"/>
                <w:highlight w:val="none"/>
              </w:rPr>
            </w:pPr>
            <w:r>
              <w:rPr>
                <w:rFonts w:hint="eastAsia" w:ascii="微软雅黑" w:hAnsi="微软雅黑" w:cs="仿宋_GB2312"/>
                <w:color w:val="auto"/>
                <w:szCs w:val="21"/>
                <w:highlight w:val="none"/>
              </w:rPr>
              <w:t>13</w:t>
            </w:r>
          </w:p>
        </w:tc>
        <w:tc>
          <w:tcPr>
            <w:tcW w:w="1798" w:type="dxa"/>
            <w:tcBorders>
              <w:tl2br w:val="nil"/>
              <w:tr2bl w:val="nil"/>
            </w:tcBorders>
            <w:vAlign w:val="center"/>
          </w:tcPr>
          <w:p w14:paraId="2BF8E313">
            <w:pPr>
              <w:snapToGrid w:val="0"/>
              <w:spacing w:line="240" w:lineRule="auto"/>
              <w:ind w:firstLine="0" w:firstLineChars="0"/>
              <w:jc w:val="center"/>
              <w:rPr>
                <w:rFonts w:ascii="微软雅黑" w:hAnsi="微软雅黑"/>
                <w:color w:val="auto"/>
                <w:szCs w:val="21"/>
                <w:highlight w:val="none"/>
              </w:rPr>
            </w:pPr>
            <w:r>
              <w:rPr>
                <w:rFonts w:hint="eastAsia" w:ascii="微软雅黑" w:hAnsi="微软雅黑" w:cs="仿宋_GB2312"/>
                <w:b/>
                <w:color w:val="auto"/>
                <w:szCs w:val="21"/>
                <w:highlight w:val="none"/>
              </w:rPr>
              <w:t>评标结果公告及中标通知书</w:t>
            </w:r>
          </w:p>
        </w:tc>
        <w:tc>
          <w:tcPr>
            <w:tcW w:w="6140" w:type="dxa"/>
            <w:tcBorders>
              <w:tl2br w:val="nil"/>
              <w:tr2bl w:val="nil"/>
            </w:tcBorders>
            <w:vAlign w:val="center"/>
          </w:tcPr>
          <w:p w14:paraId="062C2BFE">
            <w:pPr>
              <w:autoSpaceDE w:val="0"/>
              <w:autoSpaceDN w:val="0"/>
              <w:snapToGrid w:val="0"/>
              <w:spacing w:line="240" w:lineRule="auto"/>
              <w:ind w:firstLine="0" w:firstLineChars="0"/>
              <w:textAlignment w:val="bottom"/>
              <w:rPr>
                <w:rFonts w:ascii="微软雅黑" w:hAnsi="微软雅黑"/>
                <w:color w:val="auto"/>
                <w:szCs w:val="21"/>
                <w:highlight w:val="none"/>
              </w:rPr>
            </w:pPr>
            <w:r>
              <w:rPr>
                <w:rFonts w:hint="eastAsia" w:ascii="微软雅黑" w:hAnsi="微软雅黑"/>
                <w:color w:val="auto"/>
                <w:szCs w:val="21"/>
                <w:highlight w:val="none"/>
              </w:rPr>
              <w:t>评标结束后2个工作日内，评标结果公告于浙江政府采购网(http://www.zjzfcg.gov.cn/new/)</w:t>
            </w:r>
          </w:p>
          <w:p w14:paraId="67A06BD0">
            <w:pPr>
              <w:autoSpaceDE w:val="0"/>
              <w:autoSpaceDN w:val="0"/>
              <w:snapToGrid w:val="0"/>
              <w:spacing w:line="240" w:lineRule="auto"/>
              <w:ind w:firstLine="0" w:firstLineChars="0"/>
              <w:textAlignment w:val="bottom"/>
              <w:rPr>
                <w:rFonts w:ascii="微软雅黑" w:hAnsi="微软雅黑"/>
                <w:snapToGrid w:val="0"/>
                <w:color w:val="auto"/>
                <w:kern w:val="28"/>
                <w:szCs w:val="21"/>
                <w:highlight w:val="none"/>
              </w:rPr>
            </w:pPr>
            <w:r>
              <w:rPr>
                <w:rFonts w:hint="eastAsia" w:ascii="微软雅黑" w:hAnsi="微软雅黑"/>
                <w:color w:val="auto"/>
                <w:kern w:val="0"/>
                <w:szCs w:val="21"/>
                <w:highlight w:val="none"/>
              </w:rPr>
              <w:t>中标公告期限为1个工作日</w:t>
            </w:r>
            <w:r>
              <w:rPr>
                <w:rFonts w:hint="eastAsia" w:ascii="微软雅黑" w:hAnsi="微软雅黑" w:cs="宋体"/>
                <w:b/>
                <w:bCs/>
                <w:color w:val="auto"/>
                <w:szCs w:val="21"/>
                <w:highlight w:val="none"/>
              </w:rPr>
              <w:t>（中标供应商为小微企业的，其中小企业声明函将随中标结果同时公告）</w:t>
            </w:r>
            <w:r>
              <w:rPr>
                <w:rFonts w:hint="eastAsia" w:ascii="微软雅黑" w:hAnsi="微软雅黑"/>
                <w:color w:val="auto"/>
                <w:kern w:val="0"/>
                <w:szCs w:val="21"/>
                <w:highlight w:val="none"/>
              </w:rPr>
              <w:t>。在公告中标结果的同时，代理机构在政采云系统向中标供应商发出中标通知书。</w:t>
            </w:r>
          </w:p>
        </w:tc>
      </w:tr>
      <w:tr w14:paraId="2C32006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529" w:hRule="atLeast"/>
          <w:tblHeader/>
        </w:trPr>
        <w:tc>
          <w:tcPr>
            <w:tcW w:w="629" w:type="dxa"/>
            <w:tcBorders>
              <w:tl2br w:val="nil"/>
              <w:tr2bl w:val="nil"/>
            </w:tcBorders>
            <w:vAlign w:val="center"/>
          </w:tcPr>
          <w:p w14:paraId="2831E265">
            <w:pPr>
              <w:snapToGrid w:val="0"/>
              <w:spacing w:line="240" w:lineRule="auto"/>
              <w:ind w:firstLine="0" w:firstLineChars="0"/>
              <w:jc w:val="center"/>
              <w:rPr>
                <w:rFonts w:ascii="微软雅黑" w:hAnsi="微软雅黑" w:cs="仿宋_GB2312"/>
                <w:color w:val="auto"/>
                <w:szCs w:val="21"/>
                <w:highlight w:val="none"/>
              </w:rPr>
            </w:pPr>
            <w:r>
              <w:rPr>
                <w:rFonts w:hint="eastAsia" w:ascii="微软雅黑" w:hAnsi="微软雅黑" w:cs="仿宋_GB2312"/>
                <w:color w:val="auto"/>
                <w:szCs w:val="21"/>
                <w:highlight w:val="none"/>
              </w:rPr>
              <w:t>14</w:t>
            </w:r>
          </w:p>
        </w:tc>
        <w:tc>
          <w:tcPr>
            <w:tcW w:w="1798" w:type="dxa"/>
            <w:tcBorders>
              <w:tl2br w:val="nil"/>
              <w:tr2bl w:val="nil"/>
            </w:tcBorders>
            <w:vAlign w:val="center"/>
          </w:tcPr>
          <w:p w14:paraId="1CC711E3">
            <w:pPr>
              <w:autoSpaceDE w:val="0"/>
              <w:autoSpaceDN w:val="0"/>
              <w:snapToGrid w:val="0"/>
              <w:spacing w:line="240" w:lineRule="auto"/>
              <w:ind w:firstLine="0" w:firstLineChars="0"/>
              <w:jc w:val="center"/>
              <w:textAlignment w:val="bottom"/>
              <w:rPr>
                <w:rFonts w:ascii="微软雅黑" w:hAnsi="微软雅黑"/>
                <w:color w:val="auto"/>
                <w:kern w:val="0"/>
                <w:szCs w:val="21"/>
                <w:highlight w:val="none"/>
              </w:rPr>
            </w:pPr>
            <w:r>
              <w:rPr>
                <w:rFonts w:hint="eastAsia" w:ascii="微软雅黑" w:hAnsi="微软雅黑" w:cs="仿宋_GB2312"/>
                <w:b/>
                <w:color w:val="auto"/>
                <w:szCs w:val="21"/>
                <w:highlight w:val="none"/>
              </w:rPr>
              <w:t>履约保证金</w:t>
            </w:r>
          </w:p>
        </w:tc>
        <w:tc>
          <w:tcPr>
            <w:tcW w:w="6140" w:type="dxa"/>
            <w:tcBorders>
              <w:tl2br w:val="nil"/>
              <w:tr2bl w:val="nil"/>
            </w:tcBorders>
            <w:vAlign w:val="center"/>
          </w:tcPr>
          <w:p w14:paraId="1C05F919">
            <w:pPr>
              <w:spacing w:line="240" w:lineRule="auto"/>
              <w:ind w:firstLine="0" w:firstLineChars="0"/>
              <w:rPr>
                <w:rFonts w:ascii="微软雅黑" w:hAnsi="微软雅黑"/>
                <w:color w:val="auto"/>
                <w:kern w:val="0"/>
                <w:szCs w:val="21"/>
                <w:highlight w:val="none"/>
              </w:rPr>
            </w:pPr>
            <w:r>
              <w:rPr>
                <w:rFonts w:hint="eastAsia" w:ascii="微软雅黑" w:hAnsi="微软雅黑" w:cs="宋体"/>
                <w:color w:val="auto"/>
                <w:szCs w:val="21"/>
                <w:highlight w:val="none"/>
              </w:rPr>
              <w:t>无</w:t>
            </w:r>
          </w:p>
        </w:tc>
      </w:tr>
      <w:tr w14:paraId="033431F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1209" w:hRule="atLeast"/>
          <w:tblHeader/>
        </w:trPr>
        <w:tc>
          <w:tcPr>
            <w:tcW w:w="629" w:type="dxa"/>
            <w:tcBorders>
              <w:tl2br w:val="nil"/>
              <w:tr2bl w:val="nil"/>
            </w:tcBorders>
            <w:vAlign w:val="center"/>
          </w:tcPr>
          <w:p w14:paraId="15477FB0">
            <w:pPr>
              <w:snapToGrid w:val="0"/>
              <w:spacing w:line="240" w:lineRule="auto"/>
              <w:ind w:firstLine="0" w:firstLineChars="0"/>
              <w:jc w:val="center"/>
              <w:rPr>
                <w:rFonts w:ascii="微软雅黑" w:hAnsi="微软雅黑" w:cs="仿宋_GB2312"/>
                <w:color w:val="auto"/>
                <w:szCs w:val="21"/>
                <w:highlight w:val="none"/>
              </w:rPr>
            </w:pPr>
            <w:r>
              <w:rPr>
                <w:rFonts w:hint="eastAsia" w:ascii="微软雅黑" w:hAnsi="微软雅黑" w:cs="仿宋_GB2312"/>
                <w:color w:val="auto"/>
                <w:szCs w:val="21"/>
                <w:highlight w:val="none"/>
              </w:rPr>
              <w:t>15</w:t>
            </w:r>
          </w:p>
        </w:tc>
        <w:tc>
          <w:tcPr>
            <w:tcW w:w="1798" w:type="dxa"/>
            <w:tcBorders>
              <w:tl2br w:val="nil"/>
              <w:tr2bl w:val="nil"/>
            </w:tcBorders>
            <w:vAlign w:val="center"/>
          </w:tcPr>
          <w:p w14:paraId="72FA42D9">
            <w:pPr>
              <w:snapToGrid w:val="0"/>
              <w:spacing w:line="240" w:lineRule="auto"/>
              <w:ind w:firstLine="0" w:firstLineChars="0"/>
              <w:jc w:val="center"/>
              <w:rPr>
                <w:rFonts w:ascii="微软雅黑" w:hAnsi="微软雅黑" w:cs="仿宋_GB2312"/>
                <w:b/>
                <w:strike/>
                <w:color w:val="auto"/>
                <w:szCs w:val="21"/>
                <w:highlight w:val="none"/>
              </w:rPr>
            </w:pPr>
            <w:r>
              <w:rPr>
                <w:rFonts w:hint="eastAsia" w:ascii="微软雅黑" w:hAnsi="微软雅黑" w:cs="仿宋_GB2312"/>
                <w:b/>
                <w:color w:val="auto"/>
                <w:szCs w:val="21"/>
                <w:highlight w:val="none"/>
              </w:rPr>
              <w:t>签订合同时间</w:t>
            </w:r>
          </w:p>
        </w:tc>
        <w:tc>
          <w:tcPr>
            <w:tcW w:w="6140" w:type="dxa"/>
            <w:tcBorders>
              <w:tl2br w:val="nil"/>
              <w:tr2bl w:val="nil"/>
            </w:tcBorders>
            <w:vAlign w:val="center"/>
          </w:tcPr>
          <w:p w14:paraId="05E37CB7">
            <w:pPr>
              <w:autoSpaceDE w:val="0"/>
              <w:autoSpaceDN w:val="0"/>
              <w:snapToGrid w:val="0"/>
              <w:spacing w:line="240" w:lineRule="auto"/>
              <w:ind w:firstLine="0" w:firstLineChars="0"/>
              <w:textAlignment w:val="bottom"/>
              <w:rPr>
                <w:rFonts w:ascii="微软雅黑" w:hAnsi="微软雅黑"/>
                <w:strike/>
                <w:color w:val="auto"/>
                <w:kern w:val="28"/>
                <w:szCs w:val="21"/>
                <w:highlight w:val="none"/>
              </w:rPr>
            </w:pPr>
            <w:r>
              <w:rPr>
                <w:rFonts w:hint="eastAsia" w:ascii="微软雅黑" w:hAnsi="微软雅黑"/>
                <w:color w:val="auto"/>
                <w:szCs w:val="21"/>
                <w:highlight w:val="none"/>
              </w:rPr>
              <w:t>中标通知书发出后30日内。</w:t>
            </w:r>
            <w:r>
              <w:rPr>
                <w:rFonts w:hint="eastAsia" w:ascii="微软雅黑" w:hAnsi="微软雅黑"/>
                <w:color w:val="auto"/>
                <w:kern w:val="0"/>
                <w:szCs w:val="21"/>
                <w:highlight w:val="none"/>
              </w:rPr>
              <w:t>建议采购人在对采购结果质疑期（自采购结果公告之日起七个工作日）后与中标供应商签订政府采购合同。</w:t>
            </w:r>
          </w:p>
        </w:tc>
      </w:tr>
      <w:tr w14:paraId="42712E8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729" w:hRule="atLeast"/>
          <w:tblHeader/>
        </w:trPr>
        <w:tc>
          <w:tcPr>
            <w:tcW w:w="629" w:type="dxa"/>
            <w:tcBorders>
              <w:tl2br w:val="nil"/>
              <w:tr2bl w:val="nil"/>
            </w:tcBorders>
            <w:vAlign w:val="center"/>
          </w:tcPr>
          <w:p w14:paraId="046D1D55">
            <w:pPr>
              <w:snapToGrid w:val="0"/>
              <w:spacing w:line="240" w:lineRule="auto"/>
              <w:ind w:firstLine="0" w:firstLineChars="0"/>
              <w:jc w:val="center"/>
              <w:rPr>
                <w:rFonts w:ascii="微软雅黑" w:hAnsi="微软雅黑" w:cs="仿宋_GB2312"/>
                <w:color w:val="auto"/>
                <w:szCs w:val="21"/>
                <w:highlight w:val="none"/>
              </w:rPr>
            </w:pPr>
            <w:r>
              <w:rPr>
                <w:rFonts w:hint="eastAsia" w:ascii="微软雅黑" w:hAnsi="微软雅黑" w:cs="仿宋_GB2312"/>
                <w:color w:val="auto"/>
                <w:szCs w:val="21"/>
                <w:highlight w:val="none"/>
              </w:rPr>
              <w:t>16</w:t>
            </w:r>
          </w:p>
        </w:tc>
        <w:tc>
          <w:tcPr>
            <w:tcW w:w="1798" w:type="dxa"/>
            <w:tcBorders>
              <w:tl2br w:val="nil"/>
              <w:tr2bl w:val="nil"/>
            </w:tcBorders>
            <w:vAlign w:val="center"/>
          </w:tcPr>
          <w:p w14:paraId="690B087E">
            <w:pPr>
              <w:snapToGrid w:val="0"/>
              <w:spacing w:line="240" w:lineRule="auto"/>
              <w:ind w:firstLine="0" w:firstLineChars="0"/>
              <w:jc w:val="center"/>
              <w:rPr>
                <w:rFonts w:ascii="微软雅黑" w:hAnsi="微软雅黑" w:cs="仿宋_GB2312"/>
                <w:b/>
                <w:strike/>
                <w:color w:val="auto"/>
                <w:szCs w:val="21"/>
                <w:highlight w:val="none"/>
              </w:rPr>
            </w:pPr>
            <w:r>
              <w:rPr>
                <w:rFonts w:hint="eastAsia" w:ascii="微软雅黑" w:hAnsi="微软雅黑" w:cs="仿宋_GB2312"/>
                <w:b/>
                <w:color w:val="auto"/>
                <w:szCs w:val="21"/>
                <w:highlight w:val="none"/>
              </w:rPr>
              <w:t>本项目预算金额</w:t>
            </w:r>
          </w:p>
        </w:tc>
        <w:tc>
          <w:tcPr>
            <w:tcW w:w="6140" w:type="dxa"/>
            <w:tcBorders>
              <w:tl2br w:val="nil"/>
              <w:tr2bl w:val="nil"/>
            </w:tcBorders>
            <w:vAlign w:val="center"/>
          </w:tcPr>
          <w:p w14:paraId="6751A699">
            <w:pPr>
              <w:spacing w:line="240" w:lineRule="auto"/>
              <w:ind w:firstLine="0" w:firstLineChars="0"/>
              <w:rPr>
                <w:rFonts w:ascii="微软雅黑" w:hAnsi="微软雅黑"/>
                <w:strike/>
                <w:color w:val="auto"/>
                <w:kern w:val="28"/>
                <w:szCs w:val="21"/>
                <w:highlight w:val="none"/>
              </w:rPr>
            </w:pPr>
            <w:r>
              <w:rPr>
                <w:rFonts w:hint="eastAsia" w:ascii="微软雅黑" w:hAnsi="微软雅黑"/>
                <w:color w:val="auto"/>
                <w:szCs w:val="21"/>
                <w:highlight w:val="none"/>
              </w:rPr>
              <w:t>预算价为人民币</w:t>
            </w:r>
            <w:r>
              <w:rPr>
                <w:rFonts w:hint="eastAsia" w:ascii="微软雅黑" w:hAnsi="微软雅黑" w:cs="Calibri"/>
                <w:color w:val="auto"/>
                <w:kern w:val="0"/>
                <w:szCs w:val="21"/>
                <w:highlight w:val="none"/>
              </w:rPr>
              <w:t>3805000.00</w:t>
            </w:r>
            <w:r>
              <w:rPr>
                <w:rFonts w:ascii="微软雅黑" w:hAnsi="微软雅黑"/>
                <w:color w:val="auto"/>
                <w:szCs w:val="21"/>
                <w:highlight w:val="none"/>
              </w:rPr>
              <w:t>元</w:t>
            </w:r>
            <w:r>
              <w:rPr>
                <w:rFonts w:hint="eastAsia" w:ascii="微软雅黑" w:hAnsi="微软雅黑"/>
                <w:color w:val="auto"/>
                <w:szCs w:val="21"/>
                <w:highlight w:val="none"/>
              </w:rPr>
              <w:t>（上限金额：标项一1510000.00元；标项二2295000.00元）</w:t>
            </w:r>
            <w:r>
              <w:rPr>
                <w:rFonts w:hint="eastAsia" w:ascii="微软雅黑" w:hAnsi="微软雅黑"/>
                <w:color w:val="auto"/>
                <w:kern w:val="0"/>
                <w:szCs w:val="21"/>
                <w:highlight w:val="none"/>
              </w:rPr>
              <w:t>；</w:t>
            </w:r>
            <w:r>
              <w:rPr>
                <w:rFonts w:hint="eastAsia" w:ascii="微软雅黑" w:hAnsi="微软雅黑"/>
                <w:color w:val="auto"/>
                <w:szCs w:val="21"/>
                <w:highlight w:val="none"/>
              </w:rPr>
              <w:t>最高限价为预算价，超上限的投标文件无效。</w:t>
            </w:r>
          </w:p>
        </w:tc>
      </w:tr>
      <w:tr w14:paraId="0E3F147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594" w:hRule="atLeast"/>
          <w:tblHeader/>
        </w:trPr>
        <w:tc>
          <w:tcPr>
            <w:tcW w:w="629" w:type="dxa"/>
            <w:tcBorders>
              <w:tl2br w:val="nil"/>
              <w:tr2bl w:val="nil"/>
            </w:tcBorders>
            <w:vAlign w:val="center"/>
          </w:tcPr>
          <w:p w14:paraId="0B129696">
            <w:pPr>
              <w:snapToGrid w:val="0"/>
              <w:spacing w:line="240" w:lineRule="auto"/>
              <w:ind w:firstLine="0" w:firstLineChars="0"/>
              <w:jc w:val="center"/>
              <w:rPr>
                <w:rFonts w:ascii="微软雅黑" w:hAnsi="微软雅黑" w:cs="仿宋_GB2312"/>
                <w:color w:val="auto"/>
                <w:szCs w:val="21"/>
                <w:highlight w:val="none"/>
              </w:rPr>
            </w:pPr>
            <w:r>
              <w:rPr>
                <w:rFonts w:hint="eastAsia" w:ascii="微软雅黑" w:hAnsi="微软雅黑" w:cs="仿宋_GB2312"/>
                <w:color w:val="auto"/>
                <w:szCs w:val="21"/>
                <w:highlight w:val="none"/>
              </w:rPr>
              <w:t>17</w:t>
            </w:r>
          </w:p>
        </w:tc>
        <w:tc>
          <w:tcPr>
            <w:tcW w:w="1798" w:type="dxa"/>
            <w:tcBorders>
              <w:tl2br w:val="nil"/>
              <w:tr2bl w:val="nil"/>
            </w:tcBorders>
            <w:vAlign w:val="center"/>
          </w:tcPr>
          <w:p w14:paraId="6327AC0B">
            <w:pPr>
              <w:snapToGrid w:val="0"/>
              <w:spacing w:line="240" w:lineRule="auto"/>
              <w:ind w:firstLine="0" w:firstLineChars="0"/>
              <w:jc w:val="center"/>
              <w:rPr>
                <w:rFonts w:ascii="微软雅黑" w:hAnsi="微软雅黑" w:cs="仿宋_GB2312"/>
                <w:b/>
                <w:strike/>
                <w:color w:val="auto"/>
                <w:szCs w:val="21"/>
                <w:highlight w:val="none"/>
              </w:rPr>
            </w:pPr>
            <w:r>
              <w:rPr>
                <w:rFonts w:hint="eastAsia" w:ascii="微软雅黑" w:hAnsi="微软雅黑" w:cs="仿宋_GB2312"/>
                <w:b/>
                <w:color w:val="auto"/>
                <w:szCs w:val="21"/>
                <w:highlight w:val="none"/>
              </w:rPr>
              <w:t>投标文件有效期</w:t>
            </w:r>
          </w:p>
        </w:tc>
        <w:tc>
          <w:tcPr>
            <w:tcW w:w="6140" w:type="dxa"/>
            <w:tcBorders>
              <w:tl2br w:val="nil"/>
              <w:tr2bl w:val="nil"/>
            </w:tcBorders>
            <w:vAlign w:val="center"/>
          </w:tcPr>
          <w:p w14:paraId="03FFFAA4">
            <w:pPr>
              <w:autoSpaceDE w:val="0"/>
              <w:autoSpaceDN w:val="0"/>
              <w:snapToGrid w:val="0"/>
              <w:spacing w:line="240" w:lineRule="auto"/>
              <w:ind w:firstLine="0" w:firstLineChars="0"/>
              <w:textAlignment w:val="bottom"/>
              <w:rPr>
                <w:rFonts w:ascii="微软雅黑" w:hAnsi="微软雅黑"/>
                <w:strike/>
                <w:color w:val="auto"/>
                <w:kern w:val="28"/>
                <w:szCs w:val="21"/>
                <w:highlight w:val="none"/>
              </w:rPr>
            </w:pPr>
            <w:r>
              <w:rPr>
                <w:rFonts w:hint="eastAsia" w:ascii="微软雅黑" w:hAnsi="微软雅黑"/>
                <w:color w:val="auto"/>
                <w:szCs w:val="21"/>
                <w:highlight w:val="none"/>
                <w:u w:val="single"/>
              </w:rPr>
              <w:t>90</w:t>
            </w:r>
            <w:r>
              <w:rPr>
                <w:rFonts w:hint="eastAsia" w:ascii="微软雅黑" w:hAnsi="微软雅黑"/>
                <w:color w:val="auto"/>
                <w:szCs w:val="21"/>
                <w:highlight w:val="none"/>
              </w:rPr>
              <w:t>天</w:t>
            </w:r>
          </w:p>
        </w:tc>
      </w:tr>
      <w:tr w14:paraId="0959139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911" w:hRule="atLeast"/>
          <w:tblHeader/>
        </w:trPr>
        <w:tc>
          <w:tcPr>
            <w:tcW w:w="629" w:type="dxa"/>
            <w:tcBorders>
              <w:tl2br w:val="nil"/>
              <w:tr2bl w:val="nil"/>
            </w:tcBorders>
            <w:vAlign w:val="center"/>
          </w:tcPr>
          <w:p w14:paraId="2501A7A6">
            <w:pPr>
              <w:snapToGrid w:val="0"/>
              <w:spacing w:line="240" w:lineRule="auto"/>
              <w:ind w:firstLine="0" w:firstLineChars="0"/>
              <w:jc w:val="center"/>
              <w:rPr>
                <w:rFonts w:ascii="微软雅黑" w:hAnsi="微软雅黑" w:cs="仿宋_GB2312"/>
                <w:color w:val="auto"/>
                <w:szCs w:val="21"/>
                <w:highlight w:val="none"/>
              </w:rPr>
            </w:pPr>
            <w:r>
              <w:rPr>
                <w:rFonts w:hint="eastAsia" w:ascii="微软雅黑" w:hAnsi="微软雅黑" w:cs="仿宋_GB2312"/>
                <w:color w:val="auto"/>
                <w:szCs w:val="21"/>
                <w:highlight w:val="none"/>
              </w:rPr>
              <w:t>18</w:t>
            </w:r>
          </w:p>
        </w:tc>
        <w:tc>
          <w:tcPr>
            <w:tcW w:w="1798" w:type="dxa"/>
            <w:tcBorders>
              <w:tl2br w:val="nil"/>
              <w:tr2bl w:val="nil"/>
            </w:tcBorders>
            <w:vAlign w:val="center"/>
          </w:tcPr>
          <w:p w14:paraId="4B895389">
            <w:pPr>
              <w:snapToGrid w:val="0"/>
              <w:spacing w:line="240" w:lineRule="auto"/>
              <w:ind w:firstLine="0" w:firstLineChars="0"/>
              <w:jc w:val="center"/>
              <w:rPr>
                <w:rFonts w:ascii="微软雅黑" w:hAnsi="微软雅黑" w:cs="仿宋_GB2312"/>
                <w:b/>
                <w:color w:val="auto"/>
                <w:szCs w:val="21"/>
                <w:highlight w:val="none"/>
              </w:rPr>
            </w:pPr>
            <w:r>
              <w:rPr>
                <w:rFonts w:hint="eastAsia" w:ascii="微软雅黑" w:hAnsi="微软雅黑" w:cs="仿宋_GB2312"/>
                <w:b/>
                <w:color w:val="auto"/>
                <w:szCs w:val="21"/>
                <w:highlight w:val="none"/>
              </w:rPr>
              <w:t>中小企业预留份额情况</w:t>
            </w:r>
          </w:p>
        </w:tc>
        <w:tc>
          <w:tcPr>
            <w:tcW w:w="6140" w:type="dxa"/>
            <w:tcBorders>
              <w:tl2br w:val="nil"/>
              <w:tr2bl w:val="nil"/>
            </w:tcBorders>
            <w:vAlign w:val="center"/>
          </w:tcPr>
          <w:p w14:paraId="6E568C81">
            <w:pPr>
              <w:spacing w:line="240" w:lineRule="auto"/>
              <w:ind w:firstLine="0" w:firstLineChars="0"/>
              <w:rPr>
                <w:rFonts w:ascii="微软雅黑" w:hAnsi="微软雅黑" w:cs="Arial"/>
                <w:color w:val="auto"/>
                <w:kern w:val="0"/>
                <w:szCs w:val="21"/>
                <w:highlight w:val="none"/>
              </w:rPr>
            </w:pPr>
            <w:r>
              <w:rPr>
                <w:rFonts w:hint="eastAsia" w:ascii="宋体" w:hAnsi="宋体"/>
                <w:color w:val="auto"/>
                <w:highlight w:val="none"/>
              </w:rPr>
              <w:t>根据《政府采购促进中小企业发展管理办法》财库〔2020〕46号文件的规定，本项目不属于预留份额专门面向中小企业采购的项目。</w:t>
            </w:r>
          </w:p>
        </w:tc>
      </w:tr>
      <w:tr w14:paraId="352D2C0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1734" w:hRule="atLeast"/>
          <w:tblHeader/>
        </w:trPr>
        <w:tc>
          <w:tcPr>
            <w:tcW w:w="629" w:type="dxa"/>
            <w:tcBorders>
              <w:tl2br w:val="nil"/>
              <w:tr2bl w:val="nil"/>
            </w:tcBorders>
            <w:vAlign w:val="center"/>
          </w:tcPr>
          <w:p w14:paraId="39527DD3">
            <w:pPr>
              <w:snapToGrid w:val="0"/>
              <w:spacing w:line="240" w:lineRule="auto"/>
              <w:ind w:firstLine="0" w:firstLineChars="0"/>
              <w:jc w:val="center"/>
              <w:rPr>
                <w:rFonts w:ascii="微软雅黑" w:hAnsi="微软雅黑" w:cs="仿宋_GB2312"/>
                <w:color w:val="auto"/>
                <w:szCs w:val="21"/>
                <w:highlight w:val="none"/>
              </w:rPr>
            </w:pPr>
            <w:r>
              <w:rPr>
                <w:rFonts w:hint="eastAsia" w:ascii="微软雅黑" w:hAnsi="微软雅黑" w:cs="仿宋_GB2312"/>
                <w:color w:val="auto"/>
                <w:szCs w:val="21"/>
                <w:highlight w:val="none"/>
              </w:rPr>
              <w:t>19</w:t>
            </w:r>
          </w:p>
        </w:tc>
        <w:tc>
          <w:tcPr>
            <w:tcW w:w="1798" w:type="dxa"/>
            <w:tcBorders>
              <w:tl2br w:val="nil"/>
              <w:tr2bl w:val="nil"/>
            </w:tcBorders>
            <w:vAlign w:val="center"/>
          </w:tcPr>
          <w:p w14:paraId="2CB1D0EF">
            <w:pPr>
              <w:tabs>
                <w:tab w:val="center" w:pos="954"/>
                <w:tab w:val="right" w:pos="1787"/>
              </w:tabs>
              <w:snapToGrid w:val="0"/>
              <w:spacing w:line="240" w:lineRule="auto"/>
              <w:ind w:firstLine="0" w:firstLineChars="0"/>
              <w:rPr>
                <w:rFonts w:ascii="微软雅黑" w:hAnsi="微软雅黑" w:cs="仿宋_GB2312"/>
                <w:b/>
                <w:strike/>
                <w:color w:val="auto"/>
                <w:szCs w:val="21"/>
                <w:highlight w:val="none"/>
              </w:rPr>
            </w:pPr>
            <w:r>
              <w:rPr>
                <w:rFonts w:hint="eastAsia" w:ascii="微软雅黑" w:hAnsi="微软雅黑" w:cs="仿宋_GB2312"/>
                <w:b/>
                <w:color w:val="auto"/>
                <w:szCs w:val="21"/>
                <w:highlight w:val="none"/>
              </w:rPr>
              <w:tab/>
            </w:r>
            <w:r>
              <w:rPr>
                <w:rFonts w:hint="eastAsia" w:ascii="微软雅黑" w:hAnsi="微软雅黑" w:cs="仿宋_GB2312"/>
                <w:b/>
                <w:color w:val="auto"/>
                <w:szCs w:val="21"/>
                <w:highlight w:val="none"/>
              </w:rPr>
              <w:t>政策优惠</w:t>
            </w:r>
            <w:r>
              <w:rPr>
                <w:rFonts w:hint="eastAsia" w:ascii="微软雅黑" w:hAnsi="微软雅黑" w:cs="仿宋_GB2312"/>
                <w:b/>
                <w:color w:val="auto"/>
                <w:szCs w:val="21"/>
                <w:highlight w:val="none"/>
              </w:rPr>
              <w:tab/>
            </w:r>
          </w:p>
        </w:tc>
        <w:tc>
          <w:tcPr>
            <w:tcW w:w="6140" w:type="dxa"/>
            <w:tcBorders>
              <w:tl2br w:val="nil"/>
              <w:tr2bl w:val="nil"/>
            </w:tcBorders>
            <w:vAlign w:val="center"/>
          </w:tcPr>
          <w:p w14:paraId="3CA92D07">
            <w:pPr>
              <w:autoSpaceDE w:val="0"/>
              <w:autoSpaceDN w:val="0"/>
              <w:snapToGrid w:val="0"/>
              <w:spacing w:line="240" w:lineRule="auto"/>
              <w:ind w:firstLine="0" w:firstLineChars="0"/>
              <w:textAlignment w:val="bottom"/>
              <w:rPr>
                <w:rFonts w:ascii="微软雅黑" w:hAnsi="微软雅黑" w:cs="宋体"/>
                <w:snapToGrid w:val="0"/>
                <w:color w:val="auto"/>
                <w:kern w:val="0"/>
                <w:szCs w:val="21"/>
                <w:highlight w:val="none"/>
              </w:rPr>
            </w:pPr>
            <w:r>
              <w:rPr>
                <w:rFonts w:hint="eastAsia" w:ascii="微软雅黑" w:hAnsi="微软雅黑"/>
                <w:color w:val="auto"/>
                <w:szCs w:val="21"/>
                <w:highlight w:val="none"/>
              </w:rPr>
              <w:t>1.根据财库〔2020〕46号、财库〔2022〕19号等相关规定，在评审时对于未预留份额专门面向中小企业的政府采购货物或服务项目，以及预留份额政府采购货物或服务项目中的非预留部分标项，对小型和微型企业的</w:t>
            </w:r>
            <w:r>
              <w:rPr>
                <w:rFonts w:ascii="微软雅黑" w:hAnsi="微软雅黑"/>
                <w:color w:val="auto"/>
                <w:szCs w:val="21"/>
                <w:highlight w:val="none"/>
                <w:lang w:val="en"/>
              </w:rPr>
              <w:t>投标报价给予</w:t>
            </w:r>
            <w:r>
              <w:rPr>
                <w:rFonts w:hint="eastAsia" w:ascii="微软雅黑" w:hAnsi="微软雅黑"/>
                <w:color w:val="auto"/>
                <w:szCs w:val="21"/>
                <w:highlight w:val="none"/>
                <w:lang w:val="en"/>
              </w:rPr>
              <w:t>1</w:t>
            </w:r>
            <w:r>
              <w:rPr>
                <w:rFonts w:ascii="微软雅黑" w:hAnsi="微软雅黑"/>
                <w:color w:val="auto"/>
                <w:szCs w:val="21"/>
                <w:highlight w:val="none"/>
                <w:lang w:val="en"/>
              </w:rPr>
              <w:t>0%的扣除</w:t>
            </w:r>
            <w:r>
              <w:rPr>
                <w:rFonts w:hint="eastAsia" w:ascii="微软雅黑" w:hAnsi="微软雅黑"/>
                <w:color w:val="auto"/>
                <w:szCs w:val="21"/>
                <w:highlight w:val="none"/>
              </w:rPr>
              <w:t>，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40%以上的，对联合体或者大中型企业的报价给予</w:t>
            </w:r>
            <w:r>
              <w:rPr>
                <w:rFonts w:ascii="微软雅黑" w:hAnsi="微软雅黑"/>
                <w:color w:val="auto"/>
                <w:szCs w:val="21"/>
                <w:highlight w:val="none"/>
                <w:lang w:val="en"/>
              </w:rPr>
              <w:t>6</w:t>
            </w:r>
            <w:r>
              <w:rPr>
                <w:rFonts w:hint="eastAsia" w:ascii="微软雅黑" w:hAnsi="微软雅黑"/>
                <w:color w:val="auto"/>
                <w:szCs w:val="21"/>
                <w:highlight w:val="none"/>
              </w:rPr>
              <w:t>%的扣除，用扣除后的价格参加评审。组成联合体或者接受分包的小微企业与联合体内其他企业、分包企业之间存在直接控股、管理关系的，不享受价格扣除优惠政策。属于小微企业的，投标文件必须提供《中小企业声明函》（模板见第六章）。</w:t>
            </w:r>
          </w:p>
          <w:p w14:paraId="413134F8">
            <w:pPr>
              <w:tabs>
                <w:tab w:val="left" w:pos="3870"/>
                <w:tab w:val="left" w:pos="4085"/>
              </w:tabs>
              <w:snapToGrid w:val="0"/>
              <w:spacing w:line="240" w:lineRule="auto"/>
              <w:ind w:firstLine="0" w:firstLineChars="0"/>
              <w:rPr>
                <w:rFonts w:ascii="微软雅黑" w:hAnsi="微软雅黑"/>
                <w:snapToGrid w:val="0"/>
                <w:color w:val="auto"/>
                <w:kern w:val="0"/>
                <w:szCs w:val="21"/>
                <w:highlight w:val="none"/>
              </w:rPr>
            </w:pPr>
            <w:r>
              <w:rPr>
                <w:rFonts w:hint="eastAsia" w:ascii="微软雅黑" w:hAnsi="微软雅黑"/>
                <w:snapToGrid w:val="0"/>
                <w:color w:val="auto"/>
                <w:kern w:val="0"/>
                <w:szCs w:val="21"/>
                <w:highlight w:val="none"/>
              </w:rPr>
              <w:t>2.根据财库〔2017〕141号的相关规定，在政府采购活动中，残疾人福利性单位视同小型、微型企业，享受评审中价格扣除政策。属于享受政府采购支持政策的残疾人福利性单位，应满足财库〔2017〕141号文件第一条的规定，并在投标文件中提供残疾人福利性单位声明函（见附件）。</w:t>
            </w:r>
          </w:p>
          <w:p w14:paraId="17C9D641">
            <w:pPr>
              <w:autoSpaceDE w:val="0"/>
              <w:autoSpaceDN w:val="0"/>
              <w:snapToGrid w:val="0"/>
              <w:spacing w:line="240" w:lineRule="auto"/>
              <w:ind w:firstLine="0" w:firstLineChars="0"/>
              <w:textAlignment w:val="bottom"/>
              <w:rPr>
                <w:rFonts w:ascii="微软雅黑" w:hAnsi="微软雅黑"/>
                <w:strike/>
                <w:color w:val="auto"/>
                <w:kern w:val="28"/>
                <w:szCs w:val="21"/>
                <w:highlight w:val="none"/>
              </w:rPr>
            </w:pPr>
            <w:r>
              <w:rPr>
                <w:rFonts w:hint="eastAsia" w:ascii="微软雅黑" w:hAnsi="微软雅黑"/>
                <w:snapToGrid w:val="0"/>
                <w:color w:val="auto"/>
                <w:kern w:val="0"/>
                <w:szCs w:val="21"/>
                <w:highlight w:val="none"/>
              </w:rPr>
              <w:t>3.监狱企业同视为小型、微型企业，享受中小企业政策扶持。</w:t>
            </w:r>
          </w:p>
        </w:tc>
      </w:tr>
      <w:tr w14:paraId="3EC7835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434" w:hRule="atLeast"/>
          <w:tblHeader/>
        </w:trPr>
        <w:tc>
          <w:tcPr>
            <w:tcW w:w="629" w:type="dxa"/>
            <w:tcBorders>
              <w:tl2br w:val="nil"/>
              <w:tr2bl w:val="nil"/>
            </w:tcBorders>
            <w:vAlign w:val="center"/>
          </w:tcPr>
          <w:p w14:paraId="20FE7C55">
            <w:pPr>
              <w:snapToGrid w:val="0"/>
              <w:spacing w:line="240" w:lineRule="auto"/>
              <w:ind w:firstLine="0" w:firstLineChars="0"/>
              <w:jc w:val="center"/>
              <w:rPr>
                <w:rFonts w:ascii="微软雅黑" w:hAnsi="微软雅黑" w:cs="仿宋_GB2312"/>
                <w:color w:val="auto"/>
                <w:szCs w:val="21"/>
                <w:highlight w:val="none"/>
              </w:rPr>
            </w:pPr>
            <w:r>
              <w:rPr>
                <w:rFonts w:hint="eastAsia" w:ascii="微软雅黑" w:hAnsi="微软雅黑" w:cs="仿宋_GB2312"/>
                <w:color w:val="auto"/>
                <w:szCs w:val="21"/>
                <w:highlight w:val="none"/>
              </w:rPr>
              <w:t>21</w:t>
            </w:r>
          </w:p>
        </w:tc>
        <w:tc>
          <w:tcPr>
            <w:tcW w:w="1798" w:type="dxa"/>
            <w:tcBorders>
              <w:tl2br w:val="nil"/>
              <w:tr2bl w:val="nil"/>
            </w:tcBorders>
            <w:vAlign w:val="center"/>
          </w:tcPr>
          <w:p w14:paraId="5DF48B6A">
            <w:pPr>
              <w:snapToGrid w:val="0"/>
              <w:spacing w:line="240" w:lineRule="auto"/>
              <w:ind w:firstLine="0" w:firstLineChars="0"/>
              <w:jc w:val="center"/>
              <w:rPr>
                <w:rFonts w:ascii="微软雅黑" w:hAnsi="微软雅黑" w:cs="仿宋_GB2312"/>
                <w:b/>
                <w:strike/>
                <w:color w:val="auto"/>
                <w:szCs w:val="21"/>
                <w:highlight w:val="none"/>
              </w:rPr>
            </w:pPr>
            <w:r>
              <w:rPr>
                <w:rFonts w:hint="eastAsia" w:ascii="微软雅黑" w:hAnsi="微软雅黑" w:cs="仿宋_GB2312"/>
                <w:b/>
                <w:color w:val="auto"/>
                <w:szCs w:val="21"/>
                <w:highlight w:val="none"/>
              </w:rPr>
              <w:t>特别说明</w:t>
            </w:r>
          </w:p>
        </w:tc>
        <w:tc>
          <w:tcPr>
            <w:tcW w:w="6140" w:type="dxa"/>
            <w:tcBorders>
              <w:tl2br w:val="nil"/>
              <w:tr2bl w:val="nil"/>
            </w:tcBorders>
            <w:vAlign w:val="center"/>
          </w:tcPr>
          <w:p w14:paraId="099546BD">
            <w:pPr>
              <w:autoSpaceDE w:val="0"/>
              <w:autoSpaceDN w:val="0"/>
              <w:snapToGrid w:val="0"/>
              <w:spacing w:line="240" w:lineRule="auto"/>
              <w:ind w:firstLine="0" w:firstLineChars="0"/>
              <w:textAlignment w:val="bottom"/>
              <w:rPr>
                <w:rFonts w:ascii="微软雅黑" w:hAnsi="微软雅黑"/>
                <w:strike/>
                <w:color w:val="auto"/>
                <w:kern w:val="28"/>
                <w:szCs w:val="21"/>
                <w:highlight w:val="none"/>
              </w:rPr>
            </w:pPr>
            <w:r>
              <w:rPr>
                <w:rFonts w:hint="eastAsia" w:ascii="微软雅黑" w:hAnsi="微软雅黑"/>
                <w:snapToGrid w:val="0"/>
                <w:color w:val="auto"/>
                <w:kern w:val="0"/>
                <w:szCs w:val="21"/>
                <w:highlight w:val="none"/>
              </w:rPr>
              <w:t>本招标文件的解释权属于采购人</w:t>
            </w:r>
          </w:p>
        </w:tc>
      </w:tr>
    </w:tbl>
    <w:p w14:paraId="0706BA23">
      <w:pPr>
        <w:pStyle w:val="3"/>
        <w:spacing w:line="500" w:lineRule="exact"/>
        <w:ind w:firstLine="420"/>
        <w:rPr>
          <w:rFonts w:ascii="微软雅黑" w:hAnsi="微软雅黑"/>
          <w:color w:val="auto"/>
          <w:szCs w:val="21"/>
          <w:highlight w:val="none"/>
        </w:rPr>
      </w:pPr>
      <w:bookmarkStart w:id="44" w:name="_Toc177870536"/>
      <w:bookmarkStart w:id="45" w:name="_Toc3218"/>
      <w:bookmarkStart w:id="46" w:name="_Toc493511580"/>
      <w:r>
        <w:rPr>
          <w:rFonts w:hint="eastAsia" w:ascii="微软雅黑" w:hAnsi="微软雅黑"/>
          <w:color w:val="auto"/>
          <w:szCs w:val="21"/>
          <w:highlight w:val="none"/>
        </w:rPr>
        <w:t>一、总  则</w:t>
      </w:r>
      <w:bookmarkEnd w:id="44"/>
      <w:bookmarkEnd w:id="45"/>
      <w:bookmarkEnd w:id="46"/>
    </w:p>
    <w:p w14:paraId="281F8B29">
      <w:pPr>
        <w:snapToGrid w:val="0"/>
        <w:ind w:firstLine="412" w:firstLineChars="196"/>
        <w:outlineLvl w:val="2"/>
        <w:rPr>
          <w:rFonts w:ascii="微软雅黑" w:hAnsi="微软雅黑"/>
          <w:b/>
          <w:color w:val="auto"/>
          <w:szCs w:val="21"/>
          <w:highlight w:val="none"/>
        </w:rPr>
      </w:pPr>
      <w:bookmarkStart w:id="47" w:name="_Toc169015114"/>
      <w:bookmarkStart w:id="48" w:name="_Toc164943190"/>
      <w:bookmarkStart w:id="49" w:name="_Toc397670948"/>
      <w:bookmarkStart w:id="50" w:name="_Toc397670919"/>
      <w:bookmarkStart w:id="51" w:name="_Toc493511613"/>
      <w:bookmarkStart w:id="52" w:name="_Toc177870544"/>
      <w:r>
        <w:rPr>
          <w:rFonts w:hint="eastAsia" w:ascii="微软雅黑" w:hAnsi="微软雅黑"/>
          <w:b/>
          <w:color w:val="auto"/>
          <w:szCs w:val="21"/>
          <w:highlight w:val="none"/>
        </w:rPr>
        <w:t>（一）适用范围</w:t>
      </w:r>
      <w:bookmarkEnd w:id="47"/>
      <w:bookmarkEnd w:id="48"/>
    </w:p>
    <w:p w14:paraId="5D2A7172">
      <w:pPr>
        <w:snapToGrid w:val="0"/>
        <w:ind w:firstLine="420"/>
        <w:rPr>
          <w:rFonts w:ascii="微软雅黑" w:hAnsi="微软雅黑"/>
          <w:color w:val="auto"/>
          <w:szCs w:val="21"/>
          <w:highlight w:val="none"/>
        </w:rPr>
      </w:pPr>
      <w:r>
        <w:rPr>
          <w:rFonts w:hint="eastAsia" w:ascii="微软雅黑" w:hAnsi="微软雅黑"/>
          <w:color w:val="auto"/>
          <w:szCs w:val="21"/>
          <w:highlight w:val="none"/>
        </w:rPr>
        <w:t>本招标文件适用于该项目的招标、投标、评标、定标、验收、合同履约、付款等行为（法律、法规另有规定的，从其规定）。</w:t>
      </w:r>
    </w:p>
    <w:p w14:paraId="404EFC2E">
      <w:pPr>
        <w:snapToGrid w:val="0"/>
        <w:ind w:firstLine="309" w:firstLineChars="147"/>
        <w:outlineLvl w:val="2"/>
        <w:rPr>
          <w:rFonts w:ascii="微软雅黑" w:hAnsi="微软雅黑"/>
          <w:b/>
          <w:color w:val="auto"/>
          <w:szCs w:val="21"/>
          <w:highlight w:val="none"/>
        </w:rPr>
      </w:pPr>
      <w:bookmarkStart w:id="53" w:name="_Toc164943191"/>
      <w:bookmarkStart w:id="54" w:name="_Toc169015115"/>
      <w:r>
        <w:rPr>
          <w:rFonts w:hint="eastAsia" w:ascii="微软雅黑" w:hAnsi="微软雅黑"/>
          <w:b/>
          <w:color w:val="auto"/>
          <w:szCs w:val="21"/>
          <w:highlight w:val="none"/>
        </w:rPr>
        <w:t>（二）定义</w:t>
      </w:r>
      <w:bookmarkEnd w:id="53"/>
      <w:bookmarkEnd w:id="54"/>
    </w:p>
    <w:p w14:paraId="312D3B6A">
      <w:pPr>
        <w:snapToGrid w:val="0"/>
        <w:ind w:firstLine="420"/>
        <w:rPr>
          <w:rFonts w:ascii="微软雅黑" w:hAnsi="微软雅黑"/>
          <w:color w:val="auto"/>
          <w:szCs w:val="21"/>
          <w:highlight w:val="none"/>
        </w:rPr>
      </w:pPr>
      <w:r>
        <w:rPr>
          <w:rFonts w:hint="eastAsia" w:ascii="微软雅黑" w:hAnsi="微软雅黑"/>
          <w:color w:val="auto"/>
          <w:szCs w:val="21"/>
          <w:highlight w:val="none"/>
        </w:rPr>
        <w:t>1.</w:t>
      </w:r>
      <w:r>
        <w:rPr>
          <w:rFonts w:hint="eastAsia" w:ascii="微软雅黑" w:hAnsi="微软雅黑" w:cs="宋体"/>
          <w:color w:val="auto"/>
          <w:szCs w:val="21"/>
          <w:highlight w:val="none"/>
        </w:rPr>
        <w:t>“采购人”系指招标公告中载明的本项目的采购人。</w:t>
      </w:r>
    </w:p>
    <w:p w14:paraId="2F4D2F05">
      <w:pPr>
        <w:snapToGrid w:val="0"/>
        <w:ind w:firstLine="420"/>
        <w:rPr>
          <w:rFonts w:hint="eastAsia" w:ascii="微软雅黑" w:hAnsi="微软雅黑" w:eastAsia="微软雅黑" w:cs="宋体"/>
          <w:color w:val="auto"/>
          <w:szCs w:val="21"/>
          <w:highlight w:val="none"/>
          <w:lang w:eastAsia="zh-CN"/>
        </w:rPr>
      </w:pPr>
      <w:r>
        <w:rPr>
          <w:rFonts w:hint="eastAsia" w:ascii="微软雅黑" w:hAnsi="微软雅黑" w:cs="宋体"/>
          <w:color w:val="auto"/>
          <w:szCs w:val="21"/>
          <w:highlight w:val="none"/>
        </w:rPr>
        <w:t>2.“采购代理机构”系指招标公告中载明的本项目的采购代理机构</w:t>
      </w:r>
      <w:r>
        <w:rPr>
          <w:rFonts w:hint="eastAsia" w:ascii="微软雅黑" w:hAnsi="微软雅黑" w:cs="宋体"/>
          <w:color w:val="auto"/>
          <w:szCs w:val="21"/>
          <w:highlight w:val="none"/>
          <w:lang w:eastAsia="zh-CN"/>
        </w:rPr>
        <w:t>。</w:t>
      </w:r>
    </w:p>
    <w:p w14:paraId="3F11A0AB">
      <w:pPr>
        <w:snapToGrid w:val="0"/>
        <w:ind w:firstLine="420"/>
        <w:rPr>
          <w:rFonts w:ascii="微软雅黑" w:hAnsi="微软雅黑" w:cs="宋体"/>
          <w:color w:val="auto"/>
          <w:szCs w:val="21"/>
          <w:highlight w:val="none"/>
        </w:rPr>
      </w:pPr>
      <w:r>
        <w:rPr>
          <w:rFonts w:hint="eastAsia" w:ascii="微软雅黑" w:hAnsi="微软雅黑"/>
          <w:color w:val="auto"/>
          <w:szCs w:val="21"/>
          <w:highlight w:val="none"/>
        </w:rPr>
        <w:t>3.“供应商”</w:t>
      </w:r>
      <w:r>
        <w:rPr>
          <w:rFonts w:hint="eastAsia" w:ascii="微软雅黑" w:hAnsi="微软雅黑" w:cs="宋体"/>
          <w:color w:val="auto"/>
          <w:szCs w:val="21"/>
          <w:highlight w:val="none"/>
        </w:rPr>
        <w:t>系指是指响应招标、参加投标竞争的法人、其他组织或者自然人。</w:t>
      </w:r>
    </w:p>
    <w:p w14:paraId="224D8F66">
      <w:pPr>
        <w:snapToGrid w:val="0"/>
        <w:ind w:firstLine="420"/>
        <w:rPr>
          <w:rFonts w:ascii="微软雅黑" w:hAnsi="微软雅黑"/>
          <w:color w:val="auto"/>
          <w:szCs w:val="21"/>
          <w:highlight w:val="none"/>
        </w:rPr>
      </w:pPr>
      <w:r>
        <w:rPr>
          <w:rFonts w:hint="eastAsia" w:ascii="微软雅黑" w:hAnsi="微软雅黑" w:cs="宋体"/>
          <w:color w:val="auto"/>
          <w:szCs w:val="21"/>
          <w:highlight w:val="none"/>
        </w:rPr>
        <w:t>4.“负责人”系指法人企业的法定负责人，或其他组织为法律、行政法规规定代表单位行使职权的主要负责人，或自然人本人。</w:t>
      </w:r>
    </w:p>
    <w:p w14:paraId="1482F647">
      <w:pPr>
        <w:snapToGrid w:val="0"/>
        <w:ind w:firstLine="420"/>
        <w:rPr>
          <w:rFonts w:ascii="微软雅黑" w:hAnsi="微软雅黑"/>
          <w:color w:val="auto"/>
          <w:szCs w:val="21"/>
          <w:highlight w:val="none"/>
        </w:rPr>
      </w:pPr>
      <w:r>
        <w:rPr>
          <w:rFonts w:hint="eastAsia" w:ascii="微软雅黑" w:hAnsi="微软雅黑"/>
          <w:color w:val="auto"/>
          <w:szCs w:val="21"/>
          <w:highlight w:val="none"/>
        </w:rPr>
        <w:t>5.“产品”系指供方按招标文件规定，须向采购人提供的一切设备、保险、税金、备品备件、工具、手册及其他有关技术资料和材料。</w:t>
      </w:r>
    </w:p>
    <w:p w14:paraId="7F2EBA6F">
      <w:pPr>
        <w:snapToGrid w:val="0"/>
        <w:ind w:firstLine="420"/>
        <w:rPr>
          <w:rFonts w:ascii="微软雅黑" w:hAnsi="微软雅黑"/>
          <w:color w:val="auto"/>
          <w:szCs w:val="21"/>
          <w:highlight w:val="none"/>
        </w:rPr>
      </w:pPr>
      <w:r>
        <w:rPr>
          <w:rFonts w:hint="eastAsia" w:ascii="微软雅黑" w:hAnsi="微软雅黑"/>
          <w:color w:val="auto"/>
          <w:szCs w:val="21"/>
          <w:highlight w:val="none"/>
        </w:rPr>
        <w:t>6.“服务”系指招标文件规定投标供应商须承担的安装、调试、技术协助、校准、培训、技术指导以及其他类似的义务。</w:t>
      </w:r>
    </w:p>
    <w:p w14:paraId="3EB340D1">
      <w:pPr>
        <w:snapToGrid w:val="0"/>
        <w:ind w:firstLine="420"/>
        <w:rPr>
          <w:rFonts w:ascii="微软雅黑" w:hAnsi="微软雅黑"/>
          <w:color w:val="auto"/>
          <w:szCs w:val="21"/>
          <w:highlight w:val="none"/>
        </w:rPr>
      </w:pPr>
      <w:r>
        <w:rPr>
          <w:rFonts w:hint="eastAsia" w:ascii="微软雅黑" w:hAnsi="微软雅黑"/>
          <w:color w:val="auto"/>
          <w:szCs w:val="21"/>
          <w:highlight w:val="none"/>
        </w:rPr>
        <w:t>7.“项目”系指投标供应商按招标文件规定向采购人提供的产品和服务。</w:t>
      </w:r>
    </w:p>
    <w:p w14:paraId="7DCA5B94">
      <w:pPr>
        <w:snapToGrid w:val="0"/>
        <w:ind w:firstLine="420"/>
        <w:rPr>
          <w:rFonts w:ascii="微软雅黑" w:hAnsi="微软雅黑"/>
          <w:color w:val="auto"/>
          <w:szCs w:val="21"/>
          <w:highlight w:val="none"/>
        </w:rPr>
      </w:pPr>
      <w:r>
        <w:rPr>
          <w:rFonts w:hint="eastAsia" w:ascii="微软雅黑" w:hAnsi="微软雅黑"/>
          <w:color w:val="auto"/>
          <w:szCs w:val="21"/>
          <w:highlight w:val="none"/>
        </w:rPr>
        <w:t>8.“书面形式”包括信函、传真、电报等。</w:t>
      </w:r>
    </w:p>
    <w:p w14:paraId="57282BCF">
      <w:pPr>
        <w:snapToGrid w:val="0"/>
        <w:ind w:firstLine="420"/>
        <w:rPr>
          <w:rFonts w:ascii="微软雅黑" w:hAnsi="微软雅黑" w:cs="宋体"/>
          <w:color w:val="auto"/>
          <w:szCs w:val="21"/>
          <w:highlight w:val="none"/>
        </w:rPr>
      </w:pPr>
      <w:r>
        <w:rPr>
          <w:rFonts w:hint="eastAsia" w:ascii="微软雅黑" w:hAnsi="微软雅黑" w:cs="宋体"/>
          <w:color w:val="auto"/>
          <w:szCs w:val="21"/>
          <w:highlight w:val="none"/>
        </w:rPr>
        <w:t>9.“电子签名”系指数据电文中以电子形式所含、所附用于识别签名人身份并表明签名人认可其中内容的数据；“公章”系指单位法定名称章。</w:t>
      </w:r>
    </w:p>
    <w:p w14:paraId="3B258588">
      <w:pPr>
        <w:snapToGrid w:val="0"/>
        <w:ind w:firstLine="420"/>
        <w:rPr>
          <w:rFonts w:ascii="微软雅黑" w:hAnsi="微软雅黑" w:cs="宋体"/>
          <w:color w:val="auto"/>
          <w:szCs w:val="21"/>
          <w:highlight w:val="none"/>
        </w:rPr>
      </w:pPr>
      <w:r>
        <w:rPr>
          <w:rFonts w:hint="eastAsia" w:ascii="微软雅黑" w:hAnsi="微软雅黑" w:cs="宋体"/>
          <w:color w:val="auto"/>
          <w:szCs w:val="21"/>
          <w:highlight w:val="none"/>
        </w:rPr>
        <w:t>10.“电子交易平台”是指本项目政府采购活动所依托的政府采购云平台（https://www.zcygov.cn/）。</w:t>
      </w:r>
    </w:p>
    <w:p w14:paraId="29808A60">
      <w:pPr>
        <w:snapToGrid w:val="0"/>
        <w:ind w:left="210" w:leftChars="100" w:firstLine="210" w:firstLineChars="100"/>
        <w:rPr>
          <w:rFonts w:ascii="微软雅黑" w:hAnsi="微软雅黑" w:cs="宋体"/>
          <w:color w:val="auto"/>
          <w:szCs w:val="21"/>
          <w:highlight w:val="none"/>
        </w:rPr>
      </w:pPr>
      <w:r>
        <w:rPr>
          <w:rFonts w:hint="eastAsia" w:ascii="微软雅黑" w:hAnsi="微软雅黑"/>
          <w:color w:val="auto"/>
          <w:szCs w:val="21"/>
          <w:highlight w:val="none"/>
        </w:rPr>
        <w:t>11.“▲”系指实质性要求条款，不满足实行性要求条款的投标文件无效。“★”系指产品采购项目中核心产品。“</w:t>
      </w:r>
      <w:r>
        <w:rPr>
          <w:rFonts w:ascii="微软雅黑" w:hAnsi="微软雅黑" w:cs="Arial"/>
          <w:color w:val="auto"/>
          <w:kern w:val="0"/>
          <w:szCs w:val="21"/>
          <w:highlight w:val="none"/>
        </w:rPr>
        <w:t></w:t>
      </w:r>
      <w:r>
        <w:rPr>
          <w:rFonts w:hint="eastAsia" w:ascii="微软雅黑" w:hAnsi="微软雅黑"/>
          <w:color w:val="auto"/>
          <w:szCs w:val="21"/>
          <w:highlight w:val="none"/>
        </w:rPr>
        <w:t>”</w:t>
      </w:r>
      <w:r>
        <w:rPr>
          <w:rFonts w:ascii="微软雅黑" w:hAnsi="微软雅黑"/>
          <w:color w:val="auto"/>
          <w:szCs w:val="21"/>
          <w:highlight w:val="none"/>
        </w:rPr>
        <w:t xml:space="preserve"> </w:t>
      </w:r>
      <w:r>
        <w:rPr>
          <w:rFonts w:hint="eastAsia" w:ascii="微软雅黑" w:hAnsi="微软雅黑" w:cs="宋体"/>
          <w:color w:val="auto"/>
          <w:szCs w:val="21"/>
          <w:highlight w:val="none"/>
        </w:rPr>
        <w:t>系指适用本项目的要求，“</w:t>
      </w: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 系指不适用本项目的要求。</w:t>
      </w:r>
    </w:p>
    <w:bookmarkEnd w:id="49"/>
    <w:bookmarkEnd w:id="50"/>
    <w:p w14:paraId="434941CB">
      <w:pPr>
        <w:snapToGrid w:val="0"/>
        <w:ind w:firstLine="412" w:firstLineChars="196"/>
        <w:outlineLvl w:val="2"/>
        <w:rPr>
          <w:rFonts w:ascii="微软雅黑" w:hAnsi="微软雅黑"/>
          <w:b/>
          <w:color w:val="auto"/>
          <w:szCs w:val="21"/>
          <w:highlight w:val="none"/>
        </w:rPr>
      </w:pPr>
      <w:bookmarkStart w:id="55" w:name="_Toc169015116"/>
      <w:bookmarkStart w:id="56" w:name="_Toc164943192"/>
      <w:bookmarkStart w:id="57" w:name="_Toc397670949"/>
      <w:bookmarkStart w:id="58" w:name="_Toc397670920"/>
      <w:r>
        <w:rPr>
          <w:rFonts w:hint="eastAsia" w:ascii="微软雅黑" w:hAnsi="微软雅黑"/>
          <w:b/>
          <w:color w:val="auto"/>
          <w:szCs w:val="21"/>
          <w:highlight w:val="none"/>
        </w:rPr>
        <w:t>（三）采购方式</w:t>
      </w:r>
      <w:bookmarkEnd w:id="55"/>
      <w:bookmarkEnd w:id="56"/>
    </w:p>
    <w:p w14:paraId="6C6DD612">
      <w:pPr>
        <w:snapToGrid w:val="0"/>
        <w:ind w:firstLine="420"/>
        <w:rPr>
          <w:rFonts w:ascii="微软雅黑" w:hAnsi="微软雅黑"/>
          <w:color w:val="auto"/>
          <w:szCs w:val="21"/>
          <w:highlight w:val="none"/>
        </w:rPr>
      </w:pPr>
      <w:r>
        <w:rPr>
          <w:rFonts w:hint="eastAsia" w:ascii="微软雅黑" w:hAnsi="微软雅黑"/>
          <w:color w:val="auto"/>
          <w:szCs w:val="21"/>
          <w:highlight w:val="none"/>
        </w:rPr>
        <w:t>本次招标采用公开采购方式进行。</w:t>
      </w:r>
    </w:p>
    <w:bookmarkEnd w:id="57"/>
    <w:bookmarkEnd w:id="58"/>
    <w:p w14:paraId="4CBA5BC3">
      <w:pPr>
        <w:snapToGrid w:val="0"/>
        <w:spacing w:before="120" w:beforeLines="50"/>
        <w:ind w:firstLine="412" w:firstLineChars="196"/>
        <w:outlineLvl w:val="2"/>
        <w:rPr>
          <w:rFonts w:ascii="微软雅黑" w:hAnsi="微软雅黑"/>
          <w:b/>
          <w:color w:val="auto"/>
          <w:szCs w:val="21"/>
          <w:highlight w:val="none"/>
        </w:rPr>
      </w:pPr>
      <w:bookmarkStart w:id="59" w:name="_Toc164943193"/>
      <w:bookmarkStart w:id="60" w:name="_Toc397670950"/>
      <w:bookmarkStart w:id="61" w:name="_Toc397670921"/>
      <w:bookmarkStart w:id="62" w:name="_Toc169015117"/>
      <w:r>
        <w:rPr>
          <w:rFonts w:hint="eastAsia" w:ascii="微软雅黑" w:hAnsi="微软雅黑"/>
          <w:b/>
          <w:color w:val="auto"/>
          <w:szCs w:val="21"/>
          <w:highlight w:val="none"/>
        </w:rPr>
        <w:t>（四）投标费用</w:t>
      </w:r>
      <w:bookmarkEnd w:id="59"/>
      <w:bookmarkEnd w:id="60"/>
      <w:bookmarkEnd w:id="61"/>
      <w:bookmarkEnd w:id="62"/>
    </w:p>
    <w:p w14:paraId="245F1EFC">
      <w:pPr>
        <w:snapToGrid w:val="0"/>
        <w:ind w:firstLine="420"/>
        <w:rPr>
          <w:rFonts w:ascii="微软雅黑" w:hAnsi="微软雅黑"/>
          <w:color w:val="auto"/>
          <w:szCs w:val="21"/>
          <w:highlight w:val="none"/>
        </w:rPr>
      </w:pPr>
      <w:r>
        <w:rPr>
          <w:rFonts w:hint="eastAsia" w:ascii="微软雅黑" w:hAnsi="微软雅黑"/>
          <w:color w:val="auto"/>
          <w:szCs w:val="21"/>
          <w:highlight w:val="none"/>
        </w:rPr>
        <w:t>不论投标结果如何，投标供应商均应自行承担所有与投标有关的全部费用（招标文件有相反规定除外）。</w:t>
      </w:r>
    </w:p>
    <w:p w14:paraId="70346689">
      <w:pPr>
        <w:snapToGrid w:val="0"/>
        <w:spacing w:before="120" w:beforeLines="50"/>
        <w:ind w:firstLine="412" w:firstLineChars="196"/>
        <w:outlineLvl w:val="2"/>
        <w:rPr>
          <w:rFonts w:ascii="微软雅黑" w:hAnsi="微软雅黑" w:cs="宋体"/>
          <w:b/>
          <w:color w:val="auto"/>
          <w:szCs w:val="21"/>
          <w:highlight w:val="none"/>
        </w:rPr>
      </w:pPr>
      <w:bookmarkStart w:id="63" w:name="_Toc164943194"/>
      <w:bookmarkStart w:id="64" w:name="_Toc169015118"/>
      <w:r>
        <w:rPr>
          <w:rFonts w:hint="eastAsia" w:ascii="微软雅黑" w:hAnsi="微软雅黑" w:cs="宋体"/>
          <w:b/>
          <w:color w:val="auto"/>
          <w:szCs w:val="21"/>
          <w:highlight w:val="none"/>
        </w:rPr>
        <w:t>（五）相关政府采购政策</w:t>
      </w:r>
      <w:bookmarkEnd w:id="63"/>
      <w:bookmarkEnd w:id="64"/>
    </w:p>
    <w:p w14:paraId="254E906E">
      <w:pPr>
        <w:keepNext w:val="0"/>
        <w:keepLines w:val="0"/>
        <w:pageBreakBefore w:val="0"/>
        <w:widowControl w:val="0"/>
        <w:numPr>
          <w:ilvl w:val="0"/>
          <w:numId w:val="25"/>
        </w:numPr>
        <w:kinsoku/>
        <w:wordWrap/>
        <w:overflowPunct/>
        <w:topLinePunct w:val="0"/>
        <w:autoSpaceDE/>
        <w:autoSpaceDN/>
        <w:bidi w:val="0"/>
        <w:adjustRightInd/>
        <w:snapToGrid w:val="0"/>
        <w:ind w:left="0" w:leftChars="0" w:firstLine="420" w:firstLineChars="200"/>
        <w:textAlignment w:val="auto"/>
        <w:rPr>
          <w:rFonts w:hint="eastAsia" w:ascii="微软雅黑" w:hAnsi="微软雅黑"/>
          <w:color w:val="auto"/>
          <w:szCs w:val="21"/>
          <w:highlight w:val="none"/>
        </w:rPr>
      </w:pPr>
      <w:r>
        <w:rPr>
          <w:rFonts w:hint="eastAsia" w:ascii="微软雅黑" w:hAnsi="微软雅黑"/>
          <w:color w:val="auto"/>
          <w:szCs w:val="21"/>
          <w:highlight w:val="none"/>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04A082B3">
      <w:pPr>
        <w:keepNext w:val="0"/>
        <w:keepLines w:val="0"/>
        <w:pageBreakBefore w:val="0"/>
        <w:widowControl w:val="0"/>
        <w:numPr>
          <w:ilvl w:val="0"/>
          <w:numId w:val="25"/>
        </w:numPr>
        <w:kinsoku/>
        <w:wordWrap/>
        <w:overflowPunct/>
        <w:topLinePunct w:val="0"/>
        <w:autoSpaceDE/>
        <w:autoSpaceDN/>
        <w:bidi w:val="0"/>
        <w:adjustRightInd/>
        <w:snapToGrid w:val="0"/>
        <w:ind w:left="0" w:leftChars="0" w:firstLine="420" w:firstLineChars="200"/>
        <w:textAlignment w:val="auto"/>
        <w:rPr>
          <w:rFonts w:ascii="微软雅黑" w:hAnsi="微软雅黑"/>
          <w:b/>
          <w:color w:val="auto"/>
          <w:szCs w:val="21"/>
          <w:highlight w:val="none"/>
        </w:rPr>
      </w:pPr>
      <w:r>
        <w:rPr>
          <w:rFonts w:hint="eastAsia" w:ascii="微软雅黑" w:hAnsi="微软雅黑"/>
          <w:color w:val="auto"/>
          <w:szCs w:val="21"/>
          <w:highlight w:val="none"/>
        </w:rPr>
        <w:t>支持绿色发展</w:t>
      </w:r>
    </w:p>
    <w:p w14:paraId="06B06658">
      <w:pPr>
        <w:keepNext w:val="0"/>
        <w:keepLines w:val="0"/>
        <w:pageBreakBefore w:val="0"/>
        <w:widowControl w:val="0"/>
        <w:numPr>
          <w:ilvl w:val="1"/>
          <w:numId w:val="25"/>
        </w:numPr>
        <w:kinsoku/>
        <w:wordWrap/>
        <w:overflowPunct/>
        <w:topLinePunct w:val="0"/>
        <w:autoSpaceDE/>
        <w:autoSpaceDN/>
        <w:bidi w:val="0"/>
        <w:adjustRightInd/>
        <w:snapToGrid w:val="0"/>
        <w:ind w:left="0" w:leftChars="0" w:firstLine="420" w:firstLineChars="200"/>
        <w:textAlignment w:val="auto"/>
        <w:rPr>
          <w:rFonts w:ascii="微软雅黑" w:hAnsi="微软雅黑"/>
          <w:b/>
          <w:color w:val="auto"/>
          <w:szCs w:val="21"/>
          <w:highlight w:val="none"/>
        </w:rPr>
      </w:pPr>
      <w:r>
        <w:rPr>
          <w:rFonts w:hint="eastAsia" w:ascii="微软雅黑" w:hAnsi="微软雅黑" w:cs="宋体"/>
          <w:b w:val="0"/>
          <w:bCs w:val="0"/>
          <w:color w:val="auto"/>
          <w:szCs w:val="21"/>
          <w:highlight w:val="none"/>
        </w:rPr>
        <w:t>采购</w:t>
      </w:r>
      <w:r>
        <w:rPr>
          <w:rFonts w:hint="eastAsia" w:ascii="微软雅黑" w:hAnsi="微软雅黑" w:cs="宋体"/>
          <w:color w:val="auto"/>
          <w:szCs w:val="21"/>
          <w:highlight w:val="none"/>
        </w:rPr>
        <w:t>人拟采购的产品属于品目清单范围的，采购人及其委托的采购代理机构将依据国家确定的认证机构出具的、处于有效期之内的节能产品、环境标志产品认证证书，对获得证书的产品实施政府优先采购或强制采购。投标供应商须按招标文件要求提供相关产品认证证书。</w:t>
      </w:r>
      <w:r>
        <w:rPr>
          <w:rFonts w:ascii="微软雅黑" w:hAnsi="微软雅黑"/>
          <w:color w:val="auto"/>
          <w:szCs w:val="21"/>
          <w:highlight w:val="none"/>
        </w:rPr>
        <w:t>▲</w:t>
      </w:r>
      <w:r>
        <w:rPr>
          <w:rFonts w:hint="eastAsia" w:ascii="微软雅黑" w:hAnsi="微软雅黑"/>
          <w:b/>
          <w:color w:val="auto"/>
          <w:szCs w:val="21"/>
          <w:highlight w:val="none"/>
        </w:rPr>
        <w:t>采购人拟采购的产品属于政府强制采购的节能产品品目清单范围的，投标供应商未按招标文件要求提供国家确定的认证机构出具的、处于有效期之内的节能产品认证证书的，投标无效。</w:t>
      </w:r>
    </w:p>
    <w:p w14:paraId="3852EC5A">
      <w:pPr>
        <w:keepNext w:val="0"/>
        <w:keepLines w:val="0"/>
        <w:pageBreakBefore w:val="0"/>
        <w:widowControl w:val="0"/>
        <w:numPr>
          <w:ilvl w:val="1"/>
          <w:numId w:val="25"/>
        </w:numPr>
        <w:kinsoku/>
        <w:wordWrap/>
        <w:overflowPunct/>
        <w:topLinePunct w:val="0"/>
        <w:autoSpaceDE/>
        <w:autoSpaceDN/>
        <w:bidi w:val="0"/>
        <w:adjustRightInd/>
        <w:snapToGrid w:val="0"/>
        <w:ind w:left="0" w:leftChars="0" w:firstLine="420" w:firstLineChars="200"/>
        <w:textAlignment w:val="auto"/>
        <w:rPr>
          <w:rFonts w:hint="eastAsia" w:ascii="微软雅黑" w:hAnsi="微软雅黑" w:cs="宋体"/>
          <w:b w:val="0"/>
          <w:bCs w:val="0"/>
          <w:color w:val="auto"/>
          <w:szCs w:val="21"/>
          <w:highlight w:val="none"/>
        </w:rPr>
      </w:pPr>
      <w:r>
        <w:rPr>
          <w:rFonts w:hint="eastAsia" w:ascii="微软雅黑" w:hAnsi="微软雅黑" w:cs="宋体"/>
          <w:b w:val="0"/>
          <w:bCs w:val="0"/>
          <w:color w:val="auto"/>
          <w:szCs w:val="21"/>
          <w:highlight w:val="none"/>
        </w:rPr>
        <w:t>修缮、装修类项目采购建材的，采购人应将绿色建筑和绿色建材性能、指标等作为实质性条件纳入招标文件和合同。</w:t>
      </w:r>
    </w:p>
    <w:p w14:paraId="6041FCE1">
      <w:pPr>
        <w:keepNext w:val="0"/>
        <w:keepLines w:val="0"/>
        <w:pageBreakBefore w:val="0"/>
        <w:widowControl w:val="0"/>
        <w:numPr>
          <w:ilvl w:val="1"/>
          <w:numId w:val="25"/>
        </w:numPr>
        <w:kinsoku/>
        <w:wordWrap/>
        <w:overflowPunct/>
        <w:topLinePunct w:val="0"/>
        <w:autoSpaceDE/>
        <w:autoSpaceDN/>
        <w:bidi w:val="0"/>
        <w:adjustRightInd/>
        <w:snapToGrid w:val="0"/>
        <w:ind w:left="0" w:leftChars="0" w:firstLine="420" w:firstLineChars="200"/>
        <w:textAlignment w:val="auto"/>
        <w:rPr>
          <w:rFonts w:hint="eastAsia" w:ascii="微软雅黑" w:hAnsi="微软雅黑" w:cs="宋体"/>
          <w:b w:val="0"/>
          <w:bCs w:val="0"/>
          <w:color w:val="auto"/>
          <w:szCs w:val="21"/>
          <w:highlight w:val="none"/>
        </w:rPr>
      </w:pPr>
      <w:r>
        <w:rPr>
          <w:rFonts w:hint="eastAsia" w:ascii="微软雅黑" w:hAnsi="微软雅黑" w:cs="宋体"/>
          <w:b w:val="0"/>
          <w:bCs w:val="0"/>
          <w:color w:val="auto"/>
          <w:szCs w:val="21"/>
          <w:highlight w:val="none"/>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5E8F28D1">
      <w:pPr>
        <w:keepNext w:val="0"/>
        <w:keepLines w:val="0"/>
        <w:pageBreakBefore w:val="0"/>
        <w:widowControl w:val="0"/>
        <w:numPr>
          <w:ilvl w:val="0"/>
          <w:numId w:val="25"/>
        </w:numPr>
        <w:kinsoku/>
        <w:wordWrap/>
        <w:overflowPunct/>
        <w:topLinePunct w:val="0"/>
        <w:autoSpaceDE/>
        <w:autoSpaceDN/>
        <w:bidi w:val="0"/>
        <w:adjustRightInd/>
        <w:snapToGrid w:val="0"/>
        <w:ind w:left="0" w:leftChars="0" w:firstLine="420" w:firstLineChars="200"/>
        <w:textAlignment w:val="auto"/>
        <w:rPr>
          <w:rFonts w:hint="eastAsia" w:ascii="微软雅黑" w:hAnsi="微软雅黑"/>
          <w:color w:val="auto"/>
          <w:szCs w:val="21"/>
          <w:highlight w:val="none"/>
        </w:rPr>
      </w:pPr>
      <w:r>
        <w:rPr>
          <w:rFonts w:hint="eastAsia" w:ascii="微软雅黑" w:hAnsi="微软雅黑"/>
          <w:color w:val="auto"/>
          <w:szCs w:val="21"/>
          <w:highlight w:val="none"/>
        </w:rPr>
        <w:t>支持中小企业发展</w:t>
      </w:r>
    </w:p>
    <w:p w14:paraId="351DB50A">
      <w:pPr>
        <w:keepNext w:val="0"/>
        <w:keepLines w:val="0"/>
        <w:pageBreakBefore w:val="0"/>
        <w:widowControl w:val="0"/>
        <w:numPr>
          <w:ilvl w:val="1"/>
          <w:numId w:val="25"/>
        </w:numPr>
        <w:kinsoku/>
        <w:wordWrap/>
        <w:overflowPunct/>
        <w:topLinePunct w:val="0"/>
        <w:autoSpaceDE/>
        <w:autoSpaceDN/>
        <w:bidi w:val="0"/>
        <w:adjustRightInd/>
        <w:snapToGrid w:val="0"/>
        <w:ind w:left="0" w:leftChars="0" w:firstLine="420" w:firstLineChars="200"/>
        <w:textAlignment w:val="auto"/>
        <w:rPr>
          <w:rFonts w:hint="eastAsia" w:ascii="微软雅黑" w:hAnsi="微软雅黑" w:cs="宋体"/>
          <w:b w:val="0"/>
          <w:bCs w:val="0"/>
          <w:color w:val="auto"/>
          <w:szCs w:val="21"/>
          <w:highlight w:val="none"/>
        </w:rPr>
      </w:pPr>
      <w:r>
        <w:rPr>
          <w:rFonts w:hint="eastAsia" w:ascii="微软雅黑" w:hAnsi="微软雅黑" w:cs="宋体"/>
          <w:b w:val="0"/>
          <w:bCs w:val="0"/>
          <w:color w:val="auto"/>
          <w:szCs w:val="21"/>
          <w:highlight w:val="none"/>
        </w:rPr>
        <w:t>中小企业，是指在中华人民共和国境内依法设立，依据国务院批准的中小企业划分标准确定的中型企业、小型企业和微型企业，但与大企业的负责人为同一人，或者与大企业存在直接控股、管理关系的除外。</w:t>
      </w:r>
    </w:p>
    <w:p w14:paraId="4FB715AD">
      <w:pPr>
        <w:snapToGrid w:val="0"/>
        <w:ind w:firstLine="420"/>
        <w:rPr>
          <w:rFonts w:ascii="微软雅黑" w:hAnsi="微软雅黑" w:cs="宋体"/>
          <w:color w:val="auto"/>
          <w:szCs w:val="21"/>
          <w:highlight w:val="none"/>
        </w:rPr>
      </w:pPr>
      <w:r>
        <w:rPr>
          <w:rFonts w:hint="eastAsia" w:ascii="微软雅黑" w:hAnsi="微软雅黑" w:cs="宋体"/>
          <w:color w:val="auto"/>
          <w:szCs w:val="21"/>
          <w:highlight w:val="none"/>
        </w:rPr>
        <w:t>符合中小企业划分标准的个体工商户，在政府采购活动中视同中小企业。</w:t>
      </w:r>
    </w:p>
    <w:p w14:paraId="5C3A93E2">
      <w:pPr>
        <w:keepNext w:val="0"/>
        <w:keepLines w:val="0"/>
        <w:pageBreakBefore w:val="0"/>
        <w:widowControl w:val="0"/>
        <w:numPr>
          <w:ilvl w:val="1"/>
          <w:numId w:val="25"/>
        </w:numPr>
        <w:kinsoku/>
        <w:wordWrap/>
        <w:overflowPunct/>
        <w:topLinePunct w:val="0"/>
        <w:autoSpaceDE/>
        <w:autoSpaceDN/>
        <w:bidi w:val="0"/>
        <w:adjustRightInd/>
        <w:snapToGrid w:val="0"/>
        <w:ind w:left="0" w:leftChars="0" w:firstLine="420" w:firstLineChars="200"/>
        <w:textAlignment w:val="auto"/>
        <w:rPr>
          <w:rFonts w:ascii="微软雅黑" w:hAnsi="微软雅黑" w:cs="宋体"/>
          <w:color w:val="auto"/>
          <w:szCs w:val="21"/>
          <w:highlight w:val="none"/>
        </w:rPr>
      </w:pPr>
      <w:r>
        <w:rPr>
          <w:rFonts w:hint="eastAsia" w:ascii="微软雅黑" w:hAnsi="微软雅黑" w:cs="宋体"/>
          <w:b w:val="0"/>
          <w:bCs w:val="0"/>
          <w:color w:val="auto"/>
          <w:szCs w:val="21"/>
          <w:highlight w:val="none"/>
        </w:rPr>
        <w:t>在政府采购活动中，投标供应商提供的货物、工程或者服务符合下列情形的，享受中小企业扶持政策：</w:t>
      </w:r>
    </w:p>
    <w:p w14:paraId="26D031E1">
      <w:pPr>
        <w:keepNext w:val="0"/>
        <w:keepLines w:val="0"/>
        <w:pageBreakBefore w:val="0"/>
        <w:widowControl w:val="0"/>
        <w:numPr>
          <w:ilvl w:val="2"/>
          <w:numId w:val="25"/>
        </w:numPr>
        <w:kinsoku/>
        <w:wordWrap/>
        <w:overflowPunct/>
        <w:topLinePunct w:val="0"/>
        <w:autoSpaceDE/>
        <w:autoSpaceDN/>
        <w:bidi w:val="0"/>
        <w:adjustRightInd/>
        <w:snapToGrid w:val="0"/>
        <w:ind w:left="0" w:leftChars="0" w:firstLine="420" w:firstLineChars="200"/>
        <w:textAlignment w:val="auto"/>
        <w:rPr>
          <w:rFonts w:ascii="微软雅黑" w:hAnsi="微软雅黑" w:cs="宋体"/>
          <w:color w:val="auto"/>
          <w:szCs w:val="21"/>
          <w:highlight w:val="none"/>
        </w:rPr>
      </w:pPr>
      <w:r>
        <w:rPr>
          <w:rFonts w:hint="eastAsia" w:ascii="微软雅黑" w:hAnsi="微软雅黑" w:cs="宋体"/>
          <w:color w:val="auto"/>
          <w:szCs w:val="21"/>
          <w:highlight w:val="none"/>
        </w:rPr>
        <w:t>在货物采购项目中，货物由中小企业制造，即货物由中小企业生产且使用该中小企业商号或者注册商标；</w:t>
      </w:r>
    </w:p>
    <w:p w14:paraId="1C163AFD">
      <w:pPr>
        <w:keepNext w:val="0"/>
        <w:keepLines w:val="0"/>
        <w:pageBreakBefore w:val="0"/>
        <w:widowControl w:val="0"/>
        <w:numPr>
          <w:ilvl w:val="2"/>
          <w:numId w:val="25"/>
        </w:numPr>
        <w:kinsoku/>
        <w:wordWrap/>
        <w:overflowPunct/>
        <w:topLinePunct w:val="0"/>
        <w:autoSpaceDE/>
        <w:autoSpaceDN/>
        <w:bidi w:val="0"/>
        <w:adjustRightInd/>
        <w:snapToGrid w:val="0"/>
        <w:ind w:left="0" w:leftChars="0" w:firstLine="420" w:firstLineChars="200"/>
        <w:textAlignment w:val="auto"/>
        <w:rPr>
          <w:rFonts w:hint="eastAsia" w:ascii="微软雅黑" w:hAnsi="微软雅黑" w:cs="宋体"/>
          <w:color w:val="auto"/>
          <w:szCs w:val="21"/>
          <w:highlight w:val="none"/>
        </w:rPr>
      </w:pPr>
      <w:r>
        <w:rPr>
          <w:rFonts w:hint="eastAsia" w:ascii="微软雅黑" w:hAnsi="微软雅黑" w:cs="宋体"/>
          <w:color w:val="auto"/>
          <w:szCs w:val="21"/>
          <w:highlight w:val="none"/>
        </w:rPr>
        <w:t>在工程采购项目中，工程由中小企业承建，即工程施工单位为中小企业；</w:t>
      </w:r>
    </w:p>
    <w:p w14:paraId="1BE1C2DF">
      <w:pPr>
        <w:keepNext w:val="0"/>
        <w:keepLines w:val="0"/>
        <w:pageBreakBefore w:val="0"/>
        <w:widowControl w:val="0"/>
        <w:numPr>
          <w:ilvl w:val="2"/>
          <w:numId w:val="25"/>
        </w:numPr>
        <w:kinsoku/>
        <w:wordWrap/>
        <w:overflowPunct/>
        <w:topLinePunct w:val="0"/>
        <w:autoSpaceDE/>
        <w:autoSpaceDN/>
        <w:bidi w:val="0"/>
        <w:adjustRightInd/>
        <w:snapToGrid w:val="0"/>
        <w:ind w:left="0" w:leftChars="0" w:firstLine="420" w:firstLineChars="200"/>
        <w:textAlignment w:val="auto"/>
        <w:rPr>
          <w:rFonts w:hint="eastAsia" w:ascii="微软雅黑" w:hAnsi="微软雅黑" w:cs="宋体"/>
          <w:color w:val="auto"/>
          <w:szCs w:val="21"/>
          <w:highlight w:val="none"/>
        </w:rPr>
      </w:pPr>
      <w:r>
        <w:rPr>
          <w:rFonts w:hint="eastAsia" w:ascii="微软雅黑" w:hAnsi="微软雅黑" w:cs="宋体"/>
          <w:color w:val="auto"/>
          <w:szCs w:val="21"/>
          <w:highlight w:val="none"/>
        </w:rPr>
        <w:t>在服务采购项目中，服务由中小企业承接，即提供服务的人员为中小企业依照《中华人民共和国劳动合同法》订立劳动合同的从业人员。</w:t>
      </w:r>
    </w:p>
    <w:p w14:paraId="3EFD9903">
      <w:pPr>
        <w:snapToGrid w:val="0"/>
        <w:ind w:firstLine="420"/>
        <w:rPr>
          <w:rFonts w:ascii="微软雅黑" w:hAnsi="微软雅黑" w:cs="宋体"/>
          <w:color w:val="auto"/>
          <w:szCs w:val="21"/>
          <w:highlight w:val="none"/>
        </w:rPr>
      </w:pPr>
      <w:r>
        <w:rPr>
          <w:rFonts w:hint="eastAsia" w:ascii="微软雅黑" w:hAnsi="微软雅黑" w:cs="宋体"/>
          <w:color w:val="auto"/>
          <w:szCs w:val="21"/>
          <w:highlight w:val="none"/>
        </w:rPr>
        <w:t>在货物采购项目中，投标供应商提供的货物既有中小企业制造货物，也有大型企业制造货物的，不享受中小企业扶持政策。</w:t>
      </w:r>
    </w:p>
    <w:p w14:paraId="21E3E42E">
      <w:pPr>
        <w:snapToGrid w:val="0"/>
        <w:ind w:firstLine="420"/>
        <w:rPr>
          <w:rFonts w:ascii="微软雅黑" w:hAnsi="微软雅黑" w:cs="宋体"/>
          <w:color w:val="auto"/>
          <w:szCs w:val="21"/>
          <w:highlight w:val="none"/>
        </w:rPr>
      </w:pPr>
      <w:r>
        <w:rPr>
          <w:rFonts w:hint="eastAsia" w:ascii="微软雅黑" w:hAnsi="微软雅黑" w:cs="宋体"/>
          <w:color w:val="auto"/>
          <w:szCs w:val="21"/>
          <w:highlight w:val="none"/>
        </w:rPr>
        <w:t>以联合体形式参加政府采购活动，联合体各方均为中小企业的，联合体视同中小企业。其中，联合体各方均为小微企业的，联合体视同小微企业。</w:t>
      </w:r>
    </w:p>
    <w:p w14:paraId="3EB57541">
      <w:pPr>
        <w:keepNext w:val="0"/>
        <w:keepLines w:val="0"/>
        <w:pageBreakBefore w:val="0"/>
        <w:widowControl w:val="0"/>
        <w:numPr>
          <w:ilvl w:val="1"/>
          <w:numId w:val="25"/>
        </w:numPr>
        <w:kinsoku/>
        <w:wordWrap/>
        <w:overflowPunct/>
        <w:topLinePunct w:val="0"/>
        <w:autoSpaceDE/>
        <w:autoSpaceDN/>
        <w:bidi w:val="0"/>
        <w:adjustRightInd/>
        <w:snapToGrid w:val="0"/>
        <w:ind w:left="0" w:leftChars="0" w:firstLine="420" w:firstLineChars="200"/>
        <w:textAlignment w:val="auto"/>
        <w:rPr>
          <w:rFonts w:hint="eastAsia" w:ascii="微软雅黑" w:hAnsi="微软雅黑" w:cs="宋体"/>
          <w:b w:val="0"/>
          <w:bCs w:val="0"/>
          <w:color w:val="auto"/>
          <w:szCs w:val="21"/>
          <w:highlight w:val="none"/>
        </w:rPr>
      </w:pPr>
      <w:r>
        <w:rPr>
          <w:rFonts w:hint="eastAsia" w:ascii="微软雅黑" w:hAnsi="微软雅黑" w:cs="宋体"/>
          <w:b w:val="0"/>
          <w:bCs w:val="0"/>
          <w:color w:val="auto"/>
          <w:szCs w:val="21"/>
          <w:highlight w:val="none"/>
        </w:rPr>
        <w:t>符合《关于促进残疾人就业政府采购政策的通知》（财库〔2017〕141号）规定的条件并提供《残疾人福利性单位声明函》（附件1）的残疾人福利性单位视同小型、微型企业；</w:t>
      </w:r>
    </w:p>
    <w:p w14:paraId="52600F76">
      <w:pPr>
        <w:keepNext w:val="0"/>
        <w:keepLines w:val="0"/>
        <w:pageBreakBefore w:val="0"/>
        <w:widowControl w:val="0"/>
        <w:numPr>
          <w:ilvl w:val="1"/>
          <w:numId w:val="25"/>
        </w:numPr>
        <w:kinsoku/>
        <w:wordWrap/>
        <w:overflowPunct/>
        <w:topLinePunct w:val="0"/>
        <w:autoSpaceDE/>
        <w:autoSpaceDN/>
        <w:bidi w:val="0"/>
        <w:adjustRightInd/>
        <w:snapToGrid w:val="0"/>
        <w:ind w:left="0" w:leftChars="0" w:firstLine="420" w:firstLineChars="200"/>
        <w:textAlignment w:val="auto"/>
        <w:rPr>
          <w:rFonts w:hint="eastAsia" w:ascii="微软雅黑" w:hAnsi="微软雅黑" w:cs="宋体"/>
          <w:b w:val="0"/>
          <w:bCs w:val="0"/>
          <w:color w:val="auto"/>
          <w:szCs w:val="21"/>
          <w:highlight w:val="none"/>
        </w:rPr>
      </w:pPr>
      <w:r>
        <w:rPr>
          <w:rFonts w:hint="eastAsia" w:ascii="微软雅黑" w:hAnsi="微软雅黑" w:cs="宋体"/>
          <w:b w:val="0"/>
          <w:bCs w:val="0"/>
          <w:color w:val="auto"/>
          <w:szCs w:val="21"/>
          <w:highlight w:val="none"/>
        </w:rPr>
        <w:t>符合《关于政府采购支持监狱企业发展有关问题的通知》（财库[2014]68号）规定的监狱企业并提供由省级以上监狱管理局、戒毒管理局（含新疆生产建设兵团）出具的属于监狱企业证明文件的，视同为小型、微型企业。</w:t>
      </w:r>
    </w:p>
    <w:p w14:paraId="4A3DFB55">
      <w:pPr>
        <w:keepNext w:val="0"/>
        <w:keepLines w:val="0"/>
        <w:pageBreakBefore w:val="0"/>
        <w:widowControl w:val="0"/>
        <w:numPr>
          <w:ilvl w:val="1"/>
          <w:numId w:val="25"/>
        </w:numPr>
        <w:kinsoku/>
        <w:wordWrap/>
        <w:overflowPunct/>
        <w:topLinePunct w:val="0"/>
        <w:autoSpaceDE/>
        <w:autoSpaceDN/>
        <w:bidi w:val="0"/>
        <w:adjustRightInd/>
        <w:snapToGrid w:val="0"/>
        <w:ind w:left="0" w:leftChars="0" w:firstLine="420" w:firstLineChars="200"/>
        <w:textAlignment w:val="auto"/>
        <w:rPr>
          <w:rFonts w:hint="eastAsia" w:ascii="微软雅黑" w:hAnsi="微软雅黑" w:cs="宋体"/>
          <w:b w:val="0"/>
          <w:bCs w:val="0"/>
          <w:color w:val="auto"/>
          <w:szCs w:val="21"/>
          <w:highlight w:val="none"/>
        </w:rPr>
      </w:pPr>
      <w:r>
        <w:rPr>
          <w:rFonts w:hint="eastAsia" w:ascii="微软雅黑" w:hAnsi="微软雅黑" w:cs="宋体"/>
          <w:b w:val="0"/>
          <w:bCs w:val="0"/>
          <w:color w:val="auto"/>
          <w:szCs w:val="21"/>
          <w:highlight w:val="none"/>
        </w:rPr>
        <w:t>可享受中小企业扶持政策的投标供应商应按照招标文件格式要求提供《中小企业声明函》，投标供应商提供的《中小企业声明函》与实际情况不符的，不享受中小企业扶持政策。声明内容不实的，属于提供虚假材料谋取中标、成交的，依法承担法律责任。</w:t>
      </w:r>
    </w:p>
    <w:p w14:paraId="46DFC113">
      <w:pPr>
        <w:keepNext w:val="0"/>
        <w:keepLines w:val="0"/>
        <w:pageBreakBefore w:val="0"/>
        <w:widowControl w:val="0"/>
        <w:numPr>
          <w:ilvl w:val="1"/>
          <w:numId w:val="25"/>
        </w:numPr>
        <w:kinsoku/>
        <w:wordWrap/>
        <w:overflowPunct/>
        <w:topLinePunct w:val="0"/>
        <w:autoSpaceDE/>
        <w:autoSpaceDN/>
        <w:bidi w:val="0"/>
        <w:adjustRightInd/>
        <w:snapToGrid w:val="0"/>
        <w:ind w:left="0" w:leftChars="0" w:firstLine="420" w:firstLineChars="200"/>
        <w:textAlignment w:val="auto"/>
        <w:rPr>
          <w:rFonts w:hint="eastAsia" w:ascii="微软雅黑" w:hAnsi="微软雅黑" w:cs="宋体"/>
          <w:b w:val="0"/>
          <w:bCs w:val="0"/>
          <w:color w:val="auto"/>
          <w:szCs w:val="21"/>
          <w:highlight w:val="none"/>
        </w:rPr>
      </w:pPr>
      <w:r>
        <w:rPr>
          <w:rFonts w:hint="eastAsia" w:ascii="微软雅黑" w:hAnsi="微软雅黑" w:cs="宋体"/>
          <w:b w:val="0"/>
          <w:bCs w:val="0"/>
          <w:color w:val="auto"/>
          <w:szCs w:val="21"/>
          <w:highlight w:val="none"/>
        </w:rPr>
        <w:t>中小企业享受扶持政策获得政府采购合同的，小微企业不得将合同分包给大中型企业，中型企业不得将合同分包给大型企业。</w:t>
      </w:r>
    </w:p>
    <w:p w14:paraId="10FEBD89">
      <w:pPr>
        <w:snapToGrid w:val="0"/>
        <w:ind w:firstLine="412" w:firstLineChars="196"/>
        <w:outlineLvl w:val="2"/>
        <w:rPr>
          <w:rFonts w:ascii="微软雅黑" w:hAnsi="微软雅黑"/>
          <w:b/>
          <w:color w:val="auto"/>
          <w:szCs w:val="21"/>
          <w:highlight w:val="none"/>
        </w:rPr>
      </w:pPr>
      <w:bookmarkStart w:id="65" w:name="_Toc169015119"/>
      <w:bookmarkStart w:id="66" w:name="_Toc164943195"/>
      <w:r>
        <w:rPr>
          <w:rFonts w:hint="eastAsia" w:ascii="微软雅黑" w:hAnsi="微软雅黑"/>
          <w:b/>
          <w:color w:val="auto"/>
          <w:szCs w:val="21"/>
          <w:highlight w:val="none"/>
        </w:rPr>
        <w:t>（六）特别说明：</w:t>
      </w:r>
      <w:bookmarkEnd w:id="65"/>
      <w:bookmarkEnd w:id="66"/>
    </w:p>
    <w:p w14:paraId="17B9FD20">
      <w:pPr>
        <w:keepNext w:val="0"/>
        <w:keepLines w:val="0"/>
        <w:pageBreakBefore w:val="0"/>
        <w:widowControl w:val="0"/>
        <w:numPr>
          <w:ilvl w:val="0"/>
          <w:numId w:val="26"/>
        </w:numPr>
        <w:kinsoku/>
        <w:wordWrap/>
        <w:overflowPunct/>
        <w:topLinePunct w:val="0"/>
        <w:autoSpaceDE/>
        <w:autoSpaceDN/>
        <w:bidi w:val="0"/>
        <w:adjustRightInd/>
        <w:snapToGrid w:val="0"/>
        <w:ind w:left="0" w:leftChars="0" w:firstLine="420" w:firstLineChars="200"/>
        <w:textAlignment w:val="auto"/>
        <w:rPr>
          <w:rFonts w:hint="eastAsia" w:ascii="微软雅黑" w:hAnsi="微软雅黑"/>
          <w:color w:val="auto"/>
          <w:szCs w:val="21"/>
          <w:highlight w:val="none"/>
        </w:rPr>
      </w:pPr>
      <w:r>
        <w:rPr>
          <w:rFonts w:hint="eastAsia" w:ascii="微软雅黑" w:hAnsi="微软雅黑"/>
          <w:color w:val="auto"/>
          <w:szCs w:val="21"/>
          <w:highlight w:val="none"/>
        </w:rPr>
        <w:t>采用最低评标价法的采购项目，提供相同品牌产品的不同投标供应商参加同一合同项下投标的，以其中通过资格审查、符合性审查且报价最低的参加评标；报价相同的，由采购人或者采购人委托评标委员会按照招标文件规定的方式确定一个参加评标的投标供应商，招标文件未规定的采取随机抽取方式确定，其他投标无效。</w:t>
      </w:r>
    </w:p>
    <w:p w14:paraId="55306B9F">
      <w:pPr>
        <w:pStyle w:val="28"/>
        <w:snapToGrid w:val="0"/>
        <w:ind w:left="2" w:leftChars="1" w:firstLine="420"/>
        <w:rPr>
          <w:rFonts w:ascii="微软雅黑" w:hAnsi="微软雅黑" w:cs="宋体"/>
          <w:color w:val="auto"/>
          <w:szCs w:val="21"/>
          <w:highlight w:val="none"/>
        </w:rPr>
      </w:pPr>
      <w:r>
        <w:rPr>
          <w:rFonts w:hint="eastAsia" w:ascii="微软雅黑" w:hAnsi="微软雅黑" w:cs="宋体"/>
          <w:color w:val="auto"/>
          <w:szCs w:val="21"/>
          <w:highlight w:val="none"/>
        </w:rPr>
        <w:t>使用综合评分法的采购项目，提供相同品牌产品且通过资格审查、符合性审查的不同投标供应商参加同一合同项下投标的，按一家投标供应商计算，评审后得分最高的同品牌投标供应商获得中标供应商推荐资格；评审得分相同的，由采购人或者采购人委托评标委员会按照招标文件规定的方式确定一个投标供应商获得中标供应商推荐资格，招标文件未规定的采取随机抽取方式确定，其他同品牌投标供应商不作为中标候选人。</w:t>
      </w:r>
    </w:p>
    <w:p w14:paraId="3D9D990A">
      <w:pPr>
        <w:pStyle w:val="28"/>
        <w:snapToGrid w:val="0"/>
        <w:ind w:left="2" w:leftChars="1" w:firstLine="420"/>
        <w:rPr>
          <w:rFonts w:ascii="微软雅黑" w:hAnsi="微软雅黑"/>
          <w:color w:val="auto"/>
          <w:szCs w:val="21"/>
          <w:highlight w:val="none"/>
        </w:rPr>
      </w:pPr>
      <w:r>
        <w:rPr>
          <w:rFonts w:hint="eastAsia" w:ascii="微软雅黑" w:hAnsi="微软雅黑" w:cs="宋体"/>
          <w:color w:val="auto"/>
          <w:szCs w:val="21"/>
          <w:highlight w:val="none"/>
        </w:rPr>
        <w:t>非单一产品采购项目，采购人应当根据采购项目技术构成、产品价格比重等合理确定核心产品，并在招标文件中载明。多家投标供应商提供的核心产品品牌相同的，按前两款规定处理。</w:t>
      </w:r>
    </w:p>
    <w:p w14:paraId="6204EC26">
      <w:pPr>
        <w:keepNext w:val="0"/>
        <w:keepLines w:val="0"/>
        <w:pageBreakBefore w:val="0"/>
        <w:widowControl w:val="0"/>
        <w:numPr>
          <w:ilvl w:val="0"/>
          <w:numId w:val="26"/>
        </w:numPr>
        <w:kinsoku/>
        <w:wordWrap/>
        <w:overflowPunct/>
        <w:topLinePunct w:val="0"/>
        <w:autoSpaceDE/>
        <w:autoSpaceDN/>
        <w:bidi w:val="0"/>
        <w:adjustRightInd/>
        <w:snapToGrid w:val="0"/>
        <w:ind w:left="0" w:leftChars="0" w:firstLine="420" w:firstLineChars="200"/>
        <w:textAlignment w:val="auto"/>
        <w:rPr>
          <w:rFonts w:hint="eastAsia" w:ascii="微软雅黑" w:hAnsi="微软雅黑"/>
          <w:color w:val="auto"/>
          <w:szCs w:val="21"/>
          <w:highlight w:val="none"/>
        </w:rPr>
      </w:pPr>
      <w:r>
        <w:rPr>
          <w:rFonts w:hint="eastAsia" w:ascii="微软雅黑" w:hAnsi="微软雅黑"/>
          <w:color w:val="auto"/>
          <w:szCs w:val="21"/>
          <w:highlight w:val="none"/>
        </w:rPr>
        <w:t>投标供应商投标所使用的资格、信誉、荣誉、业绩与企业认证必须为本法人所拥有。投标供应商投标所使用的采购项目实施人员必须为本法人员工（或必须为本法人或控股投标供应商正式员工）。</w:t>
      </w:r>
    </w:p>
    <w:p w14:paraId="71E44DA3">
      <w:pPr>
        <w:keepNext w:val="0"/>
        <w:keepLines w:val="0"/>
        <w:pageBreakBefore w:val="0"/>
        <w:widowControl w:val="0"/>
        <w:numPr>
          <w:ilvl w:val="0"/>
          <w:numId w:val="26"/>
        </w:numPr>
        <w:kinsoku/>
        <w:wordWrap/>
        <w:overflowPunct/>
        <w:topLinePunct w:val="0"/>
        <w:autoSpaceDE/>
        <w:autoSpaceDN/>
        <w:bidi w:val="0"/>
        <w:adjustRightInd/>
        <w:snapToGrid w:val="0"/>
        <w:ind w:left="0" w:leftChars="0" w:firstLine="420" w:firstLineChars="200"/>
        <w:textAlignment w:val="auto"/>
        <w:rPr>
          <w:rFonts w:hint="eastAsia" w:ascii="微软雅黑" w:hAnsi="微软雅黑"/>
          <w:color w:val="auto"/>
          <w:szCs w:val="21"/>
          <w:highlight w:val="none"/>
        </w:rPr>
      </w:pPr>
      <w:r>
        <w:rPr>
          <w:rFonts w:hint="eastAsia" w:ascii="微软雅黑" w:hAnsi="微软雅黑"/>
          <w:color w:val="auto"/>
          <w:szCs w:val="21"/>
          <w:highlight w:val="none"/>
        </w:rPr>
        <w:t>投标供应商应仔细阅读招标文件的所有内容，按照招标文件的要求提交投标文件，并对所提供的全部资料的真实性承担法律责任。</w:t>
      </w:r>
    </w:p>
    <w:p w14:paraId="5E834C44">
      <w:pPr>
        <w:keepNext w:val="0"/>
        <w:keepLines w:val="0"/>
        <w:pageBreakBefore w:val="0"/>
        <w:widowControl w:val="0"/>
        <w:numPr>
          <w:ilvl w:val="0"/>
          <w:numId w:val="26"/>
        </w:numPr>
        <w:kinsoku/>
        <w:wordWrap/>
        <w:overflowPunct/>
        <w:topLinePunct w:val="0"/>
        <w:autoSpaceDE/>
        <w:autoSpaceDN/>
        <w:bidi w:val="0"/>
        <w:adjustRightInd/>
        <w:snapToGrid w:val="0"/>
        <w:ind w:left="0" w:leftChars="0" w:firstLine="420" w:firstLineChars="200"/>
        <w:textAlignment w:val="auto"/>
        <w:rPr>
          <w:rFonts w:hint="eastAsia" w:ascii="微软雅黑" w:hAnsi="微软雅黑"/>
          <w:color w:val="auto"/>
          <w:szCs w:val="21"/>
          <w:highlight w:val="none"/>
        </w:rPr>
      </w:pPr>
      <w:r>
        <w:rPr>
          <w:rFonts w:hint="eastAsia" w:ascii="微软雅黑" w:hAnsi="微软雅黑"/>
          <w:color w:val="auto"/>
          <w:szCs w:val="21"/>
          <w:highlight w:val="none"/>
        </w:rPr>
        <w:t>投标供应商在投标活动中提供任何虚假材料，其投标无效，并报监管部门查处；中标后发现的，中标供应商须依照《中华人民共和国消费者权益保护法》第49条之规定双倍赔偿采购人，且民事赔偿并不免除违法投标供应商的行政与刑事责任。</w:t>
      </w:r>
    </w:p>
    <w:p w14:paraId="6E11B5D3">
      <w:pPr>
        <w:ind w:firstLine="420"/>
        <w:rPr>
          <w:rFonts w:ascii="微软雅黑" w:hAnsi="微软雅黑"/>
          <w:b/>
          <w:bCs/>
          <w:color w:val="auto"/>
          <w:szCs w:val="21"/>
          <w:highlight w:val="none"/>
        </w:rPr>
      </w:pPr>
      <w:r>
        <w:rPr>
          <w:rFonts w:hint="eastAsia" w:ascii="微软雅黑" w:hAnsi="微软雅黑"/>
          <w:b/>
          <w:bCs/>
          <w:color w:val="auto"/>
          <w:szCs w:val="21"/>
          <w:highlight w:val="none"/>
        </w:rPr>
        <w:t>（七）质疑和投诉</w:t>
      </w:r>
    </w:p>
    <w:p w14:paraId="387959C9">
      <w:pPr>
        <w:keepNext w:val="0"/>
        <w:keepLines w:val="0"/>
        <w:pageBreakBefore w:val="0"/>
        <w:widowControl w:val="0"/>
        <w:numPr>
          <w:ilvl w:val="0"/>
          <w:numId w:val="26"/>
        </w:numPr>
        <w:kinsoku/>
        <w:wordWrap/>
        <w:overflowPunct/>
        <w:topLinePunct w:val="0"/>
        <w:autoSpaceDE/>
        <w:autoSpaceDN/>
        <w:bidi w:val="0"/>
        <w:adjustRightInd/>
        <w:snapToGrid w:val="0"/>
        <w:ind w:left="0" w:leftChars="0" w:firstLine="420" w:firstLineChars="200"/>
        <w:textAlignment w:val="auto"/>
        <w:rPr>
          <w:rFonts w:hint="eastAsia" w:ascii="微软雅黑" w:hAnsi="微软雅黑"/>
          <w:color w:val="auto"/>
          <w:szCs w:val="21"/>
          <w:highlight w:val="none"/>
        </w:rPr>
      </w:pPr>
      <w:r>
        <w:rPr>
          <w:rFonts w:hint="eastAsia" w:ascii="微软雅黑" w:hAnsi="微软雅黑"/>
          <w:color w:val="auto"/>
          <w:szCs w:val="21"/>
          <w:highlight w:val="none"/>
        </w:rPr>
        <w:t>质疑和投诉应当满足《政府采购质疑和投诉办法》（中华人民共和国财政部令第94号）要求。</w:t>
      </w:r>
    </w:p>
    <w:p w14:paraId="227650DC">
      <w:pPr>
        <w:keepNext w:val="0"/>
        <w:keepLines w:val="0"/>
        <w:pageBreakBefore w:val="0"/>
        <w:widowControl w:val="0"/>
        <w:numPr>
          <w:ilvl w:val="0"/>
          <w:numId w:val="26"/>
        </w:numPr>
        <w:kinsoku/>
        <w:wordWrap/>
        <w:overflowPunct/>
        <w:topLinePunct w:val="0"/>
        <w:autoSpaceDE/>
        <w:autoSpaceDN/>
        <w:bidi w:val="0"/>
        <w:adjustRightInd/>
        <w:snapToGrid w:val="0"/>
        <w:ind w:left="0" w:leftChars="0" w:firstLine="420" w:firstLineChars="200"/>
        <w:textAlignment w:val="auto"/>
        <w:rPr>
          <w:rFonts w:hint="eastAsia" w:ascii="微软雅黑" w:hAnsi="微软雅黑"/>
          <w:color w:val="auto"/>
          <w:szCs w:val="21"/>
          <w:highlight w:val="none"/>
        </w:rPr>
      </w:pPr>
      <w:r>
        <w:rPr>
          <w:rFonts w:hint="eastAsia" w:ascii="微软雅黑" w:hAnsi="微软雅黑"/>
          <w:color w:val="auto"/>
          <w:szCs w:val="21"/>
          <w:highlight w:val="none"/>
        </w:rPr>
        <w:t>招标文件质疑：供应商可在获取招标文件之日或者招标文件公告期限届满之日（公告期限届满后获取招标文件的，以公告期限届满之日为准）起7个工作日内发起；采购过程质疑：投标（响应）供应商可在投标（响应）截止时间后，采购结果公告发布时间起7个工作日内发起；采购结果质疑：投标（响应）供应商可在采购结果公告期限届满之日起7个工作日内发起。</w:t>
      </w:r>
    </w:p>
    <w:p w14:paraId="3008BD6C">
      <w:pPr>
        <w:keepNext w:val="0"/>
        <w:keepLines w:val="0"/>
        <w:pageBreakBefore w:val="0"/>
        <w:widowControl w:val="0"/>
        <w:numPr>
          <w:ilvl w:val="0"/>
          <w:numId w:val="26"/>
        </w:numPr>
        <w:kinsoku/>
        <w:wordWrap/>
        <w:overflowPunct/>
        <w:topLinePunct w:val="0"/>
        <w:autoSpaceDE/>
        <w:autoSpaceDN/>
        <w:bidi w:val="0"/>
        <w:adjustRightInd/>
        <w:snapToGrid w:val="0"/>
        <w:ind w:left="0" w:leftChars="0" w:firstLine="420" w:firstLineChars="200"/>
        <w:textAlignment w:val="auto"/>
        <w:rPr>
          <w:rFonts w:hint="eastAsia" w:ascii="微软雅黑" w:hAnsi="微软雅黑"/>
          <w:color w:val="auto"/>
          <w:szCs w:val="21"/>
          <w:highlight w:val="none"/>
        </w:rPr>
      </w:pPr>
      <w:r>
        <w:rPr>
          <w:rFonts w:hint="eastAsia" w:ascii="微软雅黑" w:hAnsi="微软雅黑"/>
          <w:color w:val="auto"/>
          <w:szCs w:val="21"/>
          <w:highlight w:val="none"/>
        </w:rPr>
        <w:t>供应商须在法定质疑期内一次性提出针对同一采购程序环节的质疑。</w:t>
      </w:r>
    </w:p>
    <w:p w14:paraId="5A57A63C">
      <w:pPr>
        <w:keepNext w:val="0"/>
        <w:keepLines w:val="0"/>
        <w:pageBreakBefore w:val="0"/>
        <w:widowControl w:val="0"/>
        <w:numPr>
          <w:ilvl w:val="0"/>
          <w:numId w:val="26"/>
        </w:numPr>
        <w:kinsoku/>
        <w:wordWrap/>
        <w:overflowPunct/>
        <w:topLinePunct w:val="0"/>
        <w:autoSpaceDE/>
        <w:autoSpaceDN/>
        <w:bidi w:val="0"/>
        <w:adjustRightInd/>
        <w:snapToGrid w:val="0"/>
        <w:ind w:left="0" w:leftChars="0" w:firstLine="420" w:firstLineChars="200"/>
        <w:textAlignment w:val="auto"/>
        <w:rPr>
          <w:rFonts w:hint="eastAsia" w:ascii="微软雅黑" w:hAnsi="微软雅黑"/>
          <w:color w:val="auto"/>
          <w:szCs w:val="21"/>
          <w:highlight w:val="none"/>
        </w:rPr>
      </w:pPr>
      <w:r>
        <w:rPr>
          <w:rFonts w:hint="eastAsia" w:ascii="微软雅黑" w:hAnsi="微软雅黑"/>
          <w:color w:val="auto"/>
          <w:szCs w:val="21"/>
          <w:highlight w:val="none"/>
        </w:rPr>
        <w:t>供应商须按上述规定，在政采云系统里提出质疑。询问路径为：政采云-项目采购-询问质疑投诉-询问列表；质疑路径为：政采云-项目采购-询问质疑投诉-质疑列表。质疑供应商对在线质疑答复不满意的，可在线提起投诉，投诉路径为：浙江政府服务网-政府采购投诉处理-在线办理。</w:t>
      </w:r>
    </w:p>
    <w:p w14:paraId="6F912901">
      <w:pPr>
        <w:pStyle w:val="3"/>
        <w:spacing w:line="500" w:lineRule="exact"/>
        <w:ind w:firstLine="420"/>
        <w:rPr>
          <w:rFonts w:ascii="微软雅黑" w:hAnsi="微软雅黑"/>
          <w:color w:val="auto"/>
          <w:szCs w:val="21"/>
          <w:highlight w:val="none"/>
        </w:rPr>
      </w:pPr>
      <w:bookmarkStart w:id="67" w:name="_Toc27754"/>
      <w:r>
        <w:rPr>
          <w:rFonts w:hint="eastAsia" w:ascii="微软雅黑" w:hAnsi="微软雅黑"/>
          <w:color w:val="auto"/>
          <w:szCs w:val="21"/>
          <w:highlight w:val="none"/>
        </w:rPr>
        <w:t>二 、招标文件</w:t>
      </w:r>
      <w:bookmarkEnd w:id="51"/>
      <w:bookmarkEnd w:id="52"/>
      <w:bookmarkEnd w:id="67"/>
    </w:p>
    <w:p w14:paraId="2EDF0A12">
      <w:pPr>
        <w:snapToGrid w:val="0"/>
        <w:ind w:firstLine="412" w:firstLineChars="196"/>
        <w:rPr>
          <w:rFonts w:ascii="微软雅黑" w:hAnsi="微软雅黑"/>
          <w:b/>
          <w:color w:val="auto"/>
          <w:szCs w:val="21"/>
          <w:highlight w:val="none"/>
        </w:rPr>
      </w:pPr>
      <w:bookmarkStart w:id="68" w:name="_Toc493511630"/>
      <w:bookmarkStart w:id="69" w:name="_Toc177870545"/>
      <w:r>
        <w:rPr>
          <w:rFonts w:hint="eastAsia" w:ascii="微软雅黑" w:hAnsi="微软雅黑"/>
          <w:b/>
          <w:color w:val="auto"/>
          <w:szCs w:val="21"/>
          <w:highlight w:val="none"/>
        </w:rPr>
        <w:t>（一）招标文件的构成。本招标文件由以下部分组成：</w:t>
      </w:r>
    </w:p>
    <w:p w14:paraId="3D920E02">
      <w:pPr>
        <w:keepNext w:val="0"/>
        <w:keepLines w:val="0"/>
        <w:pageBreakBefore w:val="0"/>
        <w:widowControl w:val="0"/>
        <w:numPr>
          <w:ilvl w:val="0"/>
          <w:numId w:val="27"/>
        </w:numPr>
        <w:kinsoku/>
        <w:wordWrap/>
        <w:overflowPunct/>
        <w:topLinePunct w:val="0"/>
        <w:autoSpaceDE/>
        <w:autoSpaceDN/>
        <w:bidi w:val="0"/>
        <w:adjustRightInd/>
        <w:snapToGrid w:val="0"/>
        <w:spacing w:line="240" w:lineRule="auto"/>
        <w:ind w:left="0" w:leftChars="0" w:firstLine="420" w:firstLineChars="200"/>
        <w:textAlignment w:val="auto"/>
        <w:rPr>
          <w:rFonts w:ascii="微软雅黑" w:hAnsi="微软雅黑"/>
          <w:color w:val="auto"/>
          <w:szCs w:val="21"/>
          <w:highlight w:val="none"/>
        </w:rPr>
      </w:pPr>
      <w:r>
        <w:rPr>
          <w:rFonts w:hint="eastAsia" w:ascii="微软雅黑" w:hAnsi="微软雅黑"/>
          <w:color w:val="auto"/>
          <w:szCs w:val="21"/>
          <w:highlight w:val="none"/>
        </w:rPr>
        <w:t>招标公告</w:t>
      </w:r>
    </w:p>
    <w:p w14:paraId="273048C8">
      <w:pPr>
        <w:keepNext w:val="0"/>
        <w:keepLines w:val="0"/>
        <w:pageBreakBefore w:val="0"/>
        <w:widowControl w:val="0"/>
        <w:numPr>
          <w:ilvl w:val="0"/>
          <w:numId w:val="27"/>
        </w:numPr>
        <w:kinsoku/>
        <w:wordWrap/>
        <w:overflowPunct/>
        <w:topLinePunct w:val="0"/>
        <w:autoSpaceDE/>
        <w:autoSpaceDN/>
        <w:bidi w:val="0"/>
        <w:adjustRightInd/>
        <w:snapToGrid w:val="0"/>
        <w:spacing w:line="240" w:lineRule="auto"/>
        <w:ind w:left="0" w:leftChars="0" w:firstLine="420" w:firstLineChars="200"/>
        <w:textAlignment w:val="auto"/>
        <w:rPr>
          <w:rFonts w:ascii="微软雅黑" w:hAnsi="微软雅黑"/>
          <w:color w:val="auto"/>
          <w:szCs w:val="21"/>
          <w:highlight w:val="none"/>
        </w:rPr>
      </w:pPr>
      <w:r>
        <w:rPr>
          <w:rFonts w:hint="eastAsia" w:ascii="微软雅黑" w:hAnsi="微软雅黑"/>
          <w:color w:val="auto"/>
          <w:szCs w:val="21"/>
          <w:highlight w:val="none"/>
        </w:rPr>
        <w:t>招标需求</w:t>
      </w:r>
    </w:p>
    <w:p w14:paraId="0264E346">
      <w:pPr>
        <w:keepNext w:val="0"/>
        <w:keepLines w:val="0"/>
        <w:pageBreakBefore w:val="0"/>
        <w:widowControl w:val="0"/>
        <w:numPr>
          <w:ilvl w:val="0"/>
          <w:numId w:val="27"/>
        </w:numPr>
        <w:kinsoku/>
        <w:wordWrap/>
        <w:overflowPunct/>
        <w:topLinePunct w:val="0"/>
        <w:autoSpaceDE/>
        <w:autoSpaceDN/>
        <w:bidi w:val="0"/>
        <w:adjustRightInd/>
        <w:snapToGrid w:val="0"/>
        <w:spacing w:line="240" w:lineRule="auto"/>
        <w:ind w:left="0" w:leftChars="0" w:firstLine="420" w:firstLineChars="200"/>
        <w:textAlignment w:val="auto"/>
        <w:rPr>
          <w:rFonts w:ascii="微软雅黑" w:hAnsi="微软雅黑"/>
          <w:color w:val="auto"/>
          <w:szCs w:val="21"/>
          <w:highlight w:val="none"/>
        </w:rPr>
      </w:pPr>
      <w:r>
        <w:rPr>
          <w:rFonts w:hint="eastAsia" w:ascii="微软雅黑" w:hAnsi="微软雅黑"/>
          <w:color w:val="auto"/>
          <w:szCs w:val="21"/>
          <w:highlight w:val="none"/>
        </w:rPr>
        <w:t>投标供应商须知</w:t>
      </w:r>
    </w:p>
    <w:p w14:paraId="736F93E6">
      <w:pPr>
        <w:keepNext w:val="0"/>
        <w:keepLines w:val="0"/>
        <w:pageBreakBefore w:val="0"/>
        <w:widowControl w:val="0"/>
        <w:numPr>
          <w:ilvl w:val="0"/>
          <w:numId w:val="27"/>
        </w:numPr>
        <w:kinsoku/>
        <w:wordWrap/>
        <w:overflowPunct/>
        <w:topLinePunct w:val="0"/>
        <w:autoSpaceDE/>
        <w:autoSpaceDN/>
        <w:bidi w:val="0"/>
        <w:adjustRightInd/>
        <w:snapToGrid w:val="0"/>
        <w:spacing w:line="240" w:lineRule="auto"/>
        <w:ind w:left="0" w:leftChars="0" w:firstLine="420" w:firstLineChars="200"/>
        <w:textAlignment w:val="auto"/>
        <w:rPr>
          <w:rFonts w:ascii="微软雅黑" w:hAnsi="微软雅黑"/>
          <w:color w:val="auto"/>
          <w:szCs w:val="21"/>
          <w:highlight w:val="none"/>
        </w:rPr>
      </w:pPr>
      <w:r>
        <w:rPr>
          <w:rFonts w:hint="eastAsia" w:ascii="微软雅黑" w:hAnsi="微软雅黑"/>
          <w:color w:val="auto"/>
          <w:szCs w:val="21"/>
          <w:highlight w:val="none"/>
        </w:rPr>
        <w:t>评标办法及标准</w:t>
      </w:r>
    </w:p>
    <w:p w14:paraId="1A89C37D">
      <w:pPr>
        <w:keepNext w:val="0"/>
        <w:keepLines w:val="0"/>
        <w:pageBreakBefore w:val="0"/>
        <w:widowControl w:val="0"/>
        <w:numPr>
          <w:ilvl w:val="0"/>
          <w:numId w:val="27"/>
        </w:numPr>
        <w:kinsoku/>
        <w:wordWrap/>
        <w:overflowPunct/>
        <w:topLinePunct w:val="0"/>
        <w:autoSpaceDE/>
        <w:autoSpaceDN/>
        <w:bidi w:val="0"/>
        <w:adjustRightInd/>
        <w:snapToGrid w:val="0"/>
        <w:spacing w:line="240" w:lineRule="auto"/>
        <w:ind w:left="0" w:leftChars="0" w:firstLine="420" w:firstLineChars="200"/>
        <w:textAlignment w:val="auto"/>
        <w:rPr>
          <w:rFonts w:ascii="微软雅黑" w:hAnsi="微软雅黑"/>
          <w:color w:val="auto"/>
          <w:szCs w:val="21"/>
          <w:highlight w:val="none"/>
        </w:rPr>
      </w:pPr>
      <w:r>
        <w:rPr>
          <w:rFonts w:hint="eastAsia" w:ascii="微软雅黑" w:hAnsi="微软雅黑"/>
          <w:color w:val="auto"/>
          <w:szCs w:val="21"/>
          <w:highlight w:val="none"/>
        </w:rPr>
        <w:t>合同主要条款</w:t>
      </w:r>
    </w:p>
    <w:p w14:paraId="321D503A">
      <w:pPr>
        <w:keepNext w:val="0"/>
        <w:keepLines w:val="0"/>
        <w:pageBreakBefore w:val="0"/>
        <w:widowControl w:val="0"/>
        <w:numPr>
          <w:ilvl w:val="0"/>
          <w:numId w:val="27"/>
        </w:numPr>
        <w:kinsoku/>
        <w:wordWrap/>
        <w:overflowPunct/>
        <w:topLinePunct w:val="0"/>
        <w:autoSpaceDE/>
        <w:autoSpaceDN/>
        <w:bidi w:val="0"/>
        <w:adjustRightInd/>
        <w:snapToGrid w:val="0"/>
        <w:spacing w:line="240" w:lineRule="auto"/>
        <w:ind w:left="0" w:leftChars="0" w:firstLine="420" w:firstLineChars="200"/>
        <w:textAlignment w:val="auto"/>
        <w:rPr>
          <w:rFonts w:ascii="微软雅黑" w:hAnsi="微软雅黑"/>
          <w:color w:val="auto"/>
          <w:szCs w:val="21"/>
          <w:highlight w:val="none"/>
        </w:rPr>
      </w:pPr>
      <w:r>
        <w:rPr>
          <w:rFonts w:hint="eastAsia" w:ascii="微软雅黑" w:hAnsi="微软雅黑"/>
          <w:color w:val="auto"/>
          <w:szCs w:val="21"/>
          <w:highlight w:val="none"/>
        </w:rPr>
        <w:t>投标文件格式</w:t>
      </w:r>
    </w:p>
    <w:p w14:paraId="299B954B">
      <w:pPr>
        <w:keepNext w:val="0"/>
        <w:keepLines w:val="0"/>
        <w:pageBreakBefore w:val="0"/>
        <w:widowControl w:val="0"/>
        <w:numPr>
          <w:ilvl w:val="0"/>
          <w:numId w:val="27"/>
        </w:numPr>
        <w:kinsoku/>
        <w:wordWrap/>
        <w:overflowPunct/>
        <w:topLinePunct w:val="0"/>
        <w:autoSpaceDE/>
        <w:autoSpaceDN/>
        <w:bidi w:val="0"/>
        <w:adjustRightInd/>
        <w:snapToGrid w:val="0"/>
        <w:spacing w:line="240" w:lineRule="auto"/>
        <w:ind w:left="0" w:leftChars="0" w:firstLine="420" w:firstLineChars="200"/>
        <w:textAlignment w:val="auto"/>
        <w:rPr>
          <w:rFonts w:ascii="微软雅黑" w:hAnsi="微软雅黑"/>
          <w:color w:val="auto"/>
          <w:szCs w:val="21"/>
          <w:highlight w:val="none"/>
        </w:rPr>
      </w:pPr>
      <w:r>
        <w:rPr>
          <w:rFonts w:hint="eastAsia" w:ascii="微软雅黑" w:hAnsi="微软雅黑"/>
          <w:color w:val="auto"/>
          <w:szCs w:val="21"/>
          <w:highlight w:val="none"/>
        </w:rPr>
        <w:t>本项目招标文件的澄清、答复、修改、补充的内容</w:t>
      </w:r>
    </w:p>
    <w:p w14:paraId="50BB1804">
      <w:pPr>
        <w:snapToGrid w:val="0"/>
        <w:ind w:firstLine="412" w:firstLineChars="196"/>
        <w:rPr>
          <w:rFonts w:ascii="微软雅黑" w:hAnsi="微软雅黑"/>
          <w:b/>
          <w:color w:val="auto"/>
          <w:szCs w:val="21"/>
          <w:highlight w:val="none"/>
        </w:rPr>
      </w:pPr>
      <w:r>
        <w:rPr>
          <w:rFonts w:hint="eastAsia" w:ascii="微软雅黑" w:hAnsi="微软雅黑"/>
          <w:b/>
          <w:color w:val="auto"/>
          <w:szCs w:val="21"/>
          <w:highlight w:val="none"/>
        </w:rPr>
        <w:t>（二）投标供应商的风险</w:t>
      </w:r>
    </w:p>
    <w:p w14:paraId="34952D04">
      <w:pPr>
        <w:pStyle w:val="42"/>
        <w:ind w:firstLine="424" w:firstLineChars="202"/>
        <w:rPr>
          <w:rFonts w:ascii="微软雅黑" w:hAnsi="微软雅黑" w:eastAsia="微软雅黑"/>
          <w:color w:val="auto"/>
          <w:sz w:val="21"/>
          <w:szCs w:val="21"/>
          <w:highlight w:val="none"/>
        </w:rPr>
      </w:pPr>
      <w:r>
        <w:rPr>
          <w:rFonts w:hint="eastAsia" w:ascii="微软雅黑" w:hAnsi="微软雅黑" w:eastAsia="微软雅黑"/>
          <w:color w:val="auto"/>
          <w:sz w:val="21"/>
          <w:szCs w:val="21"/>
          <w:highlight w:val="none"/>
        </w:rPr>
        <w:t>投标供应商没有按照招标文件要求提供全部资料，或者投标供应商没有对招标文件在各方面做出实质性响应是投标供应商的风险，并可能导致其投标为无效标。</w:t>
      </w:r>
    </w:p>
    <w:p w14:paraId="59ECCAF1">
      <w:pPr>
        <w:pStyle w:val="292"/>
        <w:snapToGrid w:val="0"/>
        <w:spacing w:before="0"/>
        <w:ind w:left="480" w:firstLine="0" w:firstLineChars="0"/>
        <w:rPr>
          <w:rFonts w:ascii="微软雅黑" w:hAnsi="微软雅黑" w:eastAsia="微软雅黑"/>
          <w:b/>
          <w:color w:val="auto"/>
          <w:sz w:val="21"/>
          <w:szCs w:val="21"/>
          <w:highlight w:val="none"/>
        </w:rPr>
      </w:pPr>
      <w:r>
        <w:rPr>
          <w:rFonts w:hint="eastAsia" w:ascii="微软雅黑" w:hAnsi="微软雅黑" w:eastAsia="微软雅黑"/>
          <w:b/>
          <w:color w:val="auto"/>
          <w:sz w:val="21"/>
          <w:szCs w:val="21"/>
          <w:highlight w:val="none"/>
        </w:rPr>
        <w:t>（三）招标文件的澄清与修改</w:t>
      </w:r>
    </w:p>
    <w:p w14:paraId="6595E0BA">
      <w:pPr>
        <w:pStyle w:val="292"/>
        <w:keepNext w:val="0"/>
        <w:keepLines w:val="0"/>
        <w:pageBreakBefore w:val="0"/>
        <w:widowControl w:val="0"/>
        <w:numPr>
          <w:ilvl w:val="0"/>
          <w:numId w:val="28"/>
        </w:numPr>
        <w:kinsoku/>
        <w:wordWrap/>
        <w:overflowPunct/>
        <w:topLinePunct w:val="0"/>
        <w:autoSpaceDE/>
        <w:autoSpaceDN/>
        <w:bidi w:val="0"/>
        <w:adjustRightInd/>
        <w:snapToGrid w:val="0"/>
        <w:spacing w:before="0"/>
        <w:ind w:left="0" w:leftChars="0" w:firstLine="420" w:firstLineChars="200"/>
        <w:textAlignment w:val="auto"/>
        <w:rPr>
          <w:rFonts w:ascii="微软雅黑" w:hAnsi="微软雅黑" w:eastAsia="微软雅黑"/>
          <w:color w:val="auto"/>
          <w:sz w:val="21"/>
          <w:szCs w:val="21"/>
          <w:highlight w:val="none"/>
        </w:rPr>
      </w:pPr>
      <w:r>
        <w:rPr>
          <w:rFonts w:hint="eastAsia" w:ascii="微软雅黑" w:hAnsi="微软雅黑" w:eastAsia="微软雅黑"/>
          <w:color w:val="auto"/>
          <w:sz w:val="21"/>
          <w:szCs w:val="21"/>
          <w:highlight w:val="none"/>
        </w:rPr>
        <w:t>投标供应商应认真阅读本招标文件，发现其中有误或有不合理要求的，可要求招标采购人澄清。招标采购人对已发出的招标文件进行必要澄清或者修改的，应当在招标文件要求提交投标文件截止十五日前，在财政部门指定的政府采购信息发布媒体上发布更正公告，并以书面形式通知所有招标文件获取人。</w:t>
      </w:r>
    </w:p>
    <w:p w14:paraId="41DB2D7E">
      <w:pPr>
        <w:pStyle w:val="28"/>
        <w:keepNext w:val="0"/>
        <w:keepLines w:val="0"/>
        <w:pageBreakBefore w:val="0"/>
        <w:widowControl w:val="0"/>
        <w:numPr>
          <w:ilvl w:val="0"/>
          <w:numId w:val="28"/>
        </w:numPr>
        <w:kinsoku/>
        <w:wordWrap/>
        <w:overflowPunct/>
        <w:topLinePunct w:val="0"/>
        <w:autoSpaceDE/>
        <w:autoSpaceDN/>
        <w:bidi w:val="0"/>
        <w:adjustRightInd/>
        <w:snapToGrid w:val="0"/>
        <w:spacing w:before="120" w:after="120"/>
        <w:ind w:left="0" w:leftChars="0" w:firstLine="420" w:firstLineChars="200"/>
        <w:textAlignment w:val="auto"/>
        <w:rPr>
          <w:rFonts w:ascii="微软雅黑" w:hAnsi="微软雅黑"/>
          <w:color w:val="auto"/>
          <w:szCs w:val="21"/>
          <w:highlight w:val="none"/>
        </w:rPr>
      </w:pPr>
      <w:r>
        <w:rPr>
          <w:rFonts w:hint="eastAsia" w:ascii="微软雅黑" w:hAnsi="微软雅黑"/>
          <w:color w:val="auto"/>
          <w:szCs w:val="21"/>
          <w:highlight w:val="none"/>
        </w:rPr>
        <w:t>招标文件澄清或者修改的内容为招标文件的组成部分。当招标文件与澄清或者修改就同一内容的表述不一致时，以最后发出的书面文件为准。</w:t>
      </w:r>
    </w:p>
    <w:p w14:paraId="106D0029">
      <w:pPr>
        <w:pStyle w:val="28"/>
        <w:keepNext w:val="0"/>
        <w:keepLines w:val="0"/>
        <w:pageBreakBefore w:val="0"/>
        <w:widowControl w:val="0"/>
        <w:numPr>
          <w:ilvl w:val="0"/>
          <w:numId w:val="28"/>
        </w:numPr>
        <w:kinsoku/>
        <w:wordWrap/>
        <w:overflowPunct/>
        <w:topLinePunct w:val="0"/>
        <w:autoSpaceDE/>
        <w:autoSpaceDN/>
        <w:bidi w:val="0"/>
        <w:adjustRightInd/>
        <w:snapToGrid w:val="0"/>
        <w:spacing w:before="120" w:after="120"/>
        <w:ind w:left="0" w:leftChars="0" w:firstLine="420" w:firstLineChars="200"/>
        <w:textAlignment w:val="auto"/>
        <w:rPr>
          <w:rFonts w:ascii="微软雅黑" w:hAnsi="微软雅黑"/>
          <w:color w:val="auto"/>
          <w:szCs w:val="21"/>
          <w:highlight w:val="none"/>
        </w:rPr>
      </w:pPr>
      <w:r>
        <w:rPr>
          <w:rFonts w:hint="eastAsia" w:ascii="微软雅黑" w:hAnsi="微软雅黑"/>
          <w:color w:val="auto"/>
          <w:szCs w:val="21"/>
          <w:highlight w:val="none"/>
        </w:rPr>
        <w:t>对招标文件的澄清、答复、修改或补充都应该通过代理机构以法定形式发布，采购人非通过本机构，不得擅自澄清、答复、修改或补充招标文件。</w:t>
      </w:r>
    </w:p>
    <w:p w14:paraId="40ABE003">
      <w:pPr>
        <w:pStyle w:val="3"/>
        <w:spacing w:line="500" w:lineRule="exact"/>
        <w:ind w:firstLine="420"/>
        <w:rPr>
          <w:rFonts w:ascii="微软雅黑" w:hAnsi="微软雅黑"/>
          <w:color w:val="auto"/>
          <w:szCs w:val="21"/>
          <w:highlight w:val="none"/>
        </w:rPr>
      </w:pPr>
      <w:bookmarkStart w:id="70" w:name="_Toc27689"/>
      <w:r>
        <w:rPr>
          <w:rFonts w:hint="eastAsia" w:ascii="微软雅黑" w:hAnsi="微软雅黑"/>
          <w:color w:val="auto"/>
          <w:szCs w:val="21"/>
          <w:highlight w:val="none"/>
        </w:rPr>
        <w:t>三、 投标文件的编制</w:t>
      </w:r>
      <w:bookmarkEnd w:id="68"/>
      <w:bookmarkEnd w:id="69"/>
      <w:bookmarkEnd w:id="70"/>
    </w:p>
    <w:p w14:paraId="1CBDB8FF">
      <w:pPr>
        <w:ind w:firstLine="420"/>
        <w:rPr>
          <w:rFonts w:ascii="微软雅黑" w:hAnsi="微软雅黑"/>
          <w:b/>
          <w:bCs/>
          <w:color w:val="auto"/>
          <w:szCs w:val="21"/>
          <w:highlight w:val="none"/>
        </w:rPr>
      </w:pPr>
      <w:bookmarkStart w:id="71" w:name="_Toc21392"/>
      <w:bookmarkStart w:id="72" w:name="_Toc14074"/>
      <w:bookmarkStart w:id="73" w:name="_Toc532218225"/>
      <w:bookmarkStart w:id="74" w:name="_Toc406402944"/>
      <w:bookmarkStart w:id="75" w:name="_Toc406402988"/>
      <w:bookmarkStart w:id="76" w:name="_Toc33535369"/>
      <w:bookmarkStart w:id="77" w:name="_Toc493511751"/>
      <w:r>
        <w:rPr>
          <w:rFonts w:hint="eastAsia" w:ascii="微软雅黑" w:hAnsi="微软雅黑"/>
          <w:b/>
          <w:bCs/>
          <w:color w:val="auto"/>
          <w:szCs w:val="21"/>
          <w:highlight w:val="none"/>
        </w:rPr>
        <w:t>本项目所涉投标文件格式请详见第六章，未给出的格式请自拟。商务、资信及其他及技术文件中不得出现报价，否则投标文件将被视为无效。</w:t>
      </w:r>
    </w:p>
    <w:p w14:paraId="356EC350">
      <w:pPr>
        <w:ind w:firstLine="420"/>
        <w:rPr>
          <w:rFonts w:ascii="微软雅黑" w:hAnsi="微软雅黑"/>
          <w:b/>
          <w:bCs/>
          <w:color w:val="auto"/>
          <w:szCs w:val="21"/>
          <w:highlight w:val="none"/>
        </w:rPr>
      </w:pPr>
      <w:r>
        <w:rPr>
          <w:rFonts w:hint="eastAsia" w:ascii="微软雅黑" w:hAnsi="微软雅黑"/>
          <w:b/>
          <w:bCs/>
          <w:color w:val="auto"/>
          <w:szCs w:val="21"/>
          <w:highlight w:val="none"/>
        </w:rPr>
        <w:t xml:space="preserve"> 注：电子投标文件按政采云平台供应商电子招投标操作指南及本招标文件规定的格式和顺序编制电子投标文件并进行关联。建议根据招标文件合格供应商的资格要求、投标文件的编制及评分标准等内容一一关联。</w:t>
      </w:r>
    </w:p>
    <w:p w14:paraId="7547A223">
      <w:pPr>
        <w:ind w:firstLine="420"/>
        <w:rPr>
          <w:rFonts w:ascii="微软雅黑" w:hAnsi="微软雅黑"/>
          <w:b/>
          <w:bCs/>
          <w:color w:val="auto"/>
          <w:szCs w:val="21"/>
          <w:highlight w:val="none"/>
        </w:rPr>
      </w:pPr>
      <w:r>
        <w:rPr>
          <w:rFonts w:hint="eastAsia" w:ascii="微软雅黑" w:hAnsi="微软雅黑"/>
          <w:b/>
          <w:bCs/>
          <w:color w:val="auto"/>
          <w:szCs w:val="21"/>
          <w:highlight w:val="none"/>
        </w:rPr>
        <w:t>路径：浙江省“项目采购电子交易系统/不见面开评标”学习专题-操作指南-供应商</w:t>
      </w:r>
    </w:p>
    <w:p w14:paraId="5823FCE5">
      <w:pPr>
        <w:ind w:firstLine="420"/>
        <w:rPr>
          <w:rFonts w:ascii="微软雅黑" w:hAnsi="微软雅黑"/>
          <w:b/>
          <w:bCs/>
          <w:color w:val="auto"/>
          <w:szCs w:val="21"/>
          <w:highlight w:val="none"/>
        </w:rPr>
      </w:pPr>
      <w:r>
        <w:rPr>
          <w:rFonts w:hint="eastAsia" w:ascii="微软雅黑" w:hAnsi="微软雅黑"/>
          <w:b/>
          <w:bCs/>
          <w:color w:val="auto"/>
          <w:szCs w:val="21"/>
          <w:highlight w:val="none"/>
        </w:rPr>
        <w:t>网址：</w:t>
      </w:r>
      <w:r>
        <w:rPr>
          <w:color w:val="auto"/>
          <w:highlight w:val="none"/>
        </w:rPr>
        <w:fldChar w:fldCharType="begin"/>
      </w:r>
      <w:r>
        <w:rPr>
          <w:color w:val="auto"/>
          <w:highlight w:val="none"/>
        </w:rPr>
        <w:instrText xml:space="preserve"> HYPERLINK "https://help.zcygov.cn/web/site_2/2018/12-28/2573.html%EF%BC%89%E5%8F%8A%E6%9C%AC%E6%8B%9B%E6%A0%87%E6%96%87%E4%BB%B6%E8%A7%84%E5%AE%9A%E7%9A%84%E6%A0%BC%E5%BC%8F%E5%92%8C%E9%A1%BA%E5%BA%8F%E7%BC%96%E5%88%B6%E7%94%B5%E5%AD%90%E6%8A%95%E6%A0%87%E6%96%87%E4%BB%B6%E5%B9%B6%E8%BF%9B%E8%A1%8C%E5%85%B3%E8%81%94%E5%AE%9A" \t "_blank" </w:instrText>
      </w:r>
      <w:r>
        <w:rPr>
          <w:color w:val="auto"/>
          <w:highlight w:val="none"/>
        </w:rPr>
        <w:fldChar w:fldCharType="separate"/>
      </w:r>
      <w:r>
        <w:rPr>
          <w:rFonts w:hint="eastAsia" w:ascii="微软雅黑" w:hAnsi="微软雅黑"/>
          <w:b/>
          <w:bCs/>
          <w:color w:val="auto"/>
          <w:szCs w:val="21"/>
          <w:highlight w:val="none"/>
        </w:rPr>
        <w:t>https://edu.zcygov.cn/luban/e-biding</w:t>
      </w:r>
      <w:r>
        <w:rPr>
          <w:rFonts w:hint="eastAsia" w:ascii="微软雅黑" w:hAnsi="微软雅黑"/>
          <w:b/>
          <w:bCs/>
          <w:color w:val="auto"/>
          <w:szCs w:val="21"/>
          <w:highlight w:val="none"/>
        </w:rPr>
        <w:fldChar w:fldCharType="end"/>
      </w:r>
    </w:p>
    <w:p w14:paraId="77A9B17C">
      <w:pPr>
        <w:ind w:firstLine="420"/>
        <w:rPr>
          <w:rFonts w:ascii="微软雅黑" w:hAnsi="微软雅黑"/>
          <w:b/>
          <w:bCs/>
          <w:color w:val="auto"/>
          <w:szCs w:val="21"/>
          <w:highlight w:val="none"/>
        </w:rPr>
      </w:pPr>
      <w:r>
        <w:rPr>
          <w:rFonts w:hint="eastAsia" w:ascii="微软雅黑" w:hAnsi="微软雅黑"/>
          <w:b/>
          <w:bCs/>
          <w:color w:val="auto"/>
          <w:szCs w:val="21"/>
          <w:highlight w:val="none"/>
        </w:rPr>
        <w:t>总体要求：</w:t>
      </w:r>
    </w:p>
    <w:p w14:paraId="440AC926">
      <w:pPr>
        <w:keepNext w:val="0"/>
        <w:keepLines w:val="0"/>
        <w:pageBreakBefore w:val="0"/>
        <w:widowControl w:val="0"/>
        <w:numPr>
          <w:ilvl w:val="0"/>
          <w:numId w:val="29"/>
        </w:numPr>
        <w:kinsoku/>
        <w:wordWrap/>
        <w:overflowPunct/>
        <w:topLinePunct w:val="0"/>
        <w:autoSpaceDE/>
        <w:autoSpaceDN/>
        <w:bidi w:val="0"/>
        <w:adjustRightInd/>
        <w:snapToGrid/>
        <w:ind w:left="0" w:leftChars="0" w:firstLine="420" w:firstLineChars="200"/>
        <w:textAlignment w:val="auto"/>
        <w:rPr>
          <w:rFonts w:ascii="微软雅黑" w:hAnsi="微软雅黑"/>
          <w:color w:val="auto"/>
          <w:szCs w:val="21"/>
          <w:highlight w:val="none"/>
        </w:rPr>
      </w:pPr>
      <w:r>
        <w:rPr>
          <w:rFonts w:hint="eastAsia" w:ascii="微软雅黑" w:hAnsi="微软雅黑"/>
          <w:color w:val="auto"/>
          <w:szCs w:val="21"/>
          <w:highlight w:val="none"/>
        </w:rPr>
        <w:t xml:space="preserve">供应商应仔细阅读招标文件的所有内容，按本文件的要求提供投标文件，并保证所提供的全部资料的真实性，以使其投标文件对招标文件作出实质性响应，否则，投标文件可能视为无效投标文件。 </w:t>
      </w:r>
    </w:p>
    <w:p w14:paraId="6CD38E3E">
      <w:pPr>
        <w:keepNext w:val="0"/>
        <w:keepLines w:val="0"/>
        <w:pageBreakBefore w:val="0"/>
        <w:widowControl w:val="0"/>
        <w:numPr>
          <w:ilvl w:val="0"/>
          <w:numId w:val="29"/>
        </w:numPr>
        <w:kinsoku/>
        <w:wordWrap/>
        <w:overflowPunct/>
        <w:topLinePunct w:val="0"/>
        <w:autoSpaceDE/>
        <w:autoSpaceDN/>
        <w:bidi w:val="0"/>
        <w:adjustRightInd/>
        <w:snapToGrid/>
        <w:ind w:left="0" w:leftChars="0" w:firstLine="420" w:firstLineChars="200"/>
        <w:textAlignment w:val="auto"/>
        <w:rPr>
          <w:rFonts w:ascii="微软雅黑" w:hAnsi="微软雅黑"/>
          <w:color w:val="auto"/>
          <w:szCs w:val="21"/>
          <w:highlight w:val="none"/>
        </w:rPr>
      </w:pPr>
      <w:r>
        <w:rPr>
          <w:rFonts w:hint="eastAsia" w:ascii="微软雅黑" w:hAnsi="微软雅黑"/>
          <w:color w:val="auto"/>
          <w:szCs w:val="21"/>
          <w:highlight w:val="none"/>
        </w:rPr>
        <w:t>投标文件及供应商与采购有关的来往通知，函件和文件均应使用中文。</w:t>
      </w:r>
    </w:p>
    <w:p w14:paraId="0B04DFC1">
      <w:pPr>
        <w:keepNext w:val="0"/>
        <w:keepLines w:val="0"/>
        <w:pageBreakBefore w:val="0"/>
        <w:widowControl w:val="0"/>
        <w:numPr>
          <w:ilvl w:val="0"/>
          <w:numId w:val="29"/>
        </w:numPr>
        <w:kinsoku/>
        <w:wordWrap/>
        <w:overflowPunct/>
        <w:topLinePunct w:val="0"/>
        <w:autoSpaceDE/>
        <w:autoSpaceDN/>
        <w:bidi w:val="0"/>
        <w:adjustRightInd/>
        <w:snapToGrid/>
        <w:ind w:left="0" w:leftChars="0" w:firstLine="420" w:firstLineChars="200"/>
        <w:textAlignment w:val="auto"/>
        <w:rPr>
          <w:rFonts w:ascii="微软雅黑" w:hAnsi="微软雅黑"/>
          <w:b/>
          <w:color w:val="auto"/>
          <w:szCs w:val="21"/>
          <w:highlight w:val="none"/>
          <w:u w:val="single"/>
        </w:rPr>
      </w:pPr>
      <w:r>
        <w:rPr>
          <w:rFonts w:hint="eastAsia" w:ascii="微软雅黑" w:hAnsi="微软雅黑"/>
          <w:color w:val="auto"/>
          <w:szCs w:val="21"/>
          <w:highlight w:val="none"/>
        </w:rPr>
        <w:t>供应商应按本文件中提供的文件格式、内容和要求制作投标文件</w:t>
      </w:r>
      <w:r>
        <w:rPr>
          <w:rFonts w:hint="eastAsia" w:ascii="微软雅黑" w:hAnsi="微软雅黑"/>
          <w:b/>
          <w:color w:val="auto"/>
          <w:szCs w:val="21"/>
          <w:highlight w:val="none"/>
        </w:rPr>
        <w:t>。</w:t>
      </w:r>
    </w:p>
    <w:p w14:paraId="5508B313">
      <w:pPr>
        <w:pStyle w:val="4"/>
        <w:ind w:firstLine="420"/>
        <w:rPr>
          <w:rFonts w:ascii="微软雅黑" w:hAnsi="微软雅黑"/>
          <w:color w:val="auto"/>
          <w:szCs w:val="21"/>
          <w:highlight w:val="none"/>
        </w:rPr>
      </w:pPr>
      <w:bookmarkStart w:id="78" w:name="_Toc169015122"/>
      <w:bookmarkStart w:id="79" w:name="_Toc164943198"/>
      <w:r>
        <w:rPr>
          <w:rFonts w:hint="eastAsia" w:ascii="微软雅黑" w:hAnsi="微软雅黑"/>
          <w:color w:val="auto"/>
          <w:szCs w:val="21"/>
          <w:highlight w:val="none"/>
        </w:rPr>
        <w:t>（一）投标文件的组成</w:t>
      </w:r>
      <w:bookmarkEnd w:id="71"/>
      <w:bookmarkEnd w:id="72"/>
      <w:bookmarkEnd w:id="78"/>
      <w:bookmarkEnd w:id="79"/>
    </w:p>
    <w:p w14:paraId="49CAB013">
      <w:pPr>
        <w:snapToGrid w:val="0"/>
        <w:ind w:firstLine="420"/>
        <w:rPr>
          <w:rFonts w:ascii="微软雅黑" w:hAnsi="微软雅黑"/>
          <w:color w:val="auto"/>
          <w:szCs w:val="21"/>
          <w:highlight w:val="none"/>
        </w:rPr>
      </w:pPr>
      <w:r>
        <w:rPr>
          <w:rFonts w:hint="eastAsia" w:ascii="微软雅黑" w:hAnsi="微软雅黑"/>
          <w:color w:val="auto"/>
          <w:szCs w:val="21"/>
          <w:highlight w:val="none"/>
        </w:rPr>
        <w:t>电子投标文件和备份投标文件均由</w:t>
      </w:r>
      <w:r>
        <w:rPr>
          <w:rFonts w:hint="eastAsia" w:ascii="微软雅黑" w:hAnsi="微软雅黑" w:cs="宋体"/>
          <w:color w:val="auto"/>
          <w:szCs w:val="21"/>
          <w:highlight w:val="none"/>
          <w:lang w:val="zh-CN"/>
        </w:rPr>
        <w:t>资格文件、商务技术文件、报价</w:t>
      </w:r>
      <w:r>
        <w:rPr>
          <w:rFonts w:hint="eastAsia" w:ascii="微软雅黑" w:hAnsi="微软雅黑"/>
          <w:color w:val="auto"/>
          <w:szCs w:val="21"/>
          <w:highlight w:val="none"/>
        </w:rPr>
        <w:t>文件三部分组成。投标文件中所须加盖公章部分均采用CA签章。</w:t>
      </w:r>
    </w:p>
    <w:bookmarkEnd w:id="73"/>
    <w:bookmarkEnd w:id="74"/>
    <w:bookmarkEnd w:id="75"/>
    <w:p w14:paraId="7FD1B060">
      <w:pPr>
        <w:snapToGrid w:val="0"/>
        <w:ind w:firstLine="412" w:firstLineChars="196"/>
        <w:outlineLvl w:val="2"/>
        <w:rPr>
          <w:rFonts w:ascii="微软雅黑" w:hAnsi="微软雅黑"/>
          <w:b/>
          <w:color w:val="auto"/>
          <w:szCs w:val="21"/>
          <w:highlight w:val="none"/>
        </w:rPr>
      </w:pPr>
      <w:bookmarkStart w:id="80" w:name="_Toc169015123"/>
      <w:bookmarkStart w:id="81" w:name="_Toc164943199"/>
      <w:r>
        <w:rPr>
          <w:rFonts w:hint="eastAsia" w:ascii="微软雅黑" w:hAnsi="微软雅黑"/>
          <w:b/>
          <w:color w:val="auto"/>
          <w:szCs w:val="21"/>
          <w:highlight w:val="none"/>
        </w:rPr>
        <w:t>（二）</w:t>
      </w:r>
      <w:r>
        <w:rPr>
          <w:rFonts w:hint="eastAsia" w:ascii="微软雅黑" w:hAnsi="微软雅黑" w:cs="宋体"/>
          <w:b/>
          <w:bCs/>
          <w:color w:val="auto"/>
          <w:szCs w:val="21"/>
          <w:highlight w:val="none"/>
        </w:rPr>
        <w:t>投标文件的编制</w:t>
      </w:r>
      <w:bookmarkEnd w:id="80"/>
      <w:bookmarkEnd w:id="81"/>
    </w:p>
    <w:p w14:paraId="2A684D29">
      <w:pPr>
        <w:keepNext w:val="0"/>
        <w:keepLines w:val="0"/>
        <w:pageBreakBefore w:val="0"/>
        <w:widowControl w:val="0"/>
        <w:numPr>
          <w:ilvl w:val="0"/>
          <w:numId w:val="30"/>
        </w:numPr>
        <w:kinsoku/>
        <w:wordWrap/>
        <w:overflowPunct/>
        <w:topLinePunct w:val="0"/>
        <w:autoSpaceDE/>
        <w:autoSpaceDN/>
        <w:bidi w:val="0"/>
        <w:adjustRightInd/>
        <w:snapToGrid/>
        <w:ind w:left="0" w:leftChars="0" w:firstLine="420" w:firstLineChars="200"/>
        <w:textAlignment w:val="auto"/>
        <w:rPr>
          <w:rFonts w:hint="eastAsia" w:ascii="微软雅黑" w:hAnsi="微软雅黑" w:cs="Times New Roman"/>
          <w:color w:val="auto"/>
          <w:szCs w:val="21"/>
          <w:highlight w:val="none"/>
        </w:rPr>
      </w:pPr>
      <w:r>
        <w:rPr>
          <w:rFonts w:hint="eastAsia" w:ascii="微软雅黑" w:hAnsi="微软雅黑" w:cs="Times New Roman"/>
          <w:color w:val="auto"/>
          <w:szCs w:val="21"/>
          <w:highlight w:val="none"/>
          <w:lang w:val="zh-CN"/>
        </w:rPr>
        <w:t>投标文件分为资格文件、商务技术文件、报价文件三部分。各投标供应商在编制投标文件时请按照招标文件规定的格式进行，混乱的编排导致投标文件被误读或评标委员会查找不到有效文件是投标供应商的风险。</w:t>
      </w:r>
    </w:p>
    <w:p w14:paraId="7E64E227">
      <w:pPr>
        <w:keepNext w:val="0"/>
        <w:keepLines w:val="0"/>
        <w:pageBreakBefore w:val="0"/>
        <w:widowControl w:val="0"/>
        <w:numPr>
          <w:ilvl w:val="0"/>
          <w:numId w:val="30"/>
        </w:numPr>
        <w:kinsoku/>
        <w:wordWrap/>
        <w:overflowPunct/>
        <w:topLinePunct w:val="0"/>
        <w:autoSpaceDE/>
        <w:autoSpaceDN/>
        <w:bidi w:val="0"/>
        <w:adjustRightInd/>
        <w:snapToGrid/>
        <w:ind w:left="0" w:leftChars="0" w:firstLine="420" w:firstLineChars="200"/>
        <w:textAlignment w:val="auto"/>
        <w:rPr>
          <w:rFonts w:hint="eastAsia" w:ascii="微软雅黑" w:hAnsi="微软雅黑" w:cs="Times New Roman"/>
          <w:color w:val="auto"/>
          <w:szCs w:val="21"/>
          <w:highlight w:val="none"/>
          <w:lang w:val="zh-CN"/>
        </w:rPr>
      </w:pPr>
      <w:r>
        <w:rPr>
          <w:rFonts w:hint="eastAsia" w:ascii="微软雅黑" w:hAnsi="微软雅黑" w:cs="Times New Roman"/>
          <w:color w:val="auto"/>
          <w:szCs w:val="21"/>
          <w:highlight w:val="none"/>
          <w:lang w:val="zh-CN"/>
        </w:rPr>
        <w:t>投标供应商进行电子投标应安装客户端软件—“政采云电子交易客户端”，并按照招标文件和电子交易平台的要求编制并加密投标文件。投标供应商未按规定加密的投标文件，电子交易平台将拒收并提示。</w:t>
      </w:r>
    </w:p>
    <w:p w14:paraId="7F44DE36">
      <w:pPr>
        <w:keepNext w:val="0"/>
        <w:keepLines w:val="0"/>
        <w:pageBreakBefore w:val="0"/>
        <w:widowControl w:val="0"/>
        <w:numPr>
          <w:ilvl w:val="0"/>
          <w:numId w:val="30"/>
        </w:numPr>
        <w:kinsoku/>
        <w:wordWrap/>
        <w:overflowPunct/>
        <w:topLinePunct w:val="0"/>
        <w:autoSpaceDE/>
        <w:autoSpaceDN/>
        <w:bidi w:val="0"/>
        <w:adjustRightInd/>
        <w:snapToGrid/>
        <w:ind w:left="0" w:leftChars="0" w:firstLine="420" w:firstLineChars="200"/>
        <w:textAlignment w:val="auto"/>
        <w:rPr>
          <w:rFonts w:hint="eastAsia" w:ascii="微软雅黑" w:hAnsi="微软雅黑" w:cs="Times New Roman"/>
          <w:color w:val="auto"/>
          <w:szCs w:val="21"/>
          <w:highlight w:val="none"/>
          <w:lang w:val="zh-CN"/>
        </w:rPr>
      </w:pPr>
      <w:r>
        <w:rPr>
          <w:rFonts w:hint="eastAsia" w:ascii="微软雅黑" w:hAnsi="微软雅黑" w:cs="Times New Roman"/>
          <w:color w:val="auto"/>
          <w:szCs w:val="21"/>
          <w:highlight w:val="none"/>
          <w:lang w:val="zh-CN"/>
        </w:rPr>
        <w:t>使用“政采云电子交易客户端”需要提前申领CA数字证书，申领流程请自行前往“浙江政府采购网-下载专区-电子交易客户端-CA驱动和申领流程”进行查阅。</w:t>
      </w:r>
    </w:p>
    <w:p w14:paraId="100DBB20">
      <w:pPr>
        <w:keepNext w:val="0"/>
        <w:keepLines w:val="0"/>
        <w:pageBreakBefore w:val="0"/>
        <w:widowControl w:val="0"/>
        <w:numPr>
          <w:ilvl w:val="0"/>
          <w:numId w:val="30"/>
        </w:numPr>
        <w:kinsoku/>
        <w:wordWrap/>
        <w:overflowPunct/>
        <w:topLinePunct w:val="0"/>
        <w:autoSpaceDE/>
        <w:autoSpaceDN/>
        <w:bidi w:val="0"/>
        <w:adjustRightInd/>
        <w:snapToGrid/>
        <w:ind w:left="0" w:leftChars="0" w:firstLine="420" w:firstLineChars="200"/>
        <w:textAlignment w:val="auto"/>
        <w:rPr>
          <w:rFonts w:hint="eastAsia" w:ascii="微软雅黑" w:hAnsi="微软雅黑" w:cs="Times New Roman"/>
          <w:color w:val="auto"/>
          <w:szCs w:val="21"/>
          <w:highlight w:val="none"/>
        </w:rPr>
      </w:pPr>
      <w:r>
        <w:rPr>
          <w:rFonts w:hint="eastAsia" w:ascii="微软雅黑" w:hAnsi="微软雅黑" w:cs="Times New Roman"/>
          <w:color w:val="auto"/>
          <w:szCs w:val="21"/>
          <w:highlight w:val="none"/>
        </w:rPr>
        <w:t>投标文件按照招标文件要求进行签署、盖章。</w:t>
      </w:r>
    </w:p>
    <w:p w14:paraId="79D077B0">
      <w:pPr>
        <w:keepNext w:val="0"/>
        <w:keepLines w:val="0"/>
        <w:pageBreakBefore w:val="0"/>
        <w:widowControl w:val="0"/>
        <w:numPr>
          <w:ilvl w:val="0"/>
          <w:numId w:val="30"/>
        </w:numPr>
        <w:kinsoku/>
        <w:wordWrap/>
        <w:overflowPunct/>
        <w:topLinePunct w:val="0"/>
        <w:autoSpaceDE/>
        <w:autoSpaceDN/>
        <w:bidi w:val="0"/>
        <w:adjustRightInd/>
        <w:snapToGrid/>
        <w:ind w:left="0" w:leftChars="0" w:firstLine="420" w:firstLineChars="200"/>
        <w:textAlignment w:val="auto"/>
        <w:rPr>
          <w:rFonts w:hint="eastAsia" w:ascii="微软雅黑" w:hAnsi="微软雅黑" w:cs="Times New Roman"/>
          <w:color w:val="auto"/>
          <w:szCs w:val="21"/>
          <w:highlight w:val="none"/>
        </w:rPr>
      </w:pPr>
      <w:r>
        <w:rPr>
          <w:rFonts w:hint="eastAsia" w:ascii="微软雅黑" w:hAnsi="微软雅黑" w:cs="Times New Roman"/>
          <w:color w:val="auto"/>
          <w:szCs w:val="21"/>
          <w:highlight w:val="none"/>
        </w:rPr>
        <w:t>为确保网上操作合法、有效和安全，投标供应商应当在投标截止时间前完成在“政府采购云平台”的身份认证，确保在电子投标过程中能够对相关数据电文进行加密和使用电子签名。</w:t>
      </w:r>
    </w:p>
    <w:p w14:paraId="4D8C9C90">
      <w:pPr>
        <w:keepNext w:val="0"/>
        <w:keepLines w:val="0"/>
        <w:pageBreakBefore w:val="0"/>
        <w:widowControl w:val="0"/>
        <w:numPr>
          <w:ilvl w:val="0"/>
          <w:numId w:val="30"/>
        </w:numPr>
        <w:kinsoku/>
        <w:wordWrap/>
        <w:overflowPunct/>
        <w:topLinePunct w:val="0"/>
        <w:autoSpaceDE/>
        <w:autoSpaceDN/>
        <w:bidi w:val="0"/>
        <w:adjustRightInd/>
        <w:snapToGrid/>
        <w:ind w:left="0" w:leftChars="0" w:firstLine="420" w:firstLineChars="200"/>
        <w:textAlignment w:val="auto"/>
        <w:rPr>
          <w:rFonts w:hint="eastAsia" w:ascii="微软雅黑" w:hAnsi="微软雅黑" w:cs="Times New Roman"/>
          <w:color w:val="auto"/>
          <w:szCs w:val="21"/>
          <w:highlight w:val="none"/>
        </w:rPr>
      </w:pPr>
      <w:r>
        <w:rPr>
          <w:rFonts w:hint="eastAsia" w:ascii="微软雅黑" w:hAnsi="微软雅黑" w:cs="Times New Roman"/>
          <w:color w:val="auto"/>
          <w:szCs w:val="21"/>
          <w:highlight w:val="none"/>
        </w:rPr>
        <w:t>招标文件对投标文件签署、盖章的要求适用于电子签名。</w:t>
      </w:r>
    </w:p>
    <w:p w14:paraId="265F2372">
      <w:pPr>
        <w:snapToGrid w:val="0"/>
        <w:ind w:firstLine="412" w:firstLineChars="196"/>
        <w:outlineLvl w:val="2"/>
        <w:rPr>
          <w:rFonts w:ascii="微软雅黑" w:hAnsi="微软雅黑"/>
          <w:b/>
          <w:color w:val="auto"/>
          <w:szCs w:val="21"/>
          <w:highlight w:val="none"/>
        </w:rPr>
      </w:pPr>
      <w:bookmarkStart w:id="82" w:name="_Toc402963084"/>
      <w:bookmarkStart w:id="83" w:name="_Toc402963117"/>
      <w:bookmarkStart w:id="84" w:name="_Toc385854100"/>
      <w:bookmarkStart w:id="85" w:name="_Toc406402946"/>
      <w:bookmarkStart w:id="86" w:name="_Toc169015124"/>
      <w:bookmarkStart w:id="87" w:name="_Toc406402990"/>
      <w:bookmarkStart w:id="88" w:name="_Toc532218227"/>
      <w:bookmarkStart w:id="89" w:name="_Toc164943200"/>
      <w:bookmarkStart w:id="90" w:name="_Toc385854146"/>
      <w:r>
        <w:rPr>
          <w:rFonts w:hint="eastAsia" w:ascii="微软雅黑" w:hAnsi="微软雅黑"/>
          <w:b/>
          <w:color w:val="auto"/>
          <w:szCs w:val="21"/>
          <w:highlight w:val="none"/>
        </w:rPr>
        <w:t>（三）投标文件的语言及计量</w:t>
      </w:r>
      <w:bookmarkEnd w:id="82"/>
      <w:bookmarkEnd w:id="83"/>
      <w:bookmarkEnd w:id="84"/>
      <w:bookmarkEnd w:id="85"/>
      <w:bookmarkEnd w:id="86"/>
      <w:bookmarkEnd w:id="87"/>
      <w:bookmarkEnd w:id="88"/>
      <w:bookmarkEnd w:id="89"/>
      <w:bookmarkEnd w:id="90"/>
    </w:p>
    <w:p w14:paraId="2ADF8BCE">
      <w:pPr>
        <w:keepNext w:val="0"/>
        <w:keepLines w:val="0"/>
        <w:pageBreakBefore w:val="0"/>
        <w:widowControl w:val="0"/>
        <w:numPr>
          <w:ilvl w:val="0"/>
          <w:numId w:val="31"/>
        </w:numPr>
        <w:kinsoku/>
        <w:wordWrap/>
        <w:overflowPunct/>
        <w:topLinePunct w:val="0"/>
        <w:autoSpaceDE/>
        <w:autoSpaceDN/>
        <w:bidi w:val="0"/>
        <w:adjustRightInd/>
        <w:snapToGrid/>
        <w:ind w:left="0" w:leftChars="0" w:firstLine="420" w:firstLineChars="200"/>
        <w:textAlignment w:val="auto"/>
        <w:rPr>
          <w:rFonts w:hint="eastAsia" w:ascii="微软雅黑" w:hAnsi="微软雅黑" w:cs="Times New Roman"/>
          <w:color w:val="auto"/>
          <w:szCs w:val="21"/>
          <w:highlight w:val="none"/>
          <w:lang w:val="zh-CN"/>
        </w:rPr>
      </w:pPr>
      <w:r>
        <w:rPr>
          <w:rFonts w:hint="eastAsia" w:ascii="微软雅黑" w:hAnsi="微软雅黑" w:cs="Times New Roman"/>
          <w:color w:val="auto"/>
          <w:szCs w:val="21"/>
          <w:highlight w:val="none"/>
          <w:lang w:val="zh-CN"/>
        </w:rPr>
        <w:t>投标文件以及投标方与采购人就有关投标事宜的所有来往函电，均应以中文汉语书写。除签名、盖章、专用名称等特殊情形外，以中文汉语以外的文字表述的投标文件视同未提供。</w:t>
      </w:r>
    </w:p>
    <w:p w14:paraId="5D032AF0">
      <w:pPr>
        <w:keepNext w:val="0"/>
        <w:keepLines w:val="0"/>
        <w:pageBreakBefore w:val="0"/>
        <w:widowControl w:val="0"/>
        <w:numPr>
          <w:ilvl w:val="0"/>
          <w:numId w:val="31"/>
        </w:numPr>
        <w:kinsoku/>
        <w:wordWrap/>
        <w:overflowPunct/>
        <w:topLinePunct w:val="0"/>
        <w:autoSpaceDE/>
        <w:autoSpaceDN/>
        <w:bidi w:val="0"/>
        <w:adjustRightInd/>
        <w:snapToGrid/>
        <w:ind w:left="0" w:leftChars="0" w:firstLine="420" w:firstLineChars="200"/>
        <w:textAlignment w:val="auto"/>
        <w:rPr>
          <w:rFonts w:hint="eastAsia" w:ascii="微软雅黑" w:hAnsi="微软雅黑" w:cs="Times New Roman"/>
          <w:color w:val="auto"/>
          <w:szCs w:val="21"/>
          <w:highlight w:val="none"/>
          <w:lang w:val="zh-CN"/>
        </w:rPr>
      </w:pPr>
      <w:r>
        <w:rPr>
          <w:rFonts w:hint="eastAsia" w:ascii="微软雅黑" w:hAnsi="微软雅黑" w:cs="Times New Roman"/>
          <w:color w:val="auto"/>
          <w:szCs w:val="21"/>
          <w:highlight w:val="none"/>
          <w:lang w:val="zh-CN"/>
        </w:rPr>
        <w:t>投标计量单位，招标文件已有明确规定的，使用招标文件规定的计量单位；招标文件没有规定的，应采用中华人民共和国法定计量单位（货币单位：人民币元），否则视同未响应。</w:t>
      </w:r>
    </w:p>
    <w:p w14:paraId="5D930F81">
      <w:pPr>
        <w:pStyle w:val="292"/>
        <w:spacing w:before="0"/>
        <w:ind w:firstLine="420"/>
        <w:outlineLvl w:val="2"/>
        <w:rPr>
          <w:rFonts w:ascii="微软雅黑" w:hAnsi="微软雅黑" w:eastAsia="微软雅黑"/>
          <w:b/>
          <w:color w:val="auto"/>
          <w:sz w:val="21"/>
          <w:szCs w:val="21"/>
          <w:highlight w:val="none"/>
        </w:rPr>
      </w:pPr>
      <w:r>
        <w:rPr>
          <w:rFonts w:hint="eastAsia" w:ascii="微软雅黑" w:hAnsi="微软雅黑" w:eastAsia="微软雅黑"/>
          <w:b/>
          <w:color w:val="auto"/>
          <w:sz w:val="21"/>
          <w:szCs w:val="21"/>
          <w:highlight w:val="none"/>
        </w:rPr>
        <w:t>（四）投标文件的提交、补充、修改、撤回</w:t>
      </w:r>
    </w:p>
    <w:p w14:paraId="6DC6AB4A">
      <w:pPr>
        <w:keepNext w:val="0"/>
        <w:keepLines w:val="0"/>
        <w:pageBreakBefore w:val="0"/>
        <w:widowControl w:val="0"/>
        <w:numPr>
          <w:ilvl w:val="0"/>
          <w:numId w:val="32"/>
        </w:numPr>
        <w:kinsoku/>
        <w:wordWrap/>
        <w:overflowPunct/>
        <w:topLinePunct w:val="0"/>
        <w:autoSpaceDE/>
        <w:autoSpaceDN/>
        <w:bidi w:val="0"/>
        <w:adjustRightInd/>
        <w:snapToGrid/>
        <w:ind w:left="0" w:leftChars="0" w:firstLine="420" w:firstLineChars="200"/>
        <w:textAlignment w:val="auto"/>
        <w:rPr>
          <w:rFonts w:hint="eastAsia" w:ascii="微软雅黑" w:hAnsi="微软雅黑" w:cs="Times New Roman"/>
          <w:color w:val="auto"/>
          <w:szCs w:val="21"/>
          <w:highlight w:val="none"/>
          <w:lang w:val="zh-CN"/>
        </w:rPr>
      </w:pPr>
      <w:r>
        <w:rPr>
          <w:rFonts w:hint="eastAsia" w:ascii="微软雅黑" w:hAnsi="微软雅黑" w:cs="Times New Roman"/>
          <w:color w:val="auto"/>
          <w:szCs w:val="21"/>
          <w:highlight w:val="none"/>
          <w:lang w:val="zh-CN"/>
        </w:rPr>
        <w:t>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79A63781">
      <w:pPr>
        <w:keepNext w:val="0"/>
        <w:keepLines w:val="0"/>
        <w:pageBreakBefore w:val="0"/>
        <w:widowControl w:val="0"/>
        <w:numPr>
          <w:ilvl w:val="0"/>
          <w:numId w:val="32"/>
        </w:numPr>
        <w:kinsoku/>
        <w:wordWrap/>
        <w:overflowPunct/>
        <w:topLinePunct w:val="0"/>
        <w:autoSpaceDE/>
        <w:autoSpaceDN/>
        <w:bidi w:val="0"/>
        <w:adjustRightInd/>
        <w:snapToGrid/>
        <w:ind w:left="0" w:leftChars="0" w:firstLine="420" w:firstLineChars="200"/>
        <w:textAlignment w:val="auto"/>
        <w:rPr>
          <w:rFonts w:hint="eastAsia" w:ascii="微软雅黑" w:hAnsi="微软雅黑" w:cs="Times New Roman"/>
          <w:color w:val="auto"/>
          <w:szCs w:val="21"/>
          <w:highlight w:val="none"/>
          <w:lang w:val="zh-CN"/>
        </w:rPr>
      </w:pPr>
      <w:r>
        <w:rPr>
          <w:rFonts w:hint="eastAsia" w:ascii="微软雅黑" w:hAnsi="微软雅黑" w:cs="Times New Roman"/>
          <w:color w:val="auto"/>
          <w:szCs w:val="21"/>
          <w:highlight w:val="none"/>
          <w:lang w:val="zh-CN"/>
        </w:rPr>
        <w:t>电子交易平台收到投标文件，将妥善保存并即时向供应商发出确认回执通知。在投标截止时间前，除供应商补充、修改或者撤回投标文件外，任何单位和个人不得解密或提取投标文件。</w:t>
      </w:r>
    </w:p>
    <w:p w14:paraId="78AC595B">
      <w:pPr>
        <w:keepNext w:val="0"/>
        <w:keepLines w:val="0"/>
        <w:pageBreakBefore w:val="0"/>
        <w:widowControl w:val="0"/>
        <w:numPr>
          <w:ilvl w:val="0"/>
          <w:numId w:val="32"/>
        </w:numPr>
        <w:kinsoku/>
        <w:wordWrap/>
        <w:overflowPunct/>
        <w:topLinePunct w:val="0"/>
        <w:autoSpaceDE/>
        <w:autoSpaceDN/>
        <w:bidi w:val="0"/>
        <w:adjustRightInd/>
        <w:snapToGrid/>
        <w:ind w:left="0" w:leftChars="0" w:firstLine="420" w:firstLineChars="200"/>
        <w:textAlignment w:val="auto"/>
        <w:rPr>
          <w:rFonts w:hint="eastAsia" w:ascii="微软雅黑" w:hAnsi="微软雅黑" w:cs="Times New Roman"/>
          <w:color w:val="auto"/>
          <w:szCs w:val="21"/>
          <w:highlight w:val="none"/>
          <w:lang w:val="zh-CN"/>
        </w:rPr>
      </w:pPr>
      <w:r>
        <w:rPr>
          <w:rFonts w:hint="eastAsia" w:ascii="微软雅黑" w:hAnsi="微软雅黑" w:cs="Times New Roman"/>
          <w:color w:val="auto"/>
          <w:szCs w:val="21"/>
          <w:highlight w:val="none"/>
          <w:lang w:val="zh-CN"/>
        </w:rPr>
        <w:t>采购人、采购机构可以视情况延长投标文件提交的截止时间。在上述情况下，采购机构与投标供应商以前在投标截止期方面的全部权利、责任和义务，将适用于延长至新的投标截止期。</w:t>
      </w:r>
    </w:p>
    <w:p w14:paraId="06ECDDE4">
      <w:pPr>
        <w:snapToGrid w:val="0"/>
        <w:ind w:firstLine="412" w:firstLineChars="196"/>
        <w:outlineLvl w:val="2"/>
        <w:rPr>
          <w:rFonts w:ascii="微软雅黑" w:hAnsi="微软雅黑"/>
          <w:b/>
          <w:color w:val="auto"/>
          <w:szCs w:val="21"/>
          <w:highlight w:val="none"/>
        </w:rPr>
      </w:pPr>
      <w:bookmarkStart w:id="91" w:name="_Toc164943201"/>
      <w:bookmarkStart w:id="92" w:name="_Toc169015125"/>
      <w:bookmarkStart w:id="93" w:name="_Toc532218228"/>
      <w:bookmarkStart w:id="94" w:name="_Toc402963118"/>
      <w:bookmarkStart w:id="95" w:name="_Toc406402947"/>
      <w:bookmarkStart w:id="96" w:name="_Toc385854147"/>
      <w:bookmarkStart w:id="97" w:name="_Toc402963085"/>
      <w:bookmarkStart w:id="98" w:name="_Toc385854101"/>
      <w:bookmarkStart w:id="99" w:name="_Toc406402991"/>
      <w:r>
        <w:rPr>
          <w:rFonts w:hint="eastAsia" w:ascii="微软雅黑" w:hAnsi="微软雅黑"/>
          <w:b/>
          <w:color w:val="auto"/>
          <w:szCs w:val="21"/>
          <w:highlight w:val="none"/>
        </w:rPr>
        <w:t>（五）投标报价</w:t>
      </w:r>
      <w:bookmarkEnd w:id="91"/>
      <w:bookmarkEnd w:id="92"/>
      <w:bookmarkEnd w:id="93"/>
      <w:bookmarkEnd w:id="94"/>
      <w:bookmarkEnd w:id="95"/>
      <w:bookmarkEnd w:id="96"/>
      <w:bookmarkEnd w:id="97"/>
      <w:bookmarkEnd w:id="98"/>
      <w:bookmarkEnd w:id="99"/>
    </w:p>
    <w:p w14:paraId="4809219C">
      <w:pPr>
        <w:keepNext w:val="0"/>
        <w:keepLines w:val="0"/>
        <w:pageBreakBefore w:val="0"/>
        <w:widowControl w:val="0"/>
        <w:numPr>
          <w:ilvl w:val="0"/>
          <w:numId w:val="33"/>
        </w:numPr>
        <w:kinsoku/>
        <w:wordWrap/>
        <w:overflowPunct/>
        <w:topLinePunct w:val="0"/>
        <w:autoSpaceDE/>
        <w:autoSpaceDN/>
        <w:bidi w:val="0"/>
        <w:adjustRightInd/>
        <w:snapToGrid/>
        <w:ind w:left="0" w:leftChars="0" w:firstLine="420" w:firstLineChars="200"/>
        <w:textAlignment w:val="auto"/>
        <w:rPr>
          <w:rFonts w:hint="eastAsia" w:ascii="微软雅黑" w:hAnsi="微软雅黑" w:cs="Times New Roman"/>
          <w:color w:val="auto"/>
          <w:szCs w:val="21"/>
          <w:highlight w:val="none"/>
          <w:lang w:val="zh-CN"/>
        </w:rPr>
      </w:pPr>
      <w:bookmarkStart w:id="100" w:name="_Toc164943202"/>
      <w:bookmarkStart w:id="101" w:name="_Toc169015126"/>
      <w:r>
        <w:rPr>
          <w:rFonts w:hint="eastAsia" w:ascii="微软雅黑" w:hAnsi="微软雅黑" w:cs="Times New Roman"/>
          <w:color w:val="auto"/>
          <w:szCs w:val="21"/>
          <w:highlight w:val="none"/>
          <w:lang w:val="zh-CN"/>
        </w:rPr>
        <w:t>投标报价应按招标文件中相关附表格式填写。</w:t>
      </w:r>
    </w:p>
    <w:p w14:paraId="215B36D7">
      <w:pPr>
        <w:keepNext w:val="0"/>
        <w:keepLines w:val="0"/>
        <w:pageBreakBefore w:val="0"/>
        <w:widowControl w:val="0"/>
        <w:numPr>
          <w:ilvl w:val="0"/>
          <w:numId w:val="33"/>
        </w:numPr>
        <w:kinsoku/>
        <w:wordWrap/>
        <w:overflowPunct/>
        <w:topLinePunct w:val="0"/>
        <w:autoSpaceDE/>
        <w:autoSpaceDN/>
        <w:bidi w:val="0"/>
        <w:adjustRightInd/>
        <w:snapToGrid/>
        <w:ind w:left="0" w:leftChars="0" w:firstLine="420" w:firstLineChars="200"/>
        <w:textAlignment w:val="auto"/>
        <w:rPr>
          <w:rFonts w:hint="eastAsia" w:ascii="微软雅黑" w:hAnsi="微软雅黑" w:cs="Times New Roman"/>
          <w:color w:val="auto"/>
          <w:szCs w:val="21"/>
          <w:highlight w:val="none"/>
          <w:lang w:val="zh-CN"/>
        </w:rPr>
      </w:pPr>
      <w:r>
        <w:rPr>
          <w:rFonts w:hint="eastAsia" w:ascii="微软雅黑" w:hAnsi="微软雅黑" w:cs="Times New Roman"/>
          <w:color w:val="auto"/>
          <w:szCs w:val="21"/>
          <w:highlight w:val="none"/>
          <w:lang w:val="zh-CN"/>
        </w:rPr>
        <w:t>投标报价是履行合同的最终价格，有关本项目实施所涉及的一切费用均计入报价;</w:t>
      </w:r>
    </w:p>
    <w:p w14:paraId="43538F6D">
      <w:pPr>
        <w:keepNext w:val="0"/>
        <w:keepLines w:val="0"/>
        <w:pageBreakBefore w:val="0"/>
        <w:widowControl w:val="0"/>
        <w:numPr>
          <w:ilvl w:val="0"/>
          <w:numId w:val="33"/>
        </w:numPr>
        <w:kinsoku/>
        <w:wordWrap/>
        <w:overflowPunct/>
        <w:topLinePunct w:val="0"/>
        <w:autoSpaceDE/>
        <w:autoSpaceDN/>
        <w:bidi w:val="0"/>
        <w:adjustRightInd/>
        <w:snapToGrid/>
        <w:ind w:left="0" w:leftChars="0" w:firstLine="420" w:firstLineChars="200"/>
        <w:textAlignment w:val="auto"/>
        <w:rPr>
          <w:rFonts w:hint="eastAsia" w:ascii="微软雅黑" w:hAnsi="微软雅黑" w:cs="Times New Roman"/>
          <w:color w:val="auto"/>
          <w:szCs w:val="21"/>
          <w:highlight w:val="none"/>
          <w:lang w:val="zh-CN"/>
        </w:rPr>
      </w:pPr>
      <w:r>
        <w:rPr>
          <w:rFonts w:hint="eastAsia" w:ascii="微软雅黑" w:hAnsi="微软雅黑" w:cs="Times New Roman"/>
          <w:color w:val="auto"/>
          <w:szCs w:val="21"/>
          <w:highlight w:val="none"/>
          <w:lang w:val="zh-CN"/>
        </w:rPr>
        <w:t>投标文件只允许有一个报价，有选择的报价将不予接受。</w:t>
      </w:r>
    </w:p>
    <w:p w14:paraId="77B220B6">
      <w:pPr>
        <w:keepNext w:val="0"/>
        <w:keepLines w:val="0"/>
        <w:pageBreakBefore w:val="0"/>
        <w:widowControl w:val="0"/>
        <w:numPr>
          <w:ilvl w:val="0"/>
          <w:numId w:val="33"/>
        </w:numPr>
        <w:kinsoku/>
        <w:wordWrap/>
        <w:overflowPunct/>
        <w:topLinePunct w:val="0"/>
        <w:autoSpaceDE/>
        <w:autoSpaceDN/>
        <w:bidi w:val="0"/>
        <w:adjustRightInd/>
        <w:snapToGrid/>
        <w:ind w:left="0" w:leftChars="0" w:firstLine="420" w:firstLineChars="200"/>
        <w:textAlignment w:val="auto"/>
        <w:rPr>
          <w:rFonts w:hint="eastAsia" w:ascii="微软雅黑" w:hAnsi="微软雅黑" w:cs="Times New Roman"/>
          <w:color w:val="auto"/>
          <w:szCs w:val="21"/>
          <w:highlight w:val="none"/>
          <w:lang w:val="zh-CN"/>
        </w:rPr>
      </w:pPr>
      <w:r>
        <w:rPr>
          <w:rFonts w:hint="eastAsia" w:ascii="微软雅黑" w:hAnsi="微软雅黑" w:cs="Times New Roman"/>
          <w:color w:val="auto"/>
          <w:szCs w:val="21"/>
          <w:highlight w:val="none"/>
          <w:lang w:val="zh-CN"/>
        </w:rPr>
        <w:t>采购人将以合同形式有偿取得货物或服务,不接受投标人给予的赠品、回扣或者与采购无关的其他商品、服务。</w:t>
      </w:r>
    </w:p>
    <w:p w14:paraId="079DD756">
      <w:pPr>
        <w:keepNext w:val="0"/>
        <w:keepLines w:val="0"/>
        <w:pageBreakBefore w:val="0"/>
        <w:widowControl w:val="0"/>
        <w:numPr>
          <w:ilvl w:val="0"/>
          <w:numId w:val="33"/>
        </w:numPr>
        <w:kinsoku/>
        <w:wordWrap/>
        <w:overflowPunct/>
        <w:topLinePunct w:val="0"/>
        <w:autoSpaceDE/>
        <w:autoSpaceDN/>
        <w:bidi w:val="0"/>
        <w:adjustRightInd/>
        <w:snapToGrid/>
        <w:ind w:left="0" w:leftChars="0" w:firstLine="420" w:firstLineChars="200"/>
        <w:textAlignment w:val="auto"/>
        <w:rPr>
          <w:rFonts w:hint="eastAsia" w:ascii="微软雅黑" w:hAnsi="微软雅黑" w:cs="Times New Roman"/>
          <w:color w:val="auto"/>
          <w:szCs w:val="21"/>
          <w:highlight w:val="none"/>
          <w:lang w:val="zh-CN"/>
        </w:rPr>
      </w:pPr>
      <w:r>
        <w:rPr>
          <w:rFonts w:hint="eastAsia" w:ascii="微软雅黑" w:hAnsi="微软雅黑" w:cs="Times New Roman"/>
          <w:color w:val="auto"/>
          <w:szCs w:val="21"/>
          <w:highlight w:val="none"/>
          <w:lang w:val="zh-CN"/>
        </w:rPr>
        <w:t>投标文件只允许有一个报价，有选择的或有条件的报价将不予接受。</w:t>
      </w:r>
    </w:p>
    <w:p w14:paraId="4D5AC367">
      <w:pPr>
        <w:snapToGrid w:val="0"/>
        <w:ind w:firstLine="412" w:firstLineChars="196"/>
        <w:outlineLvl w:val="2"/>
        <w:rPr>
          <w:rFonts w:ascii="微软雅黑" w:hAnsi="微软雅黑"/>
          <w:b/>
          <w:color w:val="auto"/>
          <w:szCs w:val="21"/>
          <w:highlight w:val="none"/>
        </w:rPr>
      </w:pPr>
      <w:r>
        <w:rPr>
          <w:rFonts w:hint="eastAsia" w:ascii="微软雅黑" w:hAnsi="微软雅黑"/>
          <w:b/>
          <w:color w:val="auto"/>
          <w:szCs w:val="21"/>
          <w:highlight w:val="none"/>
        </w:rPr>
        <w:t>（六）投标文件的有效期</w:t>
      </w:r>
      <w:bookmarkEnd w:id="100"/>
      <w:bookmarkEnd w:id="101"/>
    </w:p>
    <w:p w14:paraId="2E0712FF">
      <w:pPr>
        <w:keepNext w:val="0"/>
        <w:keepLines w:val="0"/>
        <w:pageBreakBefore w:val="0"/>
        <w:widowControl w:val="0"/>
        <w:numPr>
          <w:ilvl w:val="0"/>
          <w:numId w:val="34"/>
        </w:numPr>
        <w:kinsoku/>
        <w:wordWrap/>
        <w:overflowPunct/>
        <w:topLinePunct w:val="0"/>
        <w:autoSpaceDE/>
        <w:autoSpaceDN/>
        <w:bidi w:val="0"/>
        <w:adjustRightInd/>
        <w:snapToGrid/>
        <w:ind w:left="0" w:leftChars="0" w:firstLine="420" w:firstLineChars="200"/>
        <w:textAlignment w:val="auto"/>
        <w:rPr>
          <w:rFonts w:hint="eastAsia" w:ascii="微软雅黑" w:hAnsi="微软雅黑" w:cs="Times New Roman"/>
          <w:color w:val="auto"/>
          <w:szCs w:val="21"/>
          <w:highlight w:val="none"/>
          <w:lang w:val="zh-CN"/>
        </w:rPr>
      </w:pPr>
      <w:r>
        <w:rPr>
          <w:rFonts w:hint="eastAsia" w:ascii="微软雅黑" w:hAnsi="微软雅黑" w:cs="Times New Roman"/>
          <w:color w:val="auto"/>
          <w:szCs w:val="21"/>
          <w:highlight w:val="none"/>
          <w:lang w:val="zh-CN"/>
        </w:rPr>
        <w:t>自投标截止日起90天投标文件应保持有效。有效期不足的投标文件将被拒绝。</w:t>
      </w:r>
    </w:p>
    <w:p w14:paraId="60708C8A">
      <w:pPr>
        <w:keepNext w:val="0"/>
        <w:keepLines w:val="0"/>
        <w:pageBreakBefore w:val="0"/>
        <w:widowControl w:val="0"/>
        <w:numPr>
          <w:ilvl w:val="0"/>
          <w:numId w:val="34"/>
        </w:numPr>
        <w:kinsoku/>
        <w:wordWrap/>
        <w:overflowPunct/>
        <w:topLinePunct w:val="0"/>
        <w:autoSpaceDE/>
        <w:autoSpaceDN/>
        <w:bidi w:val="0"/>
        <w:adjustRightInd/>
        <w:snapToGrid/>
        <w:ind w:left="0" w:leftChars="0" w:firstLine="420" w:firstLineChars="200"/>
        <w:textAlignment w:val="auto"/>
        <w:rPr>
          <w:rFonts w:hint="eastAsia" w:ascii="微软雅黑" w:hAnsi="微软雅黑" w:cs="Times New Roman"/>
          <w:color w:val="auto"/>
          <w:szCs w:val="21"/>
          <w:highlight w:val="none"/>
          <w:lang w:val="zh-CN"/>
        </w:rPr>
      </w:pPr>
      <w:r>
        <w:rPr>
          <w:rFonts w:hint="eastAsia" w:ascii="微软雅黑" w:hAnsi="微软雅黑" w:cs="Times New Roman"/>
          <w:color w:val="auto"/>
          <w:szCs w:val="21"/>
          <w:highlight w:val="none"/>
          <w:lang w:val="zh-CN"/>
        </w:rPr>
        <w:t>在特殊情况下，采购人可与投标供应商协商延长投标书的有效期，这种要求和答复均以书面形式进行。</w:t>
      </w:r>
    </w:p>
    <w:p w14:paraId="58CC640C">
      <w:pPr>
        <w:keepNext w:val="0"/>
        <w:keepLines w:val="0"/>
        <w:pageBreakBefore w:val="0"/>
        <w:widowControl w:val="0"/>
        <w:numPr>
          <w:ilvl w:val="0"/>
          <w:numId w:val="34"/>
        </w:numPr>
        <w:kinsoku/>
        <w:wordWrap/>
        <w:overflowPunct/>
        <w:topLinePunct w:val="0"/>
        <w:autoSpaceDE/>
        <w:autoSpaceDN/>
        <w:bidi w:val="0"/>
        <w:adjustRightInd/>
        <w:snapToGrid/>
        <w:ind w:left="0" w:leftChars="0" w:firstLine="420" w:firstLineChars="200"/>
        <w:textAlignment w:val="auto"/>
        <w:rPr>
          <w:rFonts w:hint="eastAsia" w:ascii="微软雅黑" w:hAnsi="微软雅黑" w:cs="Times New Roman"/>
          <w:color w:val="auto"/>
          <w:szCs w:val="21"/>
          <w:highlight w:val="none"/>
          <w:lang w:val="zh-CN"/>
        </w:rPr>
      </w:pPr>
      <w:bookmarkStart w:id="102" w:name="_Toc402963087"/>
      <w:bookmarkStart w:id="103" w:name="_Toc385854149"/>
      <w:bookmarkStart w:id="104" w:name="_Toc406402993"/>
      <w:bookmarkStart w:id="105" w:name="_Toc406402949"/>
      <w:bookmarkStart w:id="106" w:name="_Toc385854103"/>
      <w:bookmarkStart w:id="107" w:name="_Toc532218229"/>
      <w:bookmarkStart w:id="108" w:name="_Toc402963120"/>
      <w:r>
        <w:rPr>
          <w:rFonts w:hint="eastAsia" w:ascii="微软雅黑" w:hAnsi="微软雅黑" w:cs="Times New Roman"/>
          <w:color w:val="auto"/>
          <w:szCs w:val="21"/>
          <w:highlight w:val="none"/>
          <w:lang w:val="zh-CN"/>
        </w:rPr>
        <w:t>中标供应商的投标文件自开标之日起至合同履行完毕止均应保持有效。</w:t>
      </w:r>
      <w:bookmarkEnd w:id="102"/>
      <w:bookmarkEnd w:id="103"/>
      <w:bookmarkEnd w:id="104"/>
      <w:bookmarkEnd w:id="105"/>
      <w:bookmarkEnd w:id="106"/>
      <w:bookmarkEnd w:id="107"/>
      <w:bookmarkEnd w:id="108"/>
    </w:p>
    <w:p w14:paraId="3426F900">
      <w:pPr>
        <w:keepNext w:val="0"/>
        <w:keepLines w:val="0"/>
        <w:pageBreakBefore w:val="0"/>
        <w:widowControl w:val="0"/>
        <w:numPr>
          <w:ilvl w:val="0"/>
          <w:numId w:val="34"/>
        </w:numPr>
        <w:kinsoku/>
        <w:wordWrap/>
        <w:overflowPunct/>
        <w:topLinePunct w:val="0"/>
        <w:autoSpaceDE/>
        <w:autoSpaceDN/>
        <w:bidi w:val="0"/>
        <w:adjustRightInd/>
        <w:snapToGrid/>
        <w:ind w:left="0" w:leftChars="0" w:firstLine="420" w:firstLineChars="200"/>
        <w:textAlignment w:val="auto"/>
        <w:rPr>
          <w:rFonts w:hint="eastAsia" w:ascii="微软雅黑" w:hAnsi="微软雅黑" w:cs="Times New Roman"/>
          <w:color w:val="auto"/>
          <w:szCs w:val="21"/>
          <w:highlight w:val="none"/>
          <w:lang w:val="zh-CN"/>
        </w:rPr>
      </w:pPr>
      <w:r>
        <w:rPr>
          <w:rFonts w:hint="eastAsia" w:ascii="微软雅黑" w:hAnsi="微软雅黑" w:cs="Times New Roman"/>
          <w:color w:val="auto"/>
          <w:szCs w:val="21"/>
          <w:highlight w:val="none"/>
          <w:lang w:val="zh-CN"/>
        </w:rPr>
        <w:t>在原定投标有效期满之前，如果出现特殊情况，采购机构可以以书面形式通知投标供应商延长投标有效期。投标供应商同意延长的，不得要求或被允许修改其投标文件，投标供应商拒绝延长的，其投标无效。</w:t>
      </w:r>
    </w:p>
    <w:p w14:paraId="562B4A44">
      <w:pPr>
        <w:snapToGrid w:val="0"/>
        <w:ind w:firstLine="420"/>
        <w:outlineLvl w:val="2"/>
        <w:rPr>
          <w:rFonts w:ascii="微软雅黑" w:hAnsi="微软雅黑"/>
          <w:b/>
          <w:color w:val="auto"/>
          <w:szCs w:val="21"/>
          <w:highlight w:val="none"/>
        </w:rPr>
      </w:pPr>
      <w:bookmarkStart w:id="109" w:name="_Toc164943203"/>
      <w:bookmarkStart w:id="110" w:name="_Toc169015127"/>
      <w:r>
        <w:rPr>
          <w:rFonts w:hint="eastAsia" w:ascii="微软雅黑" w:hAnsi="微软雅黑"/>
          <w:b/>
          <w:color w:val="auto"/>
          <w:szCs w:val="21"/>
          <w:highlight w:val="none"/>
        </w:rPr>
        <w:t>（七）投标无效的情形</w:t>
      </w:r>
      <w:bookmarkEnd w:id="109"/>
      <w:bookmarkEnd w:id="110"/>
    </w:p>
    <w:p w14:paraId="55CD07AA">
      <w:pPr>
        <w:snapToGrid w:val="0"/>
        <w:spacing w:line="480" w:lineRule="exact"/>
        <w:ind w:firstLine="420"/>
        <w:rPr>
          <w:rFonts w:ascii="微软雅黑" w:hAnsi="微软雅黑" w:cs="宋体"/>
          <w:b/>
          <w:color w:val="auto"/>
          <w:szCs w:val="21"/>
          <w:highlight w:val="none"/>
        </w:rPr>
      </w:pPr>
      <w:r>
        <w:rPr>
          <w:rFonts w:hint="eastAsia" w:ascii="微软雅黑" w:hAnsi="微软雅黑" w:cs="宋体"/>
          <w:b/>
          <w:color w:val="auto"/>
          <w:szCs w:val="21"/>
          <w:highlight w:val="none"/>
        </w:rPr>
        <w:t>1.电子投标文件解密失败的，且未在规定时间内提交有效备份投标文件的。电子投标文件解密失败，虽然在规定时间内提交了备份投标文件，但是备份投标文件无法导入或者无法读取或者不符合本招标文件和电子交易平台要求的。</w:t>
      </w:r>
    </w:p>
    <w:p w14:paraId="35ABF35A">
      <w:pPr>
        <w:snapToGrid w:val="0"/>
        <w:spacing w:line="480" w:lineRule="exact"/>
        <w:ind w:firstLine="420"/>
        <w:rPr>
          <w:rFonts w:ascii="微软雅黑" w:hAnsi="微软雅黑" w:cs="宋体"/>
          <w:b/>
          <w:color w:val="auto"/>
          <w:szCs w:val="21"/>
          <w:highlight w:val="none"/>
        </w:rPr>
      </w:pPr>
      <w:r>
        <w:rPr>
          <w:rFonts w:hint="eastAsia" w:ascii="微软雅黑" w:hAnsi="微软雅黑" w:cs="宋体"/>
          <w:b/>
          <w:color w:val="auto"/>
          <w:szCs w:val="21"/>
          <w:highlight w:val="none"/>
        </w:rPr>
        <w:t>2.仅提交备份投标文件，没有在电子交易平台传输递交投标文件的。</w:t>
      </w:r>
    </w:p>
    <w:p w14:paraId="20A3A16F">
      <w:pPr>
        <w:snapToGrid w:val="0"/>
        <w:spacing w:line="480" w:lineRule="exact"/>
        <w:ind w:firstLine="420"/>
        <w:rPr>
          <w:rFonts w:ascii="微软雅黑" w:hAnsi="微软雅黑" w:cs="宋体"/>
          <w:b/>
          <w:color w:val="auto"/>
          <w:szCs w:val="21"/>
          <w:highlight w:val="none"/>
        </w:rPr>
      </w:pPr>
      <w:r>
        <w:rPr>
          <w:rFonts w:hint="eastAsia" w:ascii="微软雅黑" w:hAnsi="微软雅黑" w:cs="宋体"/>
          <w:b/>
          <w:color w:val="auto"/>
          <w:szCs w:val="21"/>
          <w:highlight w:val="none"/>
        </w:rPr>
        <w:t>3.没有通过资格审查的，投标文件将被视为无效。</w:t>
      </w:r>
    </w:p>
    <w:p w14:paraId="4074DBB7">
      <w:pPr>
        <w:snapToGrid w:val="0"/>
        <w:spacing w:line="480" w:lineRule="exact"/>
        <w:ind w:firstLine="420"/>
        <w:rPr>
          <w:rFonts w:ascii="微软雅黑" w:hAnsi="微软雅黑" w:cs="宋体"/>
          <w:b/>
          <w:color w:val="auto"/>
          <w:szCs w:val="21"/>
          <w:highlight w:val="none"/>
        </w:rPr>
      </w:pPr>
      <w:r>
        <w:rPr>
          <w:rFonts w:hint="eastAsia" w:ascii="微软雅黑" w:hAnsi="微软雅黑" w:cs="宋体"/>
          <w:b/>
          <w:color w:val="auto"/>
          <w:szCs w:val="21"/>
          <w:highlight w:val="none"/>
        </w:rPr>
        <w:t>4.在符合性审查和商务评审时，如发现下列情形之一的，投标文件将被视为无效：</w:t>
      </w:r>
    </w:p>
    <w:p w14:paraId="5E1DE4C1">
      <w:pPr>
        <w:snapToGrid w:val="0"/>
        <w:spacing w:line="480" w:lineRule="exact"/>
        <w:ind w:firstLine="411" w:firstLineChars="196"/>
        <w:rPr>
          <w:rFonts w:ascii="微软雅黑" w:hAnsi="微软雅黑"/>
          <w:color w:val="auto"/>
          <w:szCs w:val="21"/>
          <w:highlight w:val="none"/>
        </w:rPr>
      </w:pPr>
      <w:r>
        <w:rPr>
          <w:rFonts w:hint="eastAsia" w:ascii="微软雅黑" w:hAnsi="微软雅黑"/>
          <w:bCs/>
          <w:color w:val="auto"/>
          <w:szCs w:val="21"/>
          <w:highlight w:val="none"/>
        </w:rPr>
        <w:t>4.1</w:t>
      </w:r>
      <w:r>
        <w:rPr>
          <w:rFonts w:hint="eastAsia" w:ascii="微软雅黑" w:hAnsi="微软雅黑"/>
          <w:color w:val="auto"/>
          <w:szCs w:val="21"/>
          <w:highlight w:val="none"/>
        </w:rPr>
        <w:t>电子投标文件未按规定要求提供电子签章的。</w:t>
      </w:r>
    </w:p>
    <w:p w14:paraId="3BDDA1D2">
      <w:pPr>
        <w:snapToGrid w:val="0"/>
        <w:spacing w:line="480" w:lineRule="exact"/>
        <w:ind w:firstLine="420"/>
        <w:rPr>
          <w:rFonts w:ascii="微软雅黑" w:hAnsi="微软雅黑"/>
          <w:bCs/>
          <w:color w:val="auto"/>
          <w:szCs w:val="21"/>
          <w:highlight w:val="none"/>
        </w:rPr>
      </w:pPr>
      <w:r>
        <w:rPr>
          <w:rFonts w:hint="eastAsia" w:ascii="微软雅黑" w:hAnsi="微软雅黑"/>
          <w:color w:val="auto"/>
          <w:szCs w:val="21"/>
          <w:highlight w:val="none"/>
        </w:rPr>
        <w:t>4.2</w:t>
      </w:r>
      <w:r>
        <w:rPr>
          <w:rFonts w:hint="eastAsia" w:ascii="微软雅黑" w:hAnsi="微软雅黑"/>
          <w:bCs/>
          <w:color w:val="auto"/>
          <w:szCs w:val="21"/>
          <w:highlight w:val="none"/>
        </w:rPr>
        <w:t>在资信商务技术文件中出现报价的。</w:t>
      </w:r>
    </w:p>
    <w:p w14:paraId="4095C9BC">
      <w:pPr>
        <w:snapToGrid w:val="0"/>
        <w:spacing w:line="480" w:lineRule="exact"/>
        <w:ind w:firstLine="420"/>
        <w:rPr>
          <w:rFonts w:ascii="微软雅黑" w:hAnsi="微软雅黑"/>
          <w:color w:val="auto"/>
          <w:szCs w:val="21"/>
          <w:highlight w:val="none"/>
        </w:rPr>
      </w:pPr>
      <w:r>
        <w:rPr>
          <w:rFonts w:hint="eastAsia" w:ascii="微软雅黑" w:hAnsi="微软雅黑"/>
          <w:color w:val="auto"/>
          <w:szCs w:val="21"/>
          <w:highlight w:val="none"/>
        </w:rPr>
        <w:t>4.3未按要求对资格文件进行承诺，或虚假承诺的。</w:t>
      </w:r>
    </w:p>
    <w:p w14:paraId="4D68FFF9">
      <w:pPr>
        <w:snapToGrid w:val="0"/>
        <w:spacing w:line="480" w:lineRule="exact"/>
        <w:ind w:firstLine="411" w:firstLineChars="196"/>
        <w:rPr>
          <w:rFonts w:ascii="微软雅黑" w:hAnsi="微软雅黑"/>
          <w:bCs/>
          <w:color w:val="auto"/>
          <w:kern w:val="0"/>
          <w:szCs w:val="21"/>
          <w:highlight w:val="none"/>
        </w:rPr>
      </w:pPr>
      <w:r>
        <w:rPr>
          <w:rFonts w:hint="eastAsia" w:ascii="微软雅黑" w:hAnsi="微软雅黑"/>
          <w:color w:val="auto"/>
          <w:szCs w:val="21"/>
          <w:highlight w:val="none"/>
        </w:rPr>
        <w:t>4.4未</w:t>
      </w:r>
      <w:r>
        <w:rPr>
          <w:rFonts w:hint="eastAsia" w:ascii="微软雅黑" w:hAnsi="微软雅黑"/>
          <w:bCs/>
          <w:color w:val="auto"/>
          <w:kern w:val="0"/>
          <w:szCs w:val="21"/>
          <w:highlight w:val="none"/>
        </w:rPr>
        <w:t>提供法定代表人授权委托书、投标函或者填写项目不齐全的。</w:t>
      </w:r>
    </w:p>
    <w:p w14:paraId="5030C2A8">
      <w:pPr>
        <w:pStyle w:val="20"/>
        <w:snapToGrid w:val="0"/>
        <w:spacing w:after="120" w:line="480" w:lineRule="exact"/>
        <w:ind w:firstLine="395" w:firstLineChars="196"/>
        <w:rPr>
          <w:rFonts w:ascii="微软雅黑" w:hAnsi="微软雅黑"/>
          <w:snapToGrid w:val="0"/>
          <w:color w:val="auto"/>
          <w:sz w:val="21"/>
          <w:szCs w:val="21"/>
          <w:highlight w:val="none"/>
        </w:rPr>
      </w:pPr>
      <w:r>
        <w:rPr>
          <w:rFonts w:hint="eastAsia" w:ascii="微软雅黑" w:hAnsi="微软雅黑"/>
          <w:color w:val="auto"/>
          <w:sz w:val="21"/>
          <w:szCs w:val="21"/>
          <w:highlight w:val="none"/>
        </w:rPr>
        <w:t>4.5投标文件格式不规范、项目不齐全或者内容虚假的。</w:t>
      </w:r>
    </w:p>
    <w:p w14:paraId="79A880A4">
      <w:pPr>
        <w:pStyle w:val="20"/>
        <w:snapToGrid w:val="0"/>
        <w:spacing w:after="120" w:line="480" w:lineRule="exact"/>
        <w:ind w:firstLine="395" w:firstLineChars="196"/>
        <w:rPr>
          <w:rFonts w:ascii="微软雅黑" w:hAnsi="微软雅黑"/>
          <w:snapToGrid w:val="0"/>
          <w:color w:val="auto"/>
          <w:sz w:val="21"/>
          <w:szCs w:val="21"/>
          <w:highlight w:val="none"/>
        </w:rPr>
      </w:pPr>
      <w:r>
        <w:rPr>
          <w:rFonts w:hint="eastAsia" w:ascii="微软雅黑" w:hAnsi="微软雅黑"/>
          <w:color w:val="auto"/>
          <w:sz w:val="21"/>
          <w:szCs w:val="21"/>
          <w:highlight w:val="none"/>
        </w:rPr>
        <w:t>4.6投标文件的实质性内容未使用中文表述、意思表述不明确、前后矛盾或者使用计量单位不符合招标文件要求的（经评标委员会认定并允许其当场更正的笔误除外）。</w:t>
      </w:r>
    </w:p>
    <w:p w14:paraId="505C1D12">
      <w:pPr>
        <w:pStyle w:val="20"/>
        <w:snapToGrid w:val="0"/>
        <w:spacing w:after="120" w:line="480" w:lineRule="exact"/>
        <w:ind w:firstLine="395" w:firstLineChars="196"/>
        <w:rPr>
          <w:rFonts w:ascii="微软雅黑" w:hAnsi="微软雅黑"/>
          <w:snapToGrid w:val="0"/>
          <w:color w:val="auto"/>
          <w:sz w:val="21"/>
          <w:szCs w:val="21"/>
          <w:highlight w:val="none"/>
        </w:rPr>
      </w:pPr>
      <w:r>
        <w:rPr>
          <w:rFonts w:hint="eastAsia" w:ascii="微软雅黑" w:hAnsi="微软雅黑"/>
          <w:color w:val="auto"/>
          <w:sz w:val="21"/>
          <w:szCs w:val="21"/>
          <w:highlight w:val="none"/>
        </w:rPr>
        <w:t>4.7</w:t>
      </w:r>
      <w:r>
        <w:rPr>
          <w:rFonts w:hint="eastAsia" w:ascii="微软雅黑" w:hAnsi="微软雅黑"/>
          <w:snapToGrid w:val="0"/>
          <w:color w:val="auto"/>
          <w:sz w:val="21"/>
          <w:szCs w:val="21"/>
          <w:highlight w:val="none"/>
        </w:rPr>
        <w:t>投标有效期、服务承诺等商务条款不能满足招标文件要求的。</w:t>
      </w:r>
    </w:p>
    <w:p w14:paraId="78D4215D">
      <w:pPr>
        <w:pStyle w:val="20"/>
        <w:snapToGrid w:val="0"/>
        <w:spacing w:after="120" w:line="480" w:lineRule="exact"/>
        <w:ind w:firstLine="395" w:firstLineChars="196"/>
        <w:rPr>
          <w:rFonts w:ascii="微软雅黑" w:hAnsi="微软雅黑"/>
          <w:color w:val="auto"/>
          <w:sz w:val="21"/>
          <w:szCs w:val="21"/>
          <w:highlight w:val="none"/>
        </w:rPr>
      </w:pPr>
      <w:r>
        <w:rPr>
          <w:rFonts w:hint="eastAsia" w:ascii="微软雅黑" w:hAnsi="微软雅黑"/>
          <w:color w:val="auto"/>
          <w:sz w:val="21"/>
          <w:szCs w:val="21"/>
          <w:highlight w:val="none"/>
        </w:rPr>
        <w:t>4.8未实质性响应招标文件要求或者投标文件有采购人不能接受的附加条件的。</w:t>
      </w:r>
    </w:p>
    <w:p w14:paraId="7D10E737">
      <w:pPr>
        <w:pStyle w:val="20"/>
        <w:snapToGrid w:val="0"/>
        <w:spacing w:after="120" w:line="480" w:lineRule="exact"/>
        <w:ind w:firstLine="395" w:firstLineChars="196"/>
        <w:rPr>
          <w:rFonts w:ascii="微软雅黑" w:hAnsi="微软雅黑"/>
          <w:color w:val="auto"/>
          <w:sz w:val="21"/>
          <w:szCs w:val="21"/>
          <w:highlight w:val="none"/>
        </w:rPr>
      </w:pPr>
      <w:r>
        <w:rPr>
          <w:rFonts w:hint="eastAsia" w:ascii="微软雅黑" w:hAnsi="微软雅黑"/>
          <w:color w:val="auto"/>
          <w:sz w:val="21"/>
          <w:szCs w:val="21"/>
          <w:highlight w:val="none"/>
        </w:rPr>
        <w:t>4.9不符合本招标文件中的实质性要求条款。</w:t>
      </w:r>
    </w:p>
    <w:p w14:paraId="0C8321B2">
      <w:pPr>
        <w:pStyle w:val="20"/>
        <w:snapToGrid w:val="0"/>
        <w:spacing w:after="120" w:line="360" w:lineRule="auto"/>
        <w:ind w:firstLine="396" w:firstLineChars="196"/>
        <w:rPr>
          <w:rFonts w:ascii="微软雅黑" w:hAnsi="微软雅黑"/>
          <w:b/>
          <w:bCs/>
          <w:color w:val="auto"/>
          <w:sz w:val="21"/>
          <w:szCs w:val="21"/>
          <w:highlight w:val="none"/>
        </w:rPr>
      </w:pPr>
      <w:r>
        <w:rPr>
          <w:rFonts w:hint="eastAsia" w:ascii="微软雅黑" w:hAnsi="微软雅黑"/>
          <w:b/>
          <w:bCs/>
          <w:color w:val="auto"/>
          <w:sz w:val="21"/>
          <w:szCs w:val="21"/>
          <w:highlight w:val="none"/>
        </w:rPr>
        <w:t>5.在技术评审时，如发现下列情形之一的，投标文件将被视为无效：</w:t>
      </w:r>
    </w:p>
    <w:p w14:paraId="1DB04EC2">
      <w:pPr>
        <w:pStyle w:val="20"/>
        <w:snapToGrid w:val="0"/>
        <w:spacing w:after="120" w:line="480" w:lineRule="exact"/>
        <w:ind w:firstLine="395" w:firstLineChars="196"/>
        <w:rPr>
          <w:rFonts w:ascii="微软雅黑" w:hAnsi="微软雅黑"/>
          <w:color w:val="auto"/>
          <w:sz w:val="21"/>
          <w:szCs w:val="21"/>
          <w:highlight w:val="none"/>
        </w:rPr>
      </w:pPr>
      <w:r>
        <w:rPr>
          <w:rFonts w:hint="eastAsia" w:ascii="微软雅黑" w:hAnsi="微软雅黑"/>
          <w:color w:val="auto"/>
          <w:sz w:val="21"/>
          <w:szCs w:val="21"/>
          <w:highlight w:val="none"/>
        </w:rPr>
        <w:t>5.1未提供或未如实提供投标货物的技术参数，或者投标文件标明的响应或偏离与事实不符或虚假投标的。</w:t>
      </w:r>
    </w:p>
    <w:p w14:paraId="0FCA1895">
      <w:pPr>
        <w:pStyle w:val="20"/>
        <w:snapToGrid w:val="0"/>
        <w:spacing w:after="120" w:line="480" w:lineRule="exact"/>
        <w:ind w:firstLine="395" w:firstLineChars="196"/>
        <w:rPr>
          <w:rFonts w:ascii="微软雅黑" w:hAnsi="微软雅黑"/>
          <w:color w:val="auto"/>
          <w:sz w:val="21"/>
          <w:szCs w:val="21"/>
          <w:highlight w:val="none"/>
        </w:rPr>
      </w:pPr>
      <w:r>
        <w:rPr>
          <w:rFonts w:hint="eastAsia" w:ascii="微软雅黑" w:hAnsi="微软雅黑"/>
          <w:color w:val="auto"/>
          <w:sz w:val="21"/>
          <w:szCs w:val="21"/>
          <w:highlight w:val="none"/>
        </w:rPr>
        <w:t>5.2</w:t>
      </w:r>
      <w:r>
        <w:rPr>
          <w:rFonts w:hint="eastAsia" w:ascii="微软雅黑" w:hAnsi="微软雅黑"/>
          <w:snapToGrid w:val="0"/>
          <w:color w:val="auto"/>
          <w:sz w:val="21"/>
          <w:szCs w:val="21"/>
          <w:highlight w:val="none"/>
        </w:rPr>
        <w:t>明显不符合招标文件要求的规格型号、质量标准，或者与</w:t>
      </w:r>
      <w:r>
        <w:rPr>
          <w:rFonts w:hint="eastAsia" w:ascii="微软雅黑" w:hAnsi="微软雅黑"/>
          <w:color w:val="auto"/>
          <w:sz w:val="21"/>
          <w:szCs w:val="21"/>
          <w:highlight w:val="none"/>
        </w:rPr>
        <w:t>招标文件中标“▲”的技术指标、主要功能项目发生实质性偏离的。</w:t>
      </w:r>
    </w:p>
    <w:p w14:paraId="571DD722">
      <w:pPr>
        <w:pStyle w:val="20"/>
        <w:snapToGrid w:val="0"/>
        <w:spacing w:after="120" w:line="480" w:lineRule="exact"/>
        <w:ind w:firstLine="395" w:firstLineChars="196"/>
        <w:rPr>
          <w:rFonts w:ascii="微软雅黑" w:hAnsi="微软雅黑"/>
          <w:color w:val="auto"/>
          <w:sz w:val="21"/>
          <w:szCs w:val="21"/>
          <w:highlight w:val="none"/>
        </w:rPr>
      </w:pPr>
      <w:r>
        <w:rPr>
          <w:rFonts w:hint="eastAsia" w:ascii="微软雅黑" w:hAnsi="微软雅黑"/>
          <w:snapToGrid w:val="0"/>
          <w:color w:val="auto"/>
          <w:sz w:val="21"/>
          <w:szCs w:val="21"/>
          <w:highlight w:val="none"/>
        </w:rPr>
        <w:t>5.3</w:t>
      </w:r>
      <w:r>
        <w:rPr>
          <w:rFonts w:hint="eastAsia" w:ascii="微软雅黑" w:hAnsi="微软雅黑"/>
          <w:color w:val="auto"/>
          <w:sz w:val="21"/>
          <w:szCs w:val="21"/>
          <w:highlight w:val="none"/>
        </w:rPr>
        <w:t>投标技术方案不明确，存在一个或一个以上备选（替代）投标方案的。</w:t>
      </w:r>
    </w:p>
    <w:p w14:paraId="2ED30660">
      <w:pPr>
        <w:pStyle w:val="20"/>
        <w:snapToGrid w:val="0"/>
        <w:spacing w:after="120" w:line="480" w:lineRule="exact"/>
        <w:ind w:firstLine="396" w:firstLineChars="196"/>
        <w:rPr>
          <w:rFonts w:ascii="微软雅黑" w:hAnsi="微软雅黑"/>
          <w:b/>
          <w:bCs/>
          <w:color w:val="auto"/>
          <w:sz w:val="21"/>
          <w:szCs w:val="21"/>
          <w:highlight w:val="none"/>
        </w:rPr>
      </w:pPr>
      <w:r>
        <w:rPr>
          <w:rFonts w:hint="eastAsia" w:ascii="微软雅黑" w:hAnsi="微软雅黑"/>
          <w:b/>
          <w:bCs/>
          <w:snapToGrid w:val="0"/>
          <w:color w:val="auto"/>
          <w:sz w:val="21"/>
          <w:szCs w:val="21"/>
          <w:highlight w:val="none"/>
        </w:rPr>
        <w:t>5.4技术得分低于技术总分60%的，视为不符合招标需求，即投标无效。</w:t>
      </w:r>
    </w:p>
    <w:p w14:paraId="70A84E3D">
      <w:pPr>
        <w:pStyle w:val="20"/>
        <w:snapToGrid w:val="0"/>
        <w:spacing w:after="120" w:line="480" w:lineRule="exact"/>
        <w:ind w:firstLine="396" w:firstLineChars="196"/>
        <w:rPr>
          <w:rFonts w:ascii="微软雅黑" w:hAnsi="微软雅黑"/>
          <w:b/>
          <w:bCs/>
          <w:color w:val="auto"/>
          <w:sz w:val="21"/>
          <w:szCs w:val="21"/>
          <w:highlight w:val="none"/>
        </w:rPr>
      </w:pPr>
      <w:r>
        <w:rPr>
          <w:rFonts w:hint="eastAsia" w:ascii="微软雅黑" w:hAnsi="微软雅黑"/>
          <w:b/>
          <w:bCs/>
          <w:color w:val="auto"/>
          <w:sz w:val="21"/>
          <w:szCs w:val="21"/>
          <w:highlight w:val="none"/>
        </w:rPr>
        <w:t>6.在报价评审时，如发现下列情形之一的，投标文件将被视为无效：</w:t>
      </w:r>
    </w:p>
    <w:p w14:paraId="03CE714D">
      <w:pPr>
        <w:pStyle w:val="20"/>
        <w:snapToGrid w:val="0"/>
        <w:spacing w:after="120" w:line="480" w:lineRule="exact"/>
        <w:ind w:firstLine="395" w:firstLineChars="196"/>
        <w:rPr>
          <w:rFonts w:ascii="微软雅黑" w:hAnsi="微软雅黑"/>
          <w:color w:val="auto"/>
          <w:sz w:val="21"/>
          <w:szCs w:val="21"/>
          <w:highlight w:val="none"/>
        </w:rPr>
      </w:pPr>
      <w:r>
        <w:rPr>
          <w:rFonts w:hint="eastAsia" w:ascii="微软雅黑" w:hAnsi="微软雅黑"/>
          <w:color w:val="auto"/>
          <w:sz w:val="21"/>
          <w:szCs w:val="21"/>
          <w:highlight w:val="none"/>
        </w:rPr>
        <w:t>6.1未按要求提供《开标一览表》。</w:t>
      </w:r>
    </w:p>
    <w:p w14:paraId="21DD4342">
      <w:pPr>
        <w:pStyle w:val="20"/>
        <w:snapToGrid w:val="0"/>
        <w:spacing w:after="120" w:line="480" w:lineRule="exact"/>
        <w:ind w:firstLine="395" w:firstLineChars="196"/>
        <w:rPr>
          <w:rFonts w:ascii="微软雅黑" w:hAnsi="微软雅黑"/>
          <w:color w:val="auto"/>
          <w:sz w:val="21"/>
          <w:szCs w:val="21"/>
          <w:highlight w:val="none"/>
        </w:rPr>
      </w:pPr>
      <w:r>
        <w:rPr>
          <w:rFonts w:hint="eastAsia" w:ascii="微软雅黑" w:hAnsi="微软雅黑"/>
          <w:color w:val="auto"/>
          <w:sz w:val="21"/>
          <w:szCs w:val="21"/>
          <w:highlight w:val="none"/>
        </w:rPr>
        <w:t>6.2未采用人民币报价或者未按照招标文件标明的币种报价的。</w:t>
      </w:r>
    </w:p>
    <w:p w14:paraId="4069FBDD">
      <w:pPr>
        <w:pStyle w:val="20"/>
        <w:snapToGrid w:val="0"/>
        <w:spacing w:after="120" w:line="480" w:lineRule="exact"/>
        <w:ind w:firstLine="395" w:firstLineChars="196"/>
        <w:rPr>
          <w:rFonts w:ascii="微软雅黑" w:hAnsi="微软雅黑"/>
          <w:color w:val="auto"/>
          <w:sz w:val="21"/>
          <w:szCs w:val="21"/>
          <w:highlight w:val="none"/>
        </w:rPr>
      </w:pPr>
      <w:r>
        <w:rPr>
          <w:rFonts w:hint="eastAsia" w:ascii="微软雅黑" w:hAnsi="微软雅黑"/>
          <w:color w:val="auto"/>
          <w:sz w:val="21"/>
          <w:szCs w:val="21"/>
          <w:highlight w:val="none"/>
        </w:rPr>
        <w:t>6.3报价超出最高限价的。</w:t>
      </w:r>
    </w:p>
    <w:p w14:paraId="3CF032AA">
      <w:pPr>
        <w:pStyle w:val="20"/>
        <w:snapToGrid w:val="0"/>
        <w:spacing w:after="120" w:line="480" w:lineRule="exact"/>
        <w:ind w:firstLine="404"/>
        <w:rPr>
          <w:rFonts w:ascii="微软雅黑" w:hAnsi="微软雅黑"/>
          <w:color w:val="auto"/>
          <w:sz w:val="21"/>
          <w:szCs w:val="21"/>
          <w:highlight w:val="none"/>
        </w:rPr>
      </w:pPr>
      <w:r>
        <w:rPr>
          <w:rFonts w:hint="eastAsia" w:ascii="微软雅黑" w:hAnsi="微软雅黑"/>
          <w:color w:val="auto"/>
          <w:sz w:val="21"/>
          <w:szCs w:val="21"/>
          <w:highlight w:val="none"/>
        </w:rPr>
        <w:t xml:space="preserve">6.4投标报价具有选择性，或者开标价格与投标文件承诺的优惠（折扣）价格不一致的。   </w:t>
      </w:r>
    </w:p>
    <w:p w14:paraId="65D47461">
      <w:pPr>
        <w:ind w:firstLine="404"/>
        <w:rPr>
          <w:rFonts w:ascii="微软雅黑" w:hAnsi="微软雅黑"/>
          <w:color w:val="auto"/>
          <w:spacing w:val="-4"/>
          <w:kern w:val="0"/>
          <w:szCs w:val="21"/>
          <w:highlight w:val="none"/>
        </w:rPr>
      </w:pPr>
      <w:r>
        <w:rPr>
          <w:rFonts w:hint="eastAsia" w:ascii="微软雅黑" w:hAnsi="微软雅黑"/>
          <w:color w:val="auto"/>
          <w:spacing w:val="-4"/>
          <w:kern w:val="0"/>
          <w:szCs w:val="21"/>
          <w:highlight w:val="none"/>
        </w:rPr>
        <w:t xml:space="preserve">6.5报价明显低于其他通过符合性审查投标供应商的报价，有可能影响产品质量或者不能诚信履约的，未能按要求提供书面说明或者提交相关证明材料，不能证明其报价合理性的; </w:t>
      </w:r>
    </w:p>
    <w:p w14:paraId="2281982A">
      <w:pPr>
        <w:ind w:firstLine="404"/>
        <w:rPr>
          <w:rFonts w:ascii="微软雅黑" w:hAnsi="微软雅黑"/>
          <w:color w:val="auto"/>
          <w:spacing w:val="-4"/>
          <w:kern w:val="0"/>
          <w:szCs w:val="21"/>
          <w:highlight w:val="none"/>
        </w:rPr>
      </w:pPr>
      <w:r>
        <w:rPr>
          <w:rFonts w:hint="eastAsia" w:ascii="微软雅黑" w:hAnsi="微软雅黑"/>
          <w:color w:val="auto"/>
          <w:spacing w:val="-4"/>
          <w:kern w:val="0"/>
          <w:szCs w:val="21"/>
          <w:highlight w:val="none"/>
        </w:rPr>
        <w:t xml:space="preserve">6.6报价一经涂改，应在涂改处加盖单位公章或者由法定代表人或被授权人签字（或盖章），否则其投标作无效标处理；   </w:t>
      </w:r>
    </w:p>
    <w:p w14:paraId="60B73E73">
      <w:pPr>
        <w:ind w:firstLine="420"/>
        <w:rPr>
          <w:rFonts w:ascii="微软雅黑" w:hAnsi="微软雅黑" w:cs="Arial"/>
          <w:color w:val="auto"/>
          <w:kern w:val="0"/>
          <w:szCs w:val="21"/>
          <w:highlight w:val="none"/>
        </w:rPr>
      </w:pPr>
      <w:r>
        <w:rPr>
          <w:rFonts w:hint="eastAsia" w:ascii="微软雅黑" w:hAnsi="微软雅黑"/>
          <w:color w:val="auto"/>
          <w:szCs w:val="21"/>
          <w:highlight w:val="none"/>
        </w:rPr>
        <w:t>7.</w:t>
      </w:r>
      <w:r>
        <w:rPr>
          <w:rFonts w:hint="eastAsia" w:ascii="微软雅黑" w:hAnsi="微软雅黑" w:cs="宋体"/>
          <w:b/>
          <w:bCs/>
          <w:color w:val="auto"/>
          <w:szCs w:val="21"/>
          <w:highlight w:val="none"/>
        </w:rPr>
        <w:t>投标供应商有恶意串通、妨碍其他投标供应商的竞争行为、损害采购人或者其他投标供应商的合法权益情形的，投标文</w:t>
      </w:r>
      <w:r>
        <w:rPr>
          <w:rFonts w:hint="eastAsia" w:ascii="微软雅黑" w:hAnsi="微软雅黑"/>
          <w:b/>
          <w:bCs/>
          <w:color w:val="auto"/>
          <w:szCs w:val="21"/>
          <w:highlight w:val="none"/>
        </w:rPr>
        <w:t>件将被视为无效</w:t>
      </w:r>
      <w:r>
        <w:rPr>
          <w:rFonts w:hint="eastAsia" w:ascii="微软雅黑" w:hAnsi="微软雅黑" w:cs="Arial"/>
          <w:color w:val="auto"/>
          <w:kern w:val="0"/>
          <w:szCs w:val="21"/>
          <w:highlight w:val="none"/>
        </w:rPr>
        <w:t>：</w:t>
      </w:r>
    </w:p>
    <w:p w14:paraId="70E3AEA5">
      <w:pPr>
        <w:ind w:firstLine="420"/>
        <w:rPr>
          <w:rFonts w:ascii="微软雅黑" w:hAnsi="微软雅黑" w:cs="Arial"/>
          <w:color w:val="auto"/>
          <w:kern w:val="0"/>
          <w:szCs w:val="21"/>
          <w:highlight w:val="none"/>
          <w:shd w:val="clear" w:color="FFFFFF" w:fill="D9D9D9"/>
        </w:rPr>
      </w:pPr>
      <w:r>
        <w:rPr>
          <w:rFonts w:hint="eastAsia" w:ascii="微软雅黑" w:hAnsi="微软雅黑" w:cs="Arial"/>
          <w:color w:val="auto"/>
          <w:kern w:val="0"/>
          <w:szCs w:val="21"/>
          <w:highlight w:val="none"/>
          <w:shd w:val="clear" w:color="FFFFFF" w:fill="D9D9D9"/>
        </w:rPr>
        <w:t>除政府采购法律法规规章规定的属于恶意串通、视为串通投标情形外，在不影响公平竞争的前提下，采购人在采购文件中可以明确规定参与同一个采购包（标段）的供应商存在下列情形之一的，其投标（响应）文件无效：(1）不同供应商的电子投标（响应）文件上传计算机的网卡 MAC 地址、 CPU 序列号和硬盘序列号等硬件信息相同的；(2）上传的电子投标（响应）文件若出现使用本项目其他投标（响应）供应商的数字证书加息密的，或者加盖本项目其他投标（响应）供应商的电子印章的；(3）不同供应商的投标（响应）文件的内容存在三处（含）以上错误一致，且无法合理解释的；(4）不同供应商联系人为同一人或不同联系人的联系电话一致，且无法合理解释的。</w:t>
      </w:r>
    </w:p>
    <w:p w14:paraId="69AFED38">
      <w:pPr>
        <w:ind w:firstLine="420"/>
        <w:rPr>
          <w:rFonts w:ascii="微软雅黑" w:hAnsi="微软雅黑"/>
          <w:color w:val="auto"/>
          <w:szCs w:val="21"/>
          <w:highlight w:val="none"/>
        </w:rPr>
      </w:pPr>
      <w:r>
        <w:rPr>
          <w:rFonts w:hint="eastAsia" w:ascii="微软雅黑" w:hAnsi="微软雅黑" w:cs="Arial"/>
          <w:color w:val="auto"/>
          <w:kern w:val="0"/>
          <w:szCs w:val="21"/>
          <w:highlight w:val="none"/>
          <w:shd w:val="clear" w:color="FFFFFF" w:fill="D9D9D9"/>
        </w:rPr>
        <w:t>在资格审查过程中，如发现本系统供应商有采购文件约定的上述情形，采购人、采购代理机构应当根据采购文件认定其投标（响应）无效，并书面报告本级财政部门；在评审过程中，发现供应商有采购文件约定的上述情形的，评审小组应当根据采购文件认定其投标（响应）无效，评审报告应详细记录相关情况，评审结束后由采购代理机构或采购人书面报告本级财政部门。</w:t>
      </w:r>
      <w:r>
        <w:rPr>
          <w:rFonts w:hint="eastAsia" w:ascii="微软雅黑" w:hAnsi="微软雅黑"/>
          <w:color w:val="auto"/>
          <w:szCs w:val="21"/>
          <w:highlight w:val="none"/>
        </w:rPr>
        <w:t xml:space="preserve"> </w:t>
      </w:r>
    </w:p>
    <w:p w14:paraId="1D2C7229">
      <w:pPr>
        <w:pStyle w:val="20"/>
        <w:snapToGrid w:val="0"/>
        <w:spacing w:after="120" w:line="480" w:lineRule="exact"/>
        <w:ind w:firstLine="396" w:firstLineChars="196"/>
        <w:rPr>
          <w:rFonts w:ascii="微软雅黑" w:hAnsi="微软雅黑"/>
          <w:color w:val="auto"/>
          <w:sz w:val="21"/>
          <w:szCs w:val="21"/>
          <w:highlight w:val="none"/>
        </w:rPr>
      </w:pPr>
      <w:r>
        <w:rPr>
          <w:rFonts w:hint="eastAsia" w:ascii="微软雅黑" w:hAnsi="微软雅黑"/>
          <w:b/>
          <w:bCs/>
          <w:color w:val="auto"/>
          <w:sz w:val="21"/>
          <w:szCs w:val="21"/>
          <w:highlight w:val="none"/>
        </w:rPr>
        <w:t>8.法律、法规、规章（适用本市的）及省级以上规范性文件（适用本市的）规定的其他无效情形。</w:t>
      </w:r>
      <w:r>
        <w:rPr>
          <w:rFonts w:hint="eastAsia" w:ascii="微软雅黑" w:hAnsi="微软雅黑"/>
          <w:color w:val="auto"/>
          <w:sz w:val="21"/>
          <w:szCs w:val="21"/>
          <w:highlight w:val="none"/>
        </w:rPr>
        <w:t xml:space="preserve">                                                                                    </w:t>
      </w:r>
    </w:p>
    <w:p w14:paraId="4D244930">
      <w:pPr>
        <w:pStyle w:val="20"/>
        <w:snapToGrid w:val="0"/>
        <w:spacing w:after="120" w:line="480" w:lineRule="exact"/>
        <w:ind w:firstLine="404"/>
        <w:rPr>
          <w:rFonts w:ascii="微软雅黑" w:hAnsi="微软雅黑"/>
          <w:b/>
          <w:color w:val="auto"/>
          <w:sz w:val="21"/>
          <w:szCs w:val="21"/>
          <w:highlight w:val="none"/>
        </w:rPr>
      </w:pPr>
      <w:r>
        <w:rPr>
          <w:rFonts w:hint="eastAsia" w:ascii="微软雅黑" w:hAnsi="微软雅黑"/>
          <w:b/>
          <w:color w:val="auto"/>
          <w:sz w:val="21"/>
          <w:szCs w:val="21"/>
          <w:highlight w:val="none"/>
        </w:rPr>
        <w:t>9.被拒绝的投标文件为无效。</w:t>
      </w:r>
    </w:p>
    <w:p w14:paraId="04189C6B">
      <w:pPr>
        <w:pStyle w:val="20"/>
        <w:snapToGrid w:val="0"/>
        <w:spacing w:after="120" w:line="480" w:lineRule="exact"/>
        <w:ind w:firstLine="202" w:firstLineChars="100"/>
        <w:rPr>
          <w:rFonts w:ascii="微软雅黑" w:hAnsi="微软雅黑"/>
          <w:b/>
          <w:color w:val="auto"/>
          <w:sz w:val="21"/>
          <w:szCs w:val="21"/>
          <w:highlight w:val="none"/>
        </w:rPr>
      </w:pPr>
      <w:r>
        <w:rPr>
          <w:rFonts w:hint="eastAsia" w:ascii="微软雅黑" w:hAnsi="微软雅黑"/>
          <w:b/>
          <w:color w:val="auto"/>
          <w:sz w:val="21"/>
          <w:szCs w:val="21"/>
          <w:highlight w:val="none"/>
        </w:rPr>
        <w:t>（八）废标的情形</w:t>
      </w:r>
    </w:p>
    <w:p w14:paraId="3F357084">
      <w:pPr>
        <w:pStyle w:val="20"/>
        <w:snapToGrid w:val="0"/>
        <w:spacing w:after="120" w:line="480" w:lineRule="exact"/>
        <w:ind w:firstLine="404"/>
        <w:rPr>
          <w:rFonts w:ascii="微软雅黑" w:hAnsi="微软雅黑"/>
          <w:color w:val="auto"/>
          <w:sz w:val="21"/>
          <w:szCs w:val="21"/>
          <w:highlight w:val="none"/>
        </w:rPr>
      </w:pPr>
      <w:r>
        <w:rPr>
          <w:rFonts w:hint="eastAsia" w:ascii="微软雅黑" w:hAnsi="微软雅黑"/>
          <w:color w:val="auto"/>
          <w:sz w:val="21"/>
          <w:szCs w:val="21"/>
          <w:highlight w:val="none"/>
        </w:rPr>
        <w:t>根据《中华人民共和国政府采购法》第三十六条之规定，在采购中，出现下列情形之一的，应予废标：</w:t>
      </w:r>
    </w:p>
    <w:p w14:paraId="002A41E9">
      <w:pPr>
        <w:pStyle w:val="20"/>
        <w:keepNext w:val="0"/>
        <w:keepLines w:val="0"/>
        <w:pageBreakBefore w:val="0"/>
        <w:widowControl w:val="0"/>
        <w:numPr>
          <w:ilvl w:val="0"/>
          <w:numId w:val="35"/>
        </w:numPr>
        <w:kinsoku/>
        <w:wordWrap/>
        <w:overflowPunct/>
        <w:topLinePunct w:val="0"/>
        <w:autoSpaceDE/>
        <w:autoSpaceDN/>
        <w:bidi w:val="0"/>
        <w:adjustRightInd/>
        <w:snapToGrid w:val="0"/>
        <w:spacing w:after="120" w:line="480" w:lineRule="exact"/>
        <w:ind w:left="0" w:leftChars="0" w:firstLine="404" w:firstLineChars="200"/>
        <w:textAlignment w:val="auto"/>
        <w:rPr>
          <w:rFonts w:ascii="微软雅黑" w:hAnsi="微软雅黑"/>
          <w:color w:val="auto"/>
          <w:sz w:val="21"/>
          <w:szCs w:val="21"/>
          <w:highlight w:val="none"/>
        </w:rPr>
      </w:pPr>
      <w:r>
        <w:rPr>
          <w:rFonts w:hint="eastAsia" w:ascii="微软雅黑" w:hAnsi="微软雅黑"/>
          <w:color w:val="auto"/>
          <w:sz w:val="21"/>
          <w:szCs w:val="21"/>
          <w:highlight w:val="none"/>
        </w:rPr>
        <w:t>符合专业条件的供应商或者对招标文件作实质响应的供应商不足3家的；</w:t>
      </w:r>
    </w:p>
    <w:p w14:paraId="702F45D5">
      <w:pPr>
        <w:pStyle w:val="20"/>
        <w:keepNext w:val="0"/>
        <w:keepLines w:val="0"/>
        <w:pageBreakBefore w:val="0"/>
        <w:widowControl w:val="0"/>
        <w:numPr>
          <w:ilvl w:val="0"/>
          <w:numId w:val="35"/>
        </w:numPr>
        <w:kinsoku/>
        <w:wordWrap/>
        <w:overflowPunct/>
        <w:topLinePunct w:val="0"/>
        <w:autoSpaceDE/>
        <w:autoSpaceDN/>
        <w:bidi w:val="0"/>
        <w:adjustRightInd/>
        <w:snapToGrid w:val="0"/>
        <w:spacing w:after="120" w:line="480" w:lineRule="exact"/>
        <w:ind w:left="0" w:leftChars="0" w:firstLine="404" w:firstLineChars="200"/>
        <w:textAlignment w:val="auto"/>
        <w:rPr>
          <w:rFonts w:ascii="微软雅黑" w:hAnsi="微软雅黑"/>
          <w:color w:val="auto"/>
          <w:sz w:val="21"/>
          <w:szCs w:val="21"/>
          <w:highlight w:val="none"/>
        </w:rPr>
      </w:pPr>
      <w:r>
        <w:rPr>
          <w:rFonts w:hint="eastAsia" w:ascii="微软雅黑" w:hAnsi="微软雅黑"/>
          <w:color w:val="auto"/>
          <w:sz w:val="21"/>
          <w:szCs w:val="21"/>
          <w:highlight w:val="none"/>
        </w:rPr>
        <w:t>出现影响采购公正的违法、违规行为的；</w:t>
      </w:r>
    </w:p>
    <w:p w14:paraId="6096F371">
      <w:pPr>
        <w:pStyle w:val="20"/>
        <w:keepNext w:val="0"/>
        <w:keepLines w:val="0"/>
        <w:pageBreakBefore w:val="0"/>
        <w:widowControl w:val="0"/>
        <w:numPr>
          <w:ilvl w:val="0"/>
          <w:numId w:val="35"/>
        </w:numPr>
        <w:kinsoku/>
        <w:wordWrap/>
        <w:overflowPunct/>
        <w:topLinePunct w:val="0"/>
        <w:autoSpaceDE/>
        <w:autoSpaceDN/>
        <w:bidi w:val="0"/>
        <w:adjustRightInd/>
        <w:snapToGrid w:val="0"/>
        <w:spacing w:after="120" w:line="480" w:lineRule="exact"/>
        <w:ind w:left="0" w:leftChars="0" w:firstLine="404" w:firstLineChars="200"/>
        <w:textAlignment w:val="auto"/>
        <w:rPr>
          <w:rFonts w:ascii="微软雅黑" w:hAnsi="微软雅黑"/>
          <w:color w:val="auto"/>
          <w:sz w:val="21"/>
          <w:szCs w:val="21"/>
          <w:highlight w:val="none"/>
        </w:rPr>
      </w:pPr>
      <w:r>
        <w:rPr>
          <w:rFonts w:hint="eastAsia" w:ascii="微软雅黑" w:hAnsi="微软雅黑"/>
          <w:color w:val="auto"/>
          <w:sz w:val="21"/>
          <w:szCs w:val="21"/>
          <w:highlight w:val="none"/>
        </w:rPr>
        <w:t>投标供应商的报价均超过了采购预算，采购人不能支付的；</w:t>
      </w:r>
    </w:p>
    <w:p w14:paraId="1A06100B">
      <w:pPr>
        <w:pStyle w:val="20"/>
        <w:snapToGrid w:val="0"/>
        <w:spacing w:after="120" w:line="480" w:lineRule="exact"/>
        <w:ind w:firstLine="404"/>
        <w:rPr>
          <w:rFonts w:ascii="微软雅黑" w:hAnsi="微软雅黑"/>
          <w:color w:val="auto"/>
          <w:sz w:val="21"/>
          <w:szCs w:val="21"/>
          <w:highlight w:val="none"/>
        </w:rPr>
      </w:pPr>
      <w:r>
        <w:rPr>
          <w:rFonts w:hint="eastAsia" w:ascii="微软雅黑" w:hAnsi="微软雅黑"/>
          <w:color w:val="auto"/>
          <w:sz w:val="21"/>
          <w:szCs w:val="21"/>
          <w:highlight w:val="none"/>
        </w:rPr>
        <w:t>4.因重大变故，采购任务取消的。</w:t>
      </w:r>
    </w:p>
    <w:p w14:paraId="75A22F3D">
      <w:pPr>
        <w:pStyle w:val="20"/>
        <w:snapToGrid w:val="0"/>
        <w:spacing w:after="120" w:line="480" w:lineRule="exact"/>
        <w:ind w:firstLine="404"/>
        <w:rPr>
          <w:rFonts w:ascii="微软雅黑" w:hAnsi="微软雅黑"/>
          <w:color w:val="auto"/>
          <w:sz w:val="21"/>
          <w:szCs w:val="21"/>
          <w:highlight w:val="none"/>
        </w:rPr>
      </w:pPr>
      <w:r>
        <w:rPr>
          <w:rFonts w:hint="eastAsia" w:ascii="微软雅黑" w:hAnsi="微软雅黑"/>
          <w:color w:val="auto"/>
          <w:sz w:val="21"/>
          <w:szCs w:val="21"/>
          <w:highlight w:val="none"/>
        </w:rPr>
        <w:t>废标后，采购机构应当将废标理由通知所有投标供应商。</w:t>
      </w:r>
    </w:p>
    <w:p w14:paraId="69FB2EAB">
      <w:pPr>
        <w:pStyle w:val="3"/>
        <w:spacing w:line="500" w:lineRule="exact"/>
        <w:ind w:firstLine="420"/>
        <w:rPr>
          <w:rFonts w:ascii="微软雅黑" w:hAnsi="微软雅黑"/>
          <w:color w:val="auto"/>
          <w:szCs w:val="21"/>
          <w:highlight w:val="none"/>
        </w:rPr>
      </w:pPr>
      <w:bookmarkStart w:id="111" w:name="_Toc22083"/>
      <w:r>
        <w:rPr>
          <w:rFonts w:hint="eastAsia" w:ascii="微软雅黑" w:hAnsi="微软雅黑"/>
          <w:color w:val="auto"/>
          <w:szCs w:val="21"/>
          <w:highlight w:val="none"/>
        </w:rPr>
        <w:t>四、开标</w:t>
      </w:r>
      <w:bookmarkEnd w:id="76"/>
      <w:bookmarkEnd w:id="111"/>
    </w:p>
    <w:p w14:paraId="643A4B88">
      <w:pPr>
        <w:pStyle w:val="20"/>
        <w:keepNext w:val="0"/>
        <w:keepLines w:val="0"/>
        <w:pageBreakBefore w:val="0"/>
        <w:widowControl w:val="0"/>
        <w:numPr>
          <w:ilvl w:val="0"/>
          <w:numId w:val="36"/>
        </w:numPr>
        <w:kinsoku/>
        <w:wordWrap/>
        <w:overflowPunct/>
        <w:topLinePunct w:val="0"/>
        <w:autoSpaceDE/>
        <w:autoSpaceDN/>
        <w:bidi w:val="0"/>
        <w:adjustRightInd/>
        <w:snapToGrid w:val="0"/>
        <w:spacing w:after="120" w:line="480" w:lineRule="exact"/>
        <w:ind w:left="0" w:leftChars="0" w:firstLine="404" w:firstLineChars="200"/>
        <w:textAlignment w:val="auto"/>
        <w:rPr>
          <w:rFonts w:hint="eastAsia" w:ascii="微软雅黑" w:hAnsi="微软雅黑" w:cs="Times New Roman"/>
          <w:color w:val="auto"/>
          <w:sz w:val="21"/>
          <w:szCs w:val="21"/>
          <w:highlight w:val="none"/>
        </w:rPr>
      </w:pPr>
      <w:r>
        <w:rPr>
          <w:rFonts w:hint="eastAsia" w:ascii="微软雅黑" w:hAnsi="微软雅黑"/>
          <w:color w:val="auto"/>
          <w:sz w:val="21"/>
          <w:szCs w:val="21"/>
          <w:highlight w:val="none"/>
        </w:rPr>
        <w:t>本项目实行电子开评标，供应商无需到开标现场，但须准时在线参加，直至评审结束。</w:t>
      </w:r>
      <w:r>
        <w:rPr>
          <w:rFonts w:hint="eastAsia" w:ascii="微软雅黑" w:hAnsi="微软雅黑" w:cs="Times New Roman"/>
          <w:color w:val="auto"/>
          <w:sz w:val="21"/>
          <w:szCs w:val="21"/>
          <w:highlight w:val="none"/>
        </w:rPr>
        <w:t>投标供应商不足3家的，不得开标。</w:t>
      </w:r>
    </w:p>
    <w:p w14:paraId="142C2D59">
      <w:pPr>
        <w:pStyle w:val="20"/>
        <w:keepNext w:val="0"/>
        <w:keepLines w:val="0"/>
        <w:pageBreakBefore w:val="0"/>
        <w:widowControl w:val="0"/>
        <w:numPr>
          <w:ilvl w:val="0"/>
          <w:numId w:val="36"/>
        </w:numPr>
        <w:kinsoku/>
        <w:wordWrap/>
        <w:overflowPunct/>
        <w:topLinePunct w:val="0"/>
        <w:autoSpaceDE/>
        <w:autoSpaceDN/>
        <w:bidi w:val="0"/>
        <w:adjustRightInd/>
        <w:snapToGrid w:val="0"/>
        <w:spacing w:after="120" w:line="480" w:lineRule="exact"/>
        <w:ind w:left="0" w:leftChars="0" w:firstLine="404" w:firstLineChars="200"/>
        <w:textAlignment w:val="auto"/>
        <w:rPr>
          <w:rFonts w:ascii="微软雅黑" w:hAnsi="微软雅黑" w:cs="宋体"/>
          <w:color w:val="auto"/>
          <w:kern w:val="0"/>
          <w:sz w:val="21"/>
          <w:szCs w:val="21"/>
          <w:highlight w:val="none"/>
          <w:shd w:val="pct10" w:color="auto" w:fill="FFFFFF"/>
        </w:rPr>
      </w:pPr>
      <w:r>
        <w:rPr>
          <w:rFonts w:hint="eastAsia" w:ascii="微软雅黑" w:hAnsi="微软雅黑" w:cs="Times New Roman"/>
          <w:color w:val="auto"/>
          <w:sz w:val="21"/>
          <w:szCs w:val="21"/>
          <w:highlight w:val="none"/>
        </w:rPr>
        <w:t>投标截止时间后的半小时内，由各供应商自行对电子投标文件进行解密请各供应商务必在规定时间内完成电子投标文件的解密工作；开启报价环节，供应商须在15分钟内在系统里CA签字确认。</w:t>
      </w:r>
    </w:p>
    <w:p w14:paraId="18AF0ACA">
      <w:pPr>
        <w:pStyle w:val="20"/>
        <w:keepNext w:val="0"/>
        <w:keepLines w:val="0"/>
        <w:pageBreakBefore w:val="0"/>
        <w:widowControl w:val="0"/>
        <w:numPr>
          <w:ilvl w:val="0"/>
          <w:numId w:val="36"/>
        </w:numPr>
        <w:kinsoku/>
        <w:wordWrap/>
        <w:overflowPunct/>
        <w:topLinePunct w:val="0"/>
        <w:autoSpaceDE/>
        <w:autoSpaceDN/>
        <w:bidi w:val="0"/>
        <w:adjustRightInd/>
        <w:snapToGrid w:val="0"/>
        <w:spacing w:after="120" w:line="480" w:lineRule="exact"/>
        <w:ind w:left="0" w:leftChars="0" w:firstLine="404" w:firstLineChars="200"/>
        <w:textAlignment w:val="auto"/>
        <w:rPr>
          <w:rFonts w:ascii="微软雅黑" w:hAnsi="微软雅黑" w:cs="宋体"/>
          <w:color w:val="auto"/>
          <w:kern w:val="0"/>
          <w:sz w:val="21"/>
          <w:szCs w:val="21"/>
          <w:highlight w:val="none"/>
          <w:shd w:val="pct10" w:color="auto" w:fill="FFFFFF"/>
        </w:rPr>
      </w:pPr>
      <w:r>
        <w:rPr>
          <w:rFonts w:hint="eastAsia" w:ascii="微软雅黑" w:hAnsi="微软雅黑"/>
          <w:color w:val="auto"/>
          <w:sz w:val="21"/>
          <w:szCs w:val="21"/>
          <w:highlight w:val="none"/>
        </w:rPr>
        <w:t>投标文件未按时解密，投标供应商提供了备份投标文件的，以备份投标文件作为依据，否则视为投标文件撤回。投标文件已按时解密的，备份投标文件自动失效。</w:t>
      </w:r>
    </w:p>
    <w:p w14:paraId="0E3DA607">
      <w:pPr>
        <w:pStyle w:val="3"/>
        <w:spacing w:line="500" w:lineRule="exact"/>
        <w:ind w:firstLine="420"/>
        <w:rPr>
          <w:rFonts w:ascii="微软雅黑" w:hAnsi="微软雅黑"/>
          <w:color w:val="auto"/>
          <w:szCs w:val="21"/>
          <w:highlight w:val="none"/>
        </w:rPr>
      </w:pPr>
      <w:bookmarkStart w:id="112" w:name="_Toc33535370"/>
      <w:bookmarkStart w:id="113" w:name="_Toc18014"/>
      <w:r>
        <w:rPr>
          <w:rFonts w:hint="eastAsia" w:ascii="微软雅黑" w:hAnsi="微软雅黑"/>
          <w:color w:val="auto"/>
          <w:szCs w:val="21"/>
          <w:highlight w:val="none"/>
        </w:rPr>
        <w:t>五、评标</w:t>
      </w:r>
      <w:bookmarkEnd w:id="112"/>
      <w:bookmarkEnd w:id="113"/>
    </w:p>
    <w:p w14:paraId="6E170852">
      <w:pPr>
        <w:pStyle w:val="28"/>
        <w:snapToGrid w:val="0"/>
        <w:spacing w:before="120" w:after="120"/>
        <w:ind w:left="689" w:leftChars="228" w:hanging="210" w:hangingChars="100"/>
        <w:rPr>
          <w:rFonts w:ascii="微软雅黑" w:hAnsi="微软雅黑"/>
          <w:b/>
          <w:color w:val="auto"/>
          <w:szCs w:val="21"/>
          <w:highlight w:val="none"/>
        </w:rPr>
      </w:pPr>
      <w:bookmarkStart w:id="114" w:name="_Toc33535371"/>
      <w:r>
        <w:rPr>
          <w:rFonts w:hint="eastAsia" w:ascii="微软雅黑" w:hAnsi="微软雅黑"/>
          <w:b/>
          <w:color w:val="auto"/>
          <w:szCs w:val="21"/>
          <w:highlight w:val="none"/>
        </w:rPr>
        <w:t>（一）组建评标委员会</w:t>
      </w:r>
    </w:p>
    <w:p w14:paraId="04A73152">
      <w:pPr>
        <w:pStyle w:val="28"/>
        <w:snapToGrid w:val="0"/>
        <w:spacing w:before="120" w:after="120"/>
        <w:ind w:firstLine="420"/>
        <w:rPr>
          <w:rFonts w:ascii="微软雅黑" w:hAnsi="微软雅黑"/>
          <w:b/>
          <w:bCs/>
          <w:color w:val="auto"/>
          <w:szCs w:val="21"/>
          <w:highlight w:val="none"/>
        </w:rPr>
      </w:pPr>
      <w:r>
        <w:rPr>
          <w:rFonts w:hint="eastAsia" w:ascii="微软雅黑" w:hAnsi="微软雅黑"/>
          <w:b/>
          <w:bCs/>
          <w:color w:val="auto"/>
          <w:szCs w:val="21"/>
          <w:highlight w:val="none"/>
        </w:rPr>
        <w:t>评标委员会由采购人代表和评审专家组成，政府采购评审专家</w:t>
      </w:r>
      <w:r>
        <w:rPr>
          <w:rFonts w:hint="eastAsia" w:ascii="微软雅黑" w:hAnsi="微软雅黑"/>
          <w:b/>
          <w:bCs/>
          <w:color w:val="auto"/>
          <w:szCs w:val="21"/>
          <w:highlight w:val="none"/>
          <w:u w:val="single"/>
        </w:rPr>
        <w:t xml:space="preserve"> </w:t>
      </w:r>
      <w:r>
        <w:rPr>
          <w:rFonts w:hint="eastAsia" w:ascii="微软雅黑" w:hAnsi="微软雅黑"/>
          <w:b/>
          <w:bCs/>
          <w:color w:val="auto"/>
          <w:szCs w:val="21"/>
          <w:highlight w:val="none"/>
          <w:u w:val="single"/>
          <w:lang w:val="en-US" w:eastAsia="zh-CN"/>
        </w:rPr>
        <w:t>4</w:t>
      </w:r>
      <w:r>
        <w:rPr>
          <w:rFonts w:hint="eastAsia" w:ascii="微软雅黑" w:hAnsi="微软雅黑"/>
          <w:b/>
          <w:bCs/>
          <w:color w:val="auto"/>
          <w:szCs w:val="21"/>
          <w:highlight w:val="none"/>
          <w:u w:val="single"/>
        </w:rPr>
        <w:t xml:space="preserve"> </w:t>
      </w:r>
      <w:r>
        <w:rPr>
          <w:rFonts w:hint="eastAsia" w:ascii="微软雅黑" w:hAnsi="微软雅黑"/>
          <w:b/>
          <w:bCs/>
          <w:color w:val="auto"/>
          <w:szCs w:val="21"/>
          <w:highlight w:val="none"/>
        </w:rPr>
        <w:t>人和采购人代表</w:t>
      </w:r>
      <w:r>
        <w:rPr>
          <w:rFonts w:hint="eastAsia" w:ascii="微软雅黑" w:hAnsi="微软雅黑"/>
          <w:b/>
          <w:bCs/>
          <w:color w:val="auto"/>
          <w:szCs w:val="21"/>
          <w:highlight w:val="none"/>
          <w:u w:val="single"/>
        </w:rPr>
        <w:t xml:space="preserve"> </w:t>
      </w:r>
      <w:r>
        <w:rPr>
          <w:rFonts w:hint="eastAsia" w:ascii="微软雅黑" w:hAnsi="微软雅黑"/>
          <w:b/>
          <w:bCs/>
          <w:color w:val="auto"/>
          <w:szCs w:val="21"/>
          <w:highlight w:val="none"/>
          <w:u w:val="single"/>
          <w:lang w:val="en-US" w:eastAsia="zh-CN"/>
        </w:rPr>
        <w:t>1</w:t>
      </w:r>
      <w:r>
        <w:rPr>
          <w:rFonts w:hint="eastAsia" w:ascii="微软雅黑" w:hAnsi="微软雅黑"/>
          <w:b/>
          <w:bCs/>
          <w:color w:val="auto"/>
          <w:szCs w:val="21"/>
          <w:highlight w:val="none"/>
        </w:rPr>
        <w:t>人，共</w:t>
      </w:r>
      <w:r>
        <w:rPr>
          <w:rFonts w:hint="eastAsia" w:ascii="微软雅黑" w:hAnsi="微软雅黑"/>
          <w:b/>
          <w:bCs/>
          <w:color w:val="auto"/>
          <w:szCs w:val="21"/>
          <w:highlight w:val="none"/>
          <w:u w:val="single"/>
        </w:rPr>
        <w:t xml:space="preserve"> </w:t>
      </w:r>
      <w:r>
        <w:rPr>
          <w:rFonts w:hint="eastAsia" w:ascii="微软雅黑" w:hAnsi="微软雅黑"/>
          <w:b/>
          <w:bCs/>
          <w:color w:val="auto"/>
          <w:szCs w:val="21"/>
          <w:highlight w:val="none"/>
          <w:u w:val="single"/>
          <w:lang w:val="en-US" w:eastAsia="zh-CN"/>
        </w:rPr>
        <w:t>5</w:t>
      </w:r>
      <w:r>
        <w:rPr>
          <w:rFonts w:hint="eastAsia" w:ascii="微软雅黑" w:hAnsi="微软雅黑"/>
          <w:b/>
          <w:bCs/>
          <w:color w:val="auto"/>
          <w:szCs w:val="21"/>
          <w:highlight w:val="none"/>
          <w:u w:val="single"/>
        </w:rPr>
        <w:t xml:space="preserve"> </w:t>
      </w:r>
      <w:r>
        <w:rPr>
          <w:rFonts w:hint="eastAsia" w:ascii="微软雅黑" w:hAnsi="微软雅黑"/>
          <w:b/>
          <w:bCs/>
          <w:color w:val="auto"/>
          <w:szCs w:val="21"/>
          <w:highlight w:val="none"/>
        </w:rPr>
        <w:t>人组成。</w:t>
      </w:r>
    </w:p>
    <w:p w14:paraId="1D1BD043">
      <w:pPr>
        <w:widowControl/>
        <w:shd w:val="clear" w:color="auto" w:fill="FFFFFF"/>
        <w:ind w:firstLine="420"/>
        <w:rPr>
          <w:rFonts w:ascii="微软雅黑" w:hAnsi="微软雅黑"/>
          <w:color w:val="auto"/>
          <w:kern w:val="0"/>
          <w:szCs w:val="21"/>
          <w:highlight w:val="none"/>
        </w:rPr>
      </w:pPr>
      <w:r>
        <w:rPr>
          <w:rFonts w:hint="eastAsia" w:ascii="微软雅黑" w:hAnsi="微软雅黑"/>
          <w:color w:val="auto"/>
          <w:kern w:val="0"/>
          <w:szCs w:val="21"/>
          <w:highlight w:val="none"/>
        </w:rPr>
        <w:t>评标委员会负责具体评标事务，并独立履行下列职责：</w:t>
      </w:r>
    </w:p>
    <w:p w14:paraId="4F115A07">
      <w:pPr>
        <w:widowControl/>
        <w:shd w:val="clear" w:color="auto" w:fill="FFFFFF"/>
        <w:ind w:firstLine="420"/>
        <w:rPr>
          <w:rFonts w:ascii="微软雅黑" w:hAnsi="微软雅黑"/>
          <w:color w:val="auto"/>
          <w:kern w:val="0"/>
          <w:szCs w:val="21"/>
          <w:highlight w:val="none"/>
        </w:rPr>
      </w:pPr>
      <w:r>
        <w:rPr>
          <w:rFonts w:hint="eastAsia" w:ascii="微软雅黑" w:hAnsi="微软雅黑"/>
          <w:color w:val="auto"/>
          <w:kern w:val="0"/>
          <w:szCs w:val="21"/>
          <w:highlight w:val="none"/>
        </w:rPr>
        <w:t>1.审查、评价投标文件是否符合招标文件的商务、技术等实质性要求。</w:t>
      </w:r>
    </w:p>
    <w:p w14:paraId="67B7A784">
      <w:pPr>
        <w:widowControl/>
        <w:shd w:val="clear" w:color="auto" w:fill="FFFFFF"/>
        <w:ind w:firstLine="420"/>
        <w:rPr>
          <w:rFonts w:ascii="微软雅黑" w:hAnsi="微软雅黑"/>
          <w:color w:val="auto"/>
          <w:kern w:val="0"/>
          <w:szCs w:val="21"/>
          <w:highlight w:val="none"/>
        </w:rPr>
      </w:pPr>
      <w:r>
        <w:rPr>
          <w:rFonts w:hint="eastAsia" w:ascii="微软雅黑" w:hAnsi="微软雅黑"/>
          <w:color w:val="auto"/>
          <w:kern w:val="0"/>
          <w:szCs w:val="21"/>
          <w:highlight w:val="none"/>
        </w:rPr>
        <w:t>2.要求投标供应商对投标文件有关事项做出澄清或者说明。</w:t>
      </w:r>
    </w:p>
    <w:p w14:paraId="0BA25F27">
      <w:pPr>
        <w:widowControl/>
        <w:shd w:val="clear" w:color="auto" w:fill="FFFFFF"/>
        <w:ind w:firstLine="420"/>
        <w:rPr>
          <w:rFonts w:ascii="微软雅黑" w:hAnsi="微软雅黑"/>
          <w:color w:val="auto"/>
          <w:kern w:val="0"/>
          <w:szCs w:val="21"/>
          <w:highlight w:val="none"/>
        </w:rPr>
      </w:pPr>
      <w:r>
        <w:rPr>
          <w:rFonts w:hint="eastAsia" w:ascii="微软雅黑" w:hAnsi="微软雅黑"/>
          <w:color w:val="auto"/>
          <w:kern w:val="0"/>
          <w:szCs w:val="21"/>
          <w:highlight w:val="none"/>
        </w:rPr>
        <w:t>3.对投标文件进行比较和评价。</w:t>
      </w:r>
    </w:p>
    <w:p w14:paraId="6F2919BB">
      <w:pPr>
        <w:widowControl/>
        <w:shd w:val="clear" w:color="auto" w:fill="FFFFFF"/>
        <w:ind w:firstLine="420"/>
        <w:rPr>
          <w:rFonts w:ascii="微软雅黑" w:hAnsi="微软雅黑"/>
          <w:color w:val="auto"/>
          <w:kern w:val="0"/>
          <w:szCs w:val="21"/>
          <w:highlight w:val="none"/>
        </w:rPr>
      </w:pPr>
      <w:r>
        <w:rPr>
          <w:rFonts w:hint="eastAsia" w:ascii="微软雅黑" w:hAnsi="微软雅黑"/>
          <w:color w:val="auto"/>
          <w:kern w:val="0"/>
          <w:szCs w:val="21"/>
          <w:highlight w:val="none"/>
        </w:rPr>
        <w:t>4.确定中标供应商名单，以及根据采购人委托直接确定中标供应商。</w:t>
      </w:r>
    </w:p>
    <w:p w14:paraId="16CD0E7A">
      <w:pPr>
        <w:widowControl/>
        <w:shd w:val="clear" w:color="auto" w:fill="FFFFFF"/>
        <w:ind w:firstLine="420"/>
        <w:rPr>
          <w:rFonts w:ascii="微软雅黑" w:hAnsi="微软雅黑"/>
          <w:color w:val="auto"/>
          <w:kern w:val="0"/>
          <w:szCs w:val="21"/>
          <w:highlight w:val="none"/>
        </w:rPr>
      </w:pPr>
      <w:r>
        <w:rPr>
          <w:rFonts w:hint="eastAsia" w:ascii="微软雅黑" w:hAnsi="微软雅黑"/>
          <w:color w:val="auto"/>
          <w:kern w:val="0"/>
          <w:szCs w:val="21"/>
          <w:highlight w:val="none"/>
        </w:rPr>
        <w:t>5.向采购人、代理机构或者有关部门报告评标中发现的违法行为。</w:t>
      </w:r>
    </w:p>
    <w:p w14:paraId="53B11564">
      <w:pPr>
        <w:widowControl/>
        <w:shd w:val="clear" w:color="auto" w:fill="FFFFFF"/>
        <w:ind w:firstLine="420"/>
        <w:rPr>
          <w:rFonts w:ascii="微软雅黑" w:hAnsi="微软雅黑"/>
          <w:b/>
          <w:color w:val="auto"/>
          <w:kern w:val="0"/>
          <w:szCs w:val="21"/>
          <w:highlight w:val="none"/>
        </w:rPr>
      </w:pPr>
      <w:r>
        <w:rPr>
          <w:rFonts w:hint="eastAsia" w:ascii="微软雅黑" w:hAnsi="微软雅黑"/>
          <w:b/>
          <w:color w:val="auto"/>
          <w:kern w:val="0"/>
          <w:szCs w:val="21"/>
          <w:highlight w:val="none"/>
        </w:rPr>
        <w:t>除除采购人代表及所派纪检监察人员、评标现场组织人员外，采购人的其他工作人员以及与评标工作无关的人员不得进入评标现场。</w:t>
      </w:r>
    </w:p>
    <w:p w14:paraId="4B8E8A93">
      <w:pPr>
        <w:pStyle w:val="28"/>
        <w:snapToGrid w:val="0"/>
        <w:spacing w:before="120" w:after="120"/>
        <w:ind w:left="689" w:leftChars="228" w:hanging="210" w:hangingChars="100"/>
        <w:rPr>
          <w:rFonts w:ascii="微软雅黑" w:hAnsi="微软雅黑"/>
          <w:b/>
          <w:color w:val="auto"/>
          <w:szCs w:val="21"/>
          <w:highlight w:val="none"/>
        </w:rPr>
      </w:pPr>
      <w:r>
        <w:rPr>
          <w:rFonts w:hint="eastAsia" w:ascii="微软雅黑" w:hAnsi="微软雅黑"/>
          <w:b/>
          <w:color w:val="auto"/>
          <w:szCs w:val="21"/>
          <w:highlight w:val="none"/>
        </w:rPr>
        <w:t>（二）评标的方式</w:t>
      </w:r>
    </w:p>
    <w:p w14:paraId="3666FCCC">
      <w:pPr>
        <w:pStyle w:val="28"/>
        <w:snapToGrid w:val="0"/>
        <w:spacing w:before="120" w:after="120"/>
        <w:ind w:left="689" w:leftChars="228" w:hanging="210" w:hangingChars="100"/>
        <w:rPr>
          <w:rFonts w:ascii="微软雅黑" w:hAnsi="微软雅黑"/>
          <w:color w:val="auto"/>
          <w:szCs w:val="21"/>
          <w:highlight w:val="none"/>
        </w:rPr>
      </w:pPr>
      <w:r>
        <w:rPr>
          <w:rFonts w:hint="eastAsia" w:ascii="微软雅黑" w:hAnsi="微软雅黑"/>
          <w:color w:val="auto"/>
          <w:szCs w:val="21"/>
          <w:highlight w:val="none"/>
        </w:rPr>
        <w:t>本项目采用不公开方式评标，评标的依据为招标文件和投标文件。</w:t>
      </w:r>
    </w:p>
    <w:p w14:paraId="27FCFE52">
      <w:pPr>
        <w:pStyle w:val="28"/>
        <w:snapToGrid w:val="0"/>
        <w:spacing w:before="120" w:after="120"/>
        <w:ind w:left="689" w:leftChars="228" w:hanging="210" w:hangingChars="100"/>
        <w:rPr>
          <w:rFonts w:ascii="微软雅黑" w:hAnsi="微软雅黑"/>
          <w:b/>
          <w:bCs/>
          <w:color w:val="auto"/>
          <w:szCs w:val="21"/>
          <w:highlight w:val="none"/>
        </w:rPr>
      </w:pPr>
      <w:r>
        <w:rPr>
          <w:rFonts w:hint="eastAsia" w:ascii="微软雅黑" w:hAnsi="微软雅黑"/>
          <w:b/>
          <w:color w:val="auto"/>
          <w:szCs w:val="21"/>
          <w:highlight w:val="none"/>
        </w:rPr>
        <w:t>（三）</w:t>
      </w:r>
      <w:r>
        <w:rPr>
          <w:rFonts w:hint="eastAsia" w:ascii="微软雅黑" w:hAnsi="微软雅黑"/>
          <w:b/>
          <w:bCs/>
          <w:color w:val="auto"/>
          <w:szCs w:val="21"/>
          <w:highlight w:val="none"/>
        </w:rPr>
        <w:t>评标程序</w:t>
      </w:r>
    </w:p>
    <w:p w14:paraId="2FB54BF5">
      <w:pPr>
        <w:pStyle w:val="28"/>
        <w:snapToGrid w:val="0"/>
        <w:spacing w:before="120" w:after="120"/>
        <w:ind w:firstLine="420"/>
        <w:rPr>
          <w:rFonts w:ascii="微软雅黑" w:hAnsi="微软雅黑"/>
          <w:bCs/>
          <w:color w:val="auto"/>
          <w:szCs w:val="21"/>
          <w:highlight w:val="none"/>
        </w:rPr>
      </w:pPr>
      <w:r>
        <w:rPr>
          <w:rFonts w:hint="eastAsia" w:ascii="微软雅黑" w:hAnsi="微软雅黑"/>
          <w:bCs/>
          <w:color w:val="auto"/>
          <w:szCs w:val="21"/>
          <w:highlight w:val="none"/>
        </w:rPr>
        <w:t>采购人可以在评标前说明项目背景和采购需求，说明内容不得含有歧视性、倾向性意见，不得超出招标文件所述范围。说明应当提交书面材料，并随招标文件一并存档。</w:t>
      </w:r>
    </w:p>
    <w:p w14:paraId="592FCA5F">
      <w:pPr>
        <w:snapToGrid w:val="0"/>
        <w:ind w:firstLine="412" w:firstLineChars="196"/>
        <w:rPr>
          <w:rFonts w:ascii="微软雅黑" w:hAnsi="微软雅黑"/>
          <w:b/>
          <w:bCs/>
          <w:color w:val="auto"/>
          <w:szCs w:val="21"/>
          <w:highlight w:val="none"/>
        </w:rPr>
      </w:pPr>
      <w:r>
        <w:rPr>
          <w:rFonts w:hint="eastAsia" w:ascii="微软雅黑" w:hAnsi="微软雅黑"/>
          <w:b/>
          <w:bCs/>
          <w:color w:val="auto"/>
          <w:szCs w:val="21"/>
          <w:highlight w:val="none"/>
        </w:rPr>
        <w:t>1.形式审查</w:t>
      </w:r>
    </w:p>
    <w:p w14:paraId="19738C96">
      <w:pPr>
        <w:snapToGrid w:val="0"/>
        <w:ind w:firstLine="420"/>
        <w:rPr>
          <w:rFonts w:ascii="微软雅黑" w:hAnsi="微软雅黑" w:cs="宋体"/>
          <w:bCs/>
          <w:color w:val="auto"/>
          <w:szCs w:val="21"/>
          <w:highlight w:val="none"/>
        </w:rPr>
      </w:pPr>
      <w:r>
        <w:rPr>
          <w:rFonts w:hint="eastAsia" w:ascii="微软雅黑" w:hAnsi="微软雅黑"/>
          <w:bCs/>
          <w:color w:val="auto"/>
          <w:szCs w:val="21"/>
          <w:highlight w:val="none"/>
        </w:rPr>
        <w:t>1.1形式审查包括资格审查（除符合性审查以外的关于投标供应商资格条件等内容）和符合性审查，即对投标供应商的资格和投标文件的完整性、合法性等</w:t>
      </w:r>
      <w:r>
        <w:rPr>
          <w:rFonts w:hint="eastAsia" w:ascii="微软雅黑" w:hAnsi="微软雅黑" w:cs="宋体"/>
          <w:bCs/>
          <w:color w:val="auto"/>
          <w:szCs w:val="21"/>
          <w:highlight w:val="none"/>
        </w:rPr>
        <w:t>进行审查。投标文件形式审查未通过的投标供应商，其投标文件将不再评审。合格投标供应商不足3家的，不再评标。</w:t>
      </w:r>
    </w:p>
    <w:p w14:paraId="00E50374">
      <w:pPr>
        <w:snapToGrid w:val="0"/>
        <w:ind w:firstLine="420"/>
        <w:rPr>
          <w:rFonts w:ascii="微软雅黑" w:hAnsi="微软雅黑" w:cs="宋体"/>
          <w:bCs/>
          <w:color w:val="auto"/>
          <w:szCs w:val="21"/>
          <w:highlight w:val="none"/>
        </w:rPr>
      </w:pPr>
      <w:r>
        <w:rPr>
          <w:rFonts w:hint="eastAsia" w:ascii="微软雅黑" w:hAnsi="微软雅黑" w:cs="宋体"/>
          <w:bCs/>
          <w:color w:val="auto"/>
          <w:szCs w:val="21"/>
          <w:highlight w:val="none"/>
        </w:rPr>
        <w:t>1.2信用信息查询</w:t>
      </w:r>
    </w:p>
    <w:p w14:paraId="6CC22C04">
      <w:pPr>
        <w:snapToGrid w:val="0"/>
        <w:ind w:firstLine="420"/>
        <w:rPr>
          <w:rFonts w:ascii="微软雅黑" w:hAnsi="微软雅黑" w:cs="宋体"/>
          <w:bCs/>
          <w:color w:val="auto"/>
          <w:szCs w:val="21"/>
          <w:highlight w:val="none"/>
        </w:rPr>
      </w:pPr>
      <w:r>
        <w:rPr>
          <w:rFonts w:hint="eastAsia" w:ascii="微软雅黑" w:hAnsi="微软雅黑" w:cs="宋体"/>
          <w:bCs/>
          <w:color w:val="auto"/>
          <w:szCs w:val="21"/>
          <w:highlight w:val="none"/>
        </w:rPr>
        <w:t>1.2.1信用信息查询渠道及截止时间：采购人将通过“信用中国”网站(www.creditchina.gov.cn)、中国政府采购网(www.ccgp.gov.cn)渠道查询投标供应商投标截止时间当天的信用记录。</w:t>
      </w:r>
    </w:p>
    <w:p w14:paraId="701F7C1A">
      <w:pPr>
        <w:snapToGrid w:val="0"/>
        <w:ind w:firstLine="420"/>
        <w:rPr>
          <w:rFonts w:ascii="微软雅黑" w:hAnsi="微软雅黑" w:cs="宋体"/>
          <w:bCs/>
          <w:color w:val="auto"/>
          <w:szCs w:val="21"/>
          <w:highlight w:val="none"/>
        </w:rPr>
      </w:pPr>
      <w:r>
        <w:rPr>
          <w:rFonts w:hint="eastAsia" w:ascii="微软雅黑" w:hAnsi="微软雅黑" w:cs="宋体"/>
          <w:bCs/>
          <w:color w:val="auto"/>
          <w:szCs w:val="21"/>
          <w:highlight w:val="none"/>
        </w:rPr>
        <w:t>1.2.2信用信息查询记录和证据留存的具体方式：现场查询的投标供应商的信用记录、查询结果经确认后将与招标文件一起存档。</w:t>
      </w:r>
    </w:p>
    <w:p w14:paraId="02E8F759">
      <w:pPr>
        <w:snapToGrid w:val="0"/>
        <w:ind w:firstLine="420"/>
        <w:rPr>
          <w:rFonts w:ascii="微软雅黑" w:hAnsi="微软雅黑" w:cs="宋体"/>
          <w:bCs/>
          <w:color w:val="auto"/>
          <w:szCs w:val="21"/>
          <w:highlight w:val="none"/>
        </w:rPr>
      </w:pPr>
      <w:r>
        <w:rPr>
          <w:rFonts w:hint="eastAsia" w:ascii="微软雅黑" w:hAnsi="微软雅黑" w:cs="宋体"/>
          <w:bCs/>
          <w:color w:val="auto"/>
          <w:szCs w:val="21"/>
          <w:highlight w:val="none"/>
        </w:rPr>
        <w:t>1.2.3信用信息的使用规则：经查询列入失信被执行人名单、重大税收违法案件当事人名单、政府采购严重违法失信行为记录名单的投标供应商将被拒绝参与政府采购活动。</w:t>
      </w:r>
    </w:p>
    <w:p w14:paraId="3E65B539">
      <w:pPr>
        <w:snapToGrid w:val="0"/>
        <w:ind w:firstLine="420"/>
        <w:rPr>
          <w:rFonts w:ascii="微软雅黑" w:hAnsi="微软雅黑"/>
          <w:color w:val="auto"/>
          <w:szCs w:val="21"/>
          <w:highlight w:val="none"/>
        </w:rPr>
      </w:pPr>
      <w:r>
        <w:rPr>
          <w:rFonts w:hint="eastAsia" w:ascii="微软雅黑" w:hAnsi="微软雅黑" w:cs="宋体"/>
          <w:bCs/>
          <w:color w:val="auto"/>
          <w:szCs w:val="21"/>
          <w:highlight w:val="none"/>
        </w:rPr>
        <w:t>1.2.4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5EE625C6">
      <w:pPr>
        <w:snapToGrid w:val="0"/>
        <w:ind w:firstLine="412" w:firstLineChars="196"/>
        <w:rPr>
          <w:rFonts w:ascii="微软雅黑" w:hAnsi="微软雅黑"/>
          <w:b/>
          <w:bCs/>
          <w:color w:val="auto"/>
          <w:szCs w:val="21"/>
          <w:highlight w:val="none"/>
        </w:rPr>
      </w:pPr>
      <w:r>
        <w:rPr>
          <w:rFonts w:hint="eastAsia" w:ascii="微软雅黑" w:hAnsi="微软雅黑"/>
          <w:b/>
          <w:bCs/>
          <w:color w:val="auto"/>
          <w:szCs w:val="21"/>
          <w:highlight w:val="none"/>
        </w:rPr>
        <w:t>2.实质审查</w:t>
      </w:r>
    </w:p>
    <w:p w14:paraId="3E43F426">
      <w:pPr>
        <w:snapToGrid w:val="0"/>
        <w:ind w:firstLine="420"/>
        <w:rPr>
          <w:rFonts w:ascii="微软雅黑" w:hAnsi="微软雅黑"/>
          <w:color w:val="auto"/>
          <w:szCs w:val="21"/>
          <w:highlight w:val="none"/>
        </w:rPr>
      </w:pPr>
      <w:r>
        <w:rPr>
          <w:rFonts w:hint="eastAsia" w:ascii="微软雅黑" w:hAnsi="微软雅黑"/>
          <w:color w:val="auto"/>
          <w:szCs w:val="21"/>
          <w:highlight w:val="none"/>
        </w:rPr>
        <w:t>2.1评标委员会审查投标文件的实质性内容是否符合招标文件的实质性要求。</w:t>
      </w:r>
    </w:p>
    <w:p w14:paraId="4FFA19C4">
      <w:pPr>
        <w:snapToGrid w:val="0"/>
        <w:ind w:firstLine="420"/>
        <w:rPr>
          <w:rFonts w:ascii="微软雅黑" w:hAnsi="微软雅黑"/>
          <w:color w:val="auto"/>
          <w:szCs w:val="21"/>
          <w:highlight w:val="none"/>
        </w:rPr>
      </w:pPr>
      <w:r>
        <w:rPr>
          <w:rFonts w:hint="eastAsia" w:ascii="微软雅黑" w:hAnsi="微软雅黑"/>
          <w:color w:val="auto"/>
          <w:szCs w:val="21"/>
          <w:highlight w:val="none"/>
        </w:rPr>
        <w:t>2.2评标委员会将根据投标供应商的投标文件进行审查、核对，如有疑问，将对投标供应商进行询标，投标供应商要向评标委员会澄清有关问题，并最终以书面形式进行答复。</w:t>
      </w:r>
    </w:p>
    <w:p w14:paraId="48BB4460">
      <w:pPr>
        <w:snapToGrid w:val="0"/>
        <w:ind w:firstLine="420"/>
        <w:rPr>
          <w:rFonts w:ascii="微软雅黑" w:hAnsi="微软雅黑"/>
          <w:color w:val="auto"/>
          <w:szCs w:val="21"/>
          <w:highlight w:val="none"/>
        </w:rPr>
      </w:pPr>
      <w:r>
        <w:rPr>
          <w:rFonts w:hint="eastAsia" w:ascii="微软雅黑" w:hAnsi="微软雅黑"/>
          <w:color w:val="auto"/>
          <w:szCs w:val="21"/>
          <w:highlight w:val="none"/>
        </w:rPr>
        <w:t>询标时，投标供应商代表未到场或者拒绝澄清或者澄清的内容改变了投标文件的实质性内容的，评标委员会有权对该投标文件做出不利于投标供应商的评判。</w:t>
      </w:r>
    </w:p>
    <w:p w14:paraId="533AFE5A">
      <w:pPr>
        <w:snapToGrid w:val="0"/>
        <w:ind w:firstLine="420"/>
        <w:rPr>
          <w:rFonts w:ascii="微软雅黑" w:hAnsi="微软雅黑"/>
          <w:strike/>
          <w:color w:val="auto"/>
          <w:szCs w:val="21"/>
          <w:highlight w:val="none"/>
        </w:rPr>
      </w:pPr>
      <w:r>
        <w:rPr>
          <w:rFonts w:hint="eastAsia" w:ascii="微软雅黑" w:hAnsi="微软雅黑" w:cs="Arial"/>
          <w:color w:val="auto"/>
          <w:kern w:val="0"/>
          <w:szCs w:val="21"/>
          <w:highlight w:val="none"/>
        </w:rPr>
        <w:t>2.3</w:t>
      </w:r>
      <w:r>
        <w:rPr>
          <w:rFonts w:hint="eastAsia" w:ascii="微软雅黑" w:hAnsi="微软雅黑"/>
          <w:color w:val="auto"/>
          <w:szCs w:val="21"/>
          <w:highlight w:val="none"/>
        </w:rPr>
        <w:t>评标委员会各成员应当独立对每个投标供应商的商务和技术文件进行评价，并汇总商务技术得分情况。</w:t>
      </w:r>
    </w:p>
    <w:p w14:paraId="193C969E">
      <w:pPr>
        <w:pStyle w:val="3"/>
        <w:ind w:firstLine="420"/>
        <w:rPr>
          <w:rFonts w:ascii="微软雅黑" w:hAnsi="微软雅黑" w:cs="宋体"/>
          <w:bCs/>
          <w:color w:val="auto"/>
          <w:kern w:val="2"/>
          <w:szCs w:val="21"/>
          <w:highlight w:val="none"/>
        </w:rPr>
      </w:pPr>
      <w:bookmarkStart w:id="115" w:name="_Toc169015130"/>
      <w:bookmarkStart w:id="116" w:name="_Toc27524"/>
      <w:bookmarkStart w:id="117" w:name="_Toc164943206"/>
      <w:r>
        <w:rPr>
          <w:rFonts w:hint="eastAsia" w:ascii="微软雅黑" w:hAnsi="微软雅黑" w:cs="宋体"/>
          <w:bCs/>
          <w:color w:val="auto"/>
          <w:kern w:val="2"/>
          <w:szCs w:val="21"/>
          <w:highlight w:val="none"/>
        </w:rPr>
        <w:t>3.报价审查</w:t>
      </w:r>
      <w:bookmarkEnd w:id="115"/>
      <w:bookmarkEnd w:id="116"/>
      <w:bookmarkEnd w:id="117"/>
    </w:p>
    <w:p w14:paraId="446AEFA8">
      <w:pPr>
        <w:pStyle w:val="28"/>
        <w:snapToGrid w:val="0"/>
        <w:spacing w:before="120" w:after="120"/>
        <w:ind w:left="689" w:leftChars="228" w:hanging="210" w:hangingChars="100"/>
        <w:rPr>
          <w:rFonts w:ascii="微软雅黑" w:hAnsi="微软雅黑"/>
          <w:color w:val="auto"/>
          <w:szCs w:val="21"/>
          <w:highlight w:val="none"/>
        </w:rPr>
      </w:pPr>
      <w:r>
        <w:rPr>
          <w:rFonts w:hint="eastAsia" w:ascii="微软雅黑" w:hAnsi="微软雅黑"/>
          <w:color w:val="auto"/>
          <w:szCs w:val="21"/>
          <w:highlight w:val="none"/>
        </w:rPr>
        <w:t>(1)投标文件报价如果出现计算或表达上的错误，修正错误的原则如下：</w:t>
      </w:r>
    </w:p>
    <w:p w14:paraId="5578EC14">
      <w:pPr>
        <w:snapToGrid w:val="0"/>
        <w:ind w:firstLine="420"/>
        <w:rPr>
          <w:rFonts w:ascii="微软雅黑" w:hAnsi="微软雅黑"/>
          <w:color w:val="auto"/>
          <w:szCs w:val="21"/>
          <w:highlight w:val="none"/>
        </w:rPr>
      </w:pPr>
      <w:r>
        <w:rPr>
          <w:rFonts w:hint="eastAsia" w:ascii="微软雅黑" w:hAnsi="微软雅黑"/>
          <w:color w:val="auto"/>
          <w:szCs w:val="21"/>
          <w:highlight w:val="none"/>
        </w:rPr>
        <w:t>1.1报价</w:t>
      </w:r>
      <w:r>
        <w:rPr>
          <w:rFonts w:hint="eastAsia" w:ascii="微软雅黑" w:hAnsi="微软雅黑"/>
          <w:color w:val="auto"/>
          <w:kern w:val="0"/>
          <w:szCs w:val="21"/>
          <w:highlight w:val="none"/>
        </w:rPr>
        <w:t>以开标一览表为准。</w:t>
      </w:r>
    </w:p>
    <w:p w14:paraId="1B059243">
      <w:pPr>
        <w:pStyle w:val="28"/>
        <w:snapToGrid w:val="0"/>
        <w:spacing w:before="120" w:after="120"/>
        <w:ind w:firstLine="420"/>
        <w:rPr>
          <w:rFonts w:ascii="微软雅黑" w:hAnsi="微软雅黑"/>
          <w:color w:val="auto"/>
          <w:szCs w:val="21"/>
          <w:highlight w:val="none"/>
        </w:rPr>
      </w:pPr>
      <w:r>
        <w:rPr>
          <w:rFonts w:hint="eastAsia" w:ascii="微软雅黑" w:hAnsi="微软雅黑"/>
          <w:color w:val="auto"/>
          <w:szCs w:val="21"/>
          <w:highlight w:val="none"/>
        </w:rPr>
        <w:t>1.2投标文件的大写金额和小写金额不一致的，以大写金额为准。</w:t>
      </w:r>
    </w:p>
    <w:p w14:paraId="3FC8C365">
      <w:pPr>
        <w:pStyle w:val="292"/>
        <w:spacing w:before="0"/>
        <w:ind w:firstLine="420"/>
        <w:rPr>
          <w:rFonts w:ascii="微软雅黑" w:hAnsi="微软雅黑" w:eastAsia="微软雅黑"/>
          <w:color w:val="auto"/>
          <w:sz w:val="21"/>
          <w:szCs w:val="21"/>
          <w:highlight w:val="none"/>
        </w:rPr>
      </w:pPr>
      <w:r>
        <w:rPr>
          <w:rFonts w:hint="eastAsia" w:ascii="微软雅黑" w:hAnsi="微软雅黑" w:eastAsia="微软雅黑" w:cs="Times New Roman"/>
          <w:color w:val="auto"/>
          <w:kern w:val="0"/>
          <w:sz w:val="21"/>
          <w:szCs w:val="21"/>
          <w:highlight w:val="none"/>
        </w:rPr>
        <w:t>1.3总</w:t>
      </w:r>
      <w:r>
        <w:rPr>
          <w:rFonts w:hint="eastAsia" w:ascii="微软雅黑" w:hAnsi="微软雅黑" w:eastAsia="微软雅黑"/>
          <w:color w:val="auto"/>
          <w:sz w:val="21"/>
          <w:szCs w:val="21"/>
          <w:highlight w:val="none"/>
        </w:rPr>
        <w:t>价金额与按单价汇总金额不一致的，以单价金额计算结果为准。</w:t>
      </w:r>
    </w:p>
    <w:p w14:paraId="13FCD63B">
      <w:pPr>
        <w:pStyle w:val="28"/>
        <w:snapToGrid w:val="0"/>
        <w:spacing w:before="120" w:after="120"/>
        <w:ind w:firstLine="420"/>
        <w:rPr>
          <w:rFonts w:ascii="微软雅黑" w:hAnsi="微软雅黑"/>
          <w:color w:val="auto"/>
          <w:szCs w:val="21"/>
          <w:highlight w:val="none"/>
        </w:rPr>
      </w:pPr>
      <w:r>
        <w:rPr>
          <w:rFonts w:hint="eastAsia" w:ascii="微软雅黑" w:hAnsi="微软雅黑" w:cs="仿宋"/>
          <w:color w:val="auto"/>
          <w:kern w:val="0"/>
          <w:szCs w:val="21"/>
          <w:highlight w:val="none"/>
        </w:rPr>
        <w:t>1.4</w:t>
      </w:r>
      <w:r>
        <w:rPr>
          <w:rFonts w:hint="eastAsia" w:ascii="微软雅黑" w:hAnsi="微软雅黑"/>
          <w:color w:val="auto"/>
          <w:szCs w:val="21"/>
          <w:highlight w:val="none"/>
        </w:rPr>
        <w:t>对不同文字文本投标文件的解释发生异议的，以中文文本为准。</w:t>
      </w:r>
    </w:p>
    <w:p w14:paraId="65B3556C">
      <w:pPr>
        <w:pStyle w:val="28"/>
        <w:snapToGrid w:val="0"/>
        <w:spacing w:before="120" w:after="120"/>
        <w:ind w:firstLine="420"/>
        <w:rPr>
          <w:rFonts w:ascii="微软雅黑" w:hAnsi="微软雅黑"/>
          <w:b/>
          <w:bCs/>
          <w:color w:val="auto"/>
          <w:szCs w:val="21"/>
          <w:highlight w:val="none"/>
        </w:rPr>
      </w:pPr>
      <w:r>
        <w:rPr>
          <w:rFonts w:hint="eastAsia" w:ascii="微软雅黑" w:hAnsi="微软雅黑"/>
          <w:b/>
          <w:bCs/>
          <w:color w:val="auto"/>
          <w:szCs w:val="21"/>
          <w:highlight w:val="none"/>
        </w:rPr>
        <w:t>按上述修正错误的原则及方法调整或修正投标文件的投标报价，投标供应商同意并签字确认后，调整后的投标报价对投标供应商具有约束作用。如果投标供应商不接受修正后的报价，则其投标将作为无效投标处理。</w:t>
      </w:r>
    </w:p>
    <w:p w14:paraId="2BE0EEB8">
      <w:pPr>
        <w:snapToGrid w:val="0"/>
        <w:ind w:firstLine="420"/>
        <w:rPr>
          <w:rFonts w:ascii="微软雅黑" w:hAnsi="微软雅黑"/>
          <w:color w:val="auto"/>
          <w:szCs w:val="21"/>
          <w:highlight w:val="none"/>
        </w:rPr>
      </w:pPr>
      <w:r>
        <w:rPr>
          <w:rFonts w:hint="eastAsia" w:ascii="微软雅黑" w:hAnsi="微软雅黑"/>
          <w:color w:val="auto"/>
          <w:szCs w:val="21"/>
          <w:highlight w:val="none"/>
        </w:rPr>
        <w:t>(2)评标委员会根据合格供应商报价得出得分汇总。</w:t>
      </w:r>
    </w:p>
    <w:p w14:paraId="6F32E48E">
      <w:pPr>
        <w:pStyle w:val="3"/>
        <w:ind w:firstLine="420"/>
        <w:rPr>
          <w:rFonts w:ascii="微软雅黑" w:hAnsi="微软雅黑" w:cs="宋体"/>
          <w:bCs/>
          <w:color w:val="auto"/>
          <w:kern w:val="2"/>
          <w:szCs w:val="21"/>
          <w:highlight w:val="none"/>
        </w:rPr>
      </w:pPr>
      <w:bookmarkStart w:id="118" w:name="_Toc164943207"/>
      <w:bookmarkStart w:id="119" w:name="_Toc22943"/>
      <w:bookmarkStart w:id="120" w:name="_Toc169015131"/>
      <w:r>
        <w:rPr>
          <w:rFonts w:hint="eastAsia" w:ascii="微软雅黑" w:hAnsi="微软雅黑" w:cs="宋体"/>
          <w:bCs/>
          <w:color w:val="auto"/>
          <w:kern w:val="2"/>
          <w:szCs w:val="21"/>
          <w:highlight w:val="none"/>
        </w:rPr>
        <w:t>4.比较和推荐</w:t>
      </w:r>
      <w:bookmarkEnd w:id="118"/>
      <w:bookmarkEnd w:id="119"/>
      <w:bookmarkEnd w:id="120"/>
    </w:p>
    <w:p w14:paraId="0E770204">
      <w:pPr>
        <w:snapToGrid w:val="0"/>
        <w:ind w:firstLine="420"/>
        <w:rPr>
          <w:rFonts w:ascii="微软雅黑" w:hAnsi="微软雅黑" w:cs="Arial"/>
          <w:color w:val="auto"/>
          <w:kern w:val="0"/>
          <w:szCs w:val="21"/>
          <w:highlight w:val="none"/>
        </w:rPr>
      </w:pPr>
      <w:r>
        <w:rPr>
          <w:rFonts w:hint="eastAsia" w:ascii="微软雅黑" w:hAnsi="微软雅黑"/>
          <w:color w:val="auto"/>
          <w:szCs w:val="21"/>
          <w:highlight w:val="none"/>
        </w:rPr>
        <w:t>评标委员会按评标原则推荐中标供应商同时起草评标报告。</w:t>
      </w:r>
    </w:p>
    <w:p w14:paraId="0695129F">
      <w:pPr>
        <w:snapToGrid w:val="0"/>
        <w:ind w:firstLine="420"/>
        <w:rPr>
          <w:rFonts w:ascii="微软雅黑" w:hAnsi="微软雅黑"/>
          <w:b/>
          <w:color w:val="auto"/>
          <w:szCs w:val="21"/>
          <w:highlight w:val="none"/>
        </w:rPr>
      </w:pPr>
      <w:r>
        <w:rPr>
          <w:rFonts w:hint="eastAsia" w:ascii="微软雅黑" w:hAnsi="微软雅黑"/>
          <w:b/>
          <w:color w:val="auto"/>
          <w:szCs w:val="21"/>
          <w:highlight w:val="none"/>
        </w:rPr>
        <w:t>（四）澄清问题的形式</w:t>
      </w:r>
    </w:p>
    <w:p w14:paraId="1FF815F6">
      <w:pPr>
        <w:snapToGrid w:val="0"/>
        <w:ind w:firstLine="420"/>
        <w:rPr>
          <w:rFonts w:ascii="微软雅黑" w:hAnsi="微软雅黑"/>
          <w:color w:val="auto"/>
          <w:szCs w:val="21"/>
          <w:highlight w:val="none"/>
        </w:rPr>
      </w:pPr>
      <w:r>
        <w:rPr>
          <w:rFonts w:hint="eastAsia" w:ascii="微软雅黑" w:hAnsi="微软雅黑"/>
          <w:color w:val="auto"/>
          <w:szCs w:val="21"/>
          <w:highlight w:val="none"/>
        </w:rPr>
        <w:t>对投标文件中含义不明确、同类问题表述不一致或者有明显文字和计算错误的内容，评标委员会可要求供应商作出必要的澄清、说明或者纠正。</w:t>
      </w:r>
    </w:p>
    <w:p w14:paraId="0B6F3AB0">
      <w:pPr>
        <w:snapToGrid w:val="0"/>
        <w:ind w:firstLine="420"/>
        <w:rPr>
          <w:rFonts w:ascii="微软雅黑" w:hAnsi="微软雅黑"/>
          <w:color w:val="auto"/>
          <w:szCs w:val="21"/>
          <w:highlight w:val="none"/>
        </w:rPr>
      </w:pPr>
      <w:r>
        <w:rPr>
          <w:rFonts w:hint="eastAsia" w:ascii="微软雅黑" w:hAnsi="微软雅黑"/>
          <w:color w:val="auto"/>
          <w:szCs w:val="21"/>
          <w:highlight w:val="none"/>
        </w:rPr>
        <w:t>1.评标委员会可以在“政采云”平台在线询标或其他有效形式要求供应商对同一份投标文件含义不明确或同类问题表述不一致的内容（招标文件其他地方有规定处理方法的除外）作必要的澄清或说明。供应商应采用在线回复或其他有效形式在询标规定时间内进行澄清或说明，但不得超出投标文件的范围或改变投标文件的实质性内容。凡属于评标委员会在评标中发现的计算错误并进行核实的修改不在此列。</w:t>
      </w:r>
    </w:p>
    <w:p w14:paraId="452B2DE1">
      <w:pPr>
        <w:snapToGrid w:val="0"/>
        <w:ind w:firstLine="420"/>
        <w:rPr>
          <w:rFonts w:ascii="微软雅黑" w:hAnsi="微软雅黑"/>
          <w:color w:val="auto"/>
          <w:szCs w:val="21"/>
          <w:highlight w:val="none"/>
        </w:rPr>
      </w:pPr>
      <w:r>
        <w:rPr>
          <w:rFonts w:hint="eastAsia" w:ascii="微软雅黑" w:hAnsi="微软雅黑"/>
          <w:color w:val="auto"/>
          <w:szCs w:val="21"/>
          <w:highlight w:val="none"/>
        </w:rPr>
        <w:t>2.如果供应商代表拒绝或未按评标委员会要求在“政采云”平台作出在线回复且无其他有效回复方式的，评标委员会可以对其作出无效标处理。</w:t>
      </w:r>
    </w:p>
    <w:p w14:paraId="248BF691">
      <w:pPr>
        <w:pStyle w:val="28"/>
        <w:tabs>
          <w:tab w:val="left" w:pos="630"/>
        </w:tabs>
        <w:snapToGrid w:val="0"/>
        <w:spacing w:before="120" w:after="120"/>
        <w:ind w:firstLine="412" w:firstLineChars="196"/>
        <w:rPr>
          <w:rFonts w:ascii="微软雅黑" w:hAnsi="微软雅黑"/>
          <w:b/>
          <w:color w:val="auto"/>
          <w:szCs w:val="21"/>
          <w:highlight w:val="none"/>
        </w:rPr>
      </w:pPr>
      <w:r>
        <w:rPr>
          <w:rFonts w:hint="eastAsia" w:ascii="微软雅黑" w:hAnsi="微软雅黑"/>
          <w:b/>
          <w:color w:val="auto"/>
          <w:szCs w:val="21"/>
          <w:highlight w:val="none"/>
        </w:rPr>
        <w:t>（五）评标原则和评标办法</w:t>
      </w:r>
    </w:p>
    <w:p w14:paraId="287EECBF">
      <w:pPr>
        <w:pStyle w:val="28"/>
        <w:keepNext w:val="0"/>
        <w:keepLines w:val="0"/>
        <w:pageBreakBefore w:val="0"/>
        <w:widowControl w:val="0"/>
        <w:numPr>
          <w:ilvl w:val="0"/>
          <w:numId w:val="37"/>
        </w:numPr>
        <w:kinsoku/>
        <w:wordWrap/>
        <w:overflowPunct/>
        <w:topLinePunct w:val="0"/>
        <w:autoSpaceDE/>
        <w:autoSpaceDN/>
        <w:bidi w:val="0"/>
        <w:adjustRightInd/>
        <w:snapToGrid w:val="0"/>
        <w:spacing w:before="120" w:after="120"/>
        <w:ind w:left="0" w:leftChars="0" w:firstLine="420" w:firstLineChars="200"/>
        <w:textAlignment w:val="auto"/>
        <w:rPr>
          <w:rFonts w:ascii="微软雅黑" w:hAnsi="微软雅黑"/>
          <w:color w:val="auto"/>
          <w:szCs w:val="21"/>
          <w:highlight w:val="none"/>
        </w:rPr>
      </w:pPr>
      <w:r>
        <w:rPr>
          <w:rFonts w:hint="eastAsia" w:ascii="微软雅黑" w:hAnsi="微软雅黑"/>
          <w:color w:val="auto"/>
          <w:szCs w:val="21"/>
          <w:highlight w:val="none"/>
        </w:rPr>
        <w:t>评标原则。评标委员会必须公平、公正、客观，不带任何倾向性和启发性；不得向外界透露任何与评标有关的内容；任何单位和个人不得干扰、影响评标的正常进行；评标委员会及有关工作人员不得私下与投标供应商接触。</w:t>
      </w:r>
    </w:p>
    <w:p w14:paraId="284D2D96">
      <w:pPr>
        <w:pStyle w:val="28"/>
        <w:keepNext w:val="0"/>
        <w:keepLines w:val="0"/>
        <w:pageBreakBefore w:val="0"/>
        <w:widowControl w:val="0"/>
        <w:numPr>
          <w:ilvl w:val="0"/>
          <w:numId w:val="37"/>
        </w:numPr>
        <w:kinsoku/>
        <w:wordWrap/>
        <w:overflowPunct/>
        <w:topLinePunct w:val="0"/>
        <w:autoSpaceDE/>
        <w:autoSpaceDN/>
        <w:bidi w:val="0"/>
        <w:adjustRightInd/>
        <w:snapToGrid w:val="0"/>
        <w:spacing w:before="120" w:after="120"/>
        <w:ind w:left="0" w:leftChars="0" w:firstLine="420" w:firstLineChars="200"/>
        <w:textAlignment w:val="auto"/>
        <w:rPr>
          <w:rFonts w:ascii="微软雅黑" w:hAnsi="微软雅黑"/>
          <w:color w:val="auto"/>
          <w:szCs w:val="21"/>
          <w:highlight w:val="none"/>
        </w:rPr>
      </w:pPr>
      <w:r>
        <w:rPr>
          <w:rFonts w:hint="eastAsia" w:ascii="微软雅黑" w:hAnsi="微软雅黑"/>
          <w:color w:val="auto"/>
          <w:szCs w:val="21"/>
          <w:highlight w:val="none"/>
        </w:rPr>
        <w:t>评标办法。本项目评标办法是 综合评分法，具体评标内容及评分标准等详见《第四章：评标办法及评分标准》。</w:t>
      </w:r>
    </w:p>
    <w:p w14:paraId="33DA90EF">
      <w:pPr>
        <w:pStyle w:val="28"/>
        <w:snapToGrid w:val="0"/>
        <w:spacing w:before="120" w:after="120"/>
        <w:ind w:firstLine="412" w:firstLineChars="196"/>
        <w:rPr>
          <w:rFonts w:ascii="微软雅黑" w:hAnsi="微软雅黑"/>
          <w:b/>
          <w:color w:val="auto"/>
          <w:szCs w:val="21"/>
          <w:highlight w:val="none"/>
        </w:rPr>
      </w:pPr>
      <w:r>
        <w:rPr>
          <w:rFonts w:hint="eastAsia" w:ascii="微软雅黑" w:hAnsi="微软雅黑"/>
          <w:b/>
          <w:color w:val="auto"/>
          <w:szCs w:val="21"/>
          <w:highlight w:val="none"/>
        </w:rPr>
        <w:t>（六）评标过程的监控</w:t>
      </w:r>
    </w:p>
    <w:p w14:paraId="62F6F890">
      <w:pPr>
        <w:pStyle w:val="3"/>
        <w:spacing w:line="500" w:lineRule="exact"/>
        <w:ind w:firstLine="420"/>
        <w:rPr>
          <w:rFonts w:ascii="微软雅黑" w:hAnsi="微软雅黑"/>
          <w:color w:val="auto"/>
          <w:szCs w:val="21"/>
          <w:highlight w:val="none"/>
        </w:rPr>
      </w:pPr>
      <w:bookmarkStart w:id="121" w:name="_Toc169015132"/>
      <w:bookmarkStart w:id="122" w:name="_Toc31962"/>
      <w:bookmarkStart w:id="123" w:name="_Toc164943208"/>
      <w:r>
        <w:rPr>
          <w:rFonts w:hint="eastAsia" w:ascii="微软雅黑" w:hAnsi="微软雅黑"/>
          <w:color w:val="auto"/>
          <w:szCs w:val="21"/>
          <w:highlight w:val="none"/>
        </w:rPr>
        <w:t>本项目评标过程实行全程录音、录像监控。投标供应商在评标过程中所进行的试图影响评标结果的不公正活动，可能导致其投标被拒绝</w:t>
      </w:r>
      <w:bookmarkEnd w:id="121"/>
      <w:bookmarkEnd w:id="122"/>
      <w:bookmarkEnd w:id="123"/>
    </w:p>
    <w:p w14:paraId="37AAA10D">
      <w:pPr>
        <w:pStyle w:val="3"/>
        <w:spacing w:line="500" w:lineRule="exact"/>
        <w:ind w:firstLine="420"/>
        <w:rPr>
          <w:rFonts w:ascii="微软雅黑" w:hAnsi="微软雅黑"/>
          <w:color w:val="auto"/>
          <w:szCs w:val="21"/>
          <w:highlight w:val="none"/>
        </w:rPr>
      </w:pPr>
      <w:bookmarkStart w:id="124" w:name="_Toc30708"/>
      <w:r>
        <w:rPr>
          <w:rFonts w:hint="eastAsia" w:ascii="微软雅黑" w:hAnsi="微软雅黑"/>
          <w:color w:val="auto"/>
          <w:szCs w:val="21"/>
          <w:highlight w:val="none"/>
        </w:rPr>
        <w:t>六、定标</w:t>
      </w:r>
      <w:bookmarkEnd w:id="114"/>
      <w:bookmarkEnd w:id="124"/>
    </w:p>
    <w:p w14:paraId="27F1496A">
      <w:pPr>
        <w:pStyle w:val="28"/>
        <w:snapToGrid w:val="0"/>
        <w:spacing w:before="120" w:after="120"/>
        <w:ind w:firstLine="412" w:firstLineChars="196"/>
        <w:rPr>
          <w:rFonts w:hAnsi="宋体"/>
          <w:b/>
          <w:bCs/>
          <w:color w:val="auto"/>
          <w:highlight w:val="none"/>
        </w:rPr>
      </w:pPr>
      <w:bookmarkStart w:id="125" w:name="_Toc33535372"/>
      <w:r>
        <w:rPr>
          <w:rFonts w:hint="eastAsia" w:hAnsi="宋体"/>
          <w:b/>
          <w:bCs/>
          <w:color w:val="auto"/>
          <w:highlight w:val="none"/>
        </w:rPr>
        <w:t>确定中标供应商：本项目由采购人确定中标供应商。</w:t>
      </w:r>
    </w:p>
    <w:p w14:paraId="6E9A2B3E">
      <w:pPr>
        <w:pStyle w:val="28"/>
        <w:keepNext w:val="0"/>
        <w:keepLines w:val="0"/>
        <w:pageBreakBefore w:val="0"/>
        <w:widowControl w:val="0"/>
        <w:numPr>
          <w:ilvl w:val="0"/>
          <w:numId w:val="38"/>
        </w:numPr>
        <w:kinsoku/>
        <w:wordWrap/>
        <w:overflowPunct/>
        <w:topLinePunct w:val="0"/>
        <w:autoSpaceDE/>
        <w:autoSpaceDN/>
        <w:bidi w:val="0"/>
        <w:adjustRightInd/>
        <w:snapToGrid w:val="0"/>
        <w:spacing w:before="120" w:after="120"/>
        <w:ind w:left="0" w:leftChars="0" w:firstLine="420" w:firstLineChars="200"/>
        <w:textAlignment w:val="auto"/>
        <w:rPr>
          <w:rFonts w:hint="eastAsia" w:ascii="微软雅黑" w:hAnsi="微软雅黑" w:cs="Times New Roman"/>
          <w:color w:val="auto"/>
          <w:szCs w:val="21"/>
          <w:highlight w:val="none"/>
        </w:rPr>
      </w:pPr>
      <w:r>
        <w:rPr>
          <w:rFonts w:hint="eastAsia" w:ascii="微软雅黑" w:hAnsi="微软雅黑" w:cs="Times New Roman"/>
          <w:color w:val="auto"/>
          <w:szCs w:val="21"/>
          <w:highlight w:val="none"/>
        </w:rPr>
        <w:t>代理机构在评标结束后2个工作日内将评标报告交采购人确认，同时在发布招标公告的网站上对评标结果进行公告。</w:t>
      </w:r>
    </w:p>
    <w:p w14:paraId="2B79CB28">
      <w:pPr>
        <w:pStyle w:val="28"/>
        <w:keepNext w:val="0"/>
        <w:keepLines w:val="0"/>
        <w:pageBreakBefore w:val="0"/>
        <w:widowControl w:val="0"/>
        <w:numPr>
          <w:ilvl w:val="0"/>
          <w:numId w:val="38"/>
        </w:numPr>
        <w:kinsoku/>
        <w:wordWrap/>
        <w:overflowPunct/>
        <w:topLinePunct w:val="0"/>
        <w:autoSpaceDE/>
        <w:autoSpaceDN/>
        <w:bidi w:val="0"/>
        <w:adjustRightInd/>
        <w:snapToGrid w:val="0"/>
        <w:spacing w:before="120" w:after="120"/>
        <w:ind w:left="0" w:leftChars="0" w:firstLine="420" w:firstLineChars="200"/>
        <w:textAlignment w:val="auto"/>
        <w:rPr>
          <w:rFonts w:hint="eastAsia" w:ascii="微软雅黑" w:hAnsi="微软雅黑" w:cs="Times New Roman"/>
          <w:color w:val="auto"/>
          <w:szCs w:val="21"/>
          <w:highlight w:val="none"/>
        </w:rPr>
      </w:pPr>
      <w:r>
        <w:rPr>
          <w:rFonts w:hint="eastAsia" w:ascii="微软雅黑" w:hAnsi="微软雅黑" w:cs="Times New Roman"/>
          <w:color w:val="auto"/>
          <w:szCs w:val="21"/>
          <w:highlight w:val="none"/>
        </w:rPr>
        <w:t>投标供应商对评标结果无异议的，采购人应在收到评标报告后5个工作日内对评标结果进行确认。如有投标供应商对评标结果提出质疑的，采购人可在质疑处理完毕后确定中标供应商。</w:t>
      </w:r>
    </w:p>
    <w:p w14:paraId="7A738B14">
      <w:pPr>
        <w:pStyle w:val="28"/>
        <w:keepNext w:val="0"/>
        <w:keepLines w:val="0"/>
        <w:pageBreakBefore w:val="0"/>
        <w:widowControl w:val="0"/>
        <w:numPr>
          <w:ilvl w:val="0"/>
          <w:numId w:val="38"/>
        </w:numPr>
        <w:kinsoku/>
        <w:wordWrap/>
        <w:overflowPunct/>
        <w:topLinePunct w:val="0"/>
        <w:autoSpaceDE/>
        <w:autoSpaceDN/>
        <w:bidi w:val="0"/>
        <w:adjustRightInd/>
        <w:snapToGrid w:val="0"/>
        <w:spacing w:before="120" w:after="120"/>
        <w:ind w:left="0" w:leftChars="0" w:firstLine="420" w:firstLineChars="200"/>
        <w:textAlignment w:val="auto"/>
        <w:rPr>
          <w:rFonts w:hint="eastAsia" w:ascii="微软雅黑" w:hAnsi="微软雅黑" w:cs="Times New Roman"/>
          <w:color w:val="auto"/>
          <w:szCs w:val="21"/>
          <w:highlight w:val="none"/>
        </w:rPr>
      </w:pPr>
      <w:r>
        <w:rPr>
          <w:rFonts w:hint="eastAsia" w:ascii="微软雅黑" w:hAnsi="微软雅黑" w:cs="Times New Roman"/>
          <w:color w:val="auto"/>
          <w:szCs w:val="21"/>
          <w:highlight w:val="none"/>
        </w:rPr>
        <w:t>在公告中标结果的同时，代理机构在政采云系统向中标供应商发出中标通知书。</w:t>
      </w:r>
    </w:p>
    <w:p w14:paraId="3DAB7E65">
      <w:pPr>
        <w:pStyle w:val="3"/>
        <w:spacing w:line="500" w:lineRule="exact"/>
        <w:ind w:firstLine="420"/>
        <w:rPr>
          <w:rFonts w:ascii="微软雅黑" w:hAnsi="微软雅黑"/>
          <w:color w:val="auto"/>
          <w:szCs w:val="21"/>
          <w:highlight w:val="none"/>
        </w:rPr>
      </w:pPr>
      <w:bookmarkStart w:id="126" w:name="_Toc4086"/>
      <w:r>
        <w:rPr>
          <w:rFonts w:hint="eastAsia" w:ascii="微软雅黑" w:hAnsi="微软雅黑"/>
          <w:color w:val="auto"/>
          <w:szCs w:val="21"/>
          <w:highlight w:val="none"/>
        </w:rPr>
        <w:t>七、合同授予</w:t>
      </w:r>
      <w:bookmarkEnd w:id="125"/>
      <w:bookmarkEnd w:id="126"/>
    </w:p>
    <w:p w14:paraId="771CB38B">
      <w:pPr>
        <w:pStyle w:val="28"/>
        <w:keepNext w:val="0"/>
        <w:keepLines w:val="0"/>
        <w:pageBreakBefore w:val="0"/>
        <w:widowControl w:val="0"/>
        <w:numPr>
          <w:ilvl w:val="0"/>
          <w:numId w:val="39"/>
        </w:numPr>
        <w:kinsoku/>
        <w:wordWrap/>
        <w:overflowPunct/>
        <w:topLinePunct w:val="0"/>
        <w:autoSpaceDE/>
        <w:autoSpaceDN/>
        <w:bidi w:val="0"/>
        <w:adjustRightInd/>
        <w:snapToGrid w:val="0"/>
        <w:spacing w:before="120" w:after="120"/>
        <w:ind w:left="0" w:leftChars="0" w:firstLine="420" w:firstLineChars="200"/>
        <w:textAlignment w:val="auto"/>
        <w:rPr>
          <w:rFonts w:hint="eastAsia" w:ascii="微软雅黑" w:hAnsi="微软雅黑" w:cs="Times New Roman"/>
          <w:color w:val="auto"/>
          <w:szCs w:val="21"/>
          <w:highlight w:val="none"/>
        </w:rPr>
      </w:pPr>
      <w:r>
        <w:rPr>
          <w:rFonts w:hint="eastAsia" w:ascii="微软雅黑" w:hAnsi="微软雅黑" w:cs="Times New Roman"/>
          <w:color w:val="auto"/>
          <w:szCs w:val="21"/>
          <w:highlight w:val="none"/>
          <w:lang w:eastAsia="zh-CN"/>
        </w:rPr>
        <w:t>采</w:t>
      </w:r>
      <w:r>
        <w:rPr>
          <w:rFonts w:hint="eastAsia" w:ascii="微软雅黑" w:hAnsi="微软雅黑" w:cs="Times New Roman"/>
          <w:color w:val="auto"/>
          <w:szCs w:val="21"/>
          <w:highlight w:val="none"/>
        </w:rPr>
        <w:t>购人与中标供应商应当在《中标通知书》发出之日起30日内签订政府采购合同。</w:t>
      </w:r>
    </w:p>
    <w:p w14:paraId="2320C6F2">
      <w:pPr>
        <w:pStyle w:val="28"/>
        <w:keepNext w:val="0"/>
        <w:keepLines w:val="0"/>
        <w:pageBreakBefore w:val="0"/>
        <w:widowControl w:val="0"/>
        <w:numPr>
          <w:ilvl w:val="0"/>
          <w:numId w:val="39"/>
        </w:numPr>
        <w:kinsoku/>
        <w:wordWrap/>
        <w:overflowPunct/>
        <w:topLinePunct w:val="0"/>
        <w:autoSpaceDE/>
        <w:autoSpaceDN/>
        <w:bidi w:val="0"/>
        <w:adjustRightInd/>
        <w:snapToGrid w:val="0"/>
        <w:spacing w:before="120" w:after="120"/>
        <w:ind w:left="0" w:leftChars="0" w:firstLine="420" w:firstLineChars="200"/>
        <w:textAlignment w:val="auto"/>
        <w:rPr>
          <w:rFonts w:hint="eastAsia" w:ascii="微软雅黑" w:hAnsi="微软雅黑" w:cs="Times New Roman"/>
          <w:color w:val="auto"/>
          <w:szCs w:val="21"/>
          <w:highlight w:val="none"/>
        </w:rPr>
      </w:pPr>
      <w:r>
        <w:rPr>
          <w:rFonts w:hint="eastAsia" w:ascii="微软雅黑" w:hAnsi="微软雅黑" w:cs="Times New Roman"/>
          <w:color w:val="auto"/>
          <w:szCs w:val="21"/>
          <w:highlight w:val="none"/>
        </w:rPr>
        <w:t>中标供应商拖延、拒签合同的，将被取消中标资格，并报监督管理部门依法处理。</w:t>
      </w:r>
    </w:p>
    <w:p w14:paraId="3B7CF7AC">
      <w:pPr>
        <w:pStyle w:val="28"/>
        <w:keepNext w:val="0"/>
        <w:keepLines w:val="0"/>
        <w:pageBreakBefore w:val="0"/>
        <w:widowControl w:val="0"/>
        <w:numPr>
          <w:ilvl w:val="0"/>
          <w:numId w:val="39"/>
        </w:numPr>
        <w:kinsoku/>
        <w:wordWrap/>
        <w:overflowPunct/>
        <w:topLinePunct w:val="0"/>
        <w:autoSpaceDE/>
        <w:autoSpaceDN/>
        <w:bidi w:val="0"/>
        <w:adjustRightInd/>
        <w:snapToGrid w:val="0"/>
        <w:spacing w:before="120" w:after="120"/>
        <w:ind w:left="0" w:leftChars="0" w:firstLine="420" w:firstLineChars="200"/>
        <w:textAlignment w:val="auto"/>
        <w:rPr>
          <w:rFonts w:hint="eastAsia" w:ascii="微软雅黑" w:hAnsi="微软雅黑" w:cs="Times New Roman"/>
          <w:color w:val="auto"/>
          <w:szCs w:val="21"/>
          <w:highlight w:val="none"/>
        </w:rPr>
      </w:pPr>
      <w:r>
        <w:rPr>
          <w:rFonts w:hint="eastAsia" w:ascii="微软雅黑" w:hAnsi="微软雅黑" w:cs="Times New Roman"/>
          <w:color w:val="auto"/>
          <w:szCs w:val="21"/>
          <w:highlight w:val="none"/>
        </w:rPr>
        <w:t>采购人须在本项目政府采购合同签订之日起2个工作日内将合同发布于浙江政府采购网，但政府采购合同中涉及国家秘密、商业秘密的内容除外。</w:t>
      </w:r>
    </w:p>
    <w:p w14:paraId="44365F72">
      <w:pPr>
        <w:pStyle w:val="3"/>
        <w:spacing w:line="500" w:lineRule="exact"/>
        <w:ind w:firstLine="420"/>
        <w:rPr>
          <w:rFonts w:ascii="微软雅黑" w:hAnsi="微软雅黑"/>
          <w:color w:val="auto"/>
          <w:szCs w:val="21"/>
          <w:highlight w:val="none"/>
        </w:rPr>
      </w:pPr>
      <w:bookmarkStart w:id="127" w:name="_Toc17646"/>
      <w:r>
        <w:rPr>
          <w:rFonts w:hint="eastAsia" w:ascii="微软雅黑" w:hAnsi="微软雅黑"/>
          <w:color w:val="auto"/>
          <w:szCs w:val="21"/>
          <w:highlight w:val="none"/>
        </w:rPr>
        <w:t>八、验收</w:t>
      </w:r>
      <w:bookmarkEnd w:id="127"/>
    </w:p>
    <w:p w14:paraId="74F869B5">
      <w:pPr>
        <w:pStyle w:val="28"/>
        <w:keepNext w:val="0"/>
        <w:keepLines w:val="0"/>
        <w:pageBreakBefore w:val="0"/>
        <w:widowControl w:val="0"/>
        <w:numPr>
          <w:ilvl w:val="0"/>
          <w:numId w:val="40"/>
        </w:numPr>
        <w:kinsoku/>
        <w:wordWrap/>
        <w:overflowPunct/>
        <w:topLinePunct w:val="0"/>
        <w:autoSpaceDE/>
        <w:autoSpaceDN/>
        <w:bidi w:val="0"/>
        <w:adjustRightInd/>
        <w:snapToGrid w:val="0"/>
        <w:spacing w:before="120" w:after="120"/>
        <w:ind w:left="0" w:leftChars="0" w:firstLine="420" w:firstLineChars="200"/>
        <w:textAlignment w:val="auto"/>
        <w:rPr>
          <w:rFonts w:hint="eastAsia" w:ascii="微软雅黑" w:hAnsi="微软雅黑" w:cs="Times New Roman"/>
          <w:color w:val="auto"/>
          <w:szCs w:val="21"/>
          <w:highlight w:val="none"/>
          <w:lang w:eastAsia="zh-CN"/>
        </w:rPr>
      </w:pPr>
      <w:r>
        <w:rPr>
          <w:rFonts w:hint="eastAsia" w:ascii="微软雅黑" w:hAnsi="微软雅黑" w:cs="Times New Roman"/>
          <w:color w:val="auto"/>
          <w:szCs w:val="21"/>
          <w:highlight w:val="none"/>
          <w:lang w:eastAsia="zh-CN"/>
        </w:rPr>
        <w:t>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78FC4806">
      <w:pPr>
        <w:pStyle w:val="28"/>
        <w:keepNext w:val="0"/>
        <w:keepLines w:val="0"/>
        <w:pageBreakBefore w:val="0"/>
        <w:widowControl w:val="0"/>
        <w:numPr>
          <w:ilvl w:val="0"/>
          <w:numId w:val="40"/>
        </w:numPr>
        <w:kinsoku/>
        <w:wordWrap/>
        <w:overflowPunct/>
        <w:topLinePunct w:val="0"/>
        <w:autoSpaceDE/>
        <w:autoSpaceDN/>
        <w:bidi w:val="0"/>
        <w:adjustRightInd/>
        <w:snapToGrid w:val="0"/>
        <w:spacing w:before="120" w:after="120"/>
        <w:ind w:left="0" w:leftChars="0" w:firstLine="420" w:firstLineChars="200"/>
        <w:textAlignment w:val="auto"/>
        <w:rPr>
          <w:rFonts w:hint="eastAsia" w:ascii="微软雅黑" w:hAnsi="微软雅黑" w:cs="Times New Roman"/>
          <w:color w:val="auto"/>
          <w:szCs w:val="21"/>
          <w:highlight w:val="none"/>
          <w:lang w:eastAsia="zh-CN"/>
        </w:rPr>
      </w:pPr>
      <w:r>
        <w:rPr>
          <w:rFonts w:hint="eastAsia" w:ascii="微软雅黑" w:hAnsi="微软雅黑" w:cs="Times New Roman"/>
          <w:color w:val="auto"/>
          <w:szCs w:val="21"/>
          <w:highlight w:val="none"/>
          <w:lang w:eastAsia="zh-CN"/>
        </w:rPr>
        <w:t>采购人可以邀请参加本项目的其他投标供应商或者第三方机构参与验收。参与验收的投标供应商或者第三方机构的意见作为验收书的参考资料一并存档。</w:t>
      </w:r>
    </w:p>
    <w:p w14:paraId="01641761">
      <w:pPr>
        <w:pStyle w:val="28"/>
        <w:keepNext w:val="0"/>
        <w:keepLines w:val="0"/>
        <w:pageBreakBefore w:val="0"/>
        <w:widowControl w:val="0"/>
        <w:numPr>
          <w:ilvl w:val="0"/>
          <w:numId w:val="40"/>
        </w:numPr>
        <w:kinsoku/>
        <w:wordWrap/>
        <w:overflowPunct/>
        <w:topLinePunct w:val="0"/>
        <w:autoSpaceDE/>
        <w:autoSpaceDN/>
        <w:bidi w:val="0"/>
        <w:adjustRightInd/>
        <w:snapToGrid w:val="0"/>
        <w:spacing w:before="120" w:after="120"/>
        <w:ind w:left="0" w:leftChars="0" w:firstLine="420" w:firstLineChars="200"/>
        <w:textAlignment w:val="auto"/>
        <w:rPr>
          <w:rFonts w:hint="eastAsia" w:ascii="微软雅黑" w:hAnsi="微软雅黑" w:cs="Times New Roman"/>
          <w:color w:val="auto"/>
          <w:szCs w:val="21"/>
          <w:highlight w:val="none"/>
          <w:lang w:eastAsia="zh-CN"/>
        </w:rPr>
      </w:pPr>
      <w:r>
        <w:rPr>
          <w:rFonts w:hint="eastAsia" w:ascii="微软雅黑" w:hAnsi="微软雅黑" w:cs="Times New Roman"/>
          <w:color w:val="auto"/>
          <w:szCs w:val="21"/>
          <w:highlight w:val="none"/>
          <w:lang w:eastAsia="zh-CN"/>
        </w:rPr>
        <w:t>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77E187D3">
      <w:pPr>
        <w:pStyle w:val="28"/>
        <w:keepNext w:val="0"/>
        <w:keepLines w:val="0"/>
        <w:pageBreakBefore w:val="0"/>
        <w:widowControl w:val="0"/>
        <w:numPr>
          <w:ilvl w:val="0"/>
          <w:numId w:val="40"/>
        </w:numPr>
        <w:kinsoku/>
        <w:wordWrap/>
        <w:overflowPunct/>
        <w:topLinePunct w:val="0"/>
        <w:autoSpaceDE/>
        <w:autoSpaceDN/>
        <w:bidi w:val="0"/>
        <w:adjustRightInd/>
        <w:snapToGrid w:val="0"/>
        <w:spacing w:before="120" w:after="120"/>
        <w:ind w:left="0" w:leftChars="0" w:firstLine="420" w:firstLineChars="200"/>
        <w:textAlignment w:val="auto"/>
        <w:rPr>
          <w:rFonts w:hint="eastAsia" w:ascii="微软雅黑" w:hAnsi="微软雅黑" w:cs="Times New Roman"/>
          <w:color w:val="auto"/>
          <w:szCs w:val="21"/>
          <w:highlight w:val="none"/>
          <w:lang w:eastAsia="zh-CN"/>
        </w:rPr>
      </w:pPr>
      <w:r>
        <w:rPr>
          <w:rFonts w:hint="eastAsia" w:ascii="微软雅黑" w:hAnsi="微软雅黑" w:cs="Times New Roman"/>
          <w:color w:val="auto"/>
          <w:szCs w:val="21"/>
          <w:highlight w:val="none"/>
          <w:lang w:eastAsia="zh-CN"/>
        </w:rPr>
        <w:t>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w:t>
      </w:r>
      <w:bookmarkStart w:id="128" w:name="_Hlt74707468"/>
      <w:bookmarkEnd w:id="128"/>
      <w:bookmarkStart w:id="129" w:name="_Hlt68057669"/>
      <w:bookmarkEnd w:id="129"/>
      <w:bookmarkStart w:id="130" w:name="_Hlt75236101"/>
      <w:bookmarkEnd w:id="130"/>
      <w:bookmarkStart w:id="131" w:name="_Hlt74730295"/>
      <w:bookmarkEnd w:id="131"/>
      <w:bookmarkStart w:id="132" w:name="_Hlt74729768"/>
      <w:bookmarkEnd w:id="132"/>
      <w:bookmarkStart w:id="133" w:name="_Hlt74714665"/>
      <w:bookmarkEnd w:id="133"/>
      <w:bookmarkStart w:id="134" w:name="_Hlt68072990"/>
      <w:bookmarkEnd w:id="134"/>
      <w:bookmarkStart w:id="135" w:name="_Hlt75236290"/>
      <w:bookmarkEnd w:id="135"/>
      <w:bookmarkStart w:id="136" w:name="_Hlt75236011"/>
      <w:bookmarkEnd w:id="136"/>
      <w:bookmarkStart w:id="137" w:name="_Hlt68403820"/>
      <w:bookmarkEnd w:id="137"/>
      <w:bookmarkStart w:id="138" w:name="_Hlt68073093"/>
      <w:bookmarkEnd w:id="138"/>
      <w:bookmarkStart w:id="139" w:name="_Hlt68072998"/>
      <w:bookmarkEnd w:id="139"/>
      <w:r>
        <w:rPr>
          <w:rFonts w:hint="eastAsia" w:ascii="微软雅黑" w:hAnsi="微软雅黑" w:cs="Times New Roman"/>
          <w:color w:val="auto"/>
          <w:szCs w:val="21"/>
          <w:highlight w:val="none"/>
          <w:lang w:eastAsia="zh-CN"/>
        </w:rPr>
        <w:t>部门。</w:t>
      </w:r>
    </w:p>
    <w:p w14:paraId="2224B493">
      <w:pPr>
        <w:pStyle w:val="3"/>
        <w:spacing w:line="500" w:lineRule="exact"/>
        <w:ind w:firstLine="420"/>
        <w:rPr>
          <w:rFonts w:ascii="微软雅黑" w:hAnsi="微软雅黑"/>
          <w:color w:val="auto"/>
          <w:szCs w:val="21"/>
          <w:highlight w:val="none"/>
        </w:rPr>
      </w:pPr>
      <w:bookmarkStart w:id="140" w:name="_Toc9282"/>
      <w:r>
        <w:rPr>
          <w:rFonts w:hint="eastAsia" w:ascii="微软雅黑" w:hAnsi="微软雅黑"/>
          <w:color w:val="auto"/>
          <w:szCs w:val="21"/>
          <w:highlight w:val="none"/>
        </w:rPr>
        <w:t>九、招标代理费</w:t>
      </w:r>
      <w:bookmarkEnd w:id="77"/>
      <w:bookmarkEnd w:id="140"/>
    </w:p>
    <w:p w14:paraId="75302146">
      <w:pPr>
        <w:pStyle w:val="28"/>
        <w:keepNext w:val="0"/>
        <w:keepLines w:val="0"/>
        <w:pageBreakBefore w:val="0"/>
        <w:widowControl w:val="0"/>
        <w:numPr>
          <w:ilvl w:val="0"/>
          <w:numId w:val="41"/>
        </w:numPr>
        <w:kinsoku/>
        <w:wordWrap/>
        <w:overflowPunct/>
        <w:topLinePunct w:val="0"/>
        <w:autoSpaceDE/>
        <w:autoSpaceDN/>
        <w:bidi w:val="0"/>
        <w:adjustRightInd/>
        <w:snapToGrid w:val="0"/>
        <w:spacing w:before="120" w:after="120"/>
        <w:ind w:left="0" w:leftChars="0" w:firstLine="420" w:firstLineChars="200"/>
        <w:textAlignment w:val="auto"/>
        <w:rPr>
          <w:rFonts w:hint="eastAsia" w:ascii="微软雅黑" w:hAnsi="微软雅黑" w:cs="Times New Roman"/>
          <w:color w:val="auto"/>
          <w:szCs w:val="21"/>
          <w:highlight w:val="none"/>
          <w:lang w:eastAsia="zh-CN"/>
        </w:rPr>
      </w:pPr>
      <w:bookmarkStart w:id="141" w:name="_Toc493511752"/>
      <w:r>
        <w:rPr>
          <w:rFonts w:hint="eastAsia" w:ascii="微软雅黑" w:hAnsi="微软雅黑" w:cs="Times New Roman"/>
          <w:color w:val="auto"/>
          <w:szCs w:val="21"/>
          <w:highlight w:val="none"/>
          <w:lang w:eastAsia="zh-CN"/>
        </w:rPr>
        <w:t>根据“国家发展和改革委员会办公厅《关于招标代理服务收费有关问题的通知》（发改办价格【2003】857号、财库【2018】2号第十五条）”规定，招标代理机构向中标人收取招标代理服务费。</w:t>
      </w:r>
    </w:p>
    <w:p w14:paraId="52796B45">
      <w:pPr>
        <w:pStyle w:val="28"/>
        <w:keepNext w:val="0"/>
        <w:keepLines w:val="0"/>
        <w:pageBreakBefore w:val="0"/>
        <w:widowControl w:val="0"/>
        <w:numPr>
          <w:ilvl w:val="0"/>
          <w:numId w:val="41"/>
        </w:numPr>
        <w:kinsoku/>
        <w:wordWrap/>
        <w:overflowPunct/>
        <w:topLinePunct w:val="0"/>
        <w:autoSpaceDE/>
        <w:autoSpaceDN/>
        <w:bidi w:val="0"/>
        <w:adjustRightInd/>
        <w:snapToGrid w:val="0"/>
        <w:spacing w:before="120" w:after="120"/>
        <w:ind w:left="0" w:leftChars="0" w:firstLine="420" w:firstLineChars="200"/>
        <w:textAlignment w:val="auto"/>
        <w:rPr>
          <w:rFonts w:hint="eastAsia" w:ascii="微软雅黑" w:hAnsi="微软雅黑" w:cs="Times New Roman"/>
          <w:color w:val="auto"/>
          <w:szCs w:val="21"/>
          <w:highlight w:val="none"/>
          <w:lang w:eastAsia="zh-CN"/>
        </w:rPr>
      </w:pPr>
      <w:r>
        <w:rPr>
          <w:rFonts w:hint="eastAsia" w:ascii="微软雅黑" w:hAnsi="微软雅黑" w:cs="Times New Roman"/>
          <w:color w:val="auto"/>
          <w:szCs w:val="21"/>
          <w:highlight w:val="none"/>
          <w:lang w:eastAsia="zh-CN"/>
        </w:rPr>
        <w:t>中标人应在收取《中标通知书》时向采购代理机构交纳招标代理服务费，服务费的收费标准按浙价服〔2003〕77号文规定计算</w:t>
      </w:r>
      <w:bookmarkEnd w:id="141"/>
    </w:p>
    <w:tbl>
      <w:tblPr>
        <w:tblStyle w:val="52"/>
        <w:tblW w:w="6219"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2073"/>
        <w:gridCol w:w="2073"/>
        <w:gridCol w:w="2073"/>
      </w:tblGrid>
      <w:tr w14:paraId="62E4C4B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65" w:hRule="atLeast"/>
          <w:jc w:val="center"/>
        </w:trPr>
        <w:tc>
          <w:tcPr>
            <w:tcW w:w="2073" w:type="dxa"/>
            <w:tcBorders>
              <w:top w:val="double" w:color="auto" w:sz="4" w:space="0"/>
              <w:left w:val="double" w:color="auto" w:sz="4" w:space="0"/>
              <w:bottom w:val="single" w:color="auto" w:sz="6" w:space="0"/>
              <w:right w:val="single" w:color="auto" w:sz="6" w:space="0"/>
            </w:tcBorders>
            <w:shd w:val="clear" w:color="auto" w:fill="D9D9D9"/>
            <w:vAlign w:val="center"/>
          </w:tcPr>
          <w:p w14:paraId="17152530">
            <w:pPr>
              <w:spacing w:after="0" w:line="240" w:lineRule="auto"/>
              <w:ind w:firstLine="0" w:firstLineChars="0"/>
              <w:rPr>
                <w:rFonts w:ascii="微软雅黑" w:hAnsi="微软雅黑"/>
                <w:color w:val="auto"/>
                <w:szCs w:val="21"/>
                <w:highlight w:val="none"/>
              </w:rPr>
            </w:pPr>
            <w:bookmarkStart w:id="142" w:name="_Toc493511753"/>
            <w:r>
              <w:rPr>
                <w:rFonts w:hint="eastAsia" w:ascii="微软雅黑" w:hAnsi="微软雅黑"/>
                <w:color w:val="auto"/>
                <w:szCs w:val="21"/>
                <w:highlight w:val="none"/>
              </w:rPr>
              <w:t>中标金额（万元）</w:t>
            </w:r>
            <w:bookmarkEnd w:id="142"/>
          </w:p>
        </w:tc>
        <w:tc>
          <w:tcPr>
            <w:tcW w:w="2073" w:type="dxa"/>
            <w:tcBorders>
              <w:top w:val="double" w:color="auto" w:sz="4" w:space="0"/>
              <w:left w:val="single" w:color="auto" w:sz="6" w:space="0"/>
              <w:bottom w:val="single" w:color="auto" w:sz="6" w:space="0"/>
              <w:right w:val="single" w:color="auto" w:sz="6" w:space="0"/>
            </w:tcBorders>
            <w:shd w:val="clear" w:color="auto" w:fill="D9D9D9"/>
            <w:vAlign w:val="center"/>
          </w:tcPr>
          <w:p w14:paraId="2140643A">
            <w:pPr>
              <w:spacing w:after="0" w:line="240" w:lineRule="auto"/>
              <w:ind w:firstLine="0" w:firstLineChars="0"/>
              <w:rPr>
                <w:rFonts w:ascii="微软雅黑" w:hAnsi="微软雅黑"/>
                <w:color w:val="auto"/>
                <w:szCs w:val="21"/>
                <w:highlight w:val="none"/>
              </w:rPr>
            </w:pPr>
            <w:r>
              <w:rPr>
                <w:rFonts w:hint="eastAsia" w:ascii="微软雅黑" w:hAnsi="微软雅黑"/>
                <w:color w:val="auto"/>
                <w:szCs w:val="21"/>
                <w:highlight w:val="none"/>
              </w:rPr>
              <w:t>货物招标收费费率</w:t>
            </w:r>
          </w:p>
        </w:tc>
        <w:tc>
          <w:tcPr>
            <w:tcW w:w="2073" w:type="dxa"/>
            <w:tcBorders>
              <w:top w:val="double" w:color="auto" w:sz="4" w:space="0"/>
              <w:left w:val="single" w:color="auto" w:sz="6" w:space="0"/>
              <w:bottom w:val="single" w:color="auto" w:sz="6" w:space="0"/>
              <w:right w:val="double" w:color="auto" w:sz="4" w:space="0"/>
            </w:tcBorders>
            <w:shd w:val="clear" w:color="auto" w:fill="D9D9D9"/>
          </w:tcPr>
          <w:p w14:paraId="3E51CAFB">
            <w:pPr>
              <w:spacing w:after="0" w:line="240" w:lineRule="auto"/>
              <w:ind w:firstLine="0" w:firstLineChars="0"/>
              <w:rPr>
                <w:rFonts w:ascii="微软雅黑" w:hAnsi="微软雅黑"/>
                <w:color w:val="auto"/>
                <w:szCs w:val="21"/>
                <w:highlight w:val="none"/>
              </w:rPr>
            </w:pPr>
            <w:bookmarkStart w:id="143" w:name="_Toc493511754"/>
            <w:r>
              <w:rPr>
                <w:rFonts w:hint="eastAsia" w:ascii="微软雅黑" w:hAnsi="微软雅黑"/>
                <w:color w:val="auto"/>
                <w:szCs w:val="21"/>
                <w:highlight w:val="none"/>
              </w:rPr>
              <w:t>服务类招标收费费率</w:t>
            </w:r>
            <w:bookmarkEnd w:id="143"/>
          </w:p>
        </w:tc>
      </w:tr>
      <w:tr w14:paraId="1FFCA95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59" w:hRule="atLeast"/>
          <w:jc w:val="center"/>
        </w:trPr>
        <w:tc>
          <w:tcPr>
            <w:tcW w:w="2073" w:type="dxa"/>
            <w:tcBorders>
              <w:top w:val="single" w:color="auto" w:sz="6" w:space="0"/>
              <w:left w:val="double" w:color="auto" w:sz="4" w:space="0"/>
              <w:bottom w:val="single" w:color="auto" w:sz="6" w:space="0"/>
              <w:right w:val="single" w:color="auto" w:sz="6" w:space="0"/>
            </w:tcBorders>
          </w:tcPr>
          <w:p w14:paraId="7D5B8FE5">
            <w:pPr>
              <w:spacing w:after="0" w:line="240" w:lineRule="auto"/>
              <w:ind w:firstLine="0" w:firstLineChars="0"/>
              <w:rPr>
                <w:rFonts w:ascii="微软雅黑" w:hAnsi="微软雅黑"/>
                <w:color w:val="auto"/>
                <w:szCs w:val="21"/>
                <w:highlight w:val="none"/>
              </w:rPr>
            </w:pPr>
            <w:bookmarkStart w:id="144" w:name="_Toc493511755"/>
            <w:r>
              <w:rPr>
                <w:rFonts w:hint="eastAsia" w:ascii="微软雅黑" w:hAnsi="微软雅黑"/>
                <w:color w:val="auto"/>
                <w:szCs w:val="21"/>
                <w:highlight w:val="none"/>
              </w:rPr>
              <w:t>100以下</w:t>
            </w:r>
            <w:bookmarkEnd w:id="144"/>
          </w:p>
        </w:tc>
        <w:tc>
          <w:tcPr>
            <w:tcW w:w="2073" w:type="dxa"/>
            <w:tcBorders>
              <w:top w:val="single" w:color="auto" w:sz="6" w:space="0"/>
              <w:left w:val="single" w:color="auto" w:sz="6" w:space="0"/>
              <w:bottom w:val="single" w:color="auto" w:sz="6" w:space="0"/>
              <w:right w:val="single" w:color="auto" w:sz="6" w:space="0"/>
            </w:tcBorders>
          </w:tcPr>
          <w:p w14:paraId="3CAC4837">
            <w:pPr>
              <w:spacing w:after="0" w:line="240" w:lineRule="auto"/>
              <w:ind w:firstLine="0" w:firstLineChars="0"/>
              <w:rPr>
                <w:rFonts w:ascii="微软雅黑" w:hAnsi="微软雅黑"/>
                <w:color w:val="auto"/>
                <w:szCs w:val="21"/>
                <w:highlight w:val="none"/>
              </w:rPr>
            </w:pPr>
            <w:r>
              <w:rPr>
                <w:rFonts w:hint="eastAsia" w:ascii="微软雅黑" w:hAnsi="微软雅黑"/>
                <w:color w:val="auto"/>
                <w:szCs w:val="21"/>
                <w:highlight w:val="none"/>
              </w:rPr>
              <w:t>1.5%</w:t>
            </w:r>
          </w:p>
        </w:tc>
        <w:tc>
          <w:tcPr>
            <w:tcW w:w="2073" w:type="dxa"/>
            <w:tcBorders>
              <w:top w:val="single" w:color="auto" w:sz="6" w:space="0"/>
              <w:left w:val="single" w:color="auto" w:sz="6" w:space="0"/>
              <w:bottom w:val="single" w:color="auto" w:sz="6" w:space="0"/>
              <w:right w:val="double" w:color="auto" w:sz="4" w:space="0"/>
            </w:tcBorders>
            <w:vAlign w:val="center"/>
          </w:tcPr>
          <w:p w14:paraId="385B41EB">
            <w:pPr>
              <w:spacing w:after="0" w:line="240" w:lineRule="auto"/>
              <w:ind w:firstLine="0" w:firstLineChars="0"/>
              <w:rPr>
                <w:rFonts w:ascii="微软雅黑" w:hAnsi="微软雅黑"/>
                <w:color w:val="auto"/>
                <w:szCs w:val="21"/>
                <w:highlight w:val="none"/>
              </w:rPr>
            </w:pPr>
            <w:bookmarkStart w:id="145" w:name="_Toc493511756"/>
            <w:r>
              <w:rPr>
                <w:rFonts w:hint="eastAsia" w:ascii="微软雅黑" w:hAnsi="微软雅黑"/>
                <w:color w:val="auto"/>
                <w:szCs w:val="21"/>
                <w:highlight w:val="none"/>
              </w:rPr>
              <w:t>1.5％</w:t>
            </w:r>
            <w:bookmarkEnd w:id="145"/>
          </w:p>
        </w:tc>
      </w:tr>
      <w:tr w14:paraId="2A9F93C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59" w:hRule="atLeast"/>
          <w:jc w:val="center"/>
        </w:trPr>
        <w:tc>
          <w:tcPr>
            <w:tcW w:w="2073" w:type="dxa"/>
            <w:tcBorders>
              <w:top w:val="single" w:color="auto" w:sz="6" w:space="0"/>
              <w:left w:val="double" w:color="auto" w:sz="4" w:space="0"/>
              <w:bottom w:val="single" w:color="auto" w:sz="6" w:space="0"/>
              <w:right w:val="single" w:color="auto" w:sz="6" w:space="0"/>
            </w:tcBorders>
          </w:tcPr>
          <w:p w14:paraId="3AF947B2">
            <w:pPr>
              <w:spacing w:after="0" w:line="240" w:lineRule="auto"/>
              <w:ind w:firstLine="0" w:firstLineChars="0"/>
              <w:rPr>
                <w:rFonts w:ascii="微软雅黑" w:hAnsi="微软雅黑"/>
                <w:color w:val="auto"/>
                <w:szCs w:val="21"/>
                <w:highlight w:val="none"/>
              </w:rPr>
            </w:pPr>
            <w:bookmarkStart w:id="146" w:name="_Toc493511757"/>
            <w:r>
              <w:rPr>
                <w:rFonts w:hint="eastAsia" w:ascii="微软雅黑" w:hAnsi="微软雅黑"/>
                <w:color w:val="auto"/>
                <w:szCs w:val="21"/>
                <w:highlight w:val="none"/>
              </w:rPr>
              <w:t>100-500</w:t>
            </w:r>
            <w:bookmarkEnd w:id="146"/>
          </w:p>
        </w:tc>
        <w:tc>
          <w:tcPr>
            <w:tcW w:w="2073" w:type="dxa"/>
            <w:tcBorders>
              <w:top w:val="single" w:color="auto" w:sz="6" w:space="0"/>
              <w:left w:val="single" w:color="auto" w:sz="6" w:space="0"/>
              <w:bottom w:val="single" w:color="auto" w:sz="6" w:space="0"/>
              <w:right w:val="single" w:color="auto" w:sz="6" w:space="0"/>
            </w:tcBorders>
          </w:tcPr>
          <w:p w14:paraId="08405062">
            <w:pPr>
              <w:spacing w:after="0" w:line="240" w:lineRule="auto"/>
              <w:ind w:firstLine="0" w:firstLineChars="0"/>
              <w:rPr>
                <w:rFonts w:ascii="微软雅黑" w:hAnsi="微软雅黑"/>
                <w:color w:val="auto"/>
                <w:szCs w:val="21"/>
                <w:highlight w:val="none"/>
              </w:rPr>
            </w:pPr>
            <w:r>
              <w:rPr>
                <w:rFonts w:hint="eastAsia" w:ascii="微软雅黑" w:hAnsi="微软雅黑"/>
                <w:color w:val="auto"/>
                <w:szCs w:val="21"/>
                <w:highlight w:val="none"/>
              </w:rPr>
              <w:t>1.1%</w:t>
            </w:r>
          </w:p>
        </w:tc>
        <w:tc>
          <w:tcPr>
            <w:tcW w:w="2073" w:type="dxa"/>
            <w:tcBorders>
              <w:top w:val="single" w:color="auto" w:sz="6" w:space="0"/>
              <w:left w:val="single" w:color="auto" w:sz="6" w:space="0"/>
              <w:bottom w:val="single" w:color="auto" w:sz="6" w:space="0"/>
              <w:right w:val="double" w:color="auto" w:sz="4" w:space="0"/>
            </w:tcBorders>
            <w:vAlign w:val="center"/>
          </w:tcPr>
          <w:p w14:paraId="2658757A">
            <w:pPr>
              <w:spacing w:after="0" w:line="240" w:lineRule="auto"/>
              <w:ind w:firstLine="0" w:firstLineChars="0"/>
              <w:rPr>
                <w:rFonts w:ascii="微软雅黑" w:hAnsi="微软雅黑"/>
                <w:color w:val="auto"/>
                <w:szCs w:val="21"/>
                <w:highlight w:val="none"/>
              </w:rPr>
            </w:pPr>
            <w:bookmarkStart w:id="147" w:name="_Toc493511758"/>
            <w:r>
              <w:rPr>
                <w:rFonts w:hint="eastAsia" w:ascii="微软雅黑" w:hAnsi="微软雅黑"/>
                <w:color w:val="auto"/>
                <w:szCs w:val="21"/>
                <w:highlight w:val="none"/>
              </w:rPr>
              <w:t>0.8％</w:t>
            </w:r>
            <w:bookmarkEnd w:id="147"/>
          </w:p>
        </w:tc>
      </w:tr>
      <w:tr w14:paraId="2A218B8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65" w:hRule="atLeast"/>
          <w:jc w:val="center"/>
        </w:trPr>
        <w:tc>
          <w:tcPr>
            <w:tcW w:w="2073" w:type="dxa"/>
            <w:tcBorders>
              <w:top w:val="single" w:color="auto" w:sz="6" w:space="0"/>
              <w:left w:val="double" w:color="auto" w:sz="4" w:space="0"/>
              <w:bottom w:val="single" w:color="auto" w:sz="6" w:space="0"/>
              <w:right w:val="single" w:color="auto" w:sz="6" w:space="0"/>
            </w:tcBorders>
          </w:tcPr>
          <w:p w14:paraId="46F5E814">
            <w:pPr>
              <w:spacing w:after="0" w:line="240" w:lineRule="auto"/>
              <w:ind w:firstLine="0" w:firstLineChars="0"/>
              <w:rPr>
                <w:rFonts w:ascii="微软雅黑" w:hAnsi="微软雅黑"/>
                <w:color w:val="auto"/>
                <w:szCs w:val="21"/>
                <w:highlight w:val="none"/>
              </w:rPr>
            </w:pPr>
            <w:bookmarkStart w:id="148" w:name="_Toc493511759"/>
            <w:r>
              <w:rPr>
                <w:rFonts w:hint="eastAsia" w:ascii="微软雅黑" w:hAnsi="微软雅黑"/>
                <w:color w:val="auto"/>
                <w:szCs w:val="21"/>
                <w:highlight w:val="none"/>
              </w:rPr>
              <w:t>500-1000</w:t>
            </w:r>
            <w:bookmarkEnd w:id="148"/>
          </w:p>
        </w:tc>
        <w:tc>
          <w:tcPr>
            <w:tcW w:w="2073" w:type="dxa"/>
            <w:tcBorders>
              <w:top w:val="single" w:color="auto" w:sz="6" w:space="0"/>
              <w:left w:val="single" w:color="auto" w:sz="6" w:space="0"/>
              <w:bottom w:val="single" w:color="auto" w:sz="6" w:space="0"/>
              <w:right w:val="single" w:color="auto" w:sz="6" w:space="0"/>
            </w:tcBorders>
          </w:tcPr>
          <w:p w14:paraId="62D5217A">
            <w:pPr>
              <w:spacing w:after="0" w:line="240" w:lineRule="auto"/>
              <w:ind w:firstLine="0" w:firstLineChars="0"/>
              <w:rPr>
                <w:rFonts w:ascii="微软雅黑" w:hAnsi="微软雅黑"/>
                <w:color w:val="auto"/>
                <w:szCs w:val="21"/>
                <w:highlight w:val="none"/>
              </w:rPr>
            </w:pPr>
            <w:r>
              <w:rPr>
                <w:rFonts w:hint="eastAsia" w:ascii="微软雅黑" w:hAnsi="微软雅黑"/>
                <w:color w:val="auto"/>
                <w:szCs w:val="21"/>
                <w:highlight w:val="none"/>
              </w:rPr>
              <w:t>0.8%</w:t>
            </w:r>
          </w:p>
        </w:tc>
        <w:tc>
          <w:tcPr>
            <w:tcW w:w="2073" w:type="dxa"/>
            <w:tcBorders>
              <w:top w:val="single" w:color="auto" w:sz="6" w:space="0"/>
              <w:left w:val="single" w:color="auto" w:sz="6" w:space="0"/>
              <w:bottom w:val="single" w:color="auto" w:sz="6" w:space="0"/>
              <w:right w:val="double" w:color="auto" w:sz="4" w:space="0"/>
            </w:tcBorders>
            <w:vAlign w:val="center"/>
          </w:tcPr>
          <w:p w14:paraId="257239D6">
            <w:pPr>
              <w:spacing w:after="0" w:line="240" w:lineRule="auto"/>
              <w:ind w:firstLine="0" w:firstLineChars="0"/>
              <w:rPr>
                <w:rFonts w:ascii="微软雅黑" w:hAnsi="微软雅黑"/>
                <w:color w:val="auto"/>
                <w:szCs w:val="21"/>
                <w:highlight w:val="none"/>
              </w:rPr>
            </w:pPr>
            <w:bookmarkStart w:id="149" w:name="_Toc493511760"/>
            <w:r>
              <w:rPr>
                <w:rFonts w:hint="eastAsia" w:ascii="微软雅黑" w:hAnsi="微软雅黑"/>
                <w:color w:val="auto"/>
                <w:szCs w:val="21"/>
                <w:highlight w:val="none"/>
              </w:rPr>
              <w:t>0.45％</w:t>
            </w:r>
            <w:bookmarkEnd w:id="149"/>
          </w:p>
        </w:tc>
      </w:tr>
    </w:tbl>
    <w:p w14:paraId="63F28A24">
      <w:pPr>
        <w:spacing w:line="500" w:lineRule="exact"/>
        <w:ind w:firstLine="420"/>
        <w:rPr>
          <w:rFonts w:ascii="微软雅黑" w:hAnsi="微软雅黑"/>
          <w:color w:val="auto"/>
          <w:szCs w:val="21"/>
          <w:highlight w:val="none"/>
        </w:rPr>
      </w:pPr>
      <w:bookmarkStart w:id="150" w:name="_Toc493511761"/>
      <w:r>
        <w:rPr>
          <w:rFonts w:hint="eastAsia" w:ascii="微软雅黑" w:hAnsi="微软雅黑"/>
          <w:color w:val="auto"/>
          <w:szCs w:val="21"/>
          <w:highlight w:val="none"/>
        </w:rPr>
        <w:t>例如：某项目服务类招标代理业务中标金额为900万元，计算中标服务费收费额如下：</w:t>
      </w:r>
      <w:bookmarkEnd w:id="150"/>
    </w:p>
    <w:p w14:paraId="6AAA6795">
      <w:pPr>
        <w:spacing w:line="500" w:lineRule="exact"/>
        <w:ind w:firstLine="420"/>
        <w:rPr>
          <w:rFonts w:ascii="微软雅黑" w:hAnsi="微软雅黑"/>
          <w:color w:val="auto"/>
          <w:szCs w:val="21"/>
          <w:highlight w:val="none"/>
        </w:rPr>
      </w:pPr>
      <w:bookmarkStart w:id="151" w:name="_Toc493511762"/>
      <w:r>
        <w:rPr>
          <w:rFonts w:hint="eastAsia" w:ascii="微软雅黑" w:hAnsi="微软雅黑"/>
          <w:color w:val="auto"/>
          <w:szCs w:val="21"/>
          <w:highlight w:val="none"/>
        </w:rPr>
        <w:t>100万元 × 1.5% = 1.5万元</w:t>
      </w:r>
      <w:bookmarkEnd w:id="151"/>
    </w:p>
    <w:p w14:paraId="2654BD89">
      <w:pPr>
        <w:spacing w:line="500" w:lineRule="exact"/>
        <w:ind w:firstLine="420"/>
        <w:rPr>
          <w:rFonts w:ascii="微软雅黑" w:hAnsi="微软雅黑"/>
          <w:color w:val="auto"/>
          <w:szCs w:val="21"/>
          <w:highlight w:val="none"/>
        </w:rPr>
      </w:pPr>
      <w:bookmarkStart w:id="152" w:name="_Toc493511763"/>
      <w:r>
        <w:rPr>
          <w:rFonts w:hint="eastAsia" w:ascii="微软雅黑" w:hAnsi="微软雅黑"/>
          <w:color w:val="auto"/>
          <w:szCs w:val="21"/>
          <w:highlight w:val="none"/>
        </w:rPr>
        <w:t>（500-100）万元 × 0.8% = 3.2万元</w:t>
      </w:r>
      <w:bookmarkEnd w:id="152"/>
    </w:p>
    <w:p w14:paraId="1BF7F4A8">
      <w:pPr>
        <w:spacing w:line="500" w:lineRule="exact"/>
        <w:ind w:firstLine="420"/>
        <w:rPr>
          <w:rFonts w:ascii="微软雅黑" w:hAnsi="微软雅黑"/>
          <w:color w:val="auto"/>
          <w:szCs w:val="21"/>
          <w:highlight w:val="none"/>
        </w:rPr>
      </w:pPr>
      <w:bookmarkStart w:id="153" w:name="_Toc493511764"/>
      <w:r>
        <w:rPr>
          <w:rFonts w:hint="eastAsia" w:ascii="微软雅黑" w:hAnsi="微软雅黑"/>
          <w:color w:val="auto"/>
          <w:szCs w:val="21"/>
          <w:highlight w:val="none"/>
        </w:rPr>
        <w:t>（900-500）万元×0.45% = 1.8万元</w:t>
      </w:r>
      <w:bookmarkEnd w:id="153"/>
    </w:p>
    <w:p w14:paraId="12719A3D">
      <w:pPr>
        <w:spacing w:line="500" w:lineRule="exact"/>
        <w:ind w:firstLine="420"/>
        <w:rPr>
          <w:rFonts w:ascii="微软雅黑" w:hAnsi="微软雅黑"/>
          <w:color w:val="auto"/>
          <w:szCs w:val="21"/>
          <w:highlight w:val="none"/>
        </w:rPr>
      </w:pPr>
      <w:bookmarkStart w:id="154" w:name="_Toc493511765"/>
      <w:r>
        <w:rPr>
          <w:rFonts w:hint="eastAsia" w:ascii="微软雅黑" w:hAnsi="微软雅黑"/>
          <w:color w:val="auto"/>
          <w:szCs w:val="21"/>
          <w:highlight w:val="none"/>
        </w:rPr>
        <w:t>计收费 = 1.5万元 + 3.2万元+1.8万元 = 6.5万元</w:t>
      </w:r>
      <w:bookmarkEnd w:id="154"/>
    </w:p>
    <w:p w14:paraId="2B36DB65">
      <w:pPr>
        <w:pStyle w:val="28"/>
        <w:keepNext w:val="0"/>
        <w:keepLines w:val="0"/>
        <w:pageBreakBefore w:val="0"/>
        <w:widowControl w:val="0"/>
        <w:numPr>
          <w:ilvl w:val="0"/>
          <w:numId w:val="41"/>
        </w:numPr>
        <w:kinsoku/>
        <w:wordWrap/>
        <w:overflowPunct/>
        <w:topLinePunct w:val="0"/>
        <w:autoSpaceDE/>
        <w:autoSpaceDN/>
        <w:bidi w:val="0"/>
        <w:adjustRightInd/>
        <w:snapToGrid w:val="0"/>
        <w:spacing w:before="120" w:after="120"/>
        <w:ind w:left="0" w:leftChars="0" w:firstLine="420" w:firstLineChars="200"/>
        <w:textAlignment w:val="auto"/>
        <w:rPr>
          <w:rFonts w:hint="eastAsia" w:ascii="微软雅黑" w:hAnsi="微软雅黑" w:cs="Times New Roman"/>
          <w:color w:val="auto"/>
          <w:szCs w:val="21"/>
          <w:highlight w:val="none"/>
          <w:lang w:eastAsia="zh-CN"/>
        </w:rPr>
      </w:pPr>
      <w:r>
        <w:rPr>
          <w:rFonts w:hint="eastAsia" w:ascii="微软雅黑" w:hAnsi="微软雅黑" w:cs="Times New Roman"/>
          <w:color w:val="auto"/>
          <w:szCs w:val="21"/>
          <w:highlight w:val="none"/>
          <w:lang w:eastAsia="zh-CN"/>
        </w:rPr>
        <w:t>本项目以货物类招标收费标准的55%收取中标服务费（单个项目保底3500元），由各标项中标单位按比例分摊。</w:t>
      </w:r>
    </w:p>
    <w:p w14:paraId="728B853C">
      <w:pPr>
        <w:pStyle w:val="28"/>
        <w:keepNext w:val="0"/>
        <w:keepLines w:val="0"/>
        <w:pageBreakBefore w:val="0"/>
        <w:widowControl w:val="0"/>
        <w:numPr>
          <w:ilvl w:val="0"/>
          <w:numId w:val="41"/>
        </w:numPr>
        <w:kinsoku/>
        <w:wordWrap/>
        <w:overflowPunct/>
        <w:topLinePunct w:val="0"/>
        <w:autoSpaceDE/>
        <w:autoSpaceDN/>
        <w:bidi w:val="0"/>
        <w:adjustRightInd/>
        <w:snapToGrid w:val="0"/>
        <w:spacing w:before="120" w:after="120"/>
        <w:ind w:left="0" w:leftChars="0" w:firstLine="420" w:firstLineChars="200"/>
        <w:textAlignment w:val="auto"/>
        <w:rPr>
          <w:rFonts w:hint="eastAsia" w:ascii="微软雅黑" w:hAnsi="微软雅黑" w:cs="Times New Roman"/>
          <w:color w:val="auto"/>
          <w:szCs w:val="21"/>
          <w:highlight w:val="none"/>
          <w:lang w:eastAsia="zh-CN"/>
        </w:rPr>
      </w:pPr>
      <w:bookmarkStart w:id="155" w:name="_Toc493511767"/>
      <w:r>
        <w:rPr>
          <w:rFonts w:hint="eastAsia" w:ascii="微软雅黑" w:hAnsi="微软雅黑" w:cs="Times New Roman"/>
          <w:color w:val="auto"/>
          <w:szCs w:val="21"/>
          <w:highlight w:val="none"/>
          <w:lang w:eastAsia="zh-CN"/>
        </w:rPr>
        <w:t>服务费的货币为人民币。</w:t>
      </w:r>
      <w:bookmarkEnd w:id="155"/>
    </w:p>
    <w:p w14:paraId="6D833CF0">
      <w:pPr>
        <w:pStyle w:val="28"/>
        <w:keepNext w:val="0"/>
        <w:keepLines w:val="0"/>
        <w:pageBreakBefore w:val="0"/>
        <w:widowControl w:val="0"/>
        <w:numPr>
          <w:ilvl w:val="0"/>
          <w:numId w:val="41"/>
        </w:numPr>
        <w:kinsoku/>
        <w:wordWrap/>
        <w:overflowPunct/>
        <w:topLinePunct w:val="0"/>
        <w:autoSpaceDE/>
        <w:autoSpaceDN/>
        <w:bidi w:val="0"/>
        <w:adjustRightInd/>
        <w:snapToGrid w:val="0"/>
        <w:spacing w:before="120" w:after="120"/>
        <w:ind w:left="0" w:leftChars="0" w:firstLine="420" w:firstLineChars="200"/>
        <w:textAlignment w:val="auto"/>
        <w:rPr>
          <w:rFonts w:hint="eastAsia" w:ascii="微软雅黑" w:hAnsi="微软雅黑" w:cs="Times New Roman"/>
          <w:color w:val="auto"/>
          <w:szCs w:val="21"/>
          <w:highlight w:val="none"/>
          <w:lang w:eastAsia="zh-CN"/>
        </w:rPr>
      </w:pPr>
      <w:bookmarkStart w:id="156" w:name="_Toc493511768"/>
      <w:r>
        <w:rPr>
          <w:rFonts w:hint="eastAsia" w:ascii="微软雅黑" w:hAnsi="微软雅黑" w:cs="Times New Roman"/>
          <w:color w:val="auto"/>
          <w:szCs w:val="21"/>
          <w:highlight w:val="none"/>
          <w:lang w:eastAsia="zh-CN"/>
        </w:rPr>
        <w:t>服务费支付方式：一次性以银行划账、电汇、汇票或支票的形式支付。</w:t>
      </w:r>
      <w:bookmarkEnd w:id="156"/>
    </w:p>
    <w:p w14:paraId="5EC5C3FD">
      <w:pPr>
        <w:pStyle w:val="28"/>
        <w:keepNext w:val="0"/>
        <w:keepLines w:val="0"/>
        <w:pageBreakBefore w:val="0"/>
        <w:widowControl w:val="0"/>
        <w:numPr>
          <w:ilvl w:val="0"/>
          <w:numId w:val="41"/>
        </w:numPr>
        <w:kinsoku/>
        <w:wordWrap/>
        <w:overflowPunct/>
        <w:topLinePunct w:val="0"/>
        <w:autoSpaceDE/>
        <w:autoSpaceDN/>
        <w:bidi w:val="0"/>
        <w:adjustRightInd/>
        <w:snapToGrid w:val="0"/>
        <w:spacing w:before="120" w:after="120"/>
        <w:ind w:left="0" w:leftChars="0" w:firstLine="420" w:firstLineChars="200"/>
        <w:textAlignment w:val="auto"/>
        <w:rPr>
          <w:rFonts w:hint="eastAsia" w:ascii="微软雅黑" w:hAnsi="微软雅黑" w:cs="Times New Roman"/>
          <w:color w:val="auto"/>
          <w:szCs w:val="21"/>
          <w:highlight w:val="none"/>
          <w:lang w:eastAsia="zh-CN"/>
        </w:rPr>
      </w:pPr>
      <w:bookmarkStart w:id="157" w:name="_Toc493511769"/>
      <w:r>
        <w:rPr>
          <w:rFonts w:hint="eastAsia" w:ascii="微软雅黑" w:hAnsi="微软雅黑" w:cs="Times New Roman"/>
          <w:color w:val="auto"/>
          <w:szCs w:val="21"/>
          <w:highlight w:val="none"/>
          <w:lang w:eastAsia="zh-CN"/>
        </w:rPr>
        <w:t>服务费以银行划账方式按下列要求提交：</w:t>
      </w:r>
      <w:bookmarkEnd w:id="157"/>
    </w:p>
    <w:p w14:paraId="63FCA40A">
      <w:pPr>
        <w:spacing w:line="500" w:lineRule="exact"/>
        <w:ind w:firstLine="420"/>
        <w:rPr>
          <w:rFonts w:ascii="微软雅黑" w:hAnsi="微软雅黑"/>
          <w:color w:val="auto"/>
          <w:szCs w:val="21"/>
          <w:highlight w:val="none"/>
        </w:rPr>
      </w:pPr>
      <w:bookmarkStart w:id="158" w:name="_Toc493511770"/>
      <w:r>
        <w:rPr>
          <w:rFonts w:hint="eastAsia" w:ascii="微软雅黑" w:hAnsi="微软雅黑"/>
          <w:color w:val="auto"/>
          <w:szCs w:val="21"/>
          <w:highlight w:val="none"/>
        </w:rPr>
        <w:t>收款人：嘉兴市千秋工程咨询有限公司</w:t>
      </w:r>
      <w:bookmarkEnd w:id="158"/>
    </w:p>
    <w:p w14:paraId="6E2DF962">
      <w:pPr>
        <w:spacing w:line="500" w:lineRule="exact"/>
        <w:ind w:firstLine="420"/>
        <w:rPr>
          <w:rFonts w:ascii="微软雅黑" w:hAnsi="微软雅黑"/>
          <w:color w:val="auto"/>
          <w:szCs w:val="21"/>
          <w:highlight w:val="none"/>
        </w:rPr>
      </w:pPr>
      <w:bookmarkStart w:id="159" w:name="_Toc493511771"/>
      <w:r>
        <w:rPr>
          <w:rFonts w:hint="eastAsia" w:ascii="微软雅黑" w:hAnsi="微软雅黑"/>
          <w:color w:val="auto"/>
          <w:szCs w:val="21"/>
          <w:highlight w:val="none"/>
        </w:rPr>
        <w:t>户名：嘉兴市千秋工程咨询有限公司</w:t>
      </w:r>
      <w:bookmarkEnd w:id="159"/>
    </w:p>
    <w:p w14:paraId="74C51810">
      <w:pPr>
        <w:spacing w:line="500" w:lineRule="exact"/>
        <w:ind w:firstLine="420"/>
        <w:rPr>
          <w:rFonts w:ascii="微软雅黑" w:hAnsi="微软雅黑"/>
          <w:color w:val="auto"/>
          <w:szCs w:val="21"/>
          <w:highlight w:val="none"/>
        </w:rPr>
      </w:pPr>
      <w:bookmarkStart w:id="160" w:name="_Toc493511772"/>
      <w:r>
        <w:rPr>
          <w:rFonts w:hint="eastAsia" w:ascii="微软雅黑" w:hAnsi="微软雅黑"/>
          <w:color w:val="auto"/>
          <w:szCs w:val="21"/>
          <w:highlight w:val="none"/>
        </w:rPr>
        <w:t>开户银行：交通银行嘉兴分行</w:t>
      </w:r>
      <w:bookmarkEnd w:id="160"/>
    </w:p>
    <w:p w14:paraId="48391A91">
      <w:pPr>
        <w:spacing w:line="500" w:lineRule="exact"/>
        <w:ind w:firstLine="420"/>
        <w:rPr>
          <w:rFonts w:ascii="微软雅黑" w:hAnsi="微软雅黑"/>
          <w:color w:val="auto"/>
          <w:szCs w:val="21"/>
          <w:highlight w:val="none"/>
        </w:rPr>
      </w:pPr>
      <w:bookmarkStart w:id="161" w:name="_Toc493511773"/>
      <w:r>
        <w:rPr>
          <w:rFonts w:hint="eastAsia" w:ascii="微软雅黑" w:hAnsi="微软雅黑"/>
          <w:color w:val="auto"/>
          <w:szCs w:val="21"/>
          <w:highlight w:val="none"/>
        </w:rPr>
        <w:t>账号：334601000018170160050</w:t>
      </w:r>
      <w:bookmarkEnd w:id="161"/>
    </w:p>
    <w:p w14:paraId="21C184ED">
      <w:pPr>
        <w:pStyle w:val="65"/>
        <w:numPr>
          <w:ilvl w:val="0"/>
          <w:numId w:val="42"/>
        </w:numPr>
        <w:spacing w:line="500" w:lineRule="exact"/>
        <w:ind w:firstLineChars="0"/>
        <w:rPr>
          <w:rFonts w:ascii="微软雅黑" w:hAnsi="微软雅黑"/>
          <w:color w:val="auto"/>
          <w:szCs w:val="21"/>
          <w:highlight w:val="none"/>
        </w:rPr>
        <w:sectPr>
          <w:pgSz w:w="11907" w:h="16840"/>
          <w:pgMar w:top="1474" w:right="1797" w:bottom="1247" w:left="1797" w:header="851" w:footer="851" w:gutter="0"/>
          <w:cols w:space="720" w:num="1"/>
          <w:docGrid w:linePitch="312" w:charSpace="0"/>
        </w:sectPr>
      </w:pPr>
      <w:bookmarkStart w:id="162" w:name="_Toc493511775"/>
      <w:r>
        <w:rPr>
          <w:rFonts w:hint="eastAsia" w:ascii="微软雅黑" w:hAnsi="微软雅黑"/>
          <w:color w:val="auto"/>
          <w:szCs w:val="21"/>
          <w:highlight w:val="none"/>
        </w:rPr>
        <w:t>服务费不在投标报价中单列。</w:t>
      </w:r>
      <w:bookmarkEnd w:id="162"/>
    </w:p>
    <w:p w14:paraId="5E2DEAEA">
      <w:pPr>
        <w:pStyle w:val="2"/>
        <w:numPr>
          <w:ilvl w:val="0"/>
          <w:numId w:val="3"/>
        </w:numPr>
        <w:rPr>
          <w:rStyle w:val="66"/>
          <w:b/>
          <w:bCs/>
          <w:color w:val="auto"/>
          <w:highlight w:val="none"/>
        </w:rPr>
      </w:pPr>
      <w:bookmarkStart w:id="163" w:name="_Toc27645"/>
      <w:r>
        <w:rPr>
          <w:rStyle w:val="66"/>
          <w:rFonts w:hint="eastAsia"/>
          <w:b/>
          <w:bCs/>
          <w:color w:val="auto"/>
          <w:highlight w:val="none"/>
        </w:rPr>
        <w:t xml:space="preserve">  </w:t>
      </w:r>
      <w:bookmarkStart w:id="164" w:name="_Toc29786"/>
      <w:r>
        <w:rPr>
          <w:rStyle w:val="66"/>
          <w:rFonts w:hint="eastAsia"/>
          <w:b/>
          <w:bCs/>
          <w:color w:val="auto"/>
          <w:highlight w:val="none"/>
        </w:rPr>
        <w:t>评标办法及评分标准</w:t>
      </w:r>
      <w:bookmarkEnd w:id="163"/>
      <w:bookmarkEnd w:id="164"/>
    </w:p>
    <w:p w14:paraId="2299F23E">
      <w:pPr>
        <w:spacing w:before="120" w:beforeLines="50" w:after="120" w:afterLines="50"/>
        <w:ind w:firstLine="420"/>
        <w:rPr>
          <w:rFonts w:ascii="宋体" w:hAnsi="宋体"/>
          <w:color w:val="auto"/>
          <w:highlight w:val="none"/>
        </w:rPr>
      </w:pPr>
      <w:r>
        <w:rPr>
          <w:rFonts w:hint="eastAsia" w:ascii="宋体" w:hAnsi="宋体"/>
          <w:color w:val="auto"/>
          <w:highlight w:val="none"/>
        </w:rPr>
        <w:t>为公正、公平、科学地选择中标供应商，根据《中华人民共和国政府采购法》等有关法律法规的规定，并结合本项目的实际，制定本办法。</w:t>
      </w:r>
    </w:p>
    <w:p w14:paraId="06EF0932">
      <w:pPr>
        <w:spacing w:line="600" w:lineRule="exact"/>
        <w:ind w:firstLine="420"/>
        <w:rPr>
          <w:rFonts w:ascii="微软雅黑" w:hAnsi="微软雅黑"/>
          <w:color w:val="auto"/>
          <w:szCs w:val="21"/>
          <w:highlight w:val="none"/>
        </w:rPr>
      </w:pPr>
      <w:r>
        <w:rPr>
          <w:rFonts w:hint="eastAsia" w:ascii="宋体" w:hAnsi="宋体"/>
          <w:color w:val="auto"/>
          <w:highlight w:val="none"/>
        </w:rPr>
        <w:t>本办法适用于本项目的评标</w:t>
      </w:r>
      <w:r>
        <w:rPr>
          <w:rFonts w:hint="eastAsia" w:ascii="微软雅黑" w:hAnsi="微软雅黑"/>
          <w:color w:val="auto"/>
          <w:szCs w:val="21"/>
          <w:highlight w:val="none"/>
        </w:rPr>
        <w:t>。</w:t>
      </w:r>
    </w:p>
    <w:p w14:paraId="1B408062">
      <w:pPr>
        <w:pStyle w:val="3"/>
        <w:ind w:firstLine="420"/>
        <w:rPr>
          <w:rFonts w:ascii="微软雅黑" w:hAnsi="微软雅黑"/>
          <w:b w:val="0"/>
          <w:color w:val="auto"/>
          <w:szCs w:val="21"/>
          <w:highlight w:val="none"/>
        </w:rPr>
      </w:pPr>
      <w:bookmarkStart w:id="165" w:name="_Toc597"/>
      <w:r>
        <w:rPr>
          <w:rFonts w:hint="eastAsia" w:ascii="微软雅黑" w:hAnsi="微软雅黑"/>
          <w:color w:val="auto"/>
          <w:szCs w:val="21"/>
          <w:highlight w:val="none"/>
        </w:rPr>
        <w:t>一、总则</w:t>
      </w:r>
      <w:bookmarkEnd w:id="165"/>
    </w:p>
    <w:p w14:paraId="1489F271">
      <w:pPr>
        <w:spacing w:before="120" w:beforeLines="50" w:after="120" w:afterLines="50"/>
        <w:ind w:firstLine="420"/>
        <w:rPr>
          <w:rFonts w:ascii="宋体" w:hAnsi="宋体"/>
          <w:color w:val="auto"/>
          <w:highlight w:val="none"/>
        </w:rPr>
      </w:pPr>
      <w:r>
        <w:rPr>
          <w:rFonts w:hint="eastAsia" w:ascii="宋体" w:hAnsi="宋体"/>
          <w:color w:val="auto"/>
          <w:highlight w:val="none"/>
        </w:rPr>
        <w:t>本次评标采用综合评分法，总分为100分。合格供应商的评标得分为各项目汇总得分，中标候选资格按评标得分由高到低顺序排列，得分相同的，按投标报价由低到高顺序排列；得分且投标报价相同的，按商务技术得分由高到低顺序排列，仍不能分出前后的，以投标解密先后顺序确定中标候选供应商。中标候选供应商数量：3家，采购人应从评审报告确定的中标候选供应商名单中按顺序确定中标供应商，中标供应商拒绝与采购人签订合同的，确定下一候选供应商为中标供应商，也可以重新开展政府采购活动。评分过程中采用四舍五入法，并保留小数2位。</w:t>
      </w:r>
    </w:p>
    <w:p w14:paraId="0B268D6E">
      <w:pPr>
        <w:spacing w:before="120" w:beforeLines="50" w:after="120" w:afterLines="50"/>
        <w:ind w:firstLine="420"/>
        <w:rPr>
          <w:rFonts w:ascii="宋体" w:hAnsi="宋体"/>
          <w:color w:val="auto"/>
          <w:highlight w:val="none"/>
        </w:rPr>
      </w:pPr>
      <w:r>
        <w:rPr>
          <w:rFonts w:hint="eastAsia" w:ascii="宋体" w:hAnsi="宋体"/>
          <w:color w:val="auto"/>
          <w:highlight w:val="none"/>
        </w:rPr>
        <w:t>供应商评标综合得分=价格分+技术分+资信及其他分</w:t>
      </w:r>
    </w:p>
    <w:p w14:paraId="610C6729">
      <w:pPr>
        <w:pStyle w:val="3"/>
        <w:ind w:firstLine="420"/>
        <w:rPr>
          <w:rFonts w:ascii="微软雅黑" w:hAnsi="微软雅黑"/>
          <w:b w:val="0"/>
          <w:color w:val="auto"/>
          <w:szCs w:val="21"/>
          <w:highlight w:val="none"/>
        </w:rPr>
      </w:pPr>
      <w:bookmarkStart w:id="166" w:name="_Toc23206"/>
      <w:r>
        <w:rPr>
          <w:rFonts w:hint="eastAsia" w:ascii="微软雅黑" w:hAnsi="微软雅黑"/>
          <w:color w:val="auto"/>
          <w:szCs w:val="21"/>
          <w:highlight w:val="none"/>
        </w:rPr>
        <w:t>二、评标内容及标准</w:t>
      </w:r>
      <w:bookmarkEnd w:id="166"/>
    </w:p>
    <w:p w14:paraId="33DE848F">
      <w:pPr>
        <w:pStyle w:val="20"/>
        <w:spacing w:before="120" w:beforeLines="50" w:after="120" w:afterLines="50" w:line="360" w:lineRule="auto"/>
        <w:ind w:firstLine="404"/>
        <w:rPr>
          <w:rFonts w:ascii="微软雅黑" w:hAnsi="微软雅黑"/>
          <w:b/>
          <w:bCs/>
          <w:color w:val="auto"/>
          <w:sz w:val="21"/>
          <w:szCs w:val="21"/>
          <w:highlight w:val="none"/>
        </w:rPr>
      </w:pPr>
      <w:r>
        <w:rPr>
          <w:rFonts w:hint="eastAsia" w:ascii="微软雅黑" w:hAnsi="微软雅黑"/>
          <w:b/>
          <w:color w:val="auto"/>
          <w:sz w:val="21"/>
          <w:szCs w:val="21"/>
          <w:highlight w:val="none"/>
        </w:rPr>
        <w:t>（一）</w:t>
      </w:r>
      <w:r>
        <w:rPr>
          <w:rFonts w:hint="eastAsia" w:ascii="微软雅黑" w:hAnsi="微软雅黑"/>
          <w:b/>
          <w:bCs/>
          <w:color w:val="auto"/>
          <w:sz w:val="21"/>
          <w:szCs w:val="21"/>
          <w:highlight w:val="none"/>
        </w:rPr>
        <w:t>价格分（30分）</w:t>
      </w:r>
    </w:p>
    <w:p w14:paraId="7A9034AB">
      <w:pPr>
        <w:pStyle w:val="20"/>
        <w:spacing w:before="120" w:beforeLines="50" w:after="120" w:afterLines="50" w:line="360" w:lineRule="auto"/>
        <w:ind w:firstLine="404"/>
        <w:rPr>
          <w:rFonts w:ascii="微软雅黑" w:hAnsi="微软雅黑"/>
          <w:bCs/>
          <w:color w:val="auto"/>
          <w:sz w:val="21"/>
          <w:szCs w:val="21"/>
          <w:highlight w:val="none"/>
        </w:rPr>
      </w:pPr>
      <w:r>
        <w:rPr>
          <w:rFonts w:hint="eastAsia" w:ascii="微软雅黑" w:hAnsi="微软雅黑"/>
          <w:bCs/>
          <w:color w:val="auto"/>
          <w:sz w:val="21"/>
          <w:szCs w:val="21"/>
          <w:highlight w:val="none"/>
        </w:rPr>
        <w:t>1.价格分采用低价优先法计算，即满足招标文件要求且投标价格最低的投标报价为评标基准价，其他供应商的价格分按照下列公式计算：</w:t>
      </w:r>
    </w:p>
    <w:p w14:paraId="09417258">
      <w:pPr>
        <w:spacing w:before="120" w:beforeLines="50" w:after="120" w:afterLines="50"/>
        <w:ind w:firstLine="420"/>
        <w:rPr>
          <w:rFonts w:ascii="微软雅黑" w:hAnsi="微软雅黑"/>
          <w:color w:val="auto"/>
          <w:szCs w:val="21"/>
          <w:highlight w:val="none"/>
        </w:rPr>
      </w:pPr>
      <w:r>
        <w:rPr>
          <w:rFonts w:hint="eastAsia" w:ascii="微软雅黑" w:hAnsi="微软雅黑"/>
          <w:color w:val="auto"/>
          <w:szCs w:val="21"/>
          <w:highlight w:val="none"/>
        </w:rPr>
        <w:t>价格分=（评标基准价/投标报价）×30%×100</w:t>
      </w:r>
    </w:p>
    <w:p w14:paraId="2ECC54F0">
      <w:pPr>
        <w:pStyle w:val="20"/>
        <w:spacing w:before="120" w:beforeLines="50" w:after="120" w:afterLines="50" w:line="360" w:lineRule="auto"/>
        <w:ind w:firstLine="404"/>
        <w:rPr>
          <w:rFonts w:ascii="微软雅黑" w:hAnsi="微软雅黑"/>
          <w:bCs/>
          <w:color w:val="auto"/>
          <w:sz w:val="21"/>
          <w:szCs w:val="21"/>
          <w:highlight w:val="none"/>
        </w:rPr>
      </w:pPr>
      <w:r>
        <w:rPr>
          <w:rFonts w:hint="eastAsia" w:ascii="微软雅黑" w:hAnsi="微软雅黑"/>
          <w:bCs/>
          <w:color w:val="auto"/>
          <w:sz w:val="21"/>
          <w:szCs w:val="21"/>
          <w:highlight w:val="none"/>
        </w:rPr>
        <w:t>2.供应商的投标报价超过采购人设定的最高限价，将作为无效标。评标委员会认为供应商的报价明显低于其他通过符合性审查供应商的报价，有可能影响产品质量或者不能诚信履约的，应当要求其在评标现场合理的时间内提供书面说明，必要时提交相关证明材料;供应商不能证明其报价合理性的，评标委员会应当将其作为无效投标处理。</w:t>
      </w:r>
    </w:p>
    <w:p w14:paraId="6FE35327">
      <w:pPr>
        <w:numPr>
          <w:ilvl w:val="0"/>
          <w:numId w:val="43"/>
        </w:numPr>
        <w:tabs>
          <w:tab w:val="left" w:pos="3870"/>
          <w:tab w:val="left" w:pos="4085"/>
        </w:tabs>
        <w:snapToGrid w:val="0"/>
        <w:ind w:firstLine="420"/>
        <w:outlineLvl w:val="1"/>
        <w:rPr>
          <w:rFonts w:ascii="微软雅黑" w:hAnsi="微软雅黑" w:cs="微软雅黑"/>
          <w:b/>
          <w:bCs/>
          <w:color w:val="auto"/>
          <w:szCs w:val="21"/>
          <w:highlight w:val="none"/>
        </w:rPr>
      </w:pPr>
      <w:bookmarkStart w:id="167" w:name="_Toc5085"/>
      <w:r>
        <w:rPr>
          <w:rFonts w:hint="eastAsia" w:ascii="微软雅黑" w:hAnsi="微软雅黑" w:cs="微软雅黑"/>
          <w:b/>
          <w:color w:val="auto"/>
          <w:szCs w:val="21"/>
          <w:highlight w:val="none"/>
        </w:rPr>
        <w:t>技术、资信商务分</w:t>
      </w:r>
      <w:r>
        <w:rPr>
          <w:rFonts w:hint="eastAsia" w:ascii="微软雅黑" w:hAnsi="微软雅黑" w:cs="微软雅黑"/>
          <w:b/>
          <w:bCs/>
          <w:color w:val="auto"/>
          <w:szCs w:val="21"/>
          <w:highlight w:val="none"/>
        </w:rPr>
        <w:t>：</w:t>
      </w:r>
      <w:bookmarkEnd w:id="167"/>
    </w:p>
    <w:p w14:paraId="7EF9E272">
      <w:pPr>
        <w:pStyle w:val="65"/>
        <w:numPr>
          <w:ilvl w:val="0"/>
          <w:numId w:val="21"/>
        </w:numPr>
        <w:ind w:left="0" w:firstLine="420" w:firstLineChars="0"/>
        <w:outlineLvl w:val="2"/>
        <w:rPr>
          <w:rFonts w:ascii="微软雅黑" w:hAnsi="微软雅黑" w:cs="宋体"/>
          <w:b/>
          <w:bCs/>
          <w:color w:val="auto"/>
          <w:szCs w:val="21"/>
          <w:highlight w:val="none"/>
        </w:rPr>
      </w:pPr>
      <w:bookmarkStart w:id="168" w:name="_Toc13514"/>
      <w:r>
        <w:rPr>
          <w:rFonts w:hint="eastAsia" w:ascii="微软雅黑" w:hAnsi="微软雅黑" w:cs="宋体"/>
          <w:b/>
          <w:bCs/>
          <w:color w:val="auto"/>
          <w:szCs w:val="21"/>
          <w:highlight w:val="none"/>
        </w:rPr>
        <w:t>（标项一）</w:t>
      </w:r>
      <w:bookmarkEnd w:id="168"/>
    </w:p>
    <w:p w14:paraId="5371232D">
      <w:pPr>
        <w:ind w:firstLineChars="0"/>
        <w:outlineLvl w:val="2"/>
        <w:rPr>
          <w:rFonts w:ascii="微软雅黑" w:hAnsi="微软雅黑" w:cs="宋体"/>
          <w:b/>
          <w:bCs/>
          <w:color w:val="auto"/>
          <w:szCs w:val="21"/>
          <w:highlight w:val="none"/>
        </w:rPr>
      </w:pPr>
      <w:r>
        <w:rPr>
          <w:rFonts w:hint="eastAsia" w:ascii="微软雅黑" w:hAnsi="微软雅黑" w:cs="宋体"/>
          <w:b/>
          <w:bCs/>
          <w:color w:val="auto"/>
          <w:szCs w:val="21"/>
          <w:highlight w:val="none"/>
        </w:rPr>
        <w:t>技术分</w:t>
      </w:r>
    </w:p>
    <w:tbl>
      <w:tblPr>
        <w:tblStyle w:val="52"/>
        <w:tblW w:w="998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7"/>
        <w:gridCol w:w="1308"/>
        <w:gridCol w:w="6304"/>
        <w:gridCol w:w="787"/>
        <w:gridCol w:w="787"/>
      </w:tblGrid>
      <w:tr w14:paraId="6698B7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atLeast"/>
          <w:jc w:val="center"/>
        </w:trPr>
        <w:tc>
          <w:tcPr>
            <w:tcW w:w="797" w:type="dxa"/>
            <w:tcBorders>
              <w:top w:val="single" w:color="auto" w:sz="4" w:space="0"/>
              <w:left w:val="single" w:color="auto" w:sz="4" w:space="0"/>
              <w:bottom w:val="single" w:color="auto" w:sz="4" w:space="0"/>
              <w:right w:val="single" w:color="auto" w:sz="4" w:space="0"/>
            </w:tcBorders>
            <w:vAlign w:val="center"/>
          </w:tcPr>
          <w:p w14:paraId="365F679D">
            <w:pPr>
              <w:spacing w:after="0" w:line="240" w:lineRule="auto"/>
              <w:ind w:firstLine="0" w:firstLineChars="0"/>
              <w:jc w:val="center"/>
              <w:rPr>
                <w:rFonts w:ascii="微软雅黑" w:hAnsi="微软雅黑" w:cs="微软雅黑"/>
                <w:b/>
                <w:bCs/>
                <w:color w:val="auto"/>
                <w:szCs w:val="21"/>
                <w:highlight w:val="none"/>
              </w:rPr>
            </w:pPr>
            <w:r>
              <w:rPr>
                <w:rFonts w:hint="eastAsia" w:ascii="微软雅黑" w:hAnsi="微软雅黑" w:cs="微软雅黑"/>
                <w:b/>
                <w:bCs/>
                <w:color w:val="auto"/>
                <w:szCs w:val="21"/>
                <w:highlight w:val="none"/>
              </w:rPr>
              <w:t>序号</w:t>
            </w:r>
          </w:p>
        </w:tc>
        <w:tc>
          <w:tcPr>
            <w:tcW w:w="1308" w:type="dxa"/>
            <w:tcBorders>
              <w:top w:val="single" w:color="auto" w:sz="4" w:space="0"/>
              <w:left w:val="single" w:color="auto" w:sz="4" w:space="0"/>
              <w:bottom w:val="single" w:color="auto" w:sz="4" w:space="0"/>
              <w:right w:val="single" w:color="auto" w:sz="4" w:space="0"/>
            </w:tcBorders>
            <w:vAlign w:val="center"/>
          </w:tcPr>
          <w:p w14:paraId="0516CBF4">
            <w:pPr>
              <w:spacing w:after="0" w:line="240" w:lineRule="auto"/>
              <w:ind w:firstLine="0" w:firstLineChars="0"/>
              <w:jc w:val="center"/>
              <w:rPr>
                <w:rFonts w:ascii="微软雅黑" w:hAnsi="微软雅黑" w:cs="微软雅黑"/>
                <w:b/>
                <w:bCs/>
                <w:color w:val="auto"/>
                <w:szCs w:val="21"/>
                <w:highlight w:val="none"/>
              </w:rPr>
            </w:pPr>
            <w:r>
              <w:rPr>
                <w:rFonts w:hint="eastAsia" w:ascii="微软雅黑" w:hAnsi="微软雅黑" w:cs="微软雅黑"/>
                <w:b/>
                <w:bCs/>
                <w:color w:val="auto"/>
                <w:szCs w:val="21"/>
                <w:highlight w:val="none"/>
              </w:rPr>
              <w:t>评分分项</w:t>
            </w:r>
          </w:p>
        </w:tc>
        <w:tc>
          <w:tcPr>
            <w:tcW w:w="6304" w:type="dxa"/>
            <w:tcBorders>
              <w:top w:val="single" w:color="auto" w:sz="4" w:space="0"/>
              <w:left w:val="single" w:color="auto" w:sz="4" w:space="0"/>
              <w:bottom w:val="single" w:color="auto" w:sz="4" w:space="0"/>
              <w:right w:val="single" w:color="auto" w:sz="4" w:space="0"/>
            </w:tcBorders>
            <w:vAlign w:val="center"/>
          </w:tcPr>
          <w:p w14:paraId="569B01EB">
            <w:pPr>
              <w:spacing w:after="0" w:line="240" w:lineRule="auto"/>
              <w:ind w:firstLine="0" w:firstLineChars="0"/>
              <w:jc w:val="center"/>
              <w:rPr>
                <w:rFonts w:ascii="微软雅黑" w:hAnsi="微软雅黑" w:cs="微软雅黑"/>
                <w:b/>
                <w:bCs/>
                <w:color w:val="auto"/>
                <w:szCs w:val="21"/>
                <w:highlight w:val="none"/>
              </w:rPr>
            </w:pPr>
            <w:r>
              <w:rPr>
                <w:rFonts w:hint="eastAsia" w:ascii="微软雅黑" w:hAnsi="微软雅黑" w:cs="微软雅黑"/>
                <w:b/>
                <w:bCs/>
                <w:color w:val="auto"/>
                <w:szCs w:val="21"/>
                <w:highlight w:val="none"/>
              </w:rPr>
              <w:t>评标要点及说明</w:t>
            </w:r>
          </w:p>
        </w:tc>
        <w:tc>
          <w:tcPr>
            <w:tcW w:w="787" w:type="dxa"/>
            <w:tcBorders>
              <w:top w:val="single" w:color="auto" w:sz="4" w:space="0"/>
              <w:left w:val="single" w:color="auto" w:sz="4" w:space="0"/>
              <w:bottom w:val="single" w:color="auto" w:sz="4" w:space="0"/>
              <w:right w:val="single" w:color="auto" w:sz="4" w:space="0"/>
            </w:tcBorders>
            <w:vAlign w:val="center"/>
          </w:tcPr>
          <w:p w14:paraId="13A569A4">
            <w:pPr>
              <w:spacing w:after="0" w:line="240" w:lineRule="auto"/>
              <w:ind w:firstLine="0" w:firstLineChars="0"/>
              <w:jc w:val="center"/>
              <w:rPr>
                <w:rFonts w:ascii="微软雅黑" w:hAnsi="微软雅黑" w:cs="微软雅黑"/>
                <w:b/>
                <w:bCs/>
                <w:color w:val="auto"/>
                <w:szCs w:val="21"/>
                <w:highlight w:val="none"/>
              </w:rPr>
            </w:pPr>
            <w:r>
              <w:rPr>
                <w:rFonts w:hint="eastAsia" w:ascii="微软雅黑" w:hAnsi="微软雅黑" w:cs="微软雅黑"/>
                <w:b/>
                <w:bCs/>
                <w:color w:val="auto"/>
                <w:szCs w:val="21"/>
                <w:highlight w:val="none"/>
              </w:rPr>
              <w:t>最高分值</w:t>
            </w:r>
          </w:p>
        </w:tc>
        <w:tc>
          <w:tcPr>
            <w:tcW w:w="787" w:type="dxa"/>
            <w:tcBorders>
              <w:top w:val="single" w:color="auto" w:sz="4" w:space="0"/>
              <w:left w:val="single" w:color="auto" w:sz="4" w:space="0"/>
              <w:bottom w:val="single" w:color="auto" w:sz="4" w:space="0"/>
              <w:right w:val="single" w:color="auto" w:sz="4" w:space="0"/>
            </w:tcBorders>
            <w:vAlign w:val="center"/>
          </w:tcPr>
          <w:p w14:paraId="4BD2872D">
            <w:pPr>
              <w:spacing w:after="0" w:line="240" w:lineRule="auto"/>
              <w:ind w:firstLine="0" w:firstLineChars="0"/>
              <w:jc w:val="center"/>
              <w:rPr>
                <w:rFonts w:ascii="微软雅黑" w:hAnsi="微软雅黑" w:cs="微软雅黑"/>
                <w:b/>
                <w:bCs/>
                <w:color w:val="auto"/>
                <w:szCs w:val="21"/>
                <w:highlight w:val="none"/>
              </w:rPr>
            </w:pPr>
            <w:r>
              <w:rPr>
                <w:rFonts w:hint="eastAsia" w:ascii="微软雅黑" w:hAnsi="微软雅黑" w:cs="微软雅黑"/>
                <w:b/>
                <w:bCs/>
                <w:color w:val="auto"/>
                <w:szCs w:val="21"/>
                <w:highlight w:val="none"/>
              </w:rPr>
              <w:t>分值设置</w:t>
            </w:r>
          </w:p>
        </w:tc>
      </w:tr>
      <w:tr w14:paraId="5ECA5B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jc w:val="center"/>
        </w:trPr>
        <w:tc>
          <w:tcPr>
            <w:tcW w:w="797" w:type="dxa"/>
            <w:tcBorders>
              <w:top w:val="single" w:color="auto" w:sz="4" w:space="0"/>
              <w:left w:val="single" w:color="auto" w:sz="4" w:space="0"/>
              <w:right w:val="single" w:color="auto" w:sz="4" w:space="0"/>
            </w:tcBorders>
            <w:vAlign w:val="center"/>
          </w:tcPr>
          <w:p w14:paraId="0BD5764A">
            <w:pPr>
              <w:pStyle w:val="25"/>
              <w:spacing w:after="0" w:line="240" w:lineRule="auto"/>
              <w:ind w:left="0" w:leftChars="0" w:firstLine="0" w:firstLineChars="0"/>
              <w:jc w:val="center"/>
              <w:rPr>
                <w:rFonts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1</w:t>
            </w:r>
          </w:p>
        </w:tc>
        <w:tc>
          <w:tcPr>
            <w:tcW w:w="1308" w:type="dxa"/>
            <w:tcBorders>
              <w:top w:val="single" w:color="auto" w:sz="4" w:space="0"/>
              <w:left w:val="single" w:color="auto" w:sz="4" w:space="0"/>
              <w:bottom w:val="single" w:color="auto" w:sz="4" w:space="0"/>
              <w:right w:val="single" w:color="auto" w:sz="4" w:space="0"/>
            </w:tcBorders>
            <w:vAlign w:val="center"/>
          </w:tcPr>
          <w:p w14:paraId="1727B147">
            <w:pPr>
              <w:pStyle w:val="25"/>
              <w:spacing w:after="0" w:line="240" w:lineRule="auto"/>
              <w:ind w:left="0" w:leftChars="0" w:firstLine="0" w:firstLineChars="0"/>
              <w:jc w:val="center"/>
              <w:rPr>
                <w:rFonts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满足招标货物的性能及技术指标要求（核心产品）</w:t>
            </w:r>
          </w:p>
        </w:tc>
        <w:tc>
          <w:tcPr>
            <w:tcW w:w="6304" w:type="dxa"/>
            <w:tcBorders>
              <w:top w:val="single" w:color="auto" w:sz="4" w:space="0"/>
              <w:left w:val="single" w:color="auto" w:sz="4" w:space="0"/>
              <w:right w:val="single" w:color="auto" w:sz="4" w:space="0"/>
            </w:tcBorders>
            <w:vAlign w:val="center"/>
          </w:tcPr>
          <w:p w14:paraId="68C8B3B4">
            <w:pPr>
              <w:pStyle w:val="25"/>
              <w:spacing w:after="0" w:line="240" w:lineRule="auto"/>
              <w:ind w:left="0" w:leftChars="0" w:firstLine="0" w:firstLineChars="0"/>
              <w:rPr>
                <w:rFonts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标★内容为主要性能指标要求条款，低于技术要求（负偏离）的每项扣2分；其他性能指标，低于技术要求（负偏离）的每项扣1分。本项最高15分，扣完为止。</w:t>
            </w:r>
          </w:p>
          <w:p w14:paraId="3F8BE35C">
            <w:pPr>
              <w:pStyle w:val="25"/>
              <w:spacing w:after="0" w:line="240" w:lineRule="auto"/>
              <w:ind w:left="630" w:leftChars="0" w:hanging="630" w:hangingChars="300"/>
              <w:rPr>
                <w:rFonts w:hint="default"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rPr>
              <w:t>注 ：标▲内容为实质性指标要求条款，如出现负偏离作</w:t>
            </w:r>
            <w:r>
              <w:rPr>
                <w:rFonts w:hint="eastAsia" w:ascii="微软雅黑" w:hAnsi="微软雅黑" w:eastAsia="微软雅黑" w:cs="微软雅黑"/>
                <w:color w:val="auto"/>
                <w:sz w:val="21"/>
                <w:szCs w:val="21"/>
                <w:highlight w:val="none"/>
                <w:lang w:val="en-US" w:eastAsia="zh-CN"/>
              </w:rPr>
              <w:t>无效</w:t>
            </w:r>
            <w:r>
              <w:rPr>
                <w:rFonts w:hint="eastAsia" w:ascii="微软雅黑" w:hAnsi="微软雅黑" w:eastAsia="微软雅黑" w:cs="微软雅黑"/>
                <w:color w:val="auto"/>
                <w:sz w:val="21"/>
                <w:szCs w:val="21"/>
                <w:highlight w:val="none"/>
              </w:rPr>
              <w:t>标处理</w:t>
            </w:r>
            <w:r>
              <w:rPr>
                <w:rFonts w:hint="eastAsia" w:ascii="微软雅黑" w:hAnsi="微软雅黑" w:eastAsia="微软雅黑" w:cs="微软雅黑"/>
                <w:color w:val="auto"/>
                <w:sz w:val="21"/>
                <w:szCs w:val="21"/>
                <w:highlight w:val="none"/>
                <w:lang w:eastAsia="zh-CN"/>
              </w:rPr>
              <w:t>；</w:t>
            </w:r>
            <w:r>
              <w:rPr>
                <w:rFonts w:hint="eastAsia" w:ascii="微软雅黑" w:hAnsi="微软雅黑" w:eastAsia="微软雅黑" w:cs="微软雅黑"/>
                <w:color w:val="auto"/>
                <w:sz w:val="21"/>
                <w:szCs w:val="21"/>
                <w:highlight w:val="none"/>
                <w:lang w:val="en-US" w:eastAsia="zh-CN"/>
              </w:rPr>
              <w:t xml:space="preserve"> </w:t>
            </w:r>
          </w:p>
          <w:p w14:paraId="76A2E218">
            <w:pPr>
              <w:pStyle w:val="25"/>
              <w:spacing w:after="0" w:line="240" w:lineRule="auto"/>
              <w:ind w:left="630" w:leftChars="300" w:firstLine="0" w:firstLineChars="0"/>
              <w:rPr>
                <w:rFonts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标★</w:t>
            </w:r>
            <w:r>
              <w:rPr>
                <w:rFonts w:hint="eastAsia" w:ascii="微软雅黑" w:hAnsi="微软雅黑" w:eastAsia="微软雅黑" w:cs="微软雅黑"/>
                <w:color w:val="auto"/>
                <w:sz w:val="21"/>
                <w:szCs w:val="21"/>
                <w:highlight w:val="none"/>
                <w:lang w:val="en-US" w:eastAsia="zh-CN"/>
              </w:rPr>
              <w:t>指标及其它指标</w:t>
            </w:r>
            <w:r>
              <w:rPr>
                <w:rFonts w:hint="eastAsia" w:ascii="微软雅黑" w:hAnsi="微软雅黑" w:eastAsia="微软雅黑" w:cs="微软雅黑"/>
                <w:color w:val="auto"/>
                <w:sz w:val="21"/>
                <w:szCs w:val="21"/>
                <w:highlight w:val="none"/>
              </w:rPr>
              <w:t>负偏离15项及以上的，视为采购人不能接受的附加条件</w:t>
            </w:r>
            <w:r>
              <w:rPr>
                <w:rFonts w:hint="eastAsia" w:ascii="微软雅黑" w:hAnsi="微软雅黑" w:eastAsia="微软雅黑" w:cs="微软雅黑"/>
                <w:color w:val="auto"/>
                <w:sz w:val="21"/>
                <w:szCs w:val="21"/>
                <w:highlight w:val="none"/>
                <w:lang w:eastAsia="zh-CN"/>
              </w:rPr>
              <w:t>，</w:t>
            </w:r>
            <w:r>
              <w:rPr>
                <w:rFonts w:hint="eastAsia" w:ascii="微软雅黑" w:hAnsi="微软雅黑" w:eastAsia="微软雅黑" w:cs="微软雅黑"/>
                <w:color w:val="auto"/>
                <w:sz w:val="21"/>
                <w:szCs w:val="21"/>
                <w:highlight w:val="none"/>
              </w:rPr>
              <w:t>投标无效。</w:t>
            </w:r>
          </w:p>
        </w:tc>
        <w:tc>
          <w:tcPr>
            <w:tcW w:w="787" w:type="dxa"/>
            <w:tcBorders>
              <w:top w:val="single" w:color="auto" w:sz="4" w:space="0"/>
              <w:left w:val="single" w:color="auto" w:sz="4" w:space="0"/>
              <w:bottom w:val="single" w:color="auto" w:sz="4" w:space="0"/>
              <w:right w:val="single" w:color="auto" w:sz="4" w:space="0"/>
            </w:tcBorders>
            <w:vAlign w:val="center"/>
          </w:tcPr>
          <w:p w14:paraId="61C8AD86">
            <w:pPr>
              <w:pStyle w:val="25"/>
              <w:spacing w:after="0" w:line="240" w:lineRule="auto"/>
              <w:ind w:left="0" w:leftChars="0" w:firstLine="0" w:firstLineChars="0"/>
              <w:jc w:val="center"/>
              <w:rPr>
                <w:rFonts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15</w:t>
            </w:r>
          </w:p>
        </w:tc>
        <w:tc>
          <w:tcPr>
            <w:tcW w:w="787" w:type="dxa"/>
            <w:tcBorders>
              <w:top w:val="single" w:color="auto" w:sz="4" w:space="0"/>
              <w:left w:val="single" w:color="auto" w:sz="4" w:space="0"/>
              <w:bottom w:val="single" w:color="auto" w:sz="4" w:space="0"/>
              <w:right w:val="single" w:color="auto" w:sz="4" w:space="0"/>
            </w:tcBorders>
            <w:vAlign w:val="center"/>
          </w:tcPr>
          <w:p w14:paraId="6AB5E2CA">
            <w:pPr>
              <w:pStyle w:val="25"/>
              <w:spacing w:after="0" w:line="240" w:lineRule="auto"/>
              <w:ind w:left="0" w:leftChars="0" w:firstLine="0" w:firstLineChars="0"/>
              <w:jc w:val="center"/>
              <w:rPr>
                <w:rFonts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客观</w:t>
            </w:r>
          </w:p>
        </w:tc>
      </w:tr>
      <w:tr w14:paraId="6398E9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jc w:val="center"/>
        </w:trPr>
        <w:tc>
          <w:tcPr>
            <w:tcW w:w="797" w:type="dxa"/>
            <w:tcBorders>
              <w:left w:val="single" w:color="auto" w:sz="4" w:space="0"/>
              <w:right w:val="single" w:color="auto" w:sz="4" w:space="0"/>
            </w:tcBorders>
            <w:vAlign w:val="center"/>
          </w:tcPr>
          <w:p w14:paraId="1434F581">
            <w:pPr>
              <w:pStyle w:val="25"/>
              <w:spacing w:after="0" w:line="240" w:lineRule="auto"/>
              <w:ind w:left="0" w:leftChars="0" w:firstLine="0" w:firstLineChars="0"/>
              <w:jc w:val="center"/>
              <w:rPr>
                <w:rFonts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2</w:t>
            </w:r>
          </w:p>
        </w:tc>
        <w:tc>
          <w:tcPr>
            <w:tcW w:w="1308" w:type="dxa"/>
            <w:tcBorders>
              <w:top w:val="single" w:color="auto" w:sz="4" w:space="0"/>
              <w:left w:val="single" w:color="auto" w:sz="4" w:space="0"/>
              <w:bottom w:val="single" w:color="auto" w:sz="4" w:space="0"/>
              <w:right w:val="single" w:color="auto" w:sz="4" w:space="0"/>
            </w:tcBorders>
            <w:vAlign w:val="center"/>
          </w:tcPr>
          <w:p w14:paraId="4EBB1301">
            <w:pPr>
              <w:pStyle w:val="25"/>
              <w:spacing w:after="0" w:line="240" w:lineRule="auto"/>
              <w:ind w:left="0" w:leftChars="0" w:firstLine="0" w:firstLineChars="0"/>
              <w:jc w:val="center"/>
              <w:rPr>
                <w:rFonts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满足招标货物的性能及技术指标要求（非核心产品）</w:t>
            </w:r>
          </w:p>
        </w:tc>
        <w:tc>
          <w:tcPr>
            <w:tcW w:w="6304" w:type="dxa"/>
            <w:tcBorders>
              <w:top w:val="single" w:color="auto" w:sz="4" w:space="0"/>
              <w:left w:val="single" w:color="auto" w:sz="4" w:space="0"/>
              <w:right w:val="single" w:color="auto" w:sz="4" w:space="0"/>
            </w:tcBorders>
            <w:vAlign w:val="center"/>
          </w:tcPr>
          <w:p w14:paraId="79D4EF97">
            <w:pPr>
              <w:pStyle w:val="25"/>
              <w:spacing w:after="0" w:line="240" w:lineRule="auto"/>
              <w:ind w:left="0" w:leftChars="0" w:firstLine="0" w:firstLineChars="0"/>
              <w:rPr>
                <w:rFonts w:hint="default"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rPr>
              <w:t>标★内容为主要性能指标要求条款，低于技术要求（负偏离）的每项扣0.4分；其他性能指标，低于技术要求（负偏离）的每项扣0.2分</w:t>
            </w:r>
            <w:r>
              <w:rPr>
                <w:rFonts w:hint="eastAsia" w:ascii="微软雅黑" w:hAnsi="微软雅黑" w:eastAsia="微软雅黑" w:cs="微软雅黑"/>
                <w:color w:val="auto"/>
                <w:sz w:val="21"/>
                <w:szCs w:val="21"/>
                <w:highlight w:val="none"/>
                <w:lang w:eastAsia="zh-CN"/>
              </w:rPr>
              <w:t>，</w:t>
            </w:r>
            <w:r>
              <w:rPr>
                <w:rFonts w:hint="eastAsia" w:ascii="微软雅黑" w:hAnsi="微软雅黑" w:eastAsia="微软雅黑" w:cs="微软雅黑"/>
                <w:color w:val="auto"/>
                <w:sz w:val="21"/>
                <w:szCs w:val="21"/>
                <w:highlight w:val="none"/>
                <w:lang w:val="en-US" w:eastAsia="zh-CN"/>
              </w:rPr>
              <w:t>本项最高24分，扣完为止。</w:t>
            </w:r>
          </w:p>
          <w:p w14:paraId="78F87913">
            <w:pPr>
              <w:pStyle w:val="25"/>
              <w:spacing w:after="0" w:line="240" w:lineRule="auto"/>
              <w:ind w:left="0" w:leftChars="0" w:firstLine="0" w:firstLineChars="0"/>
              <w:rPr>
                <w:rFonts w:hint="default"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rPr>
              <w:t>注 ：标★是主要性能指标</w:t>
            </w:r>
            <w:r>
              <w:rPr>
                <w:rFonts w:hint="eastAsia" w:ascii="微软雅黑" w:hAnsi="微软雅黑" w:eastAsia="微软雅黑" w:cs="微软雅黑"/>
                <w:color w:val="auto"/>
                <w:sz w:val="21"/>
                <w:szCs w:val="21"/>
                <w:highlight w:val="none"/>
                <w:lang w:eastAsia="zh-CN"/>
              </w:rPr>
              <w:t>，</w:t>
            </w:r>
            <w:r>
              <w:rPr>
                <w:rFonts w:hint="eastAsia" w:ascii="微软雅黑" w:hAnsi="微软雅黑" w:eastAsia="微软雅黑" w:cs="微软雅黑"/>
                <w:color w:val="auto"/>
                <w:sz w:val="21"/>
                <w:szCs w:val="21"/>
                <w:highlight w:val="none"/>
              </w:rPr>
              <w:t>负偏离</w:t>
            </w:r>
            <w:r>
              <w:rPr>
                <w:rFonts w:hint="eastAsia" w:ascii="微软雅黑" w:hAnsi="微软雅黑" w:eastAsia="微软雅黑" w:cs="微软雅黑"/>
                <w:color w:val="auto"/>
                <w:sz w:val="21"/>
                <w:szCs w:val="21"/>
                <w:highlight w:val="none"/>
                <w:lang w:val="en-US" w:eastAsia="zh-CN"/>
              </w:rPr>
              <w:t>项数达到50%</w:t>
            </w:r>
            <w:r>
              <w:rPr>
                <w:rFonts w:hint="eastAsia" w:ascii="微软雅黑" w:hAnsi="微软雅黑" w:eastAsia="微软雅黑" w:cs="微软雅黑"/>
                <w:color w:val="auto"/>
                <w:sz w:val="21"/>
                <w:szCs w:val="21"/>
                <w:highlight w:val="none"/>
              </w:rPr>
              <w:t>及以上的，视为采购人不能接受的附加条件</w:t>
            </w:r>
            <w:r>
              <w:rPr>
                <w:rFonts w:hint="eastAsia" w:ascii="微软雅黑" w:hAnsi="微软雅黑" w:eastAsia="微软雅黑" w:cs="微软雅黑"/>
                <w:color w:val="auto"/>
                <w:sz w:val="21"/>
                <w:szCs w:val="21"/>
                <w:highlight w:val="none"/>
                <w:lang w:eastAsia="zh-CN"/>
              </w:rPr>
              <w:t>，</w:t>
            </w:r>
            <w:r>
              <w:rPr>
                <w:rFonts w:hint="eastAsia" w:ascii="微软雅黑" w:hAnsi="微软雅黑" w:eastAsia="微软雅黑" w:cs="微软雅黑"/>
                <w:color w:val="auto"/>
                <w:sz w:val="21"/>
                <w:szCs w:val="21"/>
                <w:highlight w:val="none"/>
                <w:lang w:val="en-US" w:eastAsia="zh-CN"/>
              </w:rPr>
              <w:t>投标无效。</w:t>
            </w:r>
          </w:p>
        </w:tc>
        <w:tc>
          <w:tcPr>
            <w:tcW w:w="787" w:type="dxa"/>
            <w:tcBorders>
              <w:top w:val="single" w:color="auto" w:sz="4" w:space="0"/>
              <w:left w:val="single" w:color="auto" w:sz="4" w:space="0"/>
              <w:bottom w:val="single" w:color="auto" w:sz="4" w:space="0"/>
              <w:right w:val="single" w:color="auto" w:sz="4" w:space="0"/>
            </w:tcBorders>
            <w:vAlign w:val="center"/>
          </w:tcPr>
          <w:p w14:paraId="6F49CC9B">
            <w:pPr>
              <w:pStyle w:val="25"/>
              <w:spacing w:after="0" w:line="240" w:lineRule="auto"/>
              <w:ind w:left="0" w:leftChars="0" w:firstLine="0" w:firstLineChars="0"/>
              <w:jc w:val="center"/>
              <w:rPr>
                <w:rFonts w:hint="default"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lang w:val="en-US" w:eastAsia="zh-CN"/>
              </w:rPr>
              <w:t>24</w:t>
            </w:r>
          </w:p>
        </w:tc>
        <w:tc>
          <w:tcPr>
            <w:tcW w:w="787" w:type="dxa"/>
            <w:tcBorders>
              <w:top w:val="single" w:color="auto" w:sz="4" w:space="0"/>
              <w:left w:val="single" w:color="auto" w:sz="4" w:space="0"/>
              <w:bottom w:val="single" w:color="auto" w:sz="4" w:space="0"/>
              <w:right w:val="single" w:color="auto" w:sz="4" w:space="0"/>
            </w:tcBorders>
            <w:vAlign w:val="center"/>
          </w:tcPr>
          <w:p w14:paraId="7D3B3623">
            <w:pPr>
              <w:pStyle w:val="25"/>
              <w:spacing w:after="0" w:line="240" w:lineRule="auto"/>
              <w:ind w:left="0" w:leftChars="0" w:firstLine="0" w:firstLineChars="0"/>
              <w:jc w:val="center"/>
              <w:rPr>
                <w:rFonts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客观</w:t>
            </w:r>
          </w:p>
        </w:tc>
      </w:tr>
      <w:tr w14:paraId="6BD458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jc w:val="center"/>
        </w:trPr>
        <w:tc>
          <w:tcPr>
            <w:tcW w:w="797" w:type="dxa"/>
            <w:tcBorders>
              <w:left w:val="single" w:color="auto" w:sz="4" w:space="0"/>
              <w:right w:val="single" w:color="auto" w:sz="4" w:space="0"/>
            </w:tcBorders>
            <w:vAlign w:val="center"/>
          </w:tcPr>
          <w:p w14:paraId="7C375FE8">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3</w:t>
            </w:r>
          </w:p>
        </w:tc>
        <w:tc>
          <w:tcPr>
            <w:tcW w:w="1308" w:type="dxa"/>
            <w:tcBorders>
              <w:top w:val="single" w:color="auto" w:sz="4" w:space="0"/>
              <w:left w:val="single" w:color="auto" w:sz="4" w:space="0"/>
              <w:bottom w:val="single" w:color="auto" w:sz="4" w:space="0"/>
              <w:right w:val="single" w:color="auto" w:sz="4" w:space="0"/>
            </w:tcBorders>
            <w:vAlign w:val="center"/>
          </w:tcPr>
          <w:p w14:paraId="73673652">
            <w:pPr>
              <w:widowControl/>
              <w:snapToGrid w:val="0"/>
              <w:spacing w:after="0" w:line="240" w:lineRule="auto"/>
              <w:ind w:firstLine="0" w:firstLineChars="0"/>
              <w:jc w:val="center"/>
              <w:textAlignment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技术方案</w:t>
            </w:r>
          </w:p>
        </w:tc>
        <w:tc>
          <w:tcPr>
            <w:tcW w:w="6304" w:type="dxa"/>
            <w:tcBorders>
              <w:top w:val="single" w:color="auto" w:sz="4" w:space="0"/>
              <w:left w:val="single" w:color="auto" w:sz="4" w:space="0"/>
              <w:right w:val="single" w:color="auto" w:sz="4" w:space="0"/>
            </w:tcBorders>
            <w:vAlign w:val="center"/>
          </w:tcPr>
          <w:p w14:paraId="599BEF7C">
            <w:pPr>
              <w:pStyle w:val="25"/>
              <w:spacing w:after="0" w:line="240" w:lineRule="auto"/>
              <w:ind w:left="0" w:leftChars="0" w:firstLine="0" w:firstLineChars="0"/>
              <w:rPr>
                <w:rFonts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1.安装调试、项目运维方案；根据方案是否与采购需求符合性或匹配度进行打分：</w:t>
            </w:r>
            <w:r>
              <w:rPr>
                <w:rFonts w:hint="eastAsia" w:ascii="微软雅黑" w:hAnsi="微软雅黑" w:eastAsia="微软雅黑" w:cs="微软雅黑"/>
                <w:color w:val="auto"/>
                <w:sz w:val="21"/>
                <w:szCs w:val="21"/>
                <w:highlight w:val="none"/>
                <w:lang w:val="en-US" w:eastAsia="zh-CN"/>
              </w:rPr>
              <w:t xml:space="preserve"> （</w:t>
            </w:r>
            <w:r>
              <w:rPr>
                <w:rFonts w:hint="eastAsia" w:ascii="微软雅黑" w:hAnsi="微软雅黑" w:eastAsia="微软雅黑" w:cs="微软雅黑"/>
                <w:color w:val="auto"/>
                <w:sz w:val="21"/>
                <w:szCs w:val="21"/>
                <w:highlight w:val="none"/>
              </w:rPr>
              <w:t>符合采购需求的3分，</w:t>
            </w:r>
            <w:r>
              <w:rPr>
                <w:rFonts w:hint="eastAsia" w:ascii="微软雅黑" w:hAnsi="微软雅黑" w:eastAsia="微软雅黑" w:cs="微软雅黑"/>
                <w:color w:val="auto"/>
                <w:sz w:val="21"/>
                <w:szCs w:val="21"/>
                <w:highlight w:val="none"/>
                <w:lang w:eastAsia="zh-CN"/>
              </w:rPr>
              <w:t>大</w:t>
            </w:r>
            <w:r>
              <w:rPr>
                <w:rFonts w:hint="eastAsia" w:ascii="微软雅黑" w:hAnsi="微软雅黑" w:eastAsia="微软雅黑" w:cs="微软雅黑"/>
                <w:color w:val="auto"/>
                <w:sz w:val="21"/>
                <w:szCs w:val="21"/>
                <w:highlight w:val="none"/>
              </w:rPr>
              <w:t>部分符合的得2分，</w:t>
            </w:r>
            <w:r>
              <w:rPr>
                <w:rFonts w:hint="eastAsia" w:ascii="微软雅黑" w:hAnsi="微软雅黑" w:eastAsia="微软雅黑" w:cs="微软雅黑"/>
                <w:color w:val="auto"/>
                <w:sz w:val="21"/>
                <w:szCs w:val="21"/>
                <w:highlight w:val="none"/>
                <w:lang w:eastAsia="zh-CN"/>
              </w:rPr>
              <w:t>有部分不</w:t>
            </w:r>
            <w:r>
              <w:rPr>
                <w:rFonts w:hint="eastAsia" w:ascii="微软雅黑" w:hAnsi="微软雅黑" w:eastAsia="微软雅黑" w:cs="微软雅黑"/>
                <w:color w:val="auto"/>
                <w:sz w:val="21"/>
                <w:szCs w:val="21"/>
                <w:highlight w:val="none"/>
              </w:rPr>
              <w:t>符合</w:t>
            </w:r>
            <w:r>
              <w:rPr>
                <w:rFonts w:hint="eastAsia" w:ascii="微软雅黑" w:hAnsi="微软雅黑" w:eastAsia="微软雅黑" w:cs="微软雅黑"/>
                <w:color w:val="auto"/>
                <w:sz w:val="21"/>
                <w:szCs w:val="21"/>
                <w:highlight w:val="none"/>
                <w:lang w:eastAsia="zh-CN"/>
              </w:rPr>
              <w:t>可能影响项目实施</w:t>
            </w:r>
            <w:r>
              <w:rPr>
                <w:rFonts w:hint="eastAsia" w:ascii="微软雅黑" w:hAnsi="微软雅黑" w:eastAsia="微软雅黑" w:cs="微软雅黑"/>
                <w:color w:val="auto"/>
                <w:sz w:val="21"/>
                <w:szCs w:val="21"/>
                <w:highlight w:val="none"/>
              </w:rPr>
              <w:t>的得1分，不提供不得分。）；</w:t>
            </w:r>
          </w:p>
          <w:p w14:paraId="4E3F4016">
            <w:pPr>
              <w:pStyle w:val="25"/>
              <w:spacing w:after="0" w:line="240" w:lineRule="auto"/>
              <w:ind w:left="0" w:leftChars="0" w:firstLine="0" w:firstLineChars="0"/>
              <w:rPr>
                <w:rFonts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2.培训计划、培训范围；根据方案是否与采购需求符合性或匹配度进行打分，（符合采购需求的2分，部分符合的得1分，不符合的或不提供不得分）。</w:t>
            </w:r>
          </w:p>
        </w:tc>
        <w:tc>
          <w:tcPr>
            <w:tcW w:w="787" w:type="dxa"/>
            <w:tcBorders>
              <w:top w:val="single" w:color="auto" w:sz="4" w:space="0"/>
              <w:left w:val="single" w:color="auto" w:sz="4" w:space="0"/>
              <w:bottom w:val="single" w:color="auto" w:sz="4" w:space="0"/>
              <w:right w:val="single" w:color="auto" w:sz="4" w:space="0"/>
            </w:tcBorders>
            <w:vAlign w:val="center"/>
          </w:tcPr>
          <w:p w14:paraId="6B8A763D">
            <w:pPr>
              <w:spacing w:after="0" w:line="240" w:lineRule="auto"/>
              <w:ind w:firstLine="0" w:firstLineChars="0"/>
              <w:jc w:val="center"/>
              <w:rPr>
                <w:rFonts w:hint="eastAsia" w:ascii="微软雅黑" w:hAnsi="微软雅黑" w:eastAsia="微软雅黑" w:cs="微软雅黑"/>
                <w:color w:val="auto"/>
                <w:kern w:val="0"/>
                <w:szCs w:val="21"/>
                <w:highlight w:val="none"/>
                <w:lang w:eastAsia="zh-CN"/>
              </w:rPr>
            </w:pPr>
            <w:r>
              <w:rPr>
                <w:rFonts w:hint="eastAsia" w:ascii="微软雅黑" w:hAnsi="微软雅黑" w:cs="微软雅黑"/>
                <w:color w:val="auto"/>
                <w:kern w:val="0"/>
                <w:szCs w:val="21"/>
                <w:highlight w:val="none"/>
                <w:lang w:val="en-US" w:eastAsia="zh-CN"/>
              </w:rPr>
              <w:t>5</w:t>
            </w:r>
          </w:p>
        </w:tc>
        <w:tc>
          <w:tcPr>
            <w:tcW w:w="787" w:type="dxa"/>
            <w:tcBorders>
              <w:top w:val="single" w:color="auto" w:sz="4" w:space="0"/>
              <w:left w:val="single" w:color="auto" w:sz="4" w:space="0"/>
              <w:bottom w:val="single" w:color="auto" w:sz="4" w:space="0"/>
              <w:right w:val="single" w:color="auto" w:sz="4" w:space="0"/>
            </w:tcBorders>
            <w:vAlign w:val="center"/>
          </w:tcPr>
          <w:p w14:paraId="39E6F1BB">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主观</w:t>
            </w:r>
          </w:p>
        </w:tc>
      </w:tr>
      <w:tr w14:paraId="1FA5AA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4" w:hRule="atLeast"/>
          <w:jc w:val="center"/>
        </w:trPr>
        <w:tc>
          <w:tcPr>
            <w:tcW w:w="797" w:type="dxa"/>
            <w:tcBorders>
              <w:left w:val="single" w:color="auto" w:sz="4" w:space="0"/>
              <w:right w:val="single" w:color="auto" w:sz="4" w:space="0"/>
            </w:tcBorders>
            <w:vAlign w:val="center"/>
          </w:tcPr>
          <w:p w14:paraId="4C4A1D09">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4</w:t>
            </w:r>
          </w:p>
        </w:tc>
        <w:tc>
          <w:tcPr>
            <w:tcW w:w="1308" w:type="dxa"/>
            <w:tcBorders>
              <w:top w:val="single" w:color="auto" w:sz="4" w:space="0"/>
              <w:left w:val="single" w:color="auto" w:sz="4" w:space="0"/>
              <w:bottom w:val="single" w:color="auto" w:sz="4" w:space="0"/>
              <w:right w:val="single" w:color="auto" w:sz="4" w:space="0"/>
            </w:tcBorders>
            <w:vAlign w:val="center"/>
          </w:tcPr>
          <w:p w14:paraId="5248CC4B">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功能演示</w:t>
            </w:r>
            <w:r>
              <w:rPr>
                <w:rFonts w:hint="eastAsia" w:ascii="微软雅黑" w:hAnsi="微软雅黑" w:cs="微软雅黑"/>
                <w:color w:val="auto"/>
                <w:kern w:val="0"/>
                <w:szCs w:val="21"/>
                <w:highlight w:val="none"/>
                <w:lang w:bidi="ar"/>
              </w:rPr>
              <w:t>（</w:t>
            </w:r>
            <w:r>
              <w:rPr>
                <w:rFonts w:hint="eastAsia" w:ascii="宋体" w:hAnsi="宋体" w:cs="仿宋"/>
                <w:b/>
                <w:bCs/>
                <w:color w:val="auto"/>
                <w:szCs w:val="21"/>
                <w:highlight w:val="none"/>
              </w:rPr>
              <w:t>演示方式按招标需求内技术要求及前附表规定执行）</w:t>
            </w:r>
          </w:p>
        </w:tc>
        <w:tc>
          <w:tcPr>
            <w:tcW w:w="6304" w:type="dxa"/>
            <w:tcBorders>
              <w:top w:val="single" w:color="auto" w:sz="4" w:space="0"/>
              <w:left w:val="single" w:color="auto" w:sz="4" w:space="0"/>
              <w:right w:val="single" w:color="auto" w:sz="4" w:space="0"/>
            </w:tcBorders>
            <w:vAlign w:val="center"/>
          </w:tcPr>
          <w:p w14:paraId="4DD233E9">
            <w:pPr>
              <w:pStyle w:val="25"/>
              <w:spacing w:after="0" w:line="240" w:lineRule="auto"/>
              <w:ind w:left="0" w:leftChars="0" w:firstLine="0" w:firstLineChars="0"/>
              <w:rPr>
                <w:rFonts w:ascii="微软雅黑" w:hAnsi="微软雅黑" w:eastAsia="微软雅黑" w:cs="微软雅黑"/>
                <w:color w:val="auto"/>
                <w:sz w:val="21"/>
                <w:szCs w:val="21"/>
                <w:highlight w:val="none"/>
              </w:rPr>
            </w:pPr>
            <w:r>
              <w:rPr>
                <w:rFonts w:hint="eastAsia" w:ascii="微软雅黑" w:hAnsi="微软雅黑" w:eastAsia="微软雅黑" w:cs="微软雅黑"/>
                <w:b/>
                <w:bCs/>
                <w:color w:val="auto"/>
                <w:sz w:val="21"/>
                <w:szCs w:val="21"/>
                <w:highlight w:val="none"/>
              </w:rPr>
              <w:t>1.紫外可见分光光度计</w:t>
            </w:r>
            <w:r>
              <w:rPr>
                <w:rFonts w:hint="eastAsia" w:ascii="微软雅黑" w:hAnsi="微软雅黑" w:eastAsia="微软雅黑" w:cs="微软雅黑"/>
                <w:b/>
                <w:bCs/>
                <w:color w:val="auto"/>
                <w:sz w:val="21"/>
                <w:szCs w:val="21"/>
                <w:highlight w:val="none"/>
                <w:lang w:val="en-US" w:eastAsia="zh-CN"/>
              </w:rPr>
              <w:t>演示</w:t>
            </w:r>
            <w:r>
              <w:rPr>
                <w:rFonts w:hint="eastAsia" w:ascii="微软雅黑" w:hAnsi="微软雅黑" w:eastAsia="微软雅黑" w:cs="微软雅黑"/>
                <w:color w:val="auto"/>
                <w:sz w:val="21"/>
                <w:szCs w:val="21"/>
                <w:highlight w:val="none"/>
                <w:lang w:val="en-US" w:eastAsia="zh-CN"/>
              </w:rPr>
              <w:t>：</w:t>
            </w:r>
            <w:r>
              <w:rPr>
                <w:rFonts w:hint="eastAsia" w:ascii="微软雅黑" w:hAnsi="微软雅黑" w:eastAsia="微软雅黑" w:cs="微软雅黑"/>
                <w:color w:val="auto"/>
                <w:sz w:val="21"/>
                <w:szCs w:val="21"/>
                <w:highlight w:val="none"/>
              </w:rPr>
              <w:t>对配套实验室基础操作三维虚拟仿真软件演示，包括玻璃仪器的洗涤（包括水清洗、洗涤剂清洗和铬酸洗液清洗三种清洗方法，人物三维动画形象表现清洗过程）、称量、溶解、化学试剂的取用、加热、试管加热、容量瓶、量筒或者量杯、过滤、奈氏比色管。需提供不少于10种称量方法，滴定过程需包含（快滴、慢滴、半滴）的演示</w:t>
            </w:r>
            <w:r>
              <w:rPr>
                <w:rFonts w:hint="eastAsia" w:ascii="微软雅黑" w:hAnsi="微软雅黑" w:eastAsia="微软雅黑" w:cs="微软雅黑"/>
                <w:color w:val="auto"/>
                <w:sz w:val="21"/>
                <w:szCs w:val="21"/>
                <w:highlight w:val="none"/>
                <w:lang w:eastAsia="zh-CN"/>
              </w:rPr>
              <w:t>，</w:t>
            </w:r>
            <w:r>
              <w:rPr>
                <w:rFonts w:hint="eastAsia" w:ascii="微软雅黑" w:hAnsi="微软雅黑" w:eastAsia="微软雅黑" w:cs="微软雅黑"/>
                <w:b/>
                <w:bCs/>
                <w:color w:val="auto"/>
                <w:sz w:val="21"/>
                <w:szCs w:val="21"/>
                <w:highlight w:val="none"/>
                <w:lang w:val="en-US" w:eastAsia="zh-CN"/>
              </w:rPr>
              <w:t>投标文件中需配合演示截图不少于三张</w:t>
            </w:r>
            <w:r>
              <w:rPr>
                <w:rFonts w:hint="eastAsia" w:ascii="微软雅黑" w:hAnsi="微软雅黑" w:eastAsia="微软雅黑" w:cs="微软雅黑"/>
                <w:b/>
                <w:bCs/>
                <w:color w:val="auto"/>
                <w:sz w:val="21"/>
                <w:szCs w:val="21"/>
                <w:highlight w:val="none"/>
              </w:rPr>
              <w:t>。以上内容全部演示得1分，</w:t>
            </w:r>
            <w:r>
              <w:rPr>
                <w:rFonts w:hint="eastAsia" w:ascii="微软雅黑" w:hAnsi="微软雅黑" w:eastAsia="微软雅黑" w:cs="微软雅黑"/>
                <w:b/>
                <w:bCs/>
                <w:color w:val="auto"/>
                <w:sz w:val="21"/>
                <w:szCs w:val="21"/>
                <w:highlight w:val="none"/>
                <w:lang w:val="en-US" w:eastAsia="zh-CN"/>
              </w:rPr>
              <w:t>投标文件中无演示截图、演示截图少于三张、</w:t>
            </w:r>
            <w:r>
              <w:rPr>
                <w:rFonts w:hint="eastAsia" w:ascii="微软雅黑" w:hAnsi="微软雅黑" w:eastAsia="微软雅黑" w:cs="微软雅黑"/>
                <w:b/>
                <w:bCs/>
                <w:color w:val="auto"/>
                <w:sz w:val="21"/>
                <w:szCs w:val="21"/>
                <w:highlight w:val="none"/>
              </w:rPr>
              <w:t>演示不完整</w:t>
            </w:r>
            <w:r>
              <w:rPr>
                <w:rFonts w:hint="eastAsia" w:ascii="微软雅黑" w:hAnsi="微软雅黑" w:eastAsia="微软雅黑" w:cs="微软雅黑"/>
                <w:b/>
                <w:bCs/>
                <w:color w:val="auto"/>
                <w:sz w:val="21"/>
                <w:szCs w:val="21"/>
                <w:highlight w:val="none"/>
                <w:lang w:val="en-US" w:eastAsia="zh-CN"/>
              </w:rPr>
              <w:t>或</w:t>
            </w:r>
            <w:r>
              <w:rPr>
                <w:rFonts w:hint="eastAsia" w:ascii="微软雅黑" w:hAnsi="微软雅黑" w:eastAsia="微软雅黑" w:cs="微软雅黑"/>
                <w:b/>
                <w:bCs/>
                <w:color w:val="auto"/>
                <w:sz w:val="21"/>
                <w:szCs w:val="21"/>
                <w:highlight w:val="none"/>
              </w:rPr>
              <w:t>不演示得0分。</w:t>
            </w:r>
          </w:p>
          <w:p w14:paraId="4545795B">
            <w:pPr>
              <w:pStyle w:val="25"/>
              <w:spacing w:after="0" w:line="240" w:lineRule="auto"/>
              <w:ind w:left="0" w:leftChars="0" w:firstLine="0" w:firstLineChars="0"/>
              <w:rPr>
                <w:rFonts w:hint="eastAsia" w:ascii="微软雅黑" w:hAnsi="微软雅黑" w:eastAsia="微软雅黑" w:cs="微软雅黑"/>
                <w:b/>
                <w:bCs/>
                <w:color w:val="auto"/>
                <w:sz w:val="21"/>
                <w:szCs w:val="21"/>
                <w:highlight w:val="none"/>
              </w:rPr>
            </w:pPr>
          </w:p>
          <w:p w14:paraId="51CC1EF1">
            <w:pPr>
              <w:pStyle w:val="25"/>
              <w:spacing w:after="0" w:line="240" w:lineRule="auto"/>
              <w:ind w:left="0" w:leftChars="0" w:firstLine="0" w:firstLineChars="0"/>
              <w:rPr>
                <w:rFonts w:hint="eastAsia" w:ascii="微软雅黑" w:hAnsi="微软雅黑" w:eastAsia="微软雅黑" w:cs="微软雅黑"/>
                <w:b/>
                <w:bCs/>
                <w:color w:val="auto"/>
                <w:sz w:val="21"/>
                <w:szCs w:val="21"/>
                <w:highlight w:val="none"/>
                <w:lang w:eastAsia="zh-CN"/>
              </w:rPr>
            </w:pPr>
            <w:r>
              <w:rPr>
                <w:rFonts w:hint="eastAsia" w:ascii="微软雅黑" w:hAnsi="微软雅黑" w:eastAsia="微软雅黑" w:cs="微软雅黑"/>
                <w:b/>
                <w:bCs/>
                <w:color w:val="auto"/>
                <w:sz w:val="21"/>
                <w:szCs w:val="21"/>
                <w:highlight w:val="none"/>
              </w:rPr>
              <w:t>2.玻璃恒温水浴</w:t>
            </w:r>
            <w:r>
              <w:rPr>
                <w:rFonts w:hint="eastAsia" w:ascii="微软雅黑" w:hAnsi="微软雅黑" w:eastAsia="微软雅黑" w:cs="微软雅黑"/>
                <w:b/>
                <w:bCs/>
                <w:color w:val="auto"/>
                <w:sz w:val="21"/>
                <w:szCs w:val="21"/>
                <w:highlight w:val="none"/>
                <w:lang w:val="en-US" w:eastAsia="zh-CN"/>
              </w:rPr>
              <w:t>演示：</w:t>
            </w:r>
            <w:r>
              <w:rPr>
                <w:rFonts w:hint="eastAsia" w:ascii="微软雅黑" w:hAnsi="微软雅黑" w:eastAsia="微软雅黑" w:cs="微软雅黑"/>
                <w:b/>
                <w:bCs/>
                <w:color w:val="auto"/>
                <w:sz w:val="21"/>
                <w:szCs w:val="21"/>
                <w:highlight w:val="none"/>
              </w:rPr>
              <w:t>对</w:t>
            </w:r>
            <w:r>
              <w:rPr>
                <w:rFonts w:hint="eastAsia" w:ascii="微软雅黑" w:hAnsi="微软雅黑" w:eastAsia="微软雅黑" w:cs="微软雅黑"/>
                <w:color w:val="auto"/>
                <w:sz w:val="21"/>
                <w:szCs w:val="21"/>
                <w:highlight w:val="none"/>
              </w:rPr>
              <w:t>配套玻璃恒温水浴三维仿真软件演示，软件一共包含80种玻璃仪器的使用方法，玻璃仪器可360度进行观看，以提供不同角度的全景视频。</w:t>
            </w:r>
            <w:r>
              <w:rPr>
                <w:rFonts w:hint="eastAsia" w:ascii="微软雅黑" w:hAnsi="微软雅黑" w:eastAsia="微软雅黑" w:cs="微软雅黑"/>
                <w:b/>
                <w:bCs/>
                <w:color w:val="auto"/>
                <w:sz w:val="21"/>
                <w:szCs w:val="21"/>
                <w:highlight w:val="none"/>
                <w:lang w:val="en-US" w:eastAsia="zh-CN"/>
              </w:rPr>
              <w:t>投标文件中需配合演示提供不同角度的全景虚拟截图不少于三张</w:t>
            </w:r>
            <w:r>
              <w:rPr>
                <w:rFonts w:hint="eastAsia" w:ascii="微软雅黑" w:hAnsi="微软雅黑" w:eastAsia="微软雅黑" w:cs="微软雅黑"/>
                <w:b/>
                <w:bCs/>
                <w:color w:val="auto"/>
                <w:sz w:val="21"/>
                <w:szCs w:val="21"/>
                <w:highlight w:val="none"/>
              </w:rPr>
              <w:t>。以上内容全部演示得1分，</w:t>
            </w:r>
            <w:r>
              <w:rPr>
                <w:rFonts w:hint="eastAsia" w:ascii="微软雅黑" w:hAnsi="微软雅黑" w:eastAsia="微软雅黑" w:cs="微软雅黑"/>
                <w:b/>
                <w:bCs/>
                <w:color w:val="auto"/>
                <w:sz w:val="21"/>
                <w:szCs w:val="21"/>
                <w:highlight w:val="none"/>
                <w:lang w:val="en-US" w:eastAsia="zh-CN"/>
              </w:rPr>
              <w:t>投标文件中无演示截图、演示截图少于三张、截图不符合全景虚拟要求的、</w:t>
            </w:r>
            <w:r>
              <w:rPr>
                <w:rFonts w:hint="eastAsia" w:ascii="微软雅黑" w:hAnsi="微软雅黑" w:eastAsia="微软雅黑" w:cs="微软雅黑"/>
                <w:b/>
                <w:bCs/>
                <w:color w:val="auto"/>
                <w:sz w:val="21"/>
                <w:szCs w:val="21"/>
                <w:highlight w:val="none"/>
              </w:rPr>
              <w:t>演示不完整</w:t>
            </w:r>
            <w:r>
              <w:rPr>
                <w:rFonts w:hint="eastAsia" w:ascii="微软雅黑" w:hAnsi="微软雅黑" w:eastAsia="微软雅黑" w:cs="微软雅黑"/>
                <w:b/>
                <w:bCs/>
                <w:color w:val="auto"/>
                <w:sz w:val="21"/>
                <w:szCs w:val="21"/>
                <w:highlight w:val="none"/>
                <w:lang w:val="en-US" w:eastAsia="zh-CN"/>
              </w:rPr>
              <w:t>或</w:t>
            </w:r>
            <w:r>
              <w:rPr>
                <w:rFonts w:hint="eastAsia" w:ascii="微软雅黑" w:hAnsi="微软雅黑" w:eastAsia="微软雅黑" w:cs="微软雅黑"/>
                <w:b/>
                <w:bCs/>
                <w:color w:val="auto"/>
                <w:sz w:val="21"/>
                <w:szCs w:val="21"/>
                <w:highlight w:val="none"/>
              </w:rPr>
              <w:t>不演示得0分</w:t>
            </w:r>
            <w:r>
              <w:rPr>
                <w:rFonts w:hint="eastAsia" w:ascii="微软雅黑" w:hAnsi="微软雅黑" w:eastAsia="微软雅黑" w:cs="微软雅黑"/>
                <w:b/>
                <w:bCs/>
                <w:color w:val="auto"/>
                <w:sz w:val="21"/>
                <w:szCs w:val="21"/>
                <w:highlight w:val="none"/>
                <w:lang w:eastAsia="zh-CN"/>
              </w:rPr>
              <w:t>。</w:t>
            </w:r>
          </w:p>
          <w:p w14:paraId="7A2D0A3C">
            <w:pPr>
              <w:pStyle w:val="25"/>
              <w:spacing w:after="0" w:line="240" w:lineRule="auto"/>
              <w:ind w:left="0" w:leftChars="0" w:firstLine="0" w:firstLineChars="0"/>
              <w:rPr>
                <w:rFonts w:hint="eastAsia" w:ascii="微软雅黑" w:hAnsi="微软雅黑" w:eastAsia="微软雅黑" w:cs="微软雅黑"/>
                <w:b/>
                <w:bCs/>
                <w:color w:val="auto"/>
                <w:sz w:val="21"/>
                <w:szCs w:val="21"/>
                <w:highlight w:val="none"/>
              </w:rPr>
            </w:pPr>
          </w:p>
          <w:p w14:paraId="680673F1">
            <w:pPr>
              <w:pStyle w:val="25"/>
              <w:spacing w:after="0" w:line="240" w:lineRule="auto"/>
              <w:ind w:left="0" w:leftChars="0" w:firstLine="0" w:firstLineChars="0"/>
              <w:rPr>
                <w:rFonts w:ascii="微软雅黑" w:hAnsi="微软雅黑" w:eastAsia="微软雅黑" w:cs="微软雅黑"/>
                <w:color w:val="auto"/>
                <w:sz w:val="21"/>
                <w:szCs w:val="21"/>
                <w:highlight w:val="none"/>
              </w:rPr>
            </w:pPr>
            <w:r>
              <w:rPr>
                <w:rFonts w:hint="eastAsia" w:ascii="微软雅黑" w:hAnsi="微软雅黑" w:eastAsia="微软雅黑" w:cs="微软雅黑"/>
                <w:b/>
                <w:bCs/>
                <w:color w:val="auto"/>
                <w:sz w:val="21"/>
                <w:szCs w:val="21"/>
                <w:highlight w:val="none"/>
              </w:rPr>
              <w:t>3.数字电位差综合测试仪</w:t>
            </w:r>
            <w:r>
              <w:rPr>
                <w:rFonts w:hint="eastAsia" w:ascii="微软雅黑" w:hAnsi="微软雅黑" w:eastAsia="微软雅黑" w:cs="微软雅黑"/>
                <w:b/>
                <w:bCs/>
                <w:color w:val="auto"/>
                <w:sz w:val="21"/>
                <w:szCs w:val="21"/>
                <w:highlight w:val="none"/>
                <w:lang w:val="en-US" w:eastAsia="zh-CN"/>
              </w:rPr>
              <w:t>演示：</w:t>
            </w:r>
            <w:r>
              <w:rPr>
                <w:rFonts w:hint="eastAsia" w:ascii="微软雅黑" w:hAnsi="微软雅黑" w:eastAsia="微软雅黑" w:cs="微软雅黑"/>
                <w:color w:val="auto"/>
                <w:sz w:val="21"/>
                <w:szCs w:val="21"/>
                <w:highlight w:val="none"/>
              </w:rPr>
              <w:t>对配套的教学管理软件功能演示，教学管理平台可与仿真软件网页端、电脑客户端和移动客户端的数据对接，软件分为学生端、管理员端和教师端，支持实验上传、自带理论试题题库、登录管理、课程管理等功能。理论考试及虚拟仿真步骤的分数可根据后台管理设置</w:t>
            </w:r>
            <w:r>
              <w:rPr>
                <w:rFonts w:hint="eastAsia" w:ascii="微软雅黑" w:hAnsi="微软雅黑" w:eastAsia="微软雅黑" w:cs="微软雅黑"/>
                <w:color w:val="auto"/>
                <w:sz w:val="21"/>
                <w:szCs w:val="21"/>
                <w:highlight w:val="none"/>
                <w:lang w:eastAsia="zh-CN"/>
              </w:rPr>
              <w:t>。</w:t>
            </w:r>
            <w:r>
              <w:rPr>
                <w:rFonts w:hint="eastAsia" w:ascii="微软雅黑" w:hAnsi="微软雅黑" w:eastAsia="微软雅黑" w:cs="微软雅黑"/>
                <w:b/>
                <w:bCs/>
                <w:color w:val="auto"/>
                <w:sz w:val="21"/>
                <w:szCs w:val="21"/>
                <w:highlight w:val="none"/>
                <w:lang w:val="en-US" w:eastAsia="zh-CN"/>
              </w:rPr>
              <w:t>投标文件中提供配合演示的不同角度截图不少于三张</w:t>
            </w:r>
            <w:r>
              <w:rPr>
                <w:rFonts w:hint="eastAsia" w:ascii="微软雅黑" w:hAnsi="微软雅黑" w:eastAsia="微软雅黑" w:cs="微软雅黑"/>
                <w:b/>
                <w:bCs/>
                <w:color w:val="auto"/>
                <w:sz w:val="21"/>
                <w:szCs w:val="21"/>
                <w:highlight w:val="none"/>
              </w:rPr>
              <w:t>。以上内容全部演示得1分，</w:t>
            </w:r>
            <w:r>
              <w:rPr>
                <w:rFonts w:hint="eastAsia" w:ascii="微软雅黑" w:hAnsi="微软雅黑" w:eastAsia="微软雅黑" w:cs="微软雅黑"/>
                <w:b/>
                <w:bCs/>
                <w:color w:val="auto"/>
                <w:sz w:val="21"/>
                <w:szCs w:val="21"/>
                <w:highlight w:val="none"/>
                <w:lang w:val="en-US" w:eastAsia="zh-CN"/>
              </w:rPr>
              <w:t>投标文件中无演示截图、</w:t>
            </w:r>
            <w:r>
              <w:rPr>
                <w:rFonts w:hint="eastAsia" w:ascii="微软雅黑" w:hAnsi="微软雅黑" w:eastAsia="微软雅黑" w:cs="微软雅黑"/>
                <w:b/>
                <w:bCs/>
                <w:color w:val="auto"/>
                <w:sz w:val="21"/>
                <w:szCs w:val="21"/>
                <w:highlight w:val="none"/>
              </w:rPr>
              <w:t>演示不完整</w:t>
            </w:r>
            <w:r>
              <w:rPr>
                <w:rFonts w:hint="eastAsia" w:ascii="微软雅黑" w:hAnsi="微软雅黑" w:eastAsia="微软雅黑" w:cs="微软雅黑"/>
                <w:b/>
                <w:bCs/>
                <w:color w:val="auto"/>
                <w:sz w:val="21"/>
                <w:szCs w:val="21"/>
                <w:highlight w:val="none"/>
                <w:lang w:val="en-US" w:eastAsia="zh-CN"/>
              </w:rPr>
              <w:t>或</w:t>
            </w:r>
            <w:r>
              <w:rPr>
                <w:rFonts w:hint="eastAsia" w:ascii="微软雅黑" w:hAnsi="微软雅黑" w:eastAsia="微软雅黑" w:cs="微软雅黑"/>
                <w:b/>
                <w:bCs/>
                <w:color w:val="auto"/>
                <w:sz w:val="21"/>
                <w:szCs w:val="21"/>
                <w:highlight w:val="none"/>
              </w:rPr>
              <w:t>不演示得0分。</w:t>
            </w:r>
          </w:p>
          <w:p w14:paraId="6FF7C4E5">
            <w:pPr>
              <w:pStyle w:val="25"/>
              <w:spacing w:after="0" w:line="240" w:lineRule="auto"/>
              <w:ind w:left="0" w:leftChars="0" w:firstLine="0" w:firstLineChars="0"/>
              <w:rPr>
                <w:rFonts w:hint="eastAsia" w:ascii="微软雅黑" w:hAnsi="微软雅黑" w:eastAsia="微软雅黑" w:cs="微软雅黑"/>
                <w:b/>
                <w:bCs/>
                <w:color w:val="auto"/>
                <w:sz w:val="21"/>
                <w:szCs w:val="21"/>
                <w:highlight w:val="none"/>
              </w:rPr>
            </w:pPr>
          </w:p>
          <w:p w14:paraId="675021CF">
            <w:pPr>
              <w:pStyle w:val="25"/>
              <w:spacing w:after="0" w:line="240" w:lineRule="auto"/>
              <w:ind w:left="0" w:leftChars="0" w:firstLine="0" w:firstLineChars="0"/>
              <w:rPr>
                <w:rFonts w:hint="eastAsia" w:ascii="微软雅黑" w:hAnsi="微软雅黑" w:eastAsia="微软雅黑" w:cs="微软雅黑"/>
                <w:b/>
                <w:bCs/>
                <w:color w:val="auto"/>
                <w:sz w:val="21"/>
                <w:szCs w:val="21"/>
                <w:highlight w:val="none"/>
                <w:lang w:val="en-US" w:eastAsia="zh-CN"/>
              </w:rPr>
            </w:pPr>
            <w:r>
              <w:rPr>
                <w:rFonts w:hint="eastAsia" w:ascii="微软雅黑" w:hAnsi="微软雅黑" w:eastAsia="微软雅黑" w:cs="微软雅黑"/>
                <w:b/>
                <w:bCs/>
                <w:color w:val="auto"/>
                <w:sz w:val="21"/>
                <w:szCs w:val="21"/>
                <w:highlight w:val="none"/>
              </w:rPr>
              <w:t>4.燃烧热实验装置</w:t>
            </w:r>
            <w:r>
              <w:rPr>
                <w:rFonts w:hint="eastAsia" w:ascii="微软雅黑" w:hAnsi="微软雅黑" w:eastAsia="微软雅黑" w:cs="微软雅黑"/>
                <w:b/>
                <w:bCs/>
                <w:color w:val="auto"/>
                <w:sz w:val="21"/>
                <w:szCs w:val="21"/>
                <w:highlight w:val="none"/>
                <w:lang w:val="en-US" w:eastAsia="zh-CN"/>
              </w:rPr>
              <w:t>演示：</w:t>
            </w:r>
            <w:r>
              <w:rPr>
                <w:rFonts w:hint="eastAsia" w:ascii="微软雅黑" w:hAnsi="微软雅黑" w:eastAsia="微软雅黑" w:cs="微软雅黑"/>
                <w:color w:val="auto"/>
                <w:sz w:val="21"/>
                <w:szCs w:val="21"/>
                <w:highlight w:val="none"/>
              </w:rPr>
              <w:t>对配化学实验室安全事故可视化演练虚拟仿真综合实验软件</w:t>
            </w:r>
            <w:r>
              <w:rPr>
                <w:rFonts w:hint="eastAsia" w:ascii="微软雅黑" w:hAnsi="微软雅黑" w:cs="微软雅黑"/>
                <w:color w:val="auto"/>
                <w:szCs w:val="21"/>
                <w:highlight w:val="none"/>
              </w:rPr>
              <w:t>手机端</w:t>
            </w:r>
            <w:r>
              <w:rPr>
                <w:rFonts w:hint="eastAsia" w:ascii="微软雅黑" w:hAnsi="微软雅黑" w:eastAsia="微软雅黑" w:cs="微软雅黑"/>
                <w:color w:val="auto"/>
                <w:sz w:val="21"/>
                <w:szCs w:val="21"/>
                <w:highlight w:val="none"/>
              </w:rPr>
              <w:t>演示，包括个人防护安全仿真演练、火灾事故处理仿真演练、强酸试剂洒出事故仿真演练、水银泄露事故仿真演练、实验室安全隐患查找于处理仿真演练模块，交互步骤</w:t>
            </w:r>
            <w:r>
              <w:rPr>
                <w:rFonts w:hint="eastAsia" w:ascii="微软雅黑" w:hAnsi="微软雅黑" w:eastAsia="微软雅黑" w:cs="微软雅黑"/>
                <w:color w:val="auto"/>
                <w:sz w:val="21"/>
                <w:szCs w:val="21"/>
                <w:highlight w:val="none"/>
                <w:lang w:eastAsia="zh-CN"/>
              </w:rPr>
              <w:t>完整，</w:t>
            </w:r>
            <w:r>
              <w:rPr>
                <w:rFonts w:hint="eastAsia" w:ascii="微软雅黑" w:hAnsi="微软雅黑" w:eastAsia="微软雅黑" w:cs="微软雅黑"/>
                <w:color w:val="auto"/>
                <w:sz w:val="21"/>
                <w:szCs w:val="21"/>
                <w:highlight w:val="none"/>
              </w:rPr>
              <w:t>有中英文切换功能，可实现中英文双版操作，选择英文后，所有界面内容均使用英文展现，包括三维场景界面、功能按钮、数据图表、评分系统等全部为英文，提供中英文切换功能。软件具有实验室喷淋使用、灭火器使用、人工呼吸、安全通道、灭火毯、洗眼器、双眼洗眼器、消防栓、齐气瓶的使用、烘箱的使用、灭菌锅的使用、离心机的使用、通风橱的使用，增加学生紧急情况时的应变能力。</w:t>
            </w:r>
            <w:r>
              <w:rPr>
                <w:rFonts w:hint="eastAsia" w:ascii="微软雅黑" w:hAnsi="微软雅黑" w:eastAsia="微软雅黑" w:cs="微软雅黑"/>
                <w:b/>
                <w:bCs/>
                <w:color w:val="auto"/>
                <w:sz w:val="21"/>
                <w:szCs w:val="21"/>
                <w:highlight w:val="none"/>
                <w:lang w:val="en-US" w:eastAsia="zh-CN"/>
              </w:rPr>
              <w:t>（演示详细，步骤完整完全符合采购需求的1分，不够详细大部分符合的得0.5分，有部分不符合可能影响项目实施的得0.2分，投标文件中需配合演示提供截图不少于三张，投标文件中无演示截图、截图少于三张、演示不完整或不演示得0分。）</w:t>
            </w:r>
          </w:p>
          <w:p w14:paraId="194FBE69">
            <w:pPr>
              <w:pStyle w:val="25"/>
              <w:spacing w:after="0" w:line="240" w:lineRule="auto"/>
              <w:ind w:left="0" w:leftChars="0" w:firstLine="0" w:firstLineChars="0"/>
              <w:rPr>
                <w:rFonts w:hint="eastAsia" w:ascii="微软雅黑" w:hAnsi="微软雅黑" w:eastAsia="微软雅黑" w:cs="微软雅黑"/>
                <w:b/>
                <w:bCs/>
                <w:color w:val="auto"/>
                <w:sz w:val="21"/>
                <w:szCs w:val="21"/>
                <w:highlight w:val="none"/>
                <w:lang w:val="en-US" w:eastAsia="zh-CN"/>
              </w:rPr>
            </w:pPr>
          </w:p>
          <w:p w14:paraId="7D79A99A">
            <w:pPr>
              <w:pStyle w:val="25"/>
              <w:spacing w:after="0" w:line="240" w:lineRule="auto"/>
              <w:ind w:left="0" w:leftChars="0" w:firstLine="0" w:firstLineChars="0"/>
              <w:rPr>
                <w:rFonts w:hint="eastAsia" w:ascii="微软雅黑" w:hAnsi="微软雅黑" w:eastAsia="微软雅黑" w:cs="微软雅黑"/>
                <w:b/>
                <w:bCs/>
                <w:color w:val="auto"/>
                <w:sz w:val="21"/>
                <w:szCs w:val="21"/>
                <w:highlight w:val="none"/>
              </w:rPr>
            </w:pPr>
            <w:r>
              <w:rPr>
                <w:rFonts w:hint="eastAsia" w:ascii="微软雅黑" w:hAnsi="微软雅黑" w:eastAsia="微软雅黑" w:cs="微软雅黑"/>
                <w:b/>
                <w:bCs/>
                <w:color w:val="auto"/>
                <w:sz w:val="21"/>
                <w:szCs w:val="21"/>
                <w:highlight w:val="none"/>
              </w:rPr>
              <w:t>5. 紫外可见分光光度计</w:t>
            </w:r>
            <w:r>
              <w:rPr>
                <w:rFonts w:hint="eastAsia" w:ascii="微软雅黑" w:hAnsi="微软雅黑" w:eastAsia="微软雅黑" w:cs="微软雅黑"/>
                <w:b/>
                <w:bCs/>
                <w:color w:val="auto"/>
                <w:sz w:val="21"/>
                <w:szCs w:val="21"/>
                <w:highlight w:val="none"/>
                <w:lang w:val="en-US" w:eastAsia="zh-CN"/>
              </w:rPr>
              <w:t>演示：</w:t>
            </w:r>
            <w:r>
              <w:rPr>
                <w:rFonts w:hint="eastAsia" w:ascii="微软雅黑" w:hAnsi="微软雅黑" w:eastAsia="微软雅黑" w:cs="微软雅黑"/>
                <w:color w:val="auto"/>
                <w:sz w:val="21"/>
                <w:szCs w:val="21"/>
                <w:highlight w:val="none"/>
              </w:rPr>
              <w:t>对提供分光光度计三维仿真软件演示，分为实验前准备、开始测量和整理实验仪器三个模块。</w:t>
            </w:r>
            <w:r>
              <w:rPr>
                <w:rFonts w:hint="eastAsia" w:ascii="微软雅黑" w:hAnsi="微软雅黑" w:eastAsia="微软雅黑" w:cs="微软雅黑"/>
                <w:b/>
                <w:bCs/>
                <w:color w:val="auto"/>
                <w:sz w:val="21"/>
                <w:szCs w:val="21"/>
                <w:highlight w:val="none"/>
                <w:lang w:val="en-US" w:eastAsia="zh-CN"/>
              </w:rPr>
              <w:t>投标文件中需配合演示提供截图不少于三张</w:t>
            </w:r>
            <w:r>
              <w:rPr>
                <w:rFonts w:hint="eastAsia" w:ascii="微软雅黑" w:hAnsi="微软雅黑" w:eastAsia="微软雅黑" w:cs="微软雅黑"/>
                <w:b/>
                <w:bCs/>
                <w:color w:val="auto"/>
                <w:sz w:val="21"/>
                <w:szCs w:val="21"/>
                <w:highlight w:val="none"/>
              </w:rPr>
              <w:t>。以上内容全部演示得1分，</w:t>
            </w:r>
            <w:r>
              <w:rPr>
                <w:rFonts w:hint="eastAsia" w:ascii="微软雅黑" w:hAnsi="微软雅黑" w:eastAsia="微软雅黑" w:cs="微软雅黑"/>
                <w:b/>
                <w:bCs/>
                <w:color w:val="auto"/>
                <w:sz w:val="21"/>
                <w:szCs w:val="21"/>
                <w:highlight w:val="none"/>
                <w:lang w:val="en-US" w:eastAsia="zh-CN"/>
              </w:rPr>
              <w:t>投标文件中无演示截图、截图少于三张、</w:t>
            </w:r>
            <w:r>
              <w:rPr>
                <w:rFonts w:hint="eastAsia" w:ascii="微软雅黑" w:hAnsi="微软雅黑" w:eastAsia="微软雅黑" w:cs="微软雅黑"/>
                <w:b/>
                <w:bCs/>
                <w:color w:val="auto"/>
                <w:sz w:val="21"/>
                <w:szCs w:val="21"/>
                <w:highlight w:val="none"/>
              </w:rPr>
              <w:t>演示不完整</w:t>
            </w:r>
            <w:r>
              <w:rPr>
                <w:rFonts w:hint="eastAsia" w:ascii="微软雅黑" w:hAnsi="微软雅黑" w:eastAsia="微软雅黑" w:cs="微软雅黑"/>
                <w:b/>
                <w:bCs/>
                <w:color w:val="auto"/>
                <w:sz w:val="21"/>
                <w:szCs w:val="21"/>
                <w:highlight w:val="none"/>
                <w:lang w:val="en-US" w:eastAsia="zh-CN"/>
              </w:rPr>
              <w:t>或</w:t>
            </w:r>
            <w:r>
              <w:rPr>
                <w:rFonts w:hint="eastAsia" w:ascii="微软雅黑" w:hAnsi="微软雅黑" w:eastAsia="微软雅黑" w:cs="微软雅黑"/>
                <w:b/>
                <w:bCs/>
                <w:color w:val="auto"/>
                <w:sz w:val="21"/>
                <w:szCs w:val="21"/>
                <w:highlight w:val="none"/>
              </w:rPr>
              <w:t>不演示得0分。</w:t>
            </w:r>
          </w:p>
          <w:p w14:paraId="1C126CDD">
            <w:pPr>
              <w:pStyle w:val="25"/>
              <w:spacing w:after="0" w:line="240" w:lineRule="auto"/>
              <w:ind w:left="0" w:leftChars="0" w:firstLine="0" w:firstLineChars="0"/>
              <w:rPr>
                <w:rFonts w:hint="eastAsia" w:ascii="微软雅黑" w:hAnsi="微软雅黑" w:eastAsia="微软雅黑" w:cs="微软雅黑"/>
                <w:b/>
                <w:bCs/>
                <w:color w:val="auto"/>
                <w:sz w:val="21"/>
                <w:szCs w:val="21"/>
                <w:highlight w:val="none"/>
              </w:rPr>
            </w:pPr>
          </w:p>
          <w:p w14:paraId="5196C93A">
            <w:pPr>
              <w:pStyle w:val="25"/>
              <w:spacing w:after="0" w:line="240" w:lineRule="auto"/>
              <w:ind w:left="0" w:leftChars="0" w:firstLine="0" w:firstLineChars="0"/>
              <w:rPr>
                <w:rFonts w:hint="eastAsia" w:ascii="微软雅黑" w:hAnsi="微软雅黑" w:eastAsia="微软雅黑" w:cs="微软雅黑"/>
                <w:b/>
                <w:bCs/>
                <w:color w:val="auto"/>
                <w:sz w:val="21"/>
                <w:szCs w:val="21"/>
                <w:highlight w:val="none"/>
              </w:rPr>
            </w:pPr>
            <w:r>
              <w:rPr>
                <w:rFonts w:hint="eastAsia" w:ascii="微软雅黑" w:hAnsi="微软雅黑" w:eastAsia="微软雅黑" w:cs="微软雅黑"/>
                <w:b/>
                <w:bCs/>
                <w:color w:val="auto"/>
                <w:sz w:val="21"/>
                <w:szCs w:val="21"/>
                <w:highlight w:val="none"/>
              </w:rPr>
              <w:t>6. DP-AF精密数字（真空）压力计</w:t>
            </w:r>
            <w:r>
              <w:rPr>
                <w:rFonts w:hint="eastAsia" w:ascii="微软雅黑" w:hAnsi="微软雅黑" w:eastAsia="微软雅黑" w:cs="微软雅黑"/>
                <w:b/>
                <w:bCs/>
                <w:color w:val="auto"/>
                <w:sz w:val="21"/>
                <w:szCs w:val="21"/>
                <w:highlight w:val="none"/>
                <w:lang w:val="en-US" w:eastAsia="zh-CN"/>
              </w:rPr>
              <w:t>演示：</w:t>
            </w:r>
            <w:r>
              <w:rPr>
                <w:rFonts w:hint="eastAsia" w:ascii="微软雅黑" w:hAnsi="微软雅黑" w:eastAsia="微软雅黑" w:cs="微软雅黑"/>
                <w:b/>
                <w:bCs/>
                <w:color w:val="auto"/>
                <w:sz w:val="21"/>
                <w:szCs w:val="21"/>
                <w:highlight w:val="none"/>
              </w:rPr>
              <w:t>对</w:t>
            </w:r>
            <w:r>
              <w:rPr>
                <w:rFonts w:hint="eastAsia" w:ascii="微软雅黑" w:hAnsi="微软雅黑" w:eastAsia="微软雅黑" w:cs="微软雅黑"/>
                <w:color w:val="auto"/>
                <w:sz w:val="21"/>
                <w:szCs w:val="21"/>
                <w:highlight w:val="none"/>
              </w:rPr>
              <w:t>配套饱和蒸气压实验三维实物仿真软件演示，仿真软件具有数据模型，可模拟真实实验变量，数据通过 Excel 格式进行导出；以提供的演示视频证明软件具备数据模型及数据Excel格式导出功能。</w:t>
            </w:r>
            <w:r>
              <w:rPr>
                <w:rFonts w:hint="eastAsia" w:ascii="微软雅黑" w:hAnsi="微软雅黑" w:eastAsia="微软雅黑" w:cs="微软雅黑"/>
                <w:b/>
                <w:bCs/>
                <w:color w:val="auto"/>
                <w:sz w:val="21"/>
                <w:szCs w:val="21"/>
                <w:highlight w:val="none"/>
                <w:lang w:val="en-US" w:eastAsia="zh-CN"/>
              </w:rPr>
              <w:t>投标文件中需配合演示提供截图不少于三张</w:t>
            </w:r>
            <w:r>
              <w:rPr>
                <w:rFonts w:hint="eastAsia" w:ascii="微软雅黑" w:hAnsi="微软雅黑" w:eastAsia="微软雅黑" w:cs="微软雅黑"/>
                <w:b/>
                <w:bCs/>
                <w:color w:val="auto"/>
                <w:sz w:val="21"/>
                <w:szCs w:val="21"/>
                <w:highlight w:val="none"/>
              </w:rPr>
              <w:t>。以上内容全部演示得1分，</w:t>
            </w:r>
            <w:r>
              <w:rPr>
                <w:rFonts w:hint="eastAsia" w:ascii="微软雅黑" w:hAnsi="微软雅黑" w:eastAsia="微软雅黑" w:cs="微软雅黑"/>
                <w:b/>
                <w:bCs/>
                <w:color w:val="auto"/>
                <w:sz w:val="21"/>
                <w:szCs w:val="21"/>
                <w:highlight w:val="none"/>
                <w:lang w:val="en-US" w:eastAsia="zh-CN"/>
              </w:rPr>
              <w:t>投标文件中无演示截图、截图少于三张、</w:t>
            </w:r>
            <w:r>
              <w:rPr>
                <w:rFonts w:hint="eastAsia" w:ascii="微软雅黑" w:hAnsi="微软雅黑" w:eastAsia="微软雅黑" w:cs="微软雅黑"/>
                <w:b/>
                <w:bCs/>
                <w:color w:val="auto"/>
                <w:sz w:val="21"/>
                <w:szCs w:val="21"/>
                <w:highlight w:val="none"/>
              </w:rPr>
              <w:t>演示不完整</w:t>
            </w:r>
            <w:r>
              <w:rPr>
                <w:rFonts w:hint="eastAsia" w:ascii="微软雅黑" w:hAnsi="微软雅黑" w:eastAsia="微软雅黑" w:cs="微软雅黑"/>
                <w:b/>
                <w:bCs/>
                <w:color w:val="auto"/>
                <w:sz w:val="21"/>
                <w:szCs w:val="21"/>
                <w:highlight w:val="none"/>
                <w:lang w:val="en-US" w:eastAsia="zh-CN"/>
              </w:rPr>
              <w:t>或</w:t>
            </w:r>
            <w:r>
              <w:rPr>
                <w:rFonts w:hint="eastAsia" w:ascii="微软雅黑" w:hAnsi="微软雅黑" w:eastAsia="微软雅黑" w:cs="微软雅黑"/>
                <w:b/>
                <w:bCs/>
                <w:color w:val="auto"/>
                <w:sz w:val="21"/>
                <w:szCs w:val="21"/>
                <w:highlight w:val="none"/>
              </w:rPr>
              <w:t>不演示得0分。</w:t>
            </w:r>
          </w:p>
          <w:p w14:paraId="28189458">
            <w:pPr>
              <w:pStyle w:val="25"/>
              <w:spacing w:after="0" w:line="240" w:lineRule="auto"/>
              <w:ind w:left="0" w:leftChars="0" w:firstLine="0" w:firstLineChars="0"/>
              <w:rPr>
                <w:rFonts w:hint="eastAsia" w:ascii="微软雅黑" w:hAnsi="微软雅黑" w:eastAsia="微软雅黑" w:cs="微软雅黑"/>
                <w:b/>
                <w:bCs/>
                <w:color w:val="auto"/>
                <w:sz w:val="21"/>
                <w:szCs w:val="21"/>
                <w:highlight w:val="none"/>
              </w:rPr>
            </w:pPr>
          </w:p>
          <w:p w14:paraId="48F1B86A">
            <w:pPr>
              <w:pStyle w:val="25"/>
              <w:spacing w:after="0" w:line="240" w:lineRule="auto"/>
              <w:ind w:left="0" w:leftChars="0" w:firstLine="0" w:firstLineChars="0"/>
              <w:rPr>
                <w:rFonts w:hint="eastAsia" w:ascii="微软雅黑" w:hAnsi="微软雅黑" w:eastAsia="微软雅黑" w:cs="微软雅黑"/>
                <w:b/>
                <w:bCs/>
                <w:color w:val="auto"/>
                <w:sz w:val="21"/>
                <w:szCs w:val="21"/>
                <w:highlight w:val="none"/>
                <w:lang w:eastAsia="zh-CN"/>
              </w:rPr>
            </w:pPr>
            <w:r>
              <w:rPr>
                <w:rFonts w:hint="eastAsia" w:ascii="微软雅黑" w:hAnsi="微软雅黑" w:eastAsia="微软雅黑" w:cs="微软雅黑"/>
                <w:b/>
                <w:bCs/>
                <w:color w:val="auto"/>
                <w:sz w:val="21"/>
                <w:szCs w:val="21"/>
                <w:highlight w:val="none"/>
              </w:rPr>
              <w:t>7. DP-AF精密数字（真空）压力计</w:t>
            </w:r>
            <w:r>
              <w:rPr>
                <w:rFonts w:hint="eastAsia" w:ascii="微软雅黑" w:hAnsi="微软雅黑" w:eastAsia="微软雅黑" w:cs="微软雅黑"/>
                <w:b/>
                <w:bCs/>
                <w:color w:val="auto"/>
                <w:sz w:val="21"/>
                <w:szCs w:val="21"/>
                <w:highlight w:val="none"/>
                <w:lang w:val="en-US" w:eastAsia="zh-CN"/>
              </w:rPr>
              <w:t>演示：</w:t>
            </w:r>
            <w:r>
              <w:rPr>
                <w:rFonts w:hint="eastAsia" w:ascii="微软雅黑" w:hAnsi="微软雅黑" w:eastAsia="微软雅黑" w:cs="微软雅黑"/>
                <w:b/>
                <w:bCs/>
                <w:color w:val="auto"/>
                <w:sz w:val="21"/>
                <w:szCs w:val="21"/>
                <w:highlight w:val="none"/>
              </w:rPr>
              <w:t>对</w:t>
            </w:r>
            <w:r>
              <w:rPr>
                <w:rFonts w:hint="eastAsia" w:ascii="微软雅黑" w:hAnsi="微软雅黑" w:eastAsia="微软雅黑" w:cs="微软雅黑"/>
                <w:color w:val="auto"/>
                <w:sz w:val="21"/>
                <w:szCs w:val="21"/>
                <w:highlight w:val="none"/>
              </w:rPr>
              <w:t>配套氨基甲酸铵分解反应测定装置三维实物仿真软件演示，仿真软件具有数据模型，可模拟真实实验变量，数据通过 Excel 格式进行导出；以提供的演示视频证明软件具备数据模型及数据Excel格式导出功能。</w:t>
            </w:r>
            <w:r>
              <w:rPr>
                <w:rFonts w:hint="eastAsia" w:ascii="微软雅黑" w:hAnsi="微软雅黑" w:eastAsia="微软雅黑" w:cs="微软雅黑"/>
                <w:b/>
                <w:bCs/>
                <w:color w:val="auto"/>
                <w:sz w:val="21"/>
                <w:szCs w:val="21"/>
                <w:highlight w:val="none"/>
                <w:lang w:val="en-US" w:eastAsia="zh-CN"/>
              </w:rPr>
              <w:t>投标文件中需配合演示提供截图不少于三张</w:t>
            </w:r>
            <w:r>
              <w:rPr>
                <w:rFonts w:hint="eastAsia" w:ascii="微软雅黑" w:hAnsi="微软雅黑" w:eastAsia="微软雅黑" w:cs="微软雅黑"/>
                <w:b/>
                <w:bCs/>
                <w:color w:val="auto"/>
                <w:sz w:val="21"/>
                <w:szCs w:val="21"/>
                <w:highlight w:val="none"/>
              </w:rPr>
              <w:t>。以上内容全部演示得1分，</w:t>
            </w:r>
            <w:r>
              <w:rPr>
                <w:rFonts w:hint="eastAsia" w:ascii="微软雅黑" w:hAnsi="微软雅黑" w:eastAsia="微软雅黑" w:cs="微软雅黑"/>
                <w:b/>
                <w:bCs/>
                <w:color w:val="auto"/>
                <w:sz w:val="21"/>
                <w:szCs w:val="21"/>
                <w:highlight w:val="none"/>
                <w:lang w:val="en-US" w:eastAsia="zh-CN"/>
              </w:rPr>
              <w:t>投标文件中无演示截图、截图少于三张、</w:t>
            </w:r>
            <w:r>
              <w:rPr>
                <w:rFonts w:hint="eastAsia" w:ascii="微软雅黑" w:hAnsi="微软雅黑" w:eastAsia="微软雅黑" w:cs="微软雅黑"/>
                <w:b/>
                <w:bCs/>
                <w:color w:val="auto"/>
                <w:sz w:val="21"/>
                <w:szCs w:val="21"/>
                <w:highlight w:val="none"/>
              </w:rPr>
              <w:t>演示不完整</w:t>
            </w:r>
            <w:r>
              <w:rPr>
                <w:rFonts w:hint="eastAsia" w:ascii="微软雅黑" w:hAnsi="微软雅黑" w:eastAsia="微软雅黑" w:cs="微软雅黑"/>
                <w:b/>
                <w:bCs/>
                <w:color w:val="auto"/>
                <w:sz w:val="21"/>
                <w:szCs w:val="21"/>
                <w:highlight w:val="none"/>
                <w:lang w:val="en-US" w:eastAsia="zh-CN"/>
              </w:rPr>
              <w:t>或</w:t>
            </w:r>
            <w:r>
              <w:rPr>
                <w:rFonts w:hint="eastAsia" w:ascii="微软雅黑" w:hAnsi="微软雅黑" w:eastAsia="微软雅黑" w:cs="微软雅黑"/>
                <w:b/>
                <w:bCs/>
                <w:color w:val="auto"/>
                <w:sz w:val="21"/>
                <w:szCs w:val="21"/>
                <w:highlight w:val="none"/>
              </w:rPr>
              <w:t>不演示得0分</w:t>
            </w:r>
            <w:r>
              <w:rPr>
                <w:rFonts w:hint="eastAsia" w:ascii="微软雅黑" w:hAnsi="微软雅黑" w:eastAsia="微软雅黑" w:cs="微软雅黑"/>
                <w:b/>
                <w:bCs/>
                <w:color w:val="auto"/>
                <w:sz w:val="21"/>
                <w:szCs w:val="21"/>
                <w:highlight w:val="none"/>
                <w:lang w:eastAsia="zh-CN"/>
              </w:rPr>
              <w:t>。</w:t>
            </w:r>
          </w:p>
          <w:p w14:paraId="79B04AC3">
            <w:pPr>
              <w:pStyle w:val="25"/>
              <w:spacing w:after="0" w:line="240" w:lineRule="auto"/>
              <w:ind w:left="0" w:leftChars="0" w:firstLine="0" w:firstLineChars="0"/>
              <w:rPr>
                <w:rFonts w:hint="eastAsia" w:ascii="微软雅黑" w:hAnsi="微软雅黑" w:eastAsia="微软雅黑" w:cs="微软雅黑"/>
                <w:b/>
                <w:bCs/>
                <w:color w:val="auto"/>
                <w:sz w:val="21"/>
                <w:szCs w:val="21"/>
                <w:highlight w:val="none"/>
              </w:rPr>
            </w:pPr>
          </w:p>
          <w:p w14:paraId="7079CEA3">
            <w:pPr>
              <w:pStyle w:val="25"/>
              <w:spacing w:after="0" w:line="240" w:lineRule="auto"/>
              <w:ind w:left="0" w:leftChars="0" w:firstLine="0" w:firstLineChars="0"/>
              <w:rPr>
                <w:rFonts w:hint="eastAsia" w:ascii="微软雅黑" w:hAnsi="微软雅黑" w:eastAsia="微软雅黑" w:cs="微软雅黑"/>
                <w:b/>
                <w:bCs/>
                <w:color w:val="auto"/>
                <w:sz w:val="21"/>
                <w:szCs w:val="21"/>
                <w:highlight w:val="none"/>
                <w:lang w:eastAsia="zh-CN"/>
              </w:rPr>
            </w:pPr>
            <w:r>
              <w:rPr>
                <w:rFonts w:hint="eastAsia" w:ascii="微软雅黑" w:hAnsi="微软雅黑" w:eastAsia="微软雅黑" w:cs="微软雅黑"/>
                <w:b/>
                <w:bCs/>
                <w:color w:val="auto"/>
                <w:sz w:val="21"/>
                <w:szCs w:val="21"/>
                <w:highlight w:val="none"/>
              </w:rPr>
              <w:t>8.精密数字（微差压）压力计</w:t>
            </w:r>
            <w:r>
              <w:rPr>
                <w:rFonts w:hint="eastAsia" w:ascii="微软雅黑" w:hAnsi="微软雅黑" w:eastAsia="微软雅黑" w:cs="微软雅黑"/>
                <w:b/>
                <w:bCs/>
                <w:color w:val="auto"/>
                <w:sz w:val="21"/>
                <w:szCs w:val="21"/>
                <w:highlight w:val="none"/>
                <w:lang w:val="en-US" w:eastAsia="zh-CN"/>
              </w:rPr>
              <w:t>演示：</w:t>
            </w:r>
            <w:r>
              <w:rPr>
                <w:rFonts w:hint="eastAsia" w:ascii="微软雅黑" w:hAnsi="微软雅黑" w:eastAsia="微软雅黑" w:cs="微软雅黑"/>
                <w:b/>
                <w:bCs/>
                <w:color w:val="auto"/>
                <w:sz w:val="21"/>
                <w:szCs w:val="21"/>
                <w:highlight w:val="none"/>
              </w:rPr>
              <w:t>对</w:t>
            </w:r>
            <w:r>
              <w:rPr>
                <w:rFonts w:hint="eastAsia" w:ascii="微软雅黑" w:hAnsi="微软雅黑" w:eastAsia="微软雅黑" w:cs="微软雅黑"/>
                <w:color w:val="auto"/>
                <w:sz w:val="21"/>
                <w:szCs w:val="21"/>
                <w:highlight w:val="none"/>
              </w:rPr>
              <w:t>配套表面张力实验装置三维实物仿真软件演示，软件采用3D虚拟仿真技术，包含：实验原理、实验仪器简介、实物仿真操作、实验虚拟考核、数据分析处理；可对接教学管理平台。</w:t>
            </w:r>
            <w:r>
              <w:rPr>
                <w:rFonts w:hint="eastAsia" w:ascii="微软雅黑" w:hAnsi="微软雅黑" w:eastAsia="微软雅黑" w:cs="微软雅黑"/>
                <w:b/>
                <w:bCs/>
                <w:color w:val="auto"/>
                <w:sz w:val="21"/>
                <w:szCs w:val="21"/>
                <w:highlight w:val="none"/>
                <w:lang w:val="en-US" w:eastAsia="zh-CN"/>
              </w:rPr>
              <w:t>投标文件中需配合演示提供截图不少于三张</w:t>
            </w:r>
            <w:r>
              <w:rPr>
                <w:rFonts w:hint="eastAsia" w:ascii="微软雅黑" w:hAnsi="微软雅黑" w:eastAsia="微软雅黑" w:cs="微软雅黑"/>
                <w:b/>
                <w:bCs/>
                <w:color w:val="auto"/>
                <w:sz w:val="21"/>
                <w:szCs w:val="21"/>
                <w:highlight w:val="none"/>
              </w:rPr>
              <w:t>。以上内容全部演示得1分，</w:t>
            </w:r>
            <w:r>
              <w:rPr>
                <w:rFonts w:hint="eastAsia" w:ascii="微软雅黑" w:hAnsi="微软雅黑" w:eastAsia="微软雅黑" w:cs="微软雅黑"/>
                <w:b/>
                <w:bCs/>
                <w:color w:val="auto"/>
                <w:sz w:val="21"/>
                <w:szCs w:val="21"/>
                <w:highlight w:val="none"/>
                <w:lang w:val="en-US" w:eastAsia="zh-CN"/>
              </w:rPr>
              <w:t>投标文件中无演示截图、截图少于三张、</w:t>
            </w:r>
            <w:r>
              <w:rPr>
                <w:rFonts w:hint="eastAsia" w:ascii="微软雅黑" w:hAnsi="微软雅黑" w:eastAsia="微软雅黑" w:cs="微软雅黑"/>
                <w:b/>
                <w:bCs/>
                <w:color w:val="auto"/>
                <w:sz w:val="21"/>
                <w:szCs w:val="21"/>
                <w:highlight w:val="none"/>
              </w:rPr>
              <w:t>演示不完整</w:t>
            </w:r>
            <w:r>
              <w:rPr>
                <w:rFonts w:hint="eastAsia" w:ascii="微软雅黑" w:hAnsi="微软雅黑" w:eastAsia="微软雅黑" w:cs="微软雅黑"/>
                <w:b/>
                <w:bCs/>
                <w:color w:val="auto"/>
                <w:sz w:val="21"/>
                <w:szCs w:val="21"/>
                <w:highlight w:val="none"/>
                <w:lang w:val="en-US" w:eastAsia="zh-CN"/>
              </w:rPr>
              <w:t>或</w:t>
            </w:r>
            <w:r>
              <w:rPr>
                <w:rFonts w:hint="eastAsia" w:ascii="微软雅黑" w:hAnsi="微软雅黑" w:eastAsia="微软雅黑" w:cs="微软雅黑"/>
                <w:b/>
                <w:bCs/>
                <w:color w:val="auto"/>
                <w:sz w:val="21"/>
                <w:szCs w:val="21"/>
                <w:highlight w:val="none"/>
              </w:rPr>
              <w:t>不演示得0分</w:t>
            </w:r>
            <w:r>
              <w:rPr>
                <w:rFonts w:hint="eastAsia" w:ascii="微软雅黑" w:hAnsi="微软雅黑" w:eastAsia="微软雅黑" w:cs="微软雅黑"/>
                <w:b/>
                <w:bCs/>
                <w:color w:val="auto"/>
                <w:sz w:val="21"/>
                <w:szCs w:val="21"/>
                <w:highlight w:val="none"/>
                <w:lang w:eastAsia="zh-CN"/>
              </w:rPr>
              <w:t>。</w:t>
            </w:r>
          </w:p>
          <w:p w14:paraId="10A4E279">
            <w:pPr>
              <w:pStyle w:val="25"/>
              <w:spacing w:after="0" w:line="240" w:lineRule="auto"/>
              <w:ind w:left="0" w:leftChars="0" w:firstLine="0" w:firstLineChars="0"/>
              <w:rPr>
                <w:rFonts w:hint="eastAsia" w:ascii="微软雅黑" w:hAnsi="微软雅黑" w:eastAsia="微软雅黑" w:cs="微软雅黑"/>
                <w:b/>
                <w:bCs/>
                <w:color w:val="auto"/>
                <w:sz w:val="21"/>
                <w:szCs w:val="21"/>
                <w:highlight w:val="none"/>
              </w:rPr>
            </w:pPr>
          </w:p>
          <w:p w14:paraId="2D70DBD3">
            <w:pPr>
              <w:pStyle w:val="25"/>
              <w:spacing w:after="0" w:line="240" w:lineRule="auto"/>
              <w:ind w:left="0" w:leftChars="0" w:firstLine="0" w:firstLineChars="0"/>
              <w:rPr>
                <w:rFonts w:hint="eastAsia" w:ascii="微软雅黑" w:hAnsi="微软雅黑" w:eastAsia="微软雅黑" w:cs="微软雅黑"/>
                <w:color w:val="auto"/>
                <w:sz w:val="21"/>
                <w:szCs w:val="21"/>
                <w:highlight w:val="none"/>
                <w:lang w:eastAsia="zh-CN"/>
              </w:rPr>
            </w:pPr>
            <w:r>
              <w:rPr>
                <w:rFonts w:hint="eastAsia" w:ascii="微软雅黑" w:hAnsi="微软雅黑" w:eastAsia="微软雅黑" w:cs="微软雅黑"/>
                <w:b/>
                <w:bCs/>
                <w:color w:val="auto"/>
                <w:sz w:val="21"/>
                <w:szCs w:val="21"/>
                <w:highlight w:val="none"/>
              </w:rPr>
              <w:t>9.</w:t>
            </w:r>
            <w:r>
              <w:rPr>
                <w:rFonts w:hint="eastAsia" w:ascii="微软雅黑" w:hAnsi="微软雅黑" w:eastAsia="微软雅黑" w:cs="微软雅黑"/>
                <w:color w:val="auto"/>
                <w:sz w:val="21"/>
                <w:szCs w:val="21"/>
                <w:highlight w:val="none"/>
              </w:rPr>
              <w:t>电导率仪</w:t>
            </w:r>
            <w:r>
              <w:rPr>
                <w:rFonts w:hint="eastAsia" w:ascii="微软雅黑" w:hAnsi="微软雅黑" w:eastAsia="微软雅黑" w:cs="微软雅黑"/>
                <w:color w:val="auto"/>
                <w:sz w:val="21"/>
                <w:szCs w:val="21"/>
                <w:highlight w:val="none"/>
                <w:lang w:val="en-US" w:eastAsia="zh-CN"/>
              </w:rPr>
              <w:t>演示：</w:t>
            </w:r>
            <w:r>
              <w:rPr>
                <w:rFonts w:hint="eastAsia" w:ascii="微软雅黑" w:hAnsi="微软雅黑" w:eastAsia="微软雅黑" w:cs="微软雅黑"/>
                <w:color w:val="auto"/>
                <w:sz w:val="21"/>
                <w:szCs w:val="21"/>
                <w:highlight w:val="none"/>
              </w:rPr>
              <w:t>对配套实验室化学仪器操作三维虚拟仿真系列软件</w:t>
            </w:r>
            <w:r>
              <w:rPr>
                <w:rFonts w:hint="eastAsia" w:ascii="微软雅黑" w:hAnsi="微软雅黑" w:eastAsia="微软雅黑" w:cs="微软雅黑"/>
                <w:color w:val="auto"/>
                <w:szCs w:val="21"/>
                <w:highlight w:val="none"/>
              </w:rPr>
              <w:t>手机端</w:t>
            </w:r>
            <w:r>
              <w:rPr>
                <w:rFonts w:hint="eastAsia" w:ascii="微软雅黑" w:hAnsi="微软雅黑" w:eastAsia="微软雅黑" w:cs="微软雅黑"/>
                <w:color w:val="auto"/>
                <w:sz w:val="21"/>
                <w:szCs w:val="21"/>
                <w:highlight w:val="none"/>
              </w:rPr>
              <w:t>演示，包含电导率仪</w:t>
            </w:r>
            <w:r>
              <w:rPr>
                <w:rFonts w:hint="eastAsia" w:ascii="微软雅黑" w:hAnsi="微软雅黑" w:eastAsia="微软雅黑" w:cs="微软雅黑"/>
                <w:color w:val="auto"/>
                <w:sz w:val="21"/>
                <w:szCs w:val="21"/>
                <w:highlight w:val="none"/>
                <w:lang w:val="en-US" w:eastAsia="zh-CN"/>
              </w:rPr>
              <w:t xml:space="preserve"> </w:t>
            </w:r>
            <w:r>
              <w:rPr>
                <w:rFonts w:hint="eastAsia" w:ascii="微软雅黑" w:hAnsi="微软雅黑" w:eastAsia="微软雅黑" w:cs="微软雅黑"/>
                <w:color w:val="auto"/>
                <w:sz w:val="21"/>
                <w:szCs w:val="21"/>
                <w:highlight w:val="none"/>
              </w:rPr>
              <w:t>、超级恒温水浴、玻璃恒温水浴、烘箱、通风厨</w:t>
            </w:r>
            <w:r>
              <w:rPr>
                <w:rFonts w:hint="eastAsia" w:ascii="微软雅黑" w:hAnsi="微软雅黑" w:eastAsia="微软雅黑" w:cs="微软雅黑"/>
                <w:color w:val="auto"/>
                <w:sz w:val="21"/>
                <w:szCs w:val="21"/>
                <w:highlight w:val="none"/>
                <w:lang w:val="en-US" w:eastAsia="zh-CN"/>
              </w:rPr>
              <w:t xml:space="preserve"> </w:t>
            </w:r>
            <w:r>
              <w:rPr>
                <w:rFonts w:hint="eastAsia" w:ascii="微软雅黑" w:hAnsi="微软雅黑" w:eastAsia="微软雅黑" w:cs="微软雅黑"/>
                <w:color w:val="auto"/>
                <w:sz w:val="21"/>
                <w:szCs w:val="21"/>
                <w:highlight w:val="none"/>
              </w:rPr>
              <w:t>、离心机</w:t>
            </w:r>
            <w:r>
              <w:rPr>
                <w:rFonts w:hint="eastAsia" w:ascii="微软雅黑" w:hAnsi="微软雅黑" w:eastAsia="微软雅黑" w:cs="微软雅黑"/>
                <w:color w:val="auto"/>
                <w:sz w:val="21"/>
                <w:szCs w:val="21"/>
                <w:highlight w:val="none"/>
                <w:lang w:val="en-US" w:eastAsia="zh-CN"/>
              </w:rPr>
              <w:t xml:space="preserve"> </w:t>
            </w:r>
            <w:r>
              <w:rPr>
                <w:rFonts w:hint="eastAsia" w:ascii="微软雅黑" w:hAnsi="微软雅黑" w:eastAsia="微软雅黑" w:cs="微软雅黑"/>
                <w:color w:val="auto"/>
                <w:sz w:val="21"/>
                <w:szCs w:val="21"/>
                <w:highlight w:val="none"/>
              </w:rPr>
              <w:t>、分光光度计</w:t>
            </w:r>
            <w:r>
              <w:rPr>
                <w:rFonts w:hint="eastAsia" w:ascii="微软雅黑" w:hAnsi="微软雅黑" w:eastAsia="微软雅黑" w:cs="微软雅黑"/>
                <w:color w:val="auto"/>
                <w:sz w:val="21"/>
                <w:szCs w:val="21"/>
                <w:highlight w:val="none"/>
                <w:lang w:val="en-US" w:eastAsia="zh-CN"/>
              </w:rPr>
              <w:t xml:space="preserve"> </w:t>
            </w:r>
            <w:r>
              <w:rPr>
                <w:rFonts w:hint="eastAsia" w:ascii="微软雅黑" w:hAnsi="微软雅黑" w:eastAsia="微软雅黑" w:cs="微软雅黑"/>
                <w:color w:val="auto"/>
                <w:sz w:val="21"/>
                <w:szCs w:val="21"/>
                <w:highlight w:val="none"/>
              </w:rPr>
              <w:t>、离子计</w:t>
            </w:r>
            <w:r>
              <w:rPr>
                <w:rFonts w:hint="eastAsia" w:ascii="微软雅黑" w:hAnsi="微软雅黑" w:eastAsia="微软雅黑" w:cs="微软雅黑"/>
                <w:color w:val="auto"/>
                <w:sz w:val="21"/>
                <w:szCs w:val="21"/>
                <w:highlight w:val="none"/>
                <w:lang w:val="en-US" w:eastAsia="zh-CN"/>
              </w:rPr>
              <w:t xml:space="preserve"> </w:t>
            </w:r>
            <w:r>
              <w:rPr>
                <w:rFonts w:hint="eastAsia" w:ascii="微软雅黑" w:hAnsi="微软雅黑" w:eastAsia="微软雅黑" w:cs="微软雅黑"/>
                <w:color w:val="auto"/>
                <w:sz w:val="21"/>
                <w:szCs w:val="21"/>
                <w:highlight w:val="none"/>
              </w:rPr>
              <w:t>、阿贝折光仪</w:t>
            </w:r>
            <w:r>
              <w:rPr>
                <w:rFonts w:hint="eastAsia" w:ascii="微软雅黑" w:hAnsi="微软雅黑" w:eastAsia="微软雅黑" w:cs="微软雅黑"/>
                <w:color w:val="auto"/>
                <w:sz w:val="21"/>
                <w:szCs w:val="21"/>
                <w:highlight w:val="none"/>
                <w:lang w:val="en-US" w:eastAsia="zh-CN"/>
              </w:rPr>
              <w:t xml:space="preserve"> </w:t>
            </w:r>
            <w:r>
              <w:rPr>
                <w:rFonts w:hint="eastAsia" w:ascii="微软雅黑" w:hAnsi="微软雅黑" w:eastAsia="微软雅黑" w:cs="微软雅黑"/>
                <w:color w:val="auto"/>
                <w:sz w:val="21"/>
                <w:szCs w:val="21"/>
                <w:highlight w:val="none"/>
              </w:rPr>
              <w:t>、烘箱</w:t>
            </w:r>
            <w:r>
              <w:rPr>
                <w:rFonts w:hint="eastAsia" w:ascii="微软雅黑" w:hAnsi="微软雅黑" w:eastAsia="微软雅黑" w:cs="微软雅黑"/>
                <w:color w:val="auto"/>
                <w:sz w:val="21"/>
                <w:szCs w:val="21"/>
                <w:highlight w:val="none"/>
                <w:lang w:val="en-US" w:eastAsia="zh-CN"/>
              </w:rPr>
              <w:t xml:space="preserve"> </w:t>
            </w:r>
            <w:r>
              <w:rPr>
                <w:rFonts w:hint="eastAsia" w:ascii="微软雅黑" w:hAnsi="微软雅黑" w:eastAsia="微软雅黑" w:cs="微软雅黑"/>
                <w:color w:val="auto"/>
                <w:sz w:val="21"/>
                <w:szCs w:val="21"/>
                <w:highlight w:val="none"/>
              </w:rPr>
              <w:t>、PH计</w:t>
            </w:r>
            <w:r>
              <w:rPr>
                <w:rFonts w:hint="eastAsia" w:ascii="微软雅黑" w:hAnsi="微软雅黑" w:eastAsia="微软雅黑" w:cs="微软雅黑"/>
                <w:color w:val="auto"/>
                <w:sz w:val="21"/>
                <w:szCs w:val="21"/>
                <w:highlight w:val="none"/>
                <w:lang w:val="en-US" w:eastAsia="zh-CN"/>
              </w:rPr>
              <w:t xml:space="preserve"> </w:t>
            </w:r>
            <w:r>
              <w:rPr>
                <w:rFonts w:hint="eastAsia" w:ascii="微软雅黑" w:hAnsi="微软雅黑" w:eastAsia="微软雅黑" w:cs="微软雅黑"/>
                <w:color w:val="auto"/>
                <w:sz w:val="21"/>
                <w:szCs w:val="21"/>
                <w:highlight w:val="none"/>
              </w:rPr>
              <w:t>、旋光仪包括配制溶液、仪器零点校正和反映过程的旋光度测定三个部分，</w:t>
            </w:r>
            <w:r>
              <w:rPr>
                <w:rFonts w:hint="eastAsia" w:ascii="微软雅黑" w:hAnsi="微软雅黑" w:eastAsia="微软雅黑" w:cs="微软雅黑"/>
                <w:color w:val="auto"/>
                <w:sz w:val="21"/>
                <w:szCs w:val="21"/>
                <w:highlight w:val="none"/>
                <w:lang w:eastAsia="zh-CN"/>
              </w:rPr>
              <w:t>评审委员会根据演示内容是否与</w:t>
            </w:r>
            <w:r>
              <w:rPr>
                <w:rFonts w:hint="eastAsia" w:ascii="微软雅黑" w:hAnsi="微软雅黑" w:eastAsia="微软雅黑" w:cs="微软雅黑"/>
                <w:color w:val="auto"/>
                <w:sz w:val="21"/>
                <w:szCs w:val="21"/>
                <w:highlight w:val="none"/>
              </w:rPr>
              <w:t>采购需求符合性或匹配度进行打分</w:t>
            </w:r>
            <w:r>
              <w:rPr>
                <w:rFonts w:hint="eastAsia" w:ascii="微软雅黑" w:hAnsi="微软雅黑" w:eastAsia="微软雅黑" w:cs="微软雅黑"/>
                <w:color w:val="auto"/>
                <w:sz w:val="21"/>
                <w:szCs w:val="21"/>
                <w:highlight w:val="none"/>
                <w:lang w:eastAsia="zh-CN"/>
              </w:rPr>
              <w:t>；</w:t>
            </w:r>
            <w:r>
              <w:rPr>
                <w:rFonts w:hint="eastAsia" w:ascii="微软雅黑" w:hAnsi="微软雅黑" w:cs="微软雅黑"/>
                <w:color w:val="auto"/>
                <w:szCs w:val="21"/>
                <w:highlight w:val="none"/>
                <w:lang w:val="en-US" w:eastAsia="zh-CN"/>
              </w:rPr>
              <w:t xml:space="preserve"> </w:t>
            </w:r>
            <w:r>
              <w:rPr>
                <w:rFonts w:hint="eastAsia" w:ascii="微软雅黑" w:hAnsi="微软雅黑" w:eastAsia="微软雅黑" w:cs="微软雅黑"/>
                <w:b/>
                <w:bCs/>
                <w:color w:val="auto"/>
                <w:sz w:val="21"/>
                <w:szCs w:val="21"/>
                <w:highlight w:val="none"/>
                <w:lang w:val="en-US" w:eastAsia="zh-CN"/>
              </w:rPr>
              <w:t>（演示详细，步骤完整完全符合采购需求的1分，不够详细大部分符合的得0.5分，有部分不符合可能影响项目实施的得0.2分，投标文件中需配合演示提供截图不少于三张，投标文件中无演示截图、截图少于三张、演示不完整或不演示得0分。）</w:t>
            </w:r>
          </w:p>
        </w:tc>
        <w:tc>
          <w:tcPr>
            <w:tcW w:w="787" w:type="dxa"/>
            <w:tcBorders>
              <w:top w:val="single" w:color="auto" w:sz="4" w:space="0"/>
              <w:left w:val="single" w:color="auto" w:sz="4" w:space="0"/>
              <w:bottom w:val="single" w:color="auto" w:sz="4" w:space="0"/>
              <w:right w:val="single" w:color="auto" w:sz="4" w:space="0"/>
            </w:tcBorders>
            <w:vAlign w:val="center"/>
          </w:tcPr>
          <w:p w14:paraId="5DADF5F5">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9</w:t>
            </w:r>
          </w:p>
        </w:tc>
        <w:tc>
          <w:tcPr>
            <w:tcW w:w="787" w:type="dxa"/>
            <w:tcBorders>
              <w:top w:val="single" w:color="auto" w:sz="4" w:space="0"/>
              <w:left w:val="single" w:color="auto" w:sz="4" w:space="0"/>
              <w:bottom w:val="single" w:color="auto" w:sz="4" w:space="0"/>
              <w:right w:val="single" w:color="auto" w:sz="4" w:space="0"/>
            </w:tcBorders>
            <w:vAlign w:val="center"/>
          </w:tcPr>
          <w:p w14:paraId="75C19CB4">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主观</w:t>
            </w:r>
          </w:p>
        </w:tc>
      </w:tr>
      <w:tr w14:paraId="0F1A00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jc w:val="center"/>
        </w:trPr>
        <w:tc>
          <w:tcPr>
            <w:tcW w:w="797" w:type="dxa"/>
            <w:tcBorders>
              <w:left w:val="single" w:color="auto" w:sz="4" w:space="0"/>
              <w:right w:val="single" w:color="auto" w:sz="4" w:space="0"/>
            </w:tcBorders>
            <w:vAlign w:val="center"/>
          </w:tcPr>
          <w:p w14:paraId="318681B1">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5</w:t>
            </w:r>
          </w:p>
        </w:tc>
        <w:tc>
          <w:tcPr>
            <w:tcW w:w="1308" w:type="dxa"/>
            <w:tcBorders>
              <w:top w:val="single" w:color="auto" w:sz="4" w:space="0"/>
              <w:left w:val="single" w:color="auto" w:sz="4" w:space="0"/>
              <w:bottom w:val="single" w:color="auto" w:sz="4" w:space="0"/>
              <w:right w:val="single" w:color="auto" w:sz="4" w:space="0"/>
            </w:tcBorders>
            <w:vAlign w:val="center"/>
          </w:tcPr>
          <w:p w14:paraId="102A2218">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交货进度</w:t>
            </w:r>
          </w:p>
        </w:tc>
        <w:tc>
          <w:tcPr>
            <w:tcW w:w="6304" w:type="dxa"/>
            <w:tcBorders>
              <w:top w:val="single" w:color="auto" w:sz="4" w:space="0"/>
              <w:left w:val="single" w:color="auto" w:sz="4" w:space="0"/>
              <w:right w:val="single" w:color="auto" w:sz="4" w:space="0"/>
            </w:tcBorders>
            <w:vAlign w:val="center"/>
          </w:tcPr>
          <w:p w14:paraId="3B6AAE70">
            <w:pPr>
              <w:pStyle w:val="28"/>
              <w:spacing w:after="0" w:line="240" w:lineRule="auto"/>
              <w:ind w:firstLine="0" w:firstLineChars="0"/>
              <w:rPr>
                <w:rFonts w:hint="default" w:ascii="微软雅黑" w:hAnsi="微软雅黑" w:eastAsia="微软雅黑" w:cs="微软雅黑"/>
                <w:color w:val="auto"/>
                <w:kern w:val="0"/>
                <w:szCs w:val="21"/>
                <w:highlight w:val="none"/>
                <w:lang w:val="en-US" w:eastAsia="zh-CN"/>
              </w:rPr>
            </w:pPr>
            <w:r>
              <w:rPr>
                <w:rFonts w:hint="eastAsia" w:ascii="微软雅黑" w:hAnsi="微软雅黑" w:cs="微软雅黑"/>
                <w:color w:val="auto"/>
                <w:kern w:val="0"/>
                <w:szCs w:val="21"/>
                <w:highlight w:val="none"/>
              </w:rPr>
              <w:t>在满足招标文件交货日期的基础上，每提前一周得1分，最高得2分。</w:t>
            </w:r>
            <w:r>
              <w:rPr>
                <w:rFonts w:hint="eastAsia" w:ascii="微软雅黑" w:hAnsi="微软雅黑" w:cs="微软雅黑"/>
                <w:b/>
                <w:bCs/>
                <w:color w:val="auto"/>
                <w:kern w:val="0"/>
                <w:szCs w:val="21"/>
                <w:highlight w:val="none"/>
                <w:lang w:eastAsia="zh-CN"/>
              </w:rPr>
              <w:t>（</w:t>
            </w:r>
            <w:r>
              <w:rPr>
                <w:rFonts w:hint="eastAsia" w:ascii="微软雅黑" w:hAnsi="微软雅黑" w:cs="微软雅黑"/>
                <w:b/>
                <w:bCs/>
                <w:color w:val="auto"/>
                <w:kern w:val="0"/>
                <w:szCs w:val="21"/>
                <w:highlight w:val="none"/>
                <w:lang w:val="en-US" w:eastAsia="zh-CN"/>
              </w:rPr>
              <w:t>投标文件中提供交货日期提前的的承诺书，不提供承诺书本项不得分。后期如不按期交货的，每延迟一天则扣除合同金额的2%）</w:t>
            </w:r>
          </w:p>
        </w:tc>
        <w:tc>
          <w:tcPr>
            <w:tcW w:w="787" w:type="dxa"/>
            <w:tcBorders>
              <w:top w:val="single" w:color="auto" w:sz="4" w:space="0"/>
              <w:left w:val="single" w:color="auto" w:sz="4" w:space="0"/>
              <w:bottom w:val="single" w:color="auto" w:sz="4" w:space="0"/>
              <w:right w:val="single" w:color="auto" w:sz="4" w:space="0"/>
            </w:tcBorders>
            <w:vAlign w:val="center"/>
          </w:tcPr>
          <w:p w14:paraId="06B2CF9D">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2</w:t>
            </w:r>
          </w:p>
        </w:tc>
        <w:tc>
          <w:tcPr>
            <w:tcW w:w="787" w:type="dxa"/>
            <w:tcBorders>
              <w:top w:val="single" w:color="auto" w:sz="4" w:space="0"/>
              <w:left w:val="single" w:color="auto" w:sz="4" w:space="0"/>
              <w:bottom w:val="single" w:color="auto" w:sz="4" w:space="0"/>
              <w:right w:val="single" w:color="auto" w:sz="4" w:space="0"/>
            </w:tcBorders>
            <w:vAlign w:val="center"/>
          </w:tcPr>
          <w:p w14:paraId="14D3741C">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客观</w:t>
            </w:r>
          </w:p>
        </w:tc>
      </w:tr>
      <w:tr w14:paraId="3E3539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jc w:val="center"/>
        </w:trPr>
        <w:tc>
          <w:tcPr>
            <w:tcW w:w="797" w:type="dxa"/>
            <w:tcBorders>
              <w:left w:val="single" w:color="auto" w:sz="4" w:space="0"/>
              <w:right w:val="single" w:color="auto" w:sz="4" w:space="0"/>
            </w:tcBorders>
            <w:vAlign w:val="center"/>
          </w:tcPr>
          <w:p w14:paraId="73A0A61B">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6</w:t>
            </w:r>
          </w:p>
        </w:tc>
        <w:tc>
          <w:tcPr>
            <w:tcW w:w="1308" w:type="dxa"/>
            <w:tcBorders>
              <w:top w:val="single" w:color="auto" w:sz="4" w:space="0"/>
              <w:left w:val="single" w:color="auto" w:sz="4" w:space="0"/>
              <w:bottom w:val="single" w:color="auto" w:sz="4" w:space="0"/>
              <w:right w:val="single" w:color="auto" w:sz="4" w:space="0"/>
            </w:tcBorders>
            <w:vAlign w:val="center"/>
          </w:tcPr>
          <w:p w14:paraId="75114900">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售后服务</w:t>
            </w:r>
          </w:p>
        </w:tc>
        <w:tc>
          <w:tcPr>
            <w:tcW w:w="6304" w:type="dxa"/>
            <w:tcBorders>
              <w:top w:val="single" w:color="auto" w:sz="4" w:space="0"/>
              <w:left w:val="single" w:color="auto" w:sz="4" w:space="0"/>
              <w:right w:val="single" w:color="auto" w:sz="4" w:space="0"/>
            </w:tcBorders>
            <w:vAlign w:val="center"/>
          </w:tcPr>
          <w:p w14:paraId="332A741F">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在满足招标文件免费质保</w:t>
            </w:r>
            <w:r>
              <w:rPr>
                <w:rFonts w:hint="eastAsia" w:ascii="微软雅黑" w:hAnsi="微软雅黑" w:cs="微软雅黑"/>
                <w:color w:val="auto"/>
                <w:kern w:val="0"/>
                <w:szCs w:val="21"/>
                <w:highlight w:val="none"/>
                <w:lang w:val="en-US" w:eastAsia="zh-CN"/>
              </w:rPr>
              <w:t>期后</w:t>
            </w:r>
            <w:r>
              <w:rPr>
                <w:rFonts w:hint="eastAsia" w:ascii="微软雅黑" w:hAnsi="微软雅黑" w:cs="微软雅黑"/>
                <w:color w:val="auto"/>
                <w:kern w:val="0"/>
                <w:szCs w:val="21"/>
                <w:highlight w:val="none"/>
              </w:rPr>
              <w:t>，每免费</w:t>
            </w:r>
            <w:r>
              <w:rPr>
                <w:rFonts w:hint="eastAsia" w:ascii="微软雅黑" w:hAnsi="微软雅黑" w:cs="微软雅黑"/>
                <w:color w:val="auto"/>
                <w:kern w:val="0"/>
                <w:szCs w:val="21"/>
                <w:highlight w:val="none"/>
                <w:lang w:val="en-US" w:eastAsia="zh-CN"/>
              </w:rPr>
              <w:t>每</w:t>
            </w:r>
            <w:r>
              <w:rPr>
                <w:rFonts w:hint="eastAsia" w:ascii="微软雅黑" w:hAnsi="微软雅黑" w:cs="微软雅黑"/>
                <w:color w:val="auto"/>
                <w:kern w:val="0"/>
                <w:szCs w:val="21"/>
                <w:highlight w:val="none"/>
              </w:rPr>
              <w:t>延长质保期1年得1分，最高的3分；</w:t>
            </w:r>
          </w:p>
          <w:p w14:paraId="7EB58B1F">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根据售后服务保障案（包括免费服务范围、主要服务内容、解决问题方案、排除问题的速度等），</w:t>
            </w:r>
            <w:r>
              <w:rPr>
                <w:rFonts w:hint="eastAsia" w:ascii="微软雅黑" w:hAnsi="微软雅黑" w:cs="微软雅黑"/>
                <w:color w:val="auto"/>
                <w:szCs w:val="21"/>
                <w:highlight w:val="none"/>
              </w:rPr>
              <w:t>是否与采购需求符合性或匹配度进行打分</w:t>
            </w:r>
            <w:r>
              <w:rPr>
                <w:rFonts w:hint="eastAsia" w:ascii="微软雅黑" w:hAnsi="微软雅黑" w:cs="微软雅黑"/>
                <w:color w:val="auto"/>
                <w:szCs w:val="21"/>
                <w:highlight w:val="none"/>
                <w:lang w:eastAsia="zh-CN"/>
              </w:rPr>
              <w:t>；</w:t>
            </w:r>
            <w:r>
              <w:rPr>
                <w:rFonts w:hint="eastAsia" w:ascii="微软雅黑" w:hAnsi="微软雅黑" w:cs="微软雅黑"/>
                <w:color w:val="auto"/>
                <w:szCs w:val="21"/>
                <w:highlight w:val="none"/>
                <w:lang w:val="en-US" w:eastAsia="zh-CN"/>
              </w:rPr>
              <w:t xml:space="preserve"> （</w:t>
            </w:r>
            <w:r>
              <w:rPr>
                <w:rFonts w:hint="eastAsia" w:ascii="微软雅黑" w:hAnsi="微软雅黑" w:cs="微软雅黑"/>
                <w:color w:val="auto"/>
                <w:szCs w:val="21"/>
                <w:highlight w:val="none"/>
              </w:rPr>
              <w:t>符合采购需求的3分，</w:t>
            </w:r>
            <w:r>
              <w:rPr>
                <w:rFonts w:hint="eastAsia" w:ascii="微软雅黑" w:hAnsi="微软雅黑" w:cs="微软雅黑"/>
                <w:color w:val="auto"/>
                <w:szCs w:val="21"/>
                <w:highlight w:val="none"/>
                <w:lang w:eastAsia="zh-CN"/>
              </w:rPr>
              <w:t>大</w:t>
            </w:r>
            <w:r>
              <w:rPr>
                <w:rFonts w:hint="eastAsia" w:ascii="微软雅黑" w:hAnsi="微软雅黑" w:cs="微软雅黑"/>
                <w:color w:val="auto"/>
                <w:szCs w:val="21"/>
                <w:highlight w:val="none"/>
              </w:rPr>
              <w:t>部分符合的得2分，</w:t>
            </w:r>
            <w:r>
              <w:rPr>
                <w:rFonts w:hint="eastAsia" w:ascii="微软雅黑" w:hAnsi="微软雅黑" w:cs="微软雅黑"/>
                <w:color w:val="auto"/>
                <w:szCs w:val="21"/>
                <w:highlight w:val="none"/>
                <w:lang w:eastAsia="zh-CN"/>
              </w:rPr>
              <w:t>有部分不</w:t>
            </w:r>
            <w:r>
              <w:rPr>
                <w:rFonts w:hint="eastAsia" w:ascii="微软雅黑" w:hAnsi="微软雅黑" w:cs="微软雅黑"/>
                <w:color w:val="auto"/>
                <w:szCs w:val="21"/>
                <w:highlight w:val="none"/>
              </w:rPr>
              <w:t>符合</w:t>
            </w:r>
            <w:r>
              <w:rPr>
                <w:rFonts w:hint="eastAsia" w:ascii="微软雅黑" w:hAnsi="微软雅黑" w:cs="微软雅黑"/>
                <w:color w:val="auto"/>
                <w:szCs w:val="21"/>
                <w:highlight w:val="none"/>
                <w:lang w:eastAsia="zh-CN"/>
              </w:rPr>
              <w:t>可能影响项目实施</w:t>
            </w:r>
            <w:r>
              <w:rPr>
                <w:rFonts w:hint="eastAsia" w:ascii="微软雅黑" w:hAnsi="微软雅黑" w:cs="微软雅黑"/>
                <w:color w:val="auto"/>
                <w:szCs w:val="21"/>
                <w:highlight w:val="none"/>
              </w:rPr>
              <w:t>的得1分，不提供不得分</w:t>
            </w:r>
            <w:r>
              <w:rPr>
                <w:rFonts w:hint="eastAsia" w:ascii="微软雅黑" w:hAnsi="微软雅黑" w:cs="微软雅黑"/>
                <w:color w:val="auto"/>
                <w:kern w:val="0"/>
                <w:szCs w:val="21"/>
                <w:highlight w:val="none"/>
                <w:lang w:bidi="ar"/>
              </w:rPr>
              <w:t>。</w:t>
            </w:r>
            <w:r>
              <w:rPr>
                <w:rFonts w:hint="eastAsia" w:ascii="微软雅黑" w:hAnsi="微软雅黑" w:cs="微软雅黑"/>
                <w:color w:val="auto"/>
                <w:szCs w:val="21"/>
                <w:highlight w:val="none"/>
              </w:rPr>
              <w:t>）</w:t>
            </w:r>
          </w:p>
        </w:tc>
        <w:tc>
          <w:tcPr>
            <w:tcW w:w="787" w:type="dxa"/>
            <w:tcBorders>
              <w:top w:val="single" w:color="auto" w:sz="4" w:space="0"/>
              <w:left w:val="single" w:color="auto" w:sz="4" w:space="0"/>
              <w:bottom w:val="single" w:color="auto" w:sz="4" w:space="0"/>
              <w:right w:val="single" w:color="auto" w:sz="4" w:space="0"/>
            </w:tcBorders>
            <w:vAlign w:val="center"/>
          </w:tcPr>
          <w:p w14:paraId="15A71781">
            <w:pPr>
              <w:spacing w:after="0" w:line="240" w:lineRule="auto"/>
              <w:ind w:firstLine="0" w:firstLineChars="0"/>
              <w:jc w:val="center"/>
              <w:rPr>
                <w:rFonts w:hint="eastAsia" w:ascii="微软雅黑" w:hAnsi="微软雅黑" w:eastAsia="微软雅黑" w:cs="微软雅黑"/>
                <w:color w:val="auto"/>
                <w:kern w:val="0"/>
                <w:szCs w:val="21"/>
                <w:highlight w:val="none"/>
                <w:lang w:eastAsia="zh-CN"/>
              </w:rPr>
            </w:pPr>
            <w:r>
              <w:rPr>
                <w:rFonts w:hint="eastAsia" w:ascii="微软雅黑" w:hAnsi="微软雅黑" w:cs="微软雅黑"/>
                <w:color w:val="auto"/>
                <w:kern w:val="0"/>
                <w:szCs w:val="21"/>
                <w:highlight w:val="none"/>
                <w:lang w:val="en-US" w:eastAsia="zh-CN"/>
              </w:rPr>
              <w:t>6</w:t>
            </w:r>
          </w:p>
        </w:tc>
        <w:tc>
          <w:tcPr>
            <w:tcW w:w="787" w:type="dxa"/>
            <w:tcBorders>
              <w:top w:val="single" w:color="auto" w:sz="4" w:space="0"/>
              <w:left w:val="single" w:color="auto" w:sz="4" w:space="0"/>
              <w:bottom w:val="single" w:color="auto" w:sz="4" w:space="0"/>
              <w:right w:val="single" w:color="auto" w:sz="4" w:space="0"/>
            </w:tcBorders>
            <w:vAlign w:val="center"/>
          </w:tcPr>
          <w:p w14:paraId="463D716D">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主观</w:t>
            </w:r>
          </w:p>
        </w:tc>
      </w:tr>
      <w:tr w14:paraId="48A42A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97" w:type="dxa"/>
            <w:tcBorders>
              <w:left w:val="single" w:color="auto" w:sz="4" w:space="0"/>
              <w:right w:val="single" w:color="auto" w:sz="4" w:space="0"/>
            </w:tcBorders>
            <w:vAlign w:val="center"/>
          </w:tcPr>
          <w:p w14:paraId="1AFD8AA1">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7</w:t>
            </w:r>
          </w:p>
        </w:tc>
        <w:tc>
          <w:tcPr>
            <w:tcW w:w="1308" w:type="dxa"/>
            <w:tcBorders>
              <w:top w:val="single" w:color="auto" w:sz="4" w:space="0"/>
              <w:left w:val="single" w:color="auto" w:sz="4" w:space="0"/>
              <w:bottom w:val="single" w:color="auto" w:sz="4" w:space="0"/>
              <w:right w:val="single" w:color="auto" w:sz="4" w:space="0"/>
            </w:tcBorders>
            <w:vAlign w:val="center"/>
          </w:tcPr>
          <w:p w14:paraId="0BBC0A6C">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配件耗材</w:t>
            </w:r>
          </w:p>
        </w:tc>
        <w:tc>
          <w:tcPr>
            <w:tcW w:w="6304" w:type="dxa"/>
            <w:tcBorders>
              <w:top w:val="single" w:color="auto" w:sz="4" w:space="0"/>
              <w:left w:val="single" w:color="auto" w:sz="4" w:space="0"/>
              <w:bottom w:val="single" w:color="auto" w:sz="4" w:space="0"/>
              <w:right w:val="single" w:color="auto" w:sz="4" w:space="0"/>
            </w:tcBorders>
            <w:vAlign w:val="center"/>
          </w:tcPr>
          <w:p w14:paraId="47E89319">
            <w:pPr>
              <w:spacing w:after="0" w:line="240" w:lineRule="auto"/>
              <w:ind w:firstLine="0" w:firstLineChars="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随机提供的耗材、备品配件、易损件是否齐全，保修期内外选购价格是否合理等</w:t>
            </w:r>
            <w:r>
              <w:rPr>
                <w:rFonts w:hint="eastAsia" w:ascii="微软雅黑" w:hAnsi="微软雅黑" w:cs="微软雅黑"/>
                <w:color w:val="auto"/>
                <w:szCs w:val="21"/>
                <w:highlight w:val="none"/>
              </w:rPr>
              <w:t>，是否与采购需求符合性或匹配度进行打分</w:t>
            </w:r>
            <w:r>
              <w:rPr>
                <w:rFonts w:hint="eastAsia" w:ascii="微软雅黑" w:hAnsi="微软雅黑" w:cs="微软雅黑"/>
                <w:color w:val="auto"/>
                <w:szCs w:val="21"/>
                <w:highlight w:val="none"/>
                <w:lang w:eastAsia="zh-CN"/>
              </w:rPr>
              <w:t>；（</w:t>
            </w:r>
            <w:r>
              <w:rPr>
                <w:rFonts w:hint="eastAsia" w:ascii="微软雅黑" w:hAnsi="微软雅黑" w:cs="微软雅黑"/>
                <w:color w:val="auto"/>
                <w:szCs w:val="21"/>
                <w:highlight w:val="none"/>
              </w:rPr>
              <w:t>符合采购需求的3分，</w:t>
            </w:r>
            <w:r>
              <w:rPr>
                <w:rFonts w:hint="eastAsia" w:ascii="微软雅黑" w:hAnsi="微软雅黑" w:cs="微软雅黑"/>
                <w:color w:val="auto"/>
                <w:szCs w:val="21"/>
                <w:highlight w:val="none"/>
                <w:lang w:eastAsia="zh-CN"/>
              </w:rPr>
              <w:t>大</w:t>
            </w:r>
            <w:r>
              <w:rPr>
                <w:rFonts w:hint="eastAsia" w:ascii="微软雅黑" w:hAnsi="微软雅黑" w:cs="微软雅黑"/>
                <w:color w:val="auto"/>
                <w:szCs w:val="21"/>
                <w:highlight w:val="none"/>
              </w:rPr>
              <w:t>部分符合的得2分，</w:t>
            </w:r>
            <w:r>
              <w:rPr>
                <w:rFonts w:hint="eastAsia" w:ascii="微软雅黑" w:hAnsi="微软雅黑" w:cs="微软雅黑"/>
                <w:color w:val="auto"/>
                <w:szCs w:val="21"/>
                <w:highlight w:val="none"/>
                <w:lang w:eastAsia="zh-CN"/>
              </w:rPr>
              <w:t>有部分不</w:t>
            </w:r>
            <w:r>
              <w:rPr>
                <w:rFonts w:hint="eastAsia" w:ascii="微软雅黑" w:hAnsi="微软雅黑" w:cs="微软雅黑"/>
                <w:color w:val="auto"/>
                <w:szCs w:val="21"/>
                <w:highlight w:val="none"/>
              </w:rPr>
              <w:t>符合</w:t>
            </w:r>
            <w:r>
              <w:rPr>
                <w:rFonts w:hint="eastAsia" w:ascii="微软雅黑" w:hAnsi="微软雅黑" w:cs="微软雅黑"/>
                <w:color w:val="auto"/>
                <w:szCs w:val="21"/>
                <w:highlight w:val="none"/>
                <w:lang w:eastAsia="zh-CN"/>
              </w:rPr>
              <w:t>可能影响项目实施</w:t>
            </w:r>
            <w:r>
              <w:rPr>
                <w:rFonts w:hint="eastAsia" w:ascii="微软雅黑" w:hAnsi="微软雅黑" w:cs="微软雅黑"/>
                <w:color w:val="auto"/>
                <w:szCs w:val="21"/>
                <w:highlight w:val="none"/>
              </w:rPr>
              <w:t>的得1分，不提供不得分</w:t>
            </w:r>
            <w:r>
              <w:rPr>
                <w:rFonts w:hint="eastAsia" w:ascii="微软雅黑" w:hAnsi="微软雅黑" w:cs="微软雅黑"/>
                <w:color w:val="auto"/>
                <w:kern w:val="0"/>
                <w:szCs w:val="21"/>
                <w:highlight w:val="none"/>
                <w:lang w:bidi="ar"/>
              </w:rPr>
              <w:t>。</w:t>
            </w:r>
            <w:r>
              <w:rPr>
                <w:rFonts w:hint="eastAsia" w:ascii="微软雅黑" w:hAnsi="微软雅黑" w:cs="微软雅黑"/>
                <w:color w:val="auto"/>
                <w:szCs w:val="21"/>
                <w:highlight w:val="none"/>
              </w:rPr>
              <w:t>）</w:t>
            </w:r>
          </w:p>
        </w:tc>
        <w:tc>
          <w:tcPr>
            <w:tcW w:w="787" w:type="dxa"/>
            <w:tcBorders>
              <w:top w:val="single" w:color="auto" w:sz="4" w:space="0"/>
              <w:left w:val="single" w:color="auto" w:sz="4" w:space="0"/>
              <w:bottom w:val="single" w:color="auto" w:sz="4" w:space="0"/>
              <w:right w:val="single" w:color="auto" w:sz="4" w:space="0"/>
            </w:tcBorders>
            <w:vAlign w:val="center"/>
          </w:tcPr>
          <w:p w14:paraId="405FF2F5">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3</w:t>
            </w:r>
          </w:p>
        </w:tc>
        <w:tc>
          <w:tcPr>
            <w:tcW w:w="787" w:type="dxa"/>
            <w:tcBorders>
              <w:top w:val="single" w:color="auto" w:sz="4" w:space="0"/>
              <w:left w:val="single" w:color="auto" w:sz="4" w:space="0"/>
              <w:bottom w:val="single" w:color="auto" w:sz="4" w:space="0"/>
              <w:right w:val="single" w:color="auto" w:sz="4" w:space="0"/>
            </w:tcBorders>
            <w:vAlign w:val="center"/>
          </w:tcPr>
          <w:p w14:paraId="3BF888C8">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主观</w:t>
            </w:r>
          </w:p>
        </w:tc>
      </w:tr>
      <w:tr w14:paraId="009E8C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97" w:type="dxa"/>
            <w:tcBorders>
              <w:left w:val="single" w:color="auto" w:sz="4" w:space="0"/>
              <w:bottom w:val="single" w:color="auto" w:sz="4" w:space="0"/>
              <w:right w:val="single" w:color="auto" w:sz="4" w:space="0"/>
            </w:tcBorders>
            <w:vAlign w:val="center"/>
          </w:tcPr>
          <w:p w14:paraId="5CEF6821">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小计</w:t>
            </w:r>
          </w:p>
        </w:tc>
        <w:tc>
          <w:tcPr>
            <w:tcW w:w="1308" w:type="dxa"/>
            <w:tcBorders>
              <w:top w:val="single" w:color="auto" w:sz="4" w:space="0"/>
              <w:left w:val="single" w:color="auto" w:sz="4" w:space="0"/>
              <w:bottom w:val="single" w:color="auto" w:sz="4" w:space="0"/>
              <w:right w:val="single" w:color="auto" w:sz="4" w:space="0"/>
            </w:tcBorders>
            <w:vAlign w:val="center"/>
          </w:tcPr>
          <w:p w14:paraId="677AA788">
            <w:pPr>
              <w:spacing w:after="0" w:line="240" w:lineRule="auto"/>
              <w:ind w:firstLine="0" w:firstLineChars="0"/>
              <w:jc w:val="center"/>
              <w:rPr>
                <w:rFonts w:ascii="微软雅黑" w:hAnsi="微软雅黑" w:cs="微软雅黑"/>
                <w:color w:val="auto"/>
                <w:kern w:val="0"/>
                <w:szCs w:val="21"/>
                <w:highlight w:val="none"/>
              </w:rPr>
            </w:pPr>
          </w:p>
        </w:tc>
        <w:tc>
          <w:tcPr>
            <w:tcW w:w="6304" w:type="dxa"/>
            <w:tcBorders>
              <w:top w:val="single" w:color="auto" w:sz="4" w:space="0"/>
              <w:left w:val="single" w:color="auto" w:sz="4" w:space="0"/>
              <w:bottom w:val="single" w:color="auto" w:sz="4" w:space="0"/>
              <w:right w:val="single" w:color="auto" w:sz="4" w:space="0"/>
            </w:tcBorders>
            <w:vAlign w:val="center"/>
          </w:tcPr>
          <w:p w14:paraId="6779FBAC">
            <w:pPr>
              <w:spacing w:after="0" w:line="240" w:lineRule="auto"/>
              <w:ind w:firstLine="0" w:firstLineChars="0"/>
              <w:rPr>
                <w:rFonts w:ascii="微软雅黑" w:hAnsi="微软雅黑" w:cs="微软雅黑"/>
                <w:color w:val="auto"/>
                <w:kern w:val="0"/>
                <w:szCs w:val="21"/>
                <w:highlight w:val="none"/>
              </w:rPr>
            </w:pPr>
          </w:p>
        </w:tc>
        <w:tc>
          <w:tcPr>
            <w:tcW w:w="787" w:type="dxa"/>
            <w:tcBorders>
              <w:top w:val="single" w:color="auto" w:sz="4" w:space="0"/>
              <w:left w:val="single" w:color="auto" w:sz="4" w:space="0"/>
              <w:bottom w:val="single" w:color="auto" w:sz="4" w:space="0"/>
              <w:right w:val="single" w:color="auto" w:sz="4" w:space="0"/>
            </w:tcBorders>
            <w:vAlign w:val="center"/>
          </w:tcPr>
          <w:p w14:paraId="4DB8EB92">
            <w:pPr>
              <w:spacing w:after="0" w:line="240" w:lineRule="auto"/>
              <w:ind w:firstLine="0" w:firstLineChars="0"/>
              <w:jc w:val="center"/>
              <w:rPr>
                <w:rFonts w:ascii="微软雅黑" w:hAnsi="微软雅黑" w:cs="微软雅黑"/>
                <w:color w:val="auto"/>
                <w:kern w:val="0"/>
                <w:szCs w:val="21"/>
                <w:highlight w:val="none"/>
              </w:rPr>
            </w:pPr>
            <w:r>
              <w:rPr>
                <w:rFonts w:ascii="微软雅黑" w:hAnsi="微软雅黑" w:cs="微软雅黑"/>
                <w:color w:val="auto"/>
                <w:kern w:val="0"/>
                <w:szCs w:val="21"/>
                <w:highlight w:val="none"/>
              </w:rPr>
              <w:fldChar w:fldCharType="begin"/>
            </w:r>
            <w:r>
              <w:rPr>
                <w:rFonts w:ascii="微软雅黑" w:hAnsi="微软雅黑" w:cs="微软雅黑"/>
                <w:color w:val="auto"/>
                <w:kern w:val="0"/>
                <w:szCs w:val="21"/>
                <w:highlight w:val="none"/>
              </w:rPr>
              <w:instrText xml:space="preserve"> = sum(D2:D8) \* MERGEFORMAT </w:instrText>
            </w:r>
            <w:r>
              <w:rPr>
                <w:rFonts w:ascii="微软雅黑" w:hAnsi="微软雅黑" w:cs="微软雅黑"/>
                <w:color w:val="auto"/>
                <w:kern w:val="0"/>
                <w:szCs w:val="21"/>
                <w:highlight w:val="none"/>
              </w:rPr>
              <w:fldChar w:fldCharType="separate"/>
            </w:r>
            <w:r>
              <w:rPr>
                <w:rFonts w:ascii="微软雅黑" w:hAnsi="微软雅黑" w:cs="微软雅黑"/>
                <w:color w:val="auto"/>
                <w:kern w:val="0"/>
                <w:szCs w:val="21"/>
                <w:highlight w:val="none"/>
              </w:rPr>
              <w:t>64</w:t>
            </w:r>
            <w:r>
              <w:rPr>
                <w:rFonts w:ascii="微软雅黑" w:hAnsi="微软雅黑" w:cs="微软雅黑"/>
                <w:color w:val="auto"/>
                <w:kern w:val="0"/>
                <w:szCs w:val="21"/>
                <w:highlight w:val="none"/>
              </w:rPr>
              <w:fldChar w:fldCharType="end"/>
            </w:r>
          </w:p>
        </w:tc>
        <w:tc>
          <w:tcPr>
            <w:tcW w:w="787" w:type="dxa"/>
            <w:tcBorders>
              <w:top w:val="single" w:color="auto" w:sz="4" w:space="0"/>
              <w:left w:val="single" w:color="auto" w:sz="4" w:space="0"/>
              <w:bottom w:val="single" w:color="auto" w:sz="4" w:space="0"/>
              <w:right w:val="single" w:color="auto" w:sz="4" w:space="0"/>
            </w:tcBorders>
            <w:vAlign w:val="center"/>
          </w:tcPr>
          <w:p w14:paraId="4A322411">
            <w:pPr>
              <w:spacing w:after="0" w:line="240" w:lineRule="auto"/>
              <w:ind w:firstLine="0" w:firstLineChars="0"/>
              <w:jc w:val="center"/>
              <w:rPr>
                <w:rFonts w:ascii="微软雅黑" w:hAnsi="微软雅黑" w:cs="微软雅黑"/>
                <w:color w:val="auto"/>
                <w:kern w:val="0"/>
                <w:szCs w:val="21"/>
                <w:highlight w:val="none"/>
              </w:rPr>
            </w:pPr>
          </w:p>
        </w:tc>
      </w:tr>
    </w:tbl>
    <w:p w14:paraId="5D8D3CAA">
      <w:pPr>
        <w:ind w:firstLineChars="0"/>
        <w:outlineLvl w:val="2"/>
        <w:rPr>
          <w:rFonts w:ascii="微软雅黑" w:hAnsi="微软雅黑" w:cs="宋体"/>
          <w:b/>
          <w:bCs/>
          <w:color w:val="auto"/>
          <w:szCs w:val="21"/>
          <w:highlight w:val="none"/>
        </w:rPr>
      </w:pPr>
      <w:r>
        <w:rPr>
          <w:rFonts w:hint="eastAsia" w:ascii="微软雅黑" w:hAnsi="微软雅黑" w:cs="宋体"/>
          <w:b/>
          <w:bCs/>
          <w:color w:val="auto"/>
          <w:szCs w:val="21"/>
          <w:highlight w:val="none"/>
        </w:rPr>
        <w:t>商务 资信及其他分</w:t>
      </w:r>
    </w:p>
    <w:tbl>
      <w:tblPr>
        <w:tblStyle w:val="52"/>
        <w:tblW w:w="1025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8"/>
        <w:gridCol w:w="7728"/>
        <w:gridCol w:w="791"/>
        <w:gridCol w:w="930"/>
      </w:tblGrid>
      <w:tr w14:paraId="387888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2" w:hRule="atLeast"/>
          <w:jc w:val="center"/>
        </w:trPr>
        <w:tc>
          <w:tcPr>
            <w:tcW w:w="808" w:type="dxa"/>
            <w:tcBorders>
              <w:top w:val="single" w:color="auto" w:sz="4" w:space="0"/>
              <w:left w:val="single" w:color="auto" w:sz="4" w:space="0"/>
              <w:bottom w:val="single" w:color="auto" w:sz="4" w:space="0"/>
              <w:right w:val="single" w:color="auto" w:sz="4" w:space="0"/>
            </w:tcBorders>
            <w:vAlign w:val="center"/>
          </w:tcPr>
          <w:p w14:paraId="0E5D2093">
            <w:pPr>
              <w:spacing w:after="0" w:line="240" w:lineRule="auto"/>
              <w:ind w:firstLine="0" w:firstLineChars="0"/>
              <w:jc w:val="center"/>
              <w:rPr>
                <w:rFonts w:ascii="微软雅黑" w:hAnsi="微软雅黑" w:cs="微软雅黑"/>
                <w:b/>
                <w:bCs/>
                <w:color w:val="auto"/>
                <w:szCs w:val="21"/>
                <w:highlight w:val="none"/>
              </w:rPr>
            </w:pPr>
            <w:r>
              <w:rPr>
                <w:rFonts w:hint="eastAsia" w:ascii="微软雅黑" w:hAnsi="微软雅黑" w:cs="微软雅黑"/>
                <w:b/>
                <w:bCs/>
                <w:color w:val="auto"/>
                <w:szCs w:val="21"/>
                <w:highlight w:val="none"/>
              </w:rPr>
              <w:t>序号</w:t>
            </w:r>
          </w:p>
        </w:tc>
        <w:tc>
          <w:tcPr>
            <w:tcW w:w="7728" w:type="dxa"/>
            <w:tcBorders>
              <w:top w:val="single" w:color="auto" w:sz="4" w:space="0"/>
              <w:left w:val="single" w:color="auto" w:sz="4" w:space="0"/>
              <w:bottom w:val="single" w:color="auto" w:sz="4" w:space="0"/>
              <w:right w:val="single" w:color="auto" w:sz="4" w:space="0"/>
            </w:tcBorders>
            <w:vAlign w:val="center"/>
          </w:tcPr>
          <w:p w14:paraId="25B76C0A">
            <w:pPr>
              <w:spacing w:after="0" w:line="240" w:lineRule="auto"/>
              <w:ind w:firstLine="0" w:firstLineChars="0"/>
              <w:jc w:val="center"/>
              <w:rPr>
                <w:rFonts w:ascii="微软雅黑" w:hAnsi="微软雅黑" w:cs="微软雅黑"/>
                <w:b/>
                <w:bCs/>
                <w:color w:val="auto"/>
                <w:szCs w:val="21"/>
                <w:highlight w:val="none"/>
              </w:rPr>
            </w:pPr>
            <w:r>
              <w:rPr>
                <w:rFonts w:hint="eastAsia" w:ascii="微软雅黑" w:hAnsi="微软雅黑" w:cs="微软雅黑"/>
                <w:b/>
                <w:bCs/>
                <w:color w:val="auto"/>
                <w:szCs w:val="21"/>
                <w:highlight w:val="none"/>
              </w:rPr>
              <w:t>评标要点及说明</w:t>
            </w:r>
          </w:p>
        </w:tc>
        <w:tc>
          <w:tcPr>
            <w:tcW w:w="791" w:type="dxa"/>
            <w:tcBorders>
              <w:top w:val="single" w:color="auto" w:sz="4" w:space="0"/>
              <w:left w:val="single" w:color="auto" w:sz="4" w:space="0"/>
              <w:bottom w:val="single" w:color="auto" w:sz="4" w:space="0"/>
              <w:right w:val="single" w:color="auto" w:sz="4" w:space="0"/>
            </w:tcBorders>
            <w:vAlign w:val="center"/>
          </w:tcPr>
          <w:p w14:paraId="08B87DCC">
            <w:pPr>
              <w:spacing w:after="0" w:line="240" w:lineRule="auto"/>
              <w:ind w:firstLine="0" w:firstLineChars="0"/>
              <w:jc w:val="center"/>
              <w:rPr>
                <w:rFonts w:ascii="微软雅黑" w:hAnsi="微软雅黑" w:cs="微软雅黑"/>
                <w:b/>
                <w:bCs/>
                <w:color w:val="auto"/>
                <w:szCs w:val="21"/>
                <w:highlight w:val="none"/>
              </w:rPr>
            </w:pPr>
            <w:r>
              <w:rPr>
                <w:rFonts w:hint="eastAsia" w:ascii="微软雅黑" w:hAnsi="微软雅黑" w:cs="微软雅黑"/>
                <w:b/>
                <w:bCs/>
                <w:color w:val="auto"/>
                <w:szCs w:val="21"/>
                <w:highlight w:val="none"/>
              </w:rPr>
              <w:t>最高分值</w:t>
            </w:r>
          </w:p>
        </w:tc>
        <w:tc>
          <w:tcPr>
            <w:tcW w:w="930" w:type="dxa"/>
            <w:tcBorders>
              <w:top w:val="single" w:color="auto" w:sz="4" w:space="0"/>
              <w:left w:val="single" w:color="auto" w:sz="4" w:space="0"/>
              <w:bottom w:val="single" w:color="auto" w:sz="4" w:space="0"/>
              <w:right w:val="single" w:color="auto" w:sz="4" w:space="0"/>
            </w:tcBorders>
            <w:vAlign w:val="center"/>
          </w:tcPr>
          <w:p w14:paraId="28BEBD7F">
            <w:pPr>
              <w:spacing w:after="0" w:line="240" w:lineRule="auto"/>
              <w:ind w:firstLine="0" w:firstLineChars="0"/>
              <w:jc w:val="center"/>
              <w:rPr>
                <w:rFonts w:ascii="微软雅黑" w:hAnsi="微软雅黑" w:cs="微软雅黑"/>
                <w:b/>
                <w:bCs/>
                <w:color w:val="auto"/>
                <w:szCs w:val="21"/>
                <w:highlight w:val="none"/>
              </w:rPr>
            </w:pPr>
            <w:r>
              <w:rPr>
                <w:rFonts w:hint="eastAsia" w:ascii="微软雅黑" w:hAnsi="微软雅黑" w:cs="微软雅黑"/>
                <w:b/>
                <w:bCs/>
                <w:color w:val="auto"/>
                <w:szCs w:val="21"/>
                <w:highlight w:val="none"/>
              </w:rPr>
              <w:t>分值设置</w:t>
            </w:r>
          </w:p>
        </w:tc>
      </w:tr>
      <w:tr w14:paraId="00CDCB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2" w:hRule="atLeast"/>
          <w:jc w:val="center"/>
        </w:trPr>
        <w:tc>
          <w:tcPr>
            <w:tcW w:w="808" w:type="dxa"/>
            <w:tcBorders>
              <w:top w:val="single" w:color="auto" w:sz="4" w:space="0"/>
              <w:left w:val="single" w:color="auto" w:sz="4" w:space="0"/>
              <w:bottom w:val="single" w:color="auto" w:sz="4" w:space="0"/>
              <w:right w:val="single" w:color="auto" w:sz="4" w:space="0"/>
            </w:tcBorders>
            <w:vAlign w:val="center"/>
          </w:tcPr>
          <w:p w14:paraId="0316AEE5">
            <w:pPr>
              <w:spacing w:after="0" w:line="240" w:lineRule="auto"/>
              <w:ind w:firstLine="0" w:firstLineChars="0"/>
              <w:jc w:val="center"/>
              <w:rPr>
                <w:rFonts w:ascii="微软雅黑" w:hAnsi="微软雅黑" w:cs="微软雅黑"/>
                <w:b/>
                <w:bCs/>
                <w:color w:val="auto"/>
                <w:szCs w:val="21"/>
                <w:highlight w:val="none"/>
              </w:rPr>
            </w:pPr>
            <w:r>
              <w:rPr>
                <w:rFonts w:hint="eastAsia" w:ascii="微软雅黑" w:hAnsi="微软雅黑" w:cs="微软雅黑"/>
                <w:b w:val="0"/>
                <w:bCs w:val="0"/>
                <w:color w:val="auto"/>
                <w:szCs w:val="21"/>
                <w:highlight w:val="none"/>
              </w:rPr>
              <w:t>8</w:t>
            </w:r>
          </w:p>
        </w:tc>
        <w:tc>
          <w:tcPr>
            <w:tcW w:w="7728" w:type="dxa"/>
            <w:tcBorders>
              <w:top w:val="single" w:color="auto" w:sz="4" w:space="0"/>
              <w:left w:val="single" w:color="auto" w:sz="4" w:space="0"/>
              <w:bottom w:val="single" w:color="auto" w:sz="4" w:space="0"/>
              <w:right w:val="single" w:color="auto" w:sz="4" w:space="0"/>
            </w:tcBorders>
            <w:vAlign w:val="center"/>
          </w:tcPr>
          <w:p w14:paraId="18402CE2">
            <w:pPr>
              <w:spacing w:after="0" w:line="240" w:lineRule="auto"/>
              <w:ind w:firstLine="0" w:firstLineChars="0"/>
              <w:rPr>
                <w:rFonts w:ascii="微软雅黑" w:hAnsi="微软雅黑" w:eastAsia="等线" w:cs="微软雅黑"/>
                <w:b/>
                <w:bCs/>
                <w:color w:val="auto"/>
                <w:szCs w:val="21"/>
                <w:highlight w:val="none"/>
              </w:rPr>
            </w:pPr>
            <w:r>
              <w:rPr>
                <w:rFonts w:hint="eastAsia" w:ascii="微软雅黑" w:hAnsi="微软雅黑" w:cs="微软雅黑"/>
                <w:color w:val="auto"/>
                <w:kern w:val="0"/>
                <w:szCs w:val="21"/>
                <w:highlight w:val="none"/>
                <w:lang w:val="en-US" w:eastAsia="zh-CN"/>
              </w:rPr>
              <w:t>招标文件中所有</w:t>
            </w:r>
            <w:r>
              <w:rPr>
                <w:rFonts w:hint="eastAsia" w:ascii="微软雅黑" w:hAnsi="微软雅黑" w:cs="微软雅黑"/>
                <w:color w:val="auto"/>
                <w:kern w:val="0"/>
                <w:szCs w:val="21"/>
                <w:highlight w:val="none"/>
              </w:rPr>
              <w:t>仿真计算机软件，</w:t>
            </w:r>
            <w:r>
              <w:rPr>
                <w:rFonts w:hint="eastAsia" w:ascii="微软雅黑" w:hAnsi="微软雅黑" w:cs="微软雅黑"/>
                <w:color w:val="auto"/>
                <w:kern w:val="0"/>
                <w:szCs w:val="21"/>
                <w:highlight w:val="none"/>
                <w:lang w:val="en-US" w:eastAsia="zh-CN"/>
              </w:rPr>
              <w:t>均具有</w:t>
            </w:r>
            <w:r>
              <w:rPr>
                <w:rFonts w:hint="eastAsia" w:ascii="微软雅黑" w:hAnsi="微软雅黑" w:cs="微软雅黑"/>
                <w:color w:val="auto"/>
                <w:kern w:val="0"/>
                <w:szCs w:val="21"/>
                <w:highlight w:val="none"/>
              </w:rPr>
              <w:t>软件著作权登记证书的得2分，提供复印件做在投标文件中。</w:t>
            </w:r>
          </w:p>
        </w:tc>
        <w:tc>
          <w:tcPr>
            <w:tcW w:w="791" w:type="dxa"/>
            <w:tcBorders>
              <w:top w:val="single" w:color="auto" w:sz="4" w:space="0"/>
              <w:left w:val="single" w:color="auto" w:sz="4" w:space="0"/>
              <w:bottom w:val="single" w:color="auto" w:sz="4" w:space="0"/>
              <w:right w:val="single" w:color="auto" w:sz="4" w:space="0"/>
            </w:tcBorders>
            <w:vAlign w:val="center"/>
          </w:tcPr>
          <w:p w14:paraId="71069B97">
            <w:pPr>
              <w:spacing w:after="0" w:line="240" w:lineRule="auto"/>
              <w:ind w:firstLine="0" w:firstLineChars="0"/>
              <w:jc w:val="center"/>
              <w:rPr>
                <w:rFonts w:ascii="微软雅黑" w:hAnsi="微软雅黑" w:cs="微软雅黑"/>
                <w:b/>
                <w:bCs/>
                <w:color w:val="auto"/>
                <w:szCs w:val="21"/>
                <w:highlight w:val="none"/>
              </w:rPr>
            </w:pPr>
            <w:r>
              <w:rPr>
                <w:rFonts w:hint="eastAsia" w:ascii="微软雅黑" w:hAnsi="微软雅黑" w:cs="微软雅黑"/>
                <w:b/>
                <w:bCs/>
                <w:color w:val="auto"/>
                <w:szCs w:val="21"/>
                <w:highlight w:val="none"/>
              </w:rPr>
              <w:t>2</w:t>
            </w:r>
          </w:p>
        </w:tc>
        <w:tc>
          <w:tcPr>
            <w:tcW w:w="930" w:type="dxa"/>
            <w:tcBorders>
              <w:top w:val="single" w:color="auto" w:sz="4" w:space="0"/>
              <w:left w:val="single" w:color="auto" w:sz="4" w:space="0"/>
              <w:bottom w:val="single" w:color="auto" w:sz="4" w:space="0"/>
              <w:right w:val="single" w:color="auto" w:sz="4" w:space="0"/>
            </w:tcBorders>
            <w:vAlign w:val="center"/>
          </w:tcPr>
          <w:p w14:paraId="258BD742">
            <w:pPr>
              <w:spacing w:after="0" w:line="240" w:lineRule="auto"/>
              <w:ind w:firstLine="0" w:firstLineChars="0"/>
              <w:jc w:val="center"/>
              <w:rPr>
                <w:rFonts w:ascii="微软雅黑" w:hAnsi="微软雅黑" w:cs="微软雅黑"/>
                <w:b/>
                <w:bCs/>
                <w:color w:val="auto"/>
                <w:szCs w:val="21"/>
                <w:highlight w:val="none"/>
              </w:rPr>
            </w:pPr>
            <w:r>
              <w:rPr>
                <w:rFonts w:hint="eastAsia" w:ascii="微软雅黑" w:hAnsi="微软雅黑" w:cs="微软雅黑"/>
                <w:b/>
                <w:bCs/>
                <w:color w:val="auto"/>
                <w:szCs w:val="21"/>
                <w:highlight w:val="none"/>
              </w:rPr>
              <w:t>客观</w:t>
            </w:r>
          </w:p>
        </w:tc>
      </w:tr>
      <w:tr w14:paraId="62EEED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4" w:hRule="atLeast"/>
          <w:jc w:val="center"/>
        </w:trPr>
        <w:tc>
          <w:tcPr>
            <w:tcW w:w="808" w:type="dxa"/>
            <w:tcBorders>
              <w:left w:val="single" w:color="auto" w:sz="4" w:space="0"/>
              <w:right w:val="single" w:color="auto" w:sz="4" w:space="0"/>
            </w:tcBorders>
            <w:vAlign w:val="center"/>
          </w:tcPr>
          <w:p w14:paraId="43A280C1">
            <w:pPr>
              <w:spacing w:after="0" w:line="240" w:lineRule="auto"/>
              <w:ind w:firstLine="0" w:firstLineChars="0"/>
              <w:jc w:val="center"/>
              <w:rPr>
                <w:rFonts w:hint="eastAsia" w:ascii="微软雅黑" w:hAnsi="微软雅黑" w:eastAsia="微软雅黑" w:cs="微软雅黑"/>
                <w:color w:val="auto"/>
                <w:kern w:val="0"/>
                <w:szCs w:val="21"/>
                <w:highlight w:val="none"/>
                <w:lang w:val="en-US" w:eastAsia="zh-CN"/>
              </w:rPr>
            </w:pPr>
            <w:r>
              <w:rPr>
                <w:rFonts w:hint="eastAsia" w:ascii="微软雅黑" w:hAnsi="微软雅黑" w:cs="微软雅黑"/>
                <w:color w:val="auto"/>
                <w:kern w:val="0"/>
                <w:szCs w:val="21"/>
                <w:highlight w:val="none"/>
                <w:lang w:val="en-US" w:eastAsia="zh-CN"/>
              </w:rPr>
              <w:t>9</w:t>
            </w:r>
          </w:p>
        </w:tc>
        <w:tc>
          <w:tcPr>
            <w:tcW w:w="7728" w:type="dxa"/>
            <w:tcBorders>
              <w:top w:val="single" w:color="auto" w:sz="4" w:space="0"/>
              <w:left w:val="single" w:color="auto" w:sz="4" w:space="0"/>
              <w:bottom w:val="single" w:color="auto" w:sz="4" w:space="0"/>
              <w:right w:val="single" w:color="auto" w:sz="4" w:space="0"/>
            </w:tcBorders>
            <w:vAlign w:val="center"/>
          </w:tcPr>
          <w:p w14:paraId="4C32359E">
            <w:pPr>
              <w:pStyle w:val="25"/>
              <w:spacing w:after="0" w:line="240" w:lineRule="auto"/>
              <w:ind w:left="0" w:leftChars="0" w:firstLine="0" w:firstLineChars="0"/>
              <w:rPr>
                <w:rFonts w:hint="default"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lang w:val="en-US" w:eastAsia="zh-CN"/>
              </w:rPr>
              <w:t>投标供应商自</w:t>
            </w:r>
            <w:r>
              <w:rPr>
                <w:rFonts w:hint="eastAsia" w:ascii="微软雅黑" w:hAnsi="微软雅黑" w:eastAsia="微软雅黑" w:cs="微软雅黑"/>
                <w:color w:val="auto"/>
                <w:sz w:val="21"/>
                <w:szCs w:val="21"/>
                <w:highlight w:val="none"/>
              </w:rPr>
              <w:t>投标截止日起往前追溯3年</w:t>
            </w:r>
            <w:r>
              <w:rPr>
                <w:rFonts w:hint="eastAsia" w:ascii="微软雅黑" w:hAnsi="微软雅黑" w:eastAsia="微软雅黑" w:cs="微软雅黑"/>
                <w:color w:val="auto"/>
                <w:sz w:val="21"/>
                <w:szCs w:val="21"/>
                <w:highlight w:val="none"/>
                <w:lang w:eastAsia="zh-CN"/>
              </w:rPr>
              <w:t>，</w:t>
            </w:r>
            <w:r>
              <w:rPr>
                <w:rFonts w:hint="eastAsia" w:ascii="微软雅黑" w:hAnsi="微软雅黑" w:eastAsia="微软雅黑" w:cs="微软雅黑"/>
                <w:color w:val="auto"/>
                <w:sz w:val="21"/>
                <w:szCs w:val="21"/>
                <w:highlight w:val="none"/>
                <w:lang w:val="en-US" w:eastAsia="zh-CN"/>
              </w:rPr>
              <w:t>成功</w:t>
            </w:r>
            <w:r>
              <w:rPr>
                <w:rFonts w:hint="eastAsia" w:ascii="微软雅黑" w:hAnsi="微软雅黑" w:eastAsia="微软雅黑" w:cs="微软雅黑"/>
                <w:color w:val="auto"/>
                <w:sz w:val="21"/>
                <w:szCs w:val="21"/>
                <w:highlight w:val="none"/>
              </w:rPr>
              <w:t>实施同类项目的案例，每提供一个案例得1分，最高</w:t>
            </w:r>
            <w:r>
              <w:rPr>
                <w:rFonts w:hint="eastAsia" w:ascii="微软雅黑" w:hAnsi="微软雅黑" w:eastAsia="微软雅黑" w:cs="微软雅黑"/>
                <w:color w:val="auto"/>
                <w:sz w:val="21"/>
                <w:szCs w:val="21"/>
                <w:highlight w:val="none"/>
                <w:lang w:val="en-US" w:eastAsia="zh-CN"/>
              </w:rPr>
              <w:t>3</w:t>
            </w:r>
            <w:r>
              <w:rPr>
                <w:rFonts w:hint="eastAsia" w:ascii="微软雅黑" w:hAnsi="微软雅黑" w:eastAsia="微软雅黑" w:cs="微软雅黑"/>
                <w:color w:val="auto"/>
                <w:sz w:val="21"/>
                <w:szCs w:val="21"/>
                <w:highlight w:val="none"/>
              </w:rPr>
              <w:t>分。；（投标</w:t>
            </w:r>
            <w:r>
              <w:rPr>
                <w:rFonts w:hint="eastAsia" w:ascii="微软雅黑" w:hAnsi="微软雅黑" w:eastAsia="微软雅黑" w:cs="微软雅黑"/>
                <w:color w:val="auto"/>
                <w:sz w:val="21"/>
                <w:szCs w:val="21"/>
                <w:highlight w:val="none"/>
                <w:lang w:val="en-US" w:eastAsia="zh-CN"/>
              </w:rPr>
              <w:t>文件中</w:t>
            </w:r>
            <w:r>
              <w:rPr>
                <w:rFonts w:hint="eastAsia" w:ascii="微软雅黑" w:hAnsi="微软雅黑" w:eastAsia="微软雅黑" w:cs="微软雅黑"/>
                <w:color w:val="auto"/>
                <w:sz w:val="21"/>
                <w:szCs w:val="21"/>
                <w:highlight w:val="none"/>
              </w:rPr>
              <w:t>提供合同、验收报告</w:t>
            </w:r>
            <w:r>
              <w:rPr>
                <w:rFonts w:hint="eastAsia" w:ascii="微软雅黑" w:hAnsi="微软雅黑" w:eastAsia="微软雅黑" w:cs="微软雅黑"/>
                <w:color w:val="auto"/>
                <w:sz w:val="21"/>
                <w:szCs w:val="21"/>
                <w:highlight w:val="none"/>
                <w:lang w:val="en-US" w:eastAsia="zh-CN"/>
              </w:rPr>
              <w:t>及用户评价为合格及以上的证明材料复印件）</w:t>
            </w:r>
          </w:p>
        </w:tc>
        <w:tc>
          <w:tcPr>
            <w:tcW w:w="791" w:type="dxa"/>
            <w:tcBorders>
              <w:top w:val="single" w:color="auto" w:sz="4" w:space="0"/>
              <w:left w:val="single" w:color="auto" w:sz="4" w:space="0"/>
              <w:bottom w:val="single" w:color="auto" w:sz="4" w:space="0"/>
              <w:right w:val="single" w:color="auto" w:sz="4" w:space="0"/>
            </w:tcBorders>
            <w:vAlign w:val="center"/>
          </w:tcPr>
          <w:p w14:paraId="3D3FCF82">
            <w:pPr>
              <w:spacing w:after="0" w:line="240" w:lineRule="auto"/>
              <w:ind w:firstLine="0" w:firstLineChars="0"/>
              <w:jc w:val="center"/>
              <w:rPr>
                <w:rFonts w:hint="eastAsia" w:ascii="微软雅黑" w:hAnsi="微软雅黑" w:eastAsia="微软雅黑" w:cs="微软雅黑"/>
                <w:color w:val="auto"/>
                <w:kern w:val="0"/>
                <w:szCs w:val="21"/>
                <w:highlight w:val="none"/>
                <w:lang w:eastAsia="zh-CN"/>
              </w:rPr>
            </w:pPr>
            <w:r>
              <w:rPr>
                <w:rFonts w:hint="eastAsia" w:ascii="微软雅黑" w:hAnsi="微软雅黑" w:cs="微软雅黑"/>
                <w:color w:val="auto"/>
                <w:kern w:val="0"/>
                <w:szCs w:val="21"/>
                <w:highlight w:val="none"/>
                <w:lang w:val="en-US" w:eastAsia="zh-CN"/>
              </w:rPr>
              <w:t>3</w:t>
            </w:r>
          </w:p>
        </w:tc>
        <w:tc>
          <w:tcPr>
            <w:tcW w:w="930" w:type="dxa"/>
            <w:tcBorders>
              <w:top w:val="single" w:color="auto" w:sz="4" w:space="0"/>
              <w:left w:val="single" w:color="auto" w:sz="4" w:space="0"/>
              <w:bottom w:val="single" w:color="auto" w:sz="4" w:space="0"/>
              <w:right w:val="single" w:color="auto" w:sz="4" w:space="0"/>
            </w:tcBorders>
            <w:vAlign w:val="center"/>
          </w:tcPr>
          <w:p w14:paraId="54087149">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客观</w:t>
            </w:r>
          </w:p>
        </w:tc>
      </w:tr>
      <w:tr w14:paraId="3DF719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4" w:hRule="atLeast"/>
          <w:jc w:val="center"/>
        </w:trPr>
        <w:tc>
          <w:tcPr>
            <w:tcW w:w="808" w:type="dxa"/>
            <w:tcBorders>
              <w:left w:val="single" w:color="auto" w:sz="4" w:space="0"/>
              <w:right w:val="single" w:color="auto" w:sz="4" w:space="0"/>
            </w:tcBorders>
            <w:vAlign w:val="center"/>
          </w:tcPr>
          <w:p w14:paraId="030D3077">
            <w:pPr>
              <w:spacing w:after="0" w:line="240" w:lineRule="auto"/>
              <w:ind w:firstLine="0" w:firstLineChars="0"/>
              <w:jc w:val="center"/>
              <w:rPr>
                <w:rFonts w:ascii="微软雅黑" w:hAnsi="微软雅黑" w:cs="微软雅黑"/>
                <w:color w:val="auto"/>
                <w:kern w:val="0"/>
                <w:szCs w:val="21"/>
                <w:highlight w:val="none"/>
              </w:rPr>
            </w:pPr>
            <w:r>
              <w:rPr>
                <w:rFonts w:hint="eastAsia" w:ascii="宋体" w:hAnsi="宋体"/>
                <w:color w:val="auto"/>
                <w:szCs w:val="21"/>
                <w:highlight w:val="none"/>
              </w:rPr>
              <w:t>10</w:t>
            </w:r>
          </w:p>
        </w:tc>
        <w:tc>
          <w:tcPr>
            <w:tcW w:w="7728" w:type="dxa"/>
            <w:tcBorders>
              <w:top w:val="single" w:color="auto" w:sz="4" w:space="0"/>
              <w:left w:val="single" w:color="auto" w:sz="4" w:space="0"/>
              <w:bottom w:val="single" w:color="auto" w:sz="4" w:space="0"/>
              <w:right w:val="single" w:color="auto" w:sz="4" w:space="0"/>
            </w:tcBorders>
          </w:tcPr>
          <w:p w14:paraId="48CBBA92">
            <w:pPr>
              <w:pageBreakBefore w:val="0"/>
              <w:kinsoku/>
              <w:wordWrap/>
              <w:overflowPunct/>
              <w:bidi w:val="0"/>
              <w:snapToGrid w:val="0"/>
              <w:spacing w:line="300" w:lineRule="auto"/>
              <w:ind w:left="0" w:leftChars="0" w:right="0" w:firstLine="0" w:firstLineChars="0"/>
              <w:rPr>
                <w:rFonts w:hint="default" w:ascii="微软雅黑" w:hAnsi="微软雅黑" w:eastAsia="微软雅黑" w:cs="微软雅黑"/>
                <w:color w:val="auto"/>
                <w:kern w:val="0"/>
                <w:sz w:val="21"/>
                <w:szCs w:val="21"/>
                <w:highlight w:val="none"/>
                <w:lang w:val="en-US" w:eastAsia="zh-CN" w:bidi="ar-SA"/>
              </w:rPr>
            </w:pPr>
            <w:r>
              <w:rPr>
                <w:rFonts w:hint="default" w:ascii="微软雅黑" w:hAnsi="微软雅黑" w:eastAsia="微软雅黑" w:cs="微软雅黑"/>
                <w:color w:val="auto"/>
                <w:kern w:val="0"/>
                <w:sz w:val="21"/>
                <w:szCs w:val="21"/>
                <w:highlight w:val="none"/>
                <w:lang w:val="en-US" w:eastAsia="zh-CN" w:bidi="ar-SA"/>
              </w:rPr>
              <w:t>优先采购-产品节能环保</w:t>
            </w:r>
          </w:p>
          <w:p w14:paraId="7BBFAD5F">
            <w:pPr>
              <w:pageBreakBefore w:val="0"/>
              <w:kinsoku/>
              <w:wordWrap/>
              <w:overflowPunct/>
              <w:bidi w:val="0"/>
              <w:snapToGrid w:val="0"/>
              <w:spacing w:line="300" w:lineRule="auto"/>
              <w:ind w:left="0" w:leftChars="0" w:right="0" w:firstLine="0" w:firstLineChars="0"/>
              <w:rPr>
                <w:rFonts w:hint="default" w:ascii="微软雅黑" w:hAnsi="微软雅黑" w:eastAsia="微软雅黑" w:cs="微软雅黑"/>
                <w:color w:val="auto"/>
                <w:kern w:val="0"/>
                <w:sz w:val="21"/>
                <w:szCs w:val="21"/>
                <w:highlight w:val="none"/>
                <w:lang w:val="en-US" w:eastAsia="zh-CN" w:bidi="ar-SA"/>
              </w:rPr>
            </w:pPr>
            <w:r>
              <w:rPr>
                <w:rFonts w:hint="eastAsia" w:ascii="微软雅黑" w:hAnsi="微软雅黑" w:eastAsia="微软雅黑" w:cs="微软雅黑"/>
                <w:color w:val="auto"/>
                <w:kern w:val="0"/>
                <w:sz w:val="21"/>
                <w:szCs w:val="21"/>
                <w:highlight w:val="none"/>
                <w:lang w:val="en-US" w:eastAsia="zh-CN" w:bidi="ar-SA"/>
              </w:rPr>
              <w:t>属于品目清单（见招标文件附件</w:t>
            </w:r>
            <w:r>
              <w:rPr>
                <w:rFonts w:hint="eastAsia" w:ascii="微软雅黑" w:hAnsi="微软雅黑" w:cs="微软雅黑"/>
                <w:color w:val="auto"/>
                <w:kern w:val="0"/>
                <w:sz w:val="21"/>
                <w:szCs w:val="21"/>
                <w:highlight w:val="none"/>
                <w:lang w:val="en-US" w:eastAsia="zh-CN" w:bidi="ar-SA"/>
              </w:rPr>
              <w:t>（二）</w:t>
            </w:r>
            <w:r>
              <w:rPr>
                <w:rFonts w:hint="eastAsia" w:ascii="微软雅黑" w:hAnsi="微软雅黑" w:eastAsia="微软雅黑" w:cs="微软雅黑"/>
                <w:color w:val="auto"/>
                <w:kern w:val="0"/>
                <w:sz w:val="21"/>
                <w:szCs w:val="21"/>
                <w:highlight w:val="none"/>
                <w:lang w:val="en-US" w:eastAsia="zh-CN" w:bidi="ar-SA"/>
              </w:rPr>
              <w:t>）范围的未标★产品，依据国家确定的认证机构出具的、处于有效期之内的节能产品、环境标志产品认证证书，对获得证书的产品按规定实施政府优先采购。任一投标产品同时具有国家确定的认证机构出具的、处于有效期之内的节能产品、环境标志产品认证证书的得1分，具有其中之一的得0.5分，满分为1分。</w:t>
            </w:r>
          </w:p>
          <w:p w14:paraId="0BCE730A">
            <w:pPr>
              <w:spacing w:after="0" w:line="240" w:lineRule="auto"/>
              <w:ind w:firstLine="0" w:firstLineChars="0"/>
              <w:rPr>
                <w:rFonts w:ascii="微软雅黑" w:hAnsi="微软雅黑" w:cs="微软雅黑"/>
                <w:color w:val="auto"/>
                <w:szCs w:val="21"/>
                <w:highlight w:val="none"/>
              </w:rPr>
            </w:pPr>
            <w:r>
              <w:rPr>
                <w:rFonts w:hint="default" w:ascii="微软雅黑" w:hAnsi="微软雅黑" w:eastAsia="微软雅黑" w:cs="微软雅黑"/>
                <w:color w:val="auto"/>
                <w:kern w:val="0"/>
                <w:sz w:val="21"/>
                <w:szCs w:val="21"/>
                <w:highlight w:val="none"/>
                <w:lang w:val="en-US" w:eastAsia="zh-CN" w:bidi="ar-SA"/>
              </w:rPr>
              <w:t>说明：根据投标文件中提供的投标产品的节能产品认证证书</w:t>
            </w:r>
            <w:r>
              <w:rPr>
                <w:rFonts w:hint="eastAsia" w:ascii="微软雅黑" w:hAnsi="微软雅黑" w:cs="微软雅黑"/>
                <w:color w:val="auto"/>
                <w:kern w:val="0"/>
                <w:sz w:val="21"/>
                <w:szCs w:val="21"/>
                <w:highlight w:val="none"/>
                <w:lang w:val="en-US" w:eastAsia="zh-CN" w:bidi="ar-SA"/>
              </w:rPr>
              <w:t>、</w:t>
            </w:r>
            <w:r>
              <w:rPr>
                <w:rFonts w:hint="default" w:ascii="微软雅黑" w:hAnsi="微软雅黑" w:eastAsia="微软雅黑" w:cs="微软雅黑"/>
                <w:color w:val="auto"/>
                <w:kern w:val="0"/>
                <w:sz w:val="21"/>
                <w:szCs w:val="21"/>
                <w:highlight w:val="none"/>
                <w:lang w:val="en-US" w:eastAsia="zh-CN" w:bidi="ar-SA"/>
              </w:rPr>
              <w:t>环境标志产品认证证书进行评分，未提供或不满足以上条件不得分。</w:t>
            </w:r>
          </w:p>
        </w:tc>
        <w:tc>
          <w:tcPr>
            <w:tcW w:w="791" w:type="dxa"/>
            <w:tcBorders>
              <w:top w:val="single" w:color="auto" w:sz="4" w:space="0"/>
              <w:left w:val="single" w:color="auto" w:sz="4" w:space="0"/>
              <w:bottom w:val="single" w:color="auto" w:sz="4" w:space="0"/>
              <w:right w:val="single" w:color="auto" w:sz="4" w:space="0"/>
            </w:tcBorders>
            <w:vAlign w:val="center"/>
          </w:tcPr>
          <w:p w14:paraId="404D0C30">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1</w:t>
            </w:r>
          </w:p>
        </w:tc>
        <w:tc>
          <w:tcPr>
            <w:tcW w:w="930" w:type="dxa"/>
            <w:tcBorders>
              <w:top w:val="single" w:color="auto" w:sz="4" w:space="0"/>
              <w:left w:val="single" w:color="auto" w:sz="4" w:space="0"/>
              <w:bottom w:val="single" w:color="auto" w:sz="4" w:space="0"/>
              <w:right w:val="single" w:color="auto" w:sz="4" w:space="0"/>
            </w:tcBorders>
            <w:vAlign w:val="center"/>
          </w:tcPr>
          <w:p w14:paraId="66D96B52">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客观</w:t>
            </w:r>
          </w:p>
        </w:tc>
      </w:tr>
      <w:tr w14:paraId="0D3B56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808" w:type="dxa"/>
            <w:tcBorders>
              <w:left w:val="single" w:color="auto" w:sz="4" w:space="0"/>
              <w:right w:val="single" w:color="auto" w:sz="4" w:space="0"/>
            </w:tcBorders>
            <w:vAlign w:val="center"/>
          </w:tcPr>
          <w:p w14:paraId="4B9964B7">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小计</w:t>
            </w:r>
          </w:p>
        </w:tc>
        <w:tc>
          <w:tcPr>
            <w:tcW w:w="7728" w:type="dxa"/>
            <w:tcBorders>
              <w:top w:val="single" w:color="auto" w:sz="4" w:space="0"/>
              <w:left w:val="single" w:color="auto" w:sz="4" w:space="0"/>
              <w:right w:val="single" w:color="auto" w:sz="4" w:space="0"/>
            </w:tcBorders>
            <w:vAlign w:val="center"/>
          </w:tcPr>
          <w:p w14:paraId="56B9A2EF">
            <w:pPr>
              <w:pStyle w:val="25"/>
              <w:spacing w:after="0" w:line="240" w:lineRule="auto"/>
              <w:ind w:left="0" w:leftChars="0" w:firstLine="0" w:firstLineChars="0"/>
              <w:rPr>
                <w:rFonts w:ascii="微软雅黑" w:hAnsi="微软雅黑" w:eastAsia="微软雅黑" w:cs="微软雅黑"/>
                <w:color w:val="auto"/>
                <w:sz w:val="21"/>
                <w:szCs w:val="21"/>
                <w:highlight w:val="none"/>
              </w:rPr>
            </w:pPr>
          </w:p>
        </w:tc>
        <w:tc>
          <w:tcPr>
            <w:tcW w:w="791" w:type="dxa"/>
            <w:tcBorders>
              <w:top w:val="single" w:color="auto" w:sz="4" w:space="0"/>
              <w:left w:val="single" w:color="auto" w:sz="4" w:space="0"/>
              <w:bottom w:val="single" w:color="auto" w:sz="4" w:space="0"/>
              <w:right w:val="single" w:color="auto" w:sz="4" w:space="0"/>
            </w:tcBorders>
            <w:vAlign w:val="center"/>
          </w:tcPr>
          <w:p w14:paraId="2AAC9E97">
            <w:pPr>
              <w:spacing w:after="0" w:line="240" w:lineRule="auto"/>
              <w:ind w:firstLine="0" w:firstLineChars="0"/>
              <w:jc w:val="center"/>
              <w:rPr>
                <w:rFonts w:hint="eastAsia" w:ascii="微软雅黑" w:hAnsi="微软雅黑" w:eastAsia="微软雅黑" w:cs="微软雅黑"/>
                <w:color w:val="auto"/>
                <w:kern w:val="0"/>
                <w:szCs w:val="21"/>
                <w:highlight w:val="none"/>
                <w:lang w:eastAsia="zh-CN"/>
              </w:rPr>
            </w:pPr>
            <w:r>
              <w:rPr>
                <w:rFonts w:hint="eastAsia" w:ascii="微软雅黑" w:hAnsi="微软雅黑" w:cs="微软雅黑"/>
                <w:color w:val="auto"/>
                <w:kern w:val="0"/>
                <w:szCs w:val="21"/>
                <w:highlight w:val="none"/>
                <w:lang w:val="en-US" w:eastAsia="zh-CN"/>
              </w:rPr>
              <w:t>6</w:t>
            </w:r>
          </w:p>
        </w:tc>
        <w:tc>
          <w:tcPr>
            <w:tcW w:w="930" w:type="dxa"/>
            <w:tcBorders>
              <w:top w:val="single" w:color="auto" w:sz="4" w:space="0"/>
              <w:left w:val="single" w:color="auto" w:sz="4" w:space="0"/>
              <w:bottom w:val="single" w:color="auto" w:sz="4" w:space="0"/>
              <w:right w:val="single" w:color="auto" w:sz="4" w:space="0"/>
            </w:tcBorders>
            <w:vAlign w:val="center"/>
          </w:tcPr>
          <w:p w14:paraId="3B4CD2AF">
            <w:pPr>
              <w:spacing w:after="0" w:line="240" w:lineRule="auto"/>
              <w:ind w:firstLine="0" w:firstLineChars="0"/>
              <w:jc w:val="center"/>
              <w:rPr>
                <w:rFonts w:ascii="微软雅黑" w:hAnsi="微软雅黑" w:cs="微软雅黑"/>
                <w:color w:val="auto"/>
                <w:kern w:val="0"/>
                <w:szCs w:val="21"/>
                <w:highlight w:val="none"/>
              </w:rPr>
            </w:pPr>
          </w:p>
        </w:tc>
      </w:tr>
    </w:tbl>
    <w:p w14:paraId="38730914">
      <w:pPr>
        <w:pStyle w:val="28"/>
        <w:ind w:firstLine="420"/>
        <w:rPr>
          <w:color w:val="auto"/>
          <w:highlight w:val="none"/>
        </w:rPr>
      </w:pPr>
    </w:p>
    <w:p w14:paraId="0E4FEE17">
      <w:pPr>
        <w:pStyle w:val="65"/>
        <w:numPr>
          <w:ilvl w:val="0"/>
          <w:numId w:val="21"/>
        </w:numPr>
        <w:ind w:left="0" w:firstLine="420" w:firstLineChars="0"/>
        <w:rPr>
          <w:rFonts w:ascii="微软雅黑" w:hAnsi="微软雅黑" w:cs="宋体"/>
          <w:b/>
          <w:bCs/>
          <w:color w:val="auto"/>
          <w:szCs w:val="21"/>
          <w:highlight w:val="none"/>
        </w:rPr>
        <w:sectPr>
          <w:headerReference r:id="rId22" w:type="first"/>
          <w:footerReference r:id="rId23" w:type="default"/>
          <w:headerReference r:id="rId21" w:type="even"/>
          <w:pgSz w:w="11907" w:h="16840" w:orient="landscape"/>
          <w:pgMar w:top="1276" w:right="1418" w:bottom="1247" w:left="1418" w:header="851" w:footer="992" w:gutter="0"/>
          <w:cols w:space="720" w:num="1"/>
          <w:titlePg/>
          <w:docGrid w:linePitch="312" w:charSpace="0"/>
        </w:sectPr>
      </w:pPr>
    </w:p>
    <w:p w14:paraId="40420C04">
      <w:pPr>
        <w:pStyle w:val="65"/>
        <w:numPr>
          <w:ilvl w:val="0"/>
          <w:numId w:val="21"/>
        </w:numPr>
        <w:ind w:left="0" w:firstLine="420" w:firstLineChars="0"/>
        <w:outlineLvl w:val="2"/>
        <w:rPr>
          <w:rFonts w:ascii="微软雅黑" w:hAnsi="微软雅黑" w:cs="宋体"/>
          <w:b/>
          <w:bCs/>
          <w:color w:val="auto"/>
          <w:szCs w:val="21"/>
          <w:highlight w:val="none"/>
        </w:rPr>
      </w:pPr>
      <w:r>
        <w:rPr>
          <w:rFonts w:hint="eastAsia" w:ascii="微软雅黑" w:hAnsi="微软雅黑" w:cs="宋体"/>
          <w:b/>
          <w:bCs/>
          <w:color w:val="auto"/>
          <w:szCs w:val="21"/>
          <w:highlight w:val="none"/>
        </w:rPr>
        <w:t>（标项二）</w:t>
      </w:r>
    </w:p>
    <w:p w14:paraId="40D3D24A">
      <w:pPr>
        <w:pStyle w:val="65"/>
        <w:ind w:left="420" w:firstLine="0" w:firstLineChars="0"/>
        <w:outlineLvl w:val="2"/>
        <w:rPr>
          <w:rFonts w:ascii="微软雅黑" w:hAnsi="微软雅黑" w:cs="宋体"/>
          <w:b/>
          <w:bCs/>
          <w:color w:val="auto"/>
          <w:szCs w:val="21"/>
          <w:highlight w:val="none"/>
        </w:rPr>
      </w:pPr>
      <w:r>
        <w:rPr>
          <w:rFonts w:hint="eastAsia" w:ascii="微软雅黑" w:hAnsi="微软雅黑" w:cs="宋体"/>
          <w:b/>
          <w:bCs/>
          <w:color w:val="auto"/>
          <w:szCs w:val="21"/>
          <w:highlight w:val="none"/>
        </w:rPr>
        <w:t>技术分</w:t>
      </w:r>
    </w:p>
    <w:tbl>
      <w:tblPr>
        <w:tblStyle w:val="52"/>
        <w:tblW w:w="998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7"/>
        <w:gridCol w:w="1797"/>
        <w:gridCol w:w="5819"/>
        <w:gridCol w:w="787"/>
        <w:gridCol w:w="787"/>
      </w:tblGrid>
      <w:tr w14:paraId="4A271C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atLeast"/>
          <w:jc w:val="center"/>
        </w:trPr>
        <w:tc>
          <w:tcPr>
            <w:tcW w:w="797" w:type="dxa"/>
            <w:tcBorders>
              <w:top w:val="single" w:color="auto" w:sz="4" w:space="0"/>
              <w:left w:val="single" w:color="auto" w:sz="4" w:space="0"/>
              <w:bottom w:val="single" w:color="auto" w:sz="4" w:space="0"/>
              <w:right w:val="single" w:color="auto" w:sz="4" w:space="0"/>
            </w:tcBorders>
            <w:shd w:val="clear" w:color="auto" w:fill="auto"/>
            <w:vAlign w:val="center"/>
          </w:tcPr>
          <w:p w14:paraId="19373CBF">
            <w:pPr>
              <w:keepNext w:val="0"/>
              <w:keepLines w:val="0"/>
              <w:pageBreakBefore w:val="0"/>
              <w:kinsoku/>
              <w:wordWrap/>
              <w:overflowPunct/>
              <w:topLinePunct w:val="0"/>
              <w:autoSpaceDE/>
              <w:autoSpaceDN/>
              <w:bidi w:val="0"/>
              <w:spacing w:after="0" w:line="0" w:lineRule="atLeast"/>
              <w:ind w:firstLine="0" w:firstLineChars="0"/>
              <w:jc w:val="center"/>
              <w:rPr>
                <w:rFonts w:ascii="微软雅黑" w:hAnsi="微软雅黑" w:cs="微软雅黑"/>
                <w:b/>
                <w:bCs/>
                <w:color w:val="auto"/>
                <w:szCs w:val="21"/>
                <w:highlight w:val="none"/>
              </w:rPr>
            </w:pPr>
            <w:r>
              <w:rPr>
                <w:rFonts w:hint="eastAsia" w:ascii="微软雅黑" w:hAnsi="微软雅黑" w:cs="微软雅黑"/>
                <w:b/>
                <w:bCs/>
                <w:color w:val="auto"/>
                <w:szCs w:val="21"/>
                <w:highlight w:val="none"/>
                <w:lang w:bidi="ar"/>
              </w:rPr>
              <w:t>序号</w:t>
            </w:r>
          </w:p>
        </w:tc>
        <w:tc>
          <w:tcPr>
            <w:tcW w:w="1797" w:type="dxa"/>
            <w:tcBorders>
              <w:top w:val="single" w:color="auto" w:sz="4" w:space="0"/>
              <w:left w:val="single" w:color="auto" w:sz="4" w:space="0"/>
              <w:bottom w:val="single" w:color="auto" w:sz="4" w:space="0"/>
              <w:right w:val="single" w:color="auto" w:sz="4" w:space="0"/>
            </w:tcBorders>
            <w:shd w:val="clear" w:color="auto" w:fill="auto"/>
            <w:vAlign w:val="center"/>
          </w:tcPr>
          <w:p w14:paraId="77223962">
            <w:pPr>
              <w:keepNext w:val="0"/>
              <w:keepLines w:val="0"/>
              <w:pageBreakBefore w:val="0"/>
              <w:kinsoku/>
              <w:wordWrap/>
              <w:overflowPunct/>
              <w:topLinePunct w:val="0"/>
              <w:autoSpaceDE/>
              <w:autoSpaceDN/>
              <w:bidi w:val="0"/>
              <w:spacing w:after="0" w:line="0" w:lineRule="atLeast"/>
              <w:ind w:firstLine="0" w:firstLineChars="0"/>
              <w:jc w:val="center"/>
              <w:rPr>
                <w:rFonts w:ascii="微软雅黑" w:hAnsi="微软雅黑" w:cs="微软雅黑"/>
                <w:b/>
                <w:bCs/>
                <w:color w:val="auto"/>
                <w:szCs w:val="21"/>
                <w:highlight w:val="none"/>
              </w:rPr>
            </w:pPr>
            <w:r>
              <w:rPr>
                <w:rFonts w:hint="eastAsia" w:ascii="微软雅黑" w:hAnsi="微软雅黑" w:cs="微软雅黑"/>
                <w:b/>
                <w:bCs/>
                <w:color w:val="auto"/>
                <w:szCs w:val="21"/>
                <w:highlight w:val="none"/>
                <w:lang w:bidi="ar"/>
              </w:rPr>
              <w:t>评分分项</w:t>
            </w:r>
          </w:p>
        </w:tc>
        <w:tc>
          <w:tcPr>
            <w:tcW w:w="5819" w:type="dxa"/>
            <w:tcBorders>
              <w:top w:val="single" w:color="auto" w:sz="4" w:space="0"/>
              <w:left w:val="single" w:color="auto" w:sz="4" w:space="0"/>
              <w:bottom w:val="single" w:color="auto" w:sz="4" w:space="0"/>
              <w:right w:val="single" w:color="auto" w:sz="4" w:space="0"/>
            </w:tcBorders>
            <w:shd w:val="clear" w:color="auto" w:fill="auto"/>
            <w:vAlign w:val="center"/>
          </w:tcPr>
          <w:p w14:paraId="7700682C">
            <w:pPr>
              <w:keepNext w:val="0"/>
              <w:keepLines w:val="0"/>
              <w:pageBreakBefore w:val="0"/>
              <w:kinsoku/>
              <w:wordWrap/>
              <w:overflowPunct/>
              <w:topLinePunct w:val="0"/>
              <w:autoSpaceDE/>
              <w:autoSpaceDN/>
              <w:bidi w:val="0"/>
              <w:spacing w:after="0" w:line="0" w:lineRule="atLeast"/>
              <w:ind w:firstLine="0" w:firstLineChars="0"/>
              <w:jc w:val="center"/>
              <w:rPr>
                <w:rFonts w:ascii="微软雅黑" w:hAnsi="微软雅黑" w:cs="微软雅黑"/>
                <w:b/>
                <w:bCs/>
                <w:color w:val="auto"/>
                <w:szCs w:val="21"/>
                <w:highlight w:val="none"/>
              </w:rPr>
            </w:pPr>
            <w:r>
              <w:rPr>
                <w:rFonts w:hint="eastAsia" w:ascii="微软雅黑" w:hAnsi="微软雅黑" w:cs="微软雅黑"/>
                <w:b/>
                <w:bCs/>
                <w:color w:val="auto"/>
                <w:szCs w:val="21"/>
                <w:highlight w:val="none"/>
                <w:lang w:bidi="ar"/>
              </w:rPr>
              <w:t>评标要点及说明</w:t>
            </w:r>
          </w:p>
        </w:tc>
        <w:tc>
          <w:tcPr>
            <w:tcW w:w="787" w:type="dxa"/>
            <w:tcBorders>
              <w:top w:val="single" w:color="auto" w:sz="4" w:space="0"/>
              <w:left w:val="single" w:color="auto" w:sz="4" w:space="0"/>
              <w:bottom w:val="single" w:color="auto" w:sz="4" w:space="0"/>
              <w:right w:val="single" w:color="auto" w:sz="4" w:space="0"/>
            </w:tcBorders>
            <w:shd w:val="clear" w:color="auto" w:fill="auto"/>
            <w:vAlign w:val="center"/>
          </w:tcPr>
          <w:p w14:paraId="65A95EB0">
            <w:pPr>
              <w:keepNext w:val="0"/>
              <w:keepLines w:val="0"/>
              <w:pageBreakBefore w:val="0"/>
              <w:kinsoku/>
              <w:wordWrap/>
              <w:overflowPunct/>
              <w:topLinePunct w:val="0"/>
              <w:autoSpaceDE/>
              <w:autoSpaceDN/>
              <w:bidi w:val="0"/>
              <w:spacing w:after="0" w:line="0" w:lineRule="atLeast"/>
              <w:ind w:firstLine="0" w:firstLineChars="0"/>
              <w:jc w:val="center"/>
              <w:rPr>
                <w:rFonts w:ascii="微软雅黑" w:hAnsi="微软雅黑" w:cs="微软雅黑"/>
                <w:b/>
                <w:bCs/>
                <w:color w:val="auto"/>
                <w:szCs w:val="21"/>
                <w:highlight w:val="none"/>
              </w:rPr>
            </w:pPr>
            <w:r>
              <w:rPr>
                <w:rFonts w:hint="eastAsia" w:ascii="微软雅黑" w:hAnsi="微软雅黑" w:cs="微软雅黑"/>
                <w:b/>
                <w:bCs/>
                <w:color w:val="auto"/>
                <w:szCs w:val="21"/>
                <w:highlight w:val="none"/>
                <w:lang w:bidi="ar"/>
              </w:rPr>
              <w:t>最高分值</w:t>
            </w:r>
          </w:p>
        </w:tc>
        <w:tc>
          <w:tcPr>
            <w:tcW w:w="787" w:type="dxa"/>
            <w:tcBorders>
              <w:top w:val="single" w:color="auto" w:sz="4" w:space="0"/>
              <w:left w:val="single" w:color="auto" w:sz="4" w:space="0"/>
              <w:bottom w:val="single" w:color="auto" w:sz="4" w:space="0"/>
              <w:right w:val="single" w:color="auto" w:sz="4" w:space="0"/>
            </w:tcBorders>
            <w:shd w:val="clear" w:color="auto" w:fill="auto"/>
            <w:vAlign w:val="center"/>
          </w:tcPr>
          <w:p w14:paraId="2DA265C6">
            <w:pPr>
              <w:keepNext w:val="0"/>
              <w:keepLines w:val="0"/>
              <w:pageBreakBefore w:val="0"/>
              <w:kinsoku/>
              <w:wordWrap/>
              <w:overflowPunct/>
              <w:topLinePunct w:val="0"/>
              <w:autoSpaceDE/>
              <w:autoSpaceDN/>
              <w:bidi w:val="0"/>
              <w:spacing w:after="0" w:line="0" w:lineRule="atLeast"/>
              <w:ind w:firstLine="0" w:firstLineChars="0"/>
              <w:jc w:val="center"/>
              <w:rPr>
                <w:rFonts w:ascii="微软雅黑" w:hAnsi="微软雅黑" w:cs="微软雅黑"/>
                <w:b/>
                <w:bCs/>
                <w:color w:val="auto"/>
                <w:szCs w:val="21"/>
                <w:highlight w:val="none"/>
              </w:rPr>
            </w:pPr>
            <w:r>
              <w:rPr>
                <w:rFonts w:hint="eastAsia" w:ascii="微软雅黑" w:hAnsi="微软雅黑" w:cs="微软雅黑"/>
                <w:b/>
                <w:bCs/>
                <w:color w:val="auto"/>
                <w:szCs w:val="21"/>
                <w:highlight w:val="none"/>
                <w:lang w:bidi="ar"/>
              </w:rPr>
              <w:t>分值设置</w:t>
            </w:r>
          </w:p>
        </w:tc>
      </w:tr>
      <w:tr w14:paraId="0FC114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jc w:val="center"/>
        </w:trPr>
        <w:tc>
          <w:tcPr>
            <w:tcW w:w="797" w:type="dxa"/>
            <w:tcBorders>
              <w:top w:val="single" w:color="auto" w:sz="4" w:space="0"/>
              <w:left w:val="single" w:color="auto" w:sz="4" w:space="0"/>
              <w:right w:val="single" w:color="auto" w:sz="4" w:space="0"/>
            </w:tcBorders>
            <w:vAlign w:val="center"/>
          </w:tcPr>
          <w:p w14:paraId="62BE1C02">
            <w:pPr>
              <w:pStyle w:val="25"/>
              <w:keepNext w:val="0"/>
              <w:keepLines w:val="0"/>
              <w:pageBreakBefore w:val="0"/>
              <w:kinsoku/>
              <w:wordWrap/>
              <w:overflowPunct/>
              <w:topLinePunct w:val="0"/>
              <w:autoSpaceDE/>
              <w:autoSpaceDN/>
              <w:bidi w:val="0"/>
              <w:spacing w:after="0" w:line="0" w:lineRule="atLeast"/>
              <w:ind w:left="0" w:leftChars="0" w:firstLine="0" w:firstLineChars="0"/>
              <w:jc w:val="center"/>
              <w:rPr>
                <w:rFonts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1</w:t>
            </w:r>
          </w:p>
        </w:tc>
        <w:tc>
          <w:tcPr>
            <w:tcW w:w="1797" w:type="dxa"/>
            <w:tcBorders>
              <w:top w:val="single" w:color="auto" w:sz="4" w:space="0"/>
              <w:left w:val="single" w:color="auto" w:sz="4" w:space="0"/>
              <w:bottom w:val="single" w:color="auto" w:sz="4" w:space="0"/>
              <w:right w:val="single" w:color="auto" w:sz="4" w:space="0"/>
            </w:tcBorders>
            <w:vAlign w:val="center"/>
          </w:tcPr>
          <w:p w14:paraId="6ECA1413">
            <w:pPr>
              <w:pStyle w:val="25"/>
              <w:keepNext w:val="0"/>
              <w:keepLines w:val="0"/>
              <w:pageBreakBefore w:val="0"/>
              <w:kinsoku/>
              <w:wordWrap/>
              <w:overflowPunct/>
              <w:topLinePunct w:val="0"/>
              <w:autoSpaceDE/>
              <w:autoSpaceDN/>
              <w:bidi w:val="0"/>
              <w:spacing w:after="0" w:line="0" w:lineRule="atLeast"/>
              <w:ind w:left="0" w:leftChars="0" w:firstLine="0" w:firstLineChars="0"/>
              <w:jc w:val="center"/>
              <w:rPr>
                <w:rFonts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满足招标货物的性能及技术指标要求（核心产品）</w:t>
            </w:r>
          </w:p>
        </w:tc>
        <w:tc>
          <w:tcPr>
            <w:tcW w:w="5819" w:type="dxa"/>
            <w:tcBorders>
              <w:top w:val="single" w:color="auto" w:sz="4" w:space="0"/>
              <w:left w:val="single" w:color="auto" w:sz="4" w:space="0"/>
              <w:right w:val="single" w:color="auto" w:sz="4" w:space="0"/>
            </w:tcBorders>
            <w:vAlign w:val="center"/>
          </w:tcPr>
          <w:p w14:paraId="20E8300D">
            <w:pPr>
              <w:pStyle w:val="25"/>
              <w:keepNext w:val="0"/>
              <w:keepLines w:val="0"/>
              <w:pageBreakBefore w:val="0"/>
              <w:kinsoku/>
              <w:wordWrap/>
              <w:overflowPunct/>
              <w:topLinePunct w:val="0"/>
              <w:autoSpaceDE/>
              <w:autoSpaceDN/>
              <w:bidi w:val="0"/>
              <w:spacing w:after="0" w:line="0" w:lineRule="atLeast"/>
              <w:ind w:left="0" w:leftChars="0" w:firstLine="0" w:firstLineChars="0"/>
              <w:rPr>
                <w:rFonts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标★内容为主要性能指标要求条款，低于技术要求（负偏离）的每项扣2分；其他性能指标，低于技术要求（负偏离）的每项扣1分。本项最高15分，扣完为止。</w:t>
            </w:r>
          </w:p>
          <w:p w14:paraId="028A3FF7">
            <w:pPr>
              <w:pStyle w:val="25"/>
              <w:keepNext w:val="0"/>
              <w:keepLines w:val="0"/>
              <w:pageBreakBefore w:val="0"/>
              <w:kinsoku/>
              <w:wordWrap/>
              <w:overflowPunct/>
              <w:topLinePunct w:val="0"/>
              <w:autoSpaceDE/>
              <w:autoSpaceDN/>
              <w:bidi w:val="0"/>
              <w:spacing w:after="0" w:line="0" w:lineRule="atLeast"/>
              <w:ind w:left="630" w:leftChars="0" w:hanging="630" w:hangingChars="300"/>
              <w:rPr>
                <w:rFonts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 xml:space="preserve">注 </w:t>
            </w:r>
            <w:r>
              <w:rPr>
                <w:rFonts w:hint="eastAsia" w:ascii="微软雅黑" w:hAnsi="微软雅黑" w:eastAsia="微软雅黑" w:cs="微软雅黑"/>
                <w:color w:val="auto"/>
                <w:sz w:val="21"/>
                <w:szCs w:val="21"/>
                <w:highlight w:val="none"/>
                <w:lang w:eastAsia="zh-CN"/>
              </w:rPr>
              <w:t>：</w:t>
            </w:r>
            <w:r>
              <w:rPr>
                <w:rFonts w:hint="eastAsia" w:ascii="微软雅黑" w:hAnsi="微软雅黑" w:eastAsia="微软雅黑" w:cs="微软雅黑"/>
                <w:color w:val="auto"/>
                <w:sz w:val="21"/>
                <w:szCs w:val="21"/>
                <w:highlight w:val="none"/>
              </w:rPr>
              <w:t>标★</w:t>
            </w:r>
            <w:r>
              <w:rPr>
                <w:rFonts w:hint="eastAsia" w:ascii="微软雅黑" w:hAnsi="微软雅黑" w:eastAsia="微软雅黑" w:cs="微软雅黑"/>
                <w:color w:val="auto"/>
                <w:sz w:val="21"/>
                <w:szCs w:val="21"/>
                <w:highlight w:val="none"/>
                <w:lang w:val="en-US" w:eastAsia="zh-CN"/>
              </w:rPr>
              <w:t>指标及其它指标</w:t>
            </w:r>
            <w:r>
              <w:rPr>
                <w:rFonts w:hint="eastAsia" w:ascii="微软雅黑" w:hAnsi="微软雅黑" w:eastAsia="微软雅黑" w:cs="微软雅黑"/>
                <w:color w:val="auto"/>
                <w:sz w:val="21"/>
                <w:szCs w:val="21"/>
                <w:highlight w:val="none"/>
              </w:rPr>
              <w:t>负偏离</w:t>
            </w:r>
            <w:r>
              <w:rPr>
                <w:rFonts w:hint="eastAsia" w:ascii="微软雅黑" w:hAnsi="微软雅黑" w:eastAsia="微软雅黑" w:cs="微软雅黑"/>
                <w:color w:val="auto"/>
                <w:sz w:val="21"/>
                <w:szCs w:val="21"/>
                <w:highlight w:val="none"/>
                <w:lang w:val="en-US" w:eastAsia="zh-CN"/>
              </w:rPr>
              <w:t>5</w:t>
            </w:r>
            <w:r>
              <w:rPr>
                <w:rFonts w:hint="eastAsia" w:ascii="微软雅黑" w:hAnsi="微软雅黑" w:eastAsia="微软雅黑" w:cs="微软雅黑"/>
                <w:color w:val="auto"/>
                <w:sz w:val="21"/>
                <w:szCs w:val="21"/>
                <w:highlight w:val="none"/>
              </w:rPr>
              <w:t>项及以上的，视为采购人不能接受的附加条件</w:t>
            </w:r>
            <w:r>
              <w:rPr>
                <w:rFonts w:hint="eastAsia" w:ascii="微软雅黑" w:hAnsi="微软雅黑" w:eastAsia="微软雅黑" w:cs="微软雅黑"/>
                <w:color w:val="auto"/>
                <w:sz w:val="21"/>
                <w:szCs w:val="21"/>
                <w:highlight w:val="none"/>
                <w:lang w:eastAsia="zh-CN"/>
              </w:rPr>
              <w:t>，</w:t>
            </w:r>
            <w:r>
              <w:rPr>
                <w:rFonts w:hint="eastAsia" w:ascii="微软雅黑" w:hAnsi="微软雅黑" w:eastAsia="微软雅黑" w:cs="微软雅黑"/>
                <w:color w:val="auto"/>
                <w:sz w:val="21"/>
                <w:szCs w:val="21"/>
                <w:highlight w:val="none"/>
              </w:rPr>
              <w:t>投标无效。</w:t>
            </w:r>
          </w:p>
        </w:tc>
        <w:tc>
          <w:tcPr>
            <w:tcW w:w="787" w:type="dxa"/>
            <w:tcBorders>
              <w:top w:val="single" w:color="auto" w:sz="4" w:space="0"/>
              <w:left w:val="single" w:color="auto" w:sz="4" w:space="0"/>
              <w:bottom w:val="single" w:color="auto" w:sz="4" w:space="0"/>
              <w:right w:val="single" w:color="auto" w:sz="4" w:space="0"/>
            </w:tcBorders>
            <w:vAlign w:val="center"/>
          </w:tcPr>
          <w:p w14:paraId="3518D241">
            <w:pPr>
              <w:pStyle w:val="25"/>
              <w:keepNext w:val="0"/>
              <w:keepLines w:val="0"/>
              <w:pageBreakBefore w:val="0"/>
              <w:kinsoku/>
              <w:wordWrap/>
              <w:overflowPunct/>
              <w:topLinePunct w:val="0"/>
              <w:autoSpaceDE/>
              <w:autoSpaceDN/>
              <w:bidi w:val="0"/>
              <w:spacing w:after="0" w:line="0" w:lineRule="atLeast"/>
              <w:ind w:left="0" w:leftChars="0" w:firstLine="0" w:firstLineChars="0"/>
              <w:jc w:val="center"/>
              <w:rPr>
                <w:rFonts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15</w:t>
            </w:r>
          </w:p>
        </w:tc>
        <w:tc>
          <w:tcPr>
            <w:tcW w:w="787" w:type="dxa"/>
            <w:tcBorders>
              <w:top w:val="single" w:color="auto" w:sz="4" w:space="0"/>
              <w:left w:val="single" w:color="auto" w:sz="4" w:space="0"/>
              <w:bottom w:val="single" w:color="auto" w:sz="4" w:space="0"/>
              <w:right w:val="single" w:color="auto" w:sz="4" w:space="0"/>
            </w:tcBorders>
            <w:vAlign w:val="center"/>
          </w:tcPr>
          <w:p w14:paraId="7E1F26D0">
            <w:pPr>
              <w:pStyle w:val="25"/>
              <w:keepNext w:val="0"/>
              <w:keepLines w:val="0"/>
              <w:pageBreakBefore w:val="0"/>
              <w:kinsoku/>
              <w:wordWrap/>
              <w:overflowPunct/>
              <w:topLinePunct w:val="0"/>
              <w:autoSpaceDE/>
              <w:autoSpaceDN/>
              <w:bidi w:val="0"/>
              <w:spacing w:after="0" w:line="0" w:lineRule="atLeast"/>
              <w:ind w:left="0" w:leftChars="0" w:firstLine="0" w:firstLineChars="0"/>
              <w:jc w:val="center"/>
              <w:rPr>
                <w:rFonts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客观</w:t>
            </w:r>
          </w:p>
        </w:tc>
      </w:tr>
      <w:tr w14:paraId="55C226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jc w:val="center"/>
        </w:trPr>
        <w:tc>
          <w:tcPr>
            <w:tcW w:w="797" w:type="dxa"/>
            <w:tcBorders>
              <w:top w:val="single" w:color="auto" w:sz="4" w:space="0"/>
              <w:left w:val="single" w:color="auto" w:sz="4" w:space="0"/>
              <w:bottom w:val="single" w:color="auto" w:sz="4" w:space="0"/>
              <w:right w:val="single" w:color="auto" w:sz="4" w:space="0"/>
            </w:tcBorders>
            <w:shd w:val="clear" w:color="auto" w:fill="auto"/>
            <w:vAlign w:val="center"/>
          </w:tcPr>
          <w:p w14:paraId="5981C25F">
            <w:pPr>
              <w:pStyle w:val="47"/>
              <w:keepNext w:val="0"/>
              <w:keepLines w:val="0"/>
              <w:pageBreakBefore w:val="0"/>
              <w:widowControl w:val="0"/>
              <w:kinsoku/>
              <w:wordWrap/>
              <w:overflowPunct/>
              <w:topLinePunct w:val="0"/>
              <w:autoSpaceDE/>
              <w:autoSpaceDN/>
              <w:bidi w:val="0"/>
              <w:spacing w:before="0" w:beforeAutospacing="0" w:after="0" w:afterAutospacing="0" w:line="0" w:lineRule="atLeast"/>
              <w:ind w:firstLine="0" w:firstLineChars="0"/>
              <w:jc w:val="center"/>
              <w:rPr>
                <w:rFonts w:hint="eastAsia" w:ascii="微软雅黑" w:hAnsi="微软雅黑" w:eastAsia="微软雅黑" w:cs="微软雅黑"/>
                <w:color w:val="auto"/>
                <w:sz w:val="21"/>
                <w:szCs w:val="21"/>
                <w:highlight w:val="none"/>
                <w:lang w:eastAsia="zh-CN"/>
              </w:rPr>
            </w:pPr>
            <w:r>
              <w:rPr>
                <w:rFonts w:hint="eastAsia" w:ascii="微软雅黑" w:hAnsi="微软雅黑" w:cs="微软雅黑"/>
                <w:color w:val="auto"/>
                <w:sz w:val="21"/>
                <w:szCs w:val="21"/>
                <w:highlight w:val="none"/>
                <w:lang w:val="en-US" w:eastAsia="zh-CN" w:bidi="ar"/>
              </w:rPr>
              <w:t>2</w:t>
            </w:r>
          </w:p>
        </w:tc>
        <w:tc>
          <w:tcPr>
            <w:tcW w:w="1797" w:type="dxa"/>
            <w:tcBorders>
              <w:top w:val="single" w:color="auto" w:sz="4" w:space="0"/>
              <w:left w:val="single" w:color="auto" w:sz="4" w:space="0"/>
              <w:bottom w:val="single" w:color="auto" w:sz="4" w:space="0"/>
              <w:right w:val="single" w:color="auto" w:sz="4" w:space="0"/>
            </w:tcBorders>
            <w:shd w:val="clear" w:color="auto" w:fill="auto"/>
            <w:vAlign w:val="center"/>
          </w:tcPr>
          <w:p w14:paraId="620AA2B5">
            <w:pPr>
              <w:keepNext w:val="0"/>
              <w:keepLines w:val="0"/>
              <w:pageBreakBefore w:val="0"/>
              <w:kinsoku/>
              <w:wordWrap/>
              <w:overflowPunct/>
              <w:topLinePunct w:val="0"/>
              <w:autoSpaceDE/>
              <w:autoSpaceDN/>
              <w:bidi w:val="0"/>
              <w:spacing w:after="0" w:line="0" w:lineRule="atLeast"/>
              <w:ind w:firstLine="0" w:firstLineChars="0"/>
              <w:jc w:val="center"/>
              <w:rPr>
                <w:rFonts w:hint="eastAsia" w:ascii="微软雅黑" w:hAnsi="微软雅黑" w:eastAsia="微软雅黑" w:cs="微软雅黑"/>
                <w:color w:val="auto"/>
                <w:szCs w:val="21"/>
                <w:highlight w:val="none"/>
                <w:lang w:eastAsia="zh-CN"/>
              </w:rPr>
            </w:pPr>
            <w:r>
              <w:rPr>
                <w:rFonts w:hint="eastAsia" w:ascii="微软雅黑" w:hAnsi="微软雅黑" w:cs="微软雅黑"/>
                <w:color w:val="auto"/>
                <w:kern w:val="0"/>
                <w:szCs w:val="21"/>
                <w:highlight w:val="none"/>
                <w:lang w:bidi="ar"/>
              </w:rPr>
              <w:t>满足招标货物的性能及技术指标要求</w:t>
            </w:r>
            <w:r>
              <w:rPr>
                <w:rFonts w:hint="eastAsia" w:ascii="微软雅黑" w:hAnsi="微软雅黑" w:cs="微软雅黑"/>
                <w:color w:val="auto"/>
                <w:kern w:val="0"/>
                <w:szCs w:val="21"/>
                <w:highlight w:val="none"/>
                <w:lang w:eastAsia="zh-CN" w:bidi="ar"/>
              </w:rPr>
              <w:t>（非核心产品）</w:t>
            </w:r>
          </w:p>
        </w:tc>
        <w:tc>
          <w:tcPr>
            <w:tcW w:w="5819" w:type="dxa"/>
            <w:tcBorders>
              <w:top w:val="single" w:color="auto" w:sz="4" w:space="0"/>
              <w:left w:val="single" w:color="auto" w:sz="4" w:space="0"/>
              <w:bottom w:val="single" w:color="auto" w:sz="4" w:space="0"/>
              <w:right w:val="single" w:color="auto" w:sz="4" w:space="0"/>
            </w:tcBorders>
            <w:shd w:val="clear" w:color="auto" w:fill="auto"/>
            <w:vAlign w:val="center"/>
          </w:tcPr>
          <w:p w14:paraId="4D10DEAF">
            <w:pPr>
              <w:keepNext w:val="0"/>
              <w:keepLines w:val="0"/>
              <w:pageBreakBefore w:val="0"/>
              <w:widowControl/>
              <w:kinsoku/>
              <w:wordWrap/>
              <w:overflowPunct/>
              <w:topLinePunct w:val="0"/>
              <w:autoSpaceDE/>
              <w:autoSpaceDN/>
              <w:bidi w:val="0"/>
              <w:spacing w:after="0" w:line="0" w:lineRule="atLeast"/>
              <w:ind w:firstLine="0" w:firstLineChars="0"/>
              <w:jc w:val="both"/>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对全部技术指标被认定为无偏离的，得20分。</w:t>
            </w:r>
          </w:p>
          <w:p w14:paraId="5B5F1F09">
            <w:pPr>
              <w:keepNext w:val="0"/>
              <w:keepLines w:val="0"/>
              <w:pageBreakBefore w:val="0"/>
              <w:kinsoku/>
              <w:wordWrap/>
              <w:overflowPunct/>
              <w:topLinePunct w:val="0"/>
              <w:autoSpaceDE/>
              <w:autoSpaceDN/>
              <w:bidi w:val="0"/>
              <w:spacing w:after="0" w:line="0" w:lineRule="atLeast"/>
              <w:ind w:firstLine="0" w:firstLineChars="0"/>
              <w:jc w:val="both"/>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对采购技术指标中非加★非重要指标项被认定为负偏离的，每一项扣</w:t>
            </w:r>
            <w:r>
              <w:rPr>
                <w:rFonts w:hint="eastAsia" w:ascii="微软雅黑" w:hAnsi="微软雅黑" w:cs="微软雅黑"/>
                <w:color w:val="auto"/>
                <w:szCs w:val="21"/>
                <w:highlight w:val="none"/>
                <w:lang w:val="en-US" w:eastAsia="zh-CN" w:bidi="ar"/>
              </w:rPr>
              <w:t>0.5</w:t>
            </w:r>
            <w:r>
              <w:rPr>
                <w:rFonts w:hint="eastAsia" w:ascii="微软雅黑" w:hAnsi="微软雅黑" w:cs="微软雅黑"/>
                <w:color w:val="auto"/>
                <w:szCs w:val="21"/>
                <w:highlight w:val="none"/>
                <w:lang w:bidi="ar"/>
              </w:rPr>
              <w:t>分，加★重要指标项被认定为负偏离的。每一项扣</w:t>
            </w:r>
            <w:r>
              <w:rPr>
                <w:rFonts w:hint="eastAsia" w:ascii="微软雅黑" w:hAnsi="微软雅黑" w:cs="微软雅黑"/>
                <w:color w:val="auto"/>
                <w:szCs w:val="21"/>
                <w:highlight w:val="none"/>
                <w:lang w:val="en-US" w:eastAsia="zh-CN" w:bidi="ar"/>
              </w:rPr>
              <w:t>1</w:t>
            </w:r>
            <w:r>
              <w:rPr>
                <w:rFonts w:hint="eastAsia" w:ascii="微软雅黑" w:hAnsi="微软雅黑" w:cs="微软雅黑"/>
                <w:color w:val="auto"/>
                <w:szCs w:val="21"/>
                <w:highlight w:val="none"/>
                <w:lang w:bidi="ar"/>
              </w:rPr>
              <w:t>分，扣完为止。</w:t>
            </w:r>
          </w:p>
        </w:tc>
        <w:tc>
          <w:tcPr>
            <w:tcW w:w="787" w:type="dxa"/>
            <w:tcBorders>
              <w:top w:val="single" w:color="auto" w:sz="4" w:space="0"/>
              <w:left w:val="single" w:color="auto" w:sz="4" w:space="0"/>
              <w:bottom w:val="single" w:color="auto" w:sz="4" w:space="0"/>
              <w:right w:val="single" w:color="auto" w:sz="4" w:space="0"/>
            </w:tcBorders>
            <w:shd w:val="clear" w:color="auto" w:fill="auto"/>
            <w:vAlign w:val="center"/>
          </w:tcPr>
          <w:p w14:paraId="6B367B93">
            <w:pPr>
              <w:pStyle w:val="47"/>
              <w:keepNext w:val="0"/>
              <w:keepLines w:val="0"/>
              <w:pageBreakBefore w:val="0"/>
              <w:widowControl w:val="0"/>
              <w:kinsoku/>
              <w:wordWrap/>
              <w:overflowPunct/>
              <w:topLinePunct w:val="0"/>
              <w:autoSpaceDE/>
              <w:autoSpaceDN/>
              <w:bidi w:val="0"/>
              <w:spacing w:before="0" w:beforeAutospacing="0" w:after="0" w:afterAutospacing="0" w:line="0" w:lineRule="atLeast"/>
              <w:ind w:firstLine="0" w:firstLineChars="0"/>
              <w:jc w:val="center"/>
              <w:rPr>
                <w:rFonts w:ascii="微软雅黑" w:hAnsi="微软雅黑" w:cs="微软雅黑"/>
                <w:color w:val="auto"/>
                <w:sz w:val="21"/>
                <w:szCs w:val="21"/>
                <w:highlight w:val="none"/>
              </w:rPr>
            </w:pPr>
            <w:r>
              <w:rPr>
                <w:rFonts w:hint="eastAsia" w:ascii="微软雅黑" w:hAnsi="微软雅黑" w:cs="微软雅黑"/>
                <w:color w:val="auto"/>
                <w:sz w:val="21"/>
                <w:szCs w:val="21"/>
                <w:highlight w:val="none"/>
                <w:lang w:bidi="ar"/>
              </w:rPr>
              <w:t>20</w:t>
            </w:r>
          </w:p>
        </w:tc>
        <w:tc>
          <w:tcPr>
            <w:tcW w:w="787" w:type="dxa"/>
            <w:tcBorders>
              <w:top w:val="single" w:color="auto" w:sz="4" w:space="0"/>
              <w:left w:val="single" w:color="auto" w:sz="4" w:space="0"/>
              <w:bottom w:val="single" w:color="auto" w:sz="4" w:space="0"/>
              <w:right w:val="single" w:color="auto" w:sz="4" w:space="0"/>
            </w:tcBorders>
            <w:shd w:val="clear" w:color="auto" w:fill="auto"/>
            <w:vAlign w:val="center"/>
          </w:tcPr>
          <w:p w14:paraId="242FB868">
            <w:pPr>
              <w:pStyle w:val="47"/>
              <w:keepNext w:val="0"/>
              <w:keepLines w:val="0"/>
              <w:pageBreakBefore w:val="0"/>
              <w:widowControl w:val="0"/>
              <w:kinsoku/>
              <w:wordWrap/>
              <w:overflowPunct/>
              <w:topLinePunct w:val="0"/>
              <w:autoSpaceDE/>
              <w:autoSpaceDN/>
              <w:bidi w:val="0"/>
              <w:spacing w:before="0" w:beforeAutospacing="0" w:after="0" w:afterAutospacing="0" w:line="0" w:lineRule="atLeast"/>
              <w:ind w:firstLine="0" w:firstLineChars="0"/>
              <w:jc w:val="center"/>
              <w:rPr>
                <w:rFonts w:ascii="微软雅黑" w:hAnsi="微软雅黑" w:cs="微软雅黑"/>
                <w:color w:val="auto"/>
                <w:sz w:val="21"/>
                <w:szCs w:val="21"/>
                <w:highlight w:val="none"/>
              </w:rPr>
            </w:pPr>
            <w:r>
              <w:rPr>
                <w:rFonts w:hint="eastAsia" w:ascii="微软雅黑" w:hAnsi="微软雅黑" w:cs="微软雅黑"/>
                <w:color w:val="auto"/>
                <w:sz w:val="21"/>
                <w:szCs w:val="21"/>
                <w:highlight w:val="none"/>
                <w:lang w:bidi="ar"/>
              </w:rPr>
              <w:t>客观</w:t>
            </w:r>
          </w:p>
        </w:tc>
      </w:tr>
      <w:tr w14:paraId="72B797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jc w:val="center"/>
        </w:trPr>
        <w:tc>
          <w:tcPr>
            <w:tcW w:w="797" w:type="dxa"/>
            <w:tcBorders>
              <w:top w:val="single" w:color="auto" w:sz="4" w:space="0"/>
              <w:left w:val="single" w:color="auto" w:sz="4" w:space="0"/>
              <w:bottom w:val="single" w:color="auto" w:sz="4" w:space="0"/>
              <w:right w:val="single" w:color="auto" w:sz="4" w:space="0"/>
            </w:tcBorders>
            <w:shd w:val="clear" w:color="auto" w:fill="auto"/>
            <w:vAlign w:val="center"/>
          </w:tcPr>
          <w:p w14:paraId="145D28D3">
            <w:pPr>
              <w:pStyle w:val="47"/>
              <w:keepNext w:val="0"/>
              <w:keepLines w:val="0"/>
              <w:pageBreakBefore w:val="0"/>
              <w:widowControl w:val="0"/>
              <w:kinsoku/>
              <w:wordWrap/>
              <w:overflowPunct/>
              <w:topLinePunct w:val="0"/>
              <w:autoSpaceDE/>
              <w:autoSpaceDN/>
              <w:bidi w:val="0"/>
              <w:spacing w:before="0" w:beforeAutospacing="0" w:after="0" w:afterAutospacing="0" w:line="0" w:lineRule="atLeast"/>
              <w:ind w:firstLine="0" w:firstLineChars="0"/>
              <w:jc w:val="center"/>
              <w:rPr>
                <w:rFonts w:hint="eastAsia" w:ascii="微软雅黑" w:hAnsi="微软雅黑" w:eastAsia="微软雅黑" w:cs="微软雅黑"/>
                <w:color w:val="auto"/>
                <w:sz w:val="21"/>
                <w:szCs w:val="21"/>
                <w:highlight w:val="none"/>
                <w:lang w:eastAsia="zh-CN"/>
              </w:rPr>
            </w:pPr>
            <w:r>
              <w:rPr>
                <w:rFonts w:hint="eastAsia" w:ascii="微软雅黑" w:hAnsi="微软雅黑" w:cs="微软雅黑"/>
                <w:color w:val="auto"/>
                <w:sz w:val="21"/>
                <w:szCs w:val="21"/>
                <w:highlight w:val="none"/>
                <w:lang w:val="en-US" w:eastAsia="zh-CN"/>
              </w:rPr>
              <w:t>3</w:t>
            </w:r>
          </w:p>
        </w:tc>
        <w:tc>
          <w:tcPr>
            <w:tcW w:w="1797" w:type="dxa"/>
            <w:tcBorders>
              <w:top w:val="single" w:color="auto" w:sz="4" w:space="0"/>
              <w:left w:val="single" w:color="auto" w:sz="4" w:space="0"/>
              <w:bottom w:val="single" w:color="auto" w:sz="4" w:space="0"/>
              <w:right w:val="single" w:color="auto" w:sz="4" w:space="0"/>
            </w:tcBorders>
            <w:shd w:val="clear" w:color="auto" w:fill="auto"/>
            <w:vAlign w:val="center"/>
          </w:tcPr>
          <w:p w14:paraId="54F3D362">
            <w:pPr>
              <w:keepNext w:val="0"/>
              <w:keepLines w:val="0"/>
              <w:pageBreakBefore w:val="0"/>
              <w:widowControl/>
              <w:kinsoku/>
              <w:wordWrap/>
              <w:overflowPunct/>
              <w:topLinePunct w:val="0"/>
              <w:autoSpaceDE/>
              <w:autoSpaceDN/>
              <w:bidi w:val="0"/>
              <w:snapToGrid w:val="0"/>
              <w:spacing w:after="0" w:line="0" w:lineRule="atLeast"/>
              <w:ind w:firstLine="0" w:firstLineChars="0"/>
              <w:jc w:val="center"/>
              <w:textAlignment w:val="center"/>
              <w:rPr>
                <w:rFonts w:ascii="微软雅黑" w:hAnsi="微软雅黑" w:cs="微软雅黑"/>
                <w:color w:val="auto"/>
                <w:szCs w:val="21"/>
                <w:highlight w:val="none"/>
              </w:rPr>
            </w:pPr>
            <w:r>
              <w:rPr>
                <w:rFonts w:hint="eastAsia" w:ascii="微软雅黑" w:hAnsi="微软雅黑" w:cs="微软雅黑"/>
                <w:color w:val="auto"/>
                <w:kern w:val="0"/>
                <w:szCs w:val="21"/>
                <w:highlight w:val="none"/>
                <w:lang w:bidi="ar"/>
              </w:rPr>
              <w:t>技术方案</w:t>
            </w:r>
          </w:p>
        </w:tc>
        <w:tc>
          <w:tcPr>
            <w:tcW w:w="5819" w:type="dxa"/>
            <w:tcBorders>
              <w:top w:val="single" w:color="auto" w:sz="4" w:space="0"/>
              <w:left w:val="single" w:color="auto" w:sz="4" w:space="0"/>
              <w:bottom w:val="single" w:color="auto" w:sz="4" w:space="0"/>
              <w:right w:val="single" w:color="auto" w:sz="4" w:space="0"/>
            </w:tcBorders>
            <w:shd w:val="clear" w:color="auto" w:fill="auto"/>
            <w:vAlign w:val="center"/>
          </w:tcPr>
          <w:p w14:paraId="2901414D">
            <w:pPr>
              <w:keepNext w:val="0"/>
              <w:keepLines w:val="0"/>
              <w:pageBreakBefore w:val="0"/>
              <w:kinsoku/>
              <w:wordWrap/>
              <w:overflowPunct/>
              <w:topLinePunct w:val="0"/>
              <w:autoSpaceDE/>
              <w:autoSpaceDN/>
              <w:bidi w:val="0"/>
              <w:spacing w:after="0" w:line="0" w:lineRule="atLeast"/>
              <w:ind w:firstLine="0" w:firstLineChars="0"/>
              <w:jc w:val="both"/>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1</w:t>
            </w:r>
            <w:r>
              <w:rPr>
                <w:rFonts w:hint="eastAsia" w:ascii="微软雅黑" w:hAnsi="微软雅黑" w:cs="微软雅黑"/>
                <w:color w:val="auto"/>
                <w:szCs w:val="21"/>
                <w:highlight w:val="none"/>
                <w:lang w:eastAsia="zh-CN" w:bidi="ar"/>
              </w:rPr>
              <w:t>、</w:t>
            </w:r>
            <w:r>
              <w:rPr>
                <w:rFonts w:hint="eastAsia" w:ascii="微软雅黑" w:hAnsi="微软雅黑" w:cs="微软雅黑"/>
                <w:color w:val="auto"/>
                <w:szCs w:val="21"/>
                <w:highlight w:val="none"/>
                <w:lang w:bidi="ar"/>
              </w:rPr>
              <w:t>投标方案总体设计及布局的优良性</w:t>
            </w:r>
            <w:r>
              <w:rPr>
                <w:rFonts w:hint="eastAsia" w:ascii="微软雅黑" w:hAnsi="微软雅黑" w:cs="微软雅黑"/>
                <w:color w:val="auto"/>
                <w:kern w:val="0"/>
                <w:szCs w:val="21"/>
                <w:highlight w:val="none"/>
                <w:lang w:bidi="ar"/>
              </w:rPr>
              <w:t>，</w:t>
            </w:r>
            <w:r>
              <w:rPr>
                <w:rFonts w:hint="eastAsia" w:ascii="微软雅黑" w:hAnsi="微软雅黑" w:cs="微软雅黑"/>
                <w:color w:val="auto"/>
                <w:szCs w:val="21"/>
                <w:highlight w:val="none"/>
                <w:lang w:bidi="ar"/>
              </w:rPr>
              <w:t>根据方案是否</w:t>
            </w:r>
            <w:r>
              <w:rPr>
                <w:rFonts w:hint="eastAsia" w:ascii="微软雅黑" w:hAnsi="微软雅黑" w:cs="微软雅黑"/>
                <w:color w:val="auto"/>
                <w:kern w:val="0"/>
                <w:szCs w:val="21"/>
                <w:highlight w:val="none"/>
                <w:lang w:bidi="ar"/>
              </w:rPr>
              <w:t>是否与采购需求符合性或匹配度进行打分：</w:t>
            </w:r>
            <w:r>
              <w:rPr>
                <w:rFonts w:hint="eastAsia" w:ascii="微软雅黑" w:hAnsi="微软雅黑" w:cs="微软雅黑"/>
                <w:color w:val="auto"/>
                <w:szCs w:val="21"/>
                <w:highlight w:val="none"/>
              </w:rPr>
              <w:t>符合采购需求的3分，</w:t>
            </w:r>
            <w:r>
              <w:rPr>
                <w:rFonts w:hint="eastAsia" w:ascii="微软雅黑" w:hAnsi="微软雅黑" w:cs="微软雅黑"/>
                <w:color w:val="auto"/>
                <w:szCs w:val="21"/>
                <w:highlight w:val="none"/>
                <w:lang w:eastAsia="zh-CN"/>
              </w:rPr>
              <w:t>大</w:t>
            </w:r>
            <w:r>
              <w:rPr>
                <w:rFonts w:hint="eastAsia" w:ascii="微软雅黑" w:hAnsi="微软雅黑" w:cs="微软雅黑"/>
                <w:color w:val="auto"/>
                <w:szCs w:val="21"/>
                <w:highlight w:val="none"/>
              </w:rPr>
              <w:t>部分符合的得2分，</w:t>
            </w:r>
            <w:r>
              <w:rPr>
                <w:rFonts w:hint="eastAsia" w:ascii="微软雅黑" w:hAnsi="微软雅黑" w:cs="微软雅黑"/>
                <w:color w:val="auto"/>
                <w:szCs w:val="21"/>
                <w:highlight w:val="none"/>
                <w:lang w:eastAsia="zh-CN"/>
              </w:rPr>
              <w:t>有部分不</w:t>
            </w:r>
            <w:r>
              <w:rPr>
                <w:rFonts w:hint="eastAsia" w:ascii="微软雅黑" w:hAnsi="微软雅黑" w:cs="微软雅黑"/>
                <w:color w:val="auto"/>
                <w:szCs w:val="21"/>
                <w:highlight w:val="none"/>
              </w:rPr>
              <w:t>符合</w:t>
            </w:r>
            <w:r>
              <w:rPr>
                <w:rFonts w:hint="eastAsia" w:ascii="微软雅黑" w:hAnsi="微软雅黑" w:cs="微软雅黑"/>
                <w:color w:val="auto"/>
                <w:szCs w:val="21"/>
                <w:highlight w:val="none"/>
                <w:lang w:eastAsia="zh-CN"/>
              </w:rPr>
              <w:t>可能影响项目实施</w:t>
            </w:r>
            <w:r>
              <w:rPr>
                <w:rFonts w:hint="eastAsia" w:ascii="微软雅黑" w:hAnsi="微软雅黑" w:cs="微软雅黑"/>
                <w:color w:val="auto"/>
                <w:szCs w:val="21"/>
                <w:highlight w:val="none"/>
              </w:rPr>
              <w:t>的得1分，不提供不得分</w:t>
            </w:r>
            <w:r>
              <w:rPr>
                <w:rFonts w:hint="eastAsia" w:ascii="微软雅黑" w:hAnsi="微软雅黑" w:cs="微软雅黑"/>
                <w:color w:val="auto"/>
                <w:kern w:val="0"/>
                <w:szCs w:val="21"/>
                <w:highlight w:val="none"/>
                <w:lang w:bidi="ar"/>
              </w:rPr>
              <w:t>。</w:t>
            </w:r>
          </w:p>
          <w:p w14:paraId="3032F3A0">
            <w:pPr>
              <w:keepNext w:val="0"/>
              <w:keepLines w:val="0"/>
              <w:pageBreakBefore w:val="0"/>
              <w:widowControl/>
              <w:kinsoku/>
              <w:wordWrap/>
              <w:overflowPunct/>
              <w:topLinePunct w:val="0"/>
              <w:autoSpaceDE/>
              <w:autoSpaceDN/>
              <w:bidi w:val="0"/>
              <w:adjustRightInd w:val="0"/>
              <w:snapToGrid w:val="0"/>
              <w:spacing w:after="0" w:line="0" w:lineRule="atLeast"/>
              <w:ind w:firstLine="0" w:firstLineChars="0"/>
              <w:jc w:val="both"/>
              <w:rPr>
                <w:rFonts w:ascii="微软雅黑" w:hAnsi="微软雅黑" w:cs="微软雅黑"/>
                <w:color w:val="auto"/>
                <w:kern w:val="0"/>
                <w:szCs w:val="21"/>
                <w:highlight w:val="none"/>
              </w:rPr>
            </w:pPr>
            <w:r>
              <w:rPr>
                <w:rFonts w:hint="eastAsia" w:ascii="微软雅黑" w:hAnsi="微软雅黑" w:cs="微软雅黑"/>
                <w:color w:val="auto"/>
                <w:szCs w:val="21"/>
                <w:highlight w:val="none"/>
                <w:lang w:bidi="ar"/>
              </w:rPr>
              <w:t>2</w:t>
            </w:r>
            <w:r>
              <w:rPr>
                <w:rFonts w:hint="eastAsia" w:ascii="微软雅黑" w:hAnsi="微软雅黑" w:cs="微软雅黑"/>
                <w:color w:val="auto"/>
                <w:szCs w:val="21"/>
                <w:highlight w:val="none"/>
                <w:lang w:eastAsia="zh-CN" w:bidi="ar"/>
              </w:rPr>
              <w:t>、</w:t>
            </w:r>
            <w:r>
              <w:rPr>
                <w:rFonts w:hint="eastAsia" w:ascii="微软雅黑" w:hAnsi="微软雅黑" w:cs="微软雅黑"/>
                <w:color w:val="auto"/>
                <w:szCs w:val="21"/>
                <w:highlight w:val="none"/>
                <w:lang w:bidi="ar"/>
              </w:rPr>
              <w:t>投标方案与需求的吻合程度，包括方案的科学性、先进性、可行性和扩展性，根据方案是否</w:t>
            </w:r>
            <w:r>
              <w:rPr>
                <w:rFonts w:hint="eastAsia" w:ascii="微软雅黑" w:hAnsi="微软雅黑" w:cs="微软雅黑"/>
                <w:color w:val="auto"/>
                <w:kern w:val="0"/>
                <w:szCs w:val="21"/>
                <w:highlight w:val="none"/>
                <w:lang w:bidi="ar"/>
              </w:rPr>
              <w:t>是否与采购需求符合性或匹配度进行打分：</w:t>
            </w:r>
            <w:r>
              <w:rPr>
                <w:rFonts w:hint="eastAsia" w:ascii="微软雅黑" w:hAnsi="微软雅黑" w:cs="微软雅黑"/>
                <w:color w:val="auto"/>
                <w:szCs w:val="21"/>
                <w:highlight w:val="none"/>
              </w:rPr>
              <w:t>符合采购需求的3分，</w:t>
            </w:r>
            <w:r>
              <w:rPr>
                <w:rFonts w:hint="eastAsia" w:ascii="微软雅黑" w:hAnsi="微软雅黑" w:cs="微软雅黑"/>
                <w:color w:val="auto"/>
                <w:szCs w:val="21"/>
                <w:highlight w:val="none"/>
                <w:lang w:eastAsia="zh-CN"/>
              </w:rPr>
              <w:t>大</w:t>
            </w:r>
            <w:r>
              <w:rPr>
                <w:rFonts w:hint="eastAsia" w:ascii="微软雅黑" w:hAnsi="微软雅黑" w:cs="微软雅黑"/>
                <w:color w:val="auto"/>
                <w:szCs w:val="21"/>
                <w:highlight w:val="none"/>
              </w:rPr>
              <w:t>部分符合的得2分，</w:t>
            </w:r>
            <w:r>
              <w:rPr>
                <w:rFonts w:hint="eastAsia" w:ascii="微软雅黑" w:hAnsi="微软雅黑" w:cs="微软雅黑"/>
                <w:color w:val="auto"/>
                <w:szCs w:val="21"/>
                <w:highlight w:val="none"/>
                <w:lang w:eastAsia="zh-CN"/>
              </w:rPr>
              <w:t>有部分不</w:t>
            </w:r>
            <w:r>
              <w:rPr>
                <w:rFonts w:hint="eastAsia" w:ascii="微软雅黑" w:hAnsi="微软雅黑" w:cs="微软雅黑"/>
                <w:color w:val="auto"/>
                <w:szCs w:val="21"/>
                <w:highlight w:val="none"/>
              </w:rPr>
              <w:t>符合</w:t>
            </w:r>
            <w:r>
              <w:rPr>
                <w:rFonts w:hint="eastAsia" w:ascii="微软雅黑" w:hAnsi="微软雅黑" w:cs="微软雅黑"/>
                <w:color w:val="auto"/>
                <w:szCs w:val="21"/>
                <w:highlight w:val="none"/>
                <w:lang w:eastAsia="zh-CN"/>
              </w:rPr>
              <w:t>可能影响项目实施</w:t>
            </w:r>
            <w:r>
              <w:rPr>
                <w:rFonts w:hint="eastAsia" w:ascii="微软雅黑" w:hAnsi="微软雅黑" w:cs="微软雅黑"/>
                <w:color w:val="auto"/>
                <w:szCs w:val="21"/>
                <w:highlight w:val="none"/>
              </w:rPr>
              <w:t>的得1分，不提供不得分</w:t>
            </w:r>
            <w:r>
              <w:rPr>
                <w:rFonts w:hint="eastAsia" w:ascii="微软雅黑" w:hAnsi="微软雅黑" w:cs="微软雅黑"/>
                <w:color w:val="auto"/>
                <w:kern w:val="0"/>
                <w:szCs w:val="21"/>
                <w:highlight w:val="none"/>
                <w:lang w:bidi="ar"/>
              </w:rPr>
              <w:t>。。</w:t>
            </w:r>
          </w:p>
          <w:p w14:paraId="2DB913FF">
            <w:pPr>
              <w:keepNext w:val="0"/>
              <w:keepLines w:val="0"/>
              <w:pageBreakBefore w:val="0"/>
              <w:widowControl/>
              <w:kinsoku/>
              <w:wordWrap/>
              <w:overflowPunct/>
              <w:topLinePunct w:val="0"/>
              <w:autoSpaceDE/>
              <w:autoSpaceDN/>
              <w:bidi w:val="0"/>
              <w:adjustRightInd w:val="0"/>
              <w:snapToGrid w:val="0"/>
              <w:spacing w:after="0" w:line="0" w:lineRule="atLeast"/>
              <w:ind w:firstLine="0" w:firstLineChars="0"/>
              <w:jc w:val="both"/>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3</w:t>
            </w:r>
            <w:r>
              <w:rPr>
                <w:rFonts w:hint="eastAsia" w:ascii="微软雅黑" w:hAnsi="微软雅黑" w:cs="微软雅黑"/>
                <w:color w:val="auto"/>
                <w:szCs w:val="21"/>
                <w:highlight w:val="none"/>
                <w:lang w:eastAsia="zh-CN" w:bidi="ar"/>
              </w:rPr>
              <w:t>、</w:t>
            </w:r>
            <w:r>
              <w:rPr>
                <w:rFonts w:hint="eastAsia" w:ascii="微软雅黑" w:hAnsi="微软雅黑" w:cs="微软雅黑"/>
                <w:color w:val="auto"/>
                <w:szCs w:val="21"/>
                <w:highlight w:val="none"/>
                <w:lang w:bidi="ar"/>
              </w:rPr>
              <w:t>对项目建设思路、原则、特点、技术要求的理解情况</w:t>
            </w:r>
            <w:r>
              <w:rPr>
                <w:rFonts w:hint="eastAsia" w:ascii="微软雅黑" w:hAnsi="微软雅黑" w:cs="微软雅黑"/>
                <w:color w:val="auto"/>
                <w:kern w:val="0"/>
                <w:szCs w:val="21"/>
                <w:highlight w:val="none"/>
                <w:lang w:bidi="ar"/>
              </w:rPr>
              <w:t>，</w:t>
            </w:r>
            <w:r>
              <w:rPr>
                <w:rFonts w:hint="eastAsia" w:ascii="微软雅黑" w:hAnsi="微软雅黑" w:cs="微软雅黑"/>
                <w:color w:val="auto"/>
                <w:szCs w:val="21"/>
                <w:highlight w:val="none"/>
                <w:lang w:bidi="ar"/>
              </w:rPr>
              <w:t>根据方案是否</w:t>
            </w:r>
            <w:r>
              <w:rPr>
                <w:rFonts w:hint="eastAsia" w:ascii="微软雅黑" w:hAnsi="微软雅黑" w:cs="微软雅黑"/>
                <w:color w:val="auto"/>
                <w:kern w:val="0"/>
                <w:szCs w:val="21"/>
                <w:highlight w:val="none"/>
                <w:lang w:bidi="ar"/>
              </w:rPr>
              <w:t>与采购需求符合性或匹配度进行打分：</w:t>
            </w:r>
            <w:r>
              <w:rPr>
                <w:rFonts w:hint="eastAsia" w:ascii="微软雅黑" w:hAnsi="微软雅黑" w:cs="微软雅黑"/>
                <w:color w:val="auto"/>
                <w:szCs w:val="21"/>
                <w:highlight w:val="none"/>
              </w:rPr>
              <w:t>符合采购需求的3分，</w:t>
            </w:r>
            <w:r>
              <w:rPr>
                <w:rFonts w:hint="eastAsia" w:ascii="微软雅黑" w:hAnsi="微软雅黑" w:cs="微软雅黑"/>
                <w:color w:val="auto"/>
                <w:szCs w:val="21"/>
                <w:highlight w:val="none"/>
                <w:lang w:eastAsia="zh-CN"/>
              </w:rPr>
              <w:t>大</w:t>
            </w:r>
            <w:r>
              <w:rPr>
                <w:rFonts w:hint="eastAsia" w:ascii="微软雅黑" w:hAnsi="微软雅黑" w:cs="微软雅黑"/>
                <w:color w:val="auto"/>
                <w:szCs w:val="21"/>
                <w:highlight w:val="none"/>
              </w:rPr>
              <w:t>部分符合的得2分，</w:t>
            </w:r>
            <w:r>
              <w:rPr>
                <w:rFonts w:hint="eastAsia" w:ascii="微软雅黑" w:hAnsi="微软雅黑" w:cs="微软雅黑"/>
                <w:color w:val="auto"/>
                <w:szCs w:val="21"/>
                <w:highlight w:val="none"/>
                <w:lang w:eastAsia="zh-CN"/>
              </w:rPr>
              <w:t>有部分不</w:t>
            </w:r>
            <w:r>
              <w:rPr>
                <w:rFonts w:hint="eastAsia" w:ascii="微软雅黑" w:hAnsi="微软雅黑" w:cs="微软雅黑"/>
                <w:color w:val="auto"/>
                <w:szCs w:val="21"/>
                <w:highlight w:val="none"/>
              </w:rPr>
              <w:t>符合</w:t>
            </w:r>
            <w:r>
              <w:rPr>
                <w:rFonts w:hint="eastAsia" w:ascii="微软雅黑" w:hAnsi="微软雅黑" w:cs="微软雅黑"/>
                <w:color w:val="auto"/>
                <w:szCs w:val="21"/>
                <w:highlight w:val="none"/>
                <w:lang w:eastAsia="zh-CN"/>
              </w:rPr>
              <w:t>可能影响项目实施</w:t>
            </w:r>
            <w:r>
              <w:rPr>
                <w:rFonts w:hint="eastAsia" w:ascii="微软雅黑" w:hAnsi="微软雅黑" w:cs="微软雅黑"/>
                <w:color w:val="auto"/>
                <w:szCs w:val="21"/>
                <w:highlight w:val="none"/>
              </w:rPr>
              <w:t>的得1分，不提供不得分</w:t>
            </w:r>
            <w:r>
              <w:rPr>
                <w:rFonts w:hint="eastAsia" w:ascii="微软雅黑" w:hAnsi="微软雅黑" w:cs="微软雅黑"/>
                <w:color w:val="auto"/>
                <w:kern w:val="0"/>
                <w:szCs w:val="21"/>
                <w:highlight w:val="none"/>
                <w:lang w:bidi="ar"/>
              </w:rPr>
              <w:t>。。</w:t>
            </w:r>
          </w:p>
        </w:tc>
        <w:tc>
          <w:tcPr>
            <w:tcW w:w="787" w:type="dxa"/>
            <w:tcBorders>
              <w:top w:val="single" w:color="auto" w:sz="4" w:space="0"/>
              <w:left w:val="single" w:color="auto" w:sz="4" w:space="0"/>
              <w:bottom w:val="single" w:color="auto" w:sz="4" w:space="0"/>
              <w:right w:val="single" w:color="auto" w:sz="4" w:space="0"/>
            </w:tcBorders>
            <w:shd w:val="clear" w:color="auto" w:fill="auto"/>
            <w:vAlign w:val="center"/>
          </w:tcPr>
          <w:p w14:paraId="3040F36E">
            <w:pPr>
              <w:pStyle w:val="47"/>
              <w:keepNext w:val="0"/>
              <w:keepLines w:val="0"/>
              <w:pageBreakBefore w:val="0"/>
              <w:widowControl w:val="0"/>
              <w:kinsoku/>
              <w:wordWrap/>
              <w:overflowPunct/>
              <w:topLinePunct w:val="0"/>
              <w:autoSpaceDE/>
              <w:autoSpaceDN/>
              <w:bidi w:val="0"/>
              <w:spacing w:before="0" w:beforeAutospacing="0" w:after="0" w:afterAutospacing="0" w:line="0" w:lineRule="atLeast"/>
              <w:ind w:firstLine="0" w:firstLineChars="0"/>
              <w:jc w:val="center"/>
              <w:rPr>
                <w:rFonts w:ascii="微软雅黑" w:hAnsi="微软雅黑" w:cs="微软雅黑"/>
                <w:color w:val="auto"/>
                <w:sz w:val="21"/>
                <w:szCs w:val="21"/>
                <w:highlight w:val="none"/>
              </w:rPr>
            </w:pPr>
            <w:r>
              <w:rPr>
                <w:rFonts w:hint="eastAsia" w:ascii="微软雅黑" w:hAnsi="微软雅黑" w:cs="微软雅黑"/>
                <w:color w:val="auto"/>
                <w:sz w:val="21"/>
                <w:szCs w:val="21"/>
                <w:highlight w:val="none"/>
                <w:lang w:bidi="ar"/>
              </w:rPr>
              <w:t>9</w:t>
            </w:r>
          </w:p>
        </w:tc>
        <w:tc>
          <w:tcPr>
            <w:tcW w:w="787" w:type="dxa"/>
            <w:tcBorders>
              <w:top w:val="single" w:color="auto" w:sz="4" w:space="0"/>
              <w:left w:val="single" w:color="auto" w:sz="4" w:space="0"/>
              <w:bottom w:val="single" w:color="auto" w:sz="4" w:space="0"/>
              <w:right w:val="single" w:color="auto" w:sz="4" w:space="0"/>
            </w:tcBorders>
            <w:shd w:val="clear" w:color="auto" w:fill="auto"/>
            <w:vAlign w:val="center"/>
          </w:tcPr>
          <w:p w14:paraId="46C79BFA">
            <w:pPr>
              <w:pStyle w:val="47"/>
              <w:keepNext w:val="0"/>
              <w:keepLines w:val="0"/>
              <w:pageBreakBefore w:val="0"/>
              <w:widowControl w:val="0"/>
              <w:kinsoku/>
              <w:wordWrap/>
              <w:overflowPunct/>
              <w:topLinePunct w:val="0"/>
              <w:autoSpaceDE/>
              <w:autoSpaceDN/>
              <w:bidi w:val="0"/>
              <w:spacing w:before="0" w:beforeAutospacing="0" w:after="0" w:afterAutospacing="0" w:line="0" w:lineRule="atLeast"/>
              <w:ind w:firstLine="0" w:firstLineChars="0"/>
              <w:jc w:val="center"/>
              <w:rPr>
                <w:rFonts w:ascii="微软雅黑" w:hAnsi="微软雅黑" w:cs="微软雅黑"/>
                <w:color w:val="auto"/>
                <w:sz w:val="21"/>
                <w:szCs w:val="21"/>
                <w:highlight w:val="none"/>
              </w:rPr>
            </w:pPr>
            <w:r>
              <w:rPr>
                <w:rFonts w:hint="eastAsia" w:ascii="微软雅黑" w:hAnsi="微软雅黑" w:cs="微软雅黑"/>
                <w:color w:val="auto"/>
                <w:sz w:val="21"/>
                <w:szCs w:val="21"/>
                <w:highlight w:val="none"/>
                <w:lang w:bidi="ar"/>
              </w:rPr>
              <w:t>客观</w:t>
            </w:r>
          </w:p>
        </w:tc>
      </w:tr>
      <w:tr w14:paraId="33CDA8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jc w:val="center"/>
        </w:trPr>
        <w:tc>
          <w:tcPr>
            <w:tcW w:w="797" w:type="dxa"/>
            <w:tcBorders>
              <w:top w:val="single" w:color="auto" w:sz="4" w:space="0"/>
              <w:left w:val="single" w:color="auto" w:sz="4" w:space="0"/>
              <w:bottom w:val="single" w:color="auto" w:sz="4" w:space="0"/>
              <w:right w:val="single" w:color="auto" w:sz="4" w:space="0"/>
            </w:tcBorders>
            <w:shd w:val="clear" w:color="auto" w:fill="auto"/>
            <w:vAlign w:val="center"/>
          </w:tcPr>
          <w:p w14:paraId="083E760A">
            <w:pPr>
              <w:keepNext w:val="0"/>
              <w:keepLines w:val="0"/>
              <w:pageBreakBefore w:val="0"/>
              <w:kinsoku/>
              <w:wordWrap/>
              <w:overflowPunct/>
              <w:topLinePunct w:val="0"/>
              <w:autoSpaceDE/>
              <w:autoSpaceDN/>
              <w:bidi w:val="0"/>
              <w:spacing w:after="0" w:line="0" w:lineRule="atLeast"/>
              <w:ind w:firstLine="0" w:firstLineChars="0"/>
              <w:jc w:val="center"/>
              <w:rPr>
                <w:rFonts w:hint="eastAsia" w:ascii="微软雅黑" w:hAnsi="微软雅黑" w:eastAsia="微软雅黑" w:cs="微软雅黑"/>
                <w:color w:val="auto"/>
                <w:kern w:val="0"/>
                <w:szCs w:val="21"/>
                <w:highlight w:val="none"/>
                <w:lang w:eastAsia="zh-CN"/>
              </w:rPr>
            </w:pPr>
            <w:r>
              <w:rPr>
                <w:rFonts w:hint="eastAsia" w:ascii="微软雅黑" w:hAnsi="微软雅黑" w:cs="微软雅黑"/>
                <w:color w:val="auto"/>
                <w:kern w:val="0"/>
                <w:szCs w:val="21"/>
                <w:highlight w:val="none"/>
                <w:lang w:val="en-US" w:eastAsia="zh-CN"/>
              </w:rPr>
              <w:t>4</w:t>
            </w:r>
          </w:p>
        </w:tc>
        <w:tc>
          <w:tcPr>
            <w:tcW w:w="1797" w:type="dxa"/>
            <w:tcBorders>
              <w:top w:val="single" w:color="auto" w:sz="4" w:space="0"/>
              <w:left w:val="single" w:color="auto" w:sz="4" w:space="0"/>
              <w:bottom w:val="single" w:color="auto" w:sz="4" w:space="0"/>
              <w:right w:val="single" w:color="auto" w:sz="4" w:space="0"/>
            </w:tcBorders>
            <w:shd w:val="clear" w:color="auto" w:fill="auto"/>
            <w:vAlign w:val="center"/>
          </w:tcPr>
          <w:p w14:paraId="5F430186">
            <w:pPr>
              <w:keepNext w:val="0"/>
              <w:keepLines w:val="0"/>
              <w:pageBreakBefore w:val="0"/>
              <w:kinsoku/>
              <w:wordWrap/>
              <w:overflowPunct/>
              <w:topLinePunct w:val="0"/>
              <w:autoSpaceDE/>
              <w:autoSpaceDN/>
              <w:bidi w:val="0"/>
              <w:spacing w:after="0" w:line="0" w:lineRule="atLeast"/>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lang w:bidi="ar"/>
              </w:rPr>
              <w:t>功能演示（</w:t>
            </w:r>
            <w:r>
              <w:rPr>
                <w:rFonts w:hint="eastAsia" w:ascii="宋体" w:hAnsi="宋体" w:cs="仿宋"/>
                <w:b/>
                <w:bCs/>
                <w:color w:val="auto"/>
                <w:szCs w:val="21"/>
                <w:highlight w:val="none"/>
              </w:rPr>
              <w:t>演示方式按招标需求内技术要求及前附表规定执行）</w:t>
            </w:r>
          </w:p>
        </w:tc>
        <w:tc>
          <w:tcPr>
            <w:tcW w:w="5819" w:type="dxa"/>
            <w:tcBorders>
              <w:top w:val="single" w:color="auto" w:sz="4" w:space="0"/>
              <w:left w:val="single" w:color="auto" w:sz="4" w:space="0"/>
              <w:bottom w:val="single" w:color="auto" w:sz="4" w:space="0"/>
              <w:right w:val="single" w:color="auto" w:sz="4" w:space="0"/>
            </w:tcBorders>
            <w:shd w:val="clear" w:color="auto" w:fill="auto"/>
            <w:vAlign w:val="center"/>
          </w:tcPr>
          <w:p w14:paraId="17F6F819">
            <w:pPr>
              <w:keepNext w:val="0"/>
              <w:keepLines w:val="0"/>
              <w:pageBreakBefore w:val="0"/>
              <w:kinsoku/>
              <w:wordWrap/>
              <w:overflowPunct/>
              <w:topLinePunct w:val="0"/>
              <w:autoSpaceDE/>
              <w:autoSpaceDN/>
              <w:bidi w:val="0"/>
              <w:spacing w:after="0" w:line="0" w:lineRule="atLeast"/>
              <w:ind w:firstLine="0" w:firstLineChars="0"/>
              <w:jc w:val="both"/>
              <w:rPr>
                <w:rFonts w:hint="eastAsia" w:ascii="微软雅黑" w:hAnsi="微软雅黑" w:cs="微软雅黑"/>
                <w:b/>
                <w:bCs/>
                <w:color w:val="auto"/>
                <w:szCs w:val="21"/>
                <w:highlight w:val="none"/>
                <w:shd w:val="clear" w:color="FFFFFF" w:fill="D9D9D9"/>
                <w:lang w:bidi="ar"/>
              </w:rPr>
            </w:pPr>
            <w:r>
              <w:rPr>
                <w:rFonts w:hint="eastAsia" w:ascii="微软雅黑" w:hAnsi="微软雅黑" w:cs="微软雅黑"/>
                <w:b/>
                <w:bCs/>
                <w:color w:val="auto"/>
                <w:szCs w:val="21"/>
                <w:highlight w:val="none"/>
                <w:shd w:val="clear" w:color="FFFFFF" w:fill="D9D9D9"/>
                <w:lang w:bidi="ar"/>
              </w:rPr>
              <w:t>演示内容1：干燥实验装置</w:t>
            </w:r>
          </w:p>
          <w:p w14:paraId="25948541">
            <w:pPr>
              <w:keepNext w:val="0"/>
              <w:keepLines w:val="0"/>
              <w:pageBreakBefore w:val="0"/>
              <w:kinsoku/>
              <w:wordWrap/>
              <w:overflowPunct/>
              <w:topLinePunct w:val="0"/>
              <w:autoSpaceDE/>
              <w:autoSpaceDN/>
              <w:bidi w:val="0"/>
              <w:spacing w:after="0" w:line="0" w:lineRule="atLeast"/>
              <w:ind w:firstLine="0" w:firstLineChars="0"/>
              <w:jc w:val="both"/>
              <w:rPr>
                <w:rFonts w:ascii="微软雅黑" w:hAnsi="微软雅黑" w:cs="微软雅黑"/>
                <w:b/>
                <w:bCs/>
                <w:color w:val="auto"/>
                <w:szCs w:val="21"/>
                <w:highlight w:val="none"/>
                <w:shd w:val="clear" w:color="FFFFFF" w:fill="D9D9D9"/>
                <w:lang w:bidi="ar"/>
              </w:rPr>
            </w:pPr>
            <w:r>
              <w:rPr>
                <w:rFonts w:hint="eastAsia" w:ascii="微软雅黑" w:hAnsi="微软雅黑" w:cs="微软雅黑"/>
                <w:color w:val="auto"/>
                <w:szCs w:val="21"/>
                <w:highlight w:val="none"/>
                <w:lang w:bidi="ar"/>
              </w:rPr>
              <w:t>6.2★为教师、学生配套本实验装置介绍微课，讲解实验装置结构。</w:t>
            </w:r>
            <w:r>
              <w:rPr>
                <w:rFonts w:hint="eastAsia" w:ascii="微软雅黑" w:hAnsi="微软雅黑" w:cs="微软雅黑"/>
                <w:b/>
                <w:bCs/>
                <w:color w:val="auto"/>
                <w:szCs w:val="21"/>
                <w:highlight w:val="none"/>
                <w:shd w:val="clear" w:color="FFFFFF" w:fill="D9D9D9"/>
                <w:lang w:bidi="ar"/>
              </w:rPr>
              <w:t>（最高</w:t>
            </w:r>
            <w:r>
              <w:rPr>
                <w:rFonts w:hint="eastAsia" w:ascii="微软雅黑" w:hAnsi="微软雅黑" w:cs="微软雅黑"/>
                <w:b/>
                <w:bCs/>
                <w:color w:val="auto"/>
                <w:szCs w:val="21"/>
                <w:highlight w:val="none"/>
                <w:shd w:val="clear" w:color="FFFFFF" w:fill="D9D9D9"/>
                <w:lang w:val="en-US" w:eastAsia="zh-CN" w:bidi="ar"/>
              </w:rPr>
              <w:t>1</w:t>
            </w:r>
            <w:r>
              <w:rPr>
                <w:rFonts w:hint="eastAsia" w:ascii="微软雅黑" w:hAnsi="微软雅黑" w:cs="微软雅黑"/>
                <w:b/>
                <w:bCs/>
                <w:color w:val="auto"/>
                <w:szCs w:val="21"/>
                <w:highlight w:val="none"/>
                <w:shd w:val="clear" w:color="FFFFFF" w:fill="D9D9D9"/>
                <w:lang w:bidi="ar"/>
              </w:rPr>
              <w:t>分，</w:t>
            </w:r>
            <w:r>
              <w:rPr>
                <w:rFonts w:hint="eastAsia" w:ascii="微软雅黑" w:hAnsi="微软雅黑" w:cs="微软雅黑"/>
                <w:color w:val="auto"/>
                <w:szCs w:val="21"/>
                <w:highlight w:val="none"/>
                <w:shd w:val="clear" w:color="FFFFFF" w:fill="D9D9D9"/>
              </w:rPr>
              <w:t>内容全部完整</w:t>
            </w:r>
            <w:r>
              <w:rPr>
                <w:rFonts w:hint="eastAsia" w:ascii="微软雅黑" w:hAnsi="微软雅黑" w:cs="微软雅黑"/>
                <w:color w:val="auto"/>
                <w:szCs w:val="21"/>
                <w:highlight w:val="none"/>
                <w:shd w:val="clear" w:color="FFFFFF" w:fill="D9D9D9"/>
                <w:lang w:eastAsia="zh-CN"/>
              </w:rPr>
              <w:t>的</w:t>
            </w:r>
            <w:r>
              <w:rPr>
                <w:rFonts w:hint="eastAsia" w:ascii="微软雅黑" w:hAnsi="微软雅黑" w:cs="微软雅黑"/>
                <w:color w:val="auto"/>
                <w:szCs w:val="21"/>
                <w:highlight w:val="none"/>
                <w:shd w:val="clear" w:color="FFFFFF" w:fill="D9D9D9"/>
              </w:rPr>
              <w:t>得1分，提供</w:t>
            </w:r>
            <w:r>
              <w:rPr>
                <w:rFonts w:hint="eastAsia" w:ascii="微软雅黑" w:hAnsi="微软雅黑" w:cs="微软雅黑"/>
                <w:color w:val="auto"/>
                <w:szCs w:val="21"/>
                <w:highlight w:val="none"/>
                <w:shd w:val="clear" w:color="FFFFFF" w:fill="D9D9D9"/>
                <w:lang w:eastAsia="zh-CN"/>
              </w:rPr>
              <w:t>少部份</w:t>
            </w:r>
            <w:r>
              <w:rPr>
                <w:rFonts w:hint="eastAsia" w:ascii="微软雅黑" w:hAnsi="微软雅黑" w:cs="微软雅黑"/>
                <w:color w:val="auto"/>
                <w:szCs w:val="21"/>
                <w:highlight w:val="none"/>
                <w:shd w:val="clear" w:color="FFFFFF" w:fill="D9D9D9"/>
              </w:rPr>
              <w:t>不完整</w:t>
            </w:r>
            <w:r>
              <w:rPr>
                <w:rFonts w:hint="eastAsia" w:ascii="微软雅黑" w:hAnsi="微软雅黑" w:cs="微软雅黑"/>
                <w:color w:val="auto"/>
                <w:szCs w:val="21"/>
                <w:highlight w:val="none"/>
                <w:shd w:val="clear" w:color="FFFFFF" w:fill="D9D9D9"/>
                <w:lang w:eastAsia="zh-CN"/>
              </w:rPr>
              <w:t>的</w:t>
            </w:r>
            <w:r>
              <w:rPr>
                <w:rFonts w:hint="eastAsia" w:ascii="微软雅黑" w:hAnsi="微软雅黑" w:cs="微软雅黑"/>
                <w:color w:val="auto"/>
                <w:szCs w:val="21"/>
                <w:highlight w:val="none"/>
                <w:shd w:val="clear" w:color="FFFFFF" w:fill="D9D9D9"/>
              </w:rPr>
              <w:t>得</w:t>
            </w:r>
            <w:r>
              <w:rPr>
                <w:rFonts w:hint="eastAsia" w:ascii="微软雅黑" w:hAnsi="微软雅黑" w:cs="微软雅黑"/>
                <w:color w:val="auto"/>
                <w:szCs w:val="21"/>
                <w:highlight w:val="none"/>
                <w:shd w:val="clear" w:color="FFFFFF" w:fill="D9D9D9"/>
                <w:lang w:val="en-US" w:eastAsia="zh-CN"/>
              </w:rPr>
              <w:t>0.5分</w:t>
            </w:r>
            <w:r>
              <w:rPr>
                <w:rFonts w:hint="eastAsia" w:ascii="微软雅黑" w:hAnsi="微软雅黑" w:cs="微软雅黑"/>
                <w:color w:val="auto"/>
                <w:szCs w:val="21"/>
                <w:highlight w:val="none"/>
                <w:shd w:val="clear" w:color="FFFFFF" w:fill="D9D9D9"/>
              </w:rPr>
              <w:t>，</w:t>
            </w:r>
            <w:r>
              <w:rPr>
                <w:rFonts w:hint="eastAsia" w:ascii="微软雅黑" w:hAnsi="微软雅黑" w:cs="微软雅黑"/>
                <w:color w:val="auto"/>
                <w:szCs w:val="21"/>
                <w:highlight w:val="none"/>
                <w:shd w:val="clear" w:color="FFFFFF" w:fill="D9D9D9"/>
                <w:lang w:eastAsia="zh-CN"/>
              </w:rPr>
              <w:t>超过一半以上内容没有或</w:t>
            </w:r>
            <w:r>
              <w:rPr>
                <w:rFonts w:hint="eastAsia" w:ascii="微软雅黑" w:hAnsi="微软雅黑" w:cs="微软雅黑"/>
                <w:color w:val="auto"/>
                <w:szCs w:val="21"/>
                <w:highlight w:val="none"/>
                <w:shd w:val="clear" w:color="FFFFFF" w:fill="D9D9D9"/>
              </w:rPr>
              <w:t>不提供不得分）</w:t>
            </w:r>
          </w:p>
          <w:p w14:paraId="6074BDAE">
            <w:pPr>
              <w:keepNext w:val="0"/>
              <w:keepLines w:val="0"/>
              <w:pageBreakBefore w:val="0"/>
              <w:kinsoku/>
              <w:wordWrap/>
              <w:overflowPunct/>
              <w:topLinePunct w:val="0"/>
              <w:autoSpaceDE/>
              <w:autoSpaceDN/>
              <w:bidi w:val="0"/>
              <w:spacing w:after="0" w:line="0" w:lineRule="atLeast"/>
              <w:ind w:firstLine="0" w:firstLineChars="0"/>
              <w:jc w:val="both"/>
              <w:rPr>
                <w:rFonts w:ascii="微软雅黑" w:hAnsi="微软雅黑" w:cs="微软雅黑"/>
                <w:color w:val="auto"/>
                <w:szCs w:val="21"/>
                <w:highlight w:val="none"/>
                <w:lang w:bidi="ar"/>
              </w:rPr>
            </w:pPr>
          </w:p>
          <w:p w14:paraId="1AA69226">
            <w:pPr>
              <w:keepNext w:val="0"/>
              <w:keepLines w:val="0"/>
              <w:pageBreakBefore w:val="0"/>
              <w:kinsoku/>
              <w:wordWrap/>
              <w:overflowPunct/>
              <w:topLinePunct w:val="0"/>
              <w:autoSpaceDE/>
              <w:autoSpaceDN/>
              <w:bidi w:val="0"/>
              <w:spacing w:after="0" w:line="0" w:lineRule="atLeast"/>
              <w:ind w:firstLine="0" w:firstLineChars="0"/>
              <w:jc w:val="both"/>
              <w:rPr>
                <w:rFonts w:ascii="微软雅黑" w:hAnsi="微软雅黑" w:cs="微软雅黑"/>
                <w:b/>
                <w:bCs/>
                <w:color w:val="auto"/>
                <w:szCs w:val="21"/>
                <w:highlight w:val="none"/>
                <w:shd w:val="clear" w:color="FFFFFF" w:fill="D9D9D9"/>
                <w:lang w:bidi="ar"/>
              </w:rPr>
            </w:pPr>
            <w:r>
              <w:rPr>
                <w:rFonts w:hint="eastAsia" w:ascii="微软雅黑" w:hAnsi="微软雅黑" w:cs="微软雅黑"/>
                <w:b/>
                <w:bCs/>
                <w:color w:val="auto"/>
                <w:szCs w:val="21"/>
                <w:highlight w:val="none"/>
                <w:shd w:val="clear" w:color="FFFFFF" w:fill="D9D9D9"/>
                <w:lang w:bidi="ar"/>
              </w:rPr>
              <w:t>演示内容2：化工流动综合实验装置</w:t>
            </w:r>
          </w:p>
          <w:p w14:paraId="72365C0B">
            <w:pPr>
              <w:keepNext w:val="0"/>
              <w:keepLines w:val="0"/>
              <w:pageBreakBefore w:val="0"/>
              <w:kinsoku/>
              <w:wordWrap/>
              <w:overflowPunct/>
              <w:topLinePunct w:val="0"/>
              <w:autoSpaceDE/>
              <w:autoSpaceDN/>
              <w:bidi w:val="0"/>
              <w:spacing w:after="0" w:line="0" w:lineRule="atLeast"/>
              <w:ind w:firstLine="0" w:firstLineChars="0"/>
              <w:jc w:val="both"/>
              <w:rPr>
                <w:rFonts w:ascii="微软雅黑" w:hAnsi="微软雅黑" w:cs="微软雅黑"/>
                <w:b/>
                <w:bCs/>
                <w:color w:val="auto"/>
                <w:szCs w:val="21"/>
                <w:highlight w:val="none"/>
                <w:shd w:val="clear" w:color="FFFFFF" w:fill="D9D9D9"/>
                <w:lang w:bidi="ar"/>
              </w:rPr>
            </w:pPr>
            <w:r>
              <w:rPr>
                <w:rFonts w:hint="eastAsia" w:ascii="微软雅黑" w:hAnsi="微软雅黑" w:cs="微软雅黑"/>
                <w:color w:val="auto"/>
                <w:szCs w:val="21"/>
                <w:highlight w:val="none"/>
                <w:lang w:bidi="ar"/>
              </w:rPr>
              <w:t>11.2★为教师、学生配套本实验装置介绍微课，讲解实验装置结构。</w:t>
            </w:r>
            <w:r>
              <w:rPr>
                <w:rFonts w:hint="eastAsia" w:ascii="微软雅黑" w:hAnsi="微软雅黑" w:cs="微软雅黑"/>
                <w:b/>
                <w:bCs/>
                <w:color w:val="auto"/>
                <w:szCs w:val="21"/>
                <w:highlight w:val="none"/>
                <w:shd w:val="clear" w:color="FFFFFF" w:fill="D9D9D9"/>
                <w:lang w:bidi="ar"/>
              </w:rPr>
              <w:t>（最高</w:t>
            </w:r>
            <w:r>
              <w:rPr>
                <w:rFonts w:hint="eastAsia" w:ascii="微软雅黑" w:hAnsi="微软雅黑" w:cs="微软雅黑"/>
                <w:b/>
                <w:bCs/>
                <w:color w:val="auto"/>
                <w:szCs w:val="21"/>
                <w:highlight w:val="none"/>
                <w:shd w:val="clear" w:color="FFFFFF" w:fill="D9D9D9"/>
                <w:lang w:val="en-US" w:eastAsia="zh-CN" w:bidi="ar"/>
              </w:rPr>
              <w:t>1</w:t>
            </w:r>
            <w:r>
              <w:rPr>
                <w:rFonts w:hint="eastAsia" w:ascii="微软雅黑" w:hAnsi="微软雅黑" w:cs="微软雅黑"/>
                <w:b/>
                <w:bCs/>
                <w:color w:val="auto"/>
                <w:szCs w:val="21"/>
                <w:highlight w:val="none"/>
                <w:shd w:val="clear" w:color="FFFFFF" w:fill="D9D9D9"/>
                <w:lang w:bidi="ar"/>
              </w:rPr>
              <w:t>分，</w:t>
            </w:r>
            <w:r>
              <w:rPr>
                <w:rFonts w:hint="eastAsia" w:ascii="微软雅黑" w:hAnsi="微软雅黑" w:cs="微软雅黑"/>
                <w:color w:val="auto"/>
                <w:szCs w:val="21"/>
                <w:highlight w:val="none"/>
                <w:shd w:val="clear" w:color="FFFFFF" w:fill="D9D9D9"/>
              </w:rPr>
              <w:t>内容全部完整得1分，提供</w:t>
            </w:r>
            <w:r>
              <w:rPr>
                <w:rFonts w:hint="eastAsia" w:ascii="微软雅黑" w:hAnsi="微软雅黑" w:cs="微软雅黑"/>
                <w:color w:val="auto"/>
                <w:szCs w:val="21"/>
                <w:highlight w:val="none"/>
                <w:shd w:val="clear" w:color="FFFFFF" w:fill="D9D9D9"/>
                <w:lang w:eastAsia="zh-CN"/>
              </w:rPr>
              <w:t>少部份</w:t>
            </w:r>
            <w:r>
              <w:rPr>
                <w:rFonts w:hint="eastAsia" w:ascii="微软雅黑" w:hAnsi="微软雅黑" w:cs="微软雅黑"/>
                <w:color w:val="auto"/>
                <w:szCs w:val="21"/>
                <w:highlight w:val="none"/>
                <w:shd w:val="clear" w:color="FFFFFF" w:fill="D9D9D9"/>
              </w:rPr>
              <w:t>不完整</w:t>
            </w:r>
            <w:r>
              <w:rPr>
                <w:rFonts w:hint="eastAsia" w:ascii="微软雅黑" w:hAnsi="微软雅黑" w:cs="微软雅黑"/>
                <w:color w:val="auto"/>
                <w:szCs w:val="21"/>
                <w:highlight w:val="none"/>
                <w:shd w:val="clear" w:color="FFFFFF" w:fill="D9D9D9"/>
                <w:lang w:eastAsia="zh-CN"/>
              </w:rPr>
              <w:t>的</w:t>
            </w:r>
            <w:r>
              <w:rPr>
                <w:rFonts w:hint="eastAsia" w:ascii="微软雅黑" w:hAnsi="微软雅黑" w:cs="微软雅黑"/>
                <w:color w:val="auto"/>
                <w:szCs w:val="21"/>
                <w:highlight w:val="none"/>
                <w:shd w:val="clear" w:color="FFFFFF" w:fill="D9D9D9"/>
              </w:rPr>
              <w:t>得</w:t>
            </w:r>
            <w:r>
              <w:rPr>
                <w:rFonts w:hint="eastAsia" w:ascii="微软雅黑" w:hAnsi="微软雅黑" w:cs="微软雅黑"/>
                <w:color w:val="auto"/>
                <w:szCs w:val="21"/>
                <w:highlight w:val="none"/>
                <w:shd w:val="clear" w:color="FFFFFF" w:fill="D9D9D9"/>
                <w:lang w:val="en-US" w:eastAsia="zh-CN"/>
              </w:rPr>
              <w:t>0.5分</w:t>
            </w:r>
            <w:r>
              <w:rPr>
                <w:rFonts w:hint="eastAsia" w:ascii="微软雅黑" w:hAnsi="微软雅黑" w:cs="微软雅黑"/>
                <w:color w:val="auto"/>
                <w:szCs w:val="21"/>
                <w:highlight w:val="none"/>
                <w:shd w:val="clear" w:color="FFFFFF" w:fill="D9D9D9"/>
              </w:rPr>
              <w:t>，</w:t>
            </w:r>
            <w:r>
              <w:rPr>
                <w:rFonts w:hint="eastAsia" w:ascii="微软雅黑" w:hAnsi="微软雅黑" w:cs="微软雅黑"/>
                <w:color w:val="auto"/>
                <w:szCs w:val="21"/>
                <w:highlight w:val="none"/>
                <w:shd w:val="clear" w:color="FFFFFF" w:fill="D9D9D9"/>
                <w:lang w:eastAsia="zh-CN"/>
              </w:rPr>
              <w:t>超过一半以上内容没有或</w:t>
            </w:r>
            <w:r>
              <w:rPr>
                <w:rFonts w:hint="eastAsia" w:ascii="微软雅黑" w:hAnsi="微软雅黑" w:cs="微软雅黑"/>
                <w:color w:val="auto"/>
                <w:szCs w:val="21"/>
                <w:highlight w:val="none"/>
                <w:shd w:val="clear" w:color="FFFFFF" w:fill="D9D9D9"/>
              </w:rPr>
              <w:t>不提供不得分）</w:t>
            </w:r>
          </w:p>
          <w:p w14:paraId="613013FC">
            <w:pPr>
              <w:keepNext w:val="0"/>
              <w:keepLines w:val="0"/>
              <w:pageBreakBefore w:val="0"/>
              <w:kinsoku/>
              <w:wordWrap/>
              <w:overflowPunct/>
              <w:topLinePunct w:val="0"/>
              <w:autoSpaceDE/>
              <w:autoSpaceDN/>
              <w:bidi w:val="0"/>
              <w:spacing w:after="0" w:line="0" w:lineRule="atLeast"/>
              <w:ind w:firstLine="0" w:firstLineChars="0"/>
              <w:jc w:val="both"/>
              <w:rPr>
                <w:rFonts w:ascii="微软雅黑" w:hAnsi="微软雅黑" w:cs="微软雅黑"/>
                <w:color w:val="auto"/>
                <w:szCs w:val="21"/>
                <w:highlight w:val="none"/>
                <w:lang w:bidi="ar"/>
              </w:rPr>
            </w:pPr>
          </w:p>
          <w:p w14:paraId="1BA5BB7B">
            <w:pPr>
              <w:keepNext w:val="0"/>
              <w:keepLines w:val="0"/>
              <w:pageBreakBefore w:val="0"/>
              <w:kinsoku/>
              <w:wordWrap/>
              <w:overflowPunct/>
              <w:topLinePunct w:val="0"/>
              <w:autoSpaceDE/>
              <w:autoSpaceDN/>
              <w:bidi w:val="0"/>
              <w:spacing w:after="0" w:line="0" w:lineRule="atLeast"/>
              <w:ind w:firstLine="0" w:firstLineChars="0"/>
              <w:jc w:val="both"/>
              <w:rPr>
                <w:rFonts w:ascii="微软雅黑" w:hAnsi="微软雅黑" w:cs="微软雅黑"/>
                <w:b/>
                <w:bCs/>
                <w:color w:val="auto"/>
                <w:szCs w:val="21"/>
                <w:highlight w:val="none"/>
                <w:shd w:val="clear" w:color="FFFFFF" w:fill="D9D9D9"/>
                <w:lang w:bidi="ar"/>
              </w:rPr>
            </w:pPr>
            <w:r>
              <w:rPr>
                <w:rFonts w:hint="eastAsia" w:ascii="微软雅黑" w:hAnsi="微软雅黑" w:cs="微软雅黑"/>
                <w:b/>
                <w:bCs/>
                <w:color w:val="auto"/>
                <w:szCs w:val="21"/>
                <w:highlight w:val="none"/>
                <w:shd w:val="clear" w:color="FFFFFF" w:fill="D9D9D9"/>
                <w:lang w:bidi="ar"/>
              </w:rPr>
              <w:t>演示内容3：精馏实验装置</w:t>
            </w:r>
          </w:p>
          <w:p w14:paraId="6A2791EA">
            <w:pPr>
              <w:keepNext w:val="0"/>
              <w:keepLines w:val="0"/>
              <w:pageBreakBefore w:val="0"/>
              <w:kinsoku/>
              <w:wordWrap/>
              <w:overflowPunct/>
              <w:topLinePunct w:val="0"/>
              <w:autoSpaceDE/>
              <w:autoSpaceDN/>
              <w:bidi w:val="0"/>
              <w:spacing w:after="0" w:line="0" w:lineRule="atLeast"/>
              <w:ind w:firstLine="0" w:firstLineChars="0"/>
              <w:jc w:val="both"/>
              <w:rPr>
                <w:rFonts w:ascii="微软雅黑" w:hAnsi="微软雅黑" w:cs="微软雅黑"/>
                <w:b/>
                <w:bCs/>
                <w:color w:val="auto"/>
                <w:szCs w:val="21"/>
                <w:highlight w:val="none"/>
                <w:shd w:val="clear" w:color="FFFFFF" w:fill="D9D9D9"/>
                <w:lang w:bidi="ar"/>
              </w:rPr>
            </w:pPr>
            <w:r>
              <w:rPr>
                <w:rFonts w:hint="eastAsia" w:ascii="微软雅黑" w:hAnsi="微软雅黑" w:cs="微软雅黑"/>
                <w:color w:val="auto"/>
                <w:szCs w:val="21"/>
                <w:highlight w:val="none"/>
                <w:lang w:bidi="ar"/>
              </w:rPr>
              <w:t>8.2★为教师、学生配套本实验装置介绍微课，讲解实验装置结构。</w:t>
            </w:r>
            <w:r>
              <w:rPr>
                <w:rFonts w:hint="eastAsia" w:ascii="微软雅黑" w:hAnsi="微软雅黑" w:cs="微软雅黑"/>
                <w:b/>
                <w:bCs/>
                <w:color w:val="auto"/>
                <w:szCs w:val="21"/>
                <w:highlight w:val="none"/>
                <w:shd w:val="clear" w:color="FFFFFF" w:fill="D9D9D9"/>
                <w:lang w:bidi="ar"/>
              </w:rPr>
              <w:t>（最高</w:t>
            </w:r>
            <w:r>
              <w:rPr>
                <w:rFonts w:hint="eastAsia" w:ascii="微软雅黑" w:hAnsi="微软雅黑" w:cs="微软雅黑"/>
                <w:b/>
                <w:bCs/>
                <w:color w:val="auto"/>
                <w:szCs w:val="21"/>
                <w:highlight w:val="none"/>
                <w:shd w:val="clear" w:color="FFFFFF" w:fill="D9D9D9"/>
                <w:lang w:val="en-US" w:eastAsia="zh-CN" w:bidi="ar"/>
              </w:rPr>
              <w:t>1</w:t>
            </w:r>
            <w:r>
              <w:rPr>
                <w:rFonts w:hint="eastAsia" w:ascii="微软雅黑" w:hAnsi="微软雅黑" w:cs="微软雅黑"/>
                <w:b/>
                <w:bCs/>
                <w:color w:val="auto"/>
                <w:szCs w:val="21"/>
                <w:highlight w:val="none"/>
                <w:shd w:val="clear" w:color="FFFFFF" w:fill="D9D9D9"/>
                <w:lang w:bidi="ar"/>
              </w:rPr>
              <w:t>分，</w:t>
            </w:r>
            <w:r>
              <w:rPr>
                <w:rFonts w:hint="eastAsia" w:ascii="微软雅黑" w:hAnsi="微软雅黑" w:cs="微软雅黑"/>
                <w:color w:val="auto"/>
                <w:szCs w:val="21"/>
                <w:highlight w:val="none"/>
                <w:shd w:val="clear" w:color="FFFFFF" w:fill="D9D9D9"/>
              </w:rPr>
              <w:t>内容全部完整得1分，提供</w:t>
            </w:r>
            <w:r>
              <w:rPr>
                <w:rFonts w:hint="eastAsia" w:ascii="微软雅黑" w:hAnsi="微软雅黑" w:cs="微软雅黑"/>
                <w:color w:val="auto"/>
                <w:szCs w:val="21"/>
                <w:highlight w:val="none"/>
                <w:shd w:val="clear" w:color="FFFFFF" w:fill="D9D9D9"/>
                <w:lang w:eastAsia="zh-CN"/>
              </w:rPr>
              <w:t>少部份</w:t>
            </w:r>
            <w:r>
              <w:rPr>
                <w:rFonts w:hint="eastAsia" w:ascii="微软雅黑" w:hAnsi="微软雅黑" w:cs="微软雅黑"/>
                <w:color w:val="auto"/>
                <w:szCs w:val="21"/>
                <w:highlight w:val="none"/>
                <w:shd w:val="clear" w:color="FFFFFF" w:fill="D9D9D9"/>
              </w:rPr>
              <w:t>不完整得</w:t>
            </w:r>
            <w:r>
              <w:rPr>
                <w:rFonts w:hint="eastAsia" w:ascii="微软雅黑" w:hAnsi="微软雅黑" w:cs="微软雅黑"/>
                <w:color w:val="auto"/>
                <w:szCs w:val="21"/>
                <w:highlight w:val="none"/>
                <w:shd w:val="clear" w:color="FFFFFF" w:fill="D9D9D9"/>
                <w:lang w:val="en-US" w:eastAsia="zh-CN"/>
              </w:rPr>
              <w:t>0.5分</w:t>
            </w:r>
            <w:r>
              <w:rPr>
                <w:rFonts w:hint="eastAsia" w:ascii="微软雅黑" w:hAnsi="微软雅黑" w:cs="微软雅黑"/>
                <w:color w:val="auto"/>
                <w:szCs w:val="21"/>
                <w:highlight w:val="none"/>
                <w:shd w:val="clear" w:color="FFFFFF" w:fill="D9D9D9"/>
              </w:rPr>
              <w:t>，</w:t>
            </w:r>
            <w:r>
              <w:rPr>
                <w:rFonts w:hint="eastAsia" w:ascii="微软雅黑" w:hAnsi="微软雅黑" w:cs="微软雅黑"/>
                <w:color w:val="auto"/>
                <w:szCs w:val="21"/>
                <w:highlight w:val="none"/>
                <w:shd w:val="clear" w:color="FFFFFF" w:fill="D9D9D9"/>
                <w:lang w:eastAsia="zh-CN"/>
              </w:rPr>
              <w:t>超过一半以上内容没有或</w:t>
            </w:r>
            <w:r>
              <w:rPr>
                <w:rFonts w:hint="eastAsia" w:ascii="微软雅黑" w:hAnsi="微软雅黑" w:cs="微软雅黑"/>
                <w:color w:val="auto"/>
                <w:szCs w:val="21"/>
                <w:highlight w:val="none"/>
                <w:shd w:val="clear" w:color="FFFFFF" w:fill="D9D9D9"/>
              </w:rPr>
              <w:t>不提供不得分）</w:t>
            </w:r>
          </w:p>
          <w:p w14:paraId="38E780AD">
            <w:pPr>
              <w:keepNext w:val="0"/>
              <w:keepLines w:val="0"/>
              <w:pageBreakBefore w:val="0"/>
              <w:kinsoku/>
              <w:wordWrap/>
              <w:overflowPunct/>
              <w:topLinePunct w:val="0"/>
              <w:autoSpaceDE/>
              <w:autoSpaceDN/>
              <w:bidi w:val="0"/>
              <w:spacing w:after="0" w:line="0" w:lineRule="atLeast"/>
              <w:ind w:firstLine="0" w:firstLineChars="0"/>
              <w:jc w:val="both"/>
              <w:rPr>
                <w:rFonts w:ascii="微软雅黑" w:hAnsi="微软雅黑" w:cs="微软雅黑"/>
                <w:color w:val="auto"/>
                <w:szCs w:val="21"/>
                <w:highlight w:val="none"/>
                <w:lang w:bidi="ar"/>
              </w:rPr>
            </w:pPr>
          </w:p>
          <w:p w14:paraId="0DF625D7">
            <w:pPr>
              <w:keepNext w:val="0"/>
              <w:keepLines w:val="0"/>
              <w:pageBreakBefore w:val="0"/>
              <w:kinsoku/>
              <w:wordWrap/>
              <w:overflowPunct/>
              <w:topLinePunct w:val="0"/>
              <w:autoSpaceDE/>
              <w:autoSpaceDN/>
              <w:bidi w:val="0"/>
              <w:spacing w:after="0" w:line="0" w:lineRule="atLeast"/>
              <w:ind w:firstLine="0" w:firstLineChars="0"/>
              <w:jc w:val="both"/>
              <w:rPr>
                <w:rFonts w:ascii="微软雅黑" w:hAnsi="微软雅黑" w:cs="微软雅黑"/>
                <w:b/>
                <w:bCs/>
                <w:color w:val="auto"/>
                <w:szCs w:val="21"/>
                <w:highlight w:val="none"/>
                <w:shd w:val="clear" w:color="FFFFFF" w:fill="D9D9D9"/>
                <w:lang w:bidi="ar"/>
              </w:rPr>
            </w:pPr>
            <w:r>
              <w:rPr>
                <w:rFonts w:hint="eastAsia" w:ascii="微软雅黑" w:hAnsi="微软雅黑" w:cs="微软雅黑"/>
                <w:b/>
                <w:bCs/>
                <w:color w:val="auto"/>
                <w:szCs w:val="21"/>
                <w:highlight w:val="none"/>
                <w:shd w:val="clear" w:color="FFFFFF" w:fill="D9D9D9"/>
                <w:lang w:bidi="ar"/>
              </w:rPr>
              <w:t>演示内容4：传热实验装置</w:t>
            </w:r>
          </w:p>
          <w:p w14:paraId="21BAD048">
            <w:pPr>
              <w:keepNext w:val="0"/>
              <w:keepLines w:val="0"/>
              <w:pageBreakBefore w:val="0"/>
              <w:kinsoku/>
              <w:wordWrap/>
              <w:overflowPunct/>
              <w:topLinePunct w:val="0"/>
              <w:autoSpaceDE/>
              <w:autoSpaceDN/>
              <w:bidi w:val="0"/>
              <w:spacing w:after="0" w:line="0" w:lineRule="atLeast"/>
              <w:ind w:firstLine="0" w:firstLineChars="0"/>
              <w:jc w:val="both"/>
              <w:rPr>
                <w:rFonts w:ascii="微软雅黑" w:hAnsi="微软雅黑" w:cs="微软雅黑"/>
                <w:b/>
                <w:bCs/>
                <w:color w:val="auto"/>
                <w:szCs w:val="21"/>
                <w:highlight w:val="none"/>
                <w:shd w:val="clear" w:color="FFFFFF" w:fill="D9D9D9"/>
                <w:lang w:bidi="ar"/>
              </w:rPr>
            </w:pPr>
            <w:r>
              <w:rPr>
                <w:rFonts w:hint="eastAsia" w:ascii="微软雅黑" w:hAnsi="微软雅黑" w:cs="微软雅黑"/>
                <w:color w:val="auto"/>
                <w:szCs w:val="21"/>
                <w:highlight w:val="none"/>
                <w:lang w:bidi="ar"/>
              </w:rPr>
              <w:t>9.2★为教师、学生配套本实验装置介绍微课，讲解实验装置结构。</w:t>
            </w:r>
            <w:r>
              <w:rPr>
                <w:rFonts w:hint="eastAsia" w:ascii="微软雅黑" w:hAnsi="微软雅黑" w:cs="微软雅黑"/>
                <w:b/>
                <w:bCs/>
                <w:color w:val="auto"/>
                <w:szCs w:val="21"/>
                <w:highlight w:val="none"/>
                <w:shd w:val="clear" w:color="FFFFFF" w:fill="D9D9D9"/>
                <w:lang w:bidi="ar"/>
              </w:rPr>
              <w:t>（最高</w:t>
            </w:r>
            <w:r>
              <w:rPr>
                <w:rFonts w:hint="eastAsia" w:ascii="微软雅黑" w:hAnsi="微软雅黑" w:cs="微软雅黑"/>
                <w:b/>
                <w:bCs/>
                <w:color w:val="auto"/>
                <w:szCs w:val="21"/>
                <w:highlight w:val="none"/>
                <w:shd w:val="clear" w:color="FFFFFF" w:fill="D9D9D9"/>
                <w:lang w:val="en-US" w:eastAsia="zh-CN" w:bidi="ar"/>
              </w:rPr>
              <w:t>1</w:t>
            </w:r>
            <w:r>
              <w:rPr>
                <w:rFonts w:hint="eastAsia" w:ascii="微软雅黑" w:hAnsi="微软雅黑" w:cs="微软雅黑"/>
                <w:b/>
                <w:bCs/>
                <w:color w:val="auto"/>
                <w:szCs w:val="21"/>
                <w:highlight w:val="none"/>
                <w:shd w:val="clear" w:color="FFFFFF" w:fill="D9D9D9"/>
                <w:lang w:bidi="ar"/>
              </w:rPr>
              <w:t>分，</w:t>
            </w:r>
            <w:r>
              <w:rPr>
                <w:rFonts w:hint="eastAsia" w:ascii="微软雅黑" w:hAnsi="微软雅黑" w:cs="微软雅黑"/>
                <w:color w:val="auto"/>
                <w:szCs w:val="21"/>
                <w:highlight w:val="none"/>
                <w:shd w:val="clear" w:color="FFFFFF" w:fill="D9D9D9"/>
              </w:rPr>
              <w:t>内容全部完整得1分，提供</w:t>
            </w:r>
            <w:r>
              <w:rPr>
                <w:rFonts w:hint="eastAsia" w:ascii="微软雅黑" w:hAnsi="微软雅黑" w:cs="微软雅黑"/>
                <w:color w:val="auto"/>
                <w:szCs w:val="21"/>
                <w:highlight w:val="none"/>
                <w:shd w:val="clear" w:color="FFFFFF" w:fill="D9D9D9"/>
                <w:lang w:eastAsia="zh-CN"/>
              </w:rPr>
              <w:t>少部份</w:t>
            </w:r>
            <w:r>
              <w:rPr>
                <w:rFonts w:hint="eastAsia" w:ascii="微软雅黑" w:hAnsi="微软雅黑" w:cs="微软雅黑"/>
                <w:color w:val="auto"/>
                <w:szCs w:val="21"/>
                <w:highlight w:val="none"/>
                <w:shd w:val="clear" w:color="FFFFFF" w:fill="D9D9D9"/>
              </w:rPr>
              <w:t>不完整得</w:t>
            </w:r>
            <w:r>
              <w:rPr>
                <w:rFonts w:hint="eastAsia" w:ascii="微软雅黑" w:hAnsi="微软雅黑" w:cs="微软雅黑"/>
                <w:color w:val="auto"/>
                <w:szCs w:val="21"/>
                <w:highlight w:val="none"/>
                <w:shd w:val="clear" w:color="FFFFFF" w:fill="D9D9D9"/>
                <w:lang w:val="en-US" w:eastAsia="zh-CN"/>
              </w:rPr>
              <w:t>0.5分</w:t>
            </w:r>
            <w:r>
              <w:rPr>
                <w:rFonts w:hint="eastAsia" w:ascii="微软雅黑" w:hAnsi="微软雅黑" w:cs="微软雅黑"/>
                <w:color w:val="auto"/>
                <w:szCs w:val="21"/>
                <w:highlight w:val="none"/>
                <w:shd w:val="clear" w:color="FFFFFF" w:fill="D9D9D9"/>
              </w:rPr>
              <w:t>，</w:t>
            </w:r>
            <w:r>
              <w:rPr>
                <w:rFonts w:hint="eastAsia" w:ascii="微软雅黑" w:hAnsi="微软雅黑" w:cs="微软雅黑"/>
                <w:color w:val="auto"/>
                <w:szCs w:val="21"/>
                <w:highlight w:val="none"/>
                <w:shd w:val="clear" w:color="FFFFFF" w:fill="D9D9D9"/>
                <w:lang w:eastAsia="zh-CN"/>
              </w:rPr>
              <w:t>超过一半以上内容没有或</w:t>
            </w:r>
            <w:r>
              <w:rPr>
                <w:rFonts w:hint="eastAsia" w:ascii="微软雅黑" w:hAnsi="微软雅黑" w:cs="微软雅黑"/>
                <w:color w:val="auto"/>
                <w:szCs w:val="21"/>
                <w:highlight w:val="none"/>
                <w:shd w:val="clear" w:color="FFFFFF" w:fill="D9D9D9"/>
              </w:rPr>
              <w:t>不提供不得分）</w:t>
            </w:r>
          </w:p>
          <w:p w14:paraId="21AEF8CA">
            <w:pPr>
              <w:keepNext w:val="0"/>
              <w:keepLines w:val="0"/>
              <w:pageBreakBefore w:val="0"/>
              <w:kinsoku/>
              <w:wordWrap/>
              <w:overflowPunct/>
              <w:topLinePunct w:val="0"/>
              <w:autoSpaceDE/>
              <w:autoSpaceDN/>
              <w:bidi w:val="0"/>
              <w:spacing w:after="0" w:line="0" w:lineRule="atLeast"/>
              <w:ind w:firstLine="0" w:firstLineChars="0"/>
              <w:jc w:val="both"/>
              <w:rPr>
                <w:rFonts w:ascii="微软雅黑" w:hAnsi="微软雅黑" w:cs="微软雅黑"/>
                <w:color w:val="auto"/>
                <w:szCs w:val="21"/>
                <w:highlight w:val="none"/>
                <w:lang w:bidi="ar"/>
              </w:rPr>
            </w:pPr>
          </w:p>
          <w:p w14:paraId="64C369B4">
            <w:pPr>
              <w:keepNext w:val="0"/>
              <w:keepLines w:val="0"/>
              <w:pageBreakBefore w:val="0"/>
              <w:kinsoku/>
              <w:wordWrap/>
              <w:overflowPunct/>
              <w:topLinePunct w:val="0"/>
              <w:autoSpaceDE/>
              <w:autoSpaceDN/>
              <w:bidi w:val="0"/>
              <w:spacing w:after="0" w:line="0" w:lineRule="atLeast"/>
              <w:ind w:firstLine="0" w:firstLineChars="0"/>
              <w:jc w:val="both"/>
              <w:rPr>
                <w:rFonts w:hint="eastAsia" w:ascii="微软雅黑" w:hAnsi="微软雅黑" w:cs="微软雅黑"/>
                <w:b/>
                <w:bCs/>
                <w:color w:val="auto"/>
                <w:szCs w:val="21"/>
                <w:highlight w:val="none"/>
                <w:shd w:val="clear" w:color="FFFFFF" w:fill="D9D9D9"/>
                <w:lang w:bidi="ar"/>
              </w:rPr>
            </w:pPr>
            <w:r>
              <w:rPr>
                <w:rFonts w:hint="eastAsia" w:ascii="微软雅黑" w:hAnsi="微软雅黑" w:cs="微软雅黑"/>
                <w:b/>
                <w:bCs/>
                <w:color w:val="auto"/>
                <w:szCs w:val="21"/>
                <w:highlight w:val="none"/>
                <w:shd w:val="clear" w:color="FFFFFF" w:fill="D9D9D9"/>
                <w:lang w:bidi="ar"/>
              </w:rPr>
              <w:t>演示内容5：过滤实验装置</w:t>
            </w:r>
          </w:p>
          <w:p w14:paraId="6DB8EC15">
            <w:pPr>
              <w:keepNext w:val="0"/>
              <w:keepLines w:val="0"/>
              <w:pageBreakBefore w:val="0"/>
              <w:kinsoku/>
              <w:wordWrap/>
              <w:overflowPunct/>
              <w:topLinePunct w:val="0"/>
              <w:autoSpaceDE/>
              <w:autoSpaceDN/>
              <w:bidi w:val="0"/>
              <w:spacing w:after="0" w:line="0" w:lineRule="atLeast"/>
              <w:ind w:firstLine="0" w:firstLineChars="0"/>
              <w:jc w:val="both"/>
              <w:rPr>
                <w:rFonts w:ascii="微软雅黑" w:hAnsi="微软雅黑" w:cs="微软雅黑"/>
                <w:b/>
                <w:bCs/>
                <w:color w:val="auto"/>
                <w:szCs w:val="21"/>
                <w:highlight w:val="none"/>
                <w:shd w:val="clear" w:color="FFFFFF" w:fill="D9D9D9"/>
                <w:lang w:bidi="ar"/>
              </w:rPr>
            </w:pPr>
            <w:r>
              <w:rPr>
                <w:rFonts w:hint="eastAsia" w:ascii="微软雅黑" w:hAnsi="微软雅黑" w:cs="微软雅黑"/>
                <w:color w:val="auto"/>
                <w:szCs w:val="21"/>
                <w:highlight w:val="none"/>
                <w:lang w:bidi="ar"/>
              </w:rPr>
              <w:t>9.1★（1）为学生端配套本实验虚拟仿真系统，可以进行实验装置结构学习、实验操作练习与操作考核，要求仿真装置与本实验真实装置结构相同、操作一致；仿真操作具备通过后台严格数学模型算法计算出仿真实验数据功能。</w:t>
            </w:r>
            <w:r>
              <w:rPr>
                <w:rFonts w:hint="eastAsia" w:ascii="微软雅黑" w:hAnsi="微软雅黑" w:cs="微软雅黑"/>
                <w:b/>
                <w:bCs/>
                <w:color w:val="auto"/>
                <w:szCs w:val="21"/>
                <w:highlight w:val="none"/>
                <w:shd w:val="clear" w:color="FFFFFF" w:fill="D9D9D9"/>
                <w:lang w:bidi="ar"/>
              </w:rPr>
              <w:t>（最高</w:t>
            </w:r>
            <w:r>
              <w:rPr>
                <w:rFonts w:hint="eastAsia" w:ascii="微软雅黑" w:hAnsi="微软雅黑" w:cs="微软雅黑"/>
                <w:b/>
                <w:bCs/>
                <w:color w:val="auto"/>
                <w:szCs w:val="21"/>
                <w:highlight w:val="none"/>
                <w:shd w:val="clear" w:color="FFFFFF" w:fill="D9D9D9"/>
                <w:lang w:val="en-US" w:eastAsia="zh-CN" w:bidi="ar"/>
              </w:rPr>
              <w:t>1</w:t>
            </w:r>
            <w:r>
              <w:rPr>
                <w:rFonts w:hint="eastAsia" w:ascii="微软雅黑" w:hAnsi="微软雅黑" w:cs="微软雅黑"/>
                <w:b/>
                <w:bCs/>
                <w:color w:val="auto"/>
                <w:szCs w:val="21"/>
                <w:highlight w:val="none"/>
                <w:shd w:val="clear" w:color="FFFFFF" w:fill="D9D9D9"/>
                <w:lang w:bidi="ar"/>
              </w:rPr>
              <w:t>分，</w:t>
            </w:r>
            <w:r>
              <w:rPr>
                <w:rFonts w:hint="eastAsia" w:ascii="微软雅黑" w:hAnsi="微软雅黑" w:cs="微软雅黑"/>
                <w:color w:val="auto"/>
                <w:szCs w:val="21"/>
                <w:highlight w:val="none"/>
                <w:shd w:val="clear" w:color="FFFFFF" w:fill="D9D9D9"/>
              </w:rPr>
              <w:t>内容全部完整得1分，提供</w:t>
            </w:r>
            <w:r>
              <w:rPr>
                <w:rFonts w:hint="eastAsia" w:ascii="微软雅黑" w:hAnsi="微软雅黑" w:cs="微软雅黑"/>
                <w:color w:val="auto"/>
                <w:szCs w:val="21"/>
                <w:highlight w:val="none"/>
                <w:shd w:val="clear" w:color="FFFFFF" w:fill="D9D9D9"/>
                <w:lang w:eastAsia="zh-CN"/>
              </w:rPr>
              <w:t>少部份</w:t>
            </w:r>
            <w:r>
              <w:rPr>
                <w:rFonts w:hint="eastAsia" w:ascii="微软雅黑" w:hAnsi="微软雅黑" w:cs="微软雅黑"/>
                <w:color w:val="auto"/>
                <w:szCs w:val="21"/>
                <w:highlight w:val="none"/>
                <w:shd w:val="clear" w:color="FFFFFF" w:fill="D9D9D9"/>
              </w:rPr>
              <w:t>不完整得</w:t>
            </w:r>
            <w:r>
              <w:rPr>
                <w:rFonts w:hint="eastAsia" w:ascii="微软雅黑" w:hAnsi="微软雅黑" w:cs="微软雅黑"/>
                <w:color w:val="auto"/>
                <w:szCs w:val="21"/>
                <w:highlight w:val="none"/>
                <w:shd w:val="clear" w:color="FFFFFF" w:fill="D9D9D9"/>
                <w:lang w:val="en-US" w:eastAsia="zh-CN"/>
              </w:rPr>
              <w:t>0.5分</w:t>
            </w:r>
            <w:r>
              <w:rPr>
                <w:rFonts w:hint="eastAsia" w:ascii="微软雅黑" w:hAnsi="微软雅黑" w:cs="微软雅黑"/>
                <w:color w:val="auto"/>
                <w:szCs w:val="21"/>
                <w:highlight w:val="none"/>
                <w:shd w:val="clear" w:color="FFFFFF" w:fill="D9D9D9"/>
              </w:rPr>
              <w:t>，</w:t>
            </w:r>
            <w:r>
              <w:rPr>
                <w:rFonts w:hint="eastAsia" w:ascii="微软雅黑" w:hAnsi="微软雅黑" w:cs="微软雅黑"/>
                <w:color w:val="auto"/>
                <w:szCs w:val="21"/>
                <w:highlight w:val="none"/>
                <w:shd w:val="clear" w:color="FFFFFF" w:fill="D9D9D9"/>
                <w:lang w:eastAsia="zh-CN"/>
              </w:rPr>
              <w:t>超过一半以上内容没有或</w:t>
            </w:r>
            <w:r>
              <w:rPr>
                <w:rFonts w:hint="eastAsia" w:ascii="微软雅黑" w:hAnsi="微软雅黑" w:cs="微软雅黑"/>
                <w:color w:val="auto"/>
                <w:szCs w:val="21"/>
                <w:highlight w:val="none"/>
                <w:shd w:val="clear" w:color="FFFFFF" w:fill="D9D9D9"/>
              </w:rPr>
              <w:t>不提供不得分）</w:t>
            </w:r>
          </w:p>
          <w:p w14:paraId="629EEF2B">
            <w:pPr>
              <w:keepNext w:val="0"/>
              <w:keepLines w:val="0"/>
              <w:pageBreakBefore w:val="0"/>
              <w:kinsoku/>
              <w:wordWrap/>
              <w:overflowPunct/>
              <w:topLinePunct w:val="0"/>
              <w:autoSpaceDE/>
              <w:autoSpaceDN/>
              <w:bidi w:val="0"/>
              <w:spacing w:after="0" w:line="0" w:lineRule="atLeast"/>
              <w:ind w:firstLine="0" w:firstLineChars="0"/>
              <w:jc w:val="both"/>
              <w:rPr>
                <w:rFonts w:hint="eastAsia" w:ascii="微软雅黑" w:hAnsi="微软雅黑" w:cs="微软雅黑"/>
                <w:color w:val="auto"/>
                <w:szCs w:val="21"/>
                <w:highlight w:val="none"/>
                <w:lang w:bidi="ar"/>
              </w:rPr>
            </w:pPr>
          </w:p>
          <w:p w14:paraId="412C617B">
            <w:pPr>
              <w:keepNext w:val="0"/>
              <w:keepLines w:val="0"/>
              <w:pageBreakBefore w:val="0"/>
              <w:kinsoku/>
              <w:wordWrap/>
              <w:overflowPunct/>
              <w:topLinePunct w:val="0"/>
              <w:autoSpaceDE/>
              <w:autoSpaceDN/>
              <w:bidi w:val="0"/>
              <w:spacing w:after="0" w:line="0" w:lineRule="atLeast"/>
              <w:ind w:firstLine="0" w:firstLineChars="0"/>
              <w:jc w:val="both"/>
              <w:rPr>
                <w:rFonts w:ascii="微软雅黑" w:hAnsi="微软雅黑" w:cs="微软雅黑"/>
                <w:b/>
                <w:bCs/>
                <w:color w:val="auto"/>
                <w:szCs w:val="21"/>
                <w:highlight w:val="none"/>
                <w:shd w:val="clear" w:color="FFFFFF" w:fill="D9D9D9"/>
                <w:lang w:bidi="ar"/>
              </w:rPr>
            </w:pPr>
            <w:r>
              <w:rPr>
                <w:rFonts w:hint="eastAsia" w:ascii="微软雅黑" w:hAnsi="微软雅黑" w:cs="微软雅黑"/>
                <w:color w:val="auto"/>
                <w:szCs w:val="21"/>
                <w:highlight w:val="none"/>
                <w:lang w:bidi="ar"/>
              </w:rPr>
              <w:t>（2）为教师端配套仿真实验教学平台，实现仿真实验教学管理功能，包括学生管理、考试管理、成绩管理等功能。</w:t>
            </w:r>
            <w:r>
              <w:rPr>
                <w:rFonts w:hint="eastAsia" w:ascii="微软雅黑" w:hAnsi="微软雅黑" w:cs="微软雅黑"/>
                <w:b/>
                <w:bCs/>
                <w:color w:val="auto"/>
                <w:szCs w:val="21"/>
                <w:highlight w:val="none"/>
                <w:shd w:val="clear" w:color="FFFFFF" w:fill="D9D9D9"/>
                <w:lang w:bidi="ar"/>
              </w:rPr>
              <w:t>（最高</w:t>
            </w:r>
            <w:r>
              <w:rPr>
                <w:rFonts w:hint="eastAsia" w:ascii="微软雅黑" w:hAnsi="微软雅黑" w:cs="微软雅黑"/>
                <w:b/>
                <w:bCs/>
                <w:color w:val="auto"/>
                <w:szCs w:val="21"/>
                <w:highlight w:val="none"/>
                <w:shd w:val="clear" w:color="FFFFFF" w:fill="D9D9D9"/>
                <w:lang w:val="en-US" w:eastAsia="zh-CN" w:bidi="ar"/>
              </w:rPr>
              <w:t>1</w:t>
            </w:r>
            <w:r>
              <w:rPr>
                <w:rFonts w:hint="eastAsia" w:ascii="微软雅黑" w:hAnsi="微软雅黑" w:cs="微软雅黑"/>
                <w:b/>
                <w:bCs/>
                <w:color w:val="auto"/>
                <w:szCs w:val="21"/>
                <w:highlight w:val="none"/>
                <w:shd w:val="clear" w:color="FFFFFF" w:fill="D9D9D9"/>
                <w:lang w:bidi="ar"/>
              </w:rPr>
              <w:t>分，</w:t>
            </w:r>
            <w:r>
              <w:rPr>
                <w:rFonts w:hint="eastAsia" w:ascii="微软雅黑" w:hAnsi="微软雅黑" w:cs="微软雅黑"/>
                <w:color w:val="auto"/>
                <w:szCs w:val="21"/>
                <w:highlight w:val="none"/>
                <w:shd w:val="clear" w:color="FFFFFF" w:fill="D9D9D9"/>
              </w:rPr>
              <w:t>内容全部完整得1分，提供</w:t>
            </w:r>
            <w:r>
              <w:rPr>
                <w:rFonts w:hint="eastAsia" w:ascii="微软雅黑" w:hAnsi="微软雅黑" w:cs="微软雅黑"/>
                <w:color w:val="auto"/>
                <w:szCs w:val="21"/>
                <w:highlight w:val="none"/>
                <w:shd w:val="clear" w:color="FFFFFF" w:fill="D9D9D9"/>
                <w:lang w:eastAsia="zh-CN"/>
              </w:rPr>
              <w:t>少部份</w:t>
            </w:r>
            <w:r>
              <w:rPr>
                <w:rFonts w:hint="eastAsia" w:ascii="微软雅黑" w:hAnsi="微软雅黑" w:cs="微软雅黑"/>
                <w:color w:val="auto"/>
                <w:szCs w:val="21"/>
                <w:highlight w:val="none"/>
                <w:shd w:val="clear" w:color="FFFFFF" w:fill="D9D9D9"/>
              </w:rPr>
              <w:t>不完整得</w:t>
            </w:r>
            <w:r>
              <w:rPr>
                <w:rFonts w:hint="eastAsia" w:ascii="微软雅黑" w:hAnsi="微软雅黑" w:cs="微软雅黑"/>
                <w:color w:val="auto"/>
                <w:szCs w:val="21"/>
                <w:highlight w:val="none"/>
                <w:shd w:val="clear" w:color="FFFFFF" w:fill="D9D9D9"/>
                <w:lang w:val="en-US" w:eastAsia="zh-CN"/>
              </w:rPr>
              <w:t>0.5分</w:t>
            </w:r>
            <w:r>
              <w:rPr>
                <w:rFonts w:hint="eastAsia" w:ascii="微软雅黑" w:hAnsi="微软雅黑" w:cs="微软雅黑"/>
                <w:color w:val="auto"/>
                <w:szCs w:val="21"/>
                <w:highlight w:val="none"/>
                <w:shd w:val="clear" w:color="FFFFFF" w:fill="D9D9D9"/>
              </w:rPr>
              <w:t>，</w:t>
            </w:r>
            <w:r>
              <w:rPr>
                <w:rFonts w:hint="eastAsia" w:ascii="微软雅黑" w:hAnsi="微软雅黑" w:cs="微软雅黑"/>
                <w:color w:val="auto"/>
                <w:szCs w:val="21"/>
                <w:highlight w:val="none"/>
                <w:shd w:val="clear" w:color="FFFFFF" w:fill="D9D9D9"/>
                <w:lang w:eastAsia="zh-CN"/>
              </w:rPr>
              <w:t>超过一半以上内容没有或</w:t>
            </w:r>
            <w:r>
              <w:rPr>
                <w:rFonts w:hint="eastAsia" w:ascii="微软雅黑" w:hAnsi="微软雅黑" w:cs="微软雅黑"/>
                <w:color w:val="auto"/>
                <w:szCs w:val="21"/>
                <w:highlight w:val="none"/>
                <w:shd w:val="clear" w:color="FFFFFF" w:fill="D9D9D9"/>
              </w:rPr>
              <w:t>不提供不得分）</w:t>
            </w:r>
          </w:p>
          <w:p w14:paraId="581FFCAD">
            <w:pPr>
              <w:keepNext w:val="0"/>
              <w:keepLines w:val="0"/>
              <w:pageBreakBefore w:val="0"/>
              <w:kinsoku/>
              <w:wordWrap/>
              <w:overflowPunct/>
              <w:topLinePunct w:val="0"/>
              <w:autoSpaceDE/>
              <w:autoSpaceDN/>
              <w:bidi w:val="0"/>
              <w:spacing w:after="0" w:line="0" w:lineRule="atLeast"/>
              <w:ind w:firstLine="0" w:firstLineChars="0"/>
              <w:jc w:val="both"/>
              <w:rPr>
                <w:rFonts w:hint="eastAsia" w:ascii="微软雅黑" w:hAnsi="微软雅黑" w:cs="微软雅黑"/>
                <w:color w:val="auto"/>
                <w:szCs w:val="21"/>
                <w:highlight w:val="none"/>
                <w:lang w:bidi="ar"/>
              </w:rPr>
            </w:pPr>
          </w:p>
          <w:p w14:paraId="579D4858">
            <w:pPr>
              <w:keepNext w:val="0"/>
              <w:keepLines w:val="0"/>
              <w:pageBreakBefore w:val="0"/>
              <w:kinsoku/>
              <w:wordWrap/>
              <w:overflowPunct/>
              <w:topLinePunct w:val="0"/>
              <w:autoSpaceDE/>
              <w:autoSpaceDN/>
              <w:bidi w:val="0"/>
              <w:spacing w:after="0" w:line="0" w:lineRule="atLeast"/>
              <w:ind w:firstLine="0" w:firstLineChars="0"/>
              <w:jc w:val="both"/>
              <w:rPr>
                <w:rFonts w:ascii="微软雅黑" w:hAnsi="微软雅黑" w:cs="微软雅黑"/>
                <w:b/>
                <w:bCs/>
                <w:color w:val="auto"/>
                <w:szCs w:val="21"/>
                <w:highlight w:val="none"/>
                <w:shd w:val="clear" w:color="FFFFFF" w:fill="D9D9D9"/>
                <w:lang w:bidi="ar"/>
              </w:rPr>
            </w:pPr>
            <w:r>
              <w:rPr>
                <w:rFonts w:hint="eastAsia" w:ascii="微软雅黑" w:hAnsi="微软雅黑" w:cs="微软雅黑"/>
                <w:color w:val="auto"/>
                <w:szCs w:val="21"/>
                <w:highlight w:val="none"/>
                <w:lang w:bidi="ar"/>
              </w:rPr>
              <w:t>9.2★为教师、学生配套本实验装置介绍微课，讲解实验装置结构。</w:t>
            </w:r>
            <w:r>
              <w:rPr>
                <w:rFonts w:hint="eastAsia" w:ascii="微软雅黑" w:hAnsi="微软雅黑" w:cs="微软雅黑"/>
                <w:b/>
                <w:bCs/>
                <w:color w:val="auto"/>
                <w:szCs w:val="21"/>
                <w:highlight w:val="none"/>
                <w:shd w:val="clear" w:color="FFFFFF" w:fill="D9D9D9"/>
                <w:lang w:bidi="ar"/>
              </w:rPr>
              <w:t>（最高</w:t>
            </w:r>
            <w:r>
              <w:rPr>
                <w:rFonts w:hint="eastAsia" w:ascii="微软雅黑" w:hAnsi="微软雅黑" w:cs="微软雅黑"/>
                <w:b/>
                <w:bCs/>
                <w:color w:val="auto"/>
                <w:szCs w:val="21"/>
                <w:highlight w:val="none"/>
                <w:shd w:val="clear" w:color="FFFFFF" w:fill="D9D9D9"/>
                <w:lang w:val="en-US" w:eastAsia="zh-CN" w:bidi="ar"/>
              </w:rPr>
              <w:t>1</w:t>
            </w:r>
            <w:r>
              <w:rPr>
                <w:rFonts w:hint="eastAsia" w:ascii="微软雅黑" w:hAnsi="微软雅黑" w:cs="微软雅黑"/>
                <w:b/>
                <w:bCs/>
                <w:color w:val="auto"/>
                <w:szCs w:val="21"/>
                <w:highlight w:val="none"/>
                <w:shd w:val="clear" w:color="FFFFFF" w:fill="D9D9D9"/>
                <w:lang w:bidi="ar"/>
              </w:rPr>
              <w:t>分，</w:t>
            </w:r>
            <w:r>
              <w:rPr>
                <w:rFonts w:hint="eastAsia" w:ascii="微软雅黑" w:hAnsi="微软雅黑" w:cs="微软雅黑"/>
                <w:color w:val="auto"/>
                <w:szCs w:val="21"/>
                <w:highlight w:val="none"/>
                <w:shd w:val="clear" w:color="FFFFFF" w:fill="D9D9D9"/>
              </w:rPr>
              <w:t>内容全部完整得1分，提供</w:t>
            </w:r>
            <w:r>
              <w:rPr>
                <w:rFonts w:hint="eastAsia" w:ascii="微软雅黑" w:hAnsi="微软雅黑" w:cs="微软雅黑"/>
                <w:color w:val="auto"/>
                <w:szCs w:val="21"/>
                <w:highlight w:val="none"/>
                <w:shd w:val="clear" w:color="FFFFFF" w:fill="D9D9D9"/>
                <w:lang w:eastAsia="zh-CN"/>
              </w:rPr>
              <w:t>少部份</w:t>
            </w:r>
            <w:r>
              <w:rPr>
                <w:rFonts w:hint="eastAsia" w:ascii="微软雅黑" w:hAnsi="微软雅黑" w:cs="微软雅黑"/>
                <w:color w:val="auto"/>
                <w:szCs w:val="21"/>
                <w:highlight w:val="none"/>
                <w:shd w:val="clear" w:color="FFFFFF" w:fill="D9D9D9"/>
              </w:rPr>
              <w:t>不完整得</w:t>
            </w:r>
            <w:r>
              <w:rPr>
                <w:rFonts w:hint="eastAsia" w:ascii="微软雅黑" w:hAnsi="微软雅黑" w:cs="微软雅黑"/>
                <w:color w:val="auto"/>
                <w:szCs w:val="21"/>
                <w:highlight w:val="none"/>
                <w:shd w:val="clear" w:color="FFFFFF" w:fill="D9D9D9"/>
                <w:lang w:val="en-US" w:eastAsia="zh-CN"/>
              </w:rPr>
              <w:t>0.5分</w:t>
            </w:r>
            <w:r>
              <w:rPr>
                <w:rFonts w:hint="eastAsia" w:ascii="微软雅黑" w:hAnsi="微软雅黑" w:cs="微软雅黑"/>
                <w:color w:val="auto"/>
                <w:szCs w:val="21"/>
                <w:highlight w:val="none"/>
                <w:shd w:val="clear" w:color="FFFFFF" w:fill="D9D9D9"/>
              </w:rPr>
              <w:t>，</w:t>
            </w:r>
            <w:r>
              <w:rPr>
                <w:rFonts w:hint="eastAsia" w:ascii="微软雅黑" w:hAnsi="微软雅黑" w:cs="微软雅黑"/>
                <w:color w:val="auto"/>
                <w:szCs w:val="21"/>
                <w:highlight w:val="none"/>
                <w:shd w:val="clear" w:color="FFFFFF" w:fill="D9D9D9"/>
                <w:lang w:eastAsia="zh-CN"/>
              </w:rPr>
              <w:t>超过一半以上内容没有或</w:t>
            </w:r>
            <w:r>
              <w:rPr>
                <w:rFonts w:hint="eastAsia" w:ascii="微软雅黑" w:hAnsi="微软雅黑" w:cs="微软雅黑"/>
                <w:color w:val="auto"/>
                <w:szCs w:val="21"/>
                <w:highlight w:val="none"/>
                <w:shd w:val="clear" w:color="FFFFFF" w:fill="D9D9D9"/>
              </w:rPr>
              <w:t>不提供不得分）</w:t>
            </w:r>
          </w:p>
          <w:p w14:paraId="1BB3B1DF">
            <w:pPr>
              <w:keepNext w:val="0"/>
              <w:keepLines w:val="0"/>
              <w:pageBreakBefore w:val="0"/>
              <w:kinsoku/>
              <w:wordWrap/>
              <w:overflowPunct/>
              <w:topLinePunct w:val="0"/>
              <w:autoSpaceDE/>
              <w:autoSpaceDN/>
              <w:bidi w:val="0"/>
              <w:spacing w:after="0" w:line="0" w:lineRule="atLeast"/>
              <w:ind w:firstLine="0" w:firstLineChars="0"/>
              <w:jc w:val="both"/>
              <w:rPr>
                <w:rFonts w:hint="eastAsia" w:ascii="微软雅黑" w:hAnsi="微软雅黑" w:cs="微软雅黑"/>
                <w:color w:val="auto"/>
                <w:szCs w:val="21"/>
                <w:highlight w:val="none"/>
                <w:lang w:bidi="ar"/>
              </w:rPr>
            </w:pPr>
          </w:p>
          <w:p w14:paraId="5BBE35C2">
            <w:pPr>
              <w:keepNext w:val="0"/>
              <w:keepLines w:val="0"/>
              <w:pageBreakBefore w:val="0"/>
              <w:kinsoku/>
              <w:wordWrap/>
              <w:overflowPunct/>
              <w:topLinePunct w:val="0"/>
              <w:autoSpaceDE/>
              <w:autoSpaceDN/>
              <w:bidi w:val="0"/>
              <w:spacing w:after="0" w:line="0" w:lineRule="atLeast"/>
              <w:ind w:firstLine="0" w:firstLineChars="0"/>
              <w:jc w:val="both"/>
              <w:rPr>
                <w:rFonts w:ascii="微软雅黑" w:hAnsi="微软雅黑" w:cs="微软雅黑"/>
                <w:b/>
                <w:bCs/>
                <w:color w:val="auto"/>
                <w:szCs w:val="21"/>
                <w:highlight w:val="none"/>
                <w:shd w:val="clear" w:color="FFFFFF" w:fill="D9D9D9"/>
                <w:lang w:bidi="ar"/>
              </w:rPr>
            </w:pPr>
            <w:r>
              <w:rPr>
                <w:rFonts w:hint="eastAsia" w:ascii="微软雅黑" w:hAnsi="微软雅黑" w:cs="微软雅黑"/>
                <w:color w:val="auto"/>
                <w:szCs w:val="21"/>
                <w:highlight w:val="none"/>
                <w:lang w:bidi="ar"/>
              </w:rPr>
              <w:t>9.3★设备端配套数据采集及测控软件，可以实现实验数据及设备状态实时在线采集、显示、数据变化曲线显示，实现装置运行控制、数据导出与处理等功能；并且可将数据实时上传至在线的实验学习平台，教师和学生可以远程实时在线或后期离线查看实验数据以及数据处理结果，便于监控设备运行，了解实验操作状况。</w:t>
            </w:r>
            <w:r>
              <w:rPr>
                <w:rFonts w:hint="eastAsia" w:ascii="微软雅黑" w:hAnsi="微软雅黑" w:cs="微软雅黑"/>
                <w:b/>
                <w:bCs/>
                <w:color w:val="auto"/>
                <w:szCs w:val="21"/>
                <w:highlight w:val="none"/>
                <w:shd w:val="clear" w:color="FFFFFF" w:fill="D9D9D9"/>
                <w:lang w:bidi="ar"/>
              </w:rPr>
              <w:t>（最高</w:t>
            </w:r>
            <w:r>
              <w:rPr>
                <w:rFonts w:hint="eastAsia" w:ascii="微软雅黑" w:hAnsi="微软雅黑" w:cs="微软雅黑"/>
                <w:b/>
                <w:bCs/>
                <w:color w:val="auto"/>
                <w:szCs w:val="21"/>
                <w:highlight w:val="none"/>
                <w:shd w:val="clear" w:color="FFFFFF" w:fill="D9D9D9"/>
                <w:lang w:val="en-US" w:eastAsia="zh-CN" w:bidi="ar"/>
              </w:rPr>
              <w:t>1</w:t>
            </w:r>
            <w:r>
              <w:rPr>
                <w:rFonts w:hint="eastAsia" w:ascii="微软雅黑" w:hAnsi="微软雅黑" w:cs="微软雅黑"/>
                <w:b/>
                <w:bCs/>
                <w:color w:val="auto"/>
                <w:szCs w:val="21"/>
                <w:highlight w:val="none"/>
                <w:shd w:val="clear" w:color="FFFFFF" w:fill="D9D9D9"/>
                <w:lang w:bidi="ar"/>
              </w:rPr>
              <w:t>分，</w:t>
            </w:r>
            <w:r>
              <w:rPr>
                <w:rFonts w:hint="eastAsia" w:ascii="微软雅黑" w:hAnsi="微软雅黑" w:cs="微软雅黑"/>
                <w:color w:val="auto"/>
                <w:szCs w:val="21"/>
                <w:highlight w:val="none"/>
                <w:shd w:val="clear" w:color="FFFFFF" w:fill="D9D9D9"/>
              </w:rPr>
              <w:t>内容全部完整得1分，提供</w:t>
            </w:r>
            <w:r>
              <w:rPr>
                <w:rFonts w:hint="eastAsia" w:ascii="微软雅黑" w:hAnsi="微软雅黑" w:cs="微软雅黑"/>
                <w:color w:val="auto"/>
                <w:szCs w:val="21"/>
                <w:highlight w:val="none"/>
                <w:shd w:val="clear" w:color="FFFFFF" w:fill="D9D9D9"/>
                <w:lang w:eastAsia="zh-CN"/>
              </w:rPr>
              <w:t>少部份</w:t>
            </w:r>
            <w:r>
              <w:rPr>
                <w:rFonts w:hint="eastAsia" w:ascii="微软雅黑" w:hAnsi="微软雅黑" w:cs="微软雅黑"/>
                <w:color w:val="auto"/>
                <w:szCs w:val="21"/>
                <w:highlight w:val="none"/>
                <w:shd w:val="clear" w:color="FFFFFF" w:fill="D9D9D9"/>
              </w:rPr>
              <w:t>不完整得</w:t>
            </w:r>
            <w:r>
              <w:rPr>
                <w:rFonts w:hint="eastAsia" w:ascii="微软雅黑" w:hAnsi="微软雅黑" w:cs="微软雅黑"/>
                <w:color w:val="auto"/>
                <w:szCs w:val="21"/>
                <w:highlight w:val="none"/>
                <w:shd w:val="clear" w:color="FFFFFF" w:fill="D9D9D9"/>
                <w:lang w:val="en-US" w:eastAsia="zh-CN"/>
              </w:rPr>
              <w:t>0.5分</w:t>
            </w:r>
            <w:r>
              <w:rPr>
                <w:rFonts w:hint="eastAsia" w:ascii="微软雅黑" w:hAnsi="微软雅黑" w:cs="微软雅黑"/>
                <w:color w:val="auto"/>
                <w:szCs w:val="21"/>
                <w:highlight w:val="none"/>
                <w:shd w:val="clear" w:color="FFFFFF" w:fill="D9D9D9"/>
              </w:rPr>
              <w:t>，</w:t>
            </w:r>
            <w:r>
              <w:rPr>
                <w:rFonts w:hint="eastAsia" w:ascii="微软雅黑" w:hAnsi="微软雅黑" w:cs="微软雅黑"/>
                <w:color w:val="auto"/>
                <w:szCs w:val="21"/>
                <w:highlight w:val="none"/>
                <w:shd w:val="clear" w:color="FFFFFF" w:fill="D9D9D9"/>
                <w:lang w:eastAsia="zh-CN"/>
              </w:rPr>
              <w:t>超过一半以上内容没有或</w:t>
            </w:r>
            <w:r>
              <w:rPr>
                <w:rFonts w:hint="eastAsia" w:ascii="微软雅黑" w:hAnsi="微软雅黑" w:cs="微软雅黑"/>
                <w:color w:val="auto"/>
                <w:szCs w:val="21"/>
                <w:highlight w:val="none"/>
                <w:shd w:val="clear" w:color="FFFFFF" w:fill="D9D9D9"/>
              </w:rPr>
              <w:t>不提供不得分）</w:t>
            </w:r>
          </w:p>
          <w:p w14:paraId="1C21D141">
            <w:pPr>
              <w:keepNext w:val="0"/>
              <w:keepLines w:val="0"/>
              <w:pageBreakBefore w:val="0"/>
              <w:kinsoku/>
              <w:wordWrap/>
              <w:overflowPunct/>
              <w:topLinePunct w:val="0"/>
              <w:autoSpaceDE/>
              <w:autoSpaceDN/>
              <w:bidi w:val="0"/>
              <w:spacing w:after="0" w:line="0" w:lineRule="atLeast"/>
              <w:ind w:firstLine="0" w:firstLineChars="0"/>
              <w:jc w:val="both"/>
              <w:rPr>
                <w:rFonts w:ascii="微软雅黑" w:hAnsi="微软雅黑" w:cs="微软雅黑"/>
                <w:color w:val="auto"/>
                <w:szCs w:val="21"/>
                <w:highlight w:val="none"/>
                <w:lang w:bidi="ar"/>
              </w:rPr>
            </w:pPr>
          </w:p>
          <w:p w14:paraId="2BF0B379">
            <w:pPr>
              <w:keepNext w:val="0"/>
              <w:keepLines w:val="0"/>
              <w:pageBreakBefore w:val="0"/>
              <w:kinsoku/>
              <w:wordWrap/>
              <w:overflowPunct/>
              <w:topLinePunct w:val="0"/>
              <w:autoSpaceDE/>
              <w:autoSpaceDN/>
              <w:bidi w:val="0"/>
              <w:spacing w:after="0" w:line="0" w:lineRule="atLeast"/>
              <w:ind w:firstLine="0" w:firstLineChars="0"/>
              <w:jc w:val="both"/>
              <w:rPr>
                <w:rFonts w:ascii="微软雅黑" w:hAnsi="微软雅黑" w:cs="微软雅黑"/>
                <w:b/>
                <w:bCs/>
                <w:color w:val="auto"/>
                <w:szCs w:val="21"/>
                <w:highlight w:val="none"/>
                <w:shd w:val="clear" w:color="FFFFFF" w:fill="D9D9D9"/>
                <w:lang w:bidi="ar"/>
              </w:rPr>
            </w:pPr>
            <w:r>
              <w:rPr>
                <w:rFonts w:hint="eastAsia" w:ascii="微软雅黑" w:hAnsi="微软雅黑" w:cs="微软雅黑"/>
                <w:color w:val="auto"/>
                <w:szCs w:val="21"/>
                <w:highlight w:val="none"/>
                <w:lang w:bidi="ar"/>
              </w:rPr>
              <w:t>9.4★配套智能实验学习与实验授课软件，学生端通过实验学习系统可以进行实验讲义学习、实验装置学习、装置介绍微课学习、仿真操作练习，实现实验前的预习及课后复习，并能够记录学习过程，智能自动评分。教师端通过智能实验授课软件，支持通过现场大屏调用多种数字资源进行实验授课，监控学生操作状态、装置运行状态，可以存储及导出每个人的操作记录、实验数据；实验授课软件移动端支持现场学生提问评分、操作评分、行为评分等。</w:t>
            </w:r>
            <w:r>
              <w:rPr>
                <w:rFonts w:hint="eastAsia" w:ascii="微软雅黑" w:hAnsi="微软雅黑" w:cs="微软雅黑"/>
                <w:b/>
                <w:bCs/>
                <w:color w:val="auto"/>
                <w:szCs w:val="21"/>
                <w:highlight w:val="none"/>
                <w:shd w:val="clear" w:color="FFFFFF" w:fill="D9D9D9"/>
                <w:lang w:bidi="ar"/>
              </w:rPr>
              <w:t>（最高</w:t>
            </w:r>
            <w:r>
              <w:rPr>
                <w:rFonts w:hint="eastAsia" w:ascii="微软雅黑" w:hAnsi="微软雅黑" w:cs="微软雅黑"/>
                <w:b/>
                <w:bCs/>
                <w:color w:val="auto"/>
                <w:szCs w:val="21"/>
                <w:highlight w:val="none"/>
                <w:shd w:val="clear" w:color="FFFFFF" w:fill="D9D9D9"/>
                <w:lang w:val="en-US" w:eastAsia="zh-CN" w:bidi="ar"/>
              </w:rPr>
              <w:t>1</w:t>
            </w:r>
            <w:r>
              <w:rPr>
                <w:rFonts w:hint="eastAsia" w:ascii="微软雅黑" w:hAnsi="微软雅黑" w:cs="微软雅黑"/>
                <w:b/>
                <w:bCs/>
                <w:color w:val="auto"/>
                <w:szCs w:val="21"/>
                <w:highlight w:val="none"/>
                <w:shd w:val="clear" w:color="FFFFFF" w:fill="D9D9D9"/>
                <w:lang w:bidi="ar"/>
              </w:rPr>
              <w:t>分，</w:t>
            </w:r>
            <w:r>
              <w:rPr>
                <w:rFonts w:hint="eastAsia" w:ascii="微软雅黑" w:hAnsi="微软雅黑" w:cs="微软雅黑"/>
                <w:color w:val="auto"/>
                <w:szCs w:val="21"/>
                <w:highlight w:val="none"/>
                <w:shd w:val="clear" w:color="FFFFFF" w:fill="D9D9D9"/>
              </w:rPr>
              <w:t>内容全部完整得1分，提供</w:t>
            </w:r>
            <w:r>
              <w:rPr>
                <w:rFonts w:hint="eastAsia" w:ascii="微软雅黑" w:hAnsi="微软雅黑" w:cs="微软雅黑"/>
                <w:color w:val="auto"/>
                <w:szCs w:val="21"/>
                <w:highlight w:val="none"/>
                <w:shd w:val="clear" w:color="FFFFFF" w:fill="D9D9D9"/>
                <w:lang w:eastAsia="zh-CN"/>
              </w:rPr>
              <w:t>少部份</w:t>
            </w:r>
            <w:r>
              <w:rPr>
                <w:rFonts w:hint="eastAsia" w:ascii="微软雅黑" w:hAnsi="微软雅黑" w:cs="微软雅黑"/>
                <w:color w:val="auto"/>
                <w:szCs w:val="21"/>
                <w:highlight w:val="none"/>
                <w:shd w:val="clear" w:color="FFFFFF" w:fill="D9D9D9"/>
              </w:rPr>
              <w:t>不完整得</w:t>
            </w:r>
            <w:r>
              <w:rPr>
                <w:rFonts w:hint="eastAsia" w:ascii="微软雅黑" w:hAnsi="微软雅黑" w:cs="微软雅黑"/>
                <w:color w:val="auto"/>
                <w:szCs w:val="21"/>
                <w:highlight w:val="none"/>
                <w:shd w:val="clear" w:color="FFFFFF" w:fill="D9D9D9"/>
                <w:lang w:val="en-US" w:eastAsia="zh-CN"/>
              </w:rPr>
              <w:t>0.5分</w:t>
            </w:r>
            <w:r>
              <w:rPr>
                <w:rFonts w:hint="eastAsia" w:ascii="微软雅黑" w:hAnsi="微软雅黑" w:cs="微软雅黑"/>
                <w:color w:val="auto"/>
                <w:szCs w:val="21"/>
                <w:highlight w:val="none"/>
                <w:shd w:val="clear" w:color="FFFFFF" w:fill="D9D9D9"/>
              </w:rPr>
              <w:t>，</w:t>
            </w:r>
            <w:r>
              <w:rPr>
                <w:rFonts w:hint="eastAsia" w:ascii="微软雅黑" w:hAnsi="微软雅黑" w:cs="微软雅黑"/>
                <w:color w:val="auto"/>
                <w:szCs w:val="21"/>
                <w:highlight w:val="none"/>
                <w:shd w:val="clear" w:color="FFFFFF" w:fill="D9D9D9"/>
                <w:lang w:eastAsia="zh-CN"/>
              </w:rPr>
              <w:t>超过一半以上内容没有或</w:t>
            </w:r>
            <w:r>
              <w:rPr>
                <w:rFonts w:hint="eastAsia" w:ascii="微软雅黑" w:hAnsi="微软雅黑" w:cs="微软雅黑"/>
                <w:color w:val="auto"/>
                <w:szCs w:val="21"/>
                <w:highlight w:val="none"/>
                <w:shd w:val="clear" w:color="FFFFFF" w:fill="D9D9D9"/>
              </w:rPr>
              <w:t>不提供不得分）</w:t>
            </w:r>
          </w:p>
          <w:p w14:paraId="22EDF678">
            <w:pPr>
              <w:keepNext w:val="0"/>
              <w:keepLines w:val="0"/>
              <w:pageBreakBefore w:val="0"/>
              <w:kinsoku/>
              <w:wordWrap/>
              <w:overflowPunct/>
              <w:topLinePunct w:val="0"/>
              <w:autoSpaceDE/>
              <w:autoSpaceDN/>
              <w:bidi w:val="0"/>
              <w:spacing w:after="0" w:line="0" w:lineRule="atLeast"/>
              <w:ind w:firstLine="0" w:firstLineChars="0"/>
              <w:jc w:val="both"/>
              <w:rPr>
                <w:rFonts w:ascii="微软雅黑" w:hAnsi="微软雅黑" w:cs="微软雅黑"/>
                <w:color w:val="auto"/>
                <w:szCs w:val="21"/>
                <w:highlight w:val="none"/>
                <w:lang w:bidi="ar"/>
              </w:rPr>
            </w:pPr>
          </w:p>
          <w:p w14:paraId="01536824">
            <w:pPr>
              <w:keepNext w:val="0"/>
              <w:keepLines w:val="0"/>
              <w:pageBreakBefore w:val="0"/>
              <w:kinsoku/>
              <w:wordWrap/>
              <w:overflowPunct/>
              <w:topLinePunct w:val="0"/>
              <w:autoSpaceDE/>
              <w:autoSpaceDN/>
              <w:bidi w:val="0"/>
              <w:spacing w:after="0" w:line="0" w:lineRule="atLeast"/>
              <w:ind w:firstLine="0" w:firstLineChars="0"/>
              <w:jc w:val="both"/>
              <w:rPr>
                <w:rFonts w:ascii="微软雅黑" w:hAnsi="微软雅黑" w:cs="微软雅黑"/>
                <w:color w:val="auto"/>
                <w:szCs w:val="21"/>
                <w:highlight w:val="none"/>
                <w:lang w:bidi="ar"/>
              </w:rPr>
            </w:pPr>
            <w:r>
              <w:rPr>
                <w:rFonts w:hint="eastAsia" w:ascii="微软雅黑" w:hAnsi="微软雅黑" w:cs="微软雅黑"/>
                <w:color w:val="auto"/>
                <w:szCs w:val="21"/>
                <w:highlight w:val="none"/>
                <w:lang w:bidi="ar"/>
              </w:rPr>
              <w:t>规格参数中</w:t>
            </w:r>
          </w:p>
          <w:p w14:paraId="5755E8E0">
            <w:pPr>
              <w:keepNext w:val="0"/>
              <w:keepLines w:val="0"/>
              <w:pageBreakBefore w:val="0"/>
              <w:kinsoku/>
              <w:wordWrap/>
              <w:overflowPunct/>
              <w:topLinePunct w:val="0"/>
              <w:autoSpaceDE/>
              <w:autoSpaceDN/>
              <w:bidi w:val="0"/>
              <w:spacing w:after="0" w:line="0" w:lineRule="atLeast"/>
              <w:ind w:firstLine="0" w:firstLineChars="0"/>
              <w:jc w:val="both"/>
              <w:rPr>
                <w:rFonts w:ascii="微软雅黑" w:hAnsi="微软雅黑" w:cs="微软雅黑"/>
                <w:b/>
                <w:bCs/>
                <w:color w:val="auto"/>
                <w:szCs w:val="21"/>
                <w:highlight w:val="none"/>
                <w:shd w:val="clear" w:color="FFFFFF" w:fill="D9D9D9"/>
                <w:lang w:bidi="ar"/>
              </w:rPr>
            </w:pPr>
            <w:r>
              <w:rPr>
                <w:rFonts w:hint="eastAsia" w:ascii="微软雅黑" w:hAnsi="微软雅黑" w:cs="微软雅黑"/>
                <w:color w:val="auto"/>
                <w:szCs w:val="21"/>
                <w:highlight w:val="none"/>
                <w:lang w:bidi="ar"/>
              </w:rPr>
              <w:t>3.★滤板滤框：方形滤板滤框，采用304不锈钢材质，按照工业级压滤机滤板滤框外观和结构设计，滤板带有双面纵横交错沟槽设计，不带任何密封圈，单片厚度不小于20mm。（演示实物）</w:t>
            </w:r>
            <w:r>
              <w:rPr>
                <w:rFonts w:hint="eastAsia" w:ascii="微软雅黑" w:hAnsi="微软雅黑" w:cs="微软雅黑"/>
                <w:b/>
                <w:bCs/>
                <w:color w:val="auto"/>
                <w:szCs w:val="21"/>
                <w:highlight w:val="none"/>
                <w:shd w:val="clear" w:color="FFFFFF" w:fill="D9D9D9"/>
                <w:lang w:bidi="ar"/>
              </w:rPr>
              <w:t>（最高</w:t>
            </w:r>
            <w:r>
              <w:rPr>
                <w:rFonts w:hint="eastAsia" w:ascii="微软雅黑" w:hAnsi="微软雅黑" w:cs="微软雅黑"/>
                <w:b/>
                <w:bCs/>
                <w:color w:val="auto"/>
                <w:szCs w:val="21"/>
                <w:highlight w:val="none"/>
                <w:shd w:val="clear" w:color="FFFFFF" w:fill="D9D9D9"/>
                <w:lang w:val="en-US" w:eastAsia="zh-CN" w:bidi="ar"/>
              </w:rPr>
              <w:t>1</w:t>
            </w:r>
            <w:r>
              <w:rPr>
                <w:rFonts w:hint="eastAsia" w:ascii="微软雅黑" w:hAnsi="微软雅黑" w:cs="微软雅黑"/>
                <w:b/>
                <w:bCs/>
                <w:color w:val="auto"/>
                <w:szCs w:val="21"/>
                <w:highlight w:val="none"/>
                <w:shd w:val="clear" w:color="FFFFFF" w:fill="D9D9D9"/>
                <w:lang w:bidi="ar"/>
              </w:rPr>
              <w:t>分，</w:t>
            </w:r>
            <w:r>
              <w:rPr>
                <w:rFonts w:hint="eastAsia" w:ascii="微软雅黑" w:hAnsi="微软雅黑" w:cs="微软雅黑"/>
                <w:color w:val="auto"/>
                <w:szCs w:val="21"/>
                <w:highlight w:val="none"/>
                <w:shd w:val="clear" w:color="FFFFFF" w:fill="D9D9D9"/>
              </w:rPr>
              <w:t>全部</w:t>
            </w:r>
            <w:r>
              <w:rPr>
                <w:rFonts w:hint="eastAsia" w:ascii="微软雅黑" w:hAnsi="微软雅黑" w:cs="微软雅黑"/>
                <w:color w:val="auto"/>
                <w:szCs w:val="21"/>
                <w:highlight w:val="none"/>
                <w:shd w:val="clear" w:color="FFFFFF" w:fill="D9D9D9"/>
                <w:lang w:eastAsia="zh-CN"/>
              </w:rPr>
              <w:t>满足要求的</w:t>
            </w:r>
            <w:r>
              <w:rPr>
                <w:rFonts w:hint="eastAsia" w:ascii="微软雅黑" w:hAnsi="微软雅黑" w:cs="微软雅黑"/>
                <w:color w:val="auto"/>
                <w:szCs w:val="21"/>
                <w:highlight w:val="none"/>
                <w:shd w:val="clear" w:color="FFFFFF" w:fill="D9D9D9"/>
              </w:rPr>
              <w:t>1分，</w:t>
            </w:r>
            <w:r>
              <w:rPr>
                <w:rFonts w:hint="eastAsia" w:ascii="微软雅黑" w:hAnsi="微软雅黑" w:cs="微软雅黑"/>
                <w:color w:val="auto"/>
                <w:szCs w:val="21"/>
                <w:highlight w:val="none"/>
                <w:shd w:val="clear" w:color="FFFFFF" w:fill="D9D9D9"/>
                <w:lang w:eastAsia="zh-CN"/>
              </w:rPr>
              <w:t>不满足或</w:t>
            </w:r>
            <w:r>
              <w:rPr>
                <w:rFonts w:hint="eastAsia" w:ascii="微软雅黑" w:hAnsi="微软雅黑" w:cs="微软雅黑"/>
                <w:color w:val="auto"/>
                <w:szCs w:val="21"/>
                <w:highlight w:val="none"/>
                <w:shd w:val="clear" w:color="FFFFFF" w:fill="D9D9D9"/>
              </w:rPr>
              <w:t>不提供不得分）</w:t>
            </w:r>
          </w:p>
          <w:p w14:paraId="201B8603">
            <w:pPr>
              <w:keepNext w:val="0"/>
              <w:keepLines w:val="0"/>
              <w:pageBreakBefore w:val="0"/>
              <w:kinsoku/>
              <w:wordWrap/>
              <w:overflowPunct/>
              <w:topLinePunct w:val="0"/>
              <w:autoSpaceDE/>
              <w:autoSpaceDN/>
              <w:bidi w:val="0"/>
              <w:spacing w:after="0" w:line="0" w:lineRule="atLeast"/>
              <w:ind w:firstLine="0" w:firstLineChars="0"/>
              <w:jc w:val="both"/>
              <w:rPr>
                <w:rFonts w:ascii="微软雅黑" w:hAnsi="微软雅黑" w:cs="微软雅黑"/>
                <w:color w:val="auto"/>
                <w:szCs w:val="21"/>
                <w:highlight w:val="none"/>
                <w:lang w:bidi="ar"/>
              </w:rPr>
            </w:pPr>
          </w:p>
          <w:p w14:paraId="386FB5BC">
            <w:pPr>
              <w:keepNext w:val="0"/>
              <w:keepLines w:val="0"/>
              <w:pageBreakBefore w:val="0"/>
              <w:kinsoku/>
              <w:wordWrap/>
              <w:overflowPunct/>
              <w:topLinePunct w:val="0"/>
              <w:autoSpaceDE/>
              <w:autoSpaceDN/>
              <w:bidi w:val="0"/>
              <w:spacing w:after="0" w:line="0" w:lineRule="atLeast"/>
              <w:ind w:firstLine="0" w:firstLineChars="0"/>
              <w:jc w:val="both"/>
              <w:rPr>
                <w:rFonts w:ascii="微软雅黑" w:hAnsi="微软雅黑" w:cs="微软雅黑"/>
                <w:b/>
                <w:bCs/>
                <w:color w:val="auto"/>
                <w:szCs w:val="21"/>
                <w:highlight w:val="none"/>
                <w:shd w:val="clear" w:color="FFFFFF" w:fill="D9D9D9"/>
                <w:lang w:bidi="ar"/>
              </w:rPr>
            </w:pPr>
            <w:r>
              <w:rPr>
                <w:rFonts w:hint="eastAsia" w:ascii="微软雅黑" w:hAnsi="微软雅黑" w:cs="微软雅黑"/>
                <w:color w:val="auto"/>
                <w:szCs w:val="21"/>
                <w:highlight w:val="none"/>
                <w:lang w:bidi="ar"/>
              </w:rPr>
              <w:t>12.★一体化触控屏工业物联网主机：嵌入控制柜式安装，触控屏尺寸不低于10.1寸。OS支持Windows10及以上,RAM不小于4G,SSD不小于32G。支持RS232、RJ45、USB3.0、IEEE 802.11 b/g/n通信协议。主机全封闭设计，无风扇金属散热。具备集成物联网系统功能，实现本装置数据采集、上传、测控等通信功能。</w:t>
            </w:r>
            <w:r>
              <w:rPr>
                <w:rFonts w:hint="eastAsia" w:ascii="微软雅黑" w:hAnsi="微软雅黑" w:cs="微软雅黑"/>
                <w:b/>
                <w:bCs/>
                <w:color w:val="auto"/>
                <w:szCs w:val="21"/>
                <w:highlight w:val="none"/>
                <w:shd w:val="clear" w:color="FFFFFF" w:fill="D9D9D9"/>
                <w:lang w:bidi="ar"/>
              </w:rPr>
              <w:t>（最高</w:t>
            </w:r>
            <w:r>
              <w:rPr>
                <w:rFonts w:hint="eastAsia" w:ascii="微软雅黑" w:hAnsi="微软雅黑" w:cs="微软雅黑"/>
                <w:b/>
                <w:bCs/>
                <w:color w:val="auto"/>
                <w:szCs w:val="21"/>
                <w:highlight w:val="none"/>
                <w:shd w:val="clear" w:color="FFFFFF" w:fill="D9D9D9"/>
                <w:lang w:val="en-US" w:eastAsia="zh-CN" w:bidi="ar"/>
              </w:rPr>
              <w:t>1</w:t>
            </w:r>
            <w:r>
              <w:rPr>
                <w:rFonts w:hint="eastAsia" w:ascii="微软雅黑" w:hAnsi="微软雅黑" w:cs="微软雅黑"/>
                <w:b/>
                <w:bCs/>
                <w:color w:val="auto"/>
                <w:szCs w:val="21"/>
                <w:highlight w:val="none"/>
                <w:shd w:val="clear" w:color="FFFFFF" w:fill="D9D9D9"/>
                <w:lang w:bidi="ar"/>
              </w:rPr>
              <w:t>分，</w:t>
            </w:r>
            <w:r>
              <w:rPr>
                <w:rFonts w:hint="eastAsia" w:ascii="微软雅黑" w:hAnsi="微软雅黑" w:cs="微软雅黑"/>
                <w:color w:val="auto"/>
                <w:szCs w:val="21"/>
                <w:highlight w:val="none"/>
                <w:shd w:val="clear" w:color="FFFFFF" w:fill="D9D9D9"/>
              </w:rPr>
              <w:t>内容全部完整得1分，提供</w:t>
            </w:r>
            <w:r>
              <w:rPr>
                <w:rFonts w:hint="eastAsia" w:ascii="微软雅黑" w:hAnsi="微软雅黑" w:cs="微软雅黑"/>
                <w:color w:val="auto"/>
                <w:szCs w:val="21"/>
                <w:highlight w:val="none"/>
                <w:shd w:val="clear" w:color="FFFFFF" w:fill="D9D9D9"/>
                <w:lang w:eastAsia="zh-CN"/>
              </w:rPr>
              <w:t>少部份</w:t>
            </w:r>
            <w:r>
              <w:rPr>
                <w:rFonts w:hint="eastAsia" w:ascii="微软雅黑" w:hAnsi="微软雅黑" w:cs="微软雅黑"/>
                <w:color w:val="auto"/>
                <w:szCs w:val="21"/>
                <w:highlight w:val="none"/>
                <w:shd w:val="clear" w:color="FFFFFF" w:fill="D9D9D9"/>
              </w:rPr>
              <w:t>不完整得</w:t>
            </w:r>
            <w:r>
              <w:rPr>
                <w:rFonts w:hint="eastAsia" w:ascii="微软雅黑" w:hAnsi="微软雅黑" w:cs="微软雅黑"/>
                <w:color w:val="auto"/>
                <w:szCs w:val="21"/>
                <w:highlight w:val="none"/>
                <w:shd w:val="clear" w:color="FFFFFF" w:fill="D9D9D9"/>
                <w:lang w:val="en-US" w:eastAsia="zh-CN"/>
              </w:rPr>
              <w:t>0.5分</w:t>
            </w:r>
            <w:r>
              <w:rPr>
                <w:rFonts w:hint="eastAsia" w:ascii="微软雅黑" w:hAnsi="微软雅黑" w:cs="微软雅黑"/>
                <w:color w:val="auto"/>
                <w:szCs w:val="21"/>
                <w:highlight w:val="none"/>
                <w:shd w:val="clear" w:color="FFFFFF" w:fill="D9D9D9"/>
              </w:rPr>
              <w:t>，</w:t>
            </w:r>
            <w:r>
              <w:rPr>
                <w:rFonts w:hint="eastAsia" w:ascii="微软雅黑" w:hAnsi="微软雅黑" w:cs="微软雅黑"/>
                <w:color w:val="auto"/>
                <w:szCs w:val="21"/>
                <w:highlight w:val="none"/>
                <w:shd w:val="clear" w:color="FFFFFF" w:fill="D9D9D9"/>
                <w:lang w:eastAsia="zh-CN"/>
              </w:rPr>
              <w:t>超过一半以上内容没有或</w:t>
            </w:r>
            <w:r>
              <w:rPr>
                <w:rFonts w:hint="eastAsia" w:ascii="微软雅黑" w:hAnsi="微软雅黑" w:cs="微软雅黑"/>
                <w:color w:val="auto"/>
                <w:szCs w:val="21"/>
                <w:highlight w:val="none"/>
                <w:shd w:val="clear" w:color="FFFFFF" w:fill="D9D9D9"/>
              </w:rPr>
              <w:t>不提供不得分）</w:t>
            </w:r>
          </w:p>
          <w:p w14:paraId="63B7AFA7">
            <w:pPr>
              <w:keepNext w:val="0"/>
              <w:keepLines w:val="0"/>
              <w:pageBreakBefore w:val="0"/>
              <w:kinsoku/>
              <w:wordWrap/>
              <w:overflowPunct/>
              <w:topLinePunct w:val="0"/>
              <w:autoSpaceDE/>
              <w:autoSpaceDN/>
              <w:bidi w:val="0"/>
              <w:spacing w:after="0" w:line="0" w:lineRule="atLeast"/>
              <w:ind w:firstLine="0" w:firstLineChars="0"/>
              <w:jc w:val="both"/>
              <w:rPr>
                <w:rFonts w:ascii="微软雅黑" w:hAnsi="微软雅黑" w:cs="微软雅黑"/>
                <w:color w:val="auto"/>
                <w:szCs w:val="21"/>
                <w:highlight w:val="none"/>
                <w:lang w:bidi="ar"/>
              </w:rPr>
            </w:pPr>
          </w:p>
          <w:p w14:paraId="1625DA28">
            <w:pPr>
              <w:keepNext w:val="0"/>
              <w:keepLines w:val="0"/>
              <w:pageBreakBefore w:val="0"/>
              <w:kinsoku/>
              <w:wordWrap/>
              <w:overflowPunct/>
              <w:topLinePunct w:val="0"/>
              <w:autoSpaceDE/>
              <w:autoSpaceDN/>
              <w:bidi w:val="0"/>
              <w:spacing w:after="0" w:line="0" w:lineRule="atLeast"/>
              <w:ind w:firstLine="0" w:firstLineChars="0"/>
              <w:jc w:val="both"/>
              <w:rPr>
                <w:rFonts w:hint="eastAsia" w:ascii="微软雅黑" w:hAnsi="微软雅黑" w:cs="微软雅黑"/>
                <w:b/>
                <w:bCs/>
                <w:color w:val="auto"/>
                <w:szCs w:val="21"/>
                <w:highlight w:val="none"/>
                <w:lang w:bidi="ar"/>
              </w:rPr>
            </w:pPr>
            <w:r>
              <w:rPr>
                <w:rFonts w:hint="eastAsia" w:ascii="微软雅黑" w:hAnsi="微软雅黑" w:cs="微软雅黑"/>
                <w:b/>
                <w:bCs/>
                <w:color w:val="auto"/>
                <w:szCs w:val="21"/>
                <w:highlight w:val="none"/>
                <w:lang w:bidi="ar"/>
              </w:rPr>
              <w:t>演示内容6：吸收解吸实验装置</w:t>
            </w:r>
          </w:p>
          <w:p w14:paraId="7DA8BDA6">
            <w:pPr>
              <w:keepNext w:val="0"/>
              <w:keepLines w:val="0"/>
              <w:pageBreakBefore w:val="0"/>
              <w:kinsoku/>
              <w:wordWrap/>
              <w:overflowPunct/>
              <w:topLinePunct w:val="0"/>
              <w:autoSpaceDE/>
              <w:autoSpaceDN/>
              <w:bidi w:val="0"/>
              <w:spacing w:after="0" w:line="0" w:lineRule="atLeast"/>
              <w:ind w:firstLine="0" w:firstLineChars="0"/>
              <w:jc w:val="both"/>
              <w:rPr>
                <w:rFonts w:ascii="微软雅黑" w:hAnsi="微软雅黑" w:cs="微软雅黑"/>
                <w:b/>
                <w:bCs/>
                <w:color w:val="auto"/>
                <w:szCs w:val="21"/>
                <w:highlight w:val="none"/>
                <w:shd w:val="clear" w:color="FFFFFF" w:fill="D9D9D9"/>
                <w:lang w:bidi="ar"/>
              </w:rPr>
            </w:pPr>
            <w:r>
              <w:rPr>
                <w:rFonts w:hint="eastAsia" w:ascii="微软雅黑" w:hAnsi="微软雅黑" w:cs="微软雅黑"/>
                <w:color w:val="auto"/>
                <w:szCs w:val="21"/>
                <w:highlight w:val="none"/>
                <w:lang w:bidi="ar"/>
              </w:rPr>
              <w:t>8.2★为教师、学生配套本实验装置介绍微课，讲解实验装置结构。</w:t>
            </w:r>
            <w:r>
              <w:rPr>
                <w:rFonts w:hint="eastAsia" w:ascii="微软雅黑" w:hAnsi="微软雅黑" w:cs="微软雅黑"/>
                <w:b/>
                <w:bCs/>
                <w:color w:val="auto"/>
                <w:szCs w:val="21"/>
                <w:highlight w:val="none"/>
                <w:shd w:val="clear" w:color="FFFFFF" w:fill="D9D9D9"/>
                <w:lang w:bidi="ar"/>
              </w:rPr>
              <w:t>（最高</w:t>
            </w:r>
            <w:r>
              <w:rPr>
                <w:rFonts w:hint="eastAsia" w:ascii="微软雅黑" w:hAnsi="微软雅黑" w:cs="微软雅黑"/>
                <w:b/>
                <w:bCs/>
                <w:color w:val="auto"/>
                <w:szCs w:val="21"/>
                <w:highlight w:val="none"/>
                <w:shd w:val="clear" w:color="FFFFFF" w:fill="D9D9D9"/>
                <w:lang w:val="en-US" w:eastAsia="zh-CN" w:bidi="ar"/>
              </w:rPr>
              <w:t>1</w:t>
            </w:r>
            <w:r>
              <w:rPr>
                <w:rFonts w:hint="eastAsia" w:ascii="微软雅黑" w:hAnsi="微软雅黑" w:cs="微软雅黑"/>
                <w:b/>
                <w:bCs/>
                <w:color w:val="auto"/>
                <w:szCs w:val="21"/>
                <w:highlight w:val="none"/>
                <w:shd w:val="clear" w:color="FFFFFF" w:fill="D9D9D9"/>
                <w:lang w:bidi="ar"/>
              </w:rPr>
              <w:t>分，</w:t>
            </w:r>
            <w:r>
              <w:rPr>
                <w:rFonts w:hint="eastAsia" w:ascii="微软雅黑" w:hAnsi="微软雅黑" w:cs="微软雅黑"/>
                <w:color w:val="auto"/>
                <w:szCs w:val="21"/>
                <w:highlight w:val="none"/>
                <w:shd w:val="clear" w:color="FFFFFF" w:fill="D9D9D9"/>
              </w:rPr>
              <w:t>内容全部完整得1分，提供</w:t>
            </w:r>
            <w:r>
              <w:rPr>
                <w:rFonts w:hint="eastAsia" w:ascii="微软雅黑" w:hAnsi="微软雅黑" w:cs="微软雅黑"/>
                <w:color w:val="auto"/>
                <w:szCs w:val="21"/>
                <w:highlight w:val="none"/>
                <w:shd w:val="clear" w:color="FFFFFF" w:fill="D9D9D9"/>
                <w:lang w:eastAsia="zh-CN"/>
              </w:rPr>
              <w:t>少部份</w:t>
            </w:r>
            <w:r>
              <w:rPr>
                <w:rFonts w:hint="eastAsia" w:ascii="微软雅黑" w:hAnsi="微软雅黑" w:cs="微软雅黑"/>
                <w:color w:val="auto"/>
                <w:szCs w:val="21"/>
                <w:highlight w:val="none"/>
                <w:shd w:val="clear" w:color="FFFFFF" w:fill="D9D9D9"/>
              </w:rPr>
              <w:t>不完整得</w:t>
            </w:r>
            <w:r>
              <w:rPr>
                <w:rFonts w:hint="eastAsia" w:ascii="微软雅黑" w:hAnsi="微软雅黑" w:cs="微软雅黑"/>
                <w:color w:val="auto"/>
                <w:szCs w:val="21"/>
                <w:highlight w:val="none"/>
                <w:shd w:val="clear" w:color="FFFFFF" w:fill="D9D9D9"/>
                <w:lang w:val="en-US" w:eastAsia="zh-CN"/>
              </w:rPr>
              <w:t>0.5分</w:t>
            </w:r>
            <w:r>
              <w:rPr>
                <w:rFonts w:hint="eastAsia" w:ascii="微软雅黑" w:hAnsi="微软雅黑" w:cs="微软雅黑"/>
                <w:color w:val="auto"/>
                <w:szCs w:val="21"/>
                <w:highlight w:val="none"/>
                <w:shd w:val="clear" w:color="FFFFFF" w:fill="D9D9D9"/>
              </w:rPr>
              <w:t>，</w:t>
            </w:r>
            <w:r>
              <w:rPr>
                <w:rFonts w:hint="eastAsia" w:ascii="微软雅黑" w:hAnsi="微软雅黑" w:cs="微软雅黑"/>
                <w:color w:val="auto"/>
                <w:szCs w:val="21"/>
                <w:highlight w:val="none"/>
                <w:shd w:val="clear" w:color="FFFFFF" w:fill="D9D9D9"/>
                <w:lang w:eastAsia="zh-CN"/>
              </w:rPr>
              <w:t>超过一半以上内容没有或</w:t>
            </w:r>
            <w:r>
              <w:rPr>
                <w:rFonts w:hint="eastAsia" w:ascii="微软雅黑" w:hAnsi="微软雅黑" w:cs="微软雅黑"/>
                <w:color w:val="auto"/>
                <w:szCs w:val="21"/>
                <w:highlight w:val="none"/>
                <w:shd w:val="clear" w:color="FFFFFF" w:fill="D9D9D9"/>
              </w:rPr>
              <w:t>不提供不得分）</w:t>
            </w:r>
          </w:p>
          <w:p w14:paraId="08DDF683">
            <w:pPr>
              <w:keepNext w:val="0"/>
              <w:keepLines w:val="0"/>
              <w:pageBreakBefore w:val="0"/>
              <w:kinsoku/>
              <w:wordWrap/>
              <w:overflowPunct/>
              <w:topLinePunct w:val="0"/>
              <w:autoSpaceDE/>
              <w:autoSpaceDN/>
              <w:bidi w:val="0"/>
              <w:spacing w:after="0" w:line="0" w:lineRule="atLeast"/>
              <w:ind w:firstLine="0" w:firstLineChars="0"/>
              <w:jc w:val="both"/>
              <w:rPr>
                <w:rFonts w:hint="eastAsia" w:ascii="微软雅黑" w:hAnsi="微软雅黑" w:cs="微软雅黑"/>
                <w:color w:val="auto"/>
                <w:szCs w:val="21"/>
                <w:highlight w:val="none"/>
                <w:lang w:bidi="ar"/>
              </w:rPr>
            </w:pPr>
          </w:p>
          <w:p w14:paraId="2EA52750">
            <w:pPr>
              <w:keepNext w:val="0"/>
              <w:keepLines w:val="0"/>
              <w:pageBreakBefore w:val="0"/>
              <w:kinsoku/>
              <w:wordWrap/>
              <w:overflowPunct/>
              <w:topLinePunct w:val="0"/>
              <w:autoSpaceDE/>
              <w:autoSpaceDN/>
              <w:bidi w:val="0"/>
              <w:spacing w:after="0" w:line="0" w:lineRule="atLeast"/>
              <w:ind w:firstLine="0" w:firstLineChars="0"/>
              <w:jc w:val="both"/>
              <w:rPr>
                <w:rFonts w:ascii="微软雅黑" w:hAnsi="微软雅黑" w:cs="微软雅黑"/>
                <w:color w:val="auto"/>
                <w:szCs w:val="21"/>
                <w:highlight w:val="none"/>
                <w:lang w:bidi="ar"/>
              </w:rPr>
            </w:pPr>
            <w:r>
              <w:rPr>
                <w:rFonts w:hint="eastAsia" w:ascii="微软雅黑" w:hAnsi="微软雅黑" w:cs="微软雅黑"/>
                <w:color w:val="auto"/>
                <w:szCs w:val="21"/>
                <w:highlight w:val="none"/>
                <w:lang w:val="en-US" w:eastAsia="zh-CN" w:bidi="ar"/>
              </w:rPr>
              <w:t>8</w:t>
            </w:r>
            <w:r>
              <w:rPr>
                <w:rFonts w:hint="eastAsia" w:ascii="微软雅黑" w:hAnsi="微软雅黑" w:cs="微软雅黑"/>
                <w:color w:val="auto"/>
                <w:szCs w:val="21"/>
                <w:highlight w:val="none"/>
                <w:lang w:bidi="ar"/>
              </w:rPr>
              <w:t>.5★配套实验报告生成及评阅软件，学生端能够根据采集的真实装置的实验数据，生成真实实验的实验报告；也能够根据仿真实验数据，生成仿真实验的实验报告。学生端可对实验数据进行整理，系统保存数据修改记录，可进行追溯。支持学生将手写报告扫描上传；教师端可对报告进行批改、批注和评分。支持电子版实验报告的归档并保存全部电子档案，形成规范教学文档。</w:t>
            </w:r>
            <w:r>
              <w:rPr>
                <w:rFonts w:hint="eastAsia" w:ascii="微软雅黑" w:hAnsi="微软雅黑" w:cs="微软雅黑"/>
                <w:b/>
                <w:bCs/>
                <w:color w:val="auto"/>
                <w:szCs w:val="21"/>
                <w:highlight w:val="none"/>
                <w:shd w:val="clear" w:color="FFFFFF" w:fill="D9D9D9"/>
                <w:lang w:bidi="ar"/>
              </w:rPr>
              <w:t>（最高</w:t>
            </w:r>
            <w:r>
              <w:rPr>
                <w:rFonts w:hint="eastAsia" w:ascii="微软雅黑" w:hAnsi="微软雅黑" w:cs="微软雅黑"/>
                <w:b/>
                <w:bCs/>
                <w:color w:val="auto"/>
                <w:szCs w:val="21"/>
                <w:highlight w:val="none"/>
                <w:shd w:val="clear" w:color="FFFFFF" w:fill="D9D9D9"/>
                <w:lang w:val="en-US" w:eastAsia="zh-CN" w:bidi="ar"/>
              </w:rPr>
              <w:t>1</w:t>
            </w:r>
            <w:r>
              <w:rPr>
                <w:rFonts w:hint="eastAsia" w:ascii="微软雅黑" w:hAnsi="微软雅黑" w:cs="微软雅黑"/>
                <w:b/>
                <w:bCs/>
                <w:color w:val="auto"/>
                <w:szCs w:val="21"/>
                <w:highlight w:val="none"/>
                <w:shd w:val="clear" w:color="FFFFFF" w:fill="D9D9D9"/>
                <w:lang w:bidi="ar"/>
              </w:rPr>
              <w:t>分，</w:t>
            </w:r>
            <w:r>
              <w:rPr>
                <w:rFonts w:hint="eastAsia" w:ascii="微软雅黑" w:hAnsi="微软雅黑" w:cs="微软雅黑"/>
                <w:color w:val="auto"/>
                <w:szCs w:val="21"/>
                <w:highlight w:val="none"/>
                <w:shd w:val="clear" w:color="FFFFFF" w:fill="D9D9D9"/>
              </w:rPr>
              <w:t>内容全部完整得1分，提供</w:t>
            </w:r>
            <w:r>
              <w:rPr>
                <w:rFonts w:hint="eastAsia" w:ascii="微软雅黑" w:hAnsi="微软雅黑" w:cs="微软雅黑"/>
                <w:color w:val="auto"/>
                <w:szCs w:val="21"/>
                <w:highlight w:val="none"/>
                <w:shd w:val="clear" w:color="FFFFFF" w:fill="D9D9D9"/>
                <w:lang w:eastAsia="zh-CN"/>
              </w:rPr>
              <w:t>少部份</w:t>
            </w:r>
            <w:r>
              <w:rPr>
                <w:rFonts w:hint="eastAsia" w:ascii="微软雅黑" w:hAnsi="微软雅黑" w:cs="微软雅黑"/>
                <w:color w:val="auto"/>
                <w:szCs w:val="21"/>
                <w:highlight w:val="none"/>
                <w:shd w:val="clear" w:color="FFFFFF" w:fill="D9D9D9"/>
              </w:rPr>
              <w:t>不完整得</w:t>
            </w:r>
            <w:r>
              <w:rPr>
                <w:rFonts w:hint="eastAsia" w:ascii="微软雅黑" w:hAnsi="微软雅黑" w:cs="微软雅黑"/>
                <w:color w:val="auto"/>
                <w:szCs w:val="21"/>
                <w:highlight w:val="none"/>
                <w:shd w:val="clear" w:color="FFFFFF" w:fill="D9D9D9"/>
                <w:lang w:val="en-US" w:eastAsia="zh-CN"/>
              </w:rPr>
              <w:t>0.5分</w:t>
            </w:r>
            <w:r>
              <w:rPr>
                <w:rFonts w:hint="eastAsia" w:ascii="微软雅黑" w:hAnsi="微软雅黑" w:cs="微软雅黑"/>
                <w:color w:val="auto"/>
                <w:szCs w:val="21"/>
                <w:highlight w:val="none"/>
                <w:shd w:val="clear" w:color="FFFFFF" w:fill="D9D9D9"/>
              </w:rPr>
              <w:t>，</w:t>
            </w:r>
            <w:r>
              <w:rPr>
                <w:rFonts w:hint="eastAsia" w:ascii="微软雅黑" w:hAnsi="微软雅黑" w:cs="微软雅黑"/>
                <w:color w:val="auto"/>
                <w:szCs w:val="21"/>
                <w:highlight w:val="none"/>
                <w:shd w:val="clear" w:color="FFFFFF" w:fill="D9D9D9"/>
                <w:lang w:eastAsia="zh-CN"/>
              </w:rPr>
              <w:t>超过一半以上内容没有或</w:t>
            </w:r>
            <w:r>
              <w:rPr>
                <w:rFonts w:hint="eastAsia" w:ascii="微软雅黑" w:hAnsi="微软雅黑" w:cs="微软雅黑"/>
                <w:color w:val="auto"/>
                <w:szCs w:val="21"/>
                <w:highlight w:val="none"/>
                <w:shd w:val="clear" w:color="FFFFFF" w:fill="D9D9D9"/>
              </w:rPr>
              <w:t>不提供不得分）</w:t>
            </w:r>
          </w:p>
          <w:p w14:paraId="681ACD8E">
            <w:pPr>
              <w:pStyle w:val="51"/>
              <w:rPr>
                <w:color w:val="auto"/>
                <w:highlight w:val="none"/>
              </w:rPr>
            </w:pPr>
          </w:p>
        </w:tc>
        <w:tc>
          <w:tcPr>
            <w:tcW w:w="787" w:type="dxa"/>
            <w:tcBorders>
              <w:top w:val="single" w:color="auto" w:sz="4" w:space="0"/>
              <w:left w:val="single" w:color="auto" w:sz="4" w:space="0"/>
              <w:bottom w:val="single" w:color="auto" w:sz="4" w:space="0"/>
              <w:right w:val="single" w:color="auto" w:sz="4" w:space="0"/>
            </w:tcBorders>
            <w:shd w:val="clear" w:color="auto" w:fill="auto"/>
            <w:vAlign w:val="center"/>
          </w:tcPr>
          <w:p w14:paraId="5FD39C16">
            <w:pPr>
              <w:keepNext w:val="0"/>
              <w:keepLines w:val="0"/>
              <w:pageBreakBefore w:val="0"/>
              <w:kinsoku/>
              <w:wordWrap/>
              <w:overflowPunct/>
              <w:topLinePunct w:val="0"/>
              <w:autoSpaceDE/>
              <w:autoSpaceDN/>
              <w:bidi w:val="0"/>
              <w:spacing w:after="0" w:line="0" w:lineRule="atLeast"/>
              <w:ind w:firstLine="0" w:firstLineChars="0"/>
              <w:jc w:val="center"/>
              <w:rPr>
                <w:rFonts w:hint="default" w:ascii="微软雅黑" w:hAnsi="微软雅黑" w:eastAsia="微软雅黑" w:cs="微软雅黑"/>
                <w:color w:val="auto"/>
                <w:kern w:val="0"/>
                <w:szCs w:val="21"/>
                <w:highlight w:val="none"/>
                <w:lang w:val="en-US" w:eastAsia="zh-CN"/>
              </w:rPr>
            </w:pPr>
            <w:r>
              <w:rPr>
                <w:rFonts w:hint="eastAsia" w:ascii="微软雅黑" w:hAnsi="微软雅黑" w:cs="微软雅黑"/>
                <w:color w:val="auto"/>
                <w:kern w:val="0"/>
                <w:szCs w:val="21"/>
                <w:highlight w:val="none"/>
                <w:lang w:val="en-US" w:eastAsia="zh-CN" w:bidi="ar"/>
              </w:rPr>
              <w:t>13</w:t>
            </w:r>
          </w:p>
        </w:tc>
        <w:tc>
          <w:tcPr>
            <w:tcW w:w="787" w:type="dxa"/>
            <w:tcBorders>
              <w:top w:val="single" w:color="auto" w:sz="4" w:space="0"/>
              <w:left w:val="single" w:color="auto" w:sz="4" w:space="0"/>
              <w:bottom w:val="single" w:color="auto" w:sz="4" w:space="0"/>
              <w:right w:val="single" w:color="auto" w:sz="4" w:space="0"/>
            </w:tcBorders>
            <w:shd w:val="clear" w:color="auto" w:fill="auto"/>
            <w:vAlign w:val="center"/>
          </w:tcPr>
          <w:p w14:paraId="5417E589">
            <w:pPr>
              <w:keepNext w:val="0"/>
              <w:keepLines w:val="0"/>
              <w:pageBreakBefore w:val="0"/>
              <w:kinsoku/>
              <w:wordWrap/>
              <w:overflowPunct/>
              <w:topLinePunct w:val="0"/>
              <w:autoSpaceDE/>
              <w:autoSpaceDN/>
              <w:bidi w:val="0"/>
              <w:spacing w:after="0" w:line="0" w:lineRule="atLeast"/>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lang w:bidi="ar"/>
              </w:rPr>
              <w:t>主观</w:t>
            </w:r>
          </w:p>
        </w:tc>
      </w:tr>
      <w:tr w14:paraId="418C15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jc w:val="center"/>
        </w:trPr>
        <w:tc>
          <w:tcPr>
            <w:tcW w:w="797" w:type="dxa"/>
            <w:tcBorders>
              <w:top w:val="single" w:color="auto" w:sz="4" w:space="0"/>
              <w:left w:val="single" w:color="auto" w:sz="4" w:space="0"/>
              <w:bottom w:val="single" w:color="auto" w:sz="4" w:space="0"/>
              <w:right w:val="single" w:color="auto" w:sz="4" w:space="0"/>
            </w:tcBorders>
            <w:shd w:val="clear" w:color="auto" w:fill="auto"/>
            <w:vAlign w:val="center"/>
          </w:tcPr>
          <w:p w14:paraId="73B4575B">
            <w:pPr>
              <w:keepNext w:val="0"/>
              <w:keepLines w:val="0"/>
              <w:pageBreakBefore w:val="0"/>
              <w:kinsoku/>
              <w:wordWrap/>
              <w:overflowPunct/>
              <w:topLinePunct w:val="0"/>
              <w:autoSpaceDE/>
              <w:autoSpaceDN/>
              <w:bidi w:val="0"/>
              <w:spacing w:after="0" w:line="0" w:lineRule="atLeast"/>
              <w:ind w:firstLine="0" w:firstLineChars="0"/>
              <w:jc w:val="center"/>
              <w:rPr>
                <w:rFonts w:hint="eastAsia" w:ascii="微软雅黑" w:hAnsi="微软雅黑" w:eastAsia="微软雅黑" w:cs="微软雅黑"/>
                <w:color w:val="auto"/>
                <w:kern w:val="0"/>
                <w:szCs w:val="21"/>
                <w:highlight w:val="none"/>
                <w:lang w:eastAsia="zh-CN"/>
              </w:rPr>
            </w:pPr>
            <w:r>
              <w:rPr>
                <w:rFonts w:hint="eastAsia" w:ascii="微软雅黑" w:hAnsi="微软雅黑" w:cs="微软雅黑"/>
                <w:color w:val="auto"/>
                <w:kern w:val="0"/>
                <w:szCs w:val="21"/>
                <w:highlight w:val="none"/>
                <w:lang w:val="en-US" w:eastAsia="zh-CN"/>
              </w:rPr>
              <w:t>5</w:t>
            </w:r>
          </w:p>
        </w:tc>
        <w:tc>
          <w:tcPr>
            <w:tcW w:w="1797" w:type="dxa"/>
            <w:tcBorders>
              <w:top w:val="single" w:color="auto" w:sz="4" w:space="0"/>
              <w:left w:val="single" w:color="auto" w:sz="4" w:space="0"/>
              <w:bottom w:val="single" w:color="auto" w:sz="4" w:space="0"/>
              <w:right w:val="single" w:color="auto" w:sz="4" w:space="0"/>
            </w:tcBorders>
            <w:shd w:val="clear" w:color="auto" w:fill="auto"/>
            <w:vAlign w:val="center"/>
          </w:tcPr>
          <w:p w14:paraId="68882216">
            <w:pPr>
              <w:keepNext w:val="0"/>
              <w:keepLines w:val="0"/>
              <w:pageBreakBefore w:val="0"/>
              <w:kinsoku/>
              <w:wordWrap/>
              <w:overflowPunct/>
              <w:topLinePunct w:val="0"/>
              <w:autoSpaceDE/>
              <w:autoSpaceDN/>
              <w:bidi w:val="0"/>
              <w:spacing w:after="0" w:line="0" w:lineRule="atLeast"/>
              <w:ind w:firstLine="0" w:firstLineChars="0"/>
              <w:jc w:val="center"/>
              <w:rPr>
                <w:rFonts w:ascii="微软雅黑" w:hAnsi="微软雅黑" w:cs="微软雅黑"/>
                <w:color w:val="auto"/>
                <w:kern w:val="0"/>
                <w:szCs w:val="21"/>
                <w:highlight w:val="none"/>
                <w:lang w:bidi="ar"/>
              </w:rPr>
            </w:pPr>
            <w:r>
              <w:rPr>
                <w:rFonts w:hint="eastAsia" w:ascii="微软雅黑" w:hAnsi="微软雅黑" w:cs="微软雅黑"/>
                <w:color w:val="auto"/>
                <w:kern w:val="0"/>
                <w:szCs w:val="21"/>
                <w:highlight w:val="none"/>
                <w:lang w:bidi="ar"/>
              </w:rPr>
              <w:t>进度保障</w:t>
            </w:r>
          </w:p>
        </w:tc>
        <w:tc>
          <w:tcPr>
            <w:tcW w:w="5819" w:type="dxa"/>
            <w:tcBorders>
              <w:top w:val="single" w:color="auto" w:sz="4" w:space="0"/>
              <w:left w:val="single" w:color="auto" w:sz="4" w:space="0"/>
              <w:bottom w:val="single" w:color="auto" w:sz="4" w:space="0"/>
              <w:right w:val="single" w:color="auto" w:sz="4" w:space="0"/>
            </w:tcBorders>
            <w:shd w:val="clear" w:color="auto" w:fill="auto"/>
            <w:vAlign w:val="center"/>
          </w:tcPr>
          <w:p w14:paraId="499092B6">
            <w:pPr>
              <w:keepNext w:val="0"/>
              <w:keepLines w:val="0"/>
              <w:pageBreakBefore w:val="0"/>
              <w:kinsoku/>
              <w:wordWrap/>
              <w:overflowPunct/>
              <w:topLinePunct w:val="0"/>
              <w:autoSpaceDE/>
              <w:autoSpaceDN/>
              <w:bidi w:val="0"/>
              <w:spacing w:after="0" w:line="0" w:lineRule="atLeast"/>
              <w:ind w:firstLine="0" w:firstLineChars="0"/>
              <w:jc w:val="both"/>
              <w:rPr>
                <w:rFonts w:ascii="微软雅黑" w:hAnsi="微软雅黑" w:cs="微软雅黑"/>
                <w:color w:val="auto"/>
                <w:szCs w:val="21"/>
                <w:highlight w:val="none"/>
                <w:lang w:bidi="ar"/>
              </w:rPr>
            </w:pPr>
            <w:r>
              <w:rPr>
                <w:rFonts w:hint="eastAsia" w:ascii="宋体" w:hAnsi="宋体" w:cs="华文宋体"/>
                <w:color w:val="auto"/>
                <w:kern w:val="0"/>
                <w:szCs w:val="21"/>
                <w:highlight w:val="none"/>
                <w:lang w:bidi="ar"/>
              </w:rPr>
              <w:t>根据投标人针对本项目的工期进度保障措施，</w:t>
            </w:r>
            <w:r>
              <w:rPr>
                <w:rFonts w:hint="eastAsia" w:ascii="微软雅黑" w:hAnsi="微软雅黑" w:cs="微软雅黑"/>
                <w:color w:val="auto"/>
                <w:szCs w:val="21"/>
                <w:highlight w:val="none"/>
              </w:rPr>
              <w:t>是否与采购需求符合性或匹配度进行打分，（符合采购需求的2分，部分符合的得1分，不符合的或不提供不得分</w:t>
            </w:r>
            <w:r>
              <w:rPr>
                <w:rFonts w:hint="eastAsia" w:ascii="宋体" w:hAnsi="宋体" w:cs="华文宋体"/>
                <w:color w:val="auto"/>
                <w:kern w:val="0"/>
                <w:szCs w:val="21"/>
                <w:highlight w:val="none"/>
                <w:lang w:bidi="ar"/>
              </w:rPr>
              <w:t>）</w:t>
            </w:r>
          </w:p>
        </w:tc>
        <w:tc>
          <w:tcPr>
            <w:tcW w:w="787" w:type="dxa"/>
            <w:tcBorders>
              <w:top w:val="single" w:color="auto" w:sz="4" w:space="0"/>
              <w:left w:val="single" w:color="auto" w:sz="4" w:space="0"/>
              <w:bottom w:val="single" w:color="auto" w:sz="4" w:space="0"/>
              <w:right w:val="single" w:color="auto" w:sz="4" w:space="0"/>
            </w:tcBorders>
            <w:shd w:val="clear" w:color="auto" w:fill="auto"/>
            <w:vAlign w:val="center"/>
          </w:tcPr>
          <w:p w14:paraId="4A593F76">
            <w:pPr>
              <w:keepNext w:val="0"/>
              <w:keepLines w:val="0"/>
              <w:pageBreakBefore w:val="0"/>
              <w:kinsoku/>
              <w:wordWrap/>
              <w:overflowPunct/>
              <w:topLinePunct w:val="0"/>
              <w:autoSpaceDE/>
              <w:autoSpaceDN/>
              <w:bidi w:val="0"/>
              <w:spacing w:after="0" w:line="0" w:lineRule="atLeast"/>
              <w:ind w:firstLine="0" w:firstLineChars="0"/>
              <w:jc w:val="center"/>
              <w:rPr>
                <w:rFonts w:ascii="微软雅黑" w:hAnsi="微软雅黑" w:cs="微软雅黑"/>
                <w:color w:val="auto"/>
                <w:kern w:val="0"/>
                <w:szCs w:val="21"/>
                <w:highlight w:val="none"/>
                <w:lang w:bidi="ar"/>
              </w:rPr>
            </w:pPr>
            <w:r>
              <w:rPr>
                <w:rFonts w:hint="eastAsia" w:ascii="微软雅黑" w:hAnsi="微软雅黑" w:cs="微软雅黑"/>
                <w:color w:val="auto"/>
                <w:kern w:val="0"/>
                <w:szCs w:val="21"/>
                <w:highlight w:val="none"/>
                <w:lang w:bidi="ar"/>
              </w:rPr>
              <w:t>2</w:t>
            </w:r>
          </w:p>
        </w:tc>
        <w:tc>
          <w:tcPr>
            <w:tcW w:w="787" w:type="dxa"/>
            <w:tcBorders>
              <w:top w:val="single" w:color="auto" w:sz="4" w:space="0"/>
              <w:left w:val="single" w:color="auto" w:sz="4" w:space="0"/>
              <w:bottom w:val="single" w:color="auto" w:sz="4" w:space="0"/>
              <w:right w:val="single" w:color="auto" w:sz="4" w:space="0"/>
            </w:tcBorders>
            <w:shd w:val="clear" w:color="auto" w:fill="auto"/>
            <w:vAlign w:val="center"/>
          </w:tcPr>
          <w:p w14:paraId="5CE4688F">
            <w:pPr>
              <w:keepNext w:val="0"/>
              <w:keepLines w:val="0"/>
              <w:pageBreakBefore w:val="0"/>
              <w:kinsoku/>
              <w:wordWrap/>
              <w:overflowPunct/>
              <w:topLinePunct w:val="0"/>
              <w:autoSpaceDE/>
              <w:autoSpaceDN/>
              <w:bidi w:val="0"/>
              <w:spacing w:after="0" w:line="0" w:lineRule="atLeast"/>
              <w:ind w:firstLine="0" w:firstLineChars="0"/>
              <w:jc w:val="center"/>
              <w:rPr>
                <w:rFonts w:ascii="微软雅黑" w:hAnsi="微软雅黑" w:cs="微软雅黑"/>
                <w:color w:val="auto"/>
                <w:kern w:val="0"/>
                <w:szCs w:val="21"/>
                <w:highlight w:val="none"/>
                <w:lang w:bidi="ar"/>
              </w:rPr>
            </w:pPr>
            <w:r>
              <w:rPr>
                <w:rFonts w:hint="eastAsia" w:ascii="微软雅黑" w:hAnsi="微软雅黑" w:cs="微软雅黑"/>
                <w:color w:val="auto"/>
                <w:kern w:val="0"/>
                <w:szCs w:val="21"/>
                <w:highlight w:val="none"/>
                <w:lang w:bidi="ar"/>
              </w:rPr>
              <w:t>主观</w:t>
            </w:r>
          </w:p>
        </w:tc>
      </w:tr>
      <w:tr w14:paraId="7CD77F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jc w:val="center"/>
        </w:trPr>
        <w:tc>
          <w:tcPr>
            <w:tcW w:w="797" w:type="dxa"/>
            <w:tcBorders>
              <w:top w:val="single" w:color="auto" w:sz="4" w:space="0"/>
              <w:left w:val="single" w:color="auto" w:sz="4" w:space="0"/>
              <w:bottom w:val="single" w:color="auto" w:sz="4" w:space="0"/>
              <w:right w:val="single" w:color="auto" w:sz="4" w:space="0"/>
            </w:tcBorders>
            <w:shd w:val="clear" w:color="auto" w:fill="auto"/>
            <w:vAlign w:val="center"/>
          </w:tcPr>
          <w:p w14:paraId="362F5F95">
            <w:pPr>
              <w:keepNext w:val="0"/>
              <w:keepLines w:val="0"/>
              <w:pageBreakBefore w:val="0"/>
              <w:kinsoku/>
              <w:wordWrap/>
              <w:overflowPunct/>
              <w:topLinePunct w:val="0"/>
              <w:autoSpaceDE/>
              <w:autoSpaceDN/>
              <w:bidi w:val="0"/>
              <w:spacing w:after="0" w:line="0" w:lineRule="atLeast"/>
              <w:ind w:firstLine="0" w:firstLineChars="0"/>
              <w:jc w:val="center"/>
              <w:rPr>
                <w:rFonts w:hint="eastAsia" w:ascii="微软雅黑" w:hAnsi="微软雅黑" w:eastAsia="微软雅黑" w:cs="微软雅黑"/>
                <w:color w:val="auto"/>
                <w:kern w:val="0"/>
                <w:szCs w:val="21"/>
                <w:highlight w:val="none"/>
                <w:lang w:eastAsia="zh-CN"/>
              </w:rPr>
            </w:pPr>
            <w:r>
              <w:rPr>
                <w:rFonts w:hint="eastAsia" w:ascii="微软雅黑" w:hAnsi="微软雅黑" w:cs="微软雅黑"/>
                <w:color w:val="auto"/>
                <w:kern w:val="0"/>
                <w:szCs w:val="21"/>
                <w:highlight w:val="none"/>
                <w:lang w:val="en-US" w:eastAsia="zh-CN"/>
              </w:rPr>
              <w:t>6</w:t>
            </w:r>
          </w:p>
        </w:tc>
        <w:tc>
          <w:tcPr>
            <w:tcW w:w="1797" w:type="dxa"/>
            <w:tcBorders>
              <w:top w:val="single" w:color="auto" w:sz="4" w:space="0"/>
              <w:left w:val="single" w:color="auto" w:sz="4" w:space="0"/>
              <w:bottom w:val="single" w:color="auto" w:sz="4" w:space="0"/>
              <w:right w:val="single" w:color="auto" w:sz="4" w:space="0"/>
            </w:tcBorders>
            <w:shd w:val="clear" w:color="auto" w:fill="auto"/>
            <w:vAlign w:val="center"/>
          </w:tcPr>
          <w:p w14:paraId="5272959E">
            <w:pPr>
              <w:keepNext w:val="0"/>
              <w:keepLines w:val="0"/>
              <w:pageBreakBefore w:val="0"/>
              <w:kinsoku/>
              <w:wordWrap/>
              <w:overflowPunct/>
              <w:topLinePunct w:val="0"/>
              <w:autoSpaceDE/>
              <w:autoSpaceDN/>
              <w:bidi w:val="0"/>
              <w:spacing w:after="0" w:line="0" w:lineRule="atLeast"/>
              <w:ind w:firstLine="0" w:firstLineChars="0"/>
              <w:jc w:val="center"/>
              <w:rPr>
                <w:rFonts w:ascii="微软雅黑" w:hAnsi="微软雅黑" w:cs="微软雅黑"/>
                <w:color w:val="auto"/>
                <w:kern w:val="0"/>
                <w:szCs w:val="21"/>
                <w:highlight w:val="none"/>
                <w:lang w:bidi="ar"/>
              </w:rPr>
            </w:pPr>
            <w:r>
              <w:rPr>
                <w:rFonts w:hint="eastAsia" w:ascii="微软雅黑" w:hAnsi="微软雅黑" w:cs="微软雅黑"/>
                <w:color w:val="auto"/>
                <w:szCs w:val="21"/>
                <w:highlight w:val="none"/>
                <w:lang w:bidi="ar"/>
              </w:rPr>
              <w:t>培训措施</w:t>
            </w:r>
          </w:p>
        </w:tc>
        <w:tc>
          <w:tcPr>
            <w:tcW w:w="5819" w:type="dxa"/>
            <w:tcBorders>
              <w:top w:val="single" w:color="auto" w:sz="4" w:space="0"/>
              <w:left w:val="single" w:color="auto" w:sz="4" w:space="0"/>
              <w:bottom w:val="single" w:color="auto" w:sz="4" w:space="0"/>
              <w:right w:val="single" w:color="auto" w:sz="4" w:space="0"/>
            </w:tcBorders>
            <w:shd w:val="clear" w:color="auto" w:fill="auto"/>
            <w:vAlign w:val="center"/>
          </w:tcPr>
          <w:p w14:paraId="10E2BAF9">
            <w:pPr>
              <w:keepNext w:val="0"/>
              <w:keepLines w:val="0"/>
              <w:pageBreakBefore w:val="0"/>
              <w:kinsoku/>
              <w:wordWrap/>
              <w:overflowPunct/>
              <w:topLinePunct w:val="0"/>
              <w:autoSpaceDE/>
              <w:autoSpaceDN/>
              <w:bidi w:val="0"/>
              <w:adjustRightInd w:val="0"/>
              <w:snapToGrid w:val="0"/>
              <w:spacing w:after="0" w:line="0" w:lineRule="atLeast"/>
              <w:ind w:firstLine="0" w:firstLineChars="0"/>
              <w:jc w:val="both"/>
              <w:rPr>
                <w:rFonts w:ascii="微软雅黑" w:hAnsi="微软雅黑" w:cs="微软雅黑"/>
                <w:color w:val="auto"/>
                <w:szCs w:val="21"/>
                <w:highlight w:val="none"/>
                <w:lang w:bidi="ar"/>
              </w:rPr>
            </w:pPr>
            <w:r>
              <w:rPr>
                <w:rFonts w:hint="eastAsia" w:ascii="微软雅黑" w:hAnsi="微软雅黑" w:cs="微软雅黑"/>
                <w:color w:val="auto"/>
                <w:szCs w:val="21"/>
                <w:highlight w:val="none"/>
                <w:lang w:bidi="ar"/>
              </w:rPr>
              <w:t>根据提供承诺培训措施情况，根据方案是否</w:t>
            </w:r>
            <w:r>
              <w:rPr>
                <w:rFonts w:hint="eastAsia" w:ascii="微软雅黑" w:hAnsi="微软雅黑" w:cs="微软雅黑"/>
                <w:color w:val="auto"/>
                <w:kern w:val="0"/>
                <w:szCs w:val="21"/>
                <w:highlight w:val="none"/>
                <w:lang w:bidi="ar"/>
              </w:rPr>
              <w:t>是否与采购需求符合性或匹配度进行打分：</w:t>
            </w:r>
            <w:r>
              <w:rPr>
                <w:rFonts w:hint="eastAsia" w:ascii="微软雅黑" w:hAnsi="微软雅黑" w:cs="微软雅黑"/>
                <w:color w:val="auto"/>
                <w:szCs w:val="21"/>
                <w:highlight w:val="none"/>
              </w:rPr>
              <w:t>（符合采购需求的3分，部分符合的得2分，不符合的得1分，不提供不得分</w:t>
            </w:r>
            <w:r>
              <w:rPr>
                <w:rFonts w:hint="eastAsia" w:ascii="微软雅黑" w:hAnsi="微软雅黑" w:cs="微软雅黑"/>
                <w:color w:val="auto"/>
                <w:kern w:val="0"/>
                <w:szCs w:val="21"/>
                <w:highlight w:val="none"/>
                <w:lang w:bidi="ar"/>
              </w:rPr>
              <w:t>。</w:t>
            </w:r>
          </w:p>
        </w:tc>
        <w:tc>
          <w:tcPr>
            <w:tcW w:w="787" w:type="dxa"/>
            <w:tcBorders>
              <w:top w:val="single" w:color="auto" w:sz="4" w:space="0"/>
              <w:left w:val="single" w:color="auto" w:sz="4" w:space="0"/>
              <w:bottom w:val="single" w:color="auto" w:sz="4" w:space="0"/>
              <w:right w:val="single" w:color="auto" w:sz="4" w:space="0"/>
            </w:tcBorders>
            <w:shd w:val="clear" w:color="auto" w:fill="auto"/>
            <w:vAlign w:val="center"/>
          </w:tcPr>
          <w:p w14:paraId="652B9D80">
            <w:pPr>
              <w:keepNext w:val="0"/>
              <w:keepLines w:val="0"/>
              <w:pageBreakBefore w:val="0"/>
              <w:kinsoku/>
              <w:wordWrap/>
              <w:overflowPunct/>
              <w:topLinePunct w:val="0"/>
              <w:autoSpaceDE/>
              <w:autoSpaceDN/>
              <w:bidi w:val="0"/>
              <w:spacing w:after="0" w:line="0" w:lineRule="atLeast"/>
              <w:ind w:firstLine="0" w:firstLineChars="0"/>
              <w:jc w:val="center"/>
              <w:rPr>
                <w:rFonts w:ascii="微软雅黑" w:hAnsi="微软雅黑" w:cs="微软雅黑"/>
                <w:color w:val="auto"/>
                <w:kern w:val="0"/>
                <w:szCs w:val="21"/>
                <w:highlight w:val="none"/>
                <w:lang w:bidi="ar"/>
              </w:rPr>
            </w:pPr>
            <w:r>
              <w:rPr>
                <w:rFonts w:hint="eastAsia" w:ascii="微软雅黑" w:hAnsi="微软雅黑" w:cs="微软雅黑"/>
                <w:color w:val="auto"/>
                <w:kern w:val="0"/>
                <w:szCs w:val="21"/>
                <w:highlight w:val="none"/>
                <w:lang w:bidi="ar"/>
              </w:rPr>
              <w:t>3</w:t>
            </w:r>
          </w:p>
        </w:tc>
        <w:tc>
          <w:tcPr>
            <w:tcW w:w="787" w:type="dxa"/>
            <w:tcBorders>
              <w:top w:val="single" w:color="auto" w:sz="4" w:space="0"/>
              <w:left w:val="single" w:color="auto" w:sz="4" w:space="0"/>
              <w:bottom w:val="single" w:color="auto" w:sz="4" w:space="0"/>
              <w:right w:val="single" w:color="auto" w:sz="4" w:space="0"/>
            </w:tcBorders>
            <w:shd w:val="clear" w:color="auto" w:fill="auto"/>
            <w:vAlign w:val="center"/>
          </w:tcPr>
          <w:p w14:paraId="5546166F">
            <w:pPr>
              <w:keepNext w:val="0"/>
              <w:keepLines w:val="0"/>
              <w:pageBreakBefore w:val="0"/>
              <w:kinsoku/>
              <w:wordWrap/>
              <w:overflowPunct/>
              <w:topLinePunct w:val="0"/>
              <w:autoSpaceDE/>
              <w:autoSpaceDN/>
              <w:bidi w:val="0"/>
              <w:spacing w:after="0" w:line="0" w:lineRule="atLeast"/>
              <w:ind w:firstLine="0" w:firstLineChars="0"/>
              <w:jc w:val="center"/>
              <w:rPr>
                <w:rFonts w:ascii="微软雅黑" w:hAnsi="微软雅黑" w:cs="微软雅黑"/>
                <w:color w:val="auto"/>
                <w:kern w:val="0"/>
                <w:szCs w:val="21"/>
                <w:highlight w:val="none"/>
                <w:lang w:bidi="ar"/>
              </w:rPr>
            </w:pPr>
            <w:r>
              <w:rPr>
                <w:rFonts w:hint="eastAsia" w:ascii="微软雅黑" w:hAnsi="微软雅黑" w:cs="微软雅黑"/>
                <w:color w:val="auto"/>
                <w:kern w:val="0"/>
                <w:szCs w:val="21"/>
                <w:highlight w:val="none"/>
                <w:lang w:bidi="ar"/>
              </w:rPr>
              <w:t>主观</w:t>
            </w:r>
          </w:p>
        </w:tc>
      </w:tr>
      <w:tr w14:paraId="7AE6F2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jc w:val="center"/>
        </w:trPr>
        <w:tc>
          <w:tcPr>
            <w:tcW w:w="797" w:type="dxa"/>
            <w:tcBorders>
              <w:top w:val="single" w:color="auto" w:sz="4" w:space="0"/>
              <w:left w:val="single" w:color="auto" w:sz="4" w:space="0"/>
              <w:bottom w:val="single" w:color="auto" w:sz="4" w:space="0"/>
              <w:right w:val="single" w:color="auto" w:sz="4" w:space="0"/>
            </w:tcBorders>
            <w:shd w:val="clear" w:color="auto" w:fill="auto"/>
            <w:vAlign w:val="center"/>
          </w:tcPr>
          <w:p w14:paraId="724285BF">
            <w:pPr>
              <w:keepNext w:val="0"/>
              <w:keepLines w:val="0"/>
              <w:pageBreakBefore w:val="0"/>
              <w:kinsoku/>
              <w:wordWrap/>
              <w:overflowPunct/>
              <w:topLinePunct w:val="0"/>
              <w:autoSpaceDE/>
              <w:autoSpaceDN/>
              <w:bidi w:val="0"/>
              <w:spacing w:after="0" w:line="0" w:lineRule="atLeast"/>
              <w:ind w:firstLine="0" w:firstLineChars="0"/>
              <w:jc w:val="center"/>
              <w:rPr>
                <w:rFonts w:hint="eastAsia" w:ascii="微软雅黑" w:hAnsi="微软雅黑" w:eastAsia="微软雅黑" w:cs="微软雅黑"/>
                <w:color w:val="auto"/>
                <w:kern w:val="0"/>
                <w:szCs w:val="21"/>
                <w:highlight w:val="none"/>
                <w:lang w:eastAsia="zh-CN"/>
              </w:rPr>
            </w:pPr>
            <w:r>
              <w:rPr>
                <w:rFonts w:hint="eastAsia" w:ascii="微软雅黑" w:hAnsi="微软雅黑" w:cs="微软雅黑"/>
                <w:color w:val="auto"/>
                <w:kern w:val="0"/>
                <w:szCs w:val="21"/>
                <w:highlight w:val="none"/>
                <w:lang w:val="en-US" w:eastAsia="zh-CN"/>
              </w:rPr>
              <w:t>7</w:t>
            </w:r>
          </w:p>
        </w:tc>
        <w:tc>
          <w:tcPr>
            <w:tcW w:w="1797" w:type="dxa"/>
            <w:tcBorders>
              <w:top w:val="single" w:color="auto" w:sz="4" w:space="0"/>
              <w:left w:val="single" w:color="auto" w:sz="4" w:space="0"/>
              <w:bottom w:val="single" w:color="auto" w:sz="4" w:space="0"/>
              <w:right w:val="single" w:color="auto" w:sz="4" w:space="0"/>
            </w:tcBorders>
            <w:shd w:val="clear" w:color="auto" w:fill="auto"/>
            <w:vAlign w:val="center"/>
          </w:tcPr>
          <w:p w14:paraId="7D11D829">
            <w:pPr>
              <w:keepNext w:val="0"/>
              <w:keepLines w:val="0"/>
              <w:pageBreakBefore w:val="0"/>
              <w:kinsoku/>
              <w:wordWrap/>
              <w:overflowPunct/>
              <w:topLinePunct w:val="0"/>
              <w:autoSpaceDE/>
              <w:autoSpaceDN/>
              <w:bidi w:val="0"/>
              <w:spacing w:after="0" w:line="0" w:lineRule="atLeast"/>
              <w:ind w:firstLine="0" w:firstLineChars="0"/>
              <w:jc w:val="center"/>
              <w:rPr>
                <w:rFonts w:ascii="微软雅黑" w:hAnsi="微软雅黑" w:cs="微软雅黑"/>
                <w:color w:val="auto"/>
                <w:kern w:val="0"/>
                <w:szCs w:val="21"/>
                <w:highlight w:val="none"/>
                <w:lang w:bidi="ar"/>
              </w:rPr>
            </w:pPr>
            <w:r>
              <w:rPr>
                <w:rFonts w:hint="eastAsia" w:ascii="微软雅黑" w:hAnsi="微软雅黑" w:cs="微软雅黑"/>
                <w:color w:val="auto"/>
                <w:kern w:val="0"/>
                <w:szCs w:val="21"/>
                <w:highlight w:val="none"/>
                <w:lang w:bidi="ar"/>
              </w:rPr>
              <w:t>质保期</w:t>
            </w:r>
          </w:p>
        </w:tc>
        <w:tc>
          <w:tcPr>
            <w:tcW w:w="5819" w:type="dxa"/>
            <w:tcBorders>
              <w:top w:val="single" w:color="auto" w:sz="4" w:space="0"/>
              <w:left w:val="single" w:color="auto" w:sz="4" w:space="0"/>
              <w:bottom w:val="single" w:color="auto" w:sz="4" w:space="0"/>
              <w:right w:val="single" w:color="auto" w:sz="4" w:space="0"/>
            </w:tcBorders>
            <w:shd w:val="clear" w:color="auto" w:fill="auto"/>
            <w:vAlign w:val="center"/>
          </w:tcPr>
          <w:p w14:paraId="309E8CC4">
            <w:pPr>
              <w:keepNext w:val="0"/>
              <w:keepLines w:val="0"/>
              <w:pageBreakBefore w:val="0"/>
              <w:kinsoku/>
              <w:wordWrap/>
              <w:overflowPunct/>
              <w:topLinePunct w:val="0"/>
              <w:autoSpaceDE/>
              <w:autoSpaceDN/>
              <w:bidi w:val="0"/>
              <w:spacing w:after="0" w:line="0" w:lineRule="atLeast"/>
              <w:ind w:firstLine="0" w:firstLineChars="0"/>
              <w:rPr>
                <w:rFonts w:ascii="微软雅黑" w:hAnsi="微软雅黑" w:cs="微软雅黑"/>
                <w:color w:val="auto"/>
                <w:szCs w:val="21"/>
                <w:highlight w:val="none"/>
                <w:lang w:bidi="ar"/>
              </w:rPr>
            </w:pPr>
            <w:r>
              <w:rPr>
                <w:rFonts w:hint="eastAsia" w:ascii="微软雅黑" w:hAnsi="微软雅黑" w:cs="微软雅黑"/>
                <w:color w:val="auto"/>
                <w:kern w:val="0"/>
                <w:szCs w:val="21"/>
                <w:highlight w:val="none"/>
              </w:rPr>
              <w:t>在满足招标文件免费质保年限要求的基础上，每免费延长质保期1年得1分，最高</w:t>
            </w:r>
            <w:r>
              <w:rPr>
                <w:rFonts w:hint="eastAsia" w:ascii="微软雅黑" w:hAnsi="微软雅黑" w:cs="微软雅黑"/>
                <w:color w:val="auto"/>
                <w:kern w:val="0"/>
                <w:szCs w:val="21"/>
                <w:highlight w:val="none"/>
                <w:lang w:eastAsia="zh-CN"/>
              </w:rPr>
              <w:t>得</w:t>
            </w:r>
            <w:r>
              <w:rPr>
                <w:rFonts w:hint="eastAsia" w:ascii="微软雅黑" w:hAnsi="微软雅黑" w:cs="微软雅黑"/>
                <w:color w:val="auto"/>
                <w:kern w:val="0"/>
                <w:szCs w:val="21"/>
                <w:highlight w:val="none"/>
              </w:rPr>
              <w:t>2分；</w:t>
            </w:r>
          </w:p>
        </w:tc>
        <w:tc>
          <w:tcPr>
            <w:tcW w:w="787" w:type="dxa"/>
            <w:tcBorders>
              <w:top w:val="single" w:color="auto" w:sz="4" w:space="0"/>
              <w:left w:val="single" w:color="auto" w:sz="4" w:space="0"/>
              <w:bottom w:val="single" w:color="auto" w:sz="4" w:space="0"/>
              <w:right w:val="single" w:color="auto" w:sz="4" w:space="0"/>
            </w:tcBorders>
            <w:shd w:val="clear" w:color="auto" w:fill="auto"/>
            <w:vAlign w:val="center"/>
          </w:tcPr>
          <w:p w14:paraId="4D8AF605">
            <w:pPr>
              <w:keepNext w:val="0"/>
              <w:keepLines w:val="0"/>
              <w:pageBreakBefore w:val="0"/>
              <w:kinsoku/>
              <w:wordWrap/>
              <w:overflowPunct/>
              <w:topLinePunct w:val="0"/>
              <w:autoSpaceDE/>
              <w:autoSpaceDN/>
              <w:bidi w:val="0"/>
              <w:spacing w:after="0" w:line="0" w:lineRule="atLeast"/>
              <w:ind w:firstLine="0" w:firstLineChars="0"/>
              <w:jc w:val="center"/>
              <w:rPr>
                <w:rFonts w:ascii="微软雅黑" w:hAnsi="微软雅黑" w:cs="微软雅黑"/>
                <w:color w:val="auto"/>
                <w:kern w:val="0"/>
                <w:szCs w:val="21"/>
                <w:highlight w:val="none"/>
                <w:lang w:bidi="ar"/>
              </w:rPr>
            </w:pPr>
            <w:r>
              <w:rPr>
                <w:rFonts w:hint="eastAsia" w:ascii="微软雅黑" w:hAnsi="微软雅黑" w:cs="微软雅黑"/>
                <w:color w:val="auto"/>
                <w:kern w:val="0"/>
                <w:szCs w:val="21"/>
                <w:highlight w:val="none"/>
                <w:lang w:bidi="ar"/>
              </w:rPr>
              <w:t>2</w:t>
            </w:r>
          </w:p>
        </w:tc>
        <w:tc>
          <w:tcPr>
            <w:tcW w:w="787" w:type="dxa"/>
            <w:tcBorders>
              <w:top w:val="single" w:color="auto" w:sz="4" w:space="0"/>
              <w:left w:val="single" w:color="auto" w:sz="4" w:space="0"/>
              <w:bottom w:val="single" w:color="auto" w:sz="4" w:space="0"/>
              <w:right w:val="single" w:color="auto" w:sz="4" w:space="0"/>
            </w:tcBorders>
            <w:shd w:val="clear" w:color="auto" w:fill="auto"/>
            <w:vAlign w:val="center"/>
          </w:tcPr>
          <w:p w14:paraId="670D0E35">
            <w:pPr>
              <w:keepNext w:val="0"/>
              <w:keepLines w:val="0"/>
              <w:pageBreakBefore w:val="0"/>
              <w:kinsoku/>
              <w:wordWrap/>
              <w:overflowPunct/>
              <w:topLinePunct w:val="0"/>
              <w:autoSpaceDE/>
              <w:autoSpaceDN/>
              <w:bidi w:val="0"/>
              <w:spacing w:after="0" w:line="0" w:lineRule="atLeast"/>
              <w:ind w:firstLine="0" w:firstLineChars="0"/>
              <w:jc w:val="center"/>
              <w:rPr>
                <w:rFonts w:ascii="微软雅黑" w:hAnsi="微软雅黑" w:cs="微软雅黑"/>
                <w:color w:val="auto"/>
                <w:kern w:val="0"/>
                <w:szCs w:val="21"/>
                <w:highlight w:val="none"/>
                <w:lang w:bidi="ar"/>
              </w:rPr>
            </w:pPr>
            <w:r>
              <w:rPr>
                <w:rFonts w:hint="eastAsia" w:ascii="微软雅黑" w:hAnsi="微软雅黑" w:cs="微软雅黑"/>
                <w:color w:val="auto"/>
                <w:kern w:val="0"/>
                <w:szCs w:val="21"/>
                <w:highlight w:val="none"/>
                <w:lang w:bidi="ar"/>
              </w:rPr>
              <w:t>客观</w:t>
            </w:r>
          </w:p>
        </w:tc>
      </w:tr>
      <w:tr w14:paraId="591D56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jc w:val="center"/>
        </w:trPr>
        <w:tc>
          <w:tcPr>
            <w:tcW w:w="797" w:type="dxa"/>
            <w:tcBorders>
              <w:top w:val="single" w:color="auto" w:sz="4" w:space="0"/>
              <w:left w:val="single" w:color="auto" w:sz="4" w:space="0"/>
              <w:bottom w:val="single" w:color="auto" w:sz="4" w:space="0"/>
              <w:right w:val="single" w:color="auto" w:sz="4" w:space="0"/>
            </w:tcBorders>
            <w:shd w:val="clear" w:color="auto" w:fill="auto"/>
            <w:vAlign w:val="center"/>
          </w:tcPr>
          <w:p w14:paraId="08FC88E0">
            <w:pPr>
              <w:keepNext w:val="0"/>
              <w:keepLines w:val="0"/>
              <w:pageBreakBefore w:val="0"/>
              <w:kinsoku/>
              <w:wordWrap/>
              <w:overflowPunct/>
              <w:topLinePunct w:val="0"/>
              <w:autoSpaceDE/>
              <w:autoSpaceDN/>
              <w:bidi w:val="0"/>
              <w:spacing w:after="0" w:line="0" w:lineRule="atLeast"/>
              <w:ind w:firstLine="0" w:firstLineChars="0"/>
              <w:jc w:val="center"/>
              <w:rPr>
                <w:rFonts w:hint="eastAsia" w:ascii="微软雅黑" w:hAnsi="微软雅黑" w:eastAsia="微软雅黑" w:cs="微软雅黑"/>
                <w:color w:val="auto"/>
                <w:kern w:val="0"/>
                <w:szCs w:val="21"/>
                <w:highlight w:val="none"/>
                <w:lang w:eastAsia="zh-CN"/>
              </w:rPr>
            </w:pPr>
            <w:r>
              <w:rPr>
                <w:rFonts w:hint="eastAsia" w:ascii="微软雅黑" w:hAnsi="微软雅黑" w:cs="微软雅黑"/>
                <w:color w:val="auto"/>
                <w:kern w:val="0"/>
                <w:szCs w:val="21"/>
                <w:highlight w:val="none"/>
                <w:lang w:val="en-US" w:eastAsia="zh-CN"/>
              </w:rPr>
              <w:t>8</w:t>
            </w:r>
          </w:p>
        </w:tc>
        <w:tc>
          <w:tcPr>
            <w:tcW w:w="1797" w:type="dxa"/>
            <w:tcBorders>
              <w:top w:val="single" w:color="auto" w:sz="4" w:space="0"/>
              <w:left w:val="single" w:color="auto" w:sz="4" w:space="0"/>
              <w:bottom w:val="single" w:color="auto" w:sz="4" w:space="0"/>
              <w:right w:val="single" w:color="auto" w:sz="4" w:space="0"/>
            </w:tcBorders>
            <w:shd w:val="clear" w:color="auto" w:fill="auto"/>
            <w:vAlign w:val="center"/>
          </w:tcPr>
          <w:p w14:paraId="5B1B9F10">
            <w:pPr>
              <w:keepNext w:val="0"/>
              <w:keepLines w:val="0"/>
              <w:pageBreakBefore w:val="0"/>
              <w:kinsoku/>
              <w:wordWrap/>
              <w:overflowPunct/>
              <w:topLinePunct w:val="0"/>
              <w:autoSpaceDE/>
              <w:autoSpaceDN/>
              <w:bidi w:val="0"/>
              <w:spacing w:after="0" w:line="0" w:lineRule="atLeast"/>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售后服务保障方案</w:t>
            </w:r>
          </w:p>
        </w:tc>
        <w:tc>
          <w:tcPr>
            <w:tcW w:w="5819" w:type="dxa"/>
            <w:tcBorders>
              <w:top w:val="single" w:color="auto" w:sz="4" w:space="0"/>
              <w:left w:val="single" w:color="auto" w:sz="4" w:space="0"/>
              <w:bottom w:val="single" w:color="auto" w:sz="4" w:space="0"/>
              <w:right w:val="single" w:color="auto" w:sz="4" w:space="0"/>
            </w:tcBorders>
            <w:shd w:val="clear" w:color="auto" w:fill="auto"/>
            <w:vAlign w:val="center"/>
          </w:tcPr>
          <w:p w14:paraId="4DB210AA">
            <w:pPr>
              <w:pStyle w:val="28"/>
              <w:keepNext w:val="0"/>
              <w:keepLines w:val="0"/>
              <w:pageBreakBefore w:val="0"/>
              <w:kinsoku/>
              <w:wordWrap/>
              <w:overflowPunct/>
              <w:topLinePunct w:val="0"/>
              <w:autoSpaceDE/>
              <w:autoSpaceDN/>
              <w:bidi w:val="0"/>
              <w:spacing w:line="0" w:lineRule="atLeast"/>
              <w:ind w:firstLine="0" w:firstLineChars="0"/>
              <w:rPr>
                <w:color w:val="auto"/>
                <w:highlight w:val="none"/>
              </w:rPr>
            </w:pPr>
            <w:r>
              <w:rPr>
                <w:rFonts w:hint="eastAsia" w:ascii="微软雅黑" w:hAnsi="微软雅黑" w:cs="微软雅黑"/>
                <w:color w:val="auto"/>
                <w:kern w:val="0"/>
                <w:szCs w:val="21"/>
                <w:highlight w:val="none"/>
              </w:rPr>
              <w:t>根据售后服务保障方案（包括免费服务范围、主要服务内容、解决问题方案、排除问题的速度、备品备件库情况等），</w:t>
            </w:r>
            <w:r>
              <w:rPr>
                <w:rFonts w:hint="eastAsia" w:ascii="微软雅黑" w:hAnsi="微软雅黑" w:cs="微软雅黑"/>
                <w:color w:val="auto"/>
                <w:szCs w:val="21"/>
                <w:highlight w:val="none"/>
              </w:rPr>
              <w:t>是否与采购需求符合性或匹配度进行打分，（符合采购需求的3分，部分符合的得2分，不符合的得1分，不提供不得分）。</w:t>
            </w:r>
          </w:p>
        </w:tc>
        <w:tc>
          <w:tcPr>
            <w:tcW w:w="787" w:type="dxa"/>
            <w:tcBorders>
              <w:top w:val="single" w:color="auto" w:sz="4" w:space="0"/>
              <w:left w:val="single" w:color="auto" w:sz="4" w:space="0"/>
              <w:bottom w:val="single" w:color="auto" w:sz="4" w:space="0"/>
              <w:right w:val="single" w:color="auto" w:sz="4" w:space="0"/>
            </w:tcBorders>
            <w:shd w:val="clear" w:color="auto" w:fill="auto"/>
            <w:vAlign w:val="center"/>
          </w:tcPr>
          <w:p w14:paraId="43361A28">
            <w:pPr>
              <w:keepNext w:val="0"/>
              <w:keepLines w:val="0"/>
              <w:pageBreakBefore w:val="0"/>
              <w:kinsoku/>
              <w:wordWrap/>
              <w:overflowPunct/>
              <w:topLinePunct w:val="0"/>
              <w:autoSpaceDE/>
              <w:autoSpaceDN/>
              <w:bidi w:val="0"/>
              <w:spacing w:after="0" w:line="0" w:lineRule="atLeast"/>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lang w:bidi="ar"/>
              </w:rPr>
              <w:t>3</w:t>
            </w:r>
          </w:p>
        </w:tc>
        <w:tc>
          <w:tcPr>
            <w:tcW w:w="787" w:type="dxa"/>
            <w:tcBorders>
              <w:top w:val="single" w:color="auto" w:sz="4" w:space="0"/>
              <w:left w:val="single" w:color="auto" w:sz="4" w:space="0"/>
              <w:bottom w:val="single" w:color="auto" w:sz="4" w:space="0"/>
              <w:right w:val="single" w:color="auto" w:sz="4" w:space="0"/>
            </w:tcBorders>
            <w:shd w:val="clear" w:color="auto" w:fill="auto"/>
            <w:vAlign w:val="center"/>
          </w:tcPr>
          <w:p w14:paraId="0D96468D">
            <w:pPr>
              <w:keepNext w:val="0"/>
              <w:keepLines w:val="0"/>
              <w:pageBreakBefore w:val="0"/>
              <w:kinsoku/>
              <w:wordWrap/>
              <w:overflowPunct/>
              <w:topLinePunct w:val="0"/>
              <w:autoSpaceDE/>
              <w:autoSpaceDN/>
              <w:bidi w:val="0"/>
              <w:spacing w:after="0" w:line="0" w:lineRule="atLeast"/>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lang w:bidi="ar"/>
              </w:rPr>
              <w:t>主观</w:t>
            </w:r>
          </w:p>
        </w:tc>
      </w:tr>
      <w:tr w14:paraId="4A9825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97" w:type="dxa"/>
            <w:tcBorders>
              <w:top w:val="single" w:color="auto" w:sz="4" w:space="0"/>
              <w:left w:val="single" w:color="auto" w:sz="4" w:space="0"/>
              <w:bottom w:val="single" w:color="auto" w:sz="4" w:space="0"/>
              <w:right w:val="single" w:color="auto" w:sz="4" w:space="0"/>
            </w:tcBorders>
            <w:shd w:val="clear" w:color="auto" w:fill="auto"/>
            <w:vAlign w:val="center"/>
          </w:tcPr>
          <w:p w14:paraId="5596FC0A">
            <w:pPr>
              <w:keepNext w:val="0"/>
              <w:keepLines w:val="0"/>
              <w:pageBreakBefore w:val="0"/>
              <w:kinsoku/>
              <w:wordWrap/>
              <w:overflowPunct/>
              <w:topLinePunct w:val="0"/>
              <w:autoSpaceDE/>
              <w:autoSpaceDN/>
              <w:bidi w:val="0"/>
              <w:spacing w:after="0" w:line="0" w:lineRule="atLeast"/>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lang w:bidi="ar"/>
              </w:rPr>
              <w:t>小计</w:t>
            </w:r>
          </w:p>
        </w:tc>
        <w:tc>
          <w:tcPr>
            <w:tcW w:w="1797" w:type="dxa"/>
            <w:tcBorders>
              <w:top w:val="single" w:color="auto" w:sz="4" w:space="0"/>
              <w:left w:val="single" w:color="auto" w:sz="4" w:space="0"/>
              <w:bottom w:val="single" w:color="auto" w:sz="4" w:space="0"/>
              <w:right w:val="single" w:color="auto" w:sz="4" w:space="0"/>
            </w:tcBorders>
            <w:shd w:val="clear" w:color="auto" w:fill="auto"/>
            <w:vAlign w:val="center"/>
          </w:tcPr>
          <w:p w14:paraId="1C4FED1E">
            <w:pPr>
              <w:keepNext w:val="0"/>
              <w:keepLines w:val="0"/>
              <w:pageBreakBefore w:val="0"/>
              <w:kinsoku/>
              <w:wordWrap/>
              <w:overflowPunct/>
              <w:topLinePunct w:val="0"/>
              <w:autoSpaceDE/>
              <w:autoSpaceDN/>
              <w:bidi w:val="0"/>
              <w:spacing w:after="0" w:line="0" w:lineRule="atLeast"/>
              <w:ind w:firstLine="0" w:firstLineChars="0"/>
              <w:jc w:val="center"/>
              <w:rPr>
                <w:rFonts w:ascii="微软雅黑" w:hAnsi="微软雅黑" w:cs="微软雅黑"/>
                <w:color w:val="auto"/>
                <w:kern w:val="0"/>
                <w:szCs w:val="21"/>
                <w:highlight w:val="none"/>
              </w:rPr>
            </w:pPr>
          </w:p>
        </w:tc>
        <w:tc>
          <w:tcPr>
            <w:tcW w:w="5819" w:type="dxa"/>
            <w:tcBorders>
              <w:top w:val="single" w:color="auto" w:sz="4" w:space="0"/>
              <w:left w:val="single" w:color="auto" w:sz="4" w:space="0"/>
              <w:bottom w:val="single" w:color="auto" w:sz="4" w:space="0"/>
              <w:right w:val="single" w:color="auto" w:sz="4" w:space="0"/>
            </w:tcBorders>
            <w:shd w:val="clear" w:color="auto" w:fill="auto"/>
            <w:vAlign w:val="center"/>
          </w:tcPr>
          <w:p w14:paraId="41485770">
            <w:pPr>
              <w:keepNext w:val="0"/>
              <w:keepLines w:val="0"/>
              <w:pageBreakBefore w:val="0"/>
              <w:kinsoku/>
              <w:wordWrap/>
              <w:overflowPunct/>
              <w:topLinePunct w:val="0"/>
              <w:autoSpaceDE/>
              <w:autoSpaceDN/>
              <w:bidi w:val="0"/>
              <w:spacing w:after="0" w:line="0" w:lineRule="atLeast"/>
              <w:ind w:firstLine="0" w:firstLineChars="0"/>
              <w:jc w:val="both"/>
              <w:rPr>
                <w:rFonts w:ascii="微软雅黑" w:hAnsi="微软雅黑" w:cs="微软雅黑"/>
                <w:color w:val="auto"/>
                <w:kern w:val="0"/>
                <w:szCs w:val="21"/>
                <w:highlight w:val="none"/>
              </w:rPr>
            </w:pPr>
          </w:p>
        </w:tc>
        <w:tc>
          <w:tcPr>
            <w:tcW w:w="787" w:type="dxa"/>
            <w:tcBorders>
              <w:top w:val="single" w:color="auto" w:sz="4" w:space="0"/>
              <w:left w:val="single" w:color="auto" w:sz="4" w:space="0"/>
              <w:bottom w:val="single" w:color="auto" w:sz="4" w:space="0"/>
              <w:right w:val="single" w:color="auto" w:sz="4" w:space="0"/>
            </w:tcBorders>
            <w:shd w:val="clear" w:color="auto" w:fill="auto"/>
            <w:vAlign w:val="center"/>
          </w:tcPr>
          <w:p w14:paraId="0F4F3EBB">
            <w:pPr>
              <w:keepNext w:val="0"/>
              <w:keepLines w:val="0"/>
              <w:pageBreakBefore w:val="0"/>
              <w:kinsoku/>
              <w:wordWrap/>
              <w:overflowPunct/>
              <w:topLinePunct w:val="0"/>
              <w:autoSpaceDE/>
              <w:autoSpaceDN/>
              <w:bidi w:val="0"/>
              <w:spacing w:after="0" w:line="0" w:lineRule="atLeast"/>
              <w:ind w:firstLine="0" w:firstLineChars="0"/>
              <w:jc w:val="center"/>
              <w:rPr>
                <w:rFonts w:hint="default" w:ascii="微软雅黑" w:hAnsi="微软雅黑" w:eastAsia="微软雅黑" w:cs="微软雅黑"/>
                <w:color w:val="auto"/>
                <w:kern w:val="0"/>
                <w:szCs w:val="21"/>
                <w:highlight w:val="none"/>
                <w:lang w:val="en-US" w:eastAsia="zh-CN"/>
              </w:rPr>
            </w:pPr>
            <w:r>
              <w:rPr>
                <w:rFonts w:hint="eastAsia" w:ascii="微软雅黑" w:hAnsi="微软雅黑" w:cs="微软雅黑"/>
                <w:color w:val="auto"/>
                <w:kern w:val="0"/>
                <w:szCs w:val="21"/>
                <w:highlight w:val="none"/>
                <w:lang w:val="en-US" w:eastAsia="zh-CN"/>
              </w:rPr>
              <w:t>63</w:t>
            </w:r>
          </w:p>
        </w:tc>
        <w:tc>
          <w:tcPr>
            <w:tcW w:w="787" w:type="dxa"/>
            <w:tcBorders>
              <w:top w:val="single" w:color="auto" w:sz="4" w:space="0"/>
              <w:left w:val="single" w:color="auto" w:sz="4" w:space="0"/>
              <w:bottom w:val="single" w:color="auto" w:sz="4" w:space="0"/>
              <w:right w:val="single" w:color="auto" w:sz="4" w:space="0"/>
            </w:tcBorders>
            <w:shd w:val="clear" w:color="auto" w:fill="auto"/>
            <w:vAlign w:val="center"/>
          </w:tcPr>
          <w:p w14:paraId="6E2633A5">
            <w:pPr>
              <w:keepNext w:val="0"/>
              <w:keepLines w:val="0"/>
              <w:pageBreakBefore w:val="0"/>
              <w:kinsoku/>
              <w:wordWrap/>
              <w:overflowPunct/>
              <w:topLinePunct w:val="0"/>
              <w:autoSpaceDE/>
              <w:autoSpaceDN/>
              <w:bidi w:val="0"/>
              <w:spacing w:after="0" w:line="0" w:lineRule="atLeast"/>
              <w:ind w:firstLine="0" w:firstLineChars="0"/>
              <w:jc w:val="center"/>
              <w:rPr>
                <w:rFonts w:ascii="微软雅黑" w:hAnsi="微软雅黑" w:cs="微软雅黑"/>
                <w:color w:val="auto"/>
                <w:kern w:val="0"/>
                <w:szCs w:val="21"/>
                <w:highlight w:val="none"/>
              </w:rPr>
            </w:pPr>
          </w:p>
        </w:tc>
      </w:tr>
    </w:tbl>
    <w:p w14:paraId="49D4EA8E">
      <w:pPr>
        <w:pStyle w:val="47"/>
        <w:widowControl w:val="0"/>
        <w:spacing w:before="0" w:beforeAutospacing="0" w:after="120" w:afterAutospacing="0"/>
        <w:ind w:firstLine="477" w:firstLineChars="227"/>
        <w:jc w:val="both"/>
        <w:outlineLvl w:val="2"/>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b/>
          <w:bCs/>
          <w:color w:val="auto"/>
          <w:kern w:val="2"/>
          <w:sz w:val="21"/>
          <w:szCs w:val="21"/>
          <w:highlight w:val="none"/>
          <w:lang w:bidi="ar"/>
        </w:rPr>
        <w:t>商务 资信及其他分</w:t>
      </w:r>
    </w:p>
    <w:tbl>
      <w:tblPr>
        <w:tblStyle w:val="52"/>
        <w:tblW w:w="102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9"/>
        <w:gridCol w:w="7734"/>
        <w:gridCol w:w="800"/>
        <w:gridCol w:w="917"/>
      </w:tblGrid>
      <w:tr w14:paraId="75EDFD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2" w:hRule="atLeast"/>
          <w:jc w:val="center"/>
        </w:trPr>
        <w:tc>
          <w:tcPr>
            <w:tcW w:w="809" w:type="dxa"/>
            <w:tcBorders>
              <w:top w:val="single" w:color="auto" w:sz="4" w:space="0"/>
              <w:left w:val="single" w:color="auto" w:sz="4" w:space="0"/>
              <w:bottom w:val="single" w:color="auto" w:sz="4" w:space="0"/>
              <w:right w:val="single" w:color="auto" w:sz="4" w:space="0"/>
            </w:tcBorders>
            <w:shd w:val="clear" w:color="auto" w:fill="auto"/>
            <w:vAlign w:val="center"/>
          </w:tcPr>
          <w:p w14:paraId="083730B1">
            <w:pPr>
              <w:spacing w:after="0" w:line="240" w:lineRule="auto"/>
              <w:ind w:firstLine="0" w:firstLineChars="0"/>
              <w:jc w:val="center"/>
              <w:rPr>
                <w:rFonts w:ascii="微软雅黑" w:hAnsi="微软雅黑" w:cs="微软雅黑"/>
                <w:b/>
                <w:bCs/>
                <w:color w:val="auto"/>
                <w:szCs w:val="21"/>
                <w:highlight w:val="none"/>
              </w:rPr>
            </w:pPr>
            <w:r>
              <w:rPr>
                <w:rFonts w:hint="eastAsia" w:ascii="微软雅黑" w:hAnsi="微软雅黑" w:cs="微软雅黑"/>
                <w:b/>
                <w:bCs/>
                <w:color w:val="auto"/>
                <w:szCs w:val="21"/>
                <w:highlight w:val="none"/>
                <w:lang w:bidi="ar"/>
              </w:rPr>
              <w:t>序号</w:t>
            </w:r>
          </w:p>
        </w:tc>
        <w:tc>
          <w:tcPr>
            <w:tcW w:w="7734" w:type="dxa"/>
            <w:tcBorders>
              <w:top w:val="single" w:color="auto" w:sz="4" w:space="0"/>
              <w:left w:val="single" w:color="auto" w:sz="4" w:space="0"/>
              <w:bottom w:val="single" w:color="auto" w:sz="4" w:space="0"/>
              <w:right w:val="single" w:color="auto" w:sz="4" w:space="0"/>
            </w:tcBorders>
            <w:shd w:val="clear" w:color="auto" w:fill="auto"/>
            <w:vAlign w:val="center"/>
          </w:tcPr>
          <w:p w14:paraId="4853A761">
            <w:pPr>
              <w:spacing w:after="0" w:line="240" w:lineRule="auto"/>
              <w:ind w:firstLine="0" w:firstLineChars="0"/>
              <w:jc w:val="center"/>
              <w:rPr>
                <w:rFonts w:ascii="微软雅黑" w:hAnsi="微软雅黑" w:cs="微软雅黑"/>
                <w:b/>
                <w:bCs/>
                <w:color w:val="auto"/>
                <w:szCs w:val="21"/>
                <w:highlight w:val="none"/>
              </w:rPr>
            </w:pPr>
            <w:r>
              <w:rPr>
                <w:rFonts w:hint="eastAsia" w:ascii="微软雅黑" w:hAnsi="微软雅黑" w:cs="微软雅黑"/>
                <w:b/>
                <w:bCs/>
                <w:color w:val="auto"/>
                <w:szCs w:val="21"/>
                <w:highlight w:val="none"/>
                <w:lang w:bidi="ar"/>
              </w:rPr>
              <w:t>评标要点及说明</w:t>
            </w:r>
          </w:p>
        </w:tc>
        <w:tc>
          <w:tcPr>
            <w:tcW w:w="800" w:type="dxa"/>
            <w:tcBorders>
              <w:top w:val="single" w:color="auto" w:sz="4" w:space="0"/>
              <w:left w:val="single" w:color="auto" w:sz="4" w:space="0"/>
              <w:bottom w:val="single" w:color="auto" w:sz="4" w:space="0"/>
              <w:right w:val="single" w:color="auto" w:sz="4" w:space="0"/>
            </w:tcBorders>
            <w:shd w:val="clear" w:color="auto" w:fill="auto"/>
            <w:vAlign w:val="center"/>
          </w:tcPr>
          <w:p w14:paraId="4C490D1A">
            <w:pPr>
              <w:spacing w:after="0" w:line="240" w:lineRule="auto"/>
              <w:ind w:firstLine="0" w:firstLineChars="0"/>
              <w:jc w:val="center"/>
              <w:rPr>
                <w:rFonts w:ascii="微软雅黑" w:hAnsi="微软雅黑" w:cs="微软雅黑"/>
                <w:b/>
                <w:bCs/>
                <w:color w:val="auto"/>
                <w:szCs w:val="21"/>
                <w:highlight w:val="none"/>
              </w:rPr>
            </w:pPr>
            <w:r>
              <w:rPr>
                <w:rFonts w:hint="eastAsia" w:ascii="微软雅黑" w:hAnsi="微软雅黑" w:cs="微软雅黑"/>
                <w:b/>
                <w:bCs/>
                <w:color w:val="auto"/>
                <w:szCs w:val="21"/>
                <w:highlight w:val="none"/>
                <w:lang w:bidi="ar"/>
              </w:rPr>
              <w:t>最高分值</w:t>
            </w:r>
          </w:p>
        </w:tc>
        <w:tc>
          <w:tcPr>
            <w:tcW w:w="917" w:type="dxa"/>
            <w:tcBorders>
              <w:top w:val="single" w:color="auto" w:sz="4" w:space="0"/>
              <w:left w:val="single" w:color="auto" w:sz="4" w:space="0"/>
              <w:bottom w:val="single" w:color="auto" w:sz="4" w:space="0"/>
              <w:right w:val="single" w:color="auto" w:sz="4" w:space="0"/>
            </w:tcBorders>
            <w:shd w:val="clear" w:color="auto" w:fill="auto"/>
            <w:vAlign w:val="center"/>
          </w:tcPr>
          <w:p w14:paraId="2988889F">
            <w:pPr>
              <w:spacing w:after="0" w:line="240" w:lineRule="auto"/>
              <w:ind w:firstLine="0" w:firstLineChars="0"/>
              <w:jc w:val="center"/>
              <w:rPr>
                <w:rFonts w:ascii="微软雅黑" w:hAnsi="微软雅黑" w:cs="微软雅黑"/>
                <w:b/>
                <w:bCs/>
                <w:color w:val="auto"/>
                <w:szCs w:val="21"/>
                <w:highlight w:val="none"/>
              </w:rPr>
            </w:pPr>
            <w:r>
              <w:rPr>
                <w:rFonts w:hint="eastAsia" w:ascii="微软雅黑" w:hAnsi="微软雅黑" w:cs="微软雅黑"/>
                <w:b/>
                <w:bCs/>
                <w:color w:val="auto"/>
                <w:szCs w:val="21"/>
                <w:highlight w:val="none"/>
                <w:lang w:bidi="ar"/>
              </w:rPr>
              <w:t>分值设置</w:t>
            </w:r>
          </w:p>
        </w:tc>
      </w:tr>
      <w:tr w14:paraId="18C709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4" w:hRule="atLeast"/>
          <w:jc w:val="center"/>
        </w:trPr>
        <w:tc>
          <w:tcPr>
            <w:tcW w:w="809" w:type="dxa"/>
            <w:tcBorders>
              <w:top w:val="single" w:color="auto" w:sz="4" w:space="0"/>
              <w:left w:val="single" w:color="auto" w:sz="4" w:space="0"/>
              <w:bottom w:val="single" w:color="auto" w:sz="4" w:space="0"/>
              <w:right w:val="single" w:color="auto" w:sz="4" w:space="0"/>
            </w:tcBorders>
            <w:shd w:val="clear" w:color="auto" w:fill="auto"/>
            <w:vAlign w:val="center"/>
          </w:tcPr>
          <w:p w14:paraId="46360F5B">
            <w:pPr>
              <w:spacing w:after="0" w:line="240" w:lineRule="auto"/>
              <w:ind w:firstLine="0" w:firstLineChars="0"/>
              <w:jc w:val="center"/>
              <w:rPr>
                <w:rFonts w:hint="eastAsia" w:ascii="微软雅黑" w:hAnsi="微软雅黑" w:eastAsia="微软雅黑" w:cs="微软雅黑"/>
                <w:color w:val="auto"/>
                <w:kern w:val="0"/>
                <w:szCs w:val="21"/>
                <w:highlight w:val="none"/>
                <w:lang w:eastAsia="zh-CN"/>
              </w:rPr>
            </w:pPr>
            <w:r>
              <w:rPr>
                <w:rFonts w:hint="eastAsia" w:ascii="微软雅黑" w:hAnsi="微软雅黑" w:cs="微软雅黑"/>
                <w:color w:val="auto"/>
                <w:kern w:val="0"/>
                <w:szCs w:val="21"/>
                <w:highlight w:val="none"/>
                <w:lang w:val="en-US" w:eastAsia="zh-CN"/>
              </w:rPr>
              <w:t>9</w:t>
            </w:r>
          </w:p>
        </w:tc>
        <w:tc>
          <w:tcPr>
            <w:tcW w:w="7734" w:type="dxa"/>
            <w:tcBorders>
              <w:top w:val="single" w:color="auto" w:sz="4" w:space="0"/>
              <w:left w:val="single" w:color="auto" w:sz="4" w:space="0"/>
              <w:bottom w:val="single" w:color="auto" w:sz="4" w:space="0"/>
              <w:right w:val="single" w:color="auto" w:sz="4" w:space="0"/>
            </w:tcBorders>
            <w:shd w:val="clear" w:color="auto" w:fill="auto"/>
            <w:vAlign w:val="center"/>
          </w:tcPr>
          <w:p w14:paraId="22F7E94E">
            <w:pPr>
              <w:widowControl/>
              <w:spacing w:after="0" w:line="240" w:lineRule="auto"/>
              <w:ind w:firstLine="0" w:firstLineChars="0"/>
              <w:rPr>
                <w:rFonts w:hint="default" w:ascii="微软雅黑" w:hAnsi="微软雅黑" w:cs="微软雅黑"/>
                <w:color w:val="auto"/>
                <w:szCs w:val="21"/>
                <w:highlight w:val="none"/>
                <w:lang w:val="en-US" w:bidi="ar"/>
              </w:rPr>
            </w:pPr>
            <w:r>
              <w:rPr>
                <w:rFonts w:hint="eastAsia" w:ascii="微软雅黑" w:hAnsi="微软雅黑" w:eastAsia="微软雅黑" w:cs="微软雅黑"/>
                <w:color w:val="auto"/>
                <w:kern w:val="0"/>
                <w:sz w:val="21"/>
                <w:szCs w:val="21"/>
                <w:highlight w:val="none"/>
                <w:lang w:val="en-US" w:eastAsia="zh-CN" w:bidi="ar-SA"/>
              </w:rPr>
              <w:t>采购清单的核心产品设备生产商通过ISO质量</w:t>
            </w:r>
            <w:r>
              <w:rPr>
                <w:rFonts w:hint="eastAsia" w:ascii="微软雅黑" w:hAnsi="微软雅黑" w:cs="微软雅黑"/>
                <w:color w:val="auto"/>
                <w:kern w:val="0"/>
                <w:sz w:val="21"/>
                <w:szCs w:val="21"/>
                <w:highlight w:val="none"/>
                <w:lang w:val="en-US" w:eastAsia="zh-CN" w:bidi="ar-SA"/>
              </w:rPr>
              <w:t>管理体系</w:t>
            </w:r>
            <w:r>
              <w:rPr>
                <w:rFonts w:hint="eastAsia" w:ascii="微软雅黑" w:hAnsi="微软雅黑" w:eastAsia="微软雅黑" w:cs="微软雅黑"/>
                <w:color w:val="auto"/>
                <w:kern w:val="0"/>
                <w:sz w:val="21"/>
                <w:szCs w:val="21"/>
                <w:highlight w:val="none"/>
                <w:lang w:val="en-US" w:eastAsia="zh-CN" w:bidi="ar-SA"/>
              </w:rPr>
              <w:t>、职业健康安全</w:t>
            </w:r>
            <w:r>
              <w:rPr>
                <w:rFonts w:hint="eastAsia" w:ascii="微软雅黑" w:hAnsi="微软雅黑" w:cs="微软雅黑"/>
                <w:color w:val="auto"/>
                <w:kern w:val="0"/>
                <w:sz w:val="21"/>
                <w:szCs w:val="21"/>
                <w:highlight w:val="none"/>
                <w:lang w:val="en-US" w:eastAsia="zh-CN" w:bidi="ar-SA"/>
              </w:rPr>
              <w:t>管理体系</w:t>
            </w:r>
            <w:r>
              <w:rPr>
                <w:rFonts w:hint="eastAsia" w:ascii="微软雅黑" w:hAnsi="微软雅黑" w:eastAsia="微软雅黑" w:cs="微软雅黑"/>
                <w:color w:val="auto"/>
                <w:kern w:val="0"/>
                <w:sz w:val="21"/>
                <w:szCs w:val="21"/>
                <w:highlight w:val="none"/>
                <w:lang w:val="en-US" w:eastAsia="zh-CN" w:bidi="ar-SA"/>
              </w:rPr>
              <w:t>、</w:t>
            </w:r>
            <w:r>
              <w:rPr>
                <w:rFonts w:hint="eastAsia" w:ascii="微软雅黑" w:hAnsi="微软雅黑" w:cs="微软雅黑"/>
                <w:color w:val="auto"/>
                <w:kern w:val="0"/>
                <w:sz w:val="21"/>
                <w:szCs w:val="21"/>
                <w:highlight w:val="none"/>
                <w:lang w:val="en-US" w:eastAsia="zh-CN" w:bidi="ar-SA"/>
              </w:rPr>
              <w:t>及</w:t>
            </w:r>
            <w:r>
              <w:rPr>
                <w:rFonts w:hint="eastAsia" w:ascii="微软雅黑" w:hAnsi="微软雅黑" w:eastAsia="微软雅黑" w:cs="微软雅黑"/>
                <w:color w:val="auto"/>
                <w:kern w:val="0"/>
                <w:sz w:val="21"/>
                <w:szCs w:val="21"/>
                <w:highlight w:val="none"/>
                <w:lang w:val="en-US" w:eastAsia="zh-CN" w:bidi="ar-SA"/>
              </w:rPr>
              <w:t>环境管理三体系认证的，得3分，没有的不得分。（以国家市场监督管理总局查询结果为准http://cx.cnca.cn/CertECloud/result/skipResultList）</w:t>
            </w:r>
            <w:r>
              <w:rPr>
                <w:rFonts w:hint="eastAsia" w:ascii="微软雅黑" w:hAnsi="微软雅黑" w:cs="微软雅黑"/>
                <w:color w:val="auto"/>
                <w:kern w:val="0"/>
                <w:sz w:val="21"/>
                <w:szCs w:val="21"/>
                <w:highlight w:val="none"/>
                <w:lang w:val="en-US" w:eastAsia="zh-CN" w:bidi="ar-SA"/>
              </w:rPr>
              <w:t>（证书复印件及</w:t>
            </w:r>
            <w:r>
              <w:rPr>
                <w:rFonts w:hint="eastAsia" w:ascii="微软雅黑" w:hAnsi="微软雅黑" w:eastAsia="微软雅黑" w:cs="微软雅黑"/>
                <w:color w:val="auto"/>
                <w:kern w:val="0"/>
                <w:sz w:val="21"/>
                <w:szCs w:val="21"/>
                <w:highlight w:val="none"/>
                <w:lang w:val="en-US" w:eastAsia="zh-CN" w:bidi="ar-SA"/>
              </w:rPr>
              <w:t>国家市场监督管理总局查询结果</w:t>
            </w:r>
            <w:r>
              <w:rPr>
                <w:rFonts w:hint="eastAsia" w:ascii="微软雅黑" w:hAnsi="微软雅黑" w:cs="微软雅黑"/>
                <w:color w:val="auto"/>
                <w:kern w:val="0"/>
                <w:sz w:val="21"/>
                <w:szCs w:val="21"/>
                <w:highlight w:val="none"/>
                <w:lang w:val="en-US" w:eastAsia="zh-CN" w:bidi="ar-SA"/>
              </w:rPr>
              <w:t>截图做在投标文件中）</w:t>
            </w:r>
          </w:p>
        </w:tc>
        <w:tc>
          <w:tcPr>
            <w:tcW w:w="800" w:type="dxa"/>
            <w:tcBorders>
              <w:top w:val="single" w:color="auto" w:sz="4" w:space="0"/>
              <w:left w:val="single" w:color="auto" w:sz="4" w:space="0"/>
              <w:bottom w:val="single" w:color="auto" w:sz="4" w:space="0"/>
              <w:right w:val="single" w:color="auto" w:sz="4" w:space="0"/>
            </w:tcBorders>
            <w:shd w:val="clear" w:color="auto" w:fill="auto"/>
            <w:vAlign w:val="center"/>
          </w:tcPr>
          <w:p w14:paraId="1BBE279C">
            <w:pPr>
              <w:spacing w:after="0" w:line="240" w:lineRule="auto"/>
              <w:ind w:firstLine="0" w:firstLineChars="0"/>
              <w:jc w:val="center"/>
              <w:rPr>
                <w:rFonts w:ascii="微软雅黑" w:hAnsi="微软雅黑" w:cs="微软雅黑"/>
                <w:color w:val="auto"/>
                <w:kern w:val="0"/>
                <w:szCs w:val="21"/>
                <w:highlight w:val="none"/>
                <w:lang w:bidi="ar"/>
              </w:rPr>
            </w:pPr>
            <w:r>
              <w:rPr>
                <w:rFonts w:hint="eastAsia" w:ascii="微软雅黑" w:hAnsi="微软雅黑" w:cs="微软雅黑"/>
                <w:color w:val="auto"/>
                <w:kern w:val="0"/>
                <w:szCs w:val="21"/>
                <w:highlight w:val="none"/>
                <w:lang w:bidi="ar"/>
              </w:rPr>
              <w:t>3</w:t>
            </w:r>
          </w:p>
        </w:tc>
        <w:tc>
          <w:tcPr>
            <w:tcW w:w="917" w:type="dxa"/>
            <w:tcBorders>
              <w:top w:val="single" w:color="auto" w:sz="4" w:space="0"/>
              <w:left w:val="single" w:color="auto" w:sz="4" w:space="0"/>
              <w:bottom w:val="single" w:color="auto" w:sz="4" w:space="0"/>
              <w:right w:val="single" w:color="auto" w:sz="4" w:space="0"/>
            </w:tcBorders>
            <w:shd w:val="clear" w:color="auto" w:fill="auto"/>
            <w:vAlign w:val="center"/>
          </w:tcPr>
          <w:p w14:paraId="69025014">
            <w:pPr>
              <w:spacing w:after="0" w:line="240" w:lineRule="auto"/>
              <w:ind w:firstLine="0" w:firstLineChars="0"/>
              <w:jc w:val="center"/>
              <w:rPr>
                <w:rFonts w:ascii="微软雅黑" w:hAnsi="微软雅黑" w:cs="微软雅黑"/>
                <w:color w:val="auto"/>
                <w:kern w:val="0"/>
                <w:szCs w:val="21"/>
                <w:highlight w:val="none"/>
                <w:lang w:bidi="ar"/>
              </w:rPr>
            </w:pPr>
            <w:r>
              <w:rPr>
                <w:rFonts w:hint="eastAsia" w:ascii="微软雅黑" w:hAnsi="微软雅黑" w:cs="微软雅黑"/>
                <w:color w:val="auto"/>
                <w:kern w:val="0"/>
                <w:szCs w:val="21"/>
                <w:highlight w:val="none"/>
                <w:lang w:bidi="ar"/>
              </w:rPr>
              <w:t>客观</w:t>
            </w:r>
          </w:p>
        </w:tc>
      </w:tr>
      <w:tr w14:paraId="7F69B5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809" w:type="dxa"/>
            <w:tcBorders>
              <w:top w:val="single" w:color="auto" w:sz="4" w:space="0"/>
              <w:left w:val="single" w:color="auto" w:sz="4" w:space="0"/>
              <w:bottom w:val="single" w:color="auto" w:sz="4" w:space="0"/>
              <w:right w:val="single" w:color="auto" w:sz="4" w:space="0"/>
            </w:tcBorders>
            <w:shd w:val="clear" w:color="auto" w:fill="auto"/>
            <w:vAlign w:val="center"/>
          </w:tcPr>
          <w:p w14:paraId="26BAAB00">
            <w:pPr>
              <w:spacing w:after="0" w:line="240" w:lineRule="auto"/>
              <w:ind w:firstLine="0" w:firstLineChars="0"/>
              <w:jc w:val="center"/>
              <w:rPr>
                <w:rFonts w:hint="default" w:ascii="微软雅黑" w:hAnsi="微软雅黑" w:eastAsia="微软雅黑" w:cs="微软雅黑"/>
                <w:color w:val="auto"/>
                <w:kern w:val="0"/>
                <w:szCs w:val="21"/>
                <w:highlight w:val="none"/>
                <w:lang w:val="en-US" w:eastAsia="zh-CN"/>
              </w:rPr>
            </w:pPr>
            <w:r>
              <w:rPr>
                <w:rFonts w:hint="eastAsia" w:ascii="微软雅黑" w:hAnsi="微软雅黑" w:cs="微软雅黑"/>
                <w:color w:val="auto"/>
                <w:kern w:val="0"/>
                <w:szCs w:val="21"/>
                <w:highlight w:val="none"/>
                <w:lang w:val="en-US" w:eastAsia="zh-CN"/>
              </w:rPr>
              <w:t>10</w:t>
            </w:r>
          </w:p>
        </w:tc>
        <w:tc>
          <w:tcPr>
            <w:tcW w:w="7734" w:type="dxa"/>
            <w:tcBorders>
              <w:top w:val="single" w:color="auto" w:sz="4" w:space="0"/>
              <w:left w:val="single" w:color="auto" w:sz="4" w:space="0"/>
              <w:bottom w:val="single" w:color="auto" w:sz="4" w:space="0"/>
              <w:right w:val="single" w:color="auto" w:sz="4" w:space="0"/>
            </w:tcBorders>
            <w:shd w:val="clear" w:color="auto" w:fill="auto"/>
            <w:vAlign w:val="center"/>
          </w:tcPr>
          <w:p w14:paraId="623EF52A">
            <w:pPr>
              <w:widowControl/>
              <w:spacing w:after="0" w:line="240" w:lineRule="auto"/>
              <w:ind w:firstLine="0" w:firstLineChars="0"/>
              <w:rPr>
                <w:rFonts w:hint="eastAsia" w:ascii="微软雅黑" w:hAnsi="微软雅黑" w:eastAsia="微软雅黑" w:cs="微软雅黑"/>
                <w:color w:val="auto"/>
                <w:kern w:val="0"/>
                <w:sz w:val="21"/>
                <w:szCs w:val="21"/>
                <w:highlight w:val="none"/>
                <w:lang w:val="en-US" w:eastAsia="zh-CN" w:bidi="ar-SA"/>
              </w:rPr>
            </w:pPr>
            <w:r>
              <w:rPr>
                <w:rFonts w:hint="eastAsia" w:ascii="微软雅黑" w:hAnsi="微软雅黑" w:eastAsia="微软雅黑" w:cs="微软雅黑"/>
                <w:color w:val="auto"/>
                <w:kern w:val="0"/>
                <w:sz w:val="21"/>
                <w:szCs w:val="21"/>
                <w:highlight w:val="none"/>
                <w:lang w:val="en-US" w:eastAsia="zh-CN" w:bidi="ar-SA"/>
              </w:rPr>
              <w:t>投标人近三年以来实施同类项目的案例，每提供一个案例得1分，最高得3分。</w:t>
            </w:r>
          </w:p>
        </w:tc>
        <w:tc>
          <w:tcPr>
            <w:tcW w:w="800" w:type="dxa"/>
            <w:tcBorders>
              <w:top w:val="single" w:color="auto" w:sz="4" w:space="0"/>
              <w:left w:val="single" w:color="auto" w:sz="4" w:space="0"/>
              <w:bottom w:val="single" w:color="auto" w:sz="4" w:space="0"/>
              <w:right w:val="single" w:color="auto" w:sz="4" w:space="0"/>
            </w:tcBorders>
            <w:shd w:val="clear" w:color="auto" w:fill="auto"/>
            <w:vAlign w:val="center"/>
          </w:tcPr>
          <w:p w14:paraId="2450481E">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lang w:bidi="ar"/>
              </w:rPr>
              <w:t>3</w:t>
            </w:r>
          </w:p>
        </w:tc>
        <w:tc>
          <w:tcPr>
            <w:tcW w:w="917" w:type="dxa"/>
            <w:tcBorders>
              <w:top w:val="single" w:color="auto" w:sz="4" w:space="0"/>
              <w:left w:val="single" w:color="auto" w:sz="4" w:space="0"/>
              <w:bottom w:val="single" w:color="auto" w:sz="4" w:space="0"/>
              <w:right w:val="single" w:color="auto" w:sz="4" w:space="0"/>
            </w:tcBorders>
            <w:shd w:val="clear" w:color="auto" w:fill="auto"/>
            <w:vAlign w:val="center"/>
          </w:tcPr>
          <w:p w14:paraId="36EB640A">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lang w:bidi="ar"/>
              </w:rPr>
              <w:t>客观</w:t>
            </w:r>
          </w:p>
        </w:tc>
      </w:tr>
      <w:tr w14:paraId="42300F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4" w:hRule="atLeast"/>
          <w:jc w:val="center"/>
        </w:trPr>
        <w:tc>
          <w:tcPr>
            <w:tcW w:w="809" w:type="dxa"/>
            <w:tcBorders>
              <w:top w:val="single" w:color="auto" w:sz="4" w:space="0"/>
              <w:left w:val="single" w:color="auto" w:sz="4" w:space="0"/>
              <w:bottom w:val="single" w:color="auto" w:sz="4" w:space="0"/>
              <w:right w:val="single" w:color="auto" w:sz="4" w:space="0"/>
            </w:tcBorders>
            <w:shd w:val="clear" w:color="auto" w:fill="auto"/>
            <w:vAlign w:val="center"/>
          </w:tcPr>
          <w:p w14:paraId="1572BE26">
            <w:pPr>
              <w:spacing w:after="0" w:line="240" w:lineRule="auto"/>
              <w:ind w:firstLine="0" w:firstLineChars="0"/>
              <w:jc w:val="center"/>
              <w:rPr>
                <w:rFonts w:hint="default" w:ascii="微软雅黑" w:hAnsi="微软雅黑" w:eastAsia="微软雅黑" w:cs="微软雅黑"/>
                <w:color w:val="auto"/>
                <w:kern w:val="0"/>
                <w:szCs w:val="21"/>
                <w:highlight w:val="none"/>
                <w:lang w:val="en-US" w:eastAsia="zh-CN"/>
              </w:rPr>
            </w:pPr>
            <w:r>
              <w:rPr>
                <w:rFonts w:hint="eastAsia" w:ascii="微软雅黑" w:hAnsi="微软雅黑" w:cs="微软雅黑"/>
                <w:color w:val="auto"/>
                <w:szCs w:val="21"/>
                <w:highlight w:val="none"/>
                <w:lang w:val="en-US" w:eastAsia="zh-CN" w:bidi="ar"/>
              </w:rPr>
              <w:t>11</w:t>
            </w:r>
          </w:p>
        </w:tc>
        <w:tc>
          <w:tcPr>
            <w:tcW w:w="7734" w:type="dxa"/>
            <w:tcBorders>
              <w:top w:val="single" w:color="auto" w:sz="4" w:space="0"/>
              <w:left w:val="single" w:color="auto" w:sz="4" w:space="0"/>
              <w:bottom w:val="single" w:color="auto" w:sz="4" w:space="0"/>
              <w:right w:val="single" w:color="auto" w:sz="4" w:space="0"/>
            </w:tcBorders>
            <w:shd w:val="clear" w:color="auto" w:fill="auto"/>
          </w:tcPr>
          <w:p w14:paraId="681F5F73">
            <w:pPr>
              <w:pageBreakBefore w:val="0"/>
              <w:kinsoku/>
              <w:wordWrap/>
              <w:overflowPunct/>
              <w:bidi w:val="0"/>
              <w:snapToGrid w:val="0"/>
              <w:spacing w:line="300" w:lineRule="auto"/>
              <w:ind w:left="0" w:leftChars="0" w:right="0" w:firstLine="0" w:firstLineChars="0"/>
              <w:rPr>
                <w:rFonts w:hint="default" w:ascii="微软雅黑" w:hAnsi="微软雅黑" w:eastAsia="微软雅黑" w:cs="微软雅黑"/>
                <w:color w:val="auto"/>
                <w:kern w:val="0"/>
                <w:sz w:val="21"/>
                <w:szCs w:val="21"/>
                <w:highlight w:val="none"/>
                <w:lang w:val="en-US" w:eastAsia="zh-CN" w:bidi="ar-SA"/>
              </w:rPr>
            </w:pPr>
            <w:r>
              <w:rPr>
                <w:rFonts w:hint="default" w:ascii="微软雅黑" w:hAnsi="微软雅黑" w:eastAsia="微软雅黑" w:cs="微软雅黑"/>
                <w:color w:val="auto"/>
                <w:kern w:val="0"/>
                <w:sz w:val="21"/>
                <w:szCs w:val="21"/>
                <w:highlight w:val="none"/>
                <w:lang w:val="en-US" w:eastAsia="zh-CN" w:bidi="ar-SA"/>
              </w:rPr>
              <w:t>优先采购-产品节能环保</w:t>
            </w:r>
          </w:p>
          <w:p w14:paraId="1C3FF913">
            <w:pPr>
              <w:pageBreakBefore w:val="0"/>
              <w:kinsoku/>
              <w:wordWrap/>
              <w:overflowPunct/>
              <w:bidi w:val="0"/>
              <w:snapToGrid w:val="0"/>
              <w:spacing w:line="300" w:lineRule="auto"/>
              <w:ind w:left="0" w:leftChars="0" w:right="0" w:firstLine="0" w:firstLineChars="0"/>
              <w:rPr>
                <w:rFonts w:hint="default" w:ascii="微软雅黑" w:hAnsi="微软雅黑" w:eastAsia="微软雅黑" w:cs="微软雅黑"/>
                <w:color w:val="auto"/>
                <w:kern w:val="0"/>
                <w:sz w:val="21"/>
                <w:szCs w:val="21"/>
                <w:highlight w:val="none"/>
                <w:lang w:val="en-US" w:eastAsia="zh-CN" w:bidi="ar-SA"/>
              </w:rPr>
            </w:pPr>
            <w:r>
              <w:rPr>
                <w:rFonts w:hint="eastAsia" w:ascii="微软雅黑" w:hAnsi="微软雅黑" w:eastAsia="微软雅黑" w:cs="微软雅黑"/>
                <w:color w:val="auto"/>
                <w:kern w:val="0"/>
                <w:sz w:val="21"/>
                <w:szCs w:val="21"/>
                <w:highlight w:val="none"/>
                <w:lang w:val="en-US" w:eastAsia="zh-CN" w:bidi="ar-SA"/>
              </w:rPr>
              <w:t>属于品目清单（见招标文件附件</w:t>
            </w:r>
            <w:r>
              <w:rPr>
                <w:rFonts w:hint="eastAsia" w:ascii="微软雅黑" w:hAnsi="微软雅黑" w:cs="微软雅黑"/>
                <w:color w:val="auto"/>
                <w:kern w:val="0"/>
                <w:sz w:val="21"/>
                <w:szCs w:val="21"/>
                <w:highlight w:val="none"/>
                <w:lang w:val="en-US" w:eastAsia="zh-CN" w:bidi="ar-SA"/>
              </w:rPr>
              <w:t>（二）</w:t>
            </w:r>
            <w:r>
              <w:rPr>
                <w:rFonts w:hint="eastAsia" w:ascii="微软雅黑" w:hAnsi="微软雅黑" w:eastAsia="微软雅黑" w:cs="微软雅黑"/>
                <w:color w:val="auto"/>
                <w:kern w:val="0"/>
                <w:sz w:val="21"/>
                <w:szCs w:val="21"/>
                <w:highlight w:val="none"/>
                <w:lang w:val="en-US" w:eastAsia="zh-CN" w:bidi="ar-SA"/>
              </w:rPr>
              <w:t>）范围的未标★产品，依据国家确定的认证机构出具的、处于有效期之内的节能产品、环境标志产品认证证书，对获得证书的产品按规定实施政府优先采购。任一投标产品同时具有国家确定的认证机构出具的、处于有效期之内的节能产品、环境标志产品认证证书的得1分，具有其中之一的得0.5分，满分为1分。</w:t>
            </w:r>
          </w:p>
          <w:p w14:paraId="0AAD2653">
            <w:pPr>
              <w:widowControl/>
              <w:spacing w:after="0" w:line="240" w:lineRule="auto"/>
              <w:ind w:firstLine="0" w:firstLineChars="0"/>
              <w:rPr>
                <w:rFonts w:hint="eastAsia" w:ascii="微软雅黑" w:hAnsi="微软雅黑" w:eastAsia="微软雅黑" w:cs="微软雅黑"/>
                <w:color w:val="auto"/>
                <w:kern w:val="0"/>
                <w:sz w:val="21"/>
                <w:szCs w:val="21"/>
                <w:highlight w:val="none"/>
                <w:lang w:val="en-US" w:eastAsia="zh-CN" w:bidi="ar-SA"/>
              </w:rPr>
            </w:pPr>
            <w:r>
              <w:rPr>
                <w:rFonts w:hint="default" w:ascii="微软雅黑" w:hAnsi="微软雅黑" w:eastAsia="微软雅黑" w:cs="微软雅黑"/>
                <w:color w:val="auto"/>
                <w:kern w:val="0"/>
                <w:sz w:val="21"/>
                <w:szCs w:val="21"/>
                <w:highlight w:val="none"/>
                <w:lang w:val="en-US" w:eastAsia="zh-CN" w:bidi="ar-SA"/>
              </w:rPr>
              <w:t>说明：根据投标文件中提供的投标产品的节能产品认证证书</w:t>
            </w:r>
            <w:r>
              <w:rPr>
                <w:rFonts w:hint="eastAsia" w:ascii="微软雅黑" w:hAnsi="微软雅黑" w:cs="微软雅黑"/>
                <w:color w:val="auto"/>
                <w:kern w:val="0"/>
                <w:sz w:val="21"/>
                <w:szCs w:val="21"/>
                <w:highlight w:val="none"/>
                <w:lang w:val="en-US" w:eastAsia="zh-CN" w:bidi="ar-SA"/>
              </w:rPr>
              <w:t>、</w:t>
            </w:r>
            <w:r>
              <w:rPr>
                <w:rFonts w:hint="default" w:ascii="微软雅黑" w:hAnsi="微软雅黑" w:eastAsia="微软雅黑" w:cs="微软雅黑"/>
                <w:color w:val="auto"/>
                <w:kern w:val="0"/>
                <w:sz w:val="21"/>
                <w:szCs w:val="21"/>
                <w:highlight w:val="none"/>
                <w:lang w:val="en-US" w:eastAsia="zh-CN" w:bidi="ar-SA"/>
              </w:rPr>
              <w:t>环境标志产品认证证书进行评分，未提供或不满足以上条件不得分。</w:t>
            </w:r>
          </w:p>
        </w:tc>
        <w:tc>
          <w:tcPr>
            <w:tcW w:w="800" w:type="dxa"/>
            <w:tcBorders>
              <w:top w:val="single" w:color="auto" w:sz="4" w:space="0"/>
              <w:left w:val="single" w:color="auto" w:sz="4" w:space="0"/>
              <w:bottom w:val="single" w:color="auto" w:sz="4" w:space="0"/>
              <w:right w:val="single" w:color="auto" w:sz="4" w:space="0"/>
            </w:tcBorders>
            <w:shd w:val="clear" w:color="auto" w:fill="auto"/>
            <w:vAlign w:val="center"/>
          </w:tcPr>
          <w:p w14:paraId="7AE7FD69">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lang w:bidi="ar"/>
              </w:rPr>
              <w:t>1</w:t>
            </w:r>
          </w:p>
        </w:tc>
        <w:tc>
          <w:tcPr>
            <w:tcW w:w="917" w:type="dxa"/>
            <w:tcBorders>
              <w:top w:val="single" w:color="auto" w:sz="4" w:space="0"/>
              <w:left w:val="single" w:color="auto" w:sz="4" w:space="0"/>
              <w:bottom w:val="single" w:color="auto" w:sz="4" w:space="0"/>
              <w:right w:val="single" w:color="auto" w:sz="4" w:space="0"/>
            </w:tcBorders>
            <w:shd w:val="clear" w:color="auto" w:fill="auto"/>
            <w:vAlign w:val="center"/>
          </w:tcPr>
          <w:p w14:paraId="30F1AABE">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lang w:bidi="ar"/>
              </w:rPr>
              <w:t>客观</w:t>
            </w:r>
          </w:p>
        </w:tc>
      </w:tr>
      <w:tr w14:paraId="033DCB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809" w:type="dxa"/>
            <w:tcBorders>
              <w:top w:val="single" w:color="auto" w:sz="4" w:space="0"/>
              <w:left w:val="single" w:color="auto" w:sz="4" w:space="0"/>
              <w:bottom w:val="single" w:color="auto" w:sz="4" w:space="0"/>
              <w:right w:val="single" w:color="auto" w:sz="4" w:space="0"/>
            </w:tcBorders>
            <w:shd w:val="clear" w:color="auto" w:fill="auto"/>
            <w:vAlign w:val="center"/>
          </w:tcPr>
          <w:p w14:paraId="48D9BCC0">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lang w:bidi="ar"/>
              </w:rPr>
              <w:t>小计</w:t>
            </w:r>
          </w:p>
        </w:tc>
        <w:tc>
          <w:tcPr>
            <w:tcW w:w="7734" w:type="dxa"/>
            <w:tcBorders>
              <w:top w:val="single" w:color="auto" w:sz="4" w:space="0"/>
              <w:left w:val="single" w:color="auto" w:sz="4" w:space="0"/>
              <w:bottom w:val="single" w:color="auto" w:sz="4" w:space="0"/>
              <w:right w:val="single" w:color="auto" w:sz="4" w:space="0"/>
            </w:tcBorders>
            <w:shd w:val="clear" w:color="auto" w:fill="auto"/>
            <w:vAlign w:val="center"/>
          </w:tcPr>
          <w:p w14:paraId="642AF6D4">
            <w:pPr>
              <w:pStyle w:val="47"/>
              <w:widowControl w:val="0"/>
              <w:spacing w:before="0" w:beforeAutospacing="0" w:after="0" w:afterAutospacing="0" w:line="240" w:lineRule="auto"/>
              <w:ind w:firstLine="0" w:firstLineChars="0"/>
              <w:jc w:val="both"/>
              <w:rPr>
                <w:rFonts w:ascii="微软雅黑" w:hAnsi="微软雅黑" w:cs="微软雅黑"/>
                <w:color w:val="auto"/>
                <w:sz w:val="21"/>
                <w:szCs w:val="21"/>
                <w:highlight w:val="none"/>
              </w:rPr>
            </w:pPr>
          </w:p>
        </w:tc>
        <w:tc>
          <w:tcPr>
            <w:tcW w:w="800" w:type="dxa"/>
            <w:tcBorders>
              <w:top w:val="single" w:color="auto" w:sz="4" w:space="0"/>
              <w:left w:val="single" w:color="auto" w:sz="4" w:space="0"/>
              <w:bottom w:val="single" w:color="auto" w:sz="4" w:space="0"/>
              <w:right w:val="single" w:color="auto" w:sz="4" w:space="0"/>
            </w:tcBorders>
            <w:shd w:val="clear" w:color="auto" w:fill="auto"/>
            <w:vAlign w:val="center"/>
          </w:tcPr>
          <w:p w14:paraId="5F4BFE20">
            <w:pPr>
              <w:spacing w:after="0" w:line="240" w:lineRule="auto"/>
              <w:ind w:firstLine="0" w:firstLineChars="0"/>
              <w:jc w:val="center"/>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lang w:bidi="ar"/>
              </w:rPr>
              <w:t>7</w:t>
            </w:r>
          </w:p>
        </w:tc>
        <w:tc>
          <w:tcPr>
            <w:tcW w:w="917" w:type="dxa"/>
            <w:tcBorders>
              <w:top w:val="single" w:color="auto" w:sz="4" w:space="0"/>
              <w:left w:val="single" w:color="auto" w:sz="4" w:space="0"/>
              <w:bottom w:val="single" w:color="auto" w:sz="4" w:space="0"/>
              <w:right w:val="single" w:color="auto" w:sz="4" w:space="0"/>
            </w:tcBorders>
            <w:shd w:val="clear" w:color="auto" w:fill="auto"/>
            <w:vAlign w:val="center"/>
          </w:tcPr>
          <w:p w14:paraId="01610D09">
            <w:pPr>
              <w:spacing w:after="0" w:line="240" w:lineRule="auto"/>
              <w:ind w:firstLine="0" w:firstLineChars="0"/>
              <w:jc w:val="center"/>
              <w:rPr>
                <w:rFonts w:ascii="微软雅黑" w:hAnsi="微软雅黑" w:cs="微软雅黑"/>
                <w:color w:val="auto"/>
                <w:kern w:val="0"/>
                <w:szCs w:val="21"/>
                <w:highlight w:val="none"/>
              </w:rPr>
            </w:pPr>
          </w:p>
        </w:tc>
      </w:tr>
    </w:tbl>
    <w:p w14:paraId="32E5DA86">
      <w:pPr>
        <w:pStyle w:val="2"/>
        <w:numPr>
          <w:ilvl w:val="0"/>
          <w:numId w:val="3"/>
        </w:numPr>
        <w:rPr>
          <w:rStyle w:val="66"/>
          <w:b/>
          <w:bCs/>
          <w:color w:val="auto"/>
          <w:highlight w:val="none"/>
        </w:rPr>
        <w:sectPr>
          <w:footerReference r:id="rId24" w:type="default"/>
          <w:pgSz w:w="11906" w:h="16838"/>
          <w:pgMar w:top="1440" w:right="1800" w:bottom="1440" w:left="1800" w:header="851" w:footer="992" w:gutter="0"/>
          <w:cols w:space="720" w:num="1"/>
          <w:docGrid w:type="lines" w:linePitch="312" w:charSpace="0"/>
        </w:sectPr>
      </w:pPr>
    </w:p>
    <w:p w14:paraId="61A2C1FC">
      <w:pPr>
        <w:pStyle w:val="2"/>
        <w:numPr>
          <w:ilvl w:val="0"/>
          <w:numId w:val="3"/>
        </w:numPr>
        <w:rPr>
          <w:rStyle w:val="66"/>
          <w:b/>
          <w:bCs/>
          <w:color w:val="auto"/>
          <w:highlight w:val="none"/>
        </w:rPr>
      </w:pPr>
      <w:r>
        <w:rPr>
          <w:rStyle w:val="66"/>
          <w:rFonts w:hint="eastAsia"/>
          <w:b/>
          <w:bCs/>
          <w:color w:val="auto"/>
          <w:highlight w:val="none"/>
        </w:rPr>
        <w:t xml:space="preserve">  </w:t>
      </w:r>
      <w:bookmarkStart w:id="169" w:name="_Toc10659"/>
      <w:bookmarkStart w:id="170" w:name="_Toc164943217"/>
      <w:bookmarkStart w:id="171" w:name="_Toc28705"/>
      <w:r>
        <w:rPr>
          <w:rStyle w:val="66"/>
          <w:rFonts w:hint="eastAsia"/>
          <w:b/>
          <w:bCs/>
          <w:color w:val="auto"/>
          <w:highlight w:val="none"/>
        </w:rPr>
        <w:t>嘉兴南湖学院采购合同（指引）</w:t>
      </w:r>
      <w:bookmarkEnd w:id="169"/>
      <w:bookmarkEnd w:id="170"/>
      <w:bookmarkEnd w:id="171"/>
    </w:p>
    <w:p w14:paraId="3BF8C118">
      <w:pPr>
        <w:pStyle w:val="28"/>
        <w:snapToGrid w:val="0"/>
        <w:spacing w:before="120" w:after="120"/>
        <w:ind w:firstLine="420"/>
        <w:rPr>
          <w:rFonts w:ascii="Times New Roman" w:hAnsi="Times New Roman"/>
          <w:color w:val="auto"/>
          <w:szCs w:val="21"/>
          <w:highlight w:val="none"/>
        </w:rPr>
      </w:pPr>
      <w:bookmarkStart w:id="172" w:name="_Hlk111018671"/>
    </w:p>
    <w:p w14:paraId="51147E19">
      <w:pPr>
        <w:pStyle w:val="47"/>
        <w:widowControl w:val="0"/>
        <w:ind w:firstLine="880"/>
        <w:jc w:val="center"/>
        <w:rPr>
          <w:rFonts w:ascii="微软雅黑" w:hAnsi="微软雅黑" w:cs="微软雅黑"/>
          <w:b/>
          <w:bCs/>
          <w:color w:val="auto"/>
          <w:spacing w:val="-20"/>
          <w:kern w:val="44"/>
          <w:sz w:val="48"/>
          <w:szCs w:val="48"/>
          <w:highlight w:val="none"/>
        </w:rPr>
      </w:pPr>
      <w:r>
        <w:rPr>
          <w:rFonts w:hint="eastAsia" w:ascii="微软雅黑" w:hAnsi="微软雅黑" w:cs="微软雅黑"/>
          <w:b/>
          <w:bCs/>
          <w:color w:val="auto"/>
          <w:spacing w:val="-20"/>
          <w:kern w:val="44"/>
          <w:sz w:val="48"/>
          <w:szCs w:val="48"/>
          <w:highlight w:val="none"/>
          <w:lang w:bidi="ar"/>
        </w:rPr>
        <w:t>政府采购货物买卖合同</w:t>
      </w:r>
    </w:p>
    <w:p w14:paraId="1A3670C2">
      <w:pPr>
        <w:pStyle w:val="47"/>
        <w:widowControl w:val="0"/>
        <w:ind w:firstLine="880"/>
        <w:jc w:val="center"/>
        <w:rPr>
          <w:rFonts w:ascii="微软雅黑" w:hAnsi="微软雅黑" w:cs="微软雅黑"/>
          <w:b/>
          <w:bCs/>
          <w:color w:val="auto"/>
          <w:spacing w:val="-20"/>
          <w:kern w:val="44"/>
          <w:sz w:val="48"/>
          <w:szCs w:val="48"/>
          <w:highlight w:val="none"/>
        </w:rPr>
      </w:pPr>
      <w:r>
        <w:rPr>
          <w:rFonts w:hint="eastAsia" w:ascii="微软雅黑" w:hAnsi="微软雅黑" w:cs="微软雅黑"/>
          <w:b/>
          <w:bCs/>
          <w:color w:val="auto"/>
          <w:spacing w:val="-20"/>
          <w:kern w:val="44"/>
          <w:sz w:val="48"/>
          <w:szCs w:val="48"/>
          <w:highlight w:val="none"/>
          <w:lang w:bidi="ar"/>
        </w:rPr>
        <w:t>（试行）</w:t>
      </w:r>
    </w:p>
    <w:p w14:paraId="359076A1">
      <w:pPr>
        <w:ind w:firstLine="720"/>
        <w:rPr>
          <w:rFonts w:ascii="微软雅黑" w:hAnsi="微软雅黑" w:cs="微软雅黑"/>
          <w:b/>
          <w:bCs/>
          <w:color w:val="auto"/>
          <w:spacing w:val="-20"/>
          <w:kern w:val="44"/>
          <w:sz w:val="40"/>
          <w:szCs w:val="40"/>
          <w:highlight w:val="none"/>
        </w:rPr>
      </w:pPr>
    </w:p>
    <w:p w14:paraId="0223C227">
      <w:pPr>
        <w:ind w:firstLine="720"/>
        <w:rPr>
          <w:rFonts w:ascii="微软雅黑" w:hAnsi="微软雅黑" w:cs="微软雅黑"/>
          <w:b/>
          <w:bCs/>
          <w:color w:val="auto"/>
          <w:spacing w:val="-20"/>
          <w:kern w:val="44"/>
          <w:sz w:val="40"/>
          <w:szCs w:val="40"/>
          <w:highlight w:val="none"/>
        </w:rPr>
      </w:pPr>
    </w:p>
    <w:p w14:paraId="30DC0678">
      <w:pPr>
        <w:ind w:firstLine="720"/>
        <w:rPr>
          <w:rFonts w:ascii="微软雅黑" w:hAnsi="微软雅黑" w:cs="微软雅黑"/>
          <w:b/>
          <w:bCs/>
          <w:color w:val="auto"/>
          <w:spacing w:val="-20"/>
          <w:kern w:val="44"/>
          <w:sz w:val="40"/>
          <w:szCs w:val="40"/>
          <w:highlight w:val="none"/>
        </w:rPr>
      </w:pPr>
    </w:p>
    <w:p w14:paraId="03F0FB32">
      <w:pPr>
        <w:ind w:left="420" w:leftChars="200" w:firstLine="640"/>
        <w:rPr>
          <w:rFonts w:ascii="微软雅黑" w:hAnsi="微软雅黑" w:cs="微软雅黑"/>
          <w:color w:val="auto"/>
          <w:sz w:val="32"/>
          <w:szCs w:val="32"/>
          <w:highlight w:val="none"/>
        </w:rPr>
      </w:pPr>
      <w:r>
        <w:rPr>
          <w:rFonts w:hint="eastAsia" w:ascii="微软雅黑" w:hAnsi="微软雅黑" w:cs="微软雅黑"/>
          <w:color w:val="auto"/>
          <w:kern w:val="0"/>
          <w:sz w:val="32"/>
          <w:szCs w:val="32"/>
          <w:highlight w:val="none"/>
          <w:lang w:bidi="ar"/>
        </w:rPr>
        <w:t>项目名称：</w:t>
      </w:r>
      <w:r>
        <w:rPr>
          <w:rFonts w:hint="eastAsia" w:ascii="微软雅黑" w:hAnsi="微软雅黑" w:cs="微软雅黑"/>
          <w:color w:val="auto"/>
          <w:sz w:val="32"/>
          <w:szCs w:val="32"/>
          <w:highlight w:val="none"/>
          <w:u w:val="single"/>
          <w:lang w:bidi="ar"/>
        </w:rPr>
        <w:t xml:space="preserve">                             </w:t>
      </w:r>
    </w:p>
    <w:p w14:paraId="4EE17039">
      <w:pPr>
        <w:ind w:left="420" w:leftChars="200" w:firstLine="640"/>
        <w:rPr>
          <w:rFonts w:ascii="微软雅黑" w:hAnsi="微软雅黑" w:cs="微软雅黑"/>
          <w:color w:val="auto"/>
          <w:sz w:val="32"/>
          <w:szCs w:val="32"/>
          <w:highlight w:val="none"/>
          <w:u w:val="single"/>
        </w:rPr>
      </w:pPr>
      <w:r>
        <w:rPr>
          <w:rFonts w:hint="eastAsia" w:ascii="微软雅黑" w:hAnsi="微软雅黑" w:cs="微软雅黑"/>
          <w:color w:val="auto"/>
          <w:sz w:val="32"/>
          <w:szCs w:val="32"/>
          <w:highlight w:val="none"/>
          <w:lang w:bidi="ar"/>
        </w:rPr>
        <w:t>合同编号：</w:t>
      </w:r>
      <w:r>
        <w:rPr>
          <w:rFonts w:hint="eastAsia" w:ascii="微软雅黑" w:hAnsi="微软雅黑" w:cs="微软雅黑"/>
          <w:color w:val="auto"/>
          <w:sz w:val="32"/>
          <w:szCs w:val="32"/>
          <w:highlight w:val="none"/>
          <w:u w:val="single"/>
          <w:lang w:bidi="ar"/>
        </w:rPr>
        <w:t xml:space="preserve">                             </w:t>
      </w:r>
    </w:p>
    <w:p w14:paraId="399B2A5A">
      <w:pPr>
        <w:ind w:left="420" w:leftChars="200" w:firstLine="640"/>
        <w:rPr>
          <w:rFonts w:ascii="微软雅黑" w:hAnsi="微软雅黑" w:cs="微软雅黑"/>
          <w:color w:val="auto"/>
          <w:sz w:val="32"/>
          <w:szCs w:val="32"/>
          <w:highlight w:val="none"/>
        </w:rPr>
      </w:pPr>
      <w:r>
        <w:rPr>
          <w:rFonts w:hint="eastAsia" w:ascii="微软雅黑" w:hAnsi="微软雅黑" w:cs="微软雅黑"/>
          <w:color w:val="auto"/>
          <w:sz w:val="32"/>
          <w:szCs w:val="32"/>
          <w:highlight w:val="none"/>
          <w:lang w:bidi="ar"/>
        </w:rPr>
        <w:t>甲    方：</w:t>
      </w:r>
      <w:r>
        <w:rPr>
          <w:rFonts w:hint="eastAsia" w:ascii="微软雅黑" w:hAnsi="微软雅黑" w:cs="微软雅黑"/>
          <w:color w:val="auto"/>
          <w:sz w:val="32"/>
          <w:szCs w:val="32"/>
          <w:highlight w:val="none"/>
          <w:u w:val="single"/>
          <w:lang w:bidi="ar"/>
        </w:rPr>
        <w:t xml:space="preserve">                             </w:t>
      </w:r>
    </w:p>
    <w:p w14:paraId="10B48AE7">
      <w:pPr>
        <w:ind w:left="420" w:leftChars="200" w:firstLine="640"/>
        <w:rPr>
          <w:rFonts w:ascii="微软雅黑" w:hAnsi="微软雅黑" w:cs="微软雅黑"/>
          <w:color w:val="auto"/>
          <w:sz w:val="32"/>
          <w:szCs w:val="32"/>
          <w:highlight w:val="none"/>
          <w:u w:val="single"/>
        </w:rPr>
      </w:pPr>
      <w:r>
        <w:rPr>
          <w:rFonts w:hint="eastAsia" w:ascii="微软雅黑" w:hAnsi="微软雅黑" w:cs="微软雅黑"/>
          <w:color w:val="auto"/>
          <w:sz w:val="32"/>
          <w:szCs w:val="32"/>
          <w:highlight w:val="none"/>
          <w:lang w:bidi="ar"/>
        </w:rPr>
        <w:t>乙    方：</w:t>
      </w:r>
      <w:r>
        <w:rPr>
          <w:rFonts w:hint="eastAsia" w:ascii="微软雅黑" w:hAnsi="微软雅黑" w:cs="微软雅黑"/>
          <w:color w:val="auto"/>
          <w:sz w:val="32"/>
          <w:szCs w:val="32"/>
          <w:highlight w:val="none"/>
          <w:u w:val="single"/>
          <w:lang w:bidi="ar"/>
        </w:rPr>
        <w:t xml:space="preserve">                             </w:t>
      </w:r>
    </w:p>
    <w:p w14:paraId="794168FA">
      <w:pPr>
        <w:ind w:left="420" w:leftChars="200" w:firstLine="640"/>
        <w:rPr>
          <w:rFonts w:ascii="微软雅黑" w:hAnsi="微软雅黑" w:cs="微软雅黑"/>
          <w:color w:val="auto"/>
          <w:sz w:val="32"/>
          <w:szCs w:val="32"/>
          <w:highlight w:val="none"/>
        </w:rPr>
      </w:pPr>
      <w:r>
        <w:rPr>
          <w:rFonts w:hint="eastAsia" w:ascii="微软雅黑" w:hAnsi="微软雅黑" w:cs="微软雅黑"/>
          <w:color w:val="auto"/>
          <w:sz w:val="32"/>
          <w:szCs w:val="32"/>
          <w:highlight w:val="none"/>
          <w:lang w:bidi="ar"/>
        </w:rPr>
        <w:t>签订时间：</w:t>
      </w:r>
      <w:r>
        <w:rPr>
          <w:rFonts w:hint="eastAsia" w:ascii="微软雅黑" w:hAnsi="微软雅黑" w:cs="微软雅黑"/>
          <w:color w:val="auto"/>
          <w:sz w:val="32"/>
          <w:szCs w:val="32"/>
          <w:highlight w:val="none"/>
          <w:u w:val="single"/>
          <w:lang w:bidi="ar"/>
        </w:rPr>
        <w:t xml:space="preserve">                             </w:t>
      </w:r>
    </w:p>
    <w:p w14:paraId="5D652D57">
      <w:pPr>
        <w:ind w:firstLine="420"/>
        <w:rPr>
          <w:rFonts w:ascii="微软雅黑" w:hAnsi="微软雅黑" w:cs="微软雅黑"/>
          <w:color w:val="auto"/>
          <w:highlight w:val="none"/>
        </w:rPr>
      </w:pPr>
    </w:p>
    <w:p w14:paraId="0D893973">
      <w:pPr>
        <w:ind w:firstLine="880"/>
        <w:rPr>
          <w:rFonts w:eastAsia="黑体"/>
          <w:color w:val="auto"/>
          <w:sz w:val="44"/>
          <w:szCs w:val="44"/>
          <w:highlight w:val="none"/>
        </w:rPr>
      </w:pPr>
      <w:r>
        <w:rPr>
          <w:rFonts w:hint="eastAsia" w:ascii="华文楷体" w:hAnsi="华文楷体" w:eastAsia="黑体" w:cs="等线 Light"/>
          <w:color w:val="auto"/>
          <w:sz w:val="44"/>
          <w:szCs w:val="44"/>
          <w:highlight w:val="none"/>
          <w:lang w:bidi="ar"/>
        </w:rPr>
        <w:br w:type="page"/>
      </w:r>
    </w:p>
    <w:p w14:paraId="646DB842">
      <w:pPr>
        <w:ind w:firstLine="880"/>
        <w:rPr>
          <w:rFonts w:eastAsia="黑体"/>
          <w:color w:val="auto"/>
          <w:sz w:val="44"/>
          <w:szCs w:val="44"/>
          <w:highlight w:val="none"/>
        </w:rPr>
      </w:pPr>
    </w:p>
    <w:p w14:paraId="6042A0C1">
      <w:pPr>
        <w:ind w:firstLine="880"/>
        <w:rPr>
          <w:rFonts w:eastAsia="黑体"/>
          <w:color w:val="auto"/>
          <w:sz w:val="44"/>
          <w:szCs w:val="44"/>
          <w:highlight w:val="none"/>
        </w:rPr>
      </w:pPr>
    </w:p>
    <w:p w14:paraId="771DF1B7">
      <w:pPr>
        <w:ind w:firstLine="880"/>
        <w:jc w:val="center"/>
        <w:rPr>
          <w:rFonts w:ascii="微软雅黑" w:hAnsi="微软雅黑" w:cs="微软雅黑"/>
          <w:color w:val="auto"/>
          <w:sz w:val="44"/>
          <w:szCs w:val="44"/>
          <w:highlight w:val="none"/>
        </w:rPr>
      </w:pPr>
      <w:r>
        <w:rPr>
          <w:rFonts w:hint="eastAsia" w:ascii="微软雅黑" w:hAnsi="微软雅黑" w:cs="微软雅黑"/>
          <w:color w:val="auto"/>
          <w:sz w:val="44"/>
          <w:szCs w:val="44"/>
          <w:highlight w:val="none"/>
          <w:lang w:bidi="ar"/>
        </w:rPr>
        <w:t>使 用 说 明</w:t>
      </w:r>
    </w:p>
    <w:p w14:paraId="52CEDF02">
      <w:pPr>
        <w:ind w:firstLine="640"/>
        <w:rPr>
          <w:rFonts w:ascii="微软雅黑" w:hAnsi="微软雅黑" w:cs="微软雅黑"/>
          <w:color w:val="auto"/>
          <w:sz w:val="32"/>
          <w:szCs w:val="32"/>
          <w:highlight w:val="none"/>
        </w:rPr>
      </w:pPr>
    </w:p>
    <w:p w14:paraId="654E2E5C">
      <w:pPr>
        <w:ind w:firstLine="640"/>
        <w:rPr>
          <w:rFonts w:ascii="微软雅黑" w:hAnsi="微软雅黑" w:cs="微软雅黑"/>
          <w:color w:val="auto"/>
          <w:sz w:val="32"/>
          <w:szCs w:val="32"/>
          <w:highlight w:val="none"/>
        </w:rPr>
      </w:pPr>
      <w:r>
        <w:rPr>
          <w:rFonts w:hint="eastAsia" w:ascii="微软雅黑" w:hAnsi="微软雅黑" w:cs="微软雅黑"/>
          <w:color w:val="auto"/>
          <w:sz w:val="32"/>
          <w:szCs w:val="32"/>
          <w:highlight w:val="none"/>
          <w:lang w:bidi="ar"/>
        </w:rPr>
        <w:t>1.本合同标准文本适用于购买现成货物的采购项目，不包括需要供应商定制开发、创新研发的货物采购项目。</w:t>
      </w:r>
    </w:p>
    <w:p w14:paraId="03556913">
      <w:pPr>
        <w:ind w:firstLine="880"/>
        <w:rPr>
          <w:rFonts w:ascii="微软雅黑" w:hAnsi="微软雅黑" w:cs="微软雅黑"/>
          <w:color w:val="auto"/>
          <w:sz w:val="44"/>
          <w:szCs w:val="44"/>
          <w:highlight w:val="none"/>
        </w:rPr>
      </w:pPr>
      <w:r>
        <w:rPr>
          <w:rFonts w:hint="eastAsia" w:ascii="微软雅黑" w:hAnsi="微软雅黑" w:cs="微软雅黑"/>
          <w:color w:val="auto"/>
          <w:sz w:val="44"/>
          <w:szCs w:val="44"/>
          <w:highlight w:val="none"/>
          <w:lang w:bidi="ar"/>
        </w:rPr>
        <w:t xml:space="preserve">   </w:t>
      </w:r>
      <w:r>
        <w:rPr>
          <w:rFonts w:hint="eastAsia" w:ascii="微软雅黑" w:hAnsi="微软雅黑" w:cs="微软雅黑"/>
          <w:color w:val="auto"/>
          <w:sz w:val="32"/>
          <w:szCs w:val="32"/>
          <w:highlight w:val="none"/>
          <w:lang w:bidi="ar"/>
        </w:rPr>
        <w:t>2.本合同标准文本为政府采购货物买卖合同编制提供参考，可以结合采购项目具体情况，对文本作必要的调整修订后使用。</w:t>
      </w:r>
    </w:p>
    <w:p w14:paraId="7EACB5B8">
      <w:pPr>
        <w:ind w:firstLine="640"/>
        <w:rPr>
          <w:rFonts w:ascii="微软雅黑" w:hAnsi="微软雅黑" w:cs="微软雅黑"/>
          <w:color w:val="auto"/>
          <w:sz w:val="32"/>
          <w:szCs w:val="32"/>
          <w:highlight w:val="none"/>
        </w:rPr>
      </w:pPr>
      <w:r>
        <w:rPr>
          <w:rFonts w:hint="eastAsia" w:ascii="微软雅黑" w:hAnsi="微软雅黑" w:cs="微软雅黑"/>
          <w:color w:val="auto"/>
          <w:sz w:val="32"/>
          <w:szCs w:val="32"/>
          <w:highlight w:val="none"/>
          <w:lang w:bidi="ar"/>
        </w:rPr>
        <w:t>3.本合同标准文本各条款中，如涉及填写多家供应商、制造商，多种采购标的、分包主要内容等信息的，可根据采购项目具体情况添加信息项。</w:t>
      </w:r>
    </w:p>
    <w:p w14:paraId="62C7364A">
      <w:pPr>
        <w:ind w:firstLine="880"/>
        <w:rPr>
          <w:rFonts w:ascii="微软雅黑" w:hAnsi="微软雅黑" w:cs="微软雅黑"/>
          <w:color w:val="auto"/>
          <w:sz w:val="44"/>
          <w:szCs w:val="44"/>
          <w:highlight w:val="none"/>
          <w:lang w:bidi="ar"/>
        </w:rPr>
        <w:sectPr>
          <w:pgSz w:w="11906" w:h="16838"/>
          <w:pgMar w:top="1440" w:right="1800" w:bottom="1440" w:left="1800" w:header="851" w:footer="992" w:gutter="0"/>
          <w:cols w:space="720" w:num="1"/>
          <w:docGrid w:type="lines" w:linePitch="312" w:charSpace="0"/>
        </w:sectPr>
      </w:pPr>
    </w:p>
    <w:p w14:paraId="02B383C6">
      <w:pPr>
        <w:pStyle w:val="3"/>
        <w:widowControl/>
        <w:spacing w:line="400" w:lineRule="exact"/>
        <w:ind w:firstLine="560"/>
        <w:jc w:val="center"/>
        <w:rPr>
          <w:rFonts w:ascii="微软雅黑" w:hAnsi="微软雅黑" w:cs="微软雅黑"/>
          <w:b w:val="0"/>
          <w:color w:val="auto"/>
          <w:sz w:val="28"/>
          <w:szCs w:val="28"/>
          <w:highlight w:val="none"/>
        </w:rPr>
      </w:pPr>
      <w:bookmarkStart w:id="173" w:name="_Toc22209"/>
      <w:r>
        <w:rPr>
          <w:rFonts w:hint="eastAsia" w:ascii="微软雅黑" w:hAnsi="微软雅黑" w:cs="微软雅黑"/>
          <w:b w:val="0"/>
          <w:color w:val="auto"/>
          <w:sz w:val="28"/>
          <w:szCs w:val="28"/>
          <w:highlight w:val="none"/>
        </w:rPr>
        <w:t>第一节 政府采购合同协议书</w:t>
      </w:r>
      <w:bookmarkEnd w:id="173"/>
    </w:p>
    <w:p w14:paraId="3BD2FE6C">
      <w:pPr>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甲方（全称）：</w:t>
      </w:r>
      <w:r>
        <w:rPr>
          <w:rFonts w:hint="eastAsia" w:ascii="微软雅黑" w:hAnsi="微软雅黑" w:cs="微软雅黑"/>
          <w:color w:val="auto"/>
          <w:szCs w:val="21"/>
          <w:highlight w:val="none"/>
          <w:u w:val="single"/>
          <w:lang w:bidi="ar"/>
        </w:rPr>
        <w:t xml:space="preserve">                       </w:t>
      </w:r>
      <w:r>
        <w:rPr>
          <w:rFonts w:hint="eastAsia" w:ascii="微软雅黑" w:hAnsi="微软雅黑" w:cs="微软雅黑"/>
          <w:color w:val="auto"/>
          <w:szCs w:val="21"/>
          <w:highlight w:val="none"/>
          <w:lang w:bidi="ar"/>
        </w:rPr>
        <w:t>（采购人、受采购人委托签订合同的单位或采购</w:t>
      </w:r>
      <w:r>
        <w:rPr>
          <w:rFonts w:hint="eastAsia" w:ascii="微软雅黑" w:hAnsi="微软雅黑" w:cs="微软雅黑"/>
          <w:color w:val="auto"/>
          <w:szCs w:val="21"/>
          <w:highlight w:val="none"/>
          <w:lang w:bidi="ar"/>
        </w:rPr>
        <w:tab/>
      </w:r>
      <w:r>
        <w:rPr>
          <w:rFonts w:hint="eastAsia" w:ascii="微软雅黑" w:hAnsi="微软雅黑" w:cs="微软雅黑"/>
          <w:color w:val="auto"/>
          <w:szCs w:val="21"/>
          <w:highlight w:val="none"/>
          <w:lang w:bidi="ar"/>
        </w:rPr>
        <w:t xml:space="preserve">                                   文件约定的合同甲方）</w:t>
      </w:r>
    </w:p>
    <w:p w14:paraId="2877579F">
      <w:pPr>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乙方1（全称）：</w:t>
      </w:r>
      <w:r>
        <w:rPr>
          <w:rFonts w:hint="eastAsia" w:ascii="微软雅黑" w:hAnsi="微软雅黑" w:cs="微软雅黑"/>
          <w:color w:val="auto"/>
          <w:szCs w:val="21"/>
          <w:highlight w:val="none"/>
          <w:u w:val="single"/>
          <w:lang w:bidi="ar"/>
        </w:rPr>
        <w:t xml:space="preserve">                       </w:t>
      </w:r>
      <w:r>
        <w:rPr>
          <w:rFonts w:hint="eastAsia" w:ascii="微软雅黑" w:hAnsi="微软雅黑" w:cs="微软雅黑"/>
          <w:color w:val="auto"/>
          <w:szCs w:val="21"/>
          <w:highlight w:val="none"/>
          <w:lang w:bidi="ar"/>
        </w:rPr>
        <w:t>（供应商）</w:t>
      </w:r>
    </w:p>
    <w:p w14:paraId="056925D7">
      <w:pPr>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乙方2（全称）：</w:t>
      </w:r>
      <w:r>
        <w:rPr>
          <w:rFonts w:hint="eastAsia" w:ascii="微软雅黑" w:hAnsi="微软雅黑" w:cs="微软雅黑"/>
          <w:color w:val="auto"/>
          <w:szCs w:val="21"/>
          <w:highlight w:val="none"/>
          <w:u w:val="single"/>
          <w:lang w:bidi="ar"/>
        </w:rPr>
        <w:t xml:space="preserve">                       </w:t>
      </w:r>
      <w:r>
        <w:rPr>
          <w:rFonts w:hint="eastAsia" w:ascii="微软雅黑" w:hAnsi="微软雅黑" w:cs="微软雅黑"/>
          <w:color w:val="auto"/>
          <w:szCs w:val="21"/>
          <w:highlight w:val="none"/>
          <w:lang w:bidi="ar"/>
        </w:rPr>
        <w:t>（联合体成员供应商或其他合同主体）（如有）</w:t>
      </w:r>
    </w:p>
    <w:p w14:paraId="2DDD49A0">
      <w:pPr>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乙方3（全称）</w:t>
      </w:r>
      <w:r>
        <w:rPr>
          <w:rFonts w:hint="eastAsia" w:ascii="微软雅黑" w:hAnsi="微软雅黑" w:cs="微软雅黑"/>
          <w:color w:val="auto"/>
          <w:szCs w:val="21"/>
          <w:highlight w:val="none"/>
          <w:u w:val="single"/>
          <w:lang w:bidi="ar"/>
        </w:rPr>
        <w:t xml:space="preserve">                        </w:t>
      </w:r>
      <w:r>
        <w:rPr>
          <w:rFonts w:hint="eastAsia" w:ascii="微软雅黑" w:hAnsi="微软雅黑" w:cs="微软雅黑"/>
          <w:color w:val="auto"/>
          <w:szCs w:val="21"/>
          <w:highlight w:val="none"/>
          <w:lang w:bidi="ar"/>
        </w:rPr>
        <w:t>（联合体成员供应商或其他合同主体）（如有）</w:t>
      </w:r>
    </w:p>
    <w:p w14:paraId="1D5E5286">
      <w:pPr>
        <w:spacing w:line="400" w:lineRule="exact"/>
        <w:ind w:firstLine="420"/>
        <w:rPr>
          <w:rFonts w:ascii="微软雅黑" w:hAnsi="微软雅黑" w:cs="微软雅黑"/>
          <w:color w:val="auto"/>
          <w:szCs w:val="21"/>
          <w:highlight w:val="none"/>
        </w:rPr>
      </w:pPr>
    </w:p>
    <w:p w14:paraId="46909886">
      <w:pPr>
        <w:pStyle w:val="47"/>
        <w:widowControl w:val="0"/>
        <w:adjustRightInd w:val="0"/>
        <w:snapToGrid w:val="0"/>
        <w:spacing w:line="400" w:lineRule="exact"/>
        <w:ind w:firstLine="404"/>
        <w:jc w:val="both"/>
        <w:rPr>
          <w:rFonts w:ascii="微软雅黑" w:hAnsi="微软雅黑" w:cs="微软雅黑"/>
          <w:color w:val="auto"/>
          <w:sz w:val="21"/>
          <w:szCs w:val="21"/>
          <w:highlight w:val="none"/>
        </w:rPr>
      </w:pPr>
      <w:r>
        <w:rPr>
          <w:rFonts w:hint="eastAsia" w:ascii="微软雅黑" w:hAnsi="微软雅黑" w:cs="微软雅黑"/>
          <w:color w:val="auto"/>
          <w:spacing w:val="-4"/>
          <w:sz w:val="21"/>
          <w:szCs w:val="21"/>
          <w:highlight w:val="none"/>
          <w:lang w:bidi="ar"/>
        </w:rPr>
        <w:t xml:space="preserve">依据《中华人民共和国民法典》、《中华人民共和国政府采购法》等有关的法律法规，以及本采购项目的招标/谈判文件等采购文件、乙方的《投标（响应）文件》及《中标（成交）通知书》，甲乙双方同意签订本合同。具体情况及要求如下：     </w:t>
      </w:r>
    </w:p>
    <w:p w14:paraId="34382F36">
      <w:pPr>
        <w:numPr>
          <w:ilvl w:val="0"/>
          <w:numId w:val="44"/>
        </w:numPr>
        <w:adjustRightInd w:val="0"/>
        <w:snapToGrid w:val="0"/>
        <w:spacing w:line="400" w:lineRule="exact"/>
        <w:ind w:firstLine="420"/>
        <w:rPr>
          <w:rFonts w:ascii="微软雅黑" w:hAnsi="微软雅黑" w:cs="微软雅黑"/>
          <w:b/>
          <w:color w:val="auto"/>
          <w:szCs w:val="21"/>
          <w:highlight w:val="none"/>
        </w:rPr>
      </w:pPr>
      <w:r>
        <w:rPr>
          <w:rFonts w:hint="eastAsia" w:ascii="微软雅黑" w:hAnsi="微软雅黑" w:cs="微软雅黑"/>
          <w:b/>
          <w:color w:val="auto"/>
          <w:szCs w:val="21"/>
          <w:highlight w:val="none"/>
          <w:lang w:bidi="ar"/>
        </w:rPr>
        <w:t>项目信息</w:t>
      </w:r>
    </w:p>
    <w:p w14:paraId="6A77FEFC">
      <w:pPr>
        <w:pStyle w:val="47"/>
        <w:widowControl w:val="0"/>
        <w:numPr>
          <w:ilvl w:val="0"/>
          <w:numId w:val="45"/>
        </w:numPr>
        <w:adjustRightInd w:val="0"/>
        <w:snapToGrid w:val="0"/>
        <w:spacing w:line="400" w:lineRule="exact"/>
        <w:ind w:firstLine="404"/>
        <w:jc w:val="both"/>
        <w:rPr>
          <w:rFonts w:ascii="微软雅黑" w:hAnsi="微软雅黑" w:cs="微软雅黑"/>
          <w:color w:val="auto"/>
          <w:sz w:val="21"/>
          <w:szCs w:val="21"/>
          <w:highlight w:val="none"/>
          <w:u w:val="single"/>
        </w:rPr>
      </w:pPr>
      <w:r>
        <w:rPr>
          <w:rFonts w:hint="eastAsia" w:ascii="微软雅黑" w:hAnsi="微软雅黑" w:cs="微软雅黑"/>
          <w:color w:val="auto"/>
          <w:spacing w:val="-4"/>
          <w:sz w:val="21"/>
          <w:szCs w:val="21"/>
          <w:highlight w:val="none"/>
          <w:lang w:bidi="ar"/>
        </w:rPr>
        <w:t xml:space="preserve">采购项目名称： </w:t>
      </w:r>
      <w:r>
        <w:rPr>
          <w:rFonts w:hint="eastAsia" w:ascii="微软雅黑" w:hAnsi="微软雅黑" w:cs="微软雅黑"/>
          <w:color w:val="auto"/>
          <w:spacing w:val="-4"/>
          <w:sz w:val="21"/>
          <w:szCs w:val="21"/>
          <w:highlight w:val="none"/>
          <w:u w:val="single"/>
          <w:lang w:bidi="ar"/>
        </w:rPr>
        <w:t xml:space="preserve">                                         </w:t>
      </w:r>
    </w:p>
    <w:p w14:paraId="187DF79F">
      <w:pPr>
        <w:pStyle w:val="47"/>
        <w:widowControl w:val="0"/>
        <w:tabs>
          <w:tab w:val="left" w:pos="999"/>
        </w:tabs>
        <w:adjustRightInd w:val="0"/>
        <w:snapToGrid w:val="0"/>
        <w:spacing w:line="400" w:lineRule="exact"/>
        <w:ind w:firstLine="404"/>
        <w:jc w:val="both"/>
        <w:rPr>
          <w:rFonts w:ascii="微软雅黑" w:hAnsi="微软雅黑" w:cs="微软雅黑"/>
          <w:color w:val="auto"/>
          <w:sz w:val="21"/>
          <w:szCs w:val="21"/>
          <w:highlight w:val="none"/>
        </w:rPr>
      </w:pPr>
      <w:r>
        <w:rPr>
          <w:rFonts w:hint="eastAsia" w:ascii="微软雅黑" w:hAnsi="微软雅黑" w:cs="微软雅黑"/>
          <w:color w:val="auto"/>
          <w:spacing w:val="-4"/>
          <w:sz w:val="21"/>
          <w:szCs w:val="21"/>
          <w:highlight w:val="none"/>
          <w:lang w:bidi="ar"/>
        </w:rPr>
        <w:t xml:space="preserve">         采购项目编号：</w:t>
      </w:r>
      <w:r>
        <w:rPr>
          <w:rFonts w:hint="eastAsia" w:ascii="微软雅黑" w:hAnsi="微软雅黑" w:cs="微软雅黑"/>
          <w:color w:val="auto"/>
          <w:spacing w:val="-4"/>
          <w:sz w:val="21"/>
          <w:szCs w:val="21"/>
          <w:highlight w:val="none"/>
          <w:u w:val="single"/>
          <w:lang w:bidi="ar"/>
        </w:rPr>
        <w:t xml:space="preserve">                                          </w:t>
      </w:r>
    </w:p>
    <w:p w14:paraId="33913BB8">
      <w:pPr>
        <w:pStyle w:val="47"/>
        <w:widowControl w:val="0"/>
        <w:adjustRightInd w:val="0"/>
        <w:snapToGrid w:val="0"/>
        <w:spacing w:line="400" w:lineRule="exact"/>
        <w:ind w:firstLine="404"/>
        <w:jc w:val="both"/>
        <w:rPr>
          <w:rFonts w:ascii="微软雅黑" w:hAnsi="微软雅黑" w:cs="微软雅黑"/>
          <w:color w:val="auto"/>
          <w:sz w:val="21"/>
          <w:szCs w:val="21"/>
          <w:highlight w:val="none"/>
        </w:rPr>
      </w:pPr>
      <w:r>
        <w:rPr>
          <w:rFonts w:hint="eastAsia" w:ascii="微软雅黑" w:hAnsi="微软雅黑" w:cs="微软雅黑"/>
          <w:color w:val="auto"/>
          <w:spacing w:val="-4"/>
          <w:sz w:val="21"/>
          <w:szCs w:val="21"/>
          <w:highlight w:val="none"/>
          <w:lang w:bidi="ar"/>
        </w:rPr>
        <w:t>（2）采购计划编号：</w:t>
      </w:r>
      <w:r>
        <w:rPr>
          <w:rFonts w:hint="eastAsia" w:ascii="微软雅黑" w:hAnsi="微软雅黑" w:cs="微软雅黑"/>
          <w:color w:val="auto"/>
          <w:spacing w:val="-4"/>
          <w:sz w:val="21"/>
          <w:szCs w:val="21"/>
          <w:highlight w:val="none"/>
          <w:u w:val="single"/>
          <w:lang w:bidi="ar"/>
        </w:rPr>
        <w:t xml:space="preserve">                                          </w:t>
      </w:r>
      <w:r>
        <w:rPr>
          <w:rFonts w:hint="eastAsia" w:ascii="微软雅黑" w:hAnsi="微软雅黑" w:cs="微软雅黑"/>
          <w:color w:val="auto"/>
          <w:spacing w:val="-4"/>
          <w:sz w:val="21"/>
          <w:szCs w:val="21"/>
          <w:highlight w:val="none"/>
          <w:lang w:bidi="ar"/>
        </w:rPr>
        <w:t xml:space="preserve"> </w:t>
      </w:r>
    </w:p>
    <w:p w14:paraId="65ACDB15">
      <w:pPr>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（3）项目内容：</w:t>
      </w:r>
    </w:p>
    <w:p w14:paraId="335D9B48">
      <w:pPr>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 xml:space="preserve">     采购标的及数量（台/套/个/架/组等）：</w:t>
      </w:r>
      <w:r>
        <w:rPr>
          <w:rFonts w:hint="eastAsia" w:ascii="微软雅黑" w:hAnsi="微软雅黑" w:cs="微软雅黑"/>
          <w:color w:val="auto"/>
          <w:szCs w:val="21"/>
          <w:highlight w:val="none"/>
          <w:u w:val="single"/>
          <w:lang w:bidi="ar"/>
        </w:rPr>
        <w:t xml:space="preserve">                       </w:t>
      </w:r>
      <w:r>
        <w:rPr>
          <w:rFonts w:hint="eastAsia" w:ascii="微软雅黑" w:hAnsi="微软雅黑" w:cs="微软雅黑"/>
          <w:color w:val="auto"/>
          <w:szCs w:val="21"/>
          <w:highlight w:val="none"/>
          <w:lang w:bidi="ar"/>
        </w:rPr>
        <w:t xml:space="preserve">   </w:t>
      </w:r>
    </w:p>
    <w:p w14:paraId="291AED27">
      <w:pPr>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 xml:space="preserve">     品牌：</w:t>
      </w:r>
      <w:r>
        <w:rPr>
          <w:rFonts w:hint="eastAsia" w:ascii="微软雅黑" w:hAnsi="微软雅黑" w:cs="微软雅黑"/>
          <w:color w:val="auto"/>
          <w:szCs w:val="21"/>
          <w:highlight w:val="none"/>
          <w:u w:val="single"/>
          <w:lang w:bidi="ar"/>
        </w:rPr>
        <w:t xml:space="preserve">               </w:t>
      </w:r>
      <w:r>
        <w:rPr>
          <w:rFonts w:hint="eastAsia" w:ascii="微软雅黑" w:hAnsi="微软雅黑" w:cs="微软雅黑"/>
          <w:color w:val="auto"/>
          <w:szCs w:val="21"/>
          <w:highlight w:val="none"/>
          <w:lang w:bidi="ar"/>
        </w:rPr>
        <w:t xml:space="preserve">     规格型号：</w:t>
      </w:r>
      <w:r>
        <w:rPr>
          <w:rFonts w:hint="eastAsia" w:ascii="微软雅黑" w:hAnsi="微软雅黑" w:cs="微软雅黑"/>
          <w:color w:val="auto"/>
          <w:szCs w:val="21"/>
          <w:highlight w:val="none"/>
          <w:u w:val="single"/>
          <w:lang w:bidi="ar"/>
        </w:rPr>
        <w:t xml:space="preserve">               </w:t>
      </w:r>
    </w:p>
    <w:p w14:paraId="0908BC66">
      <w:pPr>
        <w:adjustRightInd w:val="0"/>
        <w:snapToGrid w:val="0"/>
        <w:spacing w:line="400" w:lineRule="exact"/>
        <w:ind w:firstLine="945" w:firstLineChars="450"/>
        <w:rPr>
          <w:rFonts w:ascii="微软雅黑" w:hAnsi="微软雅黑" w:cs="微软雅黑"/>
          <w:color w:val="auto"/>
          <w:szCs w:val="21"/>
          <w:highlight w:val="none"/>
          <w:u w:val="single"/>
        </w:rPr>
      </w:pPr>
      <w:r>
        <w:rPr>
          <w:rFonts w:hint="eastAsia" w:ascii="微软雅黑" w:hAnsi="微软雅黑" w:cs="微软雅黑"/>
          <w:color w:val="auto"/>
          <w:szCs w:val="21"/>
          <w:highlight w:val="none"/>
          <w:lang w:bidi="ar"/>
        </w:rPr>
        <w:t>采购标的的技术要求、商务要求具体见附件。</w:t>
      </w:r>
    </w:p>
    <w:p w14:paraId="2F30569E">
      <w:pPr>
        <w:adjustRightInd w:val="0"/>
        <w:snapToGrid w:val="0"/>
        <w:spacing w:line="400" w:lineRule="exact"/>
        <w:ind w:firstLine="945" w:firstLineChars="45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①涉及信息类产品，请填写该产品关键部件的品牌、型号：</w:t>
      </w:r>
    </w:p>
    <w:p w14:paraId="6C77C2C3">
      <w:pPr>
        <w:adjustRightInd w:val="0"/>
        <w:snapToGrid w:val="0"/>
        <w:spacing w:line="400" w:lineRule="exact"/>
        <w:ind w:firstLine="420"/>
        <w:rPr>
          <w:rFonts w:ascii="微软雅黑" w:hAnsi="微软雅黑" w:cs="微软雅黑"/>
          <w:color w:val="auto"/>
          <w:kern w:val="0"/>
          <w:szCs w:val="21"/>
          <w:highlight w:val="none"/>
          <w:u w:val="single"/>
        </w:rPr>
      </w:pPr>
      <w:r>
        <w:rPr>
          <w:rFonts w:hint="eastAsia" w:ascii="微软雅黑" w:hAnsi="微软雅黑" w:cs="微软雅黑"/>
          <w:color w:val="auto"/>
          <w:szCs w:val="21"/>
          <w:highlight w:val="none"/>
          <w:lang w:bidi="ar"/>
        </w:rPr>
        <w:t xml:space="preserve">     标的名称：</w:t>
      </w:r>
      <w:r>
        <w:rPr>
          <w:rFonts w:hint="eastAsia" w:ascii="微软雅黑" w:hAnsi="微软雅黑" w:cs="微软雅黑"/>
          <w:color w:val="auto"/>
          <w:kern w:val="0"/>
          <w:szCs w:val="21"/>
          <w:highlight w:val="none"/>
          <w:u w:val="single"/>
          <w:lang w:bidi="ar"/>
        </w:rPr>
        <w:t xml:space="preserve">                         </w:t>
      </w:r>
    </w:p>
    <w:p w14:paraId="4977AB19">
      <w:pPr>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 xml:space="preserve">     关键部件：</w:t>
      </w:r>
      <w:r>
        <w:rPr>
          <w:rFonts w:hint="eastAsia" w:ascii="微软雅黑" w:hAnsi="微软雅黑" w:cs="微软雅黑"/>
          <w:color w:val="auto"/>
          <w:kern w:val="0"/>
          <w:szCs w:val="21"/>
          <w:highlight w:val="none"/>
          <w:u w:val="single"/>
          <w:lang w:bidi="ar"/>
        </w:rPr>
        <w:t xml:space="preserve">          </w:t>
      </w:r>
      <w:r>
        <w:rPr>
          <w:rFonts w:hint="eastAsia" w:ascii="微软雅黑" w:hAnsi="微软雅黑" w:cs="微软雅黑"/>
          <w:color w:val="auto"/>
          <w:kern w:val="0"/>
          <w:szCs w:val="21"/>
          <w:highlight w:val="none"/>
          <w:lang w:bidi="ar"/>
        </w:rPr>
        <w:t xml:space="preserve"> </w:t>
      </w:r>
      <w:r>
        <w:rPr>
          <w:rFonts w:hint="eastAsia" w:ascii="微软雅黑" w:hAnsi="微软雅黑" w:cs="微软雅黑"/>
          <w:color w:val="auto"/>
          <w:szCs w:val="21"/>
          <w:highlight w:val="none"/>
          <w:lang w:bidi="ar"/>
        </w:rPr>
        <w:t>品牌：</w:t>
      </w:r>
      <w:r>
        <w:rPr>
          <w:rFonts w:hint="eastAsia" w:ascii="微软雅黑" w:hAnsi="微软雅黑" w:cs="微软雅黑"/>
          <w:color w:val="auto"/>
          <w:szCs w:val="21"/>
          <w:highlight w:val="none"/>
          <w:u w:val="single"/>
          <w:lang w:bidi="ar"/>
        </w:rPr>
        <w:t xml:space="preserve">        </w:t>
      </w:r>
      <w:r>
        <w:rPr>
          <w:rFonts w:hint="eastAsia" w:ascii="微软雅黑" w:hAnsi="微软雅黑" w:cs="微软雅黑"/>
          <w:color w:val="auto"/>
          <w:szCs w:val="21"/>
          <w:highlight w:val="none"/>
          <w:lang w:bidi="ar"/>
        </w:rPr>
        <w:t xml:space="preserve"> 型号：</w:t>
      </w:r>
      <w:r>
        <w:rPr>
          <w:rFonts w:hint="eastAsia" w:ascii="微软雅黑" w:hAnsi="微软雅黑" w:cs="微软雅黑"/>
          <w:color w:val="auto"/>
          <w:szCs w:val="21"/>
          <w:highlight w:val="none"/>
          <w:u w:val="single"/>
          <w:lang w:bidi="ar"/>
        </w:rPr>
        <w:t xml:space="preserve">       </w:t>
      </w:r>
      <w:r>
        <w:rPr>
          <w:rFonts w:hint="eastAsia" w:ascii="微软雅黑" w:hAnsi="微软雅黑" w:cs="微软雅黑"/>
          <w:color w:val="auto"/>
          <w:szCs w:val="21"/>
          <w:highlight w:val="none"/>
          <w:lang w:bidi="ar"/>
        </w:rPr>
        <w:t xml:space="preserve"> </w:t>
      </w:r>
    </w:p>
    <w:p w14:paraId="0EEBCC74">
      <w:pPr>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 xml:space="preserve">     关键部件：</w:t>
      </w:r>
      <w:r>
        <w:rPr>
          <w:rFonts w:hint="eastAsia" w:ascii="微软雅黑" w:hAnsi="微软雅黑" w:cs="微软雅黑"/>
          <w:color w:val="auto"/>
          <w:kern w:val="0"/>
          <w:szCs w:val="21"/>
          <w:highlight w:val="none"/>
          <w:u w:val="single"/>
          <w:lang w:bidi="ar"/>
        </w:rPr>
        <w:t xml:space="preserve">          </w:t>
      </w:r>
      <w:r>
        <w:rPr>
          <w:rFonts w:hint="eastAsia" w:ascii="微软雅黑" w:hAnsi="微软雅黑" w:cs="微软雅黑"/>
          <w:color w:val="auto"/>
          <w:kern w:val="0"/>
          <w:szCs w:val="21"/>
          <w:highlight w:val="none"/>
          <w:lang w:bidi="ar"/>
        </w:rPr>
        <w:t xml:space="preserve"> </w:t>
      </w:r>
      <w:r>
        <w:rPr>
          <w:rFonts w:hint="eastAsia" w:ascii="微软雅黑" w:hAnsi="微软雅黑" w:cs="微软雅黑"/>
          <w:color w:val="auto"/>
          <w:szCs w:val="21"/>
          <w:highlight w:val="none"/>
          <w:lang w:bidi="ar"/>
        </w:rPr>
        <w:t>品牌：</w:t>
      </w:r>
      <w:r>
        <w:rPr>
          <w:rFonts w:hint="eastAsia" w:ascii="微软雅黑" w:hAnsi="微软雅黑" w:cs="微软雅黑"/>
          <w:color w:val="auto"/>
          <w:szCs w:val="21"/>
          <w:highlight w:val="none"/>
          <w:u w:val="single"/>
          <w:lang w:bidi="ar"/>
        </w:rPr>
        <w:t xml:space="preserve">        </w:t>
      </w:r>
      <w:r>
        <w:rPr>
          <w:rFonts w:hint="eastAsia" w:ascii="微软雅黑" w:hAnsi="微软雅黑" w:cs="微软雅黑"/>
          <w:color w:val="auto"/>
          <w:szCs w:val="21"/>
          <w:highlight w:val="none"/>
          <w:lang w:bidi="ar"/>
        </w:rPr>
        <w:t xml:space="preserve"> 型号：</w:t>
      </w:r>
      <w:r>
        <w:rPr>
          <w:rFonts w:hint="eastAsia" w:ascii="微软雅黑" w:hAnsi="微软雅黑" w:cs="微软雅黑"/>
          <w:color w:val="auto"/>
          <w:szCs w:val="21"/>
          <w:highlight w:val="none"/>
          <w:u w:val="single"/>
          <w:lang w:bidi="ar"/>
        </w:rPr>
        <w:t xml:space="preserve">       </w:t>
      </w:r>
      <w:r>
        <w:rPr>
          <w:rFonts w:hint="eastAsia" w:ascii="微软雅黑" w:hAnsi="微软雅黑" w:cs="微软雅黑"/>
          <w:color w:val="auto"/>
          <w:szCs w:val="21"/>
          <w:highlight w:val="none"/>
          <w:lang w:bidi="ar"/>
        </w:rPr>
        <w:t xml:space="preserve"> </w:t>
      </w:r>
    </w:p>
    <w:p w14:paraId="070F46FA">
      <w:pPr>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 xml:space="preserve">     关键部件：</w:t>
      </w:r>
      <w:r>
        <w:rPr>
          <w:rFonts w:hint="eastAsia" w:ascii="微软雅黑" w:hAnsi="微软雅黑" w:cs="微软雅黑"/>
          <w:color w:val="auto"/>
          <w:kern w:val="0"/>
          <w:szCs w:val="21"/>
          <w:highlight w:val="none"/>
          <w:u w:val="single"/>
          <w:lang w:bidi="ar"/>
        </w:rPr>
        <w:t xml:space="preserve">          </w:t>
      </w:r>
      <w:r>
        <w:rPr>
          <w:rFonts w:hint="eastAsia" w:ascii="微软雅黑" w:hAnsi="微软雅黑" w:cs="微软雅黑"/>
          <w:color w:val="auto"/>
          <w:kern w:val="0"/>
          <w:szCs w:val="21"/>
          <w:highlight w:val="none"/>
          <w:lang w:bidi="ar"/>
        </w:rPr>
        <w:t xml:space="preserve"> </w:t>
      </w:r>
      <w:r>
        <w:rPr>
          <w:rFonts w:hint="eastAsia" w:ascii="微软雅黑" w:hAnsi="微软雅黑" w:cs="微软雅黑"/>
          <w:color w:val="auto"/>
          <w:szCs w:val="21"/>
          <w:highlight w:val="none"/>
          <w:lang w:bidi="ar"/>
        </w:rPr>
        <w:t>品牌：</w:t>
      </w:r>
      <w:r>
        <w:rPr>
          <w:rFonts w:hint="eastAsia" w:ascii="微软雅黑" w:hAnsi="微软雅黑" w:cs="微软雅黑"/>
          <w:color w:val="auto"/>
          <w:szCs w:val="21"/>
          <w:highlight w:val="none"/>
          <w:u w:val="single"/>
          <w:lang w:bidi="ar"/>
        </w:rPr>
        <w:t xml:space="preserve">        </w:t>
      </w:r>
      <w:r>
        <w:rPr>
          <w:rFonts w:hint="eastAsia" w:ascii="微软雅黑" w:hAnsi="微软雅黑" w:cs="微软雅黑"/>
          <w:color w:val="auto"/>
          <w:szCs w:val="21"/>
          <w:highlight w:val="none"/>
          <w:lang w:bidi="ar"/>
        </w:rPr>
        <w:t xml:space="preserve"> 型号：</w:t>
      </w:r>
      <w:r>
        <w:rPr>
          <w:rFonts w:hint="eastAsia" w:ascii="微软雅黑" w:hAnsi="微软雅黑" w:cs="微软雅黑"/>
          <w:color w:val="auto"/>
          <w:szCs w:val="21"/>
          <w:highlight w:val="none"/>
          <w:u w:val="single"/>
          <w:lang w:bidi="ar"/>
        </w:rPr>
        <w:t xml:space="preserve">       </w:t>
      </w:r>
      <w:r>
        <w:rPr>
          <w:rFonts w:hint="eastAsia" w:ascii="微软雅黑" w:hAnsi="微软雅黑" w:cs="微软雅黑"/>
          <w:color w:val="auto"/>
          <w:szCs w:val="21"/>
          <w:highlight w:val="none"/>
          <w:lang w:bidi="ar"/>
        </w:rPr>
        <w:t xml:space="preserve"> </w:t>
      </w:r>
    </w:p>
    <w:p w14:paraId="70228736">
      <w:pPr>
        <w:pStyle w:val="307"/>
        <w:snapToGrid w:val="0"/>
        <w:ind w:firstLine="0" w:firstLineChars="0"/>
        <w:rPr>
          <w:rFonts w:ascii="微软雅黑" w:hAnsi="微软雅黑" w:eastAsia="微软雅黑" w:cs="微软雅黑"/>
          <w:color w:val="auto"/>
          <w:sz w:val="21"/>
          <w:highlight w:val="none"/>
        </w:rPr>
      </w:pPr>
      <w:r>
        <w:rPr>
          <w:rFonts w:hint="eastAsia" w:ascii="微软雅黑" w:hAnsi="微软雅黑" w:eastAsia="微软雅黑" w:cs="微软雅黑"/>
          <w:color w:val="auto"/>
          <w:sz w:val="21"/>
          <w:highlight w:val="none"/>
        </w:rPr>
        <w:t xml:space="preserve">   （注：关键部件是指财政部会同有关部门发布的政府采购需求标准规定的需要通过国家有关部门指定的测评机构开展的安全可靠测评的软硬件，如CPU芯片、操作系统、数据库等。）</w:t>
      </w:r>
    </w:p>
    <w:p w14:paraId="77AA0AC4">
      <w:pPr>
        <w:pStyle w:val="307"/>
        <w:snapToGrid w:val="0"/>
        <w:ind w:firstLine="0" w:firstLineChars="0"/>
        <w:rPr>
          <w:rFonts w:ascii="微软雅黑" w:hAnsi="微软雅黑" w:eastAsia="微软雅黑" w:cs="微软雅黑"/>
          <w:color w:val="auto"/>
          <w:sz w:val="21"/>
          <w:highlight w:val="none"/>
        </w:rPr>
      </w:pPr>
      <w:r>
        <w:rPr>
          <w:rFonts w:hint="eastAsia" w:ascii="微软雅黑" w:hAnsi="微软雅黑" w:eastAsia="微软雅黑" w:cs="微软雅黑"/>
          <w:color w:val="auto"/>
          <w:sz w:val="21"/>
          <w:highlight w:val="none"/>
        </w:rPr>
        <w:t xml:space="preserve">         ②涉及车辆采购，请填写是否属于新能源汽车：</w:t>
      </w:r>
    </w:p>
    <w:p w14:paraId="516BEDA0">
      <w:pPr>
        <w:pStyle w:val="307"/>
        <w:snapToGrid w:val="0"/>
        <w:ind w:firstLine="0" w:firstLineChars="0"/>
        <w:rPr>
          <w:rFonts w:ascii="微软雅黑" w:hAnsi="微软雅黑" w:eastAsia="微软雅黑" w:cs="微软雅黑"/>
          <w:color w:val="auto"/>
          <w:sz w:val="21"/>
          <w:highlight w:val="none"/>
        </w:rPr>
      </w:pPr>
      <w:r>
        <w:rPr>
          <w:rFonts w:hint="eastAsia" w:ascii="微软雅黑" w:hAnsi="微软雅黑" w:eastAsia="微软雅黑" w:cs="微软雅黑"/>
          <w:color w:val="auto"/>
          <w:sz w:val="21"/>
          <w:highlight w:val="none"/>
        </w:rPr>
        <w:t xml:space="preserve">         </w:t>
      </w:r>
      <w:r>
        <w:rPr>
          <w:rFonts w:hint="eastAsia" w:ascii="微软雅黑" w:hAnsi="微软雅黑" w:eastAsia="微软雅黑" w:cs="微软雅黑"/>
          <w:color w:val="auto"/>
          <w:sz w:val="21"/>
          <w:highlight w:val="none"/>
        </w:rPr>
        <w:sym w:font="Wingdings" w:char="00A8"/>
      </w:r>
      <w:r>
        <w:rPr>
          <w:rFonts w:hint="eastAsia" w:ascii="微软雅黑" w:hAnsi="微软雅黑" w:eastAsia="微软雅黑" w:cs="微软雅黑"/>
          <w:color w:val="auto"/>
          <w:sz w:val="21"/>
          <w:highlight w:val="none"/>
        </w:rPr>
        <w:t>是，《政府采购品目分类目录》底级品目名称：</w:t>
      </w:r>
      <w:r>
        <w:rPr>
          <w:rFonts w:hint="eastAsia" w:ascii="微软雅黑" w:hAnsi="微软雅黑" w:eastAsia="微软雅黑" w:cs="微软雅黑"/>
          <w:color w:val="auto"/>
          <w:sz w:val="21"/>
          <w:highlight w:val="none"/>
          <w:u w:val="single"/>
        </w:rPr>
        <w:t xml:space="preserve">     </w:t>
      </w:r>
      <w:r>
        <w:rPr>
          <w:rFonts w:hint="eastAsia" w:ascii="微软雅黑" w:hAnsi="微软雅黑" w:eastAsia="微软雅黑" w:cs="微软雅黑"/>
          <w:color w:val="auto"/>
          <w:sz w:val="21"/>
          <w:highlight w:val="none"/>
        </w:rPr>
        <w:t xml:space="preserve"> 数量：</w:t>
      </w:r>
      <w:r>
        <w:rPr>
          <w:rFonts w:hint="eastAsia" w:ascii="微软雅黑" w:hAnsi="微软雅黑" w:eastAsia="微软雅黑" w:cs="微软雅黑"/>
          <w:color w:val="auto"/>
          <w:sz w:val="21"/>
          <w:highlight w:val="none"/>
          <w:u w:val="single"/>
        </w:rPr>
        <w:t xml:space="preserve">    </w:t>
      </w:r>
      <w:r>
        <w:rPr>
          <w:rFonts w:hint="eastAsia" w:ascii="微软雅黑" w:hAnsi="微软雅黑" w:eastAsia="微软雅黑" w:cs="微软雅黑"/>
          <w:color w:val="auto"/>
          <w:sz w:val="21"/>
          <w:highlight w:val="none"/>
        </w:rPr>
        <w:t xml:space="preserve"> 金额：</w:t>
      </w:r>
      <w:r>
        <w:rPr>
          <w:rFonts w:hint="eastAsia" w:ascii="微软雅黑" w:hAnsi="微软雅黑" w:eastAsia="微软雅黑" w:cs="微软雅黑"/>
          <w:color w:val="auto"/>
          <w:sz w:val="21"/>
          <w:highlight w:val="none"/>
          <w:u w:val="single"/>
        </w:rPr>
        <w:t xml:space="preserve">     </w:t>
      </w:r>
      <w:r>
        <w:rPr>
          <w:rFonts w:hint="eastAsia" w:ascii="微软雅黑" w:hAnsi="微软雅黑" w:eastAsia="微软雅黑" w:cs="微软雅黑"/>
          <w:color w:val="auto"/>
          <w:sz w:val="21"/>
          <w:highlight w:val="none"/>
        </w:rPr>
        <w:t xml:space="preserve"> </w:t>
      </w:r>
    </w:p>
    <w:p w14:paraId="3487E6AC">
      <w:pPr>
        <w:pStyle w:val="307"/>
        <w:snapToGrid w:val="0"/>
        <w:ind w:firstLine="0" w:firstLineChars="0"/>
        <w:rPr>
          <w:rFonts w:ascii="微软雅黑" w:hAnsi="微软雅黑" w:eastAsia="微软雅黑" w:cs="微软雅黑"/>
          <w:color w:val="auto"/>
          <w:sz w:val="21"/>
          <w:highlight w:val="none"/>
        </w:rPr>
      </w:pPr>
      <w:r>
        <w:rPr>
          <w:rFonts w:hint="eastAsia" w:ascii="微软雅黑" w:hAnsi="微软雅黑" w:eastAsia="微软雅黑" w:cs="微软雅黑"/>
          <w:color w:val="auto"/>
          <w:sz w:val="21"/>
          <w:highlight w:val="none"/>
        </w:rPr>
        <w:t xml:space="preserve">         </w:t>
      </w:r>
      <w:r>
        <w:rPr>
          <w:rFonts w:hint="eastAsia" w:ascii="微软雅黑" w:hAnsi="微软雅黑" w:eastAsia="微软雅黑" w:cs="微软雅黑"/>
          <w:color w:val="auto"/>
          <w:sz w:val="21"/>
          <w:highlight w:val="none"/>
        </w:rPr>
        <w:sym w:font="Wingdings" w:char="00A8"/>
      </w:r>
      <w:r>
        <w:rPr>
          <w:rFonts w:hint="eastAsia" w:ascii="微软雅黑" w:hAnsi="微软雅黑" w:eastAsia="微软雅黑" w:cs="微软雅黑"/>
          <w:color w:val="auto"/>
          <w:sz w:val="21"/>
          <w:highlight w:val="none"/>
        </w:rPr>
        <w:t>否</w:t>
      </w:r>
    </w:p>
    <w:p w14:paraId="5CA91C44">
      <w:pPr>
        <w:pStyle w:val="307"/>
        <w:snapToGrid w:val="0"/>
        <w:ind w:firstLine="0" w:firstLineChars="0"/>
        <w:rPr>
          <w:rFonts w:ascii="微软雅黑" w:hAnsi="微软雅黑" w:eastAsia="微软雅黑" w:cs="微软雅黑"/>
          <w:color w:val="auto"/>
          <w:sz w:val="21"/>
          <w:highlight w:val="none"/>
        </w:rPr>
      </w:pPr>
      <w:r>
        <w:rPr>
          <w:rFonts w:hint="eastAsia" w:ascii="微软雅黑" w:hAnsi="微软雅黑" w:eastAsia="微软雅黑" w:cs="微软雅黑"/>
          <w:color w:val="auto"/>
          <w:sz w:val="21"/>
          <w:highlight w:val="none"/>
        </w:rPr>
        <w:t xml:space="preserve">    （4）政府采购组织形式：</w:t>
      </w:r>
      <w:r>
        <w:rPr>
          <w:rFonts w:hint="eastAsia" w:ascii="微软雅黑" w:hAnsi="微软雅黑" w:eastAsia="微软雅黑" w:cs="微软雅黑"/>
          <w:color w:val="auto"/>
          <w:sz w:val="21"/>
          <w:highlight w:val="none"/>
        </w:rPr>
        <w:sym w:font="Wingdings" w:char="00A8"/>
      </w:r>
      <w:r>
        <w:rPr>
          <w:rFonts w:hint="eastAsia" w:ascii="微软雅黑" w:hAnsi="微软雅黑" w:eastAsia="微软雅黑" w:cs="微软雅黑"/>
          <w:color w:val="auto"/>
          <w:sz w:val="21"/>
          <w:highlight w:val="none"/>
        </w:rPr>
        <w:t xml:space="preserve">政府集中采购  </w:t>
      </w:r>
      <w:r>
        <w:rPr>
          <w:rFonts w:hint="eastAsia" w:ascii="微软雅黑" w:hAnsi="微软雅黑" w:eastAsia="微软雅黑" w:cs="微软雅黑"/>
          <w:color w:val="auto"/>
          <w:sz w:val="21"/>
          <w:highlight w:val="none"/>
        </w:rPr>
        <w:sym w:font="Wingdings" w:char="00A8"/>
      </w:r>
      <w:r>
        <w:rPr>
          <w:rFonts w:hint="eastAsia" w:ascii="微软雅黑" w:hAnsi="微软雅黑" w:eastAsia="微软雅黑" w:cs="微软雅黑"/>
          <w:color w:val="auto"/>
          <w:sz w:val="21"/>
          <w:highlight w:val="none"/>
        </w:rPr>
        <w:t xml:space="preserve">部门集中采购  </w:t>
      </w:r>
      <w:r>
        <w:rPr>
          <w:rFonts w:hint="eastAsia" w:ascii="微软雅黑" w:hAnsi="微软雅黑" w:eastAsia="微软雅黑" w:cs="微软雅黑"/>
          <w:color w:val="auto"/>
          <w:sz w:val="21"/>
          <w:highlight w:val="none"/>
        </w:rPr>
        <w:sym w:font="Wingdings" w:char="00A8"/>
      </w:r>
      <w:r>
        <w:rPr>
          <w:rFonts w:hint="eastAsia" w:ascii="微软雅黑" w:hAnsi="微软雅黑" w:eastAsia="微软雅黑" w:cs="微软雅黑"/>
          <w:color w:val="auto"/>
          <w:sz w:val="21"/>
          <w:highlight w:val="none"/>
        </w:rPr>
        <w:t>分散采购</w:t>
      </w:r>
    </w:p>
    <w:p w14:paraId="5EAE36FD">
      <w:pPr>
        <w:pStyle w:val="307"/>
        <w:snapToGrid w:val="0"/>
        <w:ind w:firstLine="420" w:firstLineChars="0"/>
        <w:rPr>
          <w:rFonts w:ascii="微软雅黑" w:hAnsi="微软雅黑" w:eastAsia="微软雅黑" w:cs="微软雅黑"/>
          <w:color w:val="auto"/>
          <w:sz w:val="21"/>
          <w:highlight w:val="none"/>
        </w:rPr>
      </w:pPr>
      <w:r>
        <w:rPr>
          <w:rFonts w:hint="eastAsia" w:ascii="微软雅黑" w:hAnsi="微软雅黑" w:eastAsia="微软雅黑" w:cs="微软雅黑"/>
          <w:color w:val="auto"/>
          <w:sz w:val="21"/>
          <w:highlight w:val="none"/>
        </w:rPr>
        <w:t>（5）政府采购方式：</w:t>
      </w:r>
      <w:r>
        <w:rPr>
          <w:rFonts w:hint="eastAsia" w:ascii="微软雅黑" w:hAnsi="微软雅黑" w:eastAsia="微软雅黑" w:cs="微软雅黑"/>
          <w:color w:val="auto"/>
          <w:sz w:val="21"/>
          <w:highlight w:val="none"/>
        </w:rPr>
        <w:sym w:font="Wingdings" w:char="00A8"/>
      </w:r>
      <w:r>
        <w:rPr>
          <w:rFonts w:hint="eastAsia" w:ascii="微软雅黑" w:hAnsi="微软雅黑" w:eastAsia="微软雅黑" w:cs="微软雅黑"/>
          <w:color w:val="auto"/>
          <w:sz w:val="21"/>
          <w:highlight w:val="none"/>
        </w:rPr>
        <w:t xml:space="preserve">公开招标 </w:t>
      </w:r>
      <w:r>
        <w:rPr>
          <w:rFonts w:hint="eastAsia" w:ascii="微软雅黑" w:hAnsi="微软雅黑" w:eastAsia="微软雅黑" w:cs="微软雅黑"/>
          <w:color w:val="auto"/>
          <w:sz w:val="21"/>
          <w:highlight w:val="none"/>
        </w:rPr>
        <w:sym w:font="Wingdings" w:char="00A8"/>
      </w:r>
      <w:r>
        <w:rPr>
          <w:rFonts w:hint="eastAsia" w:ascii="微软雅黑" w:hAnsi="微软雅黑" w:eastAsia="微软雅黑" w:cs="微软雅黑"/>
          <w:color w:val="auto"/>
          <w:sz w:val="21"/>
          <w:highlight w:val="none"/>
        </w:rPr>
        <w:t xml:space="preserve">邀请招标 </w:t>
      </w:r>
      <w:r>
        <w:rPr>
          <w:rFonts w:hint="eastAsia" w:ascii="微软雅黑" w:hAnsi="微软雅黑" w:eastAsia="微软雅黑" w:cs="微软雅黑"/>
          <w:color w:val="auto"/>
          <w:sz w:val="21"/>
          <w:highlight w:val="none"/>
        </w:rPr>
        <w:sym w:font="Wingdings" w:char="00A8"/>
      </w:r>
      <w:r>
        <w:rPr>
          <w:rFonts w:hint="eastAsia" w:ascii="微软雅黑" w:hAnsi="微软雅黑" w:eastAsia="微软雅黑" w:cs="微软雅黑"/>
          <w:color w:val="auto"/>
          <w:sz w:val="21"/>
          <w:highlight w:val="none"/>
        </w:rPr>
        <w:t xml:space="preserve">竞争性谈判 </w:t>
      </w:r>
      <w:r>
        <w:rPr>
          <w:rFonts w:hint="eastAsia" w:ascii="微软雅黑" w:hAnsi="微软雅黑" w:eastAsia="微软雅黑" w:cs="微软雅黑"/>
          <w:color w:val="auto"/>
          <w:sz w:val="21"/>
          <w:highlight w:val="none"/>
        </w:rPr>
        <w:sym w:font="Wingdings" w:char="00A8"/>
      </w:r>
      <w:r>
        <w:rPr>
          <w:rFonts w:hint="eastAsia" w:ascii="微软雅黑" w:hAnsi="微软雅黑" w:eastAsia="微软雅黑" w:cs="微软雅黑"/>
          <w:color w:val="auto"/>
          <w:sz w:val="21"/>
          <w:highlight w:val="none"/>
        </w:rPr>
        <w:t>竞争性磋商</w:t>
      </w:r>
    </w:p>
    <w:p w14:paraId="5C808364">
      <w:pPr>
        <w:pStyle w:val="307"/>
        <w:snapToGrid w:val="0"/>
        <w:ind w:firstLine="420" w:firstLineChars="0"/>
        <w:rPr>
          <w:rFonts w:ascii="微软雅黑" w:hAnsi="微软雅黑" w:eastAsia="微软雅黑" w:cs="微软雅黑"/>
          <w:color w:val="auto"/>
          <w:sz w:val="21"/>
          <w:highlight w:val="none"/>
          <w:u w:val="single"/>
        </w:rPr>
      </w:pPr>
      <w:r>
        <w:rPr>
          <w:rFonts w:hint="eastAsia" w:ascii="微软雅黑" w:hAnsi="微软雅黑" w:eastAsia="微软雅黑" w:cs="微软雅黑"/>
          <w:color w:val="auto"/>
          <w:sz w:val="21"/>
          <w:highlight w:val="none"/>
        </w:rPr>
        <w:t xml:space="preserve">                  </w:t>
      </w:r>
      <w:r>
        <w:rPr>
          <w:rFonts w:hint="eastAsia" w:ascii="微软雅黑" w:hAnsi="微软雅黑" w:eastAsia="微软雅黑" w:cs="微软雅黑"/>
          <w:color w:val="auto"/>
          <w:sz w:val="21"/>
          <w:highlight w:val="none"/>
        </w:rPr>
        <w:sym w:font="Wingdings" w:char="00A8"/>
      </w:r>
      <w:r>
        <w:rPr>
          <w:rFonts w:hint="eastAsia" w:ascii="微软雅黑" w:hAnsi="微软雅黑" w:eastAsia="微软雅黑" w:cs="微软雅黑"/>
          <w:color w:val="auto"/>
          <w:sz w:val="21"/>
          <w:highlight w:val="none"/>
        </w:rPr>
        <w:t xml:space="preserve">询价 </w:t>
      </w:r>
      <w:r>
        <w:rPr>
          <w:rFonts w:hint="eastAsia" w:ascii="微软雅黑" w:hAnsi="微软雅黑" w:eastAsia="微软雅黑" w:cs="微软雅黑"/>
          <w:color w:val="auto"/>
          <w:sz w:val="21"/>
          <w:highlight w:val="none"/>
        </w:rPr>
        <w:sym w:font="Wingdings" w:char="00A8"/>
      </w:r>
      <w:r>
        <w:rPr>
          <w:rFonts w:hint="eastAsia" w:ascii="微软雅黑" w:hAnsi="微软雅黑" w:eastAsia="微软雅黑" w:cs="微软雅黑"/>
          <w:color w:val="auto"/>
          <w:sz w:val="21"/>
          <w:highlight w:val="none"/>
        </w:rPr>
        <w:t xml:space="preserve">单一来源 </w:t>
      </w:r>
      <w:r>
        <w:rPr>
          <w:rFonts w:hint="eastAsia" w:ascii="微软雅黑" w:hAnsi="微软雅黑" w:eastAsia="微软雅黑" w:cs="微软雅黑"/>
          <w:color w:val="auto"/>
          <w:sz w:val="21"/>
          <w:highlight w:val="none"/>
        </w:rPr>
        <w:sym w:font="Wingdings" w:char="00A8"/>
      </w:r>
      <w:r>
        <w:rPr>
          <w:rFonts w:hint="eastAsia" w:ascii="微软雅黑" w:hAnsi="微软雅黑" w:eastAsia="微软雅黑" w:cs="微软雅黑"/>
          <w:color w:val="auto"/>
          <w:sz w:val="21"/>
          <w:highlight w:val="none"/>
        </w:rPr>
        <w:t xml:space="preserve">框架协议 </w:t>
      </w:r>
      <w:r>
        <w:rPr>
          <w:rFonts w:hint="eastAsia" w:ascii="微软雅黑" w:hAnsi="微软雅黑" w:eastAsia="微软雅黑" w:cs="微软雅黑"/>
          <w:color w:val="auto"/>
          <w:sz w:val="21"/>
          <w:highlight w:val="none"/>
        </w:rPr>
        <w:sym w:font="Wingdings" w:char="00A8"/>
      </w:r>
      <w:r>
        <w:rPr>
          <w:rFonts w:hint="eastAsia" w:ascii="微软雅黑" w:hAnsi="微软雅黑" w:eastAsia="微软雅黑" w:cs="微软雅黑"/>
          <w:color w:val="auto"/>
          <w:sz w:val="21"/>
          <w:highlight w:val="none"/>
        </w:rPr>
        <w:t>其他：</w:t>
      </w:r>
      <w:r>
        <w:rPr>
          <w:rFonts w:hint="eastAsia" w:ascii="微软雅黑" w:hAnsi="微软雅黑" w:eastAsia="微软雅黑" w:cs="微软雅黑"/>
          <w:color w:val="auto"/>
          <w:sz w:val="21"/>
          <w:highlight w:val="none"/>
          <w:u w:val="single"/>
        </w:rPr>
        <w:t xml:space="preserve">          </w:t>
      </w:r>
    </w:p>
    <w:p w14:paraId="493D7A5B">
      <w:pPr>
        <w:pStyle w:val="307"/>
        <w:snapToGrid w:val="0"/>
        <w:ind w:firstLine="420" w:firstLineChars="0"/>
        <w:rPr>
          <w:rFonts w:ascii="微软雅黑" w:hAnsi="微软雅黑" w:eastAsia="微软雅黑" w:cs="微软雅黑"/>
          <w:color w:val="auto"/>
          <w:sz w:val="21"/>
          <w:highlight w:val="none"/>
        </w:rPr>
      </w:pPr>
      <w:r>
        <w:rPr>
          <w:rFonts w:hint="eastAsia" w:ascii="微软雅黑" w:hAnsi="微软雅黑" w:eastAsia="微软雅黑" w:cs="微软雅黑"/>
          <w:color w:val="auto"/>
          <w:sz w:val="21"/>
          <w:highlight w:val="none"/>
        </w:rPr>
        <w:t>（注：在框架协议采购的第二阶段，可选择使用该合同文本）</w:t>
      </w:r>
    </w:p>
    <w:p w14:paraId="568BC588">
      <w:pPr>
        <w:pStyle w:val="307"/>
        <w:snapToGrid w:val="0"/>
        <w:ind w:firstLine="210" w:firstLineChars="100"/>
        <w:rPr>
          <w:rFonts w:ascii="微软雅黑" w:hAnsi="微软雅黑" w:eastAsia="微软雅黑" w:cs="微软雅黑"/>
          <w:color w:val="auto"/>
          <w:kern w:val="2"/>
          <w:sz w:val="21"/>
          <w:highlight w:val="none"/>
        </w:rPr>
      </w:pPr>
      <w:r>
        <w:rPr>
          <w:rFonts w:hint="eastAsia" w:ascii="微软雅黑" w:hAnsi="微软雅黑" w:eastAsia="微软雅黑" w:cs="微软雅黑"/>
          <w:color w:val="auto"/>
          <w:sz w:val="21"/>
          <w:highlight w:val="none"/>
        </w:rPr>
        <w:t xml:space="preserve"> （6）</w:t>
      </w:r>
      <w:r>
        <w:rPr>
          <w:rFonts w:hint="eastAsia" w:ascii="微软雅黑" w:hAnsi="微软雅黑" w:eastAsia="微软雅黑" w:cs="微软雅黑"/>
          <w:color w:val="auto"/>
          <w:kern w:val="2"/>
          <w:sz w:val="21"/>
          <w:highlight w:val="none"/>
        </w:rPr>
        <w:t>中标（成交）采购标的制造商是否为中小企业：</w:t>
      </w:r>
      <w:r>
        <w:rPr>
          <w:rFonts w:hint="eastAsia" w:ascii="微软雅黑" w:hAnsi="微软雅黑" w:eastAsia="微软雅黑" w:cs="微软雅黑"/>
          <w:color w:val="auto"/>
          <w:kern w:val="2"/>
          <w:sz w:val="21"/>
          <w:highlight w:val="none"/>
        </w:rPr>
        <w:sym w:font="Wingdings" w:char="00A8"/>
      </w:r>
      <w:r>
        <w:rPr>
          <w:rFonts w:hint="eastAsia" w:ascii="微软雅黑" w:hAnsi="微软雅黑" w:eastAsia="微软雅黑" w:cs="微软雅黑"/>
          <w:color w:val="auto"/>
          <w:kern w:val="2"/>
          <w:sz w:val="21"/>
          <w:highlight w:val="none"/>
        </w:rPr>
        <w:t xml:space="preserve">是      </w:t>
      </w:r>
      <w:r>
        <w:rPr>
          <w:rFonts w:hint="eastAsia" w:ascii="微软雅黑" w:hAnsi="微软雅黑" w:eastAsia="微软雅黑" w:cs="微软雅黑"/>
          <w:color w:val="auto"/>
          <w:kern w:val="2"/>
          <w:sz w:val="21"/>
          <w:highlight w:val="none"/>
        </w:rPr>
        <w:sym w:font="Wingdings" w:char="00A8"/>
      </w:r>
      <w:r>
        <w:rPr>
          <w:rFonts w:hint="eastAsia" w:ascii="微软雅黑" w:hAnsi="微软雅黑" w:eastAsia="微软雅黑" w:cs="微软雅黑"/>
          <w:color w:val="auto"/>
          <w:kern w:val="2"/>
          <w:sz w:val="21"/>
          <w:highlight w:val="none"/>
        </w:rPr>
        <w:t>否</w:t>
      </w:r>
    </w:p>
    <w:p w14:paraId="4B25CF64">
      <w:pPr>
        <w:adjustRightInd w:val="0"/>
        <w:snapToGrid w:val="0"/>
        <w:spacing w:line="400" w:lineRule="exact"/>
        <w:ind w:firstLine="420"/>
        <w:rPr>
          <w:rFonts w:ascii="微软雅黑" w:hAnsi="微软雅黑" w:cs="微软雅黑"/>
          <w:iCs/>
          <w:color w:val="auto"/>
          <w:szCs w:val="21"/>
          <w:highlight w:val="none"/>
        </w:rPr>
      </w:pPr>
      <w:r>
        <w:rPr>
          <w:rFonts w:hint="eastAsia" w:ascii="微软雅黑" w:hAnsi="微软雅黑" w:cs="微软雅黑"/>
          <w:color w:val="auto"/>
          <w:szCs w:val="21"/>
          <w:highlight w:val="none"/>
          <w:lang w:bidi="ar"/>
        </w:rPr>
        <w:t xml:space="preserve">    本合同是否为专门面向中小企业的采购合同（中小企业预留合同）：</w:t>
      </w:r>
      <w:r>
        <w:rPr>
          <w:rFonts w:hint="eastAsia" w:ascii="微软雅黑" w:hAnsi="微软雅黑" w:cs="微软雅黑"/>
          <w:iCs/>
          <w:color w:val="auto"/>
          <w:szCs w:val="21"/>
          <w:highlight w:val="none"/>
          <w:lang w:bidi="ar"/>
        </w:rPr>
        <w:sym w:font="Wingdings" w:char="00A8"/>
      </w:r>
      <w:r>
        <w:rPr>
          <w:rFonts w:hint="eastAsia" w:ascii="微软雅黑" w:hAnsi="微软雅黑" w:cs="微软雅黑"/>
          <w:iCs/>
          <w:color w:val="auto"/>
          <w:szCs w:val="21"/>
          <w:highlight w:val="none"/>
          <w:lang w:bidi="ar"/>
        </w:rPr>
        <w:t xml:space="preserve">是    </w:t>
      </w:r>
      <w:r>
        <w:rPr>
          <w:rFonts w:hint="eastAsia" w:ascii="微软雅黑" w:hAnsi="微软雅黑" w:cs="微软雅黑"/>
          <w:iCs/>
          <w:color w:val="auto"/>
          <w:szCs w:val="21"/>
          <w:highlight w:val="none"/>
          <w:lang w:bidi="ar"/>
        </w:rPr>
        <w:sym w:font="Wingdings" w:char="00A8"/>
      </w:r>
      <w:r>
        <w:rPr>
          <w:rFonts w:hint="eastAsia" w:ascii="微软雅黑" w:hAnsi="微软雅黑" w:cs="微软雅黑"/>
          <w:iCs/>
          <w:color w:val="auto"/>
          <w:szCs w:val="21"/>
          <w:highlight w:val="none"/>
          <w:lang w:bidi="ar"/>
        </w:rPr>
        <w:t>否</w:t>
      </w:r>
    </w:p>
    <w:p w14:paraId="04921921">
      <w:pPr>
        <w:adjustRightInd w:val="0"/>
        <w:snapToGrid w:val="0"/>
        <w:spacing w:line="400" w:lineRule="exact"/>
        <w:ind w:firstLine="420"/>
        <w:rPr>
          <w:rFonts w:ascii="微软雅黑" w:hAnsi="微软雅黑" w:cs="微软雅黑"/>
          <w:iCs/>
          <w:color w:val="auto"/>
          <w:szCs w:val="21"/>
          <w:highlight w:val="none"/>
        </w:rPr>
      </w:pPr>
      <w:r>
        <w:rPr>
          <w:rFonts w:hint="eastAsia" w:ascii="微软雅黑" w:hAnsi="微软雅黑" w:cs="微软雅黑"/>
          <w:color w:val="auto"/>
          <w:szCs w:val="21"/>
          <w:highlight w:val="none"/>
          <w:lang w:bidi="ar"/>
        </w:rPr>
        <w:t xml:space="preserve">         若本项目不专门面向中小企业采购，是否给予小微企业评审优惠：</w:t>
      </w:r>
      <w:r>
        <w:rPr>
          <w:rFonts w:hint="eastAsia" w:ascii="微软雅黑" w:hAnsi="微软雅黑" w:cs="微软雅黑"/>
          <w:iCs/>
          <w:color w:val="auto"/>
          <w:szCs w:val="21"/>
          <w:highlight w:val="none"/>
          <w:lang w:bidi="ar"/>
        </w:rPr>
        <w:sym w:font="Wingdings" w:char="00A8"/>
      </w:r>
      <w:r>
        <w:rPr>
          <w:rFonts w:hint="eastAsia" w:ascii="微软雅黑" w:hAnsi="微软雅黑" w:cs="微软雅黑"/>
          <w:iCs/>
          <w:color w:val="auto"/>
          <w:szCs w:val="21"/>
          <w:highlight w:val="none"/>
          <w:lang w:bidi="ar"/>
        </w:rPr>
        <w:t xml:space="preserve">是   </w:t>
      </w:r>
      <w:r>
        <w:rPr>
          <w:rFonts w:hint="eastAsia" w:ascii="微软雅黑" w:hAnsi="微软雅黑" w:cs="微软雅黑"/>
          <w:iCs/>
          <w:color w:val="auto"/>
          <w:szCs w:val="21"/>
          <w:highlight w:val="none"/>
          <w:lang w:bidi="ar"/>
        </w:rPr>
        <w:sym w:font="Wingdings" w:char="00A8"/>
      </w:r>
      <w:r>
        <w:rPr>
          <w:rFonts w:hint="eastAsia" w:ascii="微软雅黑" w:hAnsi="微软雅黑" w:cs="微软雅黑"/>
          <w:iCs/>
          <w:color w:val="auto"/>
          <w:szCs w:val="21"/>
          <w:highlight w:val="none"/>
          <w:lang w:bidi="ar"/>
        </w:rPr>
        <w:t>否</w:t>
      </w:r>
    </w:p>
    <w:p w14:paraId="73DACCBE">
      <w:pPr>
        <w:adjustRightInd w:val="0"/>
        <w:snapToGrid w:val="0"/>
        <w:spacing w:line="400" w:lineRule="exact"/>
        <w:ind w:firstLine="420"/>
        <w:rPr>
          <w:rFonts w:ascii="微软雅黑" w:hAnsi="微软雅黑" w:cs="微软雅黑"/>
          <w:iCs/>
          <w:color w:val="auto"/>
          <w:szCs w:val="21"/>
          <w:highlight w:val="none"/>
        </w:rPr>
      </w:pPr>
      <w:r>
        <w:rPr>
          <w:rFonts w:hint="eastAsia" w:ascii="微软雅黑" w:hAnsi="微软雅黑" w:cs="微软雅黑"/>
          <w:color w:val="auto"/>
          <w:szCs w:val="21"/>
          <w:highlight w:val="none"/>
          <w:lang w:bidi="ar"/>
        </w:rPr>
        <w:t xml:space="preserve">         中标（成交）采购标的制造商是否为残疾人福利性单位：</w:t>
      </w:r>
      <w:r>
        <w:rPr>
          <w:rFonts w:hint="eastAsia" w:ascii="微软雅黑" w:hAnsi="微软雅黑" w:cs="微软雅黑"/>
          <w:iCs/>
          <w:color w:val="auto"/>
          <w:szCs w:val="21"/>
          <w:highlight w:val="none"/>
          <w:lang w:bidi="ar"/>
        </w:rPr>
        <w:sym w:font="Wingdings" w:char="00A8"/>
      </w:r>
      <w:r>
        <w:rPr>
          <w:rFonts w:hint="eastAsia" w:ascii="微软雅黑" w:hAnsi="微软雅黑" w:cs="微软雅黑"/>
          <w:iCs/>
          <w:color w:val="auto"/>
          <w:szCs w:val="21"/>
          <w:highlight w:val="none"/>
          <w:lang w:bidi="ar"/>
        </w:rPr>
        <w:t xml:space="preserve">是   </w:t>
      </w:r>
      <w:r>
        <w:rPr>
          <w:rFonts w:hint="eastAsia" w:ascii="微软雅黑" w:hAnsi="微软雅黑" w:cs="微软雅黑"/>
          <w:iCs/>
          <w:color w:val="auto"/>
          <w:szCs w:val="21"/>
          <w:highlight w:val="none"/>
          <w:lang w:bidi="ar"/>
        </w:rPr>
        <w:sym w:font="Wingdings" w:char="00A8"/>
      </w:r>
      <w:r>
        <w:rPr>
          <w:rFonts w:hint="eastAsia" w:ascii="微软雅黑" w:hAnsi="微软雅黑" w:cs="微软雅黑"/>
          <w:iCs/>
          <w:color w:val="auto"/>
          <w:szCs w:val="21"/>
          <w:highlight w:val="none"/>
          <w:lang w:bidi="ar"/>
        </w:rPr>
        <w:t>否</w:t>
      </w:r>
    </w:p>
    <w:p w14:paraId="2BED9959">
      <w:pPr>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 xml:space="preserve">         中标（成交）采购标的制造商是否为监狱企业：</w:t>
      </w:r>
      <w:r>
        <w:rPr>
          <w:rFonts w:hint="eastAsia" w:ascii="微软雅黑" w:hAnsi="微软雅黑" w:cs="微软雅黑"/>
          <w:iCs/>
          <w:color w:val="auto"/>
          <w:szCs w:val="21"/>
          <w:highlight w:val="none"/>
          <w:lang w:bidi="ar"/>
        </w:rPr>
        <w:sym w:font="Wingdings" w:char="00A8"/>
      </w:r>
      <w:r>
        <w:rPr>
          <w:rFonts w:hint="eastAsia" w:ascii="微软雅黑" w:hAnsi="微软雅黑" w:cs="微软雅黑"/>
          <w:iCs/>
          <w:color w:val="auto"/>
          <w:szCs w:val="21"/>
          <w:highlight w:val="none"/>
          <w:lang w:bidi="ar"/>
        </w:rPr>
        <w:t xml:space="preserve">是       </w:t>
      </w:r>
      <w:r>
        <w:rPr>
          <w:rFonts w:hint="eastAsia" w:ascii="微软雅黑" w:hAnsi="微软雅黑" w:cs="微软雅黑"/>
          <w:iCs/>
          <w:color w:val="auto"/>
          <w:szCs w:val="21"/>
          <w:highlight w:val="none"/>
          <w:lang w:bidi="ar"/>
        </w:rPr>
        <w:sym w:font="Wingdings" w:char="00A8"/>
      </w:r>
      <w:r>
        <w:rPr>
          <w:rFonts w:hint="eastAsia" w:ascii="微软雅黑" w:hAnsi="微软雅黑" w:cs="微软雅黑"/>
          <w:iCs/>
          <w:color w:val="auto"/>
          <w:szCs w:val="21"/>
          <w:highlight w:val="none"/>
          <w:lang w:bidi="ar"/>
        </w:rPr>
        <w:t>否</w:t>
      </w:r>
    </w:p>
    <w:p w14:paraId="5520BCC7">
      <w:pPr>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（7）合同是否分包：</w:t>
      </w:r>
      <w:r>
        <w:rPr>
          <w:rFonts w:hint="eastAsia" w:ascii="微软雅黑" w:hAnsi="微软雅黑" w:cs="微软雅黑"/>
          <w:iCs/>
          <w:color w:val="auto"/>
          <w:szCs w:val="21"/>
          <w:highlight w:val="none"/>
          <w:lang w:bidi="ar"/>
        </w:rPr>
        <w:sym w:font="Wingdings" w:char="00A8"/>
      </w:r>
      <w:r>
        <w:rPr>
          <w:rFonts w:hint="eastAsia" w:ascii="微软雅黑" w:hAnsi="微软雅黑" w:cs="微软雅黑"/>
          <w:iCs/>
          <w:color w:val="auto"/>
          <w:szCs w:val="21"/>
          <w:highlight w:val="none"/>
          <w:lang w:bidi="ar"/>
        </w:rPr>
        <w:t xml:space="preserve">是       </w:t>
      </w:r>
      <w:r>
        <w:rPr>
          <w:rFonts w:hint="eastAsia" w:ascii="微软雅黑" w:hAnsi="微软雅黑" w:cs="微软雅黑"/>
          <w:iCs/>
          <w:color w:val="auto"/>
          <w:szCs w:val="21"/>
          <w:highlight w:val="none"/>
          <w:lang w:bidi="ar"/>
        </w:rPr>
        <w:sym w:font="Wingdings" w:char="00A8"/>
      </w:r>
      <w:r>
        <w:rPr>
          <w:rFonts w:hint="eastAsia" w:ascii="微软雅黑" w:hAnsi="微软雅黑" w:cs="微软雅黑"/>
          <w:iCs/>
          <w:color w:val="auto"/>
          <w:szCs w:val="21"/>
          <w:highlight w:val="none"/>
          <w:lang w:bidi="ar"/>
        </w:rPr>
        <w:t>否</w:t>
      </w:r>
    </w:p>
    <w:p w14:paraId="63F70924">
      <w:pPr>
        <w:adjustRightInd w:val="0"/>
        <w:snapToGrid w:val="0"/>
        <w:spacing w:line="400" w:lineRule="exact"/>
        <w:ind w:firstLine="840" w:firstLineChars="400"/>
        <w:rPr>
          <w:rFonts w:ascii="微软雅黑" w:hAnsi="微软雅黑" w:cs="微软雅黑"/>
          <w:color w:val="auto"/>
          <w:szCs w:val="21"/>
          <w:highlight w:val="none"/>
          <w:u w:val="single"/>
        </w:rPr>
      </w:pPr>
      <w:r>
        <w:rPr>
          <w:rFonts w:hint="eastAsia" w:ascii="微软雅黑" w:hAnsi="微软雅黑" w:cs="微软雅黑"/>
          <w:color w:val="auto"/>
          <w:szCs w:val="21"/>
          <w:highlight w:val="none"/>
          <w:lang w:bidi="ar"/>
        </w:rPr>
        <w:t xml:space="preserve"> 分包主要内容：</w:t>
      </w:r>
      <w:r>
        <w:rPr>
          <w:rFonts w:hint="eastAsia" w:ascii="微软雅黑" w:hAnsi="微软雅黑" w:cs="微软雅黑"/>
          <w:color w:val="auto"/>
          <w:szCs w:val="21"/>
          <w:highlight w:val="none"/>
          <w:u w:val="single"/>
          <w:lang w:bidi="ar"/>
        </w:rPr>
        <w:t xml:space="preserve">                                            </w:t>
      </w:r>
    </w:p>
    <w:p w14:paraId="172684AB">
      <w:pPr>
        <w:adjustRightInd w:val="0"/>
        <w:snapToGrid w:val="0"/>
        <w:spacing w:line="400" w:lineRule="exact"/>
        <w:ind w:firstLine="840" w:firstLineChars="40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 xml:space="preserve"> 分包供应商/制造商名称（如供应商和制造商不同，请分别填写）：</w:t>
      </w:r>
    </w:p>
    <w:p w14:paraId="3BBC5EC0">
      <w:pPr>
        <w:adjustRightInd w:val="0"/>
        <w:snapToGrid w:val="0"/>
        <w:spacing w:line="400" w:lineRule="exact"/>
        <w:ind w:firstLine="840" w:firstLineChars="400"/>
        <w:rPr>
          <w:rFonts w:ascii="微软雅黑" w:hAnsi="微软雅黑" w:cs="微软雅黑"/>
          <w:color w:val="auto"/>
          <w:szCs w:val="21"/>
          <w:highlight w:val="none"/>
          <w:u w:val="single"/>
        </w:rPr>
      </w:pPr>
      <w:r>
        <w:rPr>
          <w:rFonts w:hint="eastAsia" w:ascii="微软雅黑" w:hAnsi="微软雅黑" w:cs="微软雅黑"/>
          <w:color w:val="auto"/>
          <w:szCs w:val="21"/>
          <w:highlight w:val="none"/>
          <w:lang w:bidi="ar"/>
        </w:rPr>
        <w:t xml:space="preserve"> </w:t>
      </w:r>
      <w:r>
        <w:rPr>
          <w:rFonts w:hint="eastAsia" w:ascii="微软雅黑" w:hAnsi="微软雅黑" w:cs="微软雅黑"/>
          <w:color w:val="auto"/>
          <w:szCs w:val="21"/>
          <w:highlight w:val="none"/>
          <w:u w:val="single"/>
          <w:lang w:bidi="ar"/>
        </w:rPr>
        <w:t xml:space="preserve">                                                          </w:t>
      </w:r>
    </w:p>
    <w:p w14:paraId="448BC24B">
      <w:pPr>
        <w:adjustRightInd w:val="0"/>
        <w:snapToGrid w:val="0"/>
        <w:spacing w:line="400" w:lineRule="exact"/>
        <w:ind w:firstLine="840" w:firstLineChars="40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 xml:space="preserve"> 分包供应商/制造商类型（如果供应商和制造商不同，只填写制造商类型）：</w:t>
      </w:r>
    </w:p>
    <w:p w14:paraId="40A98938">
      <w:pPr>
        <w:adjustRightInd w:val="0"/>
        <w:snapToGrid w:val="0"/>
        <w:spacing w:line="400" w:lineRule="exact"/>
        <w:ind w:firstLine="840" w:firstLineChars="400"/>
        <w:rPr>
          <w:rFonts w:ascii="微软雅黑" w:hAnsi="微软雅黑" w:cs="微软雅黑"/>
          <w:iCs/>
          <w:color w:val="auto"/>
          <w:szCs w:val="21"/>
          <w:highlight w:val="none"/>
        </w:rPr>
      </w:pPr>
      <w:r>
        <w:rPr>
          <w:rFonts w:hint="eastAsia" w:ascii="微软雅黑" w:hAnsi="微软雅黑" w:cs="微软雅黑"/>
          <w:iCs/>
          <w:color w:val="auto"/>
          <w:szCs w:val="21"/>
          <w:highlight w:val="none"/>
          <w:lang w:bidi="ar"/>
        </w:rPr>
        <w:t xml:space="preserve"> </w:t>
      </w:r>
      <w:r>
        <w:rPr>
          <w:rFonts w:hint="eastAsia" w:ascii="微软雅黑" w:hAnsi="微软雅黑" w:cs="微软雅黑"/>
          <w:iCs/>
          <w:color w:val="auto"/>
          <w:szCs w:val="21"/>
          <w:highlight w:val="none"/>
          <w:lang w:bidi="ar"/>
        </w:rPr>
        <w:sym w:font="Wingdings" w:char="00A8"/>
      </w:r>
      <w:r>
        <w:rPr>
          <w:rFonts w:hint="eastAsia" w:ascii="微软雅黑" w:hAnsi="微软雅黑" w:cs="微软雅黑"/>
          <w:iCs/>
          <w:color w:val="auto"/>
          <w:szCs w:val="21"/>
          <w:highlight w:val="none"/>
          <w:lang w:bidi="ar"/>
        </w:rPr>
        <w:t xml:space="preserve">大型企业  </w:t>
      </w:r>
      <w:r>
        <w:rPr>
          <w:rFonts w:hint="eastAsia" w:ascii="微软雅黑" w:hAnsi="微软雅黑" w:cs="微软雅黑"/>
          <w:iCs/>
          <w:color w:val="auto"/>
          <w:szCs w:val="21"/>
          <w:highlight w:val="none"/>
          <w:lang w:bidi="ar"/>
        </w:rPr>
        <w:sym w:font="Wingdings" w:char="00A8"/>
      </w:r>
      <w:r>
        <w:rPr>
          <w:rFonts w:hint="eastAsia" w:ascii="微软雅黑" w:hAnsi="微软雅黑" w:cs="微软雅黑"/>
          <w:iCs/>
          <w:color w:val="auto"/>
          <w:szCs w:val="21"/>
          <w:highlight w:val="none"/>
          <w:lang w:bidi="ar"/>
        </w:rPr>
        <w:t xml:space="preserve">中型企业  </w:t>
      </w:r>
      <w:r>
        <w:rPr>
          <w:rFonts w:hint="eastAsia" w:ascii="微软雅黑" w:hAnsi="微软雅黑" w:cs="微软雅黑"/>
          <w:iCs/>
          <w:color w:val="auto"/>
          <w:szCs w:val="21"/>
          <w:highlight w:val="none"/>
          <w:lang w:bidi="ar"/>
        </w:rPr>
        <w:sym w:font="Wingdings" w:char="00A8"/>
      </w:r>
      <w:r>
        <w:rPr>
          <w:rFonts w:hint="eastAsia" w:ascii="微软雅黑" w:hAnsi="微软雅黑" w:cs="微软雅黑"/>
          <w:iCs/>
          <w:color w:val="auto"/>
          <w:szCs w:val="21"/>
          <w:highlight w:val="none"/>
          <w:lang w:bidi="ar"/>
        </w:rPr>
        <w:t xml:space="preserve">小微型企业  </w:t>
      </w:r>
    </w:p>
    <w:p w14:paraId="4301F83E">
      <w:pPr>
        <w:adjustRightInd w:val="0"/>
        <w:snapToGrid w:val="0"/>
        <w:spacing w:line="400" w:lineRule="exact"/>
        <w:ind w:firstLine="840" w:firstLineChars="400"/>
        <w:rPr>
          <w:rFonts w:ascii="微软雅黑" w:hAnsi="微软雅黑" w:cs="微软雅黑"/>
          <w:color w:val="auto"/>
          <w:szCs w:val="21"/>
          <w:highlight w:val="none"/>
        </w:rPr>
      </w:pPr>
      <w:r>
        <w:rPr>
          <w:rFonts w:hint="eastAsia" w:ascii="微软雅黑" w:hAnsi="微软雅黑" w:cs="微软雅黑"/>
          <w:iCs/>
          <w:color w:val="auto"/>
          <w:szCs w:val="21"/>
          <w:highlight w:val="none"/>
          <w:lang w:bidi="ar"/>
        </w:rPr>
        <w:t xml:space="preserve"> </w:t>
      </w:r>
      <w:r>
        <w:rPr>
          <w:rFonts w:hint="eastAsia" w:ascii="微软雅黑" w:hAnsi="微软雅黑" w:cs="微软雅黑"/>
          <w:iCs/>
          <w:color w:val="auto"/>
          <w:szCs w:val="21"/>
          <w:highlight w:val="none"/>
          <w:lang w:bidi="ar"/>
        </w:rPr>
        <w:sym w:font="Wingdings" w:char="00A8"/>
      </w:r>
      <w:r>
        <w:rPr>
          <w:rFonts w:hint="eastAsia" w:ascii="微软雅黑" w:hAnsi="微软雅黑" w:cs="微软雅黑"/>
          <w:iCs/>
          <w:color w:val="auto"/>
          <w:szCs w:val="21"/>
          <w:highlight w:val="none"/>
          <w:lang w:bidi="ar"/>
        </w:rPr>
        <w:t xml:space="preserve">残疾人福利性单位 </w:t>
      </w:r>
      <w:r>
        <w:rPr>
          <w:rFonts w:hint="eastAsia" w:ascii="微软雅黑" w:hAnsi="微软雅黑" w:cs="微软雅黑"/>
          <w:iCs/>
          <w:color w:val="auto"/>
          <w:szCs w:val="21"/>
          <w:highlight w:val="none"/>
          <w:lang w:bidi="ar"/>
        </w:rPr>
        <w:sym w:font="Wingdings" w:char="00A8"/>
      </w:r>
      <w:r>
        <w:rPr>
          <w:rFonts w:hint="eastAsia" w:ascii="微软雅黑" w:hAnsi="微软雅黑" w:cs="微软雅黑"/>
          <w:iCs/>
          <w:color w:val="auto"/>
          <w:szCs w:val="21"/>
          <w:highlight w:val="none"/>
          <w:lang w:bidi="ar"/>
        </w:rPr>
        <w:t xml:space="preserve">监狱企业 </w:t>
      </w:r>
      <w:r>
        <w:rPr>
          <w:rFonts w:hint="eastAsia" w:ascii="微软雅黑" w:hAnsi="微软雅黑" w:cs="微软雅黑"/>
          <w:iCs/>
          <w:color w:val="auto"/>
          <w:szCs w:val="21"/>
          <w:highlight w:val="none"/>
          <w:lang w:bidi="ar"/>
        </w:rPr>
        <w:sym w:font="Wingdings" w:char="00A8"/>
      </w:r>
      <w:r>
        <w:rPr>
          <w:rFonts w:hint="eastAsia" w:ascii="微软雅黑" w:hAnsi="微软雅黑" w:cs="微软雅黑"/>
          <w:iCs/>
          <w:color w:val="auto"/>
          <w:szCs w:val="21"/>
          <w:highlight w:val="none"/>
          <w:lang w:bidi="ar"/>
        </w:rPr>
        <w:t>其他</w:t>
      </w:r>
    </w:p>
    <w:p w14:paraId="3D9D46A1">
      <w:pPr>
        <w:adjustRightInd w:val="0"/>
        <w:snapToGrid w:val="0"/>
        <w:spacing w:line="400" w:lineRule="exact"/>
        <w:ind w:firstLine="420"/>
        <w:rPr>
          <w:rFonts w:ascii="微软雅黑" w:hAnsi="微软雅黑" w:cs="微软雅黑"/>
          <w:iCs/>
          <w:color w:val="auto"/>
          <w:szCs w:val="21"/>
          <w:highlight w:val="none"/>
        </w:rPr>
      </w:pPr>
      <w:r>
        <w:rPr>
          <w:rFonts w:hint="eastAsia" w:ascii="微软雅黑" w:hAnsi="微软雅黑" w:cs="微软雅黑"/>
          <w:color w:val="auto"/>
          <w:szCs w:val="21"/>
          <w:highlight w:val="none"/>
          <w:lang w:bidi="ar"/>
        </w:rPr>
        <w:t xml:space="preserve">    （8）中标（成交）供应商是否为外商投资企业：</w:t>
      </w:r>
      <w:r>
        <w:rPr>
          <w:rFonts w:hint="eastAsia" w:ascii="微软雅黑" w:hAnsi="微软雅黑" w:cs="微软雅黑"/>
          <w:iCs/>
          <w:color w:val="auto"/>
          <w:szCs w:val="21"/>
          <w:highlight w:val="none"/>
          <w:lang w:bidi="ar"/>
        </w:rPr>
        <w:sym w:font="Wingdings" w:char="00A8"/>
      </w:r>
      <w:r>
        <w:rPr>
          <w:rFonts w:hint="eastAsia" w:ascii="微软雅黑" w:hAnsi="微软雅黑" w:cs="微软雅黑"/>
          <w:iCs/>
          <w:color w:val="auto"/>
          <w:szCs w:val="21"/>
          <w:highlight w:val="none"/>
          <w:lang w:bidi="ar"/>
        </w:rPr>
        <w:t xml:space="preserve">是       </w:t>
      </w:r>
      <w:r>
        <w:rPr>
          <w:rFonts w:hint="eastAsia" w:ascii="微软雅黑" w:hAnsi="微软雅黑" w:cs="微软雅黑"/>
          <w:iCs/>
          <w:color w:val="auto"/>
          <w:szCs w:val="21"/>
          <w:highlight w:val="none"/>
          <w:lang w:bidi="ar"/>
        </w:rPr>
        <w:sym w:font="Wingdings" w:char="00A8"/>
      </w:r>
      <w:r>
        <w:rPr>
          <w:rFonts w:hint="eastAsia" w:ascii="微软雅黑" w:hAnsi="微软雅黑" w:cs="微软雅黑"/>
          <w:iCs/>
          <w:color w:val="auto"/>
          <w:szCs w:val="21"/>
          <w:highlight w:val="none"/>
          <w:lang w:bidi="ar"/>
        </w:rPr>
        <w:t>否</w:t>
      </w:r>
    </w:p>
    <w:p w14:paraId="55AB5BBD">
      <w:pPr>
        <w:pStyle w:val="307"/>
        <w:tabs>
          <w:tab w:val="left" w:pos="1340"/>
        </w:tabs>
        <w:ind w:left="480" w:firstLine="420"/>
        <w:rPr>
          <w:rFonts w:ascii="微软雅黑" w:hAnsi="微软雅黑" w:eastAsia="微软雅黑" w:cs="微软雅黑"/>
          <w:color w:val="auto"/>
          <w:sz w:val="21"/>
          <w:highlight w:val="none"/>
          <w:u w:val="single"/>
        </w:rPr>
      </w:pPr>
      <w:r>
        <w:rPr>
          <w:rFonts w:hint="eastAsia" w:ascii="微软雅黑" w:hAnsi="微软雅黑" w:eastAsia="微软雅黑" w:cs="微软雅黑"/>
          <w:color w:val="auto"/>
          <w:sz w:val="21"/>
          <w:highlight w:val="none"/>
        </w:rPr>
        <w:t xml:space="preserve">     外商投资企业类型：</w:t>
      </w:r>
      <w:r>
        <w:rPr>
          <w:rFonts w:hint="eastAsia" w:ascii="微软雅黑" w:hAnsi="微软雅黑" w:eastAsia="微软雅黑" w:cs="微软雅黑"/>
          <w:iCs/>
          <w:color w:val="auto"/>
          <w:sz w:val="21"/>
          <w:highlight w:val="none"/>
        </w:rPr>
        <w:sym w:font="Wingdings" w:char="00A8"/>
      </w:r>
      <w:r>
        <w:rPr>
          <w:rFonts w:hint="eastAsia" w:ascii="微软雅黑" w:hAnsi="微软雅黑" w:eastAsia="微软雅黑" w:cs="微软雅黑"/>
          <w:color w:val="auto"/>
          <w:sz w:val="21"/>
          <w:highlight w:val="none"/>
        </w:rPr>
        <w:t xml:space="preserve">全部由外国投资者投资  </w:t>
      </w:r>
      <w:r>
        <w:rPr>
          <w:rFonts w:hint="eastAsia" w:ascii="微软雅黑" w:hAnsi="微软雅黑" w:eastAsia="微软雅黑" w:cs="微软雅黑"/>
          <w:iCs/>
          <w:color w:val="auto"/>
          <w:sz w:val="21"/>
          <w:highlight w:val="none"/>
        </w:rPr>
        <w:sym w:font="Wingdings" w:char="00A8"/>
      </w:r>
      <w:r>
        <w:rPr>
          <w:rFonts w:hint="eastAsia" w:ascii="微软雅黑" w:hAnsi="微软雅黑" w:eastAsia="微软雅黑" w:cs="微软雅黑"/>
          <w:iCs/>
          <w:color w:val="auto"/>
          <w:sz w:val="21"/>
          <w:highlight w:val="none"/>
        </w:rPr>
        <w:t>部分由外国投资者投资</w:t>
      </w:r>
    </w:p>
    <w:p w14:paraId="29EB45EA">
      <w:pPr>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（9）是否涉及进口产品：</w:t>
      </w:r>
    </w:p>
    <w:p w14:paraId="41E5FD32">
      <w:pPr>
        <w:adjustRightInd w:val="0"/>
        <w:snapToGrid w:val="0"/>
        <w:spacing w:line="400" w:lineRule="exact"/>
        <w:ind w:firstLine="840" w:firstLineChars="400"/>
        <w:rPr>
          <w:rFonts w:ascii="微软雅黑" w:hAnsi="微软雅黑" w:cs="微软雅黑"/>
          <w:color w:val="auto"/>
          <w:szCs w:val="21"/>
          <w:highlight w:val="none"/>
          <w:u w:val="single"/>
        </w:rPr>
      </w:pPr>
      <w:r>
        <w:rPr>
          <w:rFonts w:hint="eastAsia" w:ascii="微软雅黑" w:hAnsi="微软雅黑" w:cs="微软雅黑"/>
          <w:color w:val="auto"/>
          <w:szCs w:val="21"/>
          <w:highlight w:val="none"/>
          <w:lang w:bidi="ar"/>
        </w:rPr>
        <w:t xml:space="preserve"> </w:t>
      </w:r>
      <w:r>
        <w:rPr>
          <w:rFonts w:hint="eastAsia" w:ascii="微软雅黑" w:hAnsi="微软雅黑" w:cs="微软雅黑"/>
          <w:color w:val="auto"/>
          <w:szCs w:val="21"/>
          <w:highlight w:val="none"/>
          <w:lang w:bidi="ar"/>
        </w:rPr>
        <w:sym w:font="Wingdings" w:char="00A8"/>
      </w:r>
      <w:r>
        <w:rPr>
          <w:rFonts w:hint="eastAsia" w:ascii="微软雅黑" w:hAnsi="微软雅黑" w:cs="微软雅黑"/>
          <w:color w:val="auto"/>
          <w:szCs w:val="21"/>
          <w:highlight w:val="none"/>
          <w:lang w:bidi="ar"/>
        </w:rPr>
        <w:t>是，《政府采购品目分类目录》底级品目名称：</w:t>
      </w:r>
      <w:r>
        <w:rPr>
          <w:rFonts w:hint="eastAsia" w:ascii="微软雅黑" w:hAnsi="微软雅黑" w:cs="微软雅黑"/>
          <w:color w:val="auto"/>
          <w:szCs w:val="21"/>
          <w:highlight w:val="none"/>
          <w:u w:val="single"/>
          <w:lang w:bidi="ar"/>
        </w:rPr>
        <w:t xml:space="preserve">         </w:t>
      </w:r>
      <w:r>
        <w:rPr>
          <w:rFonts w:hint="eastAsia" w:ascii="微软雅黑" w:hAnsi="微软雅黑" w:cs="微软雅黑"/>
          <w:color w:val="auto"/>
          <w:szCs w:val="21"/>
          <w:highlight w:val="none"/>
          <w:lang w:bidi="ar"/>
        </w:rPr>
        <w:t xml:space="preserve"> 金额：</w:t>
      </w:r>
      <w:r>
        <w:rPr>
          <w:rFonts w:hint="eastAsia" w:ascii="微软雅黑" w:hAnsi="微软雅黑" w:cs="微软雅黑"/>
          <w:color w:val="auto"/>
          <w:szCs w:val="21"/>
          <w:highlight w:val="none"/>
          <w:u w:val="single"/>
          <w:lang w:bidi="ar"/>
        </w:rPr>
        <w:t xml:space="preserve">        </w:t>
      </w:r>
    </w:p>
    <w:p w14:paraId="2F2F432D">
      <w:pPr>
        <w:adjustRightInd w:val="0"/>
        <w:snapToGrid w:val="0"/>
        <w:spacing w:line="400" w:lineRule="exact"/>
        <w:ind w:firstLine="840" w:firstLineChars="40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 xml:space="preserve">        国别：</w:t>
      </w:r>
      <w:r>
        <w:rPr>
          <w:rFonts w:hint="eastAsia" w:ascii="微软雅黑" w:hAnsi="微软雅黑" w:cs="微软雅黑"/>
          <w:color w:val="auto"/>
          <w:szCs w:val="21"/>
          <w:highlight w:val="none"/>
          <w:u w:val="single"/>
          <w:lang w:bidi="ar"/>
        </w:rPr>
        <w:t xml:space="preserve">        </w:t>
      </w:r>
      <w:r>
        <w:rPr>
          <w:rFonts w:hint="eastAsia" w:ascii="微软雅黑" w:hAnsi="微软雅黑" w:cs="微软雅黑"/>
          <w:color w:val="auto"/>
          <w:szCs w:val="21"/>
          <w:highlight w:val="none"/>
          <w:lang w:bidi="ar"/>
        </w:rPr>
        <w:t xml:space="preserve"> 品牌：</w:t>
      </w:r>
      <w:r>
        <w:rPr>
          <w:rFonts w:hint="eastAsia" w:ascii="微软雅黑" w:hAnsi="微软雅黑" w:cs="微软雅黑"/>
          <w:color w:val="auto"/>
          <w:szCs w:val="21"/>
          <w:highlight w:val="none"/>
          <w:u w:val="single"/>
          <w:lang w:bidi="ar"/>
        </w:rPr>
        <w:t xml:space="preserve">        </w:t>
      </w:r>
      <w:r>
        <w:rPr>
          <w:rFonts w:hint="eastAsia" w:ascii="微软雅黑" w:hAnsi="微软雅黑" w:cs="微软雅黑"/>
          <w:color w:val="auto"/>
          <w:szCs w:val="21"/>
          <w:highlight w:val="none"/>
          <w:lang w:bidi="ar"/>
        </w:rPr>
        <w:t xml:space="preserve"> 规格型号：</w:t>
      </w:r>
      <w:r>
        <w:rPr>
          <w:rFonts w:hint="eastAsia" w:ascii="微软雅黑" w:hAnsi="微软雅黑" w:cs="微软雅黑"/>
          <w:color w:val="auto"/>
          <w:szCs w:val="21"/>
          <w:highlight w:val="none"/>
          <w:u w:val="single"/>
          <w:lang w:bidi="ar"/>
        </w:rPr>
        <w:t xml:space="preserve">        </w:t>
      </w:r>
      <w:r>
        <w:rPr>
          <w:rFonts w:hint="eastAsia" w:ascii="微软雅黑" w:hAnsi="微软雅黑" w:cs="微软雅黑"/>
          <w:color w:val="auto"/>
          <w:szCs w:val="21"/>
          <w:highlight w:val="none"/>
          <w:lang w:bidi="ar"/>
        </w:rPr>
        <w:t xml:space="preserve">      </w:t>
      </w:r>
    </w:p>
    <w:p w14:paraId="4330F149">
      <w:pPr>
        <w:adjustRightInd w:val="0"/>
        <w:snapToGrid w:val="0"/>
        <w:spacing w:line="400" w:lineRule="exact"/>
        <w:ind w:firstLine="840" w:firstLineChars="40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 xml:space="preserve"> </w:t>
      </w:r>
      <w:r>
        <w:rPr>
          <w:rFonts w:hint="eastAsia" w:ascii="微软雅黑" w:hAnsi="微软雅黑" w:cs="微软雅黑"/>
          <w:color w:val="auto"/>
          <w:szCs w:val="21"/>
          <w:highlight w:val="none"/>
          <w:lang w:bidi="ar"/>
        </w:rPr>
        <w:sym w:font="Wingdings" w:char="00A8"/>
      </w:r>
      <w:r>
        <w:rPr>
          <w:rFonts w:hint="eastAsia" w:ascii="微软雅黑" w:hAnsi="微软雅黑" w:cs="微软雅黑"/>
          <w:color w:val="auto"/>
          <w:szCs w:val="21"/>
          <w:highlight w:val="none"/>
          <w:lang w:bidi="ar"/>
        </w:rPr>
        <w:t>否</w:t>
      </w:r>
    </w:p>
    <w:p w14:paraId="47A5527D">
      <w:pPr>
        <w:tabs>
          <w:tab w:val="left" w:pos="740"/>
        </w:tabs>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 xml:space="preserve">    （10）是否涉及节能产品：</w:t>
      </w:r>
    </w:p>
    <w:p w14:paraId="2C5A5E80">
      <w:pPr>
        <w:tabs>
          <w:tab w:val="left" w:pos="740"/>
        </w:tabs>
        <w:adjustRightInd w:val="0"/>
        <w:snapToGrid w:val="0"/>
        <w:spacing w:line="400" w:lineRule="exact"/>
        <w:ind w:firstLine="420"/>
        <w:rPr>
          <w:rFonts w:ascii="微软雅黑" w:hAnsi="微软雅黑" w:cs="微软雅黑"/>
          <w:iCs/>
          <w:color w:val="auto"/>
          <w:szCs w:val="21"/>
          <w:highlight w:val="none"/>
        </w:rPr>
      </w:pPr>
      <w:r>
        <w:rPr>
          <w:rFonts w:hint="eastAsia" w:ascii="微软雅黑" w:hAnsi="微软雅黑" w:cs="微软雅黑"/>
          <w:color w:val="auto"/>
          <w:szCs w:val="21"/>
          <w:highlight w:val="none"/>
          <w:lang w:bidi="ar"/>
        </w:rPr>
        <w:t xml:space="preserve">         </w:t>
      </w:r>
      <w:r>
        <w:rPr>
          <w:rFonts w:hint="eastAsia" w:ascii="微软雅黑" w:hAnsi="微软雅黑" w:cs="微软雅黑"/>
          <w:color w:val="auto"/>
          <w:szCs w:val="21"/>
          <w:highlight w:val="none"/>
          <w:lang w:bidi="ar"/>
        </w:rPr>
        <w:sym w:font="Wingdings" w:char="00A8"/>
      </w:r>
      <w:r>
        <w:rPr>
          <w:rFonts w:hint="eastAsia" w:ascii="微软雅黑" w:hAnsi="微软雅黑" w:cs="微软雅黑"/>
          <w:color w:val="auto"/>
          <w:szCs w:val="21"/>
          <w:highlight w:val="none"/>
          <w:lang w:bidi="ar"/>
        </w:rPr>
        <w:t>是，《节能产品政府采购品目清单》的底级品目名称：</w:t>
      </w:r>
      <w:r>
        <w:rPr>
          <w:rFonts w:hint="eastAsia" w:ascii="微软雅黑" w:hAnsi="微软雅黑" w:cs="微软雅黑"/>
          <w:color w:val="auto"/>
          <w:szCs w:val="21"/>
          <w:highlight w:val="none"/>
          <w:u w:val="single"/>
          <w:lang w:bidi="ar"/>
        </w:rPr>
        <w:t xml:space="preserve">         </w:t>
      </w:r>
      <w:r>
        <w:rPr>
          <w:rFonts w:hint="eastAsia" w:ascii="微软雅黑" w:hAnsi="微软雅黑" w:cs="微软雅黑"/>
          <w:iCs/>
          <w:color w:val="auto"/>
          <w:szCs w:val="21"/>
          <w:highlight w:val="none"/>
          <w:lang w:bidi="ar"/>
        </w:rPr>
        <w:t xml:space="preserve">     </w:t>
      </w:r>
    </w:p>
    <w:p w14:paraId="21E82D38">
      <w:pPr>
        <w:tabs>
          <w:tab w:val="left" w:pos="740"/>
        </w:tabs>
        <w:adjustRightInd w:val="0"/>
        <w:snapToGrid w:val="0"/>
        <w:spacing w:line="400" w:lineRule="exact"/>
        <w:ind w:firstLine="420"/>
        <w:rPr>
          <w:rFonts w:ascii="微软雅黑" w:hAnsi="微软雅黑" w:cs="微软雅黑"/>
          <w:iCs/>
          <w:color w:val="auto"/>
          <w:szCs w:val="21"/>
          <w:highlight w:val="none"/>
        </w:rPr>
      </w:pPr>
      <w:r>
        <w:rPr>
          <w:rFonts w:hint="eastAsia" w:ascii="微软雅黑" w:hAnsi="微软雅黑" w:cs="微软雅黑"/>
          <w:iCs/>
          <w:color w:val="auto"/>
          <w:szCs w:val="21"/>
          <w:highlight w:val="none"/>
          <w:lang w:bidi="ar"/>
        </w:rPr>
        <w:t xml:space="preserve">                </w:t>
      </w:r>
      <w:r>
        <w:rPr>
          <w:rFonts w:hint="eastAsia" w:ascii="微软雅黑" w:hAnsi="微软雅黑" w:cs="微软雅黑"/>
          <w:iCs/>
          <w:color w:val="auto"/>
          <w:szCs w:val="21"/>
          <w:highlight w:val="none"/>
          <w:lang w:bidi="ar"/>
        </w:rPr>
        <w:sym w:font="Wingdings" w:char="00A8"/>
      </w:r>
      <w:r>
        <w:rPr>
          <w:rFonts w:hint="eastAsia" w:ascii="微软雅黑" w:hAnsi="微软雅黑" w:cs="微软雅黑"/>
          <w:iCs/>
          <w:color w:val="auto"/>
          <w:szCs w:val="21"/>
          <w:highlight w:val="none"/>
          <w:lang w:bidi="ar"/>
        </w:rPr>
        <w:t xml:space="preserve">强制采购       </w:t>
      </w:r>
      <w:r>
        <w:rPr>
          <w:rFonts w:hint="eastAsia" w:ascii="微软雅黑" w:hAnsi="微软雅黑" w:cs="微软雅黑"/>
          <w:iCs/>
          <w:color w:val="auto"/>
          <w:szCs w:val="21"/>
          <w:highlight w:val="none"/>
          <w:lang w:bidi="ar"/>
        </w:rPr>
        <w:sym w:font="Wingdings" w:char="00A8"/>
      </w:r>
      <w:r>
        <w:rPr>
          <w:rFonts w:hint="eastAsia" w:ascii="微软雅黑" w:hAnsi="微软雅黑" w:cs="微软雅黑"/>
          <w:iCs/>
          <w:color w:val="auto"/>
          <w:szCs w:val="21"/>
          <w:highlight w:val="none"/>
          <w:lang w:bidi="ar"/>
        </w:rPr>
        <w:t xml:space="preserve">优先采购    </w:t>
      </w:r>
    </w:p>
    <w:p w14:paraId="631B7337">
      <w:pPr>
        <w:tabs>
          <w:tab w:val="left" w:pos="740"/>
        </w:tabs>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iCs/>
          <w:color w:val="auto"/>
          <w:szCs w:val="21"/>
          <w:highlight w:val="none"/>
          <w:lang w:bidi="ar"/>
        </w:rPr>
        <w:t xml:space="preserve">         </w:t>
      </w:r>
      <w:r>
        <w:rPr>
          <w:rFonts w:hint="eastAsia" w:ascii="微软雅黑" w:hAnsi="微软雅黑" w:cs="微软雅黑"/>
          <w:color w:val="auto"/>
          <w:szCs w:val="21"/>
          <w:highlight w:val="none"/>
          <w:lang w:bidi="ar"/>
        </w:rPr>
        <w:sym w:font="Wingdings" w:char="00A8"/>
      </w:r>
      <w:r>
        <w:rPr>
          <w:rFonts w:hint="eastAsia" w:ascii="微软雅黑" w:hAnsi="微软雅黑" w:cs="微软雅黑"/>
          <w:color w:val="auto"/>
          <w:szCs w:val="21"/>
          <w:highlight w:val="none"/>
          <w:lang w:bidi="ar"/>
        </w:rPr>
        <w:t>否</w:t>
      </w:r>
    </w:p>
    <w:p w14:paraId="2F1FF5D3">
      <w:pPr>
        <w:tabs>
          <w:tab w:val="left" w:pos="740"/>
        </w:tabs>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 xml:space="preserve">          是否涉及环境标志产品：</w:t>
      </w:r>
    </w:p>
    <w:p w14:paraId="78266841">
      <w:pPr>
        <w:tabs>
          <w:tab w:val="left" w:pos="740"/>
        </w:tabs>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 xml:space="preserve">         </w:t>
      </w:r>
      <w:r>
        <w:rPr>
          <w:rFonts w:hint="eastAsia" w:ascii="微软雅黑" w:hAnsi="微软雅黑" w:cs="微软雅黑"/>
          <w:color w:val="auto"/>
          <w:szCs w:val="21"/>
          <w:highlight w:val="none"/>
          <w:lang w:bidi="ar"/>
        </w:rPr>
        <w:sym w:font="Wingdings" w:char="00A8"/>
      </w:r>
      <w:r>
        <w:rPr>
          <w:rFonts w:hint="eastAsia" w:ascii="微软雅黑" w:hAnsi="微软雅黑" w:cs="微软雅黑"/>
          <w:color w:val="auto"/>
          <w:szCs w:val="21"/>
          <w:highlight w:val="none"/>
          <w:lang w:bidi="ar"/>
        </w:rPr>
        <w:t>是，《环境标志产品政府采购品目清单》的底级品目名称：</w:t>
      </w:r>
      <w:r>
        <w:rPr>
          <w:rFonts w:hint="eastAsia" w:ascii="微软雅黑" w:hAnsi="微软雅黑" w:cs="微软雅黑"/>
          <w:color w:val="auto"/>
          <w:szCs w:val="21"/>
          <w:highlight w:val="none"/>
          <w:u w:val="single"/>
          <w:lang w:bidi="ar"/>
        </w:rPr>
        <w:t xml:space="preserve">         </w:t>
      </w:r>
      <w:r>
        <w:rPr>
          <w:rFonts w:hint="eastAsia" w:ascii="微软雅黑" w:hAnsi="微软雅黑" w:cs="微软雅黑"/>
          <w:iCs/>
          <w:color w:val="auto"/>
          <w:szCs w:val="21"/>
          <w:highlight w:val="none"/>
          <w:lang w:bidi="ar"/>
        </w:rPr>
        <w:t xml:space="preserve"> </w:t>
      </w:r>
    </w:p>
    <w:p w14:paraId="747A8630">
      <w:pPr>
        <w:tabs>
          <w:tab w:val="left" w:pos="740"/>
        </w:tabs>
        <w:adjustRightInd w:val="0"/>
        <w:snapToGrid w:val="0"/>
        <w:spacing w:line="400" w:lineRule="exact"/>
        <w:ind w:firstLine="420"/>
        <w:rPr>
          <w:rFonts w:ascii="微软雅黑" w:hAnsi="微软雅黑" w:cs="微软雅黑"/>
          <w:iCs/>
          <w:color w:val="auto"/>
          <w:szCs w:val="21"/>
          <w:highlight w:val="none"/>
        </w:rPr>
      </w:pPr>
      <w:r>
        <w:rPr>
          <w:rFonts w:hint="eastAsia" w:ascii="微软雅黑" w:hAnsi="微软雅黑" w:cs="微软雅黑"/>
          <w:iCs/>
          <w:color w:val="auto"/>
          <w:szCs w:val="21"/>
          <w:highlight w:val="none"/>
          <w:lang w:bidi="ar"/>
        </w:rPr>
        <w:t xml:space="preserve">                </w:t>
      </w:r>
      <w:r>
        <w:rPr>
          <w:rFonts w:hint="eastAsia" w:ascii="微软雅黑" w:hAnsi="微软雅黑" w:cs="微软雅黑"/>
          <w:iCs/>
          <w:color w:val="auto"/>
          <w:szCs w:val="21"/>
          <w:highlight w:val="none"/>
          <w:lang w:bidi="ar"/>
        </w:rPr>
        <w:sym w:font="Wingdings" w:char="00A8"/>
      </w:r>
      <w:r>
        <w:rPr>
          <w:rFonts w:hint="eastAsia" w:ascii="微软雅黑" w:hAnsi="微软雅黑" w:cs="微软雅黑"/>
          <w:iCs/>
          <w:color w:val="auto"/>
          <w:szCs w:val="21"/>
          <w:highlight w:val="none"/>
          <w:lang w:bidi="ar"/>
        </w:rPr>
        <w:t xml:space="preserve">强制采购       </w:t>
      </w:r>
      <w:r>
        <w:rPr>
          <w:rFonts w:hint="eastAsia" w:ascii="微软雅黑" w:hAnsi="微软雅黑" w:cs="微软雅黑"/>
          <w:iCs/>
          <w:color w:val="auto"/>
          <w:szCs w:val="21"/>
          <w:highlight w:val="none"/>
          <w:lang w:bidi="ar"/>
        </w:rPr>
        <w:sym w:font="Wingdings" w:char="00A8"/>
      </w:r>
      <w:r>
        <w:rPr>
          <w:rFonts w:hint="eastAsia" w:ascii="微软雅黑" w:hAnsi="微软雅黑" w:cs="微软雅黑"/>
          <w:iCs/>
          <w:color w:val="auto"/>
          <w:szCs w:val="21"/>
          <w:highlight w:val="none"/>
          <w:lang w:bidi="ar"/>
        </w:rPr>
        <w:t xml:space="preserve">优先采购    </w:t>
      </w:r>
    </w:p>
    <w:p w14:paraId="1B7AD3F4">
      <w:pPr>
        <w:tabs>
          <w:tab w:val="left" w:pos="740"/>
        </w:tabs>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iCs/>
          <w:color w:val="auto"/>
          <w:szCs w:val="21"/>
          <w:highlight w:val="none"/>
          <w:lang w:bidi="ar"/>
        </w:rPr>
        <w:t xml:space="preserve">         </w:t>
      </w:r>
      <w:r>
        <w:rPr>
          <w:rFonts w:hint="eastAsia" w:ascii="微软雅黑" w:hAnsi="微软雅黑" w:cs="微软雅黑"/>
          <w:color w:val="auto"/>
          <w:szCs w:val="21"/>
          <w:highlight w:val="none"/>
          <w:lang w:bidi="ar"/>
        </w:rPr>
        <w:sym w:font="Wingdings" w:char="00A8"/>
      </w:r>
      <w:r>
        <w:rPr>
          <w:rFonts w:hint="eastAsia" w:ascii="微软雅黑" w:hAnsi="微软雅黑" w:cs="微软雅黑"/>
          <w:color w:val="auto"/>
          <w:szCs w:val="21"/>
          <w:highlight w:val="none"/>
          <w:lang w:bidi="ar"/>
        </w:rPr>
        <w:t>否</w:t>
      </w:r>
    </w:p>
    <w:p w14:paraId="5221FC80">
      <w:pPr>
        <w:pStyle w:val="307"/>
        <w:snapToGrid w:val="0"/>
        <w:ind w:firstLine="0" w:firstLineChars="0"/>
        <w:rPr>
          <w:rFonts w:ascii="微软雅黑" w:hAnsi="微软雅黑" w:eastAsia="微软雅黑" w:cs="微软雅黑"/>
          <w:color w:val="auto"/>
          <w:kern w:val="2"/>
          <w:sz w:val="21"/>
          <w:highlight w:val="none"/>
        </w:rPr>
      </w:pPr>
      <w:r>
        <w:rPr>
          <w:rFonts w:hint="eastAsia" w:ascii="微软雅黑" w:hAnsi="微软雅黑" w:eastAsia="微软雅黑" w:cs="微软雅黑"/>
          <w:color w:val="auto"/>
          <w:sz w:val="21"/>
          <w:highlight w:val="none"/>
        </w:rPr>
        <w:t xml:space="preserve">          </w:t>
      </w:r>
      <w:r>
        <w:rPr>
          <w:rFonts w:hint="eastAsia" w:ascii="微软雅黑" w:hAnsi="微软雅黑" w:eastAsia="微软雅黑" w:cs="微软雅黑"/>
          <w:color w:val="auto"/>
          <w:kern w:val="2"/>
          <w:sz w:val="21"/>
          <w:highlight w:val="none"/>
        </w:rPr>
        <w:t xml:space="preserve">是否涉及绿色产品： </w:t>
      </w:r>
    </w:p>
    <w:p w14:paraId="7CE09190">
      <w:pPr>
        <w:pStyle w:val="307"/>
        <w:ind w:left="480" w:firstLine="420" w:firstLineChars="0"/>
        <w:rPr>
          <w:rFonts w:ascii="微软雅黑" w:hAnsi="微软雅黑" w:eastAsia="微软雅黑" w:cs="微软雅黑"/>
          <w:color w:val="auto"/>
          <w:sz w:val="21"/>
          <w:highlight w:val="none"/>
          <w:u w:val="single"/>
        </w:rPr>
      </w:pPr>
      <w:r>
        <w:rPr>
          <w:rFonts w:hint="eastAsia" w:ascii="微软雅黑" w:hAnsi="微软雅黑" w:eastAsia="微软雅黑" w:cs="微软雅黑"/>
          <w:color w:val="auto"/>
          <w:kern w:val="2"/>
          <w:sz w:val="21"/>
          <w:highlight w:val="none"/>
        </w:rPr>
        <w:t xml:space="preserve">     </w:t>
      </w:r>
      <w:r>
        <w:rPr>
          <w:rFonts w:hint="eastAsia" w:ascii="微软雅黑" w:hAnsi="微软雅黑" w:eastAsia="微软雅黑" w:cs="微软雅黑"/>
          <w:color w:val="auto"/>
          <w:kern w:val="2"/>
          <w:sz w:val="21"/>
          <w:highlight w:val="none"/>
        </w:rPr>
        <w:sym w:font="Wingdings" w:char="00A8"/>
      </w:r>
      <w:r>
        <w:rPr>
          <w:rFonts w:hint="eastAsia" w:ascii="微软雅黑" w:hAnsi="微软雅黑" w:eastAsia="微软雅黑" w:cs="微软雅黑"/>
          <w:color w:val="auto"/>
          <w:kern w:val="2"/>
          <w:sz w:val="21"/>
          <w:highlight w:val="none"/>
        </w:rPr>
        <w:t>是，绿色产品政府采购相关政策确定的底级品目名称：</w:t>
      </w:r>
      <w:r>
        <w:rPr>
          <w:rFonts w:hint="eastAsia" w:ascii="微软雅黑" w:hAnsi="微软雅黑" w:eastAsia="微软雅黑" w:cs="微软雅黑"/>
          <w:color w:val="auto"/>
          <w:sz w:val="21"/>
          <w:highlight w:val="none"/>
          <w:u w:val="single"/>
        </w:rPr>
        <w:t xml:space="preserve">         </w:t>
      </w:r>
    </w:p>
    <w:p w14:paraId="4E3D4410">
      <w:pPr>
        <w:tabs>
          <w:tab w:val="left" w:pos="740"/>
        </w:tabs>
        <w:adjustRightInd w:val="0"/>
        <w:snapToGrid w:val="0"/>
        <w:spacing w:line="400" w:lineRule="exact"/>
        <w:ind w:firstLine="420"/>
        <w:rPr>
          <w:rFonts w:ascii="微软雅黑" w:hAnsi="微软雅黑" w:cs="微软雅黑"/>
          <w:iCs/>
          <w:color w:val="auto"/>
          <w:szCs w:val="21"/>
          <w:highlight w:val="none"/>
        </w:rPr>
      </w:pPr>
      <w:r>
        <w:rPr>
          <w:rFonts w:hint="eastAsia" w:ascii="微软雅黑" w:hAnsi="微软雅黑" w:cs="微软雅黑"/>
          <w:iCs/>
          <w:color w:val="auto"/>
          <w:szCs w:val="21"/>
          <w:highlight w:val="none"/>
          <w:lang w:bidi="ar"/>
        </w:rPr>
        <w:t xml:space="preserve">                </w:t>
      </w:r>
      <w:r>
        <w:rPr>
          <w:rFonts w:hint="eastAsia" w:ascii="微软雅黑" w:hAnsi="微软雅黑" w:cs="微软雅黑"/>
          <w:iCs/>
          <w:color w:val="auto"/>
          <w:szCs w:val="21"/>
          <w:highlight w:val="none"/>
          <w:lang w:bidi="ar"/>
        </w:rPr>
        <w:sym w:font="Wingdings" w:char="00A8"/>
      </w:r>
      <w:r>
        <w:rPr>
          <w:rFonts w:hint="eastAsia" w:ascii="微软雅黑" w:hAnsi="微软雅黑" w:cs="微软雅黑"/>
          <w:iCs/>
          <w:color w:val="auto"/>
          <w:szCs w:val="21"/>
          <w:highlight w:val="none"/>
          <w:lang w:bidi="ar"/>
        </w:rPr>
        <w:t xml:space="preserve">强制采购       </w:t>
      </w:r>
      <w:r>
        <w:rPr>
          <w:rFonts w:hint="eastAsia" w:ascii="微软雅黑" w:hAnsi="微软雅黑" w:cs="微软雅黑"/>
          <w:iCs/>
          <w:color w:val="auto"/>
          <w:szCs w:val="21"/>
          <w:highlight w:val="none"/>
          <w:lang w:bidi="ar"/>
        </w:rPr>
        <w:sym w:font="Wingdings" w:char="00A8"/>
      </w:r>
      <w:r>
        <w:rPr>
          <w:rFonts w:hint="eastAsia" w:ascii="微软雅黑" w:hAnsi="微软雅黑" w:cs="微软雅黑"/>
          <w:iCs/>
          <w:color w:val="auto"/>
          <w:szCs w:val="21"/>
          <w:highlight w:val="none"/>
          <w:lang w:bidi="ar"/>
        </w:rPr>
        <w:t xml:space="preserve">优先采购    </w:t>
      </w:r>
    </w:p>
    <w:p w14:paraId="1F68F24E">
      <w:pPr>
        <w:pStyle w:val="307"/>
        <w:ind w:left="480" w:firstLine="420" w:firstLineChars="0"/>
        <w:rPr>
          <w:rFonts w:ascii="微软雅黑" w:hAnsi="微软雅黑" w:eastAsia="微软雅黑" w:cs="微软雅黑"/>
          <w:color w:val="auto"/>
          <w:sz w:val="21"/>
          <w:highlight w:val="none"/>
        </w:rPr>
      </w:pPr>
      <w:r>
        <w:rPr>
          <w:rFonts w:hint="eastAsia" w:ascii="微软雅黑" w:hAnsi="微软雅黑" w:eastAsia="微软雅黑" w:cs="微软雅黑"/>
          <w:color w:val="auto"/>
          <w:kern w:val="2"/>
          <w:sz w:val="21"/>
          <w:highlight w:val="none"/>
        </w:rPr>
        <w:t xml:space="preserve">     </w:t>
      </w:r>
      <w:r>
        <w:rPr>
          <w:rFonts w:hint="eastAsia" w:ascii="微软雅黑" w:hAnsi="微软雅黑" w:eastAsia="微软雅黑" w:cs="微软雅黑"/>
          <w:color w:val="auto"/>
          <w:kern w:val="2"/>
          <w:sz w:val="21"/>
          <w:highlight w:val="none"/>
        </w:rPr>
        <w:sym w:font="Wingdings" w:char="00A8"/>
      </w:r>
      <w:r>
        <w:rPr>
          <w:rFonts w:hint="eastAsia" w:ascii="微软雅黑" w:hAnsi="微软雅黑" w:eastAsia="微软雅黑" w:cs="微软雅黑"/>
          <w:color w:val="auto"/>
          <w:kern w:val="2"/>
          <w:sz w:val="21"/>
          <w:highlight w:val="none"/>
        </w:rPr>
        <w:t>否</w:t>
      </w:r>
    </w:p>
    <w:p w14:paraId="182461AC">
      <w:pPr>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 xml:space="preserve">    （11）涉及商品包装和快递包装的，是否参考《商品包装政府采购需求标准（试行）》、《快递包装政府采购需求标准（试行）》明确产品及相关快递服务的具体包装要求：</w:t>
      </w:r>
    </w:p>
    <w:p w14:paraId="46C3B3F7">
      <w:pPr>
        <w:adjustRightInd w:val="0"/>
        <w:snapToGrid w:val="0"/>
        <w:spacing w:line="400" w:lineRule="exact"/>
        <w:ind w:firstLine="840" w:firstLineChars="40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sym w:font="Wingdings" w:char="00A8"/>
      </w:r>
      <w:r>
        <w:rPr>
          <w:rFonts w:hint="eastAsia" w:ascii="微软雅黑" w:hAnsi="微软雅黑" w:cs="微软雅黑"/>
          <w:color w:val="auto"/>
          <w:szCs w:val="21"/>
          <w:highlight w:val="none"/>
          <w:lang w:bidi="ar"/>
        </w:rPr>
        <w:t xml:space="preserve">是       </w:t>
      </w:r>
      <w:r>
        <w:rPr>
          <w:rFonts w:hint="eastAsia" w:ascii="微软雅黑" w:hAnsi="微软雅黑" w:cs="微软雅黑"/>
          <w:color w:val="auto"/>
          <w:szCs w:val="21"/>
          <w:highlight w:val="none"/>
          <w:lang w:bidi="ar"/>
        </w:rPr>
        <w:sym w:font="Wingdings" w:char="00A8"/>
      </w:r>
      <w:r>
        <w:rPr>
          <w:rFonts w:hint="eastAsia" w:ascii="微软雅黑" w:hAnsi="微软雅黑" w:cs="微软雅黑"/>
          <w:color w:val="auto"/>
          <w:szCs w:val="21"/>
          <w:highlight w:val="none"/>
          <w:lang w:bidi="ar"/>
        </w:rPr>
        <w:t xml:space="preserve">否      </w:t>
      </w:r>
      <w:r>
        <w:rPr>
          <w:rFonts w:hint="eastAsia" w:ascii="微软雅黑" w:hAnsi="微软雅黑" w:cs="微软雅黑"/>
          <w:color w:val="auto"/>
          <w:szCs w:val="21"/>
          <w:highlight w:val="none"/>
          <w:lang w:bidi="ar"/>
        </w:rPr>
        <w:sym w:font="Wingdings" w:char="00A8"/>
      </w:r>
      <w:r>
        <w:rPr>
          <w:rFonts w:hint="eastAsia" w:ascii="微软雅黑" w:hAnsi="微软雅黑" w:cs="微软雅黑"/>
          <w:color w:val="auto"/>
          <w:szCs w:val="21"/>
          <w:highlight w:val="none"/>
          <w:lang w:bidi="ar"/>
        </w:rPr>
        <w:t>不涉及</w:t>
      </w:r>
    </w:p>
    <w:p w14:paraId="5CDBD236">
      <w:pPr>
        <w:numPr>
          <w:ilvl w:val="0"/>
          <w:numId w:val="44"/>
        </w:numPr>
        <w:adjustRightInd w:val="0"/>
        <w:snapToGrid w:val="0"/>
        <w:spacing w:line="400" w:lineRule="exact"/>
        <w:ind w:firstLine="420"/>
        <w:rPr>
          <w:rFonts w:ascii="微软雅黑" w:hAnsi="微软雅黑" w:cs="微软雅黑"/>
          <w:b/>
          <w:color w:val="auto"/>
          <w:szCs w:val="21"/>
          <w:highlight w:val="none"/>
        </w:rPr>
      </w:pPr>
      <w:r>
        <w:rPr>
          <w:rFonts w:hint="eastAsia" w:ascii="微软雅黑" w:hAnsi="微软雅黑" w:cs="微软雅黑"/>
          <w:b/>
          <w:color w:val="auto"/>
          <w:szCs w:val="21"/>
          <w:highlight w:val="none"/>
          <w:lang w:bidi="ar"/>
        </w:rPr>
        <w:t>合同金额</w:t>
      </w:r>
    </w:p>
    <w:p w14:paraId="781C4665">
      <w:pPr>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（1）合同金额小写：</w:t>
      </w:r>
      <w:r>
        <w:rPr>
          <w:rFonts w:hint="eastAsia" w:ascii="微软雅黑" w:hAnsi="微软雅黑" w:cs="微软雅黑"/>
          <w:color w:val="auto"/>
          <w:szCs w:val="21"/>
          <w:highlight w:val="none"/>
          <w:u w:val="single"/>
          <w:lang w:bidi="ar"/>
        </w:rPr>
        <w:t xml:space="preserve">                           </w:t>
      </w:r>
    </w:p>
    <w:p w14:paraId="6FC5764B">
      <w:pPr>
        <w:adjustRightInd w:val="0"/>
        <w:snapToGrid w:val="0"/>
        <w:spacing w:line="400" w:lineRule="exact"/>
        <w:ind w:firstLine="420"/>
        <w:rPr>
          <w:rFonts w:ascii="微软雅黑" w:hAnsi="微软雅黑" w:cs="微软雅黑"/>
          <w:color w:val="auto"/>
          <w:szCs w:val="21"/>
          <w:highlight w:val="none"/>
          <w:u w:val="single"/>
        </w:rPr>
      </w:pPr>
      <w:r>
        <w:rPr>
          <w:rFonts w:hint="eastAsia" w:ascii="微软雅黑" w:hAnsi="微软雅黑" w:cs="微软雅黑"/>
          <w:color w:val="auto"/>
          <w:szCs w:val="21"/>
          <w:highlight w:val="none"/>
          <w:lang w:bidi="ar"/>
        </w:rPr>
        <w:t xml:space="preserve">                 大写：</w:t>
      </w:r>
      <w:r>
        <w:rPr>
          <w:rFonts w:hint="eastAsia" w:ascii="微软雅黑" w:hAnsi="微软雅黑" w:cs="微软雅黑"/>
          <w:color w:val="auto"/>
          <w:szCs w:val="21"/>
          <w:highlight w:val="none"/>
          <w:u w:val="single"/>
          <w:lang w:bidi="ar"/>
        </w:rPr>
        <w:t xml:space="preserve">                           </w:t>
      </w:r>
    </w:p>
    <w:p w14:paraId="055800C7">
      <w:pPr>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 xml:space="preserve">         分包金额（如有）小写：</w:t>
      </w:r>
      <w:r>
        <w:rPr>
          <w:rFonts w:hint="eastAsia" w:ascii="微软雅黑" w:hAnsi="微软雅黑" w:cs="微软雅黑"/>
          <w:color w:val="auto"/>
          <w:szCs w:val="21"/>
          <w:highlight w:val="none"/>
          <w:u w:val="single"/>
          <w:lang w:bidi="ar"/>
        </w:rPr>
        <w:t xml:space="preserve">                   </w:t>
      </w:r>
    </w:p>
    <w:p w14:paraId="1C228A91">
      <w:pPr>
        <w:adjustRightInd w:val="0"/>
        <w:snapToGrid w:val="0"/>
        <w:spacing w:line="400" w:lineRule="exact"/>
        <w:ind w:firstLine="420"/>
        <w:rPr>
          <w:rFonts w:ascii="微软雅黑" w:hAnsi="微软雅黑" w:cs="微软雅黑"/>
          <w:color w:val="auto"/>
          <w:szCs w:val="21"/>
          <w:highlight w:val="none"/>
          <w:u w:val="single"/>
        </w:rPr>
      </w:pPr>
      <w:r>
        <w:rPr>
          <w:rFonts w:hint="eastAsia" w:ascii="微软雅黑" w:hAnsi="微软雅黑" w:cs="微软雅黑"/>
          <w:color w:val="auto"/>
          <w:szCs w:val="21"/>
          <w:highlight w:val="none"/>
          <w:lang w:bidi="ar"/>
        </w:rPr>
        <w:t xml:space="preserve">                     大写：</w:t>
      </w:r>
      <w:r>
        <w:rPr>
          <w:rFonts w:hint="eastAsia" w:ascii="微软雅黑" w:hAnsi="微软雅黑" w:cs="微软雅黑"/>
          <w:color w:val="auto"/>
          <w:szCs w:val="21"/>
          <w:highlight w:val="none"/>
          <w:u w:val="single"/>
          <w:lang w:bidi="ar"/>
        </w:rPr>
        <w:t xml:space="preserve">                       </w:t>
      </w:r>
    </w:p>
    <w:p w14:paraId="742A9FF5">
      <w:pPr>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 xml:space="preserve">    （注：固定单价合同应填写单价和最高限价）</w:t>
      </w:r>
    </w:p>
    <w:p w14:paraId="22477E8E">
      <w:pPr>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 xml:space="preserve">    （2）合同定价方式（采用组合定价方式的，可以勾选多项）：</w:t>
      </w:r>
    </w:p>
    <w:p w14:paraId="2BCECD80">
      <w:pPr>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iCs/>
          <w:color w:val="auto"/>
          <w:szCs w:val="21"/>
          <w:highlight w:val="none"/>
          <w:lang w:bidi="ar"/>
        </w:rPr>
        <w:t xml:space="preserve">  </w:t>
      </w:r>
      <w:r>
        <w:rPr>
          <w:rFonts w:hint="eastAsia" w:ascii="微软雅黑" w:hAnsi="微软雅黑" w:cs="微软雅黑"/>
          <w:iCs/>
          <w:color w:val="auto"/>
          <w:szCs w:val="21"/>
          <w:highlight w:val="none"/>
          <w:lang w:bidi="ar"/>
        </w:rPr>
        <w:sym w:font="Wingdings" w:char="00A8"/>
      </w:r>
      <w:r>
        <w:rPr>
          <w:rFonts w:hint="eastAsia" w:ascii="微软雅黑" w:hAnsi="微软雅黑" w:cs="微软雅黑"/>
          <w:iCs/>
          <w:color w:val="auto"/>
          <w:szCs w:val="21"/>
          <w:highlight w:val="none"/>
          <w:lang w:bidi="ar"/>
        </w:rPr>
        <w:t xml:space="preserve">固定总价 </w:t>
      </w:r>
      <w:r>
        <w:rPr>
          <w:rFonts w:hint="eastAsia" w:ascii="微软雅黑" w:hAnsi="微软雅黑" w:cs="微软雅黑"/>
          <w:iCs/>
          <w:color w:val="auto"/>
          <w:szCs w:val="21"/>
          <w:highlight w:val="none"/>
          <w:lang w:bidi="ar"/>
        </w:rPr>
        <w:sym w:font="Wingdings" w:char="00A8"/>
      </w:r>
      <w:r>
        <w:rPr>
          <w:rFonts w:hint="eastAsia" w:ascii="微软雅黑" w:hAnsi="微软雅黑" w:cs="微软雅黑"/>
          <w:iCs/>
          <w:color w:val="auto"/>
          <w:szCs w:val="21"/>
          <w:highlight w:val="none"/>
          <w:lang w:bidi="ar"/>
        </w:rPr>
        <w:t xml:space="preserve">固定单价 </w:t>
      </w:r>
      <w:r>
        <w:rPr>
          <w:rFonts w:hint="eastAsia" w:ascii="微软雅黑" w:hAnsi="微软雅黑" w:cs="微软雅黑"/>
          <w:iCs/>
          <w:color w:val="auto"/>
          <w:szCs w:val="21"/>
          <w:highlight w:val="none"/>
          <w:lang w:bidi="ar"/>
        </w:rPr>
        <w:sym w:font="Wingdings" w:char="00A8"/>
      </w:r>
      <w:r>
        <w:rPr>
          <w:rFonts w:hint="eastAsia" w:ascii="微软雅黑" w:hAnsi="微软雅黑" w:cs="微软雅黑"/>
          <w:iCs/>
          <w:color w:val="auto"/>
          <w:szCs w:val="21"/>
          <w:highlight w:val="none"/>
          <w:lang w:bidi="ar"/>
        </w:rPr>
        <w:t xml:space="preserve">固定费率 </w:t>
      </w:r>
      <w:r>
        <w:rPr>
          <w:rFonts w:hint="eastAsia" w:ascii="微软雅黑" w:hAnsi="微软雅黑" w:cs="微软雅黑"/>
          <w:iCs/>
          <w:color w:val="auto"/>
          <w:szCs w:val="21"/>
          <w:highlight w:val="none"/>
          <w:lang w:bidi="ar"/>
        </w:rPr>
        <w:sym w:font="Wingdings" w:char="00A8"/>
      </w:r>
      <w:r>
        <w:rPr>
          <w:rFonts w:hint="eastAsia" w:ascii="微软雅黑" w:hAnsi="微软雅黑" w:cs="微软雅黑"/>
          <w:iCs/>
          <w:color w:val="auto"/>
          <w:szCs w:val="21"/>
          <w:highlight w:val="none"/>
          <w:lang w:bidi="ar"/>
        </w:rPr>
        <w:t xml:space="preserve">成本补偿 </w:t>
      </w:r>
      <w:r>
        <w:rPr>
          <w:rFonts w:hint="eastAsia" w:ascii="微软雅黑" w:hAnsi="微软雅黑" w:cs="微软雅黑"/>
          <w:iCs/>
          <w:color w:val="auto"/>
          <w:szCs w:val="21"/>
          <w:highlight w:val="none"/>
          <w:lang w:bidi="ar"/>
        </w:rPr>
        <w:sym w:font="Wingdings" w:char="00A8"/>
      </w:r>
      <w:r>
        <w:rPr>
          <w:rFonts w:hint="eastAsia" w:ascii="微软雅黑" w:hAnsi="微软雅黑" w:cs="微软雅黑"/>
          <w:iCs/>
          <w:color w:val="auto"/>
          <w:szCs w:val="21"/>
          <w:highlight w:val="none"/>
          <w:lang w:bidi="ar"/>
        </w:rPr>
        <w:t xml:space="preserve">绩效激励 </w:t>
      </w:r>
      <w:r>
        <w:rPr>
          <w:rFonts w:hint="eastAsia" w:ascii="微软雅黑" w:hAnsi="微软雅黑" w:cs="微软雅黑"/>
          <w:iCs/>
          <w:color w:val="auto"/>
          <w:szCs w:val="21"/>
          <w:highlight w:val="none"/>
          <w:lang w:bidi="ar"/>
        </w:rPr>
        <w:sym w:font="Wingdings" w:char="00A8"/>
      </w:r>
      <w:r>
        <w:rPr>
          <w:rFonts w:hint="eastAsia" w:ascii="微软雅黑" w:hAnsi="微软雅黑" w:cs="微软雅黑"/>
          <w:iCs/>
          <w:color w:val="auto"/>
          <w:szCs w:val="21"/>
          <w:highlight w:val="none"/>
          <w:lang w:bidi="ar"/>
        </w:rPr>
        <w:t>其他</w:t>
      </w:r>
      <w:r>
        <w:rPr>
          <w:rFonts w:hint="eastAsia" w:ascii="微软雅黑" w:hAnsi="微软雅黑" w:cs="微软雅黑"/>
          <w:color w:val="auto"/>
          <w:szCs w:val="21"/>
          <w:highlight w:val="none"/>
          <w:u w:val="single"/>
          <w:lang w:bidi="ar"/>
        </w:rPr>
        <w:t xml:space="preserve">       </w:t>
      </w:r>
    </w:p>
    <w:p w14:paraId="37AE7F04">
      <w:pPr>
        <w:pStyle w:val="47"/>
        <w:widowControl w:val="0"/>
        <w:spacing w:line="400" w:lineRule="exact"/>
        <w:ind w:firstLine="420"/>
        <w:jc w:val="both"/>
        <w:rPr>
          <w:rFonts w:ascii="微软雅黑" w:hAnsi="微软雅黑" w:cs="微软雅黑"/>
          <w:color w:val="auto"/>
          <w:highlight w:val="none"/>
        </w:rPr>
      </w:pPr>
      <w:r>
        <w:rPr>
          <w:rFonts w:hint="eastAsia" w:ascii="微软雅黑" w:hAnsi="微软雅黑" w:cs="微软雅黑"/>
          <w:color w:val="auto"/>
          <w:kern w:val="2"/>
          <w:sz w:val="21"/>
          <w:szCs w:val="21"/>
          <w:highlight w:val="none"/>
          <w:lang w:bidi="ar"/>
        </w:rPr>
        <w:t>（3）付款方式（按项目实际勾选填写）：</w:t>
      </w:r>
    </w:p>
    <w:p w14:paraId="3C4B9C49">
      <w:pPr>
        <w:adjustRightInd w:val="0"/>
        <w:snapToGrid w:val="0"/>
        <w:spacing w:line="400" w:lineRule="exact"/>
        <w:ind w:firstLine="630" w:firstLineChars="300"/>
        <w:rPr>
          <w:rFonts w:ascii="微软雅黑" w:hAnsi="微软雅黑" w:cs="微软雅黑"/>
          <w:color w:val="auto"/>
          <w:szCs w:val="21"/>
          <w:highlight w:val="none"/>
          <w:u w:val="single"/>
        </w:rPr>
      </w:pPr>
      <w:r>
        <w:rPr>
          <w:rFonts w:hint="eastAsia" w:ascii="微软雅黑" w:hAnsi="微软雅黑" w:cs="微软雅黑"/>
          <w:color w:val="auto"/>
          <w:szCs w:val="21"/>
          <w:highlight w:val="none"/>
          <w:lang w:bidi="ar"/>
        </w:rPr>
        <w:sym w:font="Wingdings" w:char="00A8"/>
      </w:r>
      <w:r>
        <w:rPr>
          <w:rFonts w:hint="eastAsia" w:ascii="微软雅黑" w:hAnsi="微软雅黑" w:cs="微软雅黑"/>
          <w:color w:val="auto"/>
          <w:szCs w:val="21"/>
          <w:highlight w:val="none"/>
          <w:lang w:bidi="ar"/>
        </w:rPr>
        <w:t>全额付款：</w:t>
      </w:r>
      <w:r>
        <w:rPr>
          <w:rFonts w:hint="eastAsia" w:ascii="微软雅黑" w:hAnsi="微软雅黑" w:cs="微软雅黑"/>
          <w:color w:val="auto"/>
          <w:szCs w:val="21"/>
          <w:highlight w:val="none"/>
          <w:u w:val="single"/>
          <w:lang w:bidi="ar"/>
        </w:rPr>
        <w:t xml:space="preserve">     （应明确一次性支付合同款项的条件）                    </w:t>
      </w:r>
    </w:p>
    <w:p w14:paraId="3BB78293">
      <w:pPr>
        <w:snapToGrid w:val="0"/>
        <w:spacing w:line="400" w:lineRule="exact"/>
        <w:ind w:firstLine="630" w:firstLineChars="30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sym w:font="Wingdings" w:char="00A8"/>
      </w:r>
      <w:r>
        <w:rPr>
          <w:rFonts w:hint="eastAsia" w:ascii="微软雅黑" w:hAnsi="微软雅黑" w:cs="微软雅黑"/>
          <w:color w:val="auto"/>
          <w:szCs w:val="21"/>
          <w:highlight w:val="none"/>
          <w:lang w:bidi="ar"/>
        </w:rPr>
        <w:t>分期付款：</w:t>
      </w:r>
      <w:r>
        <w:rPr>
          <w:rFonts w:hint="eastAsia" w:ascii="微软雅黑" w:hAnsi="微软雅黑" w:cs="微软雅黑"/>
          <w:color w:val="auto"/>
          <w:szCs w:val="21"/>
          <w:highlight w:val="none"/>
          <w:u w:val="single"/>
          <w:lang w:bidi="ar"/>
        </w:rPr>
        <w:t xml:space="preserve">  （应明确分期支付合同款项的各期比例和支付条件，各期支付条件应与分期履约验收情况挂钩） </w:t>
      </w:r>
      <w:r>
        <w:rPr>
          <w:rFonts w:hint="eastAsia" w:ascii="微软雅黑" w:hAnsi="微软雅黑" w:cs="微软雅黑"/>
          <w:color w:val="auto"/>
          <w:szCs w:val="21"/>
          <w:highlight w:val="none"/>
          <w:lang w:bidi="ar"/>
        </w:rPr>
        <w:t>，其中涉及预付款的：</w:t>
      </w:r>
      <w:r>
        <w:rPr>
          <w:rFonts w:hint="eastAsia" w:ascii="微软雅黑" w:hAnsi="微软雅黑" w:cs="微软雅黑"/>
          <w:color w:val="auto"/>
          <w:szCs w:val="21"/>
          <w:highlight w:val="none"/>
          <w:u w:val="single"/>
          <w:lang w:bidi="ar"/>
        </w:rPr>
        <w:t xml:space="preserve"> （应明确预付款的支付比例和支付条件） </w:t>
      </w:r>
    </w:p>
    <w:p w14:paraId="0A190404">
      <w:pPr>
        <w:adjustRightInd w:val="0"/>
        <w:snapToGrid w:val="0"/>
        <w:spacing w:line="400" w:lineRule="exact"/>
        <w:ind w:firstLine="630" w:firstLineChars="300"/>
        <w:rPr>
          <w:rFonts w:ascii="微软雅黑" w:hAnsi="微软雅黑" w:cs="微软雅黑"/>
          <w:color w:val="auto"/>
          <w:szCs w:val="21"/>
          <w:highlight w:val="none"/>
          <w:u w:val="single"/>
        </w:rPr>
      </w:pPr>
      <w:r>
        <w:rPr>
          <w:rFonts w:hint="eastAsia" w:ascii="微软雅黑" w:hAnsi="微软雅黑" w:cs="微软雅黑"/>
          <w:color w:val="auto"/>
          <w:szCs w:val="21"/>
          <w:highlight w:val="none"/>
          <w:lang w:bidi="ar"/>
        </w:rPr>
        <w:sym w:font="Wingdings" w:char="00A8"/>
      </w:r>
      <w:r>
        <w:rPr>
          <w:rFonts w:hint="eastAsia" w:ascii="微软雅黑" w:hAnsi="微软雅黑" w:cs="微软雅黑"/>
          <w:color w:val="auto"/>
          <w:szCs w:val="21"/>
          <w:highlight w:val="none"/>
          <w:lang w:bidi="ar"/>
        </w:rPr>
        <w:t>成本补偿：</w:t>
      </w:r>
      <w:r>
        <w:rPr>
          <w:rFonts w:hint="eastAsia" w:ascii="微软雅黑" w:hAnsi="微软雅黑" w:cs="微软雅黑"/>
          <w:color w:val="auto"/>
          <w:szCs w:val="21"/>
          <w:highlight w:val="none"/>
          <w:u w:val="single"/>
          <w:lang w:bidi="ar"/>
        </w:rPr>
        <w:t xml:space="preserve">      （应明确按照成本补偿方式的支付方式和支付条件）   </w:t>
      </w:r>
    </w:p>
    <w:p w14:paraId="7CBBD348">
      <w:pPr>
        <w:adjustRightInd w:val="0"/>
        <w:snapToGrid w:val="0"/>
        <w:spacing w:line="400" w:lineRule="exact"/>
        <w:ind w:firstLine="630" w:firstLineChars="30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sym w:font="Wingdings" w:char="00A8"/>
      </w:r>
      <w:r>
        <w:rPr>
          <w:rFonts w:hint="eastAsia" w:ascii="微软雅黑" w:hAnsi="微软雅黑" w:cs="微软雅黑"/>
          <w:color w:val="auto"/>
          <w:szCs w:val="21"/>
          <w:highlight w:val="none"/>
          <w:lang w:bidi="ar"/>
        </w:rPr>
        <w:t>绩效激励：</w:t>
      </w:r>
      <w:r>
        <w:rPr>
          <w:rFonts w:hint="eastAsia" w:ascii="微软雅黑" w:hAnsi="微软雅黑" w:cs="微软雅黑"/>
          <w:color w:val="auto"/>
          <w:szCs w:val="21"/>
          <w:highlight w:val="none"/>
          <w:u w:val="single"/>
          <w:lang w:bidi="ar"/>
        </w:rPr>
        <w:t xml:space="preserve">      （应明确按照绩效激励方式的支付方式和支付条件）   </w:t>
      </w:r>
    </w:p>
    <w:p w14:paraId="4CA57C73">
      <w:pPr>
        <w:numPr>
          <w:ilvl w:val="0"/>
          <w:numId w:val="44"/>
        </w:numPr>
        <w:adjustRightInd w:val="0"/>
        <w:snapToGrid w:val="0"/>
        <w:spacing w:line="400" w:lineRule="exact"/>
        <w:ind w:firstLine="420"/>
        <w:rPr>
          <w:rFonts w:ascii="微软雅黑" w:hAnsi="微软雅黑" w:cs="微软雅黑"/>
          <w:b/>
          <w:color w:val="auto"/>
          <w:szCs w:val="21"/>
          <w:highlight w:val="none"/>
          <w:u w:val="single"/>
        </w:rPr>
      </w:pPr>
      <w:r>
        <w:rPr>
          <w:rFonts w:hint="eastAsia" w:ascii="微软雅黑" w:hAnsi="微软雅黑" w:cs="微软雅黑"/>
          <w:b/>
          <w:color w:val="auto"/>
          <w:szCs w:val="21"/>
          <w:highlight w:val="none"/>
          <w:lang w:bidi="ar"/>
        </w:rPr>
        <w:t>合同履行</w:t>
      </w:r>
    </w:p>
    <w:p w14:paraId="03A41508">
      <w:pPr>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（1）起始日期：</w:t>
      </w:r>
      <w:r>
        <w:rPr>
          <w:rFonts w:hint="eastAsia" w:ascii="微软雅黑" w:hAnsi="微软雅黑" w:cs="微软雅黑"/>
          <w:color w:val="auto"/>
          <w:szCs w:val="21"/>
          <w:highlight w:val="none"/>
          <w:u w:val="single"/>
          <w:lang w:bidi="ar"/>
        </w:rPr>
        <w:t xml:space="preserve">    </w:t>
      </w:r>
      <w:r>
        <w:rPr>
          <w:rFonts w:hint="eastAsia" w:ascii="微软雅黑" w:hAnsi="微软雅黑" w:cs="微软雅黑"/>
          <w:color w:val="auto"/>
          <w:szCs w:val="21"/>
          <w:highlight w:val="none"/>
          <w:lang w:bidi="ar"/>
        </w:rPr>
        <w:t>年</w:t>
      </w:r>
      <w:r>
        <w:rPr>
          <w:rFonts w:hint="eastAsia" w:ascii="微软雅黑" w:hAnsi="微软雅黑" w:cs="微软雅黑"/>
          <w:color w:val="auto"/>
          <w:szCs w:val="21"/>
          <w:highlight w:val="none"/>
          <w:u w:val="single"/>
          <w:lang w:bidi="ar"/>
        </w:rPr>
        <w:t xml:space="preserve">   </w:t>
      </w:r>
      <w:r>
        <w:rPr>
          <w:rFonts w:hint="eastAsia" w:ascii="微软雅黑" w:hAnsi="微软雅黑" w:cs="微软雅黑"/>
          <w:color w:val="auto"/>
          <w:szCs w:val="21"/>
          <w:highlight w:val="none"/>
          <w:lang w:bidi="ar"/>
        </w:rPr>
        <w:t>月</w:t>
      </w:r>
      <w:r>
        <w:rPr>
          <w:rFonts w:hint="eastAsia" w:ascii="微软雅黑" w:hAnsi="微软雅黑" w:cs="微软雅黑"/>
          <w:color w:val="auto"/>
          <w:szCs w:val="21"/>
          <w:highlight w:val="none"/>
          <w:u w:val="single"/>
          <w:lang w:bidi="ar"/>
        </w:rPr>
        <w:t xml:space="preserve">   </w:t>
      </w:r>
      <w:r>
        <w:rPr>
          <w:rFonts w:hint="eastAsia" w:ascii="微软雅黑" w:hAnsi="微软雅黑" w:cs="微软雅黑"/>
          <w:color w:val="auto"/>
          <w:szCs w:val="21"/>
          <w:highlight w:val="none"/>
          <w:lang w:bidi="ar"/>
        </w:rPr>
        <w:t>日，完成日期：</w:t>
      </w:r>
      <w:r>
        <w:rPr>
          <w:rFonts w:hint="eastAsia" w:ascii="微软雅黑" w:hAnsi="微软雅黑" w:cs="微软雅黑"/>
          <w:color w:val="auto"/>
          <w:szCs w:val="21"/>
          <w:highlight w:val="none"/>
          <w:u w:val="single"/>
          <w:lang w:bidi="ar"/>
        </w:rPr>
        <w:t xml:space="preserve">    </w:t>
      </w:r>
      <w:r>
        <w:rPr>
          <w:rFonts w:hint="eastAsia" w:ascii="微软雅黑" w:hAnsi="微软雅黑" w:cs="微软雅黑"/>
          <w:color w:val="auto"/>
          <w:szCs w:val="21"/>
          <w:highlight w:val="none"/>
          <w:lang w:bidi="ar"/>
        </w:rPr>
        <w:t>年</w:t>
      </w:r>
      <w:r>
        <w:rPr>
          <w:rFonts w:hint="eastAsia" w:ascii="微软雅黑" w:hAnsi="微软雅黑" w:cs="微软雅黑"/>
          <w:color w:val="auto"/>
          <w:szCs w:val="21"/>
          <w:highlight w:val="none"/>
          <w:u w:val="single"/>
          <w:lang w:bidi="ar"/>
        </w:rPr>
        <w:t xml:space="preserve">   </w:t>
      </w:r>
      <w:r>
        <w:rPr>
          <w:rFonts w:hint="eastAsia" w:ascii="微软雅黑" w:hAnsi="微软雅黑" w:cs="微软雅黑"/>
          <w:color w:val="auto"/>
          <w:szCs w:val="21"/>
          <w:highlight w:val="none"/>
          <w:lang w:bidi="ar"/>
        </w:rPr>
        <w:t>月</w:t>
      </w:r>
      <w:r>
        <w:rPr>
          <w:rFonts w:hint="eastAsia" w:ascii="微软雅黑" w:hAnsi="微软雅黑" w:cs="微软雅黑"/>
          <w:color w:val="auto"/>
          <w:szCs w:val="21"/>
          <w:highlight w:val="none"/>
          <w:u w:val="single"/>
          <w:lang w:bidi="ar"/>
        </w:rPr>
        <w:t xml:space="preserve">   </w:t>
      </w:r>
      <w:r>
        <w:rPr>
          <w:rFonts w:hint="eastAsia" w:ascii="微软雅黑" w:hAnsi="微软雅黑" w:cs="微软雅黑"/>
          <w:color w:val="auto"/>
          <w:szCs w:val="21"/>
          <w:highlight w:val="none"/>
          <w:lang w:bidi="ar"/>
        </w:rPr>
        <w:t>日。</w:t>
      </w:r>
    </w:p>
    <w:p w14:paraId="48C791CC">
      <w:pPr>
        <w:adjustRightInd w:val="0"/>
        <w:snapToGrid w:val="0"/>
        <w:spacing w:line="400" w:lineRule="exact"/>
        <w:ind w:firstLine="420"/>
        <w:rPr>
          <w:rFonts w:ascii="微软雅黑" w:hAnsi="微软雅黑" w:cs="微软雅黑"/>
          <w:color w:val="auto"/>
          <w:szCs w:val="21"/>
          <w:highlight w:val="none"/>
          <w:u w:val="single"/>
        </w:rPr>
      </w:pPr>
      <w:r>
        <w:rPr>
          <w:rFonts w:hint="eastAsia" w:ascii="微软雅黑" w:hAnsi="微软雅黑" w:cs="微软雅黑"/>
          <w:color w:val="auto"/>
          <w:szCs w:val="21"/>
          <w:highlight w:val="none"/>
          <w:lang w:bidi="ar"/>
        </w:rPr>
        <w:t>（2）履约地点</w:t>
      </w:r>
      <w:r>
        <w:rPr>
          <w:rFonts w:hint="eastAsia" w:ascii="微软雅黑" w:hAnsi="微软雅黑" w:cs="微软雅黑"/>
          <w:bCs/>
          <w:color w:val="auto"/>
          <w:szCs w:val="21"/>
          <w:highlight w:val="none"/>
          <w:lang w:bidi="ar"/>
        </w:rPr>
        <w:t>：</w:t>
      </w:r>
      <w:r>
        <w:rPr>
          <w:rFonts w:hint="eastAsia" w:ascii="微软雅黑" w:hAnsi="微软雅黑" w:cs="微软雅黑"/>
          <w:color w:val="auto"/>
          <w:szCs w:val="21"/>
          <w:highlight w:val="none"/>
          <w:u w:val="single"/>
          <w:lang w:bidi="ar"/>
        </w:rPr>
        <w:t xml:space="preserve">                             </w:t>
      </w:r>
    </w:p>
    <w:p w14:paraId="2B311A4C">
      <w:pPr>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bCs/>
          <w:color w:val="auto"/>
          <w:szCs w:val="21"/>
          <w:highlight w:val="none"/>
          <w:lang w:bidi="ar"/>
        </w:rPr>
        <w:t>（3）履约担保：</w:t>
      </w:r>
      <w:r>
        <w:rPr>
          <w:rFonts w:hint="eastAsia" w:ascii="微软雅黑" w:hAnsi="微软雅黑" w:cs="微软雅黑"/>
          <w:color w:val="auto"/>
          <w:szCs w:val="21"/>
          <w:highlight w:val="none"/>
          <w:lang w:bidi="ar"/>
        </w:rPr>
        <w:t>是否收取履约保证金：</w:t>
      </w:r>
      <w:r>
        <w:rPr>
          <w:rFonts w:hint="eastAsia" w:ascii="微软雅黑" w:hAnsi="微软雅黑" w:cs="微软雅黑"/>
          <w:color w:val="auto"/>
          <w:szCs w:val="21"/>
          <w:highlight w:val="none"/>
          <w:lang w:bidi="ar"/>
        </w:rPr>
        <w:sym w:font="Wingdings" w:char="00A8"/>
      </w:r>
      <w:r>
        <w:rPr>
          <w:rFonts w:hint="eastAsia" w:ascii="微软雅黑" w:hAnsi="微软雅黑" w:cs="微软雅黑"/>
          <w:color w:val="auto"/>
          <w:szCs w:val="21"/>
          <w:highlight w:val="none"/>
          <w:lang w:bidi="ar"/>
        </w:rPr>
        <w:t xml:space="preserve">是    </w:t>
      </w:r>
      <w:r>
        <w:rPr>
          <w:rFonts w:hint="eastAsia" w:ascii="微软雅黑" w:hAnsi="微软雅黑" w:cs="微软雅黑"/>
          <w:color w:val="auto"/>
          <w:szCs w:val="21"/>
          <w:highlight w:val="none"/>
          <w:lang w:bidi="ar"/>
        </w:rPr>
        <w:sym w:font="Wingdings" w:char="00A8"/>
      </w:r>
      <w:r>
        <w:rPr>
          <w:rFonts w:hint="eastAsia" w:ascii="微软雅黑" w:hAnsi="微软雅黑" w:cs="微软雅黑"/>
          <w:color w:val="auto"/>
          <w:szCs w:val="21"/>
          <w:highlight w:val="none"/>
          <w:lang w:bidi="ar"/>
        </w:rPr>
        <w:t>否</w:t>
      </w:r>
    </w:p>
    <w:p w14:paraId="15CAB1A0">
      <w:pPr>
        <w:pStyle w:val="307"/>
        <w:ind w:left="480" w:firstLine="420"/>
        <w:rPr>
          <w:rFonts w:ascii="微软雅黑" w:hAnsi="微软雅黑" w:eastAsia="微软雅黑" w:cs="微软雅黑"/>
          <w:color w:val="auto"/>
          <w:sz w:val="21"/>
          <w:highlight w:val="none"/>
        </w:rPr>
      </w:pPr>
      <w:r>
        <w:rPr>
          <w:rFonts w:hint="eastAsia" w:ascii="微软雅黑" w:hAnsi="微软雅黑" w:eastAsia="微软雅黑" w:cs="微软雅黑"/>
          <w:bCs/>
          <w:color w:val="auto"/>
          <w:sz w:val="21"/>
          <w:highlight w:val="none"/>
        </w:rPr>
        <w:t xml:space="preserve">  </w:t>
      </w:r>
      <w:r>
        <w:rPr>
          <w:rFonts w:hint="eastAsia" w:ascii="微软雅黑" w:hAnsi="微软雅黑" w:eastAsia="微软雅黑" w:cs="微软雅黑"/>
          <w:color w:val="auto"/>
          <w:sz w:val="21"/>
          <w:highlight w:val="none"/>
        </w:rPr>
        <w:t xml:space="preserve">  收取履约保证金形式：</w:t>
      </w:r>
      <w:r>
        <w:rPr>
          <w:rFonts w:hint="eastAsia" w:ascii="微软雅黑" w:hAnsi="微软雅黑" w:eastAsia="微软雅黑" w:cs="微软雅黑"/>
          <w:bCs/>
          <w:color w:val="auto"/>
          <w:sz w:val="21"/>
          <w:highlight w:val="none"/>
          <w:u w:val="single"/>
        </w:rPr>
        <w:t xml:space="preserve">                            </w:t>
      </w:r>
    </w:p>
    <w:p w14:paraId="1C0CFCB4">
      <w:pPr>
        <w:pStyle w:val="307"/>
        <w:ind w:left="480" w:firstLine="420"/>
        <w:rPr>
          <w:rFonts w:ascii="微软雅黑" w:hAnsi="微软雅黑" w:eastAsia="微软雅黑" w:cs="微软雅黑"/>
          <w:color w:val="auto"/>
          <w:sz w:val="21"/>
          <w:highlight w:val="none"/>
        </w:rPr>
      </w:pPr>
      <w:r>
        <w:rPr>
          <w:rFonts w:hint="eastAsia" w:ascii="微软雅黑" w:hAnsi="微软雅黑" w:eastAsia="微软雅黑" w:cs="微软雅黑"/>
          <w:color w:val="auto"/>
          <w:sz w:val="21"/>
          <w:highlight w:val="none"/>
        </w:rPr>
        <w:t xml:space="preserve">    收取履约保证金金额：</w:t>
      </w:r>
      <w:r>
        <w:rPr>
          <w:rFonts w:hint="eastAsia" w:ascii="微软雅黑" w:hAnsi="微软雅黑" w:eastAsia="微软雅黑" w:cs="微软雅黑"/>
          <w:bCs/>
          <w:color w:val="auto"/>
          <w:sz w:val="21"/>
          <w:highlight w:val="none"/>
          <w:u w:val="single"/>
        </w:rPr>
        <w:t xml:space="preserve">                            </w:t>
      </w:r>
    </w:p>
    <w:p w14:paraId="394733FF">
      <w:pPr>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bCs/>
          <w:color w:val="auto"/>
          <w:szCs w:val="21"/>
          <w:highlight w:val="none"/>
          <w:lang w:bidi="ar"/>
        </w:rPr>
        <w:t xml:space="preserve">    履约担保期限：</w:t>
      </w:r>
      <w:r>
        <w:rPr>
          <w:rFonts w:hint="eastAsia" w:ascii="微软雅黑" w:hAnsi="微软雅黑" w:cs="微软雅黑"/>
          <w:bCs/>
          <w:color w:val="auto"/>
          <w:szCs w:val="21"/>
          <w:highlight w:val="none"/>
          <w:u w:val="single"/>
          <w:lang w:bidi="ar"/>
        </w:rPr>
        <w:t xml:space="preserve">                                  </w:t>
      </w:r>
    </w:p>
    <w:p w14:paraId="7BA296B9">
      <w:pPr>
        <w:adjustRightInd w:val="0"/>
        <w:snapToGrid w:val="0"/>
        <w:spacing w:line="400" w:lineRule="exact"/>
        <w:ind w:firstLine="420"/>
        <w:rPr>
          <w:rFonts w:ascii="微软雅黑" w:hAnsi="微软雅黑" w:cs="微软雅黑"/>
          <w:bCs/>
          <w:color w:val="auto"/>
          <w:szCs w:val="21"/>
          <w:highlight w:val="none"/>
        </w:rPr>
      </w:pPr>
      <w:r>
        <w:rPr>
          <w:rFonts w:hint="eastAsia" w:ascii="微软雅黑" w:hAnsi="微软雅黑" w:cs="微软雅黑"/>
          <w:bCs/>
          <w:color w:val="auto"/>
          <w:szCs w:val="21"/>
          <w:highlight w:val="none"/>
          <w:lang w:bidi="ar"/>
        </w:rPr>
        <w:t>（4）分期履行要求：</w:t>
      </w:r>
      <w:r>
        <w:rPr>
          <w:rFonts w:hint="eastAsia" w:ascii="微软雅黑" w:hAnsi="微软雅黑" w:cs="微软雅黑"/>
          <w:bCs/>
          <w:color w:val="auto"/>
          <w:szCs w:val="21"/>
          <w:highlight w:val="none"/>
          <w:u w:val="single"/>
          <w:lang w:bidi="ar"/>
        </w:rPr>
        <w:t xml:space="preserve">                                                        </w:t>
      </w:r>
    </w:p>
    <w:p w14:paraId="277D364A">
      <w:pPr>
        <w:adjustRightInd w:val="0"/>
        <w:snapToGrid w:val="0"/>
        <w:spacing w:line="400" w:lineRule="exact"/>
        <w:ind w:firstLine="420"/>
        <w:rPr>
          <w:rFonts w:ascii="微软雅黑" w:hAnsi="微软雅黑" w:cs="微软雅黑"/>
          <w:color w:val="auto"/>
          <w:szCs w:val="21"/>
          <w:highlight w:val="none"/>
          <w:u w:val="single"/>
        </w:rPr>
      </w:pPr>
      <w:r>
        <w:rPr>
          <w:rFonts w:hint="eastAsia" w:ascii="微软雅黑" w:hAnsi="微软雅黑" w:cs="微软雅黑"/>
          <w:bCs/>
          <w:color w:val="auto"/>
          <w:szCs w:val="21"/>
          <w:highlight w:val="none"/>
          <w:lang w:bidi="ar"/>
        </w:rPr>
        <w:t>（5）风险处置措施和替代方案：</w:t>
      </w:r>
      <w:r>
        <w:rPr>
          <w:rFonts w:hint="eastAsia" w:ascii="微软雅黑" w:hAnsi="微软雅黑" w:cs="微软雅黑"/>
          <w:color w:val="auto"/>
          <w:szCs w:val="21"/>
          <w:highlight w:val="none"/>
          <w:u w:val="single"/>
          <w:lang w:bidi="ar"/>
        </w:rPr>
        <w:t xml:space="preserve">                                                               </w:t>
      </w:r>
    </w:p>
    <w:p w14:paraId="09986AC3">
      <w:pPr>
        <w:numPr>
          <w:ilvl w:val="0"/>
          <w:numId w:val="44"/>
        </w:numPr>
        <w:adjustRightInd w:val="0"/>
        <w:snapToGrid w:val="0"/>
        <w:spacing w:line="400" w:lineRule="exact"/>
        <w:ind w:firstLine="420"/>
        <w:rPr>
          <w:rFonts w:ascii="微软雅黑" w:hAnsi="微软雅黑" w:cs="微软雅黑"/>
          <w:b/>
          <w:color w:val="auto"/>
          <w:szCs w:val="21"/>
          <w:highlight w:val="none"/>
        </w:rPr>
      </w:pPr>
      <w:r>
        <w:rPr>
          <w:rFonts w:hint="eastAsia" w:ascii="微软雅黑" w:hAnsi="微软雅黑" w:cs="微软雅黑"/>
          <w:b/>
          <w:color w:val="auto"/>
          <w:szCs w:val="21"/>
          <w:highlight w:val="none"/>
          <w:lang w:bidi="ar"/>
        </w:rPr>
        <w:t>合同验收</w:t>
      </w:r>
    </w:p>
    <w:p w14:paraId="37445EF5">
      <w:pPr>
        <w:numPr>
          <w:ilvl w:val="0"/>
          <w:numId w:val="46"/>
        </w:numPr>
        <w:adjustRightInd w:val="0"/>
        <w:snapToGrid w:val="0"/>
        <w:spacing w:line="400" w:lineRule="exact"/>
        <w:ind w:firstLine="420"/>
        <w:rPr>
          <w:rFonts w:ascii="微软雅黑" w:hAnsi="微软雅黑" w:cs="微软雅黑"/>
          <w:bCs/>
          <w:color w:val="auto"/>
          <w:szCs w:val="21"/>
          <w:highlight w:val="none"/>
        </w:rPr>
      </w:pPr>
      <w:r>
        <w:rPr>
          <w:rFonts w:hint="eastAsia" w:ascii="微软雅黑" w:hAnsi="微软雅黑" w:cs="微软雅黑"/>
          <w:bCs/>
          <w:color w:val="auto"/>
          <w:szCs w:val="21"/>
          <w:highlight w:val="none"/>
          <w:lang w:bidi="ar"/>
        </w:rPr>
        <w:t>验收组织方式：</w:t>
      </w:r>
      <w:r>
        <w:rPr>
          <w:rFonts w:hint="eastAsia" w:ascii="微软雅黑" w:hAnsi="微软雅黑" w:cs="微软雅黑"/>
          <w:color w:val="auto"/>
          <w:szCs w:val="21"/>
          <w:highlight w:val="none"/>
          <w:lang w:bidi="ar"/>
        </w:rPr>
        <w:sym w:font="Wingdings" w:char="00A8"/>
      </w:r>
      <w:r>
        <w:rPr>
          <w:rFonts w:hint="eastAsia" w:ascii="微软雅黑" w:hAnsi="微软雅黑" w:cs="微软雅黑"/>
          <w:bCs/>
          <w:color w:val="auto"/>
          <w:szCs w:val="21"/>
          <w:highlight w:val="none"/>
          <w:lang w:bidi="ar"/>
        </w:rPr>
        <w:t xml:space="preserve">自行组织 </w:t>
      </w:r>
      <w:r>
        <w:rPr>
          <w:rFonts w:hint="eastAsia" w:ascii="微软雅黑" w:hAnsi="微软雅黑" w:cs="微软雅黑"/>
          <w:color w:val="auto"/>
          <w:szCs w:val="21"/>
          <w:highlight w:val="none"/>
          <w:lang w:bidi="ar"/>
        </w:rPr>
        <w:sym w:font="Wingdings" w:char="00A8"/>
      </w:r>
      <w:r>
        <w:rPr>
          <w:rFonts w:hint="eastAsia" w:ascii="微软雅黑" w:hAnsi="微软雅黑" w:cs="微软雅黑"/>
          <w:bCs/>
          <w:color w:val="auto"/>
          <w:szCs w:val="21"/>
          <w:highlight w:val="none"/>
          <w:lang w:bidi="ar"/>
        </w:rPr>
        <w:t>委托第三方组织</w:t>
      </w:r>
    </w:p>
    <w:p w14:paraId="54FBA59C">
      <w:pPr>
        <w:adjustRightInd w:val="0"/>
        <w:snapToGrid w:val="0"/>
        <w:spacing w:line="400" w:lineRule="exact"/>
        <w:ind w:firstLine="420"/>
        <w:rPr>
          <w:rFonts w:ascii="微软雅黑" w:hAnsi="微软雅黑" w:cs="微软雅黑"/>
          <w:bCs/>
          <w:color w:val="auto"/>
          <w:szCs w:val="21"/>
          <w:highlight w:val="none"/>
        </w:rPr>
      </w:pPr>
      <w:r>
        <w:rPr>
          <w:rFonts w:hint="eastAsia" w:ascii="微软雅黑" w:hAnsi="微软雅黑" w:cs="微软雅黑"/>
          <w:bCs/>
          <w:color w:val="auto"/>
          <w:szCs w:val="21"/>
          <w:highlight w:val="none"/>
          <w:lang w:bidi="ar"/>
        </w:rPr>
        <w:t xml:space="preserve">         验收主体：</w:t>
      </w:r>
      <w:r>
        <w:rPr>
          <w:rFonts w:hint="eastAsia" w:ascii="微软雅黑" w:hAnsi="微软雅黑" w:cs="微软雅黑"/>
          <w:bCs/>
          <w:color w:val="auto"/>
          <w:szCs w:val="21"/>
          <w:highlight w:val="none"/>
          <w:u w:val="single"/>
          <w:lang w:bidi="ar"/>
        </w:rPr>
        <w:t xml:space="preserve">                  </w:t>
      </w:r>
    </w:p>
    <w:p w14:paraId="550D2BE2">
      <w:pPr>
        <w:adjustRightInd w:val="0"/>
        <w:snapToGrid w:val="0"/>
        <w:spacing w:line="400" w:lineRule="exact"/>
        <w:ind w:firstLine="420"/>
        <w:rPr>
          <w:rFonts w:ascii="微软雅黑" w:hAnsi="微软雅黑" w:cs="微软雅黑"/>
          <w:bCs/>
          <w:color w:val="auto"/>
          <w:szCs w:val="21"/>
          <w:highlight w:val="none"/>
        </w:rPr>
      </w:pPr>
      <w:r>
        <w:rPr>
          <w:rFonts w:hint="eastAsia" w:ascii="微软雅黑" w:hAnsi="微软雅黑" w:cs="微软雅黑"/>
          <w:bCs/>
          <w:color w:val="auto"/>
          <w:szCs w:val="21"/>
          <w:highlight w:val="none"/>
          <w:lang w:bidi="ar"/>
        </w:rPr>
        <w:t xml:space="preserve">        是否邀请本项目的其他供应商参加验收：</w:t>
      </w:r>
      <w:r>
        <w:rPr>
          <w:rFonts w:hint="eastAsia" w:ascii="微软雅黑" w:hAnsi="微软雅黑" w:cs="微软雅黑"/>
          <w:color w:val="auto"/>
          <w:szCs w:val="21"/>
          <w:highlight w:val="none"/>
          <w:lang w:bidi="ar"/>
        </w:rPr>
        <w:sym w:font="Wingdings" w:char="00A8"/>
      </w:r>
      <w:r>
        <w:rPr>
          <w:rFonts w:hint="eastAsia" w:ascii="微软雅黑" w:hAnsi="微软雅黑" w:cs="微软雅黑"/>
          <w:bCs/>
          <w:color w:val="auto"/>
          <w:szCs w:val="21"/>
          <w:highlight w:val="none"/>
          <w:lang w:bidi="ar"/>
        </w:rPr>
        <w:t xml:space="preserve">是  </w:t>
      </w:r>
      <w:r>
        <w:rPr>
          <w:rFonts w:hint="eastAsia" w:ascii="微软雅黑" w:hAnsi="微软雅黑" w:cs="微软雅黑"/>
          <w:color w:val="auto"/>
          <w:szCs w:val="21"/>
          <w:highlight w:val="none"/>
          <w:lang w:bidi="ar"/>
        </w:rPr>
        <w:sym w:font="Wingdings" w:char="00A8"/>
      </w:r>
      <w:r>
        <w:rPr>
          <w:rFonts w:hint="eastAsia" w:ascii="微软雅黑" w:hAnsi="微软雅黑" w:cs="微软雅黑"/>
          <w:bCs/>
          <w:color w:val="auto"/>
          <w:szCs w:val="21"/>
          <w:highlight w:val="none"/>
          <w:lang w:bidi="ar"/>
        </w:rPr>
        <w:t>否</w:t>
      </w:r>
    </w:p>
    <w:p w14:paraId="7559719D">
      <w:pPr>
        <w:adjustRightInd w:val="0"/>
        <w:snapToGrid w:val="0"/>
        <w:spacing w:line="400" w:lineRule="exact"/>
        <w:ind w:firstLine="840" w:firstLineChars="400"/>
        <w:rPr>
          <w:rFonts w:ascii="微软雅黑" w:hAnsi="微软雅黑" w:cs="微软雅黑"/>
          <w:bCs/>
          <w:color w:val="auto"/>
          <w:szCs w:val="21"/>
          <w:highlight w:val="none"/>
        </w:rPr>
      </w:pPr>
      <w:r>
        <w:rPr>
          <w:rFonts w:hint="eastAsia" w:ascii="微软雅黑" w:hAnsi="微软雅黑" w:cs="微软雅黑"/>
          <w:bCs/>
          <w:color w:val="auto"/>
          <w:szCs w:val="21"/>
          <w:highlight w:val="none"/>
          <w:lang w:bidi="ar"/>
        </w:rPr>
        <w:t>是否邀请专家参加验收：</w:t>
      </w:r>
      <w:r>
        <w:rPr>
          <w:rFonts w:hint="eastAsia" w:ascii="微软雅黑" w:hAnsi="微软雅黑" w:cs="微软雅黑"/>
          <w:color w:val="auto"/>
          <w:szCs w:val="21"/>
          <w:highlight w:val="none"/>
          <w:lang w:bidi="ar"/>
        </w:rPr>
        <w:sym w:font="Wingdings" w:char="00A8"/>
      </w:r>
      <w:r>
        <w:rPr>
          <w:rFonts w:hint="eastAsia" w:ascii="微软雅黑" w:hAnsi="微软雅黑" w:cs="微软雅黑"/>
          <w:bCs/>
          <w:color w:val="auto"/>
          <w:szCs w:val="21"/>
          <w:highlight w:val="none"/>
          <w:lang w:bidi="ar"/>
        </w:rPr>
        <w:t xml:space="preserve">是  </w:t>
      </w:r>
      <w:r>
        <w:rPr>
          <w:rFonts w:hint="eastAsia" w:ascii="微软雅黑" w:hAnsi="微软雅黑" w:cs="微软雅黑"/>
          <w:color w:val="auto"/>
          <w:szCs w:val="21"/>
          <w:highlight w:val="none"/>
          <w:lang w:bidi="ar"/>
        </w:rPr>
        <w:sym w:font="Wingdings" w:char="00A8"/>
      </w:r>
      <w:r>
        <w:rPr>
          <w:rFonts w:hint="eastAsia" w:ascii="微软雅黑" w:hAnsi="微软雅黑" w:cs="微软雅黑"/>
          <w:bCs/>
          <w:color w:val="auto"/>
          <w:szCs w:val="21"/>
          <w:highlight w:val="none"/>
          <w:lang w:bidi="ar"/>
        </w:rPr>
        <w:t>否</w:t>
      </w:r>
    </w:p>
    <w:p w14:paraId="03687F30">
      <w:pPr>
        <w:adjustRightInd w:val="0"/>
        <w:snapToGrid w:val="0"/>
        <w:spacing w:line="400" w:lineRule="exact"/>
        <w:ind w:firstLine="840" w:firstLineChars="400"/>
        <w:rPr>
          <w:rFonts w:ascii="微软雅黑" w:hAnsi="微软雅黑" w:cs="微软雅黑"/>
          <w:bCs/>
          <w:color w:val="auto"/>
          <w:szCs w:val="21"/>
          <w:highlight w:val="none"/>
        </w:rPr>
      </w:pPr>
      <w:r>
        <w:rPr>
          <w:rFonts w:hint="eastAsia" w:ascii="微软雅黑" w:hAnsi="微软雅黑" w:cs="微软雅黑"/>
          <w:bCs/>
          <w:color w:val="auto"/>
          <w:szCs w:val="21"/>
          <w:highlight w:val="none"/>
          <w:lang w:bidi="ar"/>
        </w:rPr>
        <w:t>是否邀请服务对象参加验收：</w:t>
      </w:r>
      <w:r>
        <w:rPr>
          <w:rFonts w:hint="eastAsia" w:ascii="微软雅黑" w:hAnsi="微软雅黑" w:cs="微软雅黑"/>
          <w:color w:val="auto"/>
          <w:szCs w:val="21"/>
          <w:highlight w:val="none"/>
          <w:lang w:bidi="ar"/>
        </w:rPr>
        <w:sym w:font="Wingdings" w:char="00A8"/>
      </w:r>
      <w:r>
        <w:rPr>
          <w:rFonts w:hint="eastAsia" w:ascii="微软雅黑" w:hAnsi="微软雅黑" w:cs="微软雅黑"/>
          <w:bCs/>
          <w:color w:val="auto"/>
          <w:szCs w:val="21"/>
          <w:highlight w:val="none"/>
          <w:lang w:bidi="ar"/>
        </w:rPr>
        <w:t xml:space="preserve">是  </w:t>
      </w:r>
      <w:r>
        <w:rPr>
          <w:rFonts w:hint="eastAsia" w:ascii="微软雅黑" w:hAnsi="微软雅黑" w:cs="微软雅黑"/>
          <w:color w:val="auto"/>
          <w:szCs w:val="21"/>
          <w:highlight w:val="none"/>
          <w:lang w:bidi="ar"/>
        </w:rPr>
        <w:sym w:font="Wingdings" w:char="00A8"/>
      </w:r>
      <w:r>
        <w:rPr>
          <w:rFonts w:hint="eastAsia" w:ascii="微软雅黑" w:hAnsi="微软雅黑" w:cs="微软雅黑"/>
          <w:bCs/>
          <w:color w:val="auto"/>
          <w:szCs w:val="21"/>
          <w:highlight w:val="none"/>
          <w:lang w:bidi="ar"/>
        </w:rPr>
        <w:t>否</w:t>
      </w:r>
    </w:p>
    <w:p w14:paraId="5AE3FE52">
      <w:pPr>
        <w:adjustRightInd w:val="0"/>
        <w:snapToGrid w:val="0"/>
        <w:spacing w:line="400" w:lineRule="exact"/>
        <w:ind w:firstLine="840" w:firstLineChars="400"/>
        <w:rPr>
          <w:rFonts w:ascii="微软雅黑" w:hAnsi="微软雅黑" w:cs="微软雅黑"/>
          <w:bCs/>
          <w:color w:val="auto"/>
          <w:szCs w:val="21"/>
          <w:highlight w:val="none"/>
        </w:rPr>
      </w:pPr>
      <w:r>
        <w:rPr>
          <w:rFonts w:hint="eastAsia" w:ascii="微软雅黑" w:hAnsi="微软雅黑" w:cs="微软雅黑"/>
          <w:bCs/>
          <w:color w:val="auto"/>
          <w:szCs w:val="21"/>
          <w:highlight w:val="none"/>
          <w:lang w:bidi="ar"/>
        </w:rPr>
        <w:t>是否邀请第三方检测机构参加验收：</w:t>
      </w:r>
      <w:r>
        <w:rPr>
          <w:rFonts w:hint="eastAsia" w:ascii="微软雅黑" w:hAnsi="微软雅黑" w:cs="微软雅黑"/>
          <w:color w:val="auto"/>
          <w:szCs w:val="21"/>
          <w:highlight w:val="none"/>
          <w:lang w:bidi="ar"/>
        </w:rPr>
        <w:sym w:font="Wingdings" w:char="00A8"/>
      </w:r>
      <w:r>
        <w:rPr>
          <w:rFonts w:hint="eastAsia" w:ascii="微软雅黑" w:hAnsi="微软雅黑" w:cs="微软雅黑"/>
          <w:bCs/>
          <w:color w:val="auto"/>
          <w:szCs w:val="21"/>
          <w:highlight w:val="none"/>
          <w:lang w:bidi="ar"/>
        </w:rPr>
        <w:t xml:space="preserve">是  </w:t>
      </w:r>
      <w:r>
        <w:rPr>
          <w:rFonts w:hint="eastAsia" w:ascii="微软雅黑" w:hAnsi="微软雅黑" w:cs="微软雅黑"/>
          <w:color w:val="auto"/>
          <w:szCs w:val="21"/>
          <w:highlight w:val="none"/>
          <w:lang w:bidi="ar"/>
        </w:rPr>
        <w:sym w:font="Wingdings" w:char="00A8"/>
      </w:r>
      <w:r>
        <w:rPr>
          <w:rFonts w:hint="eastAsia" w:ascii="微软雅黑" w:hAnsi="微软雅黑" w:cs="微软雅黑"/>
          <w:bCs/>
          <w:color w:val="auto"/>
          <w:szCs w:val="21"/>
          <w:highlight w:val="none"/>
          <w:lang w:bidi="ar"/>
        </w:rPr>
        <w:t>否</w:t>
      </w:r>
    </w:p>
    <w:p w14:paraId="77A07E3B">
      <w:pPr>
        <w:adjustRightInd w:val="0"/>
        <w:snapToGrid w:val="0"/>
        <w:spacing w:line="400" w:lineRule="exact"/>
        <w:ind w:firstLine="840" w:firstLineChars="400"/>
        <w:rPr>
          <w:rFonts w:ascii="微软雅黑" w:hAnsi="微软雅黑" w:cs="微软雅黑"/>
          <w:bCs/>
          <w:color w:val="auto"/>
          <w:szCs w:val="21"/>
          <w:highlight w:val="none"/>
        </w:rPr>
      </w:pPr>
      <w:r>
        <w:rPr>
          <w:rFonts w:hint="eastAsia" w:ascii="微软雅黑" w:hAnsi="微软雅黑" w:cs="微软雅黑"/>
          <w:bCs/>
          <w:color w:val="auto"/>
          <w:szCs w:val="21"/>
          <w:highlight w:val="none"/>
          <w:lang w:bidi="ar"/>
        </w:rPr>
        <w:t>是否进行抽查检测：</w:t>
      </w:r>
      <w:r>
        <w:rPr>
          <w:rFonts w:hint="eastAsia" w:ascii="微软雅黑" w:hAnsi="微软雅黑" w:cs="微软雅黑"/>
          <w:color w:val="auto"/>
          <w:szCs w:val="21"/>
          <w:highlight w:val="none"/>
          <w:lang w:bidi="ar"/>
        </w:rPr>
        <w:sym w:font="Wingdings" w:char="00A8"/>
      </w:r>
      <w:r>
        <w:rPr>
          <w:rFonts w:hint="eastAsia" w:ascii="微软雅黑" w:hAnsi="微软雅黑" w:cs="微软雅黑"/>
          <w:bCs/>
          <w:color w:val="auto"/>
          <w:szCs w:val="21"/>
          <w:highlight w:val="none"/>
          <w:lang w:bidi="ar"/>
        </w:rPr>
        <w:t>是，抽查比例：</w:t>
      </w:r>
      <w:r>
        <w:rPr>
          <w:rFonts w:hint="eastAsia" w:ascii="微软雅黑" w:hAnsi="微软雅黑" w:cs="微软雅黑"/>
          <w:bCs/>
          <w:color w:val="auto"/>
          <w:szCs w:val="21"/>
          <w:highlight w:val="none"/>
          <w:u w:val="single"/>
          <w:lang w:bidi="ar"/>
        </w:rPr>
        <w:t xml:space="preserve">        </w:t>
      </w:r>
      <w:r>
        <w:rPr>
          <w:rFonts w:hint="eastAsia" w:ascii="微软雅黑" w:hAnsi="微软雅黑" w:cs="微软雅黑"/>
          <w:bCs/>
          <w:color w:val="auto"/>
          <w:szCs w:val="21"/>
          <w:highlight w:val="none"/>
          <w:lang w:bidi="ar"/>
        </w:rPr>
        <w:t xml:space="preserve"> </w:t>
      </w:r>
      <w:r>
        <w:rPr>
          <w:rFonts w:hint="eastAsia" w:ascii="微软雅黑" w:hAnsi="微软雅黑" w:cs="微软雅黑"/>
          <w:color w:val="auto"/>
          <w:szCs w:val="21"/>
          <w:highlight w:val="none"/>
          <w:lang w:bidi="ar"/>
        </w:rPr>
        <w:sym w:font="Wingdings" w:char="00A8"/>
      </w:r>
      <w:r>
        <w:rPr>
          <w:rFonts w:hint="eastAsia" w:ascii="微软雅黑" w:hAnsi="微软雅黑" w:cs="微软雅黑"/>
          <w:bCs/>
          <w:color w:val="auto"/>
          <w:szCs w:val="21"/>
          <w:highlight w:val="none"/>
          <w:lang w:bidi="ar"/>
        </w:rPr>
        <w:t>否</w:t>
      </w:r>
    </w:p>
    <w:p w14:paraId="63179398">
      <w:pPr>
        <w:adjustRightInd w:val="0"/>
        <w:snapToGrid w:val="0"/>
        <w:spacing w:line="400" w:lineRule="exact"/>
        <w:ind w:firstLine="840" w:firstLineChars="400"/>
        <w:rPr>
          <w:rFonts w:ascii="微软雅黑" w:hAnsi="微软雅黑" w:cs="微软雅黑"/>
          <w:bCs/>
          <w:color w:val="auto"/>
          <w:szCs w:val="21"/>
          <w:highlight w:val="none"/>
          <w:u w:val="single"/>
        </w:rPr>
      </w:pPr>
      <w:r>
        <w:rPr>
          <w:rFonts w:hint="eastAsia" w:ascii="微软雅黑" w:hAnsi="微软雅黑" w:cs="微软雅黑"/>
          <w:bCs/>
          <w:color w:val="auto"/>
          <w:szCs w:val="21"/>
          <w:highlight w:val="none"/>
          <w:lang w:bidi="ar"/>
        </w:rPr>
        <w:t>是否存在破坏性检测：</w:t>
      </w:r>
      <w:r>
        <w:rPr>
          <w:rFonts w:hint="eastAsia" w:ascii="微软雅黑" w:hAnsi="微软雅黑" w:cs="微软雅黑"/>
          <w:color w:val="auto"/>
          <w:szCs w:val="21"/>
          <w:highlight w:val="none"/>
          <w:lang w:bidi="ar"/>
        </w:rPr>
        <w:sym w:font="Wingdings" w:char="00A8"/>
      </w:r>
      <w:r>
        <w:rPr>
          <w:rFonts w:hint="eastAsia" w:ascii="微软雅黑" w:hAnsi="微软雅黑" w:cs="微软雅黑"/>
          <w:bCs/>
          <w:color w:val="auto"/>
          <w:szCs w:val="21"/>
          <w:highlight w:val="none"/>
          <w:lang w:bidi="ar"/>
        </w:rPr>
        <w:t>是，</w:t>
      </w:r>
      <w:r>
        <w:rPr>
          <w:rFonts w:hint="eastAsia" w:ascii="微软雅黑" w:hAnsi="微软雅黑" w:cs="微软雅黑"/>
          <w:bCs/>
          <w:color w:val="auto"/>
          <w:szCs w:val="21"/>
          <w:highlight w:val="none"/>
          <w:u w:val="single"/>
          <w:lang w:bidi="ar"/>
        </w:rPr>
        <w:t>（应明确对被破坏的检测产品的处理方式）</w:t>
      </w:r>
    </w:p>
    <w:p w14:paraId="1A86194B">
      <w:pPr>
        <w:adjustRightInd w:val="0"/>
        <w:snapToGrid w:val="0"/>
        <w:spacing w:line="400" w:lineRule="exact"/>
        <w:ind w:firstLine="840" w:firstLineChars="400"/>
        <w:rPr>
          <w:rFonts w:ascii="微软雅黑" w:hAnsi="微软雅黑" w:cs="微软雅黑"/>
          <w:bCs/>
          <w:color w:val="auto"/>
          <w:szCs w:val="21"/>
          <w:highlight w:val="none"/>
        </w:rPr>
      </w:pPr>
      <w:r>
        <w:rPr>
          <w:rFonts w:hint="eastAsia" w:ascii="微软雅黑" w:hAnsi="微软雅黑" w:cs="微软雅黑"/>
          <w:bCs/>
          <w:color w:val="auto"/>
          <w:szCs w:val="21"/>
          <w:highlight w:val="none"/>
          <w:lang w:bidi="ar"/>
        </w:rPr>
        <w:t xml:space="preserve">                    </w:t>
      </w:r>
      <w:r>
        <w:rPr>
          <w:rFonts w:hint="eastAsia" w:ascii="微软雅黑" w:hAnsi="微软雅黑" w:cs="微软雅黑"/>
          <w:color w:val="auto"/>
          <w:szCs w:val="21"/>
          <w:highlight w:val="none"/>
          <w:lang w:bidi="ar"/>
        </w:rPr>
        <w:sym w:font="Wingdings" w:char="00A8"/>
      </w:r>
      <w:r>
        <w:rPr>
          <w:rFonts w:hint="eastAsia" w:ascii="微软雅黑" w:hAnsi="微软雅黑" w:cs="微软雅黑"/>
          <w:bCs/>
          <w:color w:val="auto"/>
          <w:szCs w:val="21"/>
          <w:highlight w:val="none"/>
          <w:lang w:bidi="ar"/>
        </w:rPr>
        <w:t>否</w:t>
      </w:r>
    </w:p>
    <w:p w14:paraId="25851B61">
      <w:pPr>
        <w:adjustRightInd w:val="0"/>
        <w:snapToGrid w:val="0"/>
        <w:spacing w:line="400" w:lineRule="exact"/>
        <w:ind w:firstLine="840" w:firstLineChars="400"/>
        <w:rPr>
          <w:rFonts w:ascii="微软雅黑" w:hAnsi="微软雅黑" w:cs="微软雅黑"/>
          <w:bCs/>
          <w:color w:val="auto"/>
          <w:szCs w:val="21"/>
          <w:highlight w:val="none"/>
          <w:u w:val="single"/>
        </w:rPr>
      </w:pPr>
      <w:r>
        <w:rPr>
          <w:rFonts w:hint="eastAsia" w:ascii="微软雅黑" w:hAnsi="微软雅黑" w:cs="微软雅黑"/>
          <w:bCs/>
          <w:color w:val="auto"/>
          <w:szCs w:val="21"/>
          <w:highlight w:val="none"/>
          <w:lang w:bidi="ar"/>
        </w:rPr>
        <w:t>验收组织的其他事项：</w:t>
      </w:r>
      <w:r>
        <w:rPr>
          <w:rFonts w:hint="eastAsia" w:ascii="微软雅黑" w:hAnsi="微软雅黑" w:cs="微软雅黑"/>
          <w:bCs/>
          <w:color w:val="auto"/>
          <w:szCs w:val="21"/>
          <w:highlight w:val="none"/>
          <w:u w:val="single"/>
          <w:lang w:bidi="ar"/>
        </w:rPr>
        <w:t xml:space="preserve">                </w:t>
      </w:r>
    </w:p>
    <w:p w14:paraId="7E781680">
      <w:pPr>
        <w:adjustRightInd w:val="0"/>
        <w:snapToGrid w:val="0"/>
        <w:spacing w:line="400" w:lineRule="exact"/>
        <w:ind w:firstLine="420"/>
        <w:rPr>
          <w:rFonts w:ascii="微软雅黑" w:hAnsi="微软雅黑" w:cs="微软雅黑"/>
          <w:bCs/>
          <w:color w:val="auto"/>
          <w:szCs w:val="21"/>
          <w:highlight w:val="none"/>
          <w:u w:val="single"/>
        </w:rPr>
      </w:pPr>
      <w:r>
        <w:rPr>
          <w:rFonts w:hint="eastAsia" w:ascii="微软雅黑" w:hAnsi="微软雅黑" w:cs="微软雅黑"/>
          <w:bCs/>
          <w:color w:val="auto"/>
          <w:szCs w:val="21"/>
          <w:highlight w:val="none"/>
          <w:lang w:bidi="ar"/>
        </w:rPr>
        <w:t>（2）履约验收时间：</w:t>
      </w:r>
      <w:r>
        <w:rPr>
          <w:rFonts w:hint="eastAsia" w:ascii="微软雅黑" w:hAnsi="微软雅黑" w:cs="微软雅黑"/>
          <w:bCs/>
          <w:color w:val="auto"/>
          <w:szCs w:val="21"/>
          <w:highlight w:val="none"/>
          <w:u w:val="single"/>
          <w:lang w:bidi="ar"/>
        </w:rPr>
        <w:t xml:space="preserve">（计划于何时验收/供应商提出验收申请之日起   日内组织验收） </w:t>
      </w:r>
    </w:p>
    <w:p w14:paraId="60042A87">
      <w:pPr>
        <w:adjustRightInd w:val="0"/>
        <w:snapToGrid w:val="0"/>
        <w:spacing w:line="400" w:lineRule="exact"/>
        <w:ind w:firstLine="420"/>
        <w:rPr>
          <w:rFonts w:ascii="微软雅黑" w:hAnsi="微软雅黑" w:cs="微软雅黑"/>
          <w:bCs/>
          <w:color w:val="auto"/>
          <w:szCs w:val="21"/>
          <w:highlight w:val="none"/>
        </w:rPr>
      </w:pPr>
      <w:r>
        <w:rPr>
          <w:rFonts w:hint="eastAsia" w:ascii="微软雅黑" w:hAnsi="微软雅黑" w:cs="微软雅黑"/>
          <w:bCs/>
          <w:color w:val="auto"/>
          <w:szCs w:val="21"/>
          <w:highlight w:val="none"/>
          <w:lang w:bidi="ar"/>
        </w:rPr>
        <w:t>（3）履约验收方式：</w:t>
      </w:r>
      <w:r>
        <w:rPr>
          <w:rFonts w:hint="eastAsia" w:ascii="微软雅黑" w:hAnsi="微软雅黑" w:cs="微软雅黑"/>
          <w:color w:val="auto"/>
          <w:szCs w:val="21"/>
          <w:highlight w:val="none"/>
          <w:lang w:bidi="ar"/>
        </w:rPr>
        <w:sym w:font="Wingdings" w:char="00A8"/>
      </w:r>
      <w:r>
        <w:rPr>
          <w:rFonts w:hint="eastAsia" w:ascii="微软雅黑" w:hAnsi="微软雅黑" w:cs="微软雅黑"/>
          <w:bCs/>
          <w:color w:val="auto"/>
          <w:szCs w:val="21"/>
          <w:highlight w:val="none"/>
          <w:lang w:bidi="ar"/>
        </w:rPr>
        <w:t xml:space="preserve">一次性验收         </w:t>
      </w:r>
    </w:p>
    <w:p w14:paraId="1AE06AF7">
      <w:pPr>
        <w:adjustRightInd w:val="0"/>
        <w:snapToGrid w:val="0"/>
        <w:spacing w:line="400" w:lineRule="exact"/>
        <w:ind w:firstLine="420"/>
        <w:rPr>
          <w:rFonts w:ascii="微软雅黑" w:hAnsi="微软雅黑" w:cs="微软雅黑"/>
          <w:bCs/>
          <w:color w:val="auto"/>
          <w:szCs w:val="21"/>
          <w:highlight w:val="none"/>
        </w:rPr>
      </w:pPr>
      <w:r>
        <w:rPr>
          <w:rFonts w:hint="eastAsia" w:ascii="微软雅黑" w:hAnsi="微软雅黑" w:cs="微软雅黑"/>
          <w:bCs/>
          <w:color w:val="auto"/>
          <w:szCs w:val="21"/>
          <w:highlight w:val="none"/>
          <w:lang w:bidi="ar"/>
        </w:rPr>
        <w:t xml:space="preserve">                       </w:t>
      </w:r>
      <w:r>
        <w:rPr>
          <w:rFonts w:hint="eastAsia" w:ascii="微软雅黑" w:hAnsi="微软雅黑" w:cs="微软雅黑"/>
          <w:color w:val="auto"/>
          <w:szCs w:val="21"/>
          <w:highlight w:val="none"/>
          <w:lang w:bidi="ar"/>
        </w:rPr>
        <w:sym w:font="Wingdings" w:char="00A8"/>
      </w:r>
      <w:r>
        <w:rPr>
          <w:rFonts w:hint="eastAsia" w:ascii="微软雅黑" w:hAnsi="微软雅黑" w:cs="微软雅黑"/>
          <w:bCs/>
          <w:color w:val="auto"/>
          <w:szCs w:val="21"/>
          <w:highlight w:val="none"/>
          <w:lang w:bidi="ar"/>
        </w:rPr>
        <w:t>分期/分项验收：</w:t>
      </w:r>
      <w:r>
        <w:rPr>
          <w:rFonts w:hint="eastAsia" w:ascii="微软雅黑" w:hAnsi="微软雅黑" w:cs="微软雅黑"/>
          <w:bCs/>
          <w:color w:val="auto"/>
          <w:szCs w:val="21"/>
          <w:highlight w:val="none"/>
          <w:u w:val="single"/>
          <w:lang w:bidi="ar"/>
        </w:rPr>
        <w:t xml:space="preserve"> （应明确分期/分项验收的工作安排）  </w:t>
      </w:r>
    </w:p>
    <w:p w14:paraId="2E744B1E">
      <w:pPr>
        <w:adjustRightInd w:val="0"/>
        <w:snapToGrid w:val="0"/>
        <w:spacing w:line="400" w:lineRule="exact"/>
        <w:ind w:firstLine="420"/>
        <w:rPr>
          <w:rFonts w:ascii="微软雅黑" w:hAnsi="微软雅黑" w:cs="微软雅黑"/>
          <w:bCs/>
          <w:color w:val="auto"/>
          <w:szCs w:val="21"/>
          <w:highlight w:val="none"/>
        </w:rPr>
      </w:pPr>
      <w:r>
        <w:rPr>
          <w:rFonts w:hint="eastAsia" w:ascii="微软雅黑" w:hAnsi="微软雅黑" w:cs="微软雅黑"/>
          <w:bCs/>
          <w:color w:val="auto"/>
          <w:szCs w:val="21"/>
          <w:highlight w:val="none"/>
          <w:lang w:bidi="ar"/>
        </w:rPr>
        <w:t>（4）履约验收程序：</w:t>
      </w:r>
      <w:r>
        <w:rPr>
          <w:rFonts w:hint="eastAsia" w:ascii="微软雅黑" w:hAnsi="微软雅黑" w:cs="微软雅黑"/>
          <w:bCs/>
          <w:color w:val="auto"/>
          <w:szCs w:val="21"/>
          <w:highlight w:val="none"/>
          <w:u w:val="single"/>
          <w:lang w:bidi="ar"/>
        </w:rPr>
        <w:t xml:space="preserve">                                         </w:t>
      </w:r>
    </w:p>
    <w:p w14:paraId="3E727904">
      <w:pPr>
        <w:adjustRightInd w:val="0"/>
        <w:snapToGrid w:val="0"/>
        <w:spacing w:line="400" w:lineRule="exact"/>
        <w:ind w:firstLine="420"/>
        <w:rPr>
          <w:rFonts w:ascii="微软雅黑" w:hAnsi="微软雅黑" w:cs="微软雅黑"/>
          <w:bCs/>
          <w:color w:val="auto"/>
          <w:szCs w:val="21"/>
          <w:highlight w:val="none"/>
          <w:u w:val="single"/>
        </w:rPr>
      </w:pPr>
      <w:r>
        <w:rPr>
          <w:rFonts w:hint="eastAsia" w:ascii="微软雅黑" w:hAnsi="微软雅黑" w:cs="微软雅黑"/>
          <w:bCs/>
          <w:color w:val="auto"/>
          <w:szCs w:val="21"/>
          <w:highlight w:val="none"/>
          <w:lang w:bidi="ar"/>
        </w:rPr>
        <w:t>（5）履约验收的内容：</w:t>
      </w:r>
      <w:r>
        <w:rPr>
          <w:rFonts w:hint="eastAsia" w:ascii="微软雅黑" w:hAnsi="微软雅黑" w:cs="微软雅黑"/>
          <w:bCs/>
          <w:color w:val="auto"/>
          <w:szCs w:val="21"/>
          <w:highlight w:val="none"/>
          <w:u w:val="single"/>
          <w:lang w:bidi="ar"/>
        </w:rPr>
        <w:t xml:space="preserve"> （应当包括每一项技术和商务要求的履约情况，特别是落实政府采购扶持中小企业，支持绿色发展和乡村振兴等政策情况）                                      </w:t>
      </w:r>
    </w:p>
    <w:p w14:paraId="4899745B">
      <w:pPr>
        <w:adjustRightInd w:val="0"/>
        <w:snapToGrid w:val="0"/>
        <w:spacing w:line="400" w:lineRule="exact"/>
        <w:ind w:firstLine="420"/>
        <w:rPr>
          <w:rFonts w:ascii="微软雅黑" w:hAnsi="微软雅黑" w:cs="微软雅黑"/>
          <w:bCs/>
          <w:color w:val="auto"/>
          <w:szCs w:val="21"/>
          <w:highlight w:val="none"/>
          <w:u w:val="single"/>
        </w:rPr>
      </w:pPr>
      <w:r>
        <w:rPr>
          <w:rFonts w:hint="eastAsia" w:ascii="微软雅黑" w:hAnsi="微软雅黑" w:cs="微软雅黑"/>
          <w:bCs/>
          <w:color w:val="auto"/>
          <w:szCs w:val="21"/>
          <w:highlight w:val="none"/>
          <w:lang w:bidi="ar"/>
        </w:rPr>
        <w:t>（6）履约验收标准：</w:t>
      </w:r>
      <w:r>
        <w:rPr>
          <w:rFonts w:hint="eastAsia" w:ascii="微软雅黑" w:hAnsi="微软雅黑" w:cs="微软雅黑"/>
          <w:bCs/>
          <w:color w:val="auto"/>
          <w:szCs w:val="21"/>
          <w:highlight w:val="none"/>
          <w:u w:val="single"/>
          <w:lang w:bidi="ar"/>
        </w:rPr>
        <w:t xml:space="preserve">                                         </w:t>
      </w:r>
    </w:p>
    <w:p w14:paraId="4211A219">
      <w:pPr>
        <w:pStyle w:val="307"/>
        <w:ind w:left="480" w:firstLine="420"/>
        <w:rPr>
          <w:rFonts w:ascii="微软雅黑" w:hAnsi="微软雅黑" w:eastAsia="微软雅黑" w:cs="微软雅黑"/>
          <w:color w:val="auto"/>
          <w:sz w:val="21"/>
          <w:highlight w:val="none"/>
        </w:rPr>
      </w:pPr>
      <w:r>
        <w:rPr>
          <w:rFonts w:hint="eastAsia" w:ascii="微软雅黑" w:hAnsi="微软雅黑" w:eastAsia="微软雅黑" w:cs="微软雅黑"/>
          <w:bCs/>
          <w:color w:val="auto"/>
          <w:sz w:val="21"/>
          <w:highlight w:val="none"/>
        </w:rPr>
        <w:t>（7）是否以采购活动中供应商提供的样品作为参考：</w:t>
      </w:r>
      <w:r>
        <w:rPr>
          <w:rFonts w:hint="eastAsia" w:ascii="微软雅黑" w:hAnsi="微软雅黑" w:eastAsia="微软雅黑" w:cs="微软雅黑"/>
          <w:color w:val="auto"/>
          <w:sz w:val="21"/>
          <w:highlight w:val="none"/>
        </w:rPr>
        <w:sym w:font="Wingdings" w:char="00A8"/>
      </w:r>
      <w:r>
        <w:rPr>
          <w:rFonts w:hint="eastAsia" w:ascii="微软雅黑" w:hAnsi="微软雅黑" w:eastAsia="微软雅黑" w:cs="微软雅黑"/>
          <w:bCs/>
          <w:color w:val="auto"/>
          <w:sz w:val="21"/>
          <w:highlight w:val="none"/>
        </w:rPr>
        <w:t xml:space="preserve">是  </w:t>
      </w:r>
      <w:r>
        <w:rPr>
          <w:rFonts w:hint="eastAsia" w:ascii="微软雅黑" w:hAnsi="微软雅黑" w:eastAsia="微软雅黑" w:cs="微软雅黑"/>
          <w:color w:val="auto"/>
          <w:sz w:val="21"/>
          <w:highlight w:val="none"/>
        </w:rPr>
        <w:sym w:font="Wingdings" w:char="00A8"/>
      </w:r>
      <w:r>
        <w:rPr>
          <w:rFonts w:hint="eastAsia" w:ascii="微软雅黑" w:hAnsi="微软雅黑" w:eastAsia="微软雅黑" w:cs="微软雅黑"/>
          <w:bCs/>
          <w:color w:val="auto"/>
          <w:sz w:val="21"/>
          <w:highlight w:val="none"/>
        </w:rPr>
        <w:t>否</w:t>
      </w:r>
    </w:p>
    <w:p w14:paraId="39846728">
      <w:pPr>
        <w:adjustRightInd w:val="0"/>
        <w:snapToGrid w:val="0"/>
        <w:spacing w:line="400" w:lineRule="exact"/>
        <w:ind w:firstLine="420"/>
        <w:rPr>
          <w:rFonts w:ascii="微软雅黑" w:hAnsi="微软雅黑" w:cs="微软雅黑"/>
          <w:bCs/>
          <w:color w:val="auto"/>
          <w:szCs w:val="21"/>
          <w:highlight w:val="none"/>
          <w:u w:val="single"/>
        </w:rPr>
      </w:pPr>
      <w:r>
        <w:rPr>
          <w:rFonts w:hint="eastAsia" w:ascii="微软雅黑" w:hAnsi="微软雅黑" w:cs="微软雅黑"/>
          <w:bCs/>
          <w:color w:val="auto"/>
          <w:szCs w:val="21"/>
          <w:highlight w:val="none"/>
          <w:lang w:bidi="ar"/>
        </w:rPr>
        <w:t>（8）履约验收其他事项：</w:t>
      </w:r>
      <w:r>
        <w:rPr>
          <w:rFonts w:hint="eastAsia" w:ascii="微软雅黑" w:hAnsi="微软雅黑" w:cs="微软雅黑"/>
          <w:bCs/>
          <w:color w:val="auto"/>
          <w:szCs w:val="21"/>
          <w:highlight w:val="none"/>
          <w:u w:val="single"/>
          <w:lang w:bidi="ar"/>
        </w:rPr>
        <w:t xml:space="preserve">      （产权过户登记等）          </w:t>
      </w:r>
    </w:p>
    <w:p w14:paraId="27764DB6">
      <w:pPr>
        <w:numPr>
          <w:ilvl w:val="0"/>
          <w:numId w:val="44"/>
        </w:numPr>
        <w:adjustRightInd w:val="0"/>
        <w:snapToGrid w:val="0"/>
        <w:spacing w:line="400" w:lineRule="exact"/>
        <w:ind w:firstLine="420"/>
        <w:rPr>
          <w:rFonts w:ascii="微软雅黑" w:hAnsi="微软雅黑" w:cs="微软雅黑"/>
          <w:b/>
          <w:color w:val="auto"/>
          <w:szCs w:val="21"/>
          <w:highlight w:val="none"/>
        </w:rPr>
      </w:pPr>
      <w:r>
        <w:rPr>
          <w:rFonts w:hint="eastAsia" w:ascii="微软雅黑" w:hAnsi="微软雅黑" w:cs="微软雅黑"/>
          <w:b/>
          <w:color w:val="auto"/>
          <w:szCs w:val="21"/>
          <w:highlight w:val="none"/>
          <w:lang w:bidi="ar"/>
        </w:rPr>
        <w:t>组成合同的文件</w:t>
      </w:r>
    </w:p>
    <w:p w14:paraId="00901357">
      <w:pPr>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本协议书与下列文件一起构成合同文件，如下述文件之间有任何抵触、矛盾或歧义，应按以下顺序解释：</w:t>
      </w:r>
    </w:p>
    <w:p w14:paraId="3242AA60">
      <w:pPr>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（1）政府采购合同协议书及其变更、补充协议</w:t>
      </w:r>
    </w:p>
    <w:p w14:paraId="428F0070">
      <w:pPr>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（2）政府采购合同专用条款</w:t>
      </w:r>
    </w:p>
    <w:p w14:paraId="0310ACAF">
      <w:pPr>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（3）政府采购合同通用条款</w:t>
      </w:r>
    </w:p>
    <w:p w14:paraId="31BD653B">
      <w:pPr>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（4）中标（成交）通知书</w:t>
      </w:r>
    </w:p>
    <w:p w14:paraId="49E14FFE">
      <w:pPr>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（5）投标（响应）文件</w:t>
      </w:r>
    </w:p>
    <w:p w14:paraId="63C69FA8">
      <w:pPr>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（6）采购文件</w:t>
      </w:r>
    </w:p>
    <w:p w14:paraId="55E7EECF">
      <w:pPr>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（7）有关技术文件，图纸</w:t>
      </w:r>
    </w:p>
    <w:p w14:paraId="3DC161ED">
      <w:pPr>
        <w:pStyle w:val="307"/>
        <w:ind w:left="480" w:firstLine="420"/>
        <w:rPr>
          <w:rFonts w:ascii="微软雅黑" w:hAnsi="微软雅黑" w:eastAsia="微软雅黑" w:cs="微软雅黑"/>
          <w:color w:val="auto"/>
          <w:kern w:val="2"/>
          <w:sz w:val="21"/>
          <w:highlight w:val="none"/>
        </w:rPr>
      </w:pPr>
      <w:r>
        <w:rPr>
          <w:rFonts w:hint="eastAsia" w:ascii="微软雅黑" w:hAnsi="微软雅黑" w:eastAsia="微软雅黑" w:cs="微软雅黑"/>
          <w:color w:val="auto"/>
          <w:sz w:val="21"/>
          <w:highlight w:val="none"/>
        </w:rPr>
        <w:t>（8）</w:t>
      </w:r>
      <w:r>
        <w:rPr>
          <w:rFonts w:hint="eastAsia" w:ascii="微软雅黑" w:hAnsi="微软雅黑" w:eastAsia="微软雅黑" w:cs="微软雅黑"/>
          <w:color w:val="auto"/>
          <w:kern w:val="2"/>
          <w:sz w:val="21"/>
          <w:highlight w:val="none"/>
        </w:rPr>
        <w:t>国家法律、行政法规和规章制度规定或合同约定的作为合同组成部分的其他文件</w:t>
      </w:r>
    </w:p>
    <w:p w14:paraId="3ED69C10">
      <w:pPr>
        <w:numPr>
          <w:ilvl w:val="0"/>
          <w:numId w:val="44"/>
        </w:numPr>
        <w:adjustRightInd w:val="0"/>
        <w:snapToGrid w:val="0"/>
        <w:spacing w:line="400" w:lineRule="exact"/>
        <w:ind w:firstLine="420"/>
        <w:rPr>
          <w:rFonts w:ascii="微软雅黑" w:hAnsi="微软雅黑" w:cs="微软雅黑"/>
          <w:b/>
          <w:color w:val="auto"/>
          <w:szCs w:val="21"/>
          <w:highlight w:val="none"/>
        </w:rPr>
      </w:pPr>
      <w:r>
        <w:rPr>
          <w:rFonts w:hint="eastAsia" w:ascii="微软雅黑" w:hAnsi="微软雅黑" w:cs="微软雅黑"/>
          <w:b/>
          <w:color w:val="auto"/>
          <w:szCs w:val="21"/>
          <w:highlight w:val="none"/>
          <w:lang w:bidi="ar"/>
        </w:rPr>
        <w:t>合同生效</w:t>
      </w:r>
    </w:p>
    <w:p w14:paraId="4A2DD8EB">
      <w:pPr>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本合同自</w:t>
      </w:r>
      <w:r>
        <w:rPr>
          <w:rFonts w:hint="eastAsia" w:ascii="微软雅黑" w:hAnsi="微软雅黑" w:cs="微软雅黑"/>
          <w:color w:val="auto"/>
          <w:szCs w:val="21"/>
          <w:highlight w:val="none"/>
          <w:u w:val="single"/>
          <w:lang w:bidi="ar"/>
        </w:rPr>
        <w:t xml:space="preserve">                             </w:t>
      </w:r>
      <w:r>
        <w:rPr>
          <w:rFonts w:hint="eastAsia" w:ascii="微软雅黑" w:hAnsi="微软雅黑" w:cs="微软雅黑"/>
          <w:color w:val="auto"/>
          <w:szCs w:val="21"/>
          <w:highlight w:val="none"/>
          <w:lang w:bidi="ar"/>
        </w:rPr>
        <w:t>生效。</w:t>
      </w:r>
    </w:p>
    <w:p w14:paraId="5BE797AB">
      <w:pPr>
        <w:numPr>
          <w:ilvl w:val="0"/>
          <w:numId w:val="44"/>
        </w:numPr>
        <w:adjustRightInd w:val="0"/>
        <w:snapToGrid w:val="0"/>
        <w:spacing w:line="400" w:lineRule="exact"/>
        <w:ind w:firstLine="420"/>
        <w:rPr>
          <w:rFonts w:ascii="微软雅黑" w:hAnsi="微软雅黑" w:cs="微软雅黑"/>
          <w:b/>
          <w:color w:val="auto"/>
          <w:szCs w:val="21"/>
          <w:highlight w:val="none"/>
        </w:rPr>
      </w:pPr>
      <w:r>
        <w:rPr>
          <w:rFonts w:hint="eastAsia" w:ascii="微软雅黑" w:hAnsi="微软雅黑" w:cs="微软雅黑"/>
          <w:b/>
          <w:color w:val="auto"/>
          <w:szCs w:val="21"/>
          <w:highlight w:val="none"/>
          <w:lang w:bidi="ar"/>
        </w:rPr>
        <w:t>合同份数</w:t>
      </w:r>
    </w:p>
    <w:p w14:paraId="5EB27554">
      <w:pPr>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本合同一式</w:t>
      </w:r>
      <w:r>
        <w:rPr>
          <w:rFonts w:hint="eastAsia" w:ascii="微软雅黑" w:hAnsi="微软雅黑" w:cs="微软雅黑"/>
          <w:color w:val="auto"/>
          <w:szCs w:val="21"/>
          <w:highlight w:val="none"/>
          <w:u w:val="single"/>
          <w:lang w:bidi="ar"/>
        </w:rPr>
        <w:t xml:space="preserve">    </w:t>
      </w:r>
      <w:r>
        <w:rPr>
          <w:rFonts w:hint="eastAsia" w:ascii="微软雅黑" w:hAnsi="微软雅黑" w:cs="微软雅黑"/>
          <w:color w:val="auto"/>
          <w:szCs w:val="21"/>
          <w:highlight w:val="none"/>
          <w:lang w:bidi="ar"/>
        </w:rPr>
        <w:t>份，甲方执</w:t>
      </w:r>
      <w:r>
        <w:rPr>
          <w:rFonts w:hint="eastAsia" w:ascii="微软雅黑" w:hAnsi="微软雅黑" w:cs="微软雅黑"/>
          <w:color w:val="auto"/>
          <w:szCs w:val="21"/>
          <w:highlight w:val="none"/>
          <w:u w:val="single"/>
          <w:lang w:bidi="ar"/>
        </w:rPr>
        <w:t xml:space="preserve">    </w:t>
      </w:r>
      <w:r>
        <w:rPr>
          <w:rFonts w:hint="eastAsia" w:ascii="微软雅黑" w:hAnsi="微软雅黑" w:cs="微软雅黑"/>
          <w:color w:val="auto"/>
          <w:szCs w:val="21"/>
          <w:highlight w:val="none"/>
          <w:lang w:bidi="ar"/>
        </w:rPr>
        <w:t>份，乙方执</w:t>
      </w:r>
      <w:r>
        <w:rPr>
          <w:rFonts w:hint="eastAsia" w:ascii="微软雅黑" w:hAnsi="微软雅黑" w:cs="微软雅黑"/>
          <w:color w:val="auto"/>
          <w:szCs w:val="21"/>
          <w:highlight w:val="none"/>
          <w:u w:val="single"/>
          <w:lang w:bidi="ar"/>
        </w:rPr>
        <w:t xml:space="preserve">    </w:t>
      </w:r>
      <w:r>
        <w:rPr>
          <w:rFonts w:hint="eastAsia" w:ascii="微软雅黑" w:hAnsi="微软雅黑" w:cs="微软雅黑"/>
          <w:color w:val="auto"/>
          <w:szCs w:val="21"/>
          <w:highlight w:val="none"/>
          <w:lang w:bidi="ar"/>
        </w:rPr>
        <w:t>份，均具有同等法律效力。</w:t>
      </w:r>
    </w:p>
    <w:p w14:paraId="7F4BFB2B">
      <w:pPr>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合同订立时间：</w:t>
      </w:r>
      <w:r>
        <w:rPr>
          <w:rFonts w:hint="eastAsia" w:ascii="微软雅黑" w:hAnsi="微软雅黑" w:cs="微软雅黑"/>
          <w:color w:val="auto"/>
          <w:szCs w:val="21"/>
          <w:highlight w:val="none"/>
          <w:u w:val="single"/>
          <w:lang w:bidi="ar"/>
        </w:rPr>
        <w:t xml:space="preserve">         </w:t>
      </w:r>
      <w:r>
        <w:rPr>
          <w:rFonts w:hint="eastAsia" w:ascii="微软雅黑" w:hAnsi="微软雅黑" w:cs="微软雅黑"/>
          <w:color w:val="auto"/>
          <w:szCs w:val="21"/>
          <w:highlight w:val="none"/>
          <w:lang w:bidi="ar"/>
        </w:rPr>
        <w:t>年</w:t>
      </w:r>
      <w:r>
        <w:rPr>
          <w:rFonts w:hint="eastAsia" w:ascii="微软雅黑" w:hAnsi="微软雅黑" w:cs="微软雅黑"/>
          <w:color w:val="auto"/>
          <w:szCs w:val="21"/>
          <w:highlight w:val="none"/>
          <w:u w:val="single"/>
          <w:lang w:bidi="ar"/>
        </w:rPr>
        <w:t xml:space="preserve">      </w:t>
      </w:r>
      <w:r>
        <w:rPr>
          <w:rFonts w:hint="eastAsia" w:ascii="微软雅黑" w:hAnsi="微软雅黑" w:cs="微软雅黑"/>
          <w:color w:val="auto"/>
          <w:szCs w:val="21"/>
          <w:highlight w:val="none"/>
          <w:lang w:bidi="ar"/>
        </w:rPr>
        <w:t>月</w:t>
      </w:r>
      <w:r>
        <w:rPr>
          <w:rFonts w:hint="eastAsia" w:ascii="微软雅黑" w:hAnsi="微软雅黑" w:cs="微软雅黑"/>
          <w:color w:val="auto"/>
          <w:szCs w:val="21"/>
          <w:highlight w:val="none"/>
          <w:u w:val="single"/>
          <w:lang w:bidi="ar"/>
        </w:rPr>
        <w:t xml:space="preserve">      </w:t>
      </w:r>
      <w:r>
        <w:rPr>
          <w:rFonts w:hint="eastAsia" w:ascii="微软雅黑" w:hAnsi="微软雅黑" w:cs="微软雅黑"/>
          <w:color w:val="auto"/>
          <w:szCs w:val="21"/>
          <w:highlight w:val="none"/>
          <w:lang w:bidi="ar"/>
        </w:rPr>
        <w:t>日</w:t>
      </w:r>
    </w:p>
    <w:p w14:paraId="20EF90CA">
      <w:pPr>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合同订立地点：</w:t>
      </w:r>
      <w:r>
        <w:rPr>
          <w:rFonts w:hint="eastAsia" w:ascii="微软雅黑" w:hAnsi="微软雅黑" w:cs="微软雅黑"/>
          <w:color w:val="auto"/>
          <w:szCs w:val="21"/>
          <w:highlight w:val="none"/>
          <w:u w:val="single"/>
          <w:lang w:bidi="ar"/>
        </w:rPr>
        <w:t xml:space="preserve">                           </w:t>
      </w:r>
    </w:p>
    <w:p w14:paraId="21926C14">
      <w:pPr>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附件：具体标的及其技术要求和商务要求、联合协议、分包意向协议等。</w:t>
      </w:r>
    </w:p>
    <w:p w14:paraId="0948F4D0">
      <w:pPr>
        <w:pStyle w:val="47"/>
        <w:widowControl w:val="0"/>
        <w:spacing w:line="400" w:lineRule="exact"/>
        <w:jc w:val="both"/>
        <w:rPr>
          <w:rFonts w:ascii="微软雅黑" w:hAnsi="微软雅黑" w:cs="微软雅黑"/>
          <w:color w:val="auto"/>
          <w:highlight w:val="none"/>
        </w:rPr>
      </w:pPr>
    </w:p>
    <w:p w14:paraId="4EE49638">
      <w:pPr>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br w:type="page"/>
      </w:r>
    </w:p>
    <w:p w14:paraId="3263C733">
      <w:pPr>
        <w:pStyle w:val="47"/>
        <w:widowControl w:val="0"/>
        <w:jc w:val="both"/>
        <w:rPr>
          <w:rFonts w:ascii="微软雅黑" w:hAnsi="微软雅黑" w:cs="微软雅黑"/>
          <w:color w:val="auto"/>
          <w:highlight w:val="none"/>
        </w:rPr>
      </w:pPr>
    </w:p>
    <w:tbl>
      <w:tblPr>
        <w:tblStyle w:val="52"/>
        <w:tblW w:w="9151" w:type="dxa"/>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
      <w:tblGrid>
        <w:gridCol w:w="2061"/>
        <w:gridCol w:w="2628"/>
        <w:gridCol w:w="2154"/>
        <w:gridCol w:w="2308"/>
      </w:tblGrid>
      <w:tr w14:paraId="70B3AE5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90" w:hRule="atLeast"/>
        </w:trPr>
        <w:tc>
          <w:tcPr>
            <w:tcW w:w="4689" w:type="dxa"/>
            <w:gridSpan w:val="2"/>
            <w:tcBorders>
              <w:top w:val="single" w:color="auto" w:sz="4" w:space="0"/>
              <w:left w:val="single" w:color="auto" w:sz="4" w:space="0"/>
              <w:bottom w:val="single" w:color="auto" w:sz="2" w:space="0"/>
              <w:right w:val="single" w:color="auto" w:sz="2" w:space="0"/>
            </w:tcBorders>
            <w:shd w:val="clear" w:color="auto" w:fill="auto"/>
            <w:vAlign w:val="center"/>
          </w:tcPr>
          <w:p w14:paraId="38DDB5BC">
            <w:pPr>
              <w:adjustRightInd w:val="0"/>
              <w:snapToGrid w:val="0"/>
              <w:spacing w:line="300" w:lineRule="exact"/>
              <w:ind w:firstLine="420"/>
              <w:jc w:val="center"/>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甲方（采购人、受采购人委托签订合同的单位或采购文件约定的合同甲方）</w:t>
            </w:r>
          </w:p>
        </w:tc>
        <w:tc>
          <w:tcPr>
            <w:tcW w:w="4462" w:type="dxa"/>
            <w:gridSpan w:val="2"/>
            <w:tcBorders>
              <w:top w:val="single" w:color="auto" w:sz="4" w:space="0"/>
              <w:left w:val="single" w:color="auto" w:sz="2" w:space="0"/>
              <w:bottom w:val="single" w:color="auto" w:sz="2" w:space="0"/>
              <w:right w:val="single" w:color="auto" w:sz="4" w:space="0"/>
            </w:tcBorders>
            <w:shd w:val="clear" w:color="auto" w:fill="auto"/>
            <w:vAlign w:val="center"/>
          </w:tcPr>
          <w:p w14:paraId="2C91CEB5">
            <w:pPr>
              <w:adjustRightInd w:val="0"/>
              <w:snapToGrid w:val="0"/>
              <w:spacing w:line="300" w:lineRule="exact"/>
              <w:ind w:firstLine="420"/>
              <w:jc w:val="center"/>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乙方（供应商）</w:t>
            </w:r>
          </w:p>
        </w:tc>
      </w:tr>
      <w:tr w14:paraId="66D35AA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trPr>
        <w:tc>
          <w:tcPr>
            <w:tcW w:w="2061" w:type="dxa"/>
            <w:tcBorders>
              <w:top w:val="single" w:color="auto" w:sz="2" w:space="0"/>
              <w:left w:val="single" w:color="auto" w:sz="4" w:space="0"/>
              <w:bottom w:val="single" w:color="auto" w:sz="2" w:space="0"/>
              <w:right w:val="single" w:color="auto" w:sz="2" w:space="0"/>
            </w:tcBorders>
            <w:shd w:val="clear" w:color="auto" w:fill="auto"/>
            <w:vAlign w:val="center"/>
          </w:tcPr>
          <w:p w14:paraId="38338550">
            <w:pPr>
              <w:adjustRightInd w:val="0"/>
              <w:snapToGrid w:val="0"/>
              <w:spacing w:line="300" w:lineRule="exact"/>
              <w:ind w:firstLine="420"/>
              <w:jc w:val="center"/>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单位名称（公章或合同章）</w:t>
            </w:r>
          </w:p>
        </w:tc>
        <w:tc>
          <w:tcPr>
            <w:tcW w:w="2628" w:type="dxa"/>
            <w:tcBorders>
              <w:top w:val="single" w:color="auto" w:sz="2" w:space="0"/>
              <w:left w:val="single" w:color="auto" w:sz="2" w:space="0"/>
              <w:bottom w:val="single" w:color="auto" w:sz="2" w:space="0"/>
              <w:right w:val="single" w:color="auto" w:sz="2" w:space="0"/>
            </w:tcBorders>
            <w:shd w:val="clear" w:color="auto" w:fill="auto"/>
            <w:vAlign w:val="center"/>
          </w:tcPr>
          <w:p w14:paraId="2B8E1BEA">
            <w:pPr>
              <w:adjustRightInd w:val="0"/>
              <w:snapToGrid w:val="0"/>
              <w:spacing w:line="300" w:lineRule="exact"/>
              <w:ind w:firstLine="420"/>
              <w:jc w:val="center"/>
              <w:rPr>
                <w:rFonts w:ascii="微软雅黑" w:hAnsi="微软雅黑" w:cs="微软雅黑"/>
                <w:color w:val="auto"/>
                <w:szCs w:val="21"/>
                <w:highlight w:val="none"/>
              </w:rPr>
            </w:pPr>
          </w:p>
        </w:tc>
        <w:tc>
          <w:tcPr>
            <w:tcW w:w="2154" w:type="dxa"/>
            <w:tcBorders>
              <w:top w:val="single" w:color="auto" w:sz="2" w:space="0"/>
              <w:left w:val="single" w:color="auto" w:sz="2" w:space="0"/>
              <w:bottom w:val="single" w:color="auto" w:sz="2" w:space="0"/>
              <w:right w:val="single" w:color="auto" w:sz="2" w:space="0"/>
            </w:tcBorders>
            <w:shd w:val="clear" w:color="auto" w:fill="auto"/>
            <w:vAlign w:val="center"/>
          </w:tcPr>
          <w:p w14:paraId="05D1AF49">
            <w:pPr>
              <w:adjustRightInd w:val="0"/>
              <w:snapToGrid w:val="0"/>
              <w:spacing w:line="300" w:lineRule="exact"/>
              <w:ind w:firstLine="420"/>
              <w:jc w:val="center"/>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单位名称（公章或合同章）</w:t>
            </w:r>
          </w:p>
        </w:tc>
        <w:tc>
          <w:tcPr>
            <w:tcW w:w="2308" w:type="dxa"/>
            <w:tcBorders>
              <w:top w:val="single" w:color="auto" w:sz="2" w:space="0"/>
              <w:left w:val="single" w:color="auto" w:sz="2" w:space="0"/>
              <w:bottom w:val="single" w:color="auto" w:sz="2" w:space="0"/>
              <w:right w:val="single" w:color="auto" w:sz="4" w:space="0"/>
            </w:tcBorders>
            <w:shd w:val="clear" w:color="auto" w:fill="auto"/>
            <w:vAlign w:val="center"/>
          </w:tcPr>
          <w:p w14:paraId="583E3DBD">
            <w:pPr>
              <w:adjustRightInd w:val="0"/>
              <w:snapToGrid w:val="0"/>
              <w:spacing w:line="300" w:lineRule="exact"/>
              <w:ind w:firstLine="500"/>
              <w:jc w:val="center"/>
              <w:rPr>
                <w:rFonts w:ascii="微软雅黑" w:hAnsi="微软雅黑" w:cs="微软雅黑"/>
                <w:color w:val="auto"/>
                <w:spacing w:val="20"/>
                <w:szCs w:val="21"/>
                <w:highlight w:val="none"/>
              </w:rPr>
            </w:pPr>
          </w:p>
        </w:tc>
      </w:tr>
      <w:tr w14:paraId="7BE24C9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trPr>
        <w:tc>
          <w:tcPr>
            <w:tcW w:w="2061" w:type="dxa"/>
            <w:vMerge w:val="restart"/>
            <w:tcBorders>
              <w:top w:val="single" w:color="auto" w:sz="2" w:space="0"/>
              <w:left w:val="single" w:color="auto" w:sz="4" w:space="0"/>
              <w:bottom w:val="single" w:color="auto" w:sz="2" w:space="0"/>
              <w:right w:val="single" w:color="auto" w:sz="2" w:space="0"/>
            </w:tcBorders>
            <w:shd w:val="clear" w:color="auto" w:fill="auto"/>
            <w:vAlign w:val="center"/>
          </w:tcPr>
          <w:p w14:paraId="554A383F">
            <w:pPr>
              <w:adjustRightInd w:val="0"/>
              <w:snapToGrid w:val="0"/>
              <w:spacing w:line="300" w:lineRule="exact"/>
              <w:ind w:firstLine="420"/>
              <w:jc w:val="center"/>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法定代表人</w:t>
            </w:r>
          </w:p>
          <w:p w14:paraId="1B5CB8D5">
            <w:pPr>
              <w:adjustRightInd w:val="0"/>
              <w:snapToGrid w:val="0"/>
              <w:spacing w:line="300" w:lineRule="exact"/>
              <w:ind w:firstLine="100" w:firstLineChars="48"/>
              <w:jc w:val="center"/>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或其委托代理人（签章）</w:t>
            </w:r>
          </w:p>
        </w:tc>
        <w:tc>
          <w:tcPr>
            <w:tcW w:w="2628" w:type="dxa"/>
            <w:vMerge w:val="restart"/>
            <w:tcBorders>
              <w:top w:val="single" w:color="auto" w:sz="2" w:space="0"/>
              <w:left w:val="single" w:color="auto" w:sz="2" w:space="0"/>
              <w:bottom w:val="single" w:color="auto" w:sz="2" w:space="0"/>
              <w:right w:val="single" w:color="auto" w:sz="2" w:space="0"/>
            </w:tcBorders>
            <w:shd w:val="clear" w:color="auto" w:fill="auto"/>
            <w:vAlign w:val="center"/>
          </w:tcPr>
          <w:p w14:paraId="4F2B8517">
            <w:pPr>
              <w:adjustRightInd w:val="0"/>
              <w:snapToGrid w:val="0"/>
              <w:spacing w:line="300" w:lineRule="exact"/>
              <w:ind w:firstLine="420"/>
              <w:jc w:val="center"/>
              <w:rPr>
                <w:rFonts w:ascii="微软雅黑" w:hAnsi="微软雅黑" w:cs="微软雅黑"/>
                <w:color w:val="auto"/>
                <w:szCs w:val="21"/>
                <w:highlight w:val="none"/>
              </w:rPr>
            </w:pPr>
          </w:p>
        </w:tc>
        <w:tc>
          <w:tcPr>
            <w:tcW w:w="2154" w:type="dxa"/>
            <w:tcBorders>
              <w:top w:val="single" w:color="auto" w:sz="2" w:space="0"/>
              <w:left w:val="single" w:color="auto" w:sz="2" w:space="0"/>
              <w:bottom w:val="single" w:color="auto" w:sz="2" w:space="0"/>
              <w:right w:val="single" w:color="auto" w:sz="2" w:space="0"/>
            </w:tcBorders>
            <w:shd w:val="clear" w:color="auto" w:fill="auto"/>
            <w:vAlign w:val="center"/>
          </w:tcPr>
          <w:p w14:paraId="539DA8A8">
            <w:pPr>
              <w:adjustRightInd w:val="0"/>
              <w:snapToGrid w:val="0"/>
              <w:spacing w:line="300" w:lineRule="exact"/>
              <w:ind w:firstLine="420"/>
              <w:jc w:val="center"/>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法定代表人</w:t>
            </w:r>
          </w:p>
          <w:p w14:paraId="625C250C">
            <w:pPr>
              <w:adjustRightInd w:val="0"/>
              <w:snapToGrid w:val="0"/>
              <w:spacing w:line="300" w:lineRule="exact"/>
              <w:ind w:firstLine="420"/>
              <w:jc w:val="center"/>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或其委托代理人（签章）</w:t>
            </w:r>
          </w:p>
        </w:tc>
        <w:tc>
          <w:tcPr>
            <w:tcW w:w="2308" w:type="dxa"/>
            <w:tcBorders>
              <w:top w:val="single" w:color="auto" w:sz="2" w:space="0"/>
              <w:left w:val="single" w:color="auto" w:sz="2" w:space="0"/>
              <w:bottom w:val="single" w:color="auto" w:sz="2" w:space="0"/>
              <w:right w:val="single" w:color="auto" w:sz="4" w:space="0"/>
            </w:tcBorders>
            <w:shd w:val="clear" w:color="auto" w:fill="auto"/>
            <w:vAlign w:val="center"/>
          </w:tcPr>
          <w:p w14:paraId="04062C68">
            <w:pPr>
              <w:adjustRightInd w:val="0"/>
              <w:snapToGrid w:val="0"/>
              <w:spacing w:line="300" w:lineRule="exact"/>
              <w:ind w:firstLine="420"/>
              <w:jc w:val="center"/>
              <w:rPr>
                <w:rFonts w:ascii="微软雅黑" w:hAnsi="微软雅黑" w:cs="微软雅黑"/>
                <w:color w:val="auto"/>
                <w:szCs w:val="21"/>
                <w:highlight w:val="none"/>
              </w:rPr>
            </w:pPr>
          </w:p>
        </w:tc>
      </w:tr>
      <w:tr w14:paraId="44B4280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2061" w:type="dxa"/>
            <w:vMerge w:val="continue"/>
            <w:tcBorders>
              <w:top w:val="single" w:color="auto" w:sz="2" w:space="0"/>
              <w:left w:val="single" w:color="auto" w:sz="4" w:space="0"/>
              <w:bottom w:val="single" w:color="auto" w:sz="2" w:space="0"/>
              <w:right w:val="single" w:color="auto" w:sz="2" w:space="0"/>
            </w:tcBorders>
            <w:shd w:val="clear" w:color="auto" w:fill="auto"/>
            <w:vAlign w:val="center"/>
          </w:tcPr>
          <w:p w14:paraId="33A179FA">
            <w:pPr>
              <w:ind w:firstLine="400"/>
              <w:rPr>
                <w:rFonts w:ascii="微软雅黑" w:hAnsi="微软雅黑" w:cs="微软雅黑"/>
                <w:color w:val="auto"/>
                <w:sz w:val="20"/>
                <w:szCs w:val="20"/>
                <w:highlight w:val="none"/>
              </w:rPr>
            </w:pPr>
          </w:p>
        </w:tc>
        <w:tc>
          <w:tcPr>
            <w:tcW w:w="2628" w:type="dxa"/>
            <w:vMerge w:val="continue"/>
            <w:tcBorders>
              <w:top w:val="single" w:color="auto" w:sz="2" w:space="0"/>
              <w:left w:val="single" w:color="auto" w:sz="2" w:space="0"/>
              <w:bottom w:val="single" w:color="auto" w:sz="2" w:space="0"/>
              <w:right w:val="single" w:color="auto" w:sz="2" w:space="0"/>
            </w:tcBorders>
            <w:shd w:val="clear" w:color="auto" w:fill="auto"/>
            <w:vAlign w:val="center"/>
          </w:tcPr>
          <w:p w14:paraId="54D130FA">
            <w:pPr>
              <w:ind w:firstLine="400"/>
              <w:rPr>
                <w:rFonts w:ascii="微软雅黑" w:hAnsi="微软雅黑" w:cs="微软雅黑"/>
                <w:color w:val="auto"/>
                <w:sz w:val="20"/>
                <w:szCs w:val="20"/>
                <w:highlight w:val="none"/>
              </w:rPr>
            </w:pPr>
          </w:p>
        </w:tc>
        <w:tc>
          <w:tcPr>
            <w:tcW w:w="2154" w:type="dxa"/>
            <w:tcBorders>
              <w:top w:val="single" w:color="auto" w:sz="2" w:space="0"/>
              <w:left w:val="single" w:color="auto" w:sz="2" w:space="0"/>
              <w:bottom w:val="single" w:color="auto" w:sz="2" w:space="0"/>
              <w:right w:val="single" w:color="auto" w:sz="2" w:space="0"/>
            </w:tcBorders>
            <w:shd w:val="clear" w:color="auto" w:fill="auto"/>
            <w:vAlign w:val="center"/>
          </w:tcPr>
          <w:p w14:paraId="7850D9C2">
            <w:pPr>
              <w:adjustRightInd w:val="0"/>
              <w:snapToGrid w:val="0"/>
              <w:spacing w:line="300" w:lineRule="exact"/>
              <w:ind w:firstLine="420"/>
              <w:jc w:val="center"/>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拥有者性别</w:t>
            </w:r>
          </w:p>
        </w:tc>
        <w:tc>
          <w:tcPr>
            <w:tcW w:w="2308" w:type="dxa"/>
            <w:tcBorders>
              <w:top w:val="single" w:color="auto" w:sz="2" w:space="0"/>
              <w:left w:val="single" w:color="auto" w:sz="2" w:space="0"/>
              <w:bottom w:val="single" w:color="auto" w:sz="2" w:space="0"/>
              <w:right w:val="single" w:color="auto" w:sz="4" w:space="0"/>
            </w:tcBorders>
            <w:shd w:val="clear" w:color="auto" w:fill="auto"/>
            <w:vAlign w:val="center"/>
          </w:tcPr>
          <w:p w14:paraId="50BED9BE">
            <w:pPr>
              <w:adjustRightInd w:val="0"/>
              <w:snapToGrid w:val="0"/>
              <w:spacing w:line="300" w:lineRule="exact"/>
              <w:ind w:firstLine="500"/>
              <w:jc w:val="center"/>
              <w:rPr>
                <w:rFonts w:ascii="微软雅黑" w:hAnsi="微软雅黑" w:cs="微软雅黑"/>
                <w:color w:val="auto"/>
                <w:spacing w:val="20"/>
                <w:szCs w:val="21"/>
                <w:highlight w:val="none"/>
              </w:rPr>
            </w:pPr>
          </w:p>
        </w:tc>
      </w:tr>
      <w:tr w14:paraId="0B6DAE6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2061" w:type="dxa"/>
            <w:tcBorders>
              <w:top w:val="single" w:color="auto" w:sz="2" w:space="0"/>
              <w:left w:val="single" w:color="auto" w:sz="4" w:space="0"/>
              <w:bottom w:val="single" w:color="auto" w:sz="2" w:space="0"/>
              <w:right w:val="single" w:color="auto" w:sz="2" w:space="0"/>
            </w:tcBorders>
            <w:shd w:val="clear" w:color="auto" w:fill="auto"/>
            <w:vAlign w:val="center"/>
          </w:tcPr>
          <w:p w14:paraId="4E6FDAB3">
            <w:pPr>
              <w:adjustRightInd w:val="0"/>
              <w:snapToGrid w:val="0"/>
              <w:spacing w:line="300" w:lineRule="exact"/>
              <w:ind w:firstLine="420"/>
              <w:jc w:val="center"/>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住  所</w:t>
            </w:r>
          </w:p>
        </w:tc>
        <w:tc>
          <w:tcPr>
            <w:tcW w:w="2628" w:type="dxa"/>
            <w:tcBorders>
              <w:top w:val="single" w:color="auto" w:sz="2" w:space="0"/>
              <w:left w:val="single" w:color="auto" w:sz="2" w:space="0"/>
              <w:bottom w:val="single" w:color="auto" w:sz="2" w:space="0"/>
              <w:right w:val="single" w:color="auto" w:sz="2" w:space="0"/>
            </w:tcBorders>
            <w:shd w:val="clear" w:color="auto" w:fill="auto"/>
            <w:vAlign w:val="center"/>
          </w:tcPr>
          <w:p w14:paraId="3425D62D">
            <w:pPr>
              <w:adjustRightInd w:val="0"/>
              <w:snapToGrid w:val="0"/>
              <w:spacing w:line="300" w:lineRule="exact"/>
              <w:ind w:firstLine="420"/>
              <w:jc w:val="center"/>
              <w:rPr>
                <w:rFonts w:ascii="微软雅黑" w:hAnsi="微软雅黑" w:cs="微软雅黑"/>
                <w:color w:val="auto"/>
                <w:szCs w:val="21"/>
                <w:highlight w:val="none"/>
              </w:rPr>
            </w:pPr>
          </w:p>
        </w:tc>
        <w:tc>
          <w:tcPr>
            <w:tcW w:w="2154" w:type="dxa"/>
            <w:tcBorders>
              <w:top w:val="single" w:color="auto" w:sz="2" w:space="0"/>
              <w:left w:val="single" w:color="auto" w:sz="2" w:space="0"/>
              <w:bottom w:val="single" w:color="auto" w:sz="2" w:space="0"/>
              <w:right w:val="single" w:color="auto" w:sz="2" w:space="0"/>
            </w:tcBorders>
            <w:shd w:val="clear" w:color="auto" w:fill="auto"/>
            <w:vAlign w:val="center"/>
          </w:tcPr>
          <w:p w14:paraId="2A964B53">
            <w:pPr>
              <w:adjustRightInd w:val="0"/>
              <w:snapToGrid w:val="0"/>
              <w:spacing w:line="300" w:lineRule="exact"/>
              <w:ind w:firstLine="420"/>
              <w:jc w:val="center"/>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住  所</w:t>
            </w:r>
          </w:p>
        </w:tc>
        <w:tc>
          <w:tcPr>
            <w:tcW w:w="2308" w:type="dxa"/>
            <w:tcBorders>
              <w:top w:val="single" w:color="auto" w:sz="2" w:space="0"/>
              <w:left w:val="single" w:color="auto" w:sz="2" w:space="0"/>
              <w:bottom w:val="single" w:color="auto" w:sz="2" w:space="0"/>
              <w:right w:val="single" w:color="auto" w:sz="4" w:space="0"/>
            </w:tcBorders>
            <w:shd w:val="clear" w:color="auto" w:fill="auto"/>
            <w:vAlign w:val="center"/>
          </w:tcPr>
          <w:p w14:paraId="62D473DC">
            <w:pPr>
              <w:adjustRightInd w:val="0"/>
              <w:snapToGrid w:val="0"/>
              <w:spacing w:line="300" w:lineRule="exact"/>
              <w:ind w:firstLine="500"/>
              <w:jc w:val="center"/>
              <w:rPr>
                <w:rFonts w:ascii="微软雅黑" w:hAnsi="微软雅黑" w:cs="微软雅黑"/>
                <w:color w:val="auto"/>
                <w:spacing w:val="20"/>
                <w:szCs w:val="21"/>
                <w:highlight w:val="none"/>
              </w:rPr>
            </w:pPr>
          </w:p>
        </w:tc>
      </w:tr>
      <w:tr w14:paraId="00FFFD7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2061" w:type="dxa"/>
            <w:tcBorders>
              <w:top w:val="single" w:color="auto" w:sz="2" w:space="0"/>
              <w:left w:val="single" w:color="auto" w:sz="4" w:space="0"/>
              <w:bottom w:val="single" w:color="auto" w:sz="2" w:space="0"/>
              <w:right w:val="single" w:color="auto" w:sz="2" w:space="0"/>
            </w:tcBorders>
            <w:shd w:val="clear" w:color="auto" w:fill="auto"/>
            <w:vAlign w:val="center"/>
          </w:tcPr>
          <w:p w14:paraId="09C8FD24">
            <w:pPr>
              <w:adjustRightInd w:val="0"/>
              <w:snapToGrid w:val="0"/>
              <w:spacing w:line="300" w:lineRule="exact"/>
              <w:ind w:firstLine="420"/>
              <w:jc w:val="center"/>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联 系 人</w:t>
            </w:r>
          </w:p>
        </w:tc>
        <w:tc>
          <w:tcPr>
            <w:tcW w:w="2628" w:type="dxa"/>
            <w:tcBorders>
              <w:top w:val="single" w:color="auto" w:sz="2" w:space="0"/>
              <w:left w:val="single" w:color="auto" w:sz="2" w:space="0"/>
              <w:bottom w:val="single" w:color="auto" w:sz="2" w:space="0"/>
              <w:right w:val="single" w:color="auto" w:sz="2" w:space="0"/>
            </w:tcBorders>
            <w:shd w:val="clear" w:color="auto" w:fill="auto"/>
            <w:vAlign w:val="center"/>
          </w:tcPr>
          <w:p w14:paraId="7EA3FF61">
            <w:pPr>
              <w:adjustRightInd w:val="0"/>
              <w:snapToGrid w:val="0"/>
              <w:spacing w:line="300" w:lineRule="exact"/>
              <w:ind w:firstLine="420"/>
              <w:jc w:val="center"/>
              <w:rPr>
                <w:rFonts w:ascii="微软雅黑" w:hAnsi="微软雅黑" w:cs="微软雅黑"/>
                <w:color w:val="auto"/>
                <w:szCs w:val="21"/>
                <w:highlight w:val="none"/>
              </w:rPr>
            </w:pPr>
          </w:p>
        </w:tc>
        <w:tc>
          <w:tcPr>
            <w:tcW w:w="2154" w:type="dxa"/>
            <w:tcBorders>
              <w:top w:val="single" w:color="auto" w:sz="2" w:space="0"/>
              <w:left w:val="single" w:color="auto" w:sz="2" w:space="0"/>
              <w:bottom w:val="single" w:color="auto" w:sz="2" w:space="0"/>
              <w:right w:val="single" w:color="auto" w:sz="2" w:space="0"/>
            </w:tcBorders>
            <w:shd w:val="clear" w:color="auto" w:fill="auto"/>
            <w:vAlign w:val="center"/>
          </w:tcPr>
          <w:p w14:paraId="74891A01">
            <w:pPr>
              <w:adjustRightInd w:val="0"/>
              <w:snapToGrid w:val="0"/>
              <w:spacing w:line="300" w:lineRule="exact"/>
              <w:ind w:firstLine="420"/>
              <w:jc w:val="center"/>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联 系 人</w:t>
            </w:r>
          </w:p>
        </w:tc>
        <w:tc>
          <w:tcPr>
            <w:tcW w:w="2308" w:type="dxa"/>
            <w:tcBorders>
              <w:top w:val="single" w:color="auto" w:sz="2" w:space="0"/>
              <w:left w:val="single" w:color="auto" w:sz="2" w:space="0"/>
              <w:bottom w:val="single" w:color="auto" w:sz="2" w:space="0"/>
              <w:right w:val="single" w:color="auto" w:sz="4" w:space="0"/>
            </w:tcBorders>
            <w:shd w:val="clear" w:color="auto" w:fill="auto"/>
            <w:vAlign w:val="center"/>
          </w:tcPr>
          <w:p w14:paraId="4AB79C9D">
            <w:pPr>
              <w:adjustRightInd w:val="0"/>
              <w:snapToGrid w:val="0"/>
              <w:spacing w:line="300" w:lineRule="exact"/>
              <w:ind w:firstLine="500"/>
              <w:jc w:val="center"/>
              <w:rPr>
                <w:rFonts w:ascii="微软雅黑" w:hAnsi="微软雅黑" w:cs="微软雅黑"/>
                <w:color w:val="auto"/>
                <w:spacing w:val="20"/>
                <w:szCs w:val="21"/>
                <w:highlight w:val="none"/>
              </w:rPr>
            </w:pPr>
          </w:p>
        </w:tc>
      </w:tr>
      <w:tr w14:paraId="7674A6B4">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2061" w:type="dxa"/>
            <w:tcBorders>
              <w:top w:val="single" w:color="auto" w:sz="2" w:space="0"/>
              <w:left w:val="single" w:color="auto" w:sz="4" w:space="0"/>
              <w:bottom w:val="single" w:color="auto" w:sz="2" w:space="0"/>
              <w:right w:val="single" w:color="auto" w:sz="2" w:space="0"/>
            </w:tcBorders>
            <w:shd w:val="clear" w:color="auto" w:fill="auto"/>
            <w:vAlign w:val="center"/>
          </w:tcPr>
          <w:p w14:paraId="77AA99AF">
            <w:pPr>
              <w:adjustRightInd w:val="0"/>
              <w:snapToGrid w:val="0"/>
              <w:spacing w:line="300" w:lineRule="exact"/>
              <w:ind w:firstLine="420"/>
              <w:jc w:val="center"/>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联系电话</w:t>
            </w:r>
          </w:p>
        </w:tc>
        <w:tc>
          <w:tcPr>
            <w:tcW w:w="2628" w:type="dxa"/>
            <w:tcBorders>
              <w:top w:val="single" w:color="auto" w:sz="2" w:space="0"/>
              <w:left w:val="single" w:color="auto" w:sz="2" w:space="0"/>
              <w:bottom w:val="single" w:color="auto" w:sz="2" w:space="0"/>
              <w:right w:val="single" w:color="auto" w:sz="2" w:space="0"/>
            </w:tcBorders>
            <w:shd w:val="clear" w:color="auto" w:fill="auto"/>
            <w:vAlign w:val="center"/>
          </w:tcPr>
          <w:p w14:paraId="66D6D345">
            <w:pPr>
              <w:adjustRightInd w:val="0"/>
              <w:snapToGrid w:val="0"/>
              <w:spacing w:line="300" w:lineRule="exact"/>
              <w:ind w:firstLine="420"/>
              <w:jc w:val="center"/>
              <w:rPr>
                <w:rFonts w:ascii="微软雅黑" w:hAnsi="微软雅黑" w:cs="微软雅黑"/>
                <w:color w:val="auto"/>
                <w:szCs w:val="21"/>
                <w:highlight w:val="none"/>
              </w:rPr>
            </w:pPr>
          </w:p>
        </w:tc>
        <w:tc>
          <w:tcPr>
            <w:tcW w:w="2154" w:type="dxa"/>
            <w:tcBorders>
              <w:top w:val="single" w:color="auto" w:sz="2" w:space="0"/>
              <w:left w:val="single" w:color="auto" w:sz="2" w:space="0"/>
              <w:bottom w:val="single" w:color="auto" w:sz="2" w:space="0"/>
              <w:right w:val="single" w:color="auto" w:sz="2" w:space="0"/>
            </w:tcBorders>
            <w:shd w:val="clear" w:color="auto" w:fill="auto"/>
            <w:vAlign w:val="center"/>
          </w:tcPr>
          <w:p w14:paraId="5A73FDD1">
            <w:pPr>
              <w:adjustRightInd w:val="0"/>
              <w:snapToGrid w:val="0"/>
              <w:spacing w:line="300" w:lineRule="exact"/>
              <w:ind w:firstLine="420"/>
              <w:jc w:val="center"/>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联系电话</w:t>
            </w:r>
          </w:p>
        </w:tc>
        <w:tc>
          <w:tcPr>
            <w:tcW w:w="2308" w:type="dxa"/>
            <w:tcBorders>
              <w:top w:val="single" w:color="auto" w:sz="2" w:space="0"/>
              <w:left w:val="single" w:color="auto" w:sz="2" w:space="0"/>
              <w:bottom w:val="single" w:color="auto" w:sz="2" w:space="0"/>
              <w:right w:val="single" w:color="auto" w:sz="4" w:space="0"/>
            </w:tcBorders>
            <w:shd w:val="clear" w:color="auto" w:fill="auto"/>
            <w:vAlign w:val="center"/>
          </w:tcPr>
          <w:p w14:paraId="2EDD2F84">
            <w:pPr>
              <w:adjustRightInd w:val="0"/>
              <w:snapToGrid w:val="0"/>
              <w:spacing w:line="300" w:lineRule="exact"/>
              <w:ind w:firstLine="500"/>
              <w:jc w:val="center"/>
              <w:rPr>
                <w:rFonts w:ascii="微软雅黑" w:hAnsi="微软雅黑" w:cs="微软雅黑"/>
                <w:color w:val="auto"/>
                <w:spacing w:val="20"/>
                <w:szCs w:val="21"/>
                <w:highlight w:val="none"/>
              </w:rPr>
            </w:pPr>
          </w:p>
        </w:tc>
      </w:tr>
      <w:tr w14:paraId="72EC50F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2061" w:type="dxa"/>
            <w:tcBorders>
              <w:top w:val="single" w:color="auto" w:sz="2" w:space="0"/>
              <w:left w:val="single" w:color="auto" w:sz="4" w:space="0"/>
              <w:bottom w:val="single" w:color="auto" w:sz="2" w:space="0"/>
              <w:right w:val="single" w:color="auto" w:sz="2" w:space="0"/>
            </w:tcBorders>
            <w:shd w:val="clear" w:color="auto" w:fill="auto"/>
            <w:vAlign w:val="center"/>
          </w:tcPr>
          <w:p w14:paraId="742C39BA">
            <w:pPr>
              <w:adjustRightInd w:val="0"/>
              <w:snapToGrid w:val="0"/>
              <w:spacing w:line="300" w:lineRule="exact"/>
              <w:ind w:firstLine="420"/>
              <w:jc w:val="center"/>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通信地址</w:t>
            </w:r>
          </w:p>
        </w:tc>
        <w:tc>
          <w:tcPr>
            <w:tcW w:w="2628" w:type="dxa"/>
            <w:tcBorders>
              <w:top w:val="single" w:color="auto" w:sz="2" w:space="0"/>
              <w:left w:val="single" w:color="auto" w:sz="2" w:space="0"/>
              <w:bottom w:val="single" w:color="auto" w:sz="2" w:space="0"/>
              <w:right w:val="single" w:color="auto" w:sz="2" w:space="0"/>
            </w:tcBorders>
            <w:shd w:val="clear" w:color="auto" w:fill="auto"/>
            <w:vAlign w:val="center"/>
          </w:tcPr>
          <w:p w14:paraId="5FAF9BF7">
            <w:pPr>
              <w:adjustRightInd w:val="0"/>
              <w:snapToGrid w:val="0"/>
              <w:spacing w:line="300" w:lineRule="exact"/>
              <w:ind w:firstLine="420"/>
              <w:jc w:val="center"/>
              <w:rPr>
                <w:rFonts w:ascii="微软雅黑" w:hAnsi="微软雅黑" w:cs="微软雅黑"/>
                <w:color w:val="auto"/>
                <w:szCs w:val="21"/>
                <w:highlight w:val="none"/>
              </w:rPr>
            </w:pPr>
          </w:p>
        </w:tc>
        <w:tc>
          <w:tcPr>
            <w:tcW w:w="2154" w:type="dxa"/>
            <w:tcBorders>
              <w:top w:val="single" w:color="auto" w:sz="2" w:space="0"/>
              <w:left w:val="single" w:color="auto" w:sz="2" w:space="0"/>
              <w:bottom w:val="single" w:color="auto" w:sz="2" w:space="0"/>
              <w:right w:val="single" w:color="auto" w:sz="2" w:space="0"/>
            </w:tcBorders>
            <w:shd w:val="clear" w:color="auto" w:fill="auto"/>
            <w:vAlign w:val="center"/>
          </w:tcPr>
          <w:p w14:paraId="6EFF3542">
            <w:pPr>
              <w:adjustRightInd w:val="0"/>
              <w:snapToGrid w:val="0"/>
              <w:spacing w:line="300" w:lineRule="exact"/>
              <w:ind w:firstLine="420"/>
              <w:jc w:val="center"/>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通信地址</w:t>
            </w:r>
          </w:p>
        </w:tc>
        <w:tc>
          <w:tcPr>
            <w:tcW w:w="2308" w:type="dxa"/>
            <w:tcBorders>
              <w:top w:val="single" w:color="auto" w:sz="2" w:space="0"/>
              <w:left w:val="single" w:color="auto" w:sz="2" w:space="0"/>
              <w:bottom w:val="single" w:color="auto" w:sz="2" w:space="0"/>
              <w:right w:val="single" w:color="auto" w:sz="4" w:space="0"/>
            </w:tcBorders>
            <w:shd w:val="clear" w:color="auto" w:fill="auto"/>
            <w:vAlign w:val="center"/>
          </w:tcPr>
          <w:p w14:paraId="4FAB1FB5">
            <w:pPr>
              <w:adjustRightInd w:val="0"/>
              <w:snapToGrid w:val="0"/>
              <w:spacing w:line="300" w:lineRule="exact"/>
              <w:ind w:firstLine="500"/>
              <w:jc w:val="center"/>
              <w:rPr>
                <w:rFonts w:ascii="微软雅黑" w:hAnsi="微软雅黑" w:cs="微软雅黑"/>
                <w:color w:val="auto"/>
                <w:spacing w:val="20"/>
                <w:szCs w:val="21"/>
                <w:highlight w:val="none"/>
              </w:rPr>
            </w:pPr>
          </w:p>
        </w:tc>
      </w:tr>
      <w:tr w14:paraId="6765CE9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2061" w:type="dxa"/>
            <w:tcBorders>
              <w:top w:val="single" w:color="auto" w:sz="2" w:space="0"/>
              <w:left w:val="single" w:color="auto" w:sz="4" w:space="0"/>
              <w:bottom w:val="single" w:color="auto" w:sz="2" w:space="0"/>
              <w:right w:val="single" w:color="auto" w:sz="2" w:space="0"/>
            </w:tcBorders>
            <w:shd w:val="clear" w:color="auto" w:fill="auto"/>
            <w:vAlign w:val="center"/>
          </w:tcPr>
          <w:p w14:paraId="6EEB41B6">
            <w:pPr>
              <w:adjustRightInd w:val="0"/>
              <w:snapToGrid w:val="0"/>
              <w:spacing w:line="300" w:lineRule="exact"/>
              <w:ind w:firstLine="420"/>
              <w:jc w:val="center"/>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邮政编码</w:t>
            </w:r>
          </w:p>
        </w:tc>
        <w:tc>
          <w:tcPr>
            <w:tcW w:w="2628" w:type="dxa"/>
            <w:tcBorders>
              <w:top w:val="single" w:color="auto" w:sz="2" w:space="0"/>
              <w:left w:val="single" w:color="auto" w:sz="2" w:space="0"/>
              <w:bottom w:val="single" w:color="auto" w:sz="2" w:space="0"/>
              <w:right w:val="single" w:color="auto" w:sz="2" w:space="0"/>
            </w:tcBorders>
            <w:shd w:val="clear" w:color="auto" w:fill="auto"/>
            <w:vAlign w:val="center"/>
          </w:tcPr>
          <w:p w14:paraId="5244DAA1">
            <w:pPr>
              <w:adjustRightInd w:val="0"/>
              <w:snapToGrid w:val="0"/>
              <w:spacing w:line="300" w:lineRule="exact"/>
              <w:ind w:firstLine="420"/>
              <w:jc w:val="center"/>
              <w:rPr>
                <w:rFonts w:ascii="微软雅黑" w:hAnsi="微软雅黑" w:cs="微软雅黑"/>
                <w:color w:val="auto"/>
                <w:szCs w:val="21"/>
                <w:highlight w:val="none"/>
              </w:rPr>
            </w:pPr>
          </w:p>
        </w:tc>
        <w:tc>
          <w:tcPr>
            <w:tcW w:w="2154" w:type="dxa"/>
            <w:tcBorders>
              <w:top w:val="single" w:color="auto" w:sz="2" w:space="0"/>
              <w:left w:val="single" w:color="auto" w:sz="2" w:space="0"/>
              <w:bottom w:val="single" w:color="auto" w:sz="2" w:space="0"/>
              <w:right w:val="single" w:color="auto" w:sz="2" w:space="0"/>
            </w:tcBorders>
            <w:shd w:val="clear" w:color="auto" w:fill="auto"/>
            <w:vAlign w:val="center"/>
          </w:tcPr>
          <w:p w14:paraId="3684218A">
            <w:pPr>
              <w:adjustRightInd w:val="0"/>
              <w:snapToGrid w:val="0"/>
              <w:spacing w:line="300" w:lineRule="exact"/>
              <w:ind w:firstLine="420"/>
              <w:jc w:val="center"/>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邮政编码</w:t>
            </w:r>
          </w:p>
        </w:tc>
        <w:tc>
          <w:tcPr>
            <w:tcW w:w="2308" w:type="dxa"/>
            <w:tcBorders>
              <w:top w:val="single" w:color="auto" w:sz="2" w:space="0"/>
              <w:left w:val="single" w:color="auto" w:sz="2" w:space="0"/>
              <w:bottom w:val="single" w:color="auto" w:sz="2" w:space="0"/>
              <w:right w:val="single" w:color="auto" w:sz="4" w:space="0"/>
            </w:tcBorders>
            <w:shd w:val="clear" w:color="auto" w:fill="auto"/>
            <w:vAlign w:val="center"/>
          </w:tcPr>
          <w:p w14:paraId="060776D0">
            <w:pPr>
              <w:adjustRightInd w:val="0"/>
              <w:snapToGrid w:val="0"/>
              <w:spacing w:line="300" w:lineRule="exact"/>
              <w:ind w:firstLine="500"/>
              <w:jc w:val="center"/>
              <w:rPr>
                <w:rFonts w:ascii="微软雅黑" w:hAnsi="微软雅黑" w:cs="微软雅黑"/>
                <w:color w:val="auto"/>
                <w:spacing w:val="20"/>
                <w:szCs w:val="21"/>
                <w:highlight w:val="none"/>
              </w:rPr>
            </w:pPr>
          </w:p>
        </w:tc>
      </w:tr>
      <w:tr w14:paraId="01A4776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2061" w:type="dxa"/>
            <w:tcBorders>
              <w:top w:val="single" w:color="auto" w:sz="2" w:space="0"/>
              <w:left w:val="single" w:color="auto" w:sz="4" w:space="0"/>
              <w:bottom w:val="single" w:color="auto" w:sz="2" w:space="0"/>
              <w:right w:val="single" w:color="auto" w:sz="2" w:space="0"/>
            </w:tcBorders>
            <w:shd w:val="clear" w:color="auto" w:fill="auto"/>
            <w:vAlign w:val="center"/>
          </w:tcPr>
          <w:p w14:paraId="47B29C0B">
            <w:pPr>
              <w:adjustRightInd w:val="0"/>
              <w:snapToGrid w:val="0"/>
              <w:spacing w:line="300" w:lineRule="exact"/>
              <w:ind w:firstLine="420"/>
              <w:jc w:val="center"/>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电子邮箱</w:t>
            </w:r>
          </w:p>
        </w:tc>
        <w:tc>
          <w:tcPr>
            <w:tcW w:w="2628" w:type="dxa"/>
            <w:tcBorders>
              <w:top w:val="single" w:color="auto" w:sz="2" w:space="0"/>
              <w:left w:val="single" w:color="auto" w:sz="2" w:space="0"/>
              <w:bottom w:val="single" w:color="auto" w:sz="2" w:space="0"/>
              <w:right w:val="single" w:color="auto" w:sz="2" w:space="0"/>
            </w:tcBorders>
            <w:shd w:val="clear" w:color="auto" w:fill="auto"/>
            <w:vAlign w:val="center"/>
          </w:tcPr>
          <w:p w14:paraId="2A192624">
            <w:pPr>
              <w:adjustRightInd w:val="0"/>
              <w:snapToGrid w:val="0"/>
              <w:spacing w:line="300" w:lineRule="exact"/>
              <w:ind w:firstLine="420"/>
              <w:jc w:val="center"/>
              <w:rPr>
                <w:rFonts w:ascii="微软雅黑" w:hAnsi="微软雅黑" w:cs="微软雅黑"/>
                <w:color w:val="auto"/>
                <w:szCs w:val="21"/>
                <w:highlight w:val="none"/>
              </w:rPr>
            </w:pPr>
          </w:p>
        </w:tc>
        <w:tc>
          <w:tcPr>
            <w:tcW w:w="2154" w:type="dxa"/>
            <w:tcBorders>
              <w:top w:val="single" w:color="auto" w:sz="2" w:space="0"/>
              <w:left w:val="single" w:color="auto" w:sz="2" w:space="0"/>
              <w:bottom w:val="single" w:color="auto" w:sz="2" w:space="0"/>
              <w:right w:val="single" w:color="auto" w:sz="2" w:space="0"/>
            </w:tcBorders>
            <w:shd w:val="clear" w:color="auto" w:fill="auto"/>
            <w:vAlign w:val="center"/>
          </w:tcPr>
          <w:p w14:paraId="21D90C3F">
            <w:pPr>
              <w:adjustRightInd w:val="0"/>
              <w:snapToGrid w:val="0"/>
              <w:spacing w:line="300" w:lineRule="exact"/>
              <w:ind w:firstLine="420"/>
              <w:jc w:val="center"/>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电子邮箱</w:t>
            </w:r>
          </w:p>
        </w:tc>
        <w:tc>
          <w:tcPr>
            <w:tcW w:w="2308" w:type="dxa"/>
            <w:tcBorders>
              <w:top w:val="single" w:color="auto" w:sz="2" w:space="0"/>
              <w:left w:val="single" w:color="auto" w:sz="2" w:space="0"/>
              <w:bottom w:val="single" w:color="auto" w:sz="2" w:space="0"/>
              <w:right w:val="single" w:color="auto" w:sz="4" w:space="0"/>
            </w:tcBorders>
            <w:shd w:val="clear" w:color="auto" w:fill="auto"/>
            <w:vAlign w:val="center"/>
          </w:tcPr>
          <w:p w14:paraId="1EB78636">
            <w:pPr>
              <w:adjustRightInd w:val="0"/>
              <w:snapToGrid w:val="0"/>
              <w:spacing w:line="300" w:lineRule="exact"/>
              <w:ind w:firstLine="500"/>
              <w:jc w:val="center"/>
              <w:rPr>
                <w:rFonts w:ascii="微软雅黑" w:hAnsi="微软雅黑" w:cs="微软雅黑"/>
                <w:color w:val="auto"/>
                <w:spacing w:val="20"/>
                <w:szCs w:val="21"/>
                <w:highlight w:val="none"/>
              </w:rPr>
            </w:pPr>
          </w:p>
        </w:tc>
      </w:tr>
      <w:tr w14:paraId="2FEA7B7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2061" w:type="dxa"/>
            <w:tcBorders>
              <w:top w:val="single" w:color="auto" w:sz="2" w:space="0"/>
              <w:left w:val="single" w:color="auto" w:sz="4" w:space="0"/>
              <w:bottom w:val="single" w:color="auto" w:sz="2" w:space="0"/>
              <w:right w:val="single" w:color="auto" w:sz="2" w:space="0"/>
            </w:tcBorders>
            <w:shd w:val="clear" w:color="auto" w:fill="auto"/>
            <w:vAlign w:val="center"/>
          </w:tcPr>
          <w:p w14:paraId="1D84425E">
            <w:pPr>
              <w:adjustRightInd w:val="0"/>
              <w:snapToGrid w:val="0"/>
              <w:spacing w:line="300" w:lineRule="exact"/>
              <w:ind w:firstLine="420"/>
              <w:jc w:val="center"/>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统一社会信用代码</w:t>
            </w:r>
          </w:p>
        </w:tc>
        <w:tc>
          <w:tcPr>
            <w:tcW w:w="2628" w:type="dxa"/>
            <w:tcBorders>
              <w:top w:val="single" w:color="auto" w:sz="2" w:space="0"/>
              <w:left w:val="single" w:color="auto" w:sz="2" w:space="0"/>
              <w:bottom w:val="single" w:color="auto" w:sz="2" w:space="0"/>
              <w:right w:val="single" w:color="auto" w:sz="2" w:space="0"/>
            </w:tcBorders>
            <w:shd w:val="clear" w:color="auto" w:fill="auto"/>
            <w:vAlign w:val="center"/>
          </w:tcPr>
          <w:p w14:paraId="75F2D53B">
            <w:pPr>
              <w:adjustRightInd w:val="0"/>
              <w:snapToGrid w:val="0"/>
              <w:spacing w:line="300" w:lineRule="exact"/>
              <w:ind w:firstLine="420"/>
              <w:jc w:val="center"/>
              <w:rPr>
                <w:rFonts w:ascii="微软雅黑" w:hAnsi="微软雅黑" w:cs="微软雅黑"/>
                <w:color w:val="auto"/>
                <w:szCs w:val="21"/>
                <w:highlight w:val="none"/>
              </w:rPr>
            </w:pPr>
          </w:p>
        </w:tc>
        <w:tc>
          <w:tcPr>
            <w:tcW w:w="2154" w:type="dxa"/>
            <w:tcBorders>
              <w:top w:val="single" w:color="auto" w:sz="2" w:space="0"/>
              <w:left w:val="single" w:color="auto" w:sz="2" w:space="0"/>
              <w:bottom w:val="single" w:color="auto" w:sz="2" w:space="0"/>
              <w:right w:val="single" w:color="auto" w:sz="2" w:space="0"/>
            </w:tcBorders>
            <w:shd w:val="clear" w:color="auto" w:fill="auto"/>
            <w:vAlign w:val="center"/>
          </w:tcPr>
          <w:p w14:paraId="7FEB2FE7">
            <w:pPr>
              <w:adjustRightInd w:val="0"/>
              <w:snapToGrid w:val="0"/>
              <w:spacing w:line="300" w:lineRule="exact"/>
              <w:ind w:firstLine="420"/>
              <w:jc w:val="center"/>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统一社会信用代码</w:t>
            </w:r>
          </w:p>
        </w:tc>
        <w:tc>
          <w:tcPr>
            <w:tcW w:w="2308" w:type="dxa"/>
            <w:tcBorders>
              <w:top w:val="single" w:color="auto" w:sz="2" w:space="0"/>
              <w:left w:val="single" w:color="auto" w:sz="2" w:space="0"/>
              <w:bottom w:val="single" w:color="auto" w:sz="2" w:space="0"/>
              <w:right w:val="single" w:color="auto" w:sz="4" w:space="0"/>
            </w:tcBorders>
            <w:shd w:val="clear" w:color="auto" w:fill="auto"/>
            <w:vAlign w:val="center"/>
          </w:tcPr>
          <w:p w14:paraId="7C99B610">
            <w:pPr>
              <w:adjustRightInd w:val="0"/>
              <w:snapToGrid w:val="0"/>
              <w:spacing w:line="300" w:lineRule="exact"/>
              <w:ind w:firstLine="500"/>
              <w:jc w:val="center"/>
              <w:rPr>
                <w:rFonts w:ascii="微软雅黑" w:hAnsi="微软雅黑" w:cs="微软雅黑"/>
                <w:color w:val="auto"/>
                <w:spacing w:val="20"/>
                <w:szCs w:val="21"/>
                <w:highlight w:val="none"/>
              </w:rPr>
            </w:pPr>
          </w:p>
        </w:tc>
      </w:tr>
      <w:tr w14:paraId="7A3A28E4">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2061" w:type="dxa"/>
            <w:tcBorders>
              <w:top w:val="single" w:color="auto" w:sz="2" w:space="0"/>
              <w:left w:val="single" w:color="auto" w:sz="4" w:space="0"/>
              <w:bottom w:val="single" w:color="auto" w:sz="2" w:space="0"/>
              <w:right w:val="single" w:color="auto" w:sz="2" w:space="0"/>
            </w:tcBorders>
            <w:shd w:val="clear" w:color="auto" w:fill="auto"/>
            <w:vAlign w:val="center"/>
          </w:tcPr>
          <w:p w14:paraId="518FADF1">
            <w:pPr>
              <w:adjustRightInd w:val="0"/>
              <w:snapToGrid w:val="0"/>
              <w:spacing w:line="300" w:lineRule="exact"/>
              <w:ind w:firstLine="420"/>
              <w:jc w:val="center"/>
              <w:rPr>
                <w:rFonts w:ascii="微软雅黑" w:hAnsi="微软雅黑" w:cs="微软雅黑"/>
                <w:color w:val="auto"/>
                <w:szCs w:val="21"/>
                <w:highlight w:val="none"/>
              </w:rPr>
            </w:pPr>
          </w:p>
        </w:tc>
        <w:tc>
          <w:tcPr>
            <w:tcW w:w="2628" w:type="dxa"/>
            <w:tcBorders>
              <w:top w:val="single" w:color="auto" w:sz="2" w:space="0"/>
              <w:left w:val="single" w:color="auto" w:sz="2" w:space="0"/>
              <w:bottom w:val="single" w:color="auto" w:sz="2" w:space="0"/>
              <w:right w:val="single" w:color="auto" w:sz="2" w:space="0"/>
            </w:tcBorders>
            <w:shd w:val="clear" w:color="auto" w:fill="auto"/>
            <w:vAlign w:val="center"/>
          </w:tcPr>
          <w:p w14:paraId="1010E05A">
            <w:pPr>
              <w:adjustRightInd w:val="0"/>
              <w:snapToGrid w:val="0"/>
              <w:spacing w:line="300" w:lineRule="exact"/>
              <w:ind w:firstLine="420"/>
              <w:jc w:val="center"/>
              <w:rPr>
                <w:rFonts w:ascii="微软雅黑" w:hAnsi="微软雅黑" w:cs="微软雅黑"/>
                <w:color w:val="auto"/>
                <w:szCs w:val="21"/>
                <w:highlight w:val="none"/>
              </w:rPr>
            </w:pPr>
          </w:p>
        </w:tc>
        <w:tc>
          <w:tcPr>
            <w:tcW w:w="2154" w:type="dxa"/>
            <w:tcBorders>
              <w:top w:val="single" w:color="auto" w:sz="2" w:space="0"/>
              <w:left w:val="single" w:color="auto" w:sz="2" w:space="0"/>
              <w:bottom w:val="single" w:color="auto" w:sz="2" w:space="0"/>
              <w:right w:val="single" w:color="auto" w:sz="2" w:space="0"/>
            </w:tcBorders>
            <w:shd w:val="clear" w:color="auto" w:fill="auto"/>
            <w:vAlign w:val="center"/>
          </w:tcPr>
          <w:p w14:paraId="727BA273">
            <w:pPr>
              <w:adjustRightInd w:val="0"/>
              <w:snapToGrid w:val="0"/>
              <w:spacing w:line="300" w:lineRule="exact"/>
              <w:ind w:firstLine="420"/>
              <w:jc w:val="center"/>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开户名称</w:t>
            </w:r>
          </w:p>
        </w:tc>
        <w:tc>
          <w:tcPr>
            <w:tcW w:w="2308" w:type="dxa"/>
            <w:tcBorders>
              <w:top w:val="single" w:color="auto" w:sz="2" w:space="0"/>
              <w:left w:val="single" w:color="auto" w:sz="2" w:space="0"/>
              <w:bottom w:val="single" w:color="auto" w:sz="2" w:space="0"/>
              <w:right w:val="single" w:color="auto" w:sz="4" w:space="0"/>
            </w:tcBorders>
            <w:shd w:val="clear" w:color="auto" w:fill="auto"/>
            <w:vAlign w:val="center"/>
          </w:tcPr>
          <w:p w14:paraId="0C141A1B">
            <w:pPr>
              <w:adjustRightInd w:val="0"/>
              <w:snapToGrid w:val="0"/>
              <w:spacing w:line="300" w:lineRule="exact"/>
              <w:ind w:firstLine="500"/>
              <w:jc w:val="center"/>
              <w:rPr>
                <w:rFonts w:ascii="微软雅黑" w:hAnsi="微软雅黑" w:cs="微软雅黑"/>
                <w:color w:val="auto"/>
                <w:spacing w:val="20"/>
                <w:szCs w:val="21"/>
                <w:highlight w:val="none"/>
              </w:rPr>
            </w:pPr>
          </w:p>
        </w:tc>
      </w:tr>
      <w:tr w14:paraId="23E68C7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2061" w:type="dxa"/>
            <w:tcBorders>
              <w:top w:val="single" w:color="auto" w:sz="2" w:space="0"/>
              <w:left w:val="single" w:color="auto" w:sz="4" w:space="0"/>
              <w:bottom w:val="single" w:color="auto" w:sz="2" w:space="0"/>
              <w:right w:val="single" w:color="auto" w:sz="2" w:space="0"/>
            </w:tcBorders>
            <w:shd w:val="clear" w:color="auto" w:fill="auto"/>
            <w:vAlign w:val="center"/>
          </w:tcPr>
          <w:p w14:paraId="243F9DAE">
            <w:pPr>
              <w:adjustRightInd w:val="0"/>
              <w:snapToGrid w:val="0"/>
              <w:spacing w:line="300" w:lineRule="exact"/>
              <w:ind w:firstLine="420"/>
              <w:jc w:val="center"/>
              <w:rPr>
                <w:rFonts w:ascii="微软雅黑" w:hAnsi="微软雅黑" w:cs="微软雅黑"/>
                <w:color w:val="auto"/>
                <w:szCs w:val="21"/>
                <w:highlight w:val="none"/>
              </w:rPr>
            </w:pPr>
          </w:p>
        </w:tc>
        <w:tc>
          <w:tcPr>
            <w:tcW w:w="2628" w:type="dxa"/>
            <w:tcBorders>
              <w:top w:val="single" w:color="auto" w:sz="2" w:space="0"/>
              <w:left w:val="single" w:color="auto" w:sz="2" w:space="0"/>
              <w:bottom w:val="single" w:color="auto" w:sz="2" w:space="0"/>
              <w:right w:val="single" w:color="auto" w:sz="2" w:space="0"/>
            </w:tcBorders>
            <w:shd w:val="clear" w:color="auto" w:fill="auto"/>
            <w:vAlign w:val="center"/>
          </w:tcPr>
          <w:p w14:paraId="3790D096">
            <w:pPr>
              <w:adjustRightInd w:val="0"/>
              <w:snapToGrid w:val="0"/>
              <w:spacing w:line="300" w:lineRule="exact"/>
              <w:ind w:firstLine="420"/>
              <w:jc w:val="center"/>
              <w:rPr>
                <w:rFonts w:ascii="微软雅黑" w:hAnsi="微软雅黑" w:cs="微软雅黑"/>
                <w:color w:val="auto"/>
                <w:szCs w:val="21"/>
                <w:highlight w:val="none"/>
              </w:rPr>
            </w:pPr>
          </w:p>
        </w:tc>
        <w:tc>
          <w:tcPr>
            <w:tcW w:w="2154" w:type="dxa"/>
            <w:tcBorders>
              <w:top w:val="single" w:color="auto" w:sz="2" w:space="0"/>
              <w:left w:val="single" w:color="auto" w:sz="2" w:space="0"/>
              <w:bottom w:val="single" w:color="auto" w:sz="2" w:space="0"/>
              <w:right w:val="single" w:color="auto" w:sz="2" w:space="0"/>
            </w:tcBorders>
            <w:shd w:val="clear" w:color="auto" w:fill="auto"/>
            <w:vAlign w:val="center"/>
          </w:tcPr>
          <w:p w14:paraId="499EE30F">
            <w:pPr>
              <w:adjustRightInd w:val="0"/>
              <w:snapToGrid w:val="0"/>
              <w:spacing w:line="300" w:lineRule="exact"/>
              <w:ind w:firstLine="420"/>
              <w:jc w:val="center"/>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开户银行</w:t>
            </w:r>
          </w:p>
        </w:tc>
        <w:tc>
          <w:tcPr>
            <w:tcW w:w="2308" w:type="dxa"/>
            <w:tcBorders>
              <w:top w:val="single" w:color="auto" w:sz="2" w:space="0"/>
              <w:left w:val="single" w:color="auto" w:sz="2" w:space="0"/>
              <w:bottom w:val="single" w:color="auto" w:sz="2" w:space="0"/>
              <w:right w:val="single" w:color="auto" w:sz="4" w:space="0"/>
            </w:tcBorders>
            <w:shd w:val="clear" w:color="auto" w:fill="auto"/>
            <w:vAlign w:val="center"/>
          </w:tcPr>
          <w:p w14:paraId="6F7984BF">
            <w:pPr>
              <w:adjustRightInd w:val="0"/>
              <w:snapToGrid w:val="0"/>
              <w:spacing w:line="300" w:lineRule="exact"/>
              <w:ind w:firstLine="500"/>
              <w:jc w:val="center"/>
              <w:rPr>
                <w:rFonts w:ascii="微软雅黑" w:hAnsi="微软雅黑" w:cs="微软雅黑"/>
                <w:color w:val="auto"/>
                <w:spacing w:val="20"/>
                <w:szCs w:val="21"/>
                <w:highlight w:val="none"/>
              </w:rPr>
            </w:pPr>
          </w:p>
        </w:tc>
      </w:tr>
      <w:tr w14:paraId="37E4A7B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2061" w:type="dxa"/>
            <w:tcBorders>
              <w:top w:val="single" w:color="auto" w:sz="2" w:space="0"/>
              <w:left w:val="single" w:color="auto" w:sz="4" w:space="0"/>
              <w:bottom w:val="single" w:color="auto" w:sz="2" w:space="0"/>
              <w:right w:val="single" w:color="auto" w:sz="2" w:space="0"/>
            </w:tcBorders>
            <w:shd w:val="clear" w:color="auto" w:fill="auto"/>
            <w:vAlign w:val="center"/>
          </w:tcPr>
          <w:p w14:paraId="5EA7C5D0">
            <w:pPr>
              <w:adjustRightInd w:val="0"/>
              <w:snapToGrid w:val="0"/>
              <w:spacing w:line="300" w:lineRule="exact"/>
              <w:ind w:firstLine="420"/>
              <w:jc w:val="center"/>
              <w:rPr>
                <w:rFonts w:ascii="微软雅黑" w:hAnsi="微软雅黑" w:cs="微软雅黑"/>
                <w:color w:val="auto"/>
                <w:szCs w:val="21"/>
                <w:highlight w:val="none"/>
              </w:rPr>
            </w:pPr>
          </w:p>
        </w:tc>
        <w:tc>
          <w:tcPr>
            <w:tcW w:w="2628" w:type="dxa"/>
            <w:tcBorders>
              <w:top w:val="single" w:color="auto" w:sz="2" w:space="0"/>
              <w:left w:val="single" w:color="auto" w:sz="2" w:space="0"/>
              <w:bottom w:val="single" w:color="auto" w:sz="2" w:space="0"/>
              <w:right w:val="single" w:color="auto" w:sz="2" w:space="0"/>
            </w:tcBorders>
            <w:shd w:val="clear" w:color="auto" w:fill="auto"/>
            <w:vAlign w:val="center"/>
          </w:tcPr>
          <w:p w14:paraId="655C9DD1">
            <w:pPr>
              <w:adjustRightInd w:val="0"/>
              <w:snapToGrid w:val="0"/>
              <w:spacing w:line="300" w:lineRule="exact"/>
              <w:ind w:firstLine="420"/>
              <w:jc w:val="center"/>
              <w:rPr>
                <w:rFonts w:ascii="微软雅黑" w:hAnsi="微软雅黑" w:cs="微软雅黑"/>
                <w:color w:val="auto"/>
                <w:szCs w:val="21"/>
                <w:highlight w:val="none"/>
              </w:rPr>
            </w:pPr>
          </w:p>
        </w:tc>
        <w:tc>
          <w:tcPr>
            <w:tcW w:w="2154" w:type="dxa"/>
            <w:tcBorders>
              <w:top w:val="single" w:color="auto" w:sz="2" w:space="0"/>
              <w:left w:val="single" w:color="auto" w:sz="2" w:space="0"/>
              <w:bottom w:val="single" w:color="auto" w:sz="2" w:space="0"/>
              <w:right w:val="single" w:color="auto" w:sz="2" w:space="0"/>
            </w:tcBorders>
            <w:shd w:val="clear" w:color="auto" w:fill="auto"/>
            <w:vAlign w:val="center"/>
          </w:tcPr>
          <w:p w14:paraId="2D1F524A">
            <w:pPr>
              <w:adjustRightInd w:val="0"/>
              <w:snapToGrid w:val="0"/>
              <w:spacing w:line="300" w:lineRule="exact"/>
              <w:ind w:firstLine="420"/>
              <w:jc w:val="center"/>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银行账号</w:t>
            </w:r>
          </w:p>
        </w:tc>
        <w:tc>
          <w:tcPr>
            <w:tcW w:w="2308" w:type="dxa"/>
            <w:tcBorders>
              <w:top w:val="single" w:color="auto" w:sz="2" w:space="0"/>
              <w:left w:val="single" w:color="auto" w:sz="2" w:space="0"/>
              <w:bottom w:val="single" w:color="auto" w:sz="2" w:space="0"/>
              <w:right w:val="single" w:color="auto" w:sz="4" w:space="0"/>
            </w:tcBorders>
            <w:shd w:val="clear" w:color="auto" w:fill="auto"/>
            <w:vAlign w:val="center"/>
          </w:tcPr>
          <w:p w14:paraId="25A4A1EC">
            <w:pPr>
              <w:adjustRightInd w:val="0"/>
              <w:snapToGrid w:val="0"/>
              <w:spacing w:line="300" w:lineRule="exact"/>
              <w:ind w:firstLine="500"/>
              <w:jc w:val="center"/>
              <w:rPr>
                <w:rFonts w:ascii="微软雅黑" w:hAnsi="微软雅黑" w:cs="微软雅黑"/>
                <w:color w:val="auto"/>
                <w:spacing w:val="20"/>
                <w:szCs w:val="21"/>
                <w:highlight w:val="none"/>
              </w:rPr>
            </w:pPr>
          </w:p>
        </w:tc>
      </w:tr>
      <w:tr w14:paraId="1314B61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86" w:hRule="atLeast"/>
        </w:trPr>
        <w:tc>
          <w:tcPr>
            <w:tcW w:w="9151" w:type="dxa"/>
            <w:gridSpan w:val="4"/>
            <w:tcBorders>
              <w:top w:val="single" w:color="auto" w:sz="2" w:space="0"/>
              <w:left w:val="single" w:color="auto" w:sz="4" w:space="0"/>
              <w:bottom w:val="single" w:color="auto" w:sz="4" w:space="0"/>
              <w:right w:val="single" w:color="auto" w:sz="4" w:space="0"/>
            </w:tcBorders>
            <w:shd w:val="clear" w:color="auto" w:fill="auto"/>
            <w:vAlign w:val="center"/>
          </w:tcPr>
          <w:p w14:paraId="5A01D351">
            <w:pPr>
              <w:pStyle w:val="47"/>
              <w:widowControl w:val="0"/>
              <w:adjustRightInd w:val="0"/>
              <w:snapToGrid w:val="0"/>
              <w:spacing w:before="120" w:beforeLines="50"/>
              <w:ind w:firstLine="404"/>
              <w:rPr>
                <w:rFonts w:ascii="微软雅黑" w:hAnsi="微软雅黑" w:cs="微软雅黑"/>
                <w:color w:val="auto"/>
                <w:spacing w:val="20"/>
                <w:sz w:val="21"/>
                <w:szCs w:val="21"/>
                <w:highlight w:val="none"/>
              </w:rPr>
            </w:pPr>
            <w:r>
              <w:rPr>
                <w:rFonts w:hint="eastAsia" w:ascii="微软雅黑" w:hAnsi="微软雅黑" w:cs="微软雅黑"/>
                <w:color w:val="auto"/>
                <w:spacing w:val="-4"/>
                <w:sz w:val="21"/>
                <w:szCs w:val="21"/>
                <w:highlight w:val="none"/>
                <w:lang w:bidi="ar"/>
              </w:rPr>
              <w:t>注：涉及联合体或其他合同主体的信息应按上表格式加列。</w:t>
            </w:r>
          </w:p>
        </w:tc>
      </w:tr>
    </w:tbl>
    <w:p w14:paraId="1C9AB799">
      <w:pPr>
        <w:widowControl/>
        <w:ind w:firstLine="420"/>
        <w:rPr>
          <w:rFonts w:ascii="微软雅黑" w:hAnsi="微软雅黑" w:cs="微软雅黑"/>
          <w:color w:val="auto"/>
          <w:highlight w:val="none"/>
        </w:rPr>
      </w:pPr>
      <w:r>
        <w:rPr>
          <w:rFonts w:hint="eastAsia" w:ascii="微软雅黑" w:hAnsi="微软雅黑" w:cs="微软雅黑"/>
          <w:b/>
          <w:bCs/>
          <w:color w:val="auto"/>
          <w:szCs w:val="21"/>
          <w:highlight w:val="none"/>
          <w:u w:val="single"/>
          <w:lang w:bidi="ar"/>
        </w:rPr>
        <w:br w:type="page"/>
      </w:r>
    </w:p>
    <w:p w14:paraId="76822C3D">
      <w:pPr>
        <w:pStyle w:val="3"/>
        <w:widowControl/>
        <w:spacing w:before="120" w:beforeLines="50"/>
        <w:ind w:firstLine="420"/>
        <w:jc w:val="center"/>
        <w:rPr>
          <w:rFonts w:ascii="微软雅黑" w:hAnsi="微软雅黑" w:cs="微软雅黑"/>
          <w:color w:val="auto"/>
          <w:highlight w:val="none"/>
        </w:rPr>
      </w:pPr>
      <w:bookmarkStart w:id="174" w:name="_Toc27624"/>
      <w:r>
        <w:rPr>
          <w:rFonts w:hint="eastAsia" w:ascii="微软雅黑" w:hAnsi="微软雅黑" w:cs="微软雅黑"/>
          <w:b w:val="0"/>
          <w:color w:val="auto"/>
          <w:highlight w:val="none"/>
        </w:rPr>
        <w:t>第二节 政府采购合同通用条款</w:t>
      </w:r>
      <w:bookmarkEnd w:id="174"/>
    </w:p>
    <w:p w14:paraId="7AE8212F">
      <w:pPr>
        <w:tabs>
          <w:tab w:val="left" w:pos="8820"/>
          <w:tab w:val="left" w:pos="9345"/>
          <w:tab w:val="left" w:pos="9765"/>
        </w:tabs>
        <w:adjustRightInd w:val="0"/>
        <w:snapToGrid w:val="0"/>
        <w:spacing w:line="400" w:lineRule="exact"/>
        <w:ind w:firstLine="420"/>
        <w:rPr>
          <w:rFonts w:ascii="微软雅黑" w:hAnsi="微软雅黑" w:cs="微软雅黑"/>
          <w:b/>
          <w:bCs/>
          <w:color w:val="auto"/>
          <w:szCs w:val="21"/>
          <w:highlight w:val="none"/>
        </w:rPr>
      </w:pPr>
      <w:r>
        <w:rPr>
          <w:rFonts w:hint="eastAsia" w:ascii="微软雅黑" w:hAnsi="微软雅黑" w:cs="微软雅黑"/>
          <w:b/>
          <w:color w:val="auto"/>
          <w:szCs w:val="21"/>
          <w:highlight w:val="none"/>
          <w:lang w:bidi="ar"/>
        </w:rPr>
        <w:t xml:space="preserve">1. </w:t>
      </w:r>
      <w:r>
        <w:rPr>
          <w:rFonts w:hint="eastAsia" w:ascii="微软雅黑" w:hAnsi="微软雅黑" w:cs="微软雅黑"/>
          <w:b/>
          <w:bCs/>
          <w:color w:val="auto"/>
          <w:szCs w:val="21"/>
          <w:highlight w:val="none"/>
          <w:lang w:bidi="ar"/>
        </w:rPr>
        <w:t>定义</w:t>
      </w:r>
    </w:p>
    <w:p w14:paraId="364E002F">
      <w:pPr>
        <w:autoSpaceDE w:val="0"/>
        <w:autoSpaceDN w:val="0"/>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1.1合同当事人</w:t>
      </w:r>
    </w:p>
    <w:p w14:paraId="6969EB81">
      <w:pPr>
        <w:autoSpaceDE w:val="0"/>
        <w:autoSpaceDN w:val="0"/>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（1）采购人（以下称甲方）是指使用财政性资金，通过政府采购方式向供应商购买货物及其相关服务的国家机关、事业单位、团体组织。</w:t>
      </w:r>
    </w:p>
    <w:p w14:paraId="1F7CAB4D">
      <w:pPr>
        <w:autoSpaceDE w:val="0"/>
        <w:autoSpaceDN w:val="0"/>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（2）供应商（以下称乙方）是指参加政府采购活动并且中标（成交），向采购人提供合同约定的货物及其相关服务的法人、非法人组织或者自然人。</w:t>
      </w:r>
    </w:p>
    <w:p w14:paraId="0CC470FB">
      <w:pPr>
        <w:autoSpaceDE w:val="0"/>
        <w:autoSpaceDN w:val="0"/>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（3）其他合同主体是指除采购人和供应商以外，</w:t>
      </w:r>
      <w:r>
        <w:rPr>
          <w:rFonts w:hint="eastAsia" w:ascii="微软雅黑" w:hAnsi="微软雅黑" w:cs="微软雅黑"/>
          <w:bCs/>
          <w:color w:val="auto"/>
          <w:szCs w:val="21"/>
          <w:highlight w:val="none"/>
          <w:lang w:bidi="ar"/>
        </w:rPr>
        <w:t>依法参与合同缔结或履行，享有权利、承担义务的合同当事人</w:t>
      </w:r>
      <w:r>
        <w:rPr>
          <w:rFonts w:hint="eastAsia" w:ascii="微软雅黑" w:hAnsi="微软雅黑" w:cs="微软雅黑"/>
          <w:color w:val="auto"/>
          <w:szCs w:val="21"/>
          <w:highlight w:val="none"/>
          <w:lang w:bidi="ar"/>
        </w:rPr>
        <w:t>。</w:t>
      </w:r>
    </w:p>
    <w:p w14:paraId="672F1603">
      <w:pPr>
        <w:tabs>
          <w:tab w:val="left" w:pos="570"/>
          <w:tab w:val="left" w:pos="9240"/>
          <w:tab w:val="left" w:pos="9555"/>
        </w:tabs>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1.2本合同下列术语应解释为：</w:t>
      </w:r>
    </w:p>
    <w:p w14:paraId="146C6036">
      <w:pPr>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（1）“合同”系指</w:t>
      </w:r>
      <w:r>
        <w:rPr>
          <w:rFonts w:hint="eastAsia" w:ascii="微软雅黑" w:hAnsi="微软雅黑" w:cs="微软雅黑"/>
          <w:bCs/>
          <w:color w:val="auto"/>
          <w:szCs w:val="21"/>
          <w:highlight w:val="none"/>
          <w:lang w:bidi="ar"/>
        </w:rPr>
        <w:t>合同当事人意思表示达成一致的任何协议，包括签署的</w:t>
      </w:r>
      <w:r>
        <w:rPr>
          <w:rFonts w:hint="eastAsia" w:ascii="微软雅黑" w:hAnsi="微软雅黑" w:cs="微软雅黑"/>
          <w:color w:val="auto"/>
          <w:szCs w:val="21"/>
          <w:highlight w:val="none"/>
          <w:lang w:bidi="ar"/>
        </w:rPr>
        <w:t>政府采购合同协议书及其变更、补充协议，政府采购合同专用条款，政府采购合同通用条款，中标（成交）通知书，投标（响应）文件，采购文件，有关技术文件和图纸，以及国家法律、行政法规和规章制度规定或合同约定的作为合同组成部分的其他文件。</w:t>
      </w:r>
    </w:p>
    <w:p w14:paraId="1CB3B968">
      <w:pPr>
        <w:tabs>
          <w:tab w:val="left" w:pos="570"/>
          <w:tab w:val="left" w:pos="9240"/>
          <w:tab w:val="left" w:pos="9555"/>
        </w:tabs>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（2）“合同价款”系指根据本合同规定乙方在全面履行合同义务后甲方应支付给乙方的价款。</w:t>
      </w:r>
    </w:p>
    <w:p w14:paraId="35DC90B1">
      <w:pPr>
        <w:tabs>
          <w:tab w:val="left" w:pos="570"/>
          <w:tab w:val="left" w:pos="9240"/>
          <w:tab w:val="left" w:pos="9555"/>
        </w:tabs>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（3）“货物”系指乙方根据本合同规定须向甲方提供的各种形态和种类的物品，包括原材料、设备、产品（包括软件）及相关的其备品备件、工具、手册及其他技术资料和材料等。</w:t>
      </w:r>
    </w:p>
    <w:p w14:paraId="69A79BD5">
      <w:pPr>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4）“相关服务”系指根据合同规定，乙方应提供的与货物有关的技术、管理和其他服务，包括但不限于：管理和质量保证、运输、保险、检验、现场准备、安装、集成、调试、培训、维修、废弃处置、技术支持等以及合同中规定乙方应承担的其他义务。</w:t>
      </w:r>
    </w:p>
    <w:p w14:paraId="5E1229CC">
      <w:pPr>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（5）“分包”系指中标（成交）供应商按采购文件、投标（响应）文件的规定，根据分包意向协议，将中标（成交）项目中的部分履约内容，分给具有相应资质条件的供应商履行合同的行为。</w:t>
      </w:r>
    </w:p>
    <w:p w14:paraId="79DA54C4">
      <w:pPr>
        <w:tabs>
          <w:tab w:val="left" w:pos="570"/>
          <w:tab w:val="left" w:pos="9240"/>
          <w:tab w:val="left" w:pos="9555"/>
        </w:tabs>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6）“联合体”系指由两个以上的自然人、法人或者非法人组织组成，以一个供应商的身份共同参加政府采购的主体。联合体各方应在签订合同协议书前向甲方提交联合协议，且明确牵头人及各成员单位的工作分工、权利、义务、责任，联合体各方应共同与甲方签订合同，就合同约定的事项对甲方承担连带责任。联合体具体要求见【</w:t>
      </w:r>
      <w:r>
        <w:rPr>
          <w:rFonts w:hint="eastAsia" w:ascii="微软雅黑" w:hAnsi="微软雅黑" w:cs="微软雅黑"/>
          <w:b/>
          <w:bCs/>
          <w:color w:val="auto"/>
          <w:szCs w:val="21"/>
          <w:highlight w:val="none"/>
          <w:lang w:bidi="ar"/>
        </w:rPr>
        <w:t>政府采购合同专用条款</w:t>
      </w:r>
      <w:r>
        <w:rPr>
          <w:rFonts w:hint="eastAsia" w:ascii="微软雅黑" w:hAnsi="微软雅黑" w:cs="微软雅黑"/>
          <w:color w:val="auto"/>
          <w:szCs w:val="21"/>
          <w:highlight w:val="none"/>
          <w:lang w:bidi="ar"/>
        </w:rPr>
        <w:t>】。</w:t>
      </w:r>
    </w:p>
    <w:p w14:paraId="47F2E55A">
      <w:pPr>
        <w:tabs>
          <w:tab w:val="left" w:pos="570"/>
          <w:tab w:val="left" w:pos="9240"/>
          <w:tab w:val="left" w:pos="9555"/>
        </w:tabs>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（7）其他术语解释，见【</w:t>
      </w:r>
      <w:r>
        <w:rPr>
          <w:rFonts w:hint="eastAsia" w:ascii="微软雅黑" w:hAnsi="微软雅黑" w:cs="微软雅黑"/>
          <w:b/>
          <w:bCs/>
          <w:color w:val="auto"/>
          <w:szCs w:val="21"/>
          <w:highlight w:val="none"/>
          <w:lang w:bidi="ar"/>
        </w:rPr>
        <w:t>政府采购合同专用条款</w:t>
      </w:r>
      <w:r>
        <w:rPr>
          <w:rFonts w:hint="eastAsia" w:ascii="微软雅黑" w:hAnsi="微软雅黑" w:cs="微软雅黑"/>
          <w:color w:val="auto"/>
          <w:szCs w:val="21"/>
          <w:highlight w:val="none"/>
          <w:lang w:bidi="ar"/>
        </w:rPr>
        <w:t>】。</w:t>
      </w:r>
    </w:p>
    <w:p w14:paraId="4C559B2A">
      <w:pPr>
        <w:numPr>
          <w:ilvl w:val="0"/>
          <w:numId w:val="47"/>
        </w:numPr>
        <w:autoSpaceDE w:val="0"/>
        <w:autoSpaceDN w:val="0"/>
        <w:adjustRightInd w:val="0"/>
        <w:snapToGrid w:val="0"/>
        <w:spacing w:line="400" w:lineRule="exact"/>
        <w:ind w:firstLine="420"/>
        <w:rPr>
          <w:rFonts w:ascii="微软雅黑" w:hAnsi="微软雅黑" w:cs="微软雅黑"/>
          <w:b/>
          <w:bCs/>
          <w:color w:val="auto"/>
          <w:szCs w:val="21"/>
          <w:highlight w:val="none"/>
        </w:rPr>
      </w:pPr>
      <w:r>
        <w:rPr>
          <w:rFonts w:hint="eastAsia" w:ascii="微软雅黑" w:hAnsi="微软雅黑" w:cs="微软雅黑"/>
          <w:b/>
          <w:color w:val="auto"/>
          <w:szCs w:val="21"/>
          <w:highlight w:val="none"/>
          <w:lang w:bidi="ar"/>
        </w:rPr>
        <w:t>合同标的及金额</w:t>
      </w:r>
    </w:p>
    <w:p w14:paraId="0B2E8290">
      <w:pPr>
        <w:autoSpaceDE w:val="0"/>
        <w:autoSpaceDN w:val="0"/>
        <w:adjustRightInd w:val="0"/>
        <w:snapToGrid w:val="0"/>
        <w:spacing w:line="400" w:lineRule="exact"/>
        <w:ind w:firstLine="420"/>
        <w:rPr>
          <w:rFonts w:ascii="微软雅黑" w:hAnsi="微软雅黑" w:cs="微软雅黑"/>
          <w:b/>
          <w:bCs/>
          <w:i/>
          <w:iCs/>
          <w:color w:val="auto"/>
          <w:szCs w:val="21"/>
          <w:highlight w:val="none"/>
        </w:rPr>
      </w:pPr>
      <w:r>
        <w:rPr>
          <w:rFonts w:hint="eastAsia" w:ascii="微软雅黑" w:hAnsi="微软雅黑" w:cs="微软雅黑"/>
          <w:color w:val="auto"/>
          <w:szCs w:val="21"/>
          <w:highlight w:val="none"/>
          <w:lang w:bidi="ar"/>
        </w:rPr>
        <w:t>2.1 合同标的及金额应与中标（成交）结果一致。乙方为履行本合同而发生的所有费用均应包含在合同价款中，甲方不再另行支付其他任何费用。</w:t>
      </w:r>
    </w:p>
    <w:p w14:paraId="12537BCC">
      <w:pPr>
        <w:adjustRightInd w:val="0"/>
        <w:snapToGrid w:val="0"/>
        <w:spacing w:line="400" w:lineRule="exact"/>
        <w:ind w:firstLine="420"/>
        <w:rPr>
          <w:rFonts w:ascii="微软雅黑" w:hAnsi="微软雅黑" w:cs="微软雅黑"/>
          <w:b/>
          <w:color w:val="auto"/>
          <w:szCs w:val="21"/>
          <w:highlight w:val="none"/>
        </w:rPr>
      </w:pPr>
      <w:r>
        <w:rPr>
          <w:rFonts w:hint="eastAsia" w:ascii="微软雅黑" w:hAnsi="微软雅黑" w:cs="微软雅黑"/>
          <w:b/>
          <w:color w:val="auto"/>
          <w:szCs w:val="21"/>
          <w:highlight w:val="none"/>
          <w:lang w:bidi="ar"/>
        </w:rPr>
        <w:t>3. 履行合同的时间、地点和方式</w:t>
      </w:r>
    </w:p>
    <w:p w14:paraId="27C0FE67">
      <w:pPr>
        <w:autoSpaceDE w:val="0"/>
        <w:autoSpaceDN w:val="0"/>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3.1 乙方应当在约定的时间、地点，按照约定方式履行合同。</w:t>
      </w:r>
    </w:p>
    <w:p w14:paraId="31EC7F39">
      <w:pPr>
        <w:autoSpaceDE w:val="0"/>
        <w:autoSpaceDN w:val="0"/>
        <w:adjustRightInd w:val="0"/>
        <w:snapToGrid w:val="0"/>
        <w:spacing w:line="400" w:lineRule="exact"/>
        <w:ind w:firstLine="420"/>
        <w:rPr>
          <w:rFonts w:ascii="微软雅黑" w:hAnsi="微软雅黑" w:cs="微软雅黑"/>
          <w:b/>
          <w:bCs/>
          <w:color w:val="auto"/>
          <w:szCs w:val="21"/>
          <w:highlight w:val="none"/>
        </w:rPr>
      </w:pPr>
      <w:r>
        <w:rPr>
          <w:rFonts w:hint="eastAsia" w:ascii="微软雅黑" w:hAnsi="微软雅黑" w:cs="微软雅黑"/>
          <w:b/>
          <w:bCs/>
          <w:color w:val="auto"/>
          <w:szCs w:val="21"/>
          <w:highlight w:val="none"/>
          <w:lang w:bidi="ar"/>
        </w:rPr>
        <w:t>4. 甲方的权利和义务</w:t>
      </w:r>
    </w:p>
    <w:p w14:paraId="58D98453">
      <w:pPr>
        <w:autoSpaceDE w:val="0"/>
        <w:autoSpaceDN w:val="0"/>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4.1 签署合同后，甲方应确定项目负责人（或项目联系人），负责与本合同有关的事务。甲方有权对乙方的履约行为进行检查，并及时确认乙方提交的事项。甲方应当配合乙方完成相关项目实施工作。</w:t>
      </w:r>
    </w:p>
    <w:p w14:paraId="2BB63D18">
      <w:pPr>
        <w:autoSpaceDE w:val="0"/>
        <w:autoSpaceDN w:val="0"/>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4.2 甲方有权要求乙方按时提交各阶段有关安排计划，并有权定期核对乙方提供货物数量、规格、质量等内容。甲方有权督促乙方工作并要求乙方更换不符合要求的货物。</w:t>
      </w:r>
    </w:p>
    <w:p w14:paraId="09528C80">
      <w:pPr>
        <w:autoSpaceDE w:val="0"/>
        <w:autoSpaceDN w:val="0"/>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4.3 甲方有权要求乙方对缺陷部分予以修复，并按合同约定享有货物保修及其他合同约定的权利。</w:t>
      </w:r>
    </w:p>
    <w:p w14:paraId="3EE4C89E">
      <w:pPr>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4.4 甲方应当按照合同约定及时对交付的货物进行验收，未在</w:t>
      </w:r>
      <w:r>
        <w:rPr>
          <w:rFonts w:hint="eastAsia" w:ascii="微软雅黑" w:hAnsi="微软雅黑" w:cs="微软雅黑"/>
          <w:b/>
          <w:bCs/>
          <w:color w:val="auto"/>
          <w:szCs w:val="21"/>
          <w:highlight w:val="none"/>
          <w:lang w:bidi="ar"/>
        </w:rPr>
        <w:t>【政府采购合同专用条款】</w:t>
      </w:r>
      <w:r>
        <w:rPr>
          <w:rFonts w:hint="eastAsia" w:ascii="微软雅黑" w:hAnsi="微软雅黑" w:cs="微软雅黑"/>
          <w:color w:val="auto"/>
          <w:szCs w:val="21"/>
          <w:highlight w:val="none"/>
          <w:lang w:bidi="ar"/>
        </w:rPr>
        <w:t>约定的期限内对乙方履约提出任何异议或者向乙方作出任何说明的，视为验收通过。</w:t>
      </w:r>
    </w:p>
    <w:p w14:paraId="69F11F20">
      <w:pPr>
        <w:autoSpaceDE w:val="0"/>
        <w:autoSpaceDN w:val="0"/>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4.5 甲方应当根据合同约定及时向乙方支付合同价款，不得以内部人员变更、履行内部付款流程等为由，拒绝或迟延支付。</w:t>
      </w:r>
    </w:p>
    <w:p w14:paraId="624404A3">
      <w:pPr>
        <w:autoSpaceDE w:val="0"/>
        <w:autoSpaceDN w:val="0"/>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4.6 国家法律法规规定及</w:t>
      </w:r>
      <w:r>
        <w:rPr>
          <w:rFonts w:hint="eastAsia" w:ascii="微软雅黑" w:hAnsi="微软雅黑" w:cs="微软雅黑"/>
          <w:b/>
          <w:bCs/>
          <w:color w:val="auto"/>
          <w:szCs w:val="21"/>
          <w:highlight w:val="none"/>
          <w:lang w:bidi="ar"/>
        </w:rPr>
        <w:t>【政府采购合同专用条款】</w:t>
      </w:r>
      <w:r>
        <w:rPr>
          <w:rFonts w:hint="eastAsia" w:ascii="微软雅黑" w:hAnsi="微软雅黑" w:cs="微软雅黑"/>
          <w:color w:val="auto"/>
          <w:szCs w:val="21"/>
          <w:highlight w:val="none"/>
          <w:lang w:bidi="ar"/>
        </w:rPr>
        <w:t>约定应由甲方承担的其他义务和责任。</w:t>
      </w:r>
    </w:p>
    <w:p w14:paraId="6672BE46">
      <w:pPr>
        <w:autoSpaceDE w:val="0"/>
        <w:autoSpaceDN w:val="0"/>
        <w:adjustRightInd w:val="0"/>
        <w:snapToGrid w:val="0"/>
        <w:spacing w:line="400" w:lineRule="exact"/>
        <w:ind w:firstLine="420"/>
        <w:rPr>
          <w:rFonts w:ascii="微软雅黑" w:hAnsi="微软雅黑" w:cs="微软雅黑"/>
          <w:b/>
          <w:bCs/>
          <w:color w:val="auto"/>
          <w:szCs w:val="21"/>
          <w:highlight w:val="none"/>
        </w:rPr>
      </w:pPr>
      <w:r>
        <w:rPr>
          <w:rFonts w:hint="eastAsia" w:ascii="微软雅黑" w:hAnsi="微软雅黑" w:cs="微软雅黑"/>
          <w:b/>
          <w:bCs/>
          <w:color w:val="auto"/>
          <w:szCs w:val="21"/>
          <w:highlight w:val="none"/>
          <w:lang w:bidi="ar"/>
        </w:rPr>
        <w:t>5. 乙方的权利和义务</w:t>
      </w:r>
    </w:p>
    <w:p w14:paraId="5AFA7432">
      <w:pPr>
        <w:autoSpaceDE w:val="0"/>
        <w:autoSpaceDN w:val="0"/>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5.1 签署合同后，乙方应确定项目负责人（或项目联系人），负责与本合同有关的事务。</w:t>
      </w:r>
    </w:p>
    <w:p w14:paraId="55488A2A">
      <w:pPr>
        <w:autoSpaceDE w:val="0"/>
        <w:autoSpaceDN w:val="0"/>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5.2 乙方应按照合同要求履约，充分合理安排，确保提供的货物及相关服务符合合同有关要求。接受项目行业管理部门及政府有关部门的指导，配合甲方的履约检查及验收，并负责项目实施过程中的所有协调工作。</w:t>
      </w:r>
    </w:p>
    <w:p w14:paraId="5AE94B97">
      <w:pPr>
        <w:pStyle w:val="47"/>
        <w:widowControl w:val="0"/>
        <w:spacing w:line="400" w:lineRule="exact"/>
        <w:ind w:firstLine="369" w:firstLineChars="176"/>
        <w:jc w:val="both"/>
        <w:rPr>
          <w:rFonts w:ascii="微软雅黑" w:hAnsi="微软雅黑" w:cs="微软雅黑"/>
          <w:color w:val="auto"/>
          <w:sz w:val="21"/>
          <w:szCs w:val="21"/>
          <w:highlight w:val="none"/>
        </w:rPr>
      </w:pPr>
      <w:r>
        <w:rPr>
          <w:rFonts w:hint="eastAsia" w:ascii="微软雅黑" w:hAnsi="微软雅黑" w:cs="微软雅黑"/>
          <w:color w:val="auto"/>
          <w:kern w:val="2"/>
          <w:sz w:val="21"/>
          <w:szCs w:val="21"/>
          <w:highlight w:val="none"/>
          <w:lang w:bidi="ar"/>
        </w:rPr>
        <w:t>5.3乙方有权根据合同约定向甲方收取合同价款。</w:t>
      </w:r>
    </w:p>
    <w:p w14:paraId="4305D3FF">
      <w:pPr>
        <w:pStyle w:val="47"/>
        <w:widowControl w:val="0"/>
        <w:spacing w:line="400" w:lineRule="exact"/>
        <w:ind w:firstLine="369" w:firstLineChars="176"/>
        <w:jc w:val="both"/>
        <w:rPr>
          <w:rFonts w:ascii="微软雅黑" w:hAnsi="微软雅黑" w:cs="微软雅黑"/>
          <w:color w:val="auto"/>
          <w:sz w:val="21"/>
          <w:szCs w:val="21"/>
          <w:highlight w:val="none"/>
        </w:rPr>
      </w:pPr>
      <w:r>
        <w:rPr>
          <w:rFonts w:hint="eastAsia" w:ascii="微软雅黑" w:hAnsi="微软雅黑" w:cs="微软雅黑"/>
          <w:color w:val="auto"/>
          <w:kern w:val="2"/>
          <w:sz w:val="21"/>
          <w:szCs w:val="21"/>
          <w:highlight w:val="none"/>
          <w:lang w:bidi="ar"/>
        </w:rPr>
        <w:t>5.4国家法律法规规定及</w:t>
      </w:r>
      <w:r>
        <w:rPr>
          <w:rFonts w:hint="eastAsia" w:ascii="微软雅黑" w:hAnsi="微软雅黑" w:cs="微软雅黑"/>
          <w:b/>
          <w:bCs/>
          <w:color w:val="auto"/>
          <w:kern w:val="2"/>
          <w:sz w:val="21"/>
          <w:szCs w:val="21"/>
          <w:highlight w:val="none"/>
          <w:lang w:bidi="ar"/>
        </w:rPr>
        <w:t>【政府采购合同专用条款】</w:t>
      </w:r>
      <w:r>
        <w:rPr>
          <w:rFonts w:hint="eastAsia" w:ascii="微软雅黑" w:hAnsi="微软雅黑" w:cs="微软雅黑"/>
          <w:color w:val="auto"/>
          <w:kern w:val="2"/>
          <w:sz w:val="21"/>
          <w:szCs w:val="21"/>
          <w:highlight w:val="none"/>
          <w:lang w:bidi="ar"/>
        </w:rPr>
        <w:t>约定应由乙方承担的其他义务和责任。</w:t>
      </w:r>
    </w:p>
    <w:p w14:paraId="51A2A5F1">
      <w:pPr>
        <w:numPr>
          <w:ilvl w:val="0"/>
          <w:numId w:val="48"/>
        </w:numPr>
        <w:autoSpaceDE w:val="0"/>
        <w:autoSpaceDN w:val="0"/>
        <w:adjustRightInd w:val="0"/>
        <w:snapToGrid w:val="0"/>
        <w:spacing w:line="400" w:lineRule="exact"/>
        <w:ind w:firstLine="420"/>
        <w:rPr>
          <w:rFonts w:ascii="微软雅黑" w:hAnsi="微软雅黑" w:cs="微软雅黑"/>
          <w:b/>
          <w:bCs/>
          <w:color w:val="auto"/>
          <w:szCs w:val="21"/>
          <w:highlight w:val="none"/>
        </w:rPr>
      </w:pPr>
      <w:r>
        <w:rPr>
          <w:rFonts w:hint="eastAsia" w:ascii="微软雅黑" w:hAnsi="微软雅黑" w:cs="微软雅黑"/>
          <w:b/>
          <w:bCs/>
          <w:color w:val="auto"/>
          <w:szCs w:val="21"/>
          <w:highlight w:val="none"/>
          <w:lang w:bidi="ar"/>
        </w:rPr>
        <w:t>合同履行</w:t>
      </w:r>
    </w:p>
    <w:p w14:paraId="67C4F341">
      <w:pPr>
        <w:autoSpaceDE w:val="0"/>
        <w:autoSpaceDN w:val="0"/>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6.1 甲乙双方应当按照</w:t>
      </w:r>
      <w:r>
        <w:rPr>
          <w:rFonts w:hint="eastAsia" w:ascii="微软雅黑" w:hAnsi="微软雅黑" w:cs="微软雅黑"/>
          <w:b/>
          <w:bCs/>
          <w:color w:val="auto"/>
          <w:szCs w:val="21"/>
          <w:highlight w:val="none"/>
          <w:lang w:bidi="ar"/>
        </w:rPr>
        <w:t>【政府采购合同专用条款】</w:t>
      </w:r>
      <w:r>
        <w:rPr>
          <w:rFonts w:hint="eastAsia" w:ascii="微软雅黑" w:hAnsi="微软雅黑" w:cs="微软雅黑"/>
          <w:color w:val="auto"/>
          <w:szCs w:val="21"/>
          <w:highlight w:val="none"/>
          <w:lang w:bidi="ar"/>
        </w:rPr>
        <w:t>约定顺序履行合同义务；如果没有先后顺序的，应当同时履行。</w:t>
      </w:r>
    </w:p>
    <w:p w14:paraId="09B4E340">
      <w:pPr>
        <w:autoSpaceDE w:val="0"/>
        <w:autoSpaceDN w:val="0"/>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6.2 甲乙双方按照合同约定顺序履行合同义务时，应当先履行一方未履行的，后履行一方有权拒绝其履行请求。先履行一方履行不符合约定的，后履行一方有权拒绝其相应的履行请求。</w:t>
      </w:r>
    </w:p>
    <w:p w14:paraId="7B7ED188">
      <w:pPr>
        <w:adjustRightInd w:val="0"/>
        <w:snapToGrid w:val="0"/>
        <w:spacing w:line="400" w:lineRule="exact"/>
        <w:ind w:firstLine="420"/>
        <w:rPr>
          <w:rFonts w:ascii="微软雅黑" w:hAnsi="微软雅黑" w:cs="微软雅黑"/>
          <w:b/>
          <w:bCs/>
          <w:color w:val="auto"/>
          <w:szCs w:val="21"/>
          <w:highlight w:val="none"/>
        </w:rPr>
      </w:pPr>
      <w:r>
        <w:rPr>
          <w:rFonts w:hint="eastAsia" w:ascii="微软雅黑" w:hAnsi="微软雅黑" w:cs="微软雅黑"/>
          <w:b/>
          <w:bCs/>
          <w:color w:val="auto"/>
          <w:szCs w:val="21"/>
          <w:highlight w:val="none"/>
          <w:lang w:bidi="ar"/>
        </w:rPr>
        <w:t>7. 货物包装、运输、保险和交付要求</w:t>
      </w:r>
    </w:p>
    <w:p w14:paraId="4B3952F4">
      <w:pPr>
        <w:autoSpaceDE w:val="0"/>
        <w:autoSpaceDN w:val="0"/>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7.1 本合同</w:t>
      </w:r>
      <w:r>
        <w:rPr>
          <w:rFonts w:hint="eastAsia" w:ascii="微软雅黑" w:hAnsi="微软雅黑" w:cs="微软雅黑"/>
          <w:bCs/>
          <w:color w:val="auto"/>
          <w:szCs w:val="21"/>
          <w:highlight w:val="none"/>
          <w:lang w:bidi="ar"/>
        </w:rPr>
        <w:t>涉及商品包装、快递包装的，</w:t>
      </w:r>
      <w:r>
        <w:rPr>
          <w:rFonts w:hint="eastAsia" w:ascii="微软雅黑" w:hAnsi="微软雅黑" w:cs="微软雅黑"/>
          <w:color w:val="auto"/>
          <w:szCs w:val="21"/>
          <w:highlight w:val="none"/>
          <w:lang w:bidi="ar"/>
        </w:rPr>
        <w:t>除</w:t>
      </w:r>
      <w:r>
        <w:rPr>
          <w:rFonts w:hint="eastAsia" w:ascii="微软雅黑" w:hAnsi="微软雅黑" w:cs="微软雅黑"/>
          <w:b/>
          <w:color w:val="auto"/>
          <w:szCs w:val="21"/>
          <w:highlight w:val="none"/>
          <w:lang w:bidi="ar"/>
        </w:rPr>
        <w:t>【政府采购合同专用条款】</w:t>
      </w:r>
      <w:r>
        <w:rPr>
          <w:rFonts w:hint="eastAsia" w:ascii="微软雅黑" w:hAnsi="微软雅黑" w:cs="微软雅黑"/>
          <w:bCs/>
          <w:color w:val="auto"/>
          <w:szCs w:val="21"/>
          <w:highlight w:val="none"/>
          <w:lang w:bidi="ar"/>
        </w:rPr>
        <w:t>另有约定外，</w:t>
      </w:r>
      <w:r>
        <w:rPr>
          <w:rFonts w:hint="eastAsia" w:ascii="微软雅黑" w:hAnsi="微软雅黑" w:cs="微软雅黑"/>
          <w:color w:val="auto"/>
          <w:szCs w:val="21"/>
          <w:highlight w:val="none"/>
          <w:lang w:bidi="ar"/>
        </w:rPr>
        <w:t>包装应适应远距离运输、防潮、防震、防锈和防野蛮装卸等要求，确保货物安全无损地运抵</w:t>
      </w:r>
      <w:r>
        <w:rPr>
          <w:rFonts w:hint="eastAsia" w:ascii="微软雅黑" w:hAnsi="微软雅黑" w:cs="微软雅黑"/>
          <w:b/>
          <w:color w:val="auto"/>
          <w:szCs w:val="21"/>
          <w:highlight w:val="none"/>
          <w:lang w:bidi="ar"/>
        </w:rPr>
        <w:t>【政府采购合同专用条款】</w:t>
      </w:r>
      <w:r>
        <w:rPr>
          <w:rFonts w:hint="eastAsia" w:ascii="微软雅黑" w:hAnsi="微软雅黑" w:cs="微软雅黑"/>
          <w:bCs/>
          <w:color w:val="auto"/>
          <w:szCs w:val="21"/>
          <w:highlight w:val="none"/>
          <w:lang w:bidi="ar"/>
        </w:rPr>
        <w:t>约定的</w:t>
      </w:r>
      <w:r>
        <w:rPr>
          <w:rFonts w:hint="eastAsia" w:ascii="微软雅黑" w:hAnsi="微软雅黑" w:cs="微软雅黑"/>
          <w:color w:val="auto"/>
          <w:szCs w:val="21"/>
          <w:highlight w:val="none"/>
          <w:lang w:bidi="ar"/>
        </w:rPr>
        <w:t>指定现场。</w:t>
      </w:r>
    </w:p>
    <w:p w14:paraId="713040EA">
      <w:pPr>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7.2 除</w:t>
      </w:r>
      <w:r>
        <w:rPr>
          <w:rFonts w:hint="eastAsia" w:ascii="微软雅黑" w:hAnsi="微软雅黑" w:cs="微软雅黑"/>
          <w:b/>
          <w:color w:val="auto"/>
          <w:szCs w:val="21"/>
          <w:highlight w:val="none"/>
          <w:lang w:bidi="ar"/>
        </w:rPr>
        <w:t>【政府采购合同专用条款】</w:t>
      </w:r>
      <w:r>
        <w:rPr>
          <w:rFonts w:hint="eastAsia" w:ascii="微软雅黑" w:hAnsi="微软雅黑" w:cs="微软雅黑"/>
          <w:bCs/>
          <w:color w:val="auto"/>
          <w:szCs w:val="21"/>
          <w:highlight w:val="none"/>
          <w:lang w:bidi="ar"/>
        </w:rPr>
        <w:t>另有约定外，</w:t>
      </w:r>
      <w:r>
        <w:rPr>
          <w:rFonts w:hint="eastAsia" w:ascii="微软雅黑" w:hAnsi="微软雅黑" w:cs="微软雅黑"/>
          <w:color w:val="auto"/>
          <w:szCs w:val="21"/>
          <w:highlight w:val="none"/>
          <w:lang w:bidi="ar"/>
        </w:rPr>
        <w:t>乙方负责办理将货物运抵本合同规定的交货地点，并装卸、交付至甲方的一切运输事项，相关费用应包含在合同价款中。</w:t>
      </w:r>
    </w:p>
    <w:p w14:paraId="63374EE3">
      <w:pPr>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7.3 货物保险要求按</w:t>
      </w:r>
      <w:r>
        <w:rPr>
          <w:rFonts w:hint="eastAsia" w:ascii="微软雅黑" w:hAnsi="微软雅黑" w:cs="微软雅黑"/>
          <w:b/>
          <w:color w:val="auto"/>
          <w:szCs w:val="21"/>
          <w:highlight w:val="none"/>
          <w:lang w:bidi="ar"/>
        </w:rPr>
        <w:t>【政府采购合同专用条款】</w:t>
      </w:r>
      <w:r>
        <w:rPr>
          <w:rFonts w:hint="eastAsia" w:ascii="微软雅黑" w:hAnsi="微软雅黑" w:cs="微软雅黑"/>
          <w:bCs/>
          <w:color w:val="auto"/>
          <w:szCs w:val="21"/>
          <w:highlight w:val="none"/>
          <w:lang w:bidi="ar"/>
        </w:rPr>
        <w:t>规定执行</w:t>
      </w:r>
      <w:r>
        <w:rPr>
          <w:rFonts w:hint="eastAsia" w:ascii="微软雅黑" w:hAnsi="微软雅黑" w:cs="微软雅黑"/>
          <w:color w:val="auto"/>
          <w:szCs w:val="21"/>
          <w:highlight w:val="none"/>
          <w:lang w:bidi="ar"/>
        </w:rPr>
        <w:t>。</w:t>
      </w:r>
    </w:p>
    <w:p w14:paraId="5BDA3A4C">
      <w:pPr>
        <w:autoSpaceDE w:val="0"/>
        <w:autoSpaceDN w:val="0"/>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7.4 除采购活动对商品包装、快递包装达成具体约定外，乙方提供产品及相关快递服务涉及到具体包装要求的，应不低于《商品包装政府采购需求标准（试行）》《快递包装政府采购需求标准（试行）》标准，并作为履约验收的内容，必要时甲方可以要求乙方在履约验收环节出具检测报告。</w:t>
      </w:r>
    </w:p>
    <w:p w14:paraId="5DFB5BA9">
      <w:pPr>
        <w:autoSpaceDE w:val="0"/>
        <w:autoSpaceDN w:val="0"/>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7.5 乙方在运输到达之前应提前通知甲方，并提示货物运输装卸的注意事项，甲方配合乙方做好货物的接收工作。</w:t>
      </w:r>
    </w:p>
    <w:p w14:paraId="0EF84B5F">
      <w:pPr>
        <w:pStyle w:val="307"/>
        <w:ind w:left="480" w:firstLine="420"/>
        <w:rPr>
          <w:rFonts w:ascii="微软雅黑" w:hAnsi="微软雅黑" w:eastAsia="微软雅黑" w:cs="微软雅黑"/>
          <w:color w:val="auto"/>
          <w:sz w:val="21"/>
          <w:highlight w:val="none"/>
        </w:rPr>
      </w:pPr>
      <w:r>
        <w:rPr>
          <w:rFonts w:hint="eastAsia" w:ascii="微软雅黑" w:hAnsi="微软雅黑" w:eastAsia="微软雅黑" w:cs="微软雅黑"/>
          <w:color w:val="auto"/>
          <w:kern w:val="2"/>
          <w:sz w:val="21"/>
          <w:highlight w:val="none"/>
        </w:rPr>
        <w:t>7.6 如因包装、运输问题导致货物损毁、丢失或者品质下降，甲方有权要求降价、换货、拒收部分或整批货物，由此产生的费用和损失，均由乙方承担。</w:t>
      </w:r>
    </w:p>
    <w:p w14:paraId="66704158">
      <w:pPr>
        <w:adjustRightInd w:val="0"/>
        <w:snapToGrid w:val="0"/>
        <w:spacing w:line="400" w:lineRule="exact"/>
        <w:ind w:firstLine="420"/>
        <w:rPr>
          <w:rFonts w:ascii="微软雅黑" w:hAnsi="微软雅黑" w:cs="微软雅黑"/>
          <w:b/>
          <w:color w:val="auto"/>
          <w:szCs w:val="21"/>
          <w:highlight w:val="none"/>
        </w:rPr>
      </w:pPr>
      <w:r>
        <w:rPr>
          <w:rFonts w:hint="eastAsia" w:ascii="微软雅黑" w:hAnsi="微软雅黑" w:cs="微软雅黑"/>
          <w:b/>
          <w:color w:val="auto"/>
          <w:szCs w:val="21"/>
          <w:highlight w:val="none"/>
          <w:lang w:bidi="ar"/>
        </w:rPr>
        <w:t>8. 质量标准和保证</w:t>
      </w:r>
    </w:p>
    <w:p w14:paraId="7B87B1E5">
      <w:pPr>
        <w:pStyle w:val="47"/>
        <w:widowControl w:val="0"/>
        <w:adjustRightInd w:val="0"/>
        <w:snapToGrid w:val="0"/>
        <w:spacing w:before="120" w:beforeLines="50" w:after="120" w:afterLines="50" w:line="400" w:lineRule="exact"/>
        <w:ind w:firstLine="420"/>
        <w:rPr>
          <w:rFonts w:ascii="微软雅黑" w:hAnsi="微软雅黑" w:cs="微软雅黑"/>
          <w:b/>
          <w:color w:val="auto"/>
          <w:sz w:val="21"/>
          <w:szCs w:val="21"/>
          <w:highlight w:val="none"/>
        </w:rPr>
      </w:pPr>
      <w:r>
        <w:rPr>
          <w:rFonts w:hint="eastAsia" w:ascii="微软雅黑" w:hAnsi="微软雅黑" w:cs="微软雅黑"/>
          <w:color w:val="auto"/>
          <w:sz w:val="21"/>
          <w:szCs w:val="21"/>
          <w:highlight w:val="none"/>
          <w:lang w:bidi="ar"/>
        </w:rPr>
        <w:t>8.1 质量标准</w:t>
      </w:r>
    </w:p>
    <w:p w14:paraId="1FC091BC">
      <w:pPr>
        <w:autoSpaceDE w:val="0"/>
        <w:autoSpaceDN w:val="0"/>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1）本合同下提供的货物应符合合同约定的品牌、规格型号、技术性能、配置、质量、数量等要求。质量要求不明确的，按照强制性国家标准履行；没有强制性国家标准的，按照推荐性国家标准履行；没有推荐性国家标准的，按照行业标准履行；没有国家标准、行业标准的，按照通常标准或者符合合同目的的特定标准履行。</w:t>
      </w:r>
    </w:p>
    <w:p w14:paraId="39A3905F">
      <w:pPr>
        <w:pStyle w:val="47"/>
        <w:widowControl w:val="0"/>
        <w:adjustRightInd w:val="0"/>
        <w:snapToGrid w:val="0"/>
        <w:spacing w:before="120" w:beforeLines="50" w:after="120" w:afterLines="50" w:line="400" w:lineRule="exact"/>
        <w:ind w:firstLine="420"/>
        <w:rPr>
          <w:rFonts w:ascii="微软雅黑" w:hAnsi="微软雅黑" w:cs="微软雅黑"/>
          <w:color w:val="auto"/>
          <w:sz w:val="21"/>
          <w:szCs w:val="21"/>
          <w:highlight w:val="none"/>
        </w:rPr>
      </w:pPr>
      <w:r>
        <w:rPr>
          <w:rFonts w:hint="eastAsia" w:ascii="微软雅黑" w:hAnsi="微软雅黑" w:cs="微软雅黑"/>
          <w:color w:val="auto"/>
          <w:sz w:val="21"/>
          <w:szCs w:val="21"/>
          <w:highlight w:val="none"/>
          <w:lang w:bidi="ar"/>
        </w:rPr>
        <w:t>（2）采用中华人民共和国法定计量单位。</w:t>
      </w:r>
    </w:p>
    <w:p w14:paraId="52E65365">
      <w:pPr>
        <w:autoSpaceDE w:val="0"/>
        <w:autoSpaceDN w:val="0"/>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（3）乙方所提供的货物应符合国家有关安全、环保、卫生的规定。</w:t>
      </w:r>
    </w:p>
    <w:p w14:paraId="691A1D16">
      <w:pPr>
        <w:autoSpaceDE w:val="0"/>
        <w:autoSpaceDN w:val="0"/>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（4）乙方应向甲方提交所提供货物的技术文件，包括相应的中文技术文件，如：产品目录、图纸、操作手册、使用说明、维护手册或服务指南等。上述文件应包装好随货物一同发运。</w:t>
      </w:r>
    </w:p>
    <w:p w14:paraId="29DAB534">
      <w:pPr>
        <w:autoSpaceDE w:val="0"/>
        <w:autoSpaceDN w:val="0"/>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8.2 保证</w:t>
      </w:r>
    </w:p>
    <w:p w14:paraId="4666480F">
      <w:pPr>
        <w:autoSpaceDE w:val="0"/>
        <w:autoSpaceDN w:val="0"/>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1）乙方应保证提供的货物完全符合合同规定的质量、规格和性能要求。乙方应保证货物在正确安装、正常使用和保养条件下，在其使用寿命期内具备合同约定的性能。存在质量保证期的，货物最终交付验收合格后在</w:t>
      </w:r>
      <w:r>
        <w:rPr>
          <w:rFonts w:hint="eastAsia" w:ascii="微软雅黑" w:hAnsi="微软雅黑" w:cs="微软雅黑"/>
          <w:b/>
          <w:color w:val="auto"/>
          <w:szCs w:val="21"/>
          <w:highlight w:val="none"/>
          <w:lang w:bidi="ar"/>
        </w:rPr>
        <w:t>【政府采购合同专用条款】</w:t>
      </w:r>
      <w:r>
        <w:rPr>
          <w:rFonts w:hint="eastAsia" w:ascii="微软雅黑" w:hAnsi="微软雅黑" w:cs="微软雅黑"/>
          <w:color w:val="auto"/>
          <w:szCs w:val="21"/>
          <w:highlight w:val="none"/>
          <w:lang w:bidi="ar"/>
        </w:rPr>
        <w:t>规定或乙方书面承诺（两者以较长的为准）的质量保证期内，本保证保持有效。</w:t>
      </w:r>
    </w:p>
    <w:p w14:paraId="5CE73BD1">
      <w:pPr>
        <w:autoSpaceDE w:val="0"/>
        <w:autoSpaceDN w:val="0"/>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（2）在质量保证期内所发现的缺陷，甲方应尽快以书面形式通知乙方。</w:t>
      </w:r>
    </w:p>
    <w:p w14:paraId="2DEEAEFF">
      <w:pPr>
        <w:autoSpaceDE w:val="0"/>
        <w:autoSpaceDN w:val="0"/>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（3）乙方收到通知后，应在</w:t>
      </w:r>
      <w:r>
        <w:rPr>
          <w:rFonts w:hint="eastAsia" w:ascii="微软雅黑" w:hAnsi="微软雅黑" w:cs="微软雅黑"/>
          <w:b/>
          <w:color w:val="auto"/>
          <w:szCs w:val="21"/>
          <w:highlight w:val="none"/>
          <w:lang w:bidi="ar"/>
        </w:rPr>
        <w:t>【政府采购合同专用条款】</w:t>
      </w:r>
      <w:r>
        <w:rPr>
          <w:rFonts w:hint="eastAsia" w:ascii="微软雅黑" w:hAnsi="微软雅黑" w:cs="微软雅黑"/>
          <w:color w:val="auto"/>
          <w:szCs w:val="21"/>
          <w:highlight w:val="none"/>
          <w:lang w:bidi="ar"/>
        </w:rPr>
        <w:t>规定的响应时间内以合理的速度免费维修或更换有缺陷的货物或部件。</w:t>
      </w:r>
    </w:p>
    <w:p w14:paraId="38BC3FF5">
      <w:pPr>
        <w:autoSpaceDE w:val="0"/>
        <w:autoSpaceDN w:val="0"/>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（4）在质量保证期内，如果货物的质量或规格与合同不符，或证实货物是有缺陷的，包括潜在的缺陷或使用不符合要求的材料等，甲方可以根据本合同第15.1条规定以书面形式追究乙方的违约责任。</w:t>
      </w:r>
    </w:p>
    <w:p w14:paraId="28EE733F">
      <w:pPr>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（5）乙方在约定的时间内未能弥补缺陷，甲方可采取必要的补救措施，但其风险和费用将由乙方承担，甲方根据合同约定对乙方行使的其他权利不受影响。</w:t>
      </w:r>
    </w:p>
    <w:p w14:paraId="5EC7F82C">
      <w:pPr>
        <w:adjustRightInd w:val="0"/>
        <w:snapToGrid w:val="0"/>
        <w:spacing w:line="400" w:lineRule="exact"/>
        <w:ind w:firstLine="420"/>
        <w:rPr>
          <w:rFonts w:ascii="微软雅黑" w:hAnsi="微软雅黑" w:cs="微软雅黑"/>
          <w:b/>
          <w:bCs/>
          <w:color w:val="auto"/>
          <w:szCs w:val="21"/>
          <w:highlight w:val="none"/>
        </w:rPr>
      </w:pPr>
      <w:r>
        <w:rPr>
          <w:rFonts w:hint="eastAsia" w:ascii="微软雅黑" w:hAnsi="微软雅黑" w:cs="微软雅黑"/>
          <w:b/>
          <w:bCs/>
          <w:color w:val="auto"/>
          <w:szCs w:val="21"/>
          <w:highlight w:val="none"/>
          <w:lang w:bidi="ar"/>
        </w:rPr>
        <w:t>9. 权利瑕疵担保</w:t>
      </w:r>
    </w:p>
    <w:p w14:paraId="3888AA58">
      <w:pPr>
        <w:autoSpaceDE w:val="0"/>
        <w:autoSpaceDN w:val="0"/>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9.1 乙方保证对其出售的货物享有合法的权利。</w:t>
      </w:r>
    </w:p>
    <w:p w14:paraId="6DFBBD32">
      <w:pPr>
        <w:autoSpaceDE w:val="0"/>
        <w:autoSpaceDN w:val="0"/>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9.2 乙方保证在交付的货物上不存在抵押权等担保物权。</w:t>
      </w:r>
    </w:p>
    <w:p w14:paraId="6D960F16">
      <w:pPr>
        <w:autoSpaceDE w:val="0"/>
        <w:autoSpaceDN w:val="0"/>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9.3 如甲方使用上述货物构成对第三人侵权的，则由乙方承担全部责任。</w:t>
      </w:r>
    </w:p>
    <w:p w14:paraId="30CDBCCC">
      <w:pPr>
        <w:autoSpaceDE w:val="0"/>
        <w:autoSpaceDN w:val="0"/>
        <w:adjustRightInd w:val="0"/>
        <w:snapToGrid w:val="0"/>
        <w:spacing w:line="400" w:lineRule="exact"/>
        <w:ind w:firstLine="420"/>
        <w:rPr>
          <w:rFonts w:ascii="微软雅黑" w:hAnsi="微软雅黑" w:cs="微软雅黑"/>
          <w:b/>
          <w:bCs/>
          <w:color w:val="auto"/>
          <w:szCs w:val="21"/>
          <w:highlight w:val="none"/>
        </w:rPr>
      </w:pPr>
      <w:r>
        <w:rPr>
          <w:rFonts w:hint="eastAsia" w:ascii="微软雅黑" w:hAnsi="微软雅黑" w:cs="微软雅黑"/>
          <w:b/>
          <w:bCs/>
          <w:color w:val="auto"/>
          <w:szCs w:val="21"/>
          <w:highlight w:val="none"/>
          <w:lang w:bidi="ar"/>
        </w:rPr>
        <w:t>10. 知识产权保护</w:t>
      </w:r>
    </w:p>
    <w:p w14:paraId="5FD0B70C">
      <w:pPr>
        <w:autoSpaceDE w:val="0"/>
        <w:autoSpaceDN w:val="0"/>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10.1 乙方对其所销售的货物应当享有知识产权或经权利人合法授权，保证没有侵犯任何第三人的知识产权等权利。</w:t>
      </w:r>
      <w:bookmarkStart w:id="175" w:name="_Hlk163047038"/>
      <w:r>
        <w:rPr>
          <w:rFonts w:hint="eastAsia" w:ascii="微软雅黑" w:hAnsi="微软雅黑" w:cs="微软雅黑"/>
          <w:color w:val="auto"/>
          <w:szCs w:val="21"/>
          <w:highlight w:val="none"/>
          <w:lang w:bidi="ar"/>
        </w:rPr>
        <w:t>因违反前述约定对第三人构成侵权的，应当由乙方向第三人承担法律责任；甲方依法向第三人赔偿后，有权向乙方追偿。甲方有其他损失的，乙方应当赔偿</w:t>
      </w:r>
      <w:bookmarkEnd w:id="175"/>
      <w:r>
        <w:rPr>
          <w:rFonts w:hint="eastAsia" w:ascii="微软雅黑" w:hAnsi="微软雅黑" w:cs="微软雅黑"/>
          <w:color w:val="auto"/>
          <w:szCs w:val="21"/>
          <w:highlight w:val="none"/>
          <w:lang w:bidi="ar"/>
        </w:rPr>
        <w:t>。</w:t>
      </w:r>
    </w:p>
    <w:p w14:paraId="650B3880">
      <w:pPr>
        <w:autoSpaceDE w:val="0"/>
        <w:autoSpaceDN w:val="0"/>
        <w:adjustRightInd w:val="0"/>
        <w:snapToGrid w:val="0"/>
        <w:spacing w:line="400" w:lineRule="exact"/>
        <w:ind w:firstLine="420"/>
        <w:rPr>
          <w:rFonts w:ascii="微软雅黑" w:hAnsi="微软雅黑" w:cs="微软雅黑"/>
          <w:b/>
          <w:bCs/>
          <w:color w:val="auto"/>
          <w:szCs w:val="21"/>
          <w:highlight w:val="none"/>
        </w:rPr>
      </w:pPr>
      <w:r>
        <w:rPr>
          <w:rFonts w:hint="eastAsia" w:ascii="微软雅黑" w:hAnsi="微软雅黑" w:cs="微软雅黑"/>
          <w:b/>
          <w:bCs/>
          <w:color w:val="auto"/>
          <w:szCs w:val="21"/>
          <w:highlight w:val="none"/>
          <w:lang w:bidi="ar"/>
        </w:rPr>
        <w:t>11. 保密义务</w:t>
      </w:r>
    </w:p>
    <w:p w14:paraId="7A836AFA">
      <w:pPr>
        <w:autoSpaceDE w:val="0"/>
        <w:autoSpaceDN w:val="0"/>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11.1 甲、乙双方对采购和合同履行过程中所获悉的国家秘密、工作秘密、商业秘密或者其他应当保密的信息，均有保密义务且不受合同有效期所限，直至该信息成为公开信息。泄露、不正当地使用国家秘密、工作秘密、商业秘密或者其他应当保密的信息，应当承担相应责任。其他应当保密的信息由双方在</w:t>
      </w:r>
      <w:r>
        <w:rPr>
          <w:rFonts w:hint="eastAsia" w:ascii="微软雅黑" w:hAnsi="微软雅黑" w:cs="微软雅黑"/>
          <w:b/>
          <w:bCs/>
          <w:color w:val="auto"/>
          <w:szCs w:val="21"/>
          <w:highlight w:val="none"/>
          <w:lang w:bidi="ar"/>
        </w:rPr>
        <w:t>【政府采购合同专用条款】</w:t>
      </w:r>
      <w:r>
        <w:rPr>
          <w:rFonts w:hint="eastAsia" w:ascii="微软雅黑" w:hAnsi="微软雅黑" w:cs="微软雅黑"/>
          <w:color w:val="auto"/>
          <w:szCs w:val="21"/>
          <w:highlight w:val="none"/>
          <w:lang w:bidi="ar"/>
        </w:rPr>
        <w:t>中约定。</w:t>
      </w:r>
    </w:p>
    <w:p w14:paraId="1EABE8EA">
      <w:pPr>
        <w:autoSpaceDE w:val="0"/>
        <w:autoSpaceDN w:val="0"/>
        <w:adjustRightInd w:val="0"/>
        <w:snapToGrid w:val="0"/>
        <w:spacing w:line="400" w:lineRule="exact"/>
        <w:ind w:firstLine="420"/>
        <w:rPr>
          <w:rFonts w:ascii="微软雅黑" w:hAnsi="微软雅黑" w:cs="微软雅黑"/>
          <w:b/>
          <w:bCs/>
          <w:color w:val="auto"/>
          <w:szCs w:val="21"/>
          <w:highlight w:val="none"/>
        </w:rPr>
      </w:pPr>
      <w:r>
        <w:rPr>
          <w:rFonts w:hint="eastAsia" w:ascii="微软雅黑" w:hAnsi="微软雅黑" w:cs="微软雅黑"/>
          <w:b/>
          <w:bCs/>
          <w:color w:val="auto"/>
          <w:szCs w:val="21"/>
          <w:highlight w:val="none"/>
          <w:lang w:bidi="ar"/>
        </w:rPr>
        <w:t>12. 合同价款支付</w:t>
      </w:r>
    </w:p>
    <w:p w14:paraId="441328A8">
      <w:pPr>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12.1 合同价款支付按照国库集中支付制度及财政管理相关规定执行。</w:t>
      </w:r>
    </w:p>
    <w:p w14:paraId="2E0B9218">
      <w:pPr>
        <w:pStyle w:val="3"/>
        <w:widowControl/>
        <w:spacing w:line="400" w:lineRule="exact"/>
        <w:ind w:firstLine="420"/>
        <w:rPr>
          <w:rFonts w:ascii="微软雅黑" w:hAnsi="微软雅黑" w:cs="微软雅黑"/>
          <w:color w:val="auto"/>
          <w:highlight w:val="none"/>
        </w:rPr>
      </w:pPr>
      <w:r>
        <w:rPr>
          <w:rFonts w:hint="eastAsia" w:ascii="微软雅黑" w:hAnsi="微软雅黑" w:cs="微软雅黑"/>
          <w:b w:val="0"/>
          <w:color w:val="auto"/>
          <w:highlight w:val="none"/>
        </w:rPr>
        <w:t>12.2 对于满足合同约定支付条件的，甲方原则上应当自收到发票后10个工作日内将资金支付到合同约定的乙方账户，不得以机构变动、人员更替、政策调整等为由迟延付款，不得将采购文件和合同中未规定的义务作为向乙方付款的条件。具体合同价款支付时间在【</w:t>
      </w:r>
      <w:r>
        <w:rPr>
          <w:rFonts w:hint="eastAsia" w:ascii="微软雅黑" w:hAnsi="微软雅黑" w:cs="微软雅黑"/>
          <w:color w:val="auto"/>
          <w:highlight w:val="none"/>
        </w:rPr>
        <w:t>政府采购合同专用条款</w:t>
      </w:r>
      <w:r>
        <w:rPr>
          <w:rFonts w:hint="eastAsia" w:ascii="微软雅黑" w:hAnsi="微软雅黑" w:cs="微软雅黑"/>
          <w:b w:val="0"/>
          <w:color w:val="auto"/>
          <w:highlight w:val="none"/>
        </w:rPr>
        <w:t>】中约定。</w:t>
      </w:r>
    </w:p>
    <w:p w14:paraId="0CF06D20">
      <w:pPr>
        <w:pStyle w:val="47"/>
        <w:widowControl w:val="0"/>
        <w:spacing w:line="400" w:lineRule="exact"/>
        <w:ind w:firstLine="420"/>
        <w:jc w:val="both"/>
        <w:rPr>
          <w:rFonts w:ascii="微软雅黑" w:hAnsi="微软雅黑" w:cs="微软雅黑"/>
          <w:b/>
          <w:bCs/>
          <w:color w:val="auto"/>
          <w:sz w:val="21"/>
          <w:szCs w:val="21"/>
          <w:highlight w:val="none"/>
        </w:rPr>
      </w:pPr>
      <w:r>
        <w:rPr>
          <w:rFonts w:hint="eastAsia" w:ascii="微软雅黑" w:hAnsi="微软雅黑" w:cs="微软雅黑"/>
          <w:b/>
          <w:bCs/>
          <w:color w:val="auto"/>
          <w:kern w:val="2"/>
          <w:sz w:val="21"/>
          <w:szCs w:val="21"/>
          <w:highlight w:val="none"/>
          <w:lang w:bidi="ar"/>
        </w:rPr>
        <w:t>13. 履约保证金</w:t>
      </w:r>
    </w:p>
    <w:p w14:paraId="7E972642">
      <w:pPr>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13.1 乙方应当以支票、汇票、本票或者金融机构、担保机构出具的保函等非现金形式提交。</w:t>
      </w:r>
    </w:p>
    <w:p w14:paraId="07A3B6AE">
      <w:pPr>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13.2 如果乙方出现</w:t>
      </w:r>
      <w:r>
        <w:rPr>
          <w:rFonts w:hint="eastAsia" w:ascii="微软雅黑" w:hAnsi="微软雅黑" w:cs="微软雅黑"/>
          <w:b/>
          <w:bCs/>
          <w:color w:val="auto"/>
          <w:szCs w:val="21"/>
          <w:highlight w:val="none"/>
          <w:lang w:bidi="ar"/>
        </w:rPr>
        <w:t>【政府采购合同专用条款】</w:t>
      </w:r>
      <w:r>
        <w:rPr>
          <w:rFonts w:hint="eastAsia" w:ascii="微软雅黑" w:hAnsi="微软雅黑" w:cs="微软雅黑"/>
          <w:color w:val="auto"/>
          <w:szCs w:val="21"/>
          <w:highlight w:val="none"/>
          <w:lang w:bidi="ar"/>
        </w:rPr>
        <w:t>约定情形的，履约保证金不予退还；如果乙方未能按合同约定全面履行义务，甲方有权从履约保证金中取得补偿或赔偿，且不影响甲方要求乙方承担合同约定的超过履约保证金的违约责任的权利。</w:t>
      </w:r>
    </w:p>
    <w:p w14:paraId="2EA3D8B3">
      <w:pPr>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13.3 甲方在项目通过验收后按照</w:t>
      </w:r>
      <w:r>
        <w:rPr>
          <w:rFonts w:hint="eastAsia" w:ascii="微软雅黑" w:hAnsi="微软雅黑" w:cs="微软雅黑"/>
          <w:b/>
          <w:color w:val="auto"/>
          <w:szCs w:val="21"/>
          <w:highlight w:val="none"/>
          <w:lang w:bidi="ar"/>
        </w:rPr>
        <w:t>【政府采购合同专用条款】</w:t>
      </w:r>
      <w:r>
        <w:rPr>
          <w:rFonts w:hint="eastAsia" w:ascii="微软雅黑" w:hAnsi="微软雅黑" w:cs="微软雅黑"/>
          <w:color w:val="auto"/>
          <w:szCs w:val="21"/>
          <w:highlight w:val="none"/>
          <w:lang w:bidi="ar"/>
        </w:rPr>
        <w:t>规定的时间内将履约保证金退还乙方；逾期退还的，乙方可要求甲方支付违约金，违约金按照</w:t>
      </w:r>
      <w:r>
        <w:rPr>
          <w:rFonts w:hint="eastAsia" w:ascii="微软雅黑" w:hAnsi="微软雅黑" w:cs="微软雅黑"/>
          <w:b/>
          <w:color w:val="auto"/>
          <w:szCs w:val="21"/>
          <w:highlight w:val="none"/>
          <w:lang w:bidi="ar"/>
        </w:rPr>
        <w:t>【政府采购合同专用条款】</w:t>
      </w:r>
      <w:r>
        <w:rPr>
          <w:rFonts w:hint="eastAsia" w:ascii="微软雅黑" w:hAnsi="微软雅黑" w:cs="微软雅黑"/>
          <w:color w:val="auto"/>
          <w:szCs w:val="21"/>
          <w:highlight w:val="none"/>
          <w:lang w:bidi="ar"/>
        </w:rPr>
        <w:t>规定支付。</w:t>
      </w:r>
    </w:p>
    <w:p w14:paraId="5EBD1A4D">
      <w:pPr>
        <w:autoSpaceDE w:val="0"/>
        <w:autoSpaceDN w:val="0"/>
        <w:adjustRightInd w:val="0"/>
        <w:snapToGrid w:val="0"/>
        <w:spacing w:line="400" w:lineRule="exact"/>
        <w:ind w:firstLine="420"/>
        <w:rPr>
          <w:rFonts w:ascii="微软雅黑" w:hAnsi="微软雅黑" w:cs="微软雅黑"/>
          <w:b/>
          <w:color w:val="auto"/>
          <w:szCs w:val="21"/>
          <w:highlight w:val="none"/>
        </w:rPr>
      </w:pPr>
      <w:r>
        <w:rPr>
          <w:rFonts w:hint="eastAsia" w:ascii="微软雅黑" w:hAnsi="微软雅黑" w:cs="微软雅黑"/>
          <w:b/>
          <w:bCs/>
          <w:color w:val="auto"/>
          <w:szCs w:val="21"/>
          <w:highlight w:val="none"/>
          <w:lang w:bidi="ar"/>
        </w:rPr>
        <w:t xml:space="preserve">14. </w:t>
      </w:r>
      <w:r>
        <w:rPr>
          <w:rFonts w:hint="eastAsia" w:ascii="微软雅黑" w:hAnsi="微软雅黑" w:cs="微软雅黑"/>
          <w:b/>
          <w:color w:val="auto"/>
          <w:szCs w:val="21"/>
          <w:highlight w:val="none"/>
          <w:lang w:bidi="ar"/>
        </w:rPr>
        <w:t>售后服务</w:t>
      </w:r>
    </w:p>
    <w:p w14:paraId="17A6DC8F">
      <w:pPr>
        <w:autoSpaceDE w:val="0"/>
        <w:autoSpaceDN w:val="0"/>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14.1 除项目不涉及或采购活动中明确约定无须承担外，乙方还应提供下列服务：</w:t>
      </w:r>
    </w:p>
    <w:p w14:paraId="77681298">
      <w:pPr>
        <w:autoSpaceDE w:val="0"/>
        <w:autoSpaceDN w:val="0"/>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（1）货物的现场移动、安装、调试、启动监督及技术支持；</w:t>
      </w:r>
    </w:p>
    <w:p w14:paraId="6E9E3758">
      <w:pPr>
        <w:autoSpaceDE w:val="0"/>
        <w:autoSpaceDN w:val="0"/>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（2）提供货物组装和维修所需的专用工具和辅助材料；</w:t>
      </w:r>
    </w:p>
    <w:p w14:paraId="46BE1AFD">
      <w:pPr>
        <w:autoSpaceDE w:val="0"/>
        <w:autoSpaceDN w:val="0"/>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（3）在</w:t>
      </w:r>
      <w:r>
        <w:rPr>
          <w:rFonts w:hint="eastAsia" w:ascii="微软雅黑" w:hAnsi="微软雅黑" w:cs="微软雅黑"/>
          <w:b/>
          <w:bCs/>
          <w:color w:val="auto"/>
          <w:szCs w:val="21"/>
          <w:highlight w:val="none"/>
          <w:lang w:bidi="ar"/>
        </w:rPr>
        <w:t>【政府采购合同专用条款】</w:t>
      </w:r>
      <w:r>
        <w:rPr>
          <w:rFonts w:hint="eastAsia" w:ascii="微软雅黑" w:hAnsi="微软雅黑" w:cs="微软雅黑"/>
          <w:color w:val="auto"/>
          <w:szCs w:val="21"/>
          <w:highlight w:val="none"/>
          <w:lang w:bidi="ar"/>
        </w:rPr>
        <w:t>约定的期限内对所有的货物实施运行监督、维修，但前提条件是该服务并不能免除乙方在质量保证期内所承担的义务；</w:t>
      </w:r>
    </w:p>
    <w:p w14:paraId="061E24AB">
      <w:pPr>
        <w:autoSpaceDE w:val="0"/>
        <w:autoSpaceDN w:val="0"/>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（4）在制造商所在地或指定现场就货物的安装、启动、运营、维护、废弃处置等对甲方操作人员进行培训；</w:t>
      </w:r>
    </w:p>
    <w:p w14:paraId="4D7175E8">
      <w:pPr>
        <w:pStyle w:val="307"/>
        <w:ind w:left="480" w:firstLine="420"/>
        <w:rPr>
          <w:rFonts w:ascii="微软雅黑" w:hAnsi="微软雅黑" w:eastAsia="微软雅黑" w:cs="微软雅黑"/>
          <w:color w:val="auto"/>
          <w:sz w:val="21"/>
          <w:highlight w:val="none"/>
        </w:rPr>
      </w:pPr>
      <w:r>
        <w:rPr>
          <w:rFonts w:hint="eastAsia" w:ascii="微软雅黑" w:hAnsi="微软雅黑" w:eastAsia="微软雅黑" w:cs="微软雅黑"/>
          <w:color w:val="auto"/>
          <w:sz w:val="21"/>
          <w:highlight w:val="none"/>
        </w:rPr>
        <w:t>（5）依照法律、行政法规的规定或者按照</w:t>
      </w:r>
      <w:r>
        <w:rPr>
          <w:rFonts w:hint="eastAsia" w:ascii="微软雅黑" w:hAnsi="微软雅黑" w:eastAsia="微软雅黑" w:cs="微软雅黑"/>
          <w:b/>
          <w:bCs/>
          <w:color w:val="auto"/>
          <w:sz w:val="21"/>
          <w:highlight w:val="none"/>
        </w:rPr>
        <w:t>【政府采购合同专用条款】</w:t>
      </w:r>
      <w:r>
        <w:rPr>
          <w:rFonts w:hint="eastAsia" w:ascii="微软雅黑" w:hAnsi="微软雅黑" w:eastAsia="微软雅黑" w:cs="微软雅黑"/>
          <w:color w:val="auto"/>
          <w:sz w:val="21"/>
          <w:highlight w:val="none"/>
        </w:rPr>
        <w:t>约定，货物在有效使用年限届满后应予回收的，乙方负有自行或者委托第三人对货物予以回收的义务；</w:t>
      </w:r>
    </w:p>
    <w:p w14:paraId="14C5318E">
      <w:pPr>
        <w:autoSpaceDE w:val="0"/>
        <w:autoSpaceDN w:val="0"/>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（6）</w:t>
      </w:r>
      <w:r>
        <w:rPr>
          <w:rFonts w:hint="eastAsia" w:ascii="微软雅黑" w:hAnsi="微软雅黑" w:cs="微软雅黑"/>
          <w:b/>
          <w:color w:val="auto"/>
          <w:szCs w:val="21"/>
          <w:highlight w:val="none"/>
          <w:lang w:bidi="ar"/>
        </w:rPr>
        <w:t>【政府采购合同专用条款】</w:t>
      </w:r>
      <w:r>
        <w:rPr>
          <w:rFonts w:hint="eastAsia" w:ascii="微软雅黑" w:hAnsi="微软雅黑" w:cs="微软雅黑"/>
          <w:color w:val="auto"/>
          <w:szCs w:val="21"/>
          <w:highlight w:val="none"/>
          <w:lang w:bidi="ar"/>
        </w:rPr>
        <w:t>规定由乙方提供的其他服务。</w:t>
      </w:r>
    </w:p>
    <w:p w14:paraId="6C0ADA1E">
      <w:pPr>
        <w:autoSpaceDE w:val="0"/>
        <w:autoSpaceDN w:val="0"/>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14.2 乙方提供的售后服务的费用已包含在合同价款中，甲方不再另行支付。</w:t>
      </w:r>
    </w:p>
    <w:p w14:paraId="775EA050">
      <w:pPr>
        <w:adjustRightInd w:val="0"/>
        <w:snapToGrid w:val="0"/>
        <w:spacing w:line="400" w:lineRule="exact"/>
        <w:ind w:firstLine="420"/>
        <w:rPr>
          <w:rFonts w:ascii="微软雅黑" w:hAnsi="微软雅黑" w:cs="微软雅黑"/>
          <w:b/>
          <w:bCs/>
          <w:color w:val="auto"/>
          <w:szCs w:val="21"/>
          <w:highlight w:val="none"/>
        </w:rPr>
      </w:pPr>
      <w:r>
        <w:rPr>
          <w:rFonts w:hint="eastAsia" w:ascii="微软雅黑" w:hAnsi="微软雅黑" w:cs="微软雅黑"/>
          <w:b/>
          <w:bCs/>
          <w:color w:val="auto"/>
          <w:szCs w:val="21"/>
          <w:highlight w:val="none"/>
          <w:lang w:bidi="ar"/>
        </w:rPr>
        <w:t>15. 违约责任</w:t>
      </w:r>
    </w:p>
    <w:p w14:paraId="0439212A">
      <w:pPr>
        <w:adjustRightInd w:val="0"/>
        <w:snapToGrid w:val="0"/>
        <w:spacing w:line="400" w:lineRule="exact"/>
        <w:ind w:firstLine="420"/>
        <w:rPr>
          <w:rFonts w:ascii="微软雅黑" w:hAnsi="微软雅黑" w:cs="微软雅黑"/>
          <w:bCs/>
          <w:color w:val="auto"/>
          <w:szCs w:val="21"/>
          <w:highlight w:val="none"/>
        </w:rPr>
      </w:pPr>
      <w:r>
        <w:rPr>
          <w:rFonts w:hint="eastAsia" w:ascii="微软雅黑" w:hAnsi="微软雅黑" w:cs="微软雅黑"/>
          <w:bCs/>
          <w:color w:val="auto"/>
          <w:szCs w:val="21"/>
          <w:highlight w:val="none"/>
          <w:lang w:bidi="ar"/>
        </w:rPr>
        <w:t>15.1质量瑕疵的违约责任</w:t>
      </w:r>
    </w:p>
    <w:p w14:paraId="1EBA04BA">
      <w:pPr>
        <w:autoSpaceDE w:val="0"/>
        <w:autoSpaceDN w:val="0"/>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乙方提供的产品不符合合同约定的质量标准或存在产品质量缺陷，甲方有权要求乙方根据</w:t>
      </w:r>
      <w:r>
        <w:rPr>
          <w:rFonts w:hint="eastAsia" w:ascii="微软雅黑" w:hAnsi="微软雅黑" w:cs="微软雅黑"/>
          <w:b/>
          <w:color w:val="auto"/>
          <w:szCs w:val="21"/>
          <w:highlight w:val="none"/>
          <w:lang w:bidi="ar"/>
        </w:rPr>
        <w:t>【政府采购合同专用条款】</w:t>
      </w:r>
      <w:r>
        <w:rPr>
          <w:rFonts w:hint="eastAsia" w:ascii="微软雅黑" w:hAnsi="微软雅黑" w:cs="微软雅黑"/>
          <w:bCs/>
          <w:color w:val="auto"/>
          <w:szCs w:val="21"/>
          <w:highlight w:val="none"/>
          <w:lang w:bidi="ar"/>
        </w:rPr>
        <w:t>要求</w:t>
      </w:r>
      <w:r>
        <w:rPr>
          <w:rFonts w:hint="eastAsia" w:ascii="微软雅黑" w:hAnsi="微软雅黑" w:cs="微软雅黑"/>
          <w:color w:val="auto"/>
          <w:szCs w:val="21"/>
          <w:highlight w:val="none"/>
          <w:lang w:bidi="ar"/>
        </w:rPr>
        <w:t>及时修理、重作、更换，并承担由此给甲方造成的损失。</w:t>
      </w:r>
    </w:p>
    <w:p w14:paraId="61541D73">
      <w:pPr>
        <w:autoSpaceDE w:val="0"/>
        <w:autoSpaceDN w:val="0"/>
        <w:adjustRightInd w:val="0"/>
        <w:snapToGrid w:val="0"/>
        <w:spacing w:line="400" w:lineRule="exact"/>
        <w:ind w:firstLine="420"/>
        <w:rPr>
          <w:rFonts w:ascii="微软雅黑" w:hAnsi="微软雅黑" w:cs="微软雅黑"/>
          <w:bCs/>
          <w:color w:val="auto"/>
          <w:szCs w:val="21"/>
          <w:highlight w:val="none"/>
        </w:rPr>
      </w:pPr>
      <w:r>
        <w:rPr>
          <w:rFonts w:hint="eastAsia" w:ascii="微软雅黑" w:hAnsi="微软雅黑" w:cs="微软雅黑"/>
          <w:bCs/>
          <w:color w:val="auto"/>
          <w:szCs w:val="21"/>
          <w:highlight w:val="none"/>
          <w:lang w:bidi="ar"/>
        </w:rPr>
        <w:t>15.2 迟延交货的违约责任</w:t>
      </w:r>
    </w:p>
    <w:p w14:paraId="72FAA25C">
      <w:pPr>
        <w:autoSpaceDE w:val="0"/>
        <w:autoSpaceDN w:val="0"/>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1）乙方应按照本合同规定的时间、地点交货和提供相关服务。在履行合同过程中，如果乙方遇到可能影响按时交货和提供服务的情形时，应及时以书面形式将迟延的事实、可能迟延的期限和理由通知甲方。甲方在收到乙方通知后，应尽快对情况进行评价，并确定是否同意延长交货时间或延期提供服务。</w:t>
      </w:r>
    </w:p>
    <w:p w14:paraId="14339E9B">
      <w:pPr>
        <w:autoSpaceDE w:val="0"/>
        <w:autoSpaceDN w:val="0"/>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（2）如果乙方没有按照合同规定的时间交货和提供相关服务，甲方有权从货款中扣除误期赔偿费而不影响合同项下的其他补救方法，赔偿费按</w:t>
      </w:r>
      <w:r>
        <w:rPr>
          <w:rFonts w:hint="eastAsia" w:ascii="微软雅黑" w:hAnsi="微软雅黑" w:cs="微软雅黑"/>
          <w:b/>
          <w:color w:val="auto"/>
          <w:szCs w:val="21"/>
          <w:highlight w:val="none"/>
          <w:lang w:bidi="ar"/>
        </w:rPr>
        <w:t>【政府采购合同专用条款】</w:t>
      </w:r>
      <w:r>
        <w:rPr>
          <w:rFonts w:hint="eastAsia" w:ascii="微软雅黑" w:hAnsi="微软雅黑" w:cs="微软雅黑"/>
          <w:color w:val="auto"/>
          <w:szCs w:val="21"/>
          <w:highlight w:val="none"/>
          <w:lang w:bidi="ar"/>
        </w:rPr>
        <w:t>规定执行。如果涉及公共利益，且赔偿金额无法弥补公共利益损失，甲方可要求继续履行或者采取其他补救措施。</w:t>
      </w:r>
    </w:p>
    <w:p w14:paraId="1B586B77">
      <w:pPr>
        <w:autoSpaceDE w:val="0"/>
        <w:autoSpaceDN w:val="0"/>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15.3 迟延支付的违约责任</w:t>
      </w:r>
    </w:p>
    <w:p w14:paraId="2A1F6ED3">
      <w:pPr>
        <w:autoSpaceDE w:val="0"/>
        <w:autoSpaceDN w:val="0"/>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甲方存在迟延支付乙方合同款项的，应当承担</w:t>
      </w:r>
      <w:r>
        <w:rPr>
          <w:rFonts w:hint="eastAsia" w:ascii="微软雅黑" w:hAnsi="微软雅黑" w:cs="微软雅黑"/>
          <w:b/>
          <w:bCs/>
          <w:color w:val="auto"/>
          <w:szCs w:val="21"/>
          <w:highlight w:val="none"/>
          <w:lang w:bidi="ar"/>
        </w:rPr>
        <w:t>【政府采购合同专用条款】</w:t>
      </w:r>
      <w:r>
        <w:rPr>
          <w:rFonts w:hint="eastAsia" w:ascii="微软雅黑" w:hAnsi="微软雅黑" w:cs="微软雅黑"/>
          <w:color w:val="auto"/>
          <w:szCs w:val="21"/>
          <w:highlight w:val="none"/>
          <w:lang w:bidi="ar"/>
        </w:rPr>
        <w:t>规定的逾期付款利息。</w:t>
      </w:r>
    </w:p>
    <w:p w14:paraId="12EB7025">
      <w:pPr>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bCs/>
          <w:color w:val="auto"/>
          <w:szCs w:val="21"/>
          <w:highlight w:val="none"/>
          <w:lang w:bidi="ar"/>
        </w:rPr>
        <w:t>15.4其他违约责任根据项目实际需要按</w:t>
      </w:r>
      <w:r>
        <w:rPr>
          <w:rFonts w:hint="eastAsia" w:ascii="微软雅黑" w:hAnsi="微软雅黑" w:cs="微软雅黑"/>
          <w:b/>
          <w:bCs/>
          <w:color w:val="auto"/>
          <w:szCs w:val="21"/>
          <w:highlight w:val="none"/>
          <w:lang w:bidi="ar"/>
        </w:rPr>
        <w:t>【政府采购合同专用条款】</w:t>
      </w:r>
      <w:r>
        <w:rPr>
          <w:rFonts w:hint="eastAsia" w:ascii="微软雅黑" w:hAnsi="微软雅黑" w:cs="微软雅黑"/>
          <w:color w:val="auto"/>
          <w:szCs w:val="21"/>
          <w:highlight w:val="none"/>
          <w:lang w:bidi="ar"/>
        </w:rPr>
        <w:t>规定执行。</w:t>
      </w:r>
    </w:p>
    <w:p w14:paraId="6D39E699">
      <w:pPr>
        <w:numPr>
          <w:ilvl w:val="0"/>
          <w:numId w:val="49"/>
        </w:numPr>
        <w:autoSpaceDE w:val="0"/>
        <w:autoSpaceDN w:val="0"/>
        <w:adjustRightInd w:val="0"/>
        <w:snapToGrid w:val="0"/>
        <w:spacing w:line="400" w:lineRule="exact"/>
        <w:ind w:firstLine="420"/>
        <w:rPr>
          <w:rFonts w:ascii="微软雅黑" w:hAnsi="微软雅黑" w:cs="微软雅黑"/>
          <w:b/>
          <w:color w:val="auto"/>
          <w:szCs w:val="21"/>
          <w:highlight w:val="none"/>
        </w:rPr>
      </w:pPr>
      <w:r>
        <w:rPr>
          <w:rFonts w:hint="eastAsia" w:ascii="微软雅黑" w:hAnsi="微软雅黑" w:cs="微软雅黑"/>
          <w:b/>
          <w:color w:val="auto"/>
          <w:szCs w:val="21"/>
          <w:highlight w:val="none"/>
          <w:lang w:bidi="ar"/>
        </w:rPr>
        <w:t>合同变更、中止与终止</w:t>
      </w:r>
    </w:p>
    <w:p w14:paraId="61506D65">
      <w:pPr>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 xml:space="preserve">    16.1合同的变更</w:t>
      </w:r>
    </w:p>
    <w:p w14:paraId="6581B898">
      <w:pPr>
        <w:autoSpaceDE w:val="0"/>
        <w:autoSpaceDN w:val="0"/>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政府采购合同履行中，在不改变合同其他条款的前提下，甲方可以在合同价款10%的范围内追加与合同标的相同的货物，并就此与乙方协商一致后签订补充协议。</w:t>
      </w:r>
    </w:p>
    <w:p w14:paraId="3C93978E">
      <w:pPr>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16.2合同的中止</w:t>
      </w:r>
    </w:p>
    <w:p w14:paraId="0529F17D">
      <w:pPr>
        <w:autoSpaceDE w:val="0"/>
        <w:autoSpaceDN w:val="0"/>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（1）合同履行过程中因供应商就采购文件、采购过程或结果提起投诉的，甲方认为有必要的，可以中止合同的履行。</w:t>
      </w:r>
    </w:p>
    <w:p w14:paraId="35220627">
      <w:pPr>
        <w:autoSpaceDE w:val="0"/>
        <w:autoSpaceDN w:val="0"/>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2）合同履行过程中，如果乙方出现以下情形之一的：1．经营状况严重恶化；2．转移财产、抽逃资金，以逃避债务；3．丧失商业信誉；4．有丧失或者可能丧失履约能力的其他情形，乙方有义务及时告知甲方。甲方有权以书面形式通知乙方中止合同并要求乙方在合理期限内消除相关情形或者提供适当担保。乙方提供适当担保的，合同继续履行；乙方在合理期限内未恢复履约能力且未提供适当担保的，视为拒绝继续履约，甲方有权解除合同并要求乙方承担由此给甲方造成的损失。</w:t>
      </w:r>
    </w:p>
    <w:p w14:paraId="7552D36B">
      <w:pPr>
        <w:pStyle w:val="307"/>
        <w:ind w:left="480" w:firstLine="420"/>
        <w:jc w:val="both"/>
        <w:rPr>
          <w:rFonts w:ascii="微软雅黑" w:hAnsi="微软雅黑" w:eastAsia="微软雅黑" w:cs="微软雅黑"/>
          <w:color w:val="auto"/>
          <w:sz w:val="21"/>
          <w:highlight w:val="none"/>
        </w:rPr>
      </w:pPr>
      <w:r>
        <w:rPr>
          <w:rFonts w:hint="eastAsia" w:ascii="微软雅黑" w:hAnsi="微软雅黑" w:eastAsia="微软雅黑" w:cs="微软雅黑"/>
          <w:color w:val="auto"/>
          <w:sz w:val="21"/>
          <w:highlight w:val="none"/>
        </w:rPr>
        <w:t>（3）乙方分立、合并或者变更住所的，应当及时以书面形式告知甲方。乙方没有及时告知甲方，致使合同履行发生困难的，甲方可以中止合同履行并要求乙方承担由此给甲方造成的损失。</w:t>
      </w:r>
    </w:p>
    <w:p w14:paraId="05859421">
      <w:pPr>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（4）甲方不得以行政区划调整、政府换届、机构或者职能调整以及相关责任人更替为由中止合同。</w:t>
      </w:r>
    </w:p>
    <w:p w14:paraId="70906AF6">
      <w:pPr>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16.3合同的终止</w:t>
      </w:r>
    </w:p>
    <w:p w14:paraId="6F644950">
      <w:pPr>
        <w:autoSpaceDE w:val="0"/>
        <w:autoSpaceDN w:val="0"/>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（1）合同因有效期限届满而终止；</w:t>
      </w:r>
    </w:p>
    <w:p w14:paraId="755D7C45">
      <w:pPr>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（2）乙方未按合同约定履行，构成根本性违约的，甲方有权终止合同，并追究乙方的违约责任。</w:t>
      </w:r>
    </w:p>
    <w:p w14:paraId="1E7546CC">
      <w:pPr>
        <w:pStyle w:val="307"/>
        <w:ind w:left="480" w:firstLine="420"/>
        <w:rPr>
          <w:rFonts w:ascii="微软雅黑" w:hAnsi="微软雅黑" w:eastAsia="微软雅黑" w:cs="微软雅黑"/>
          <w:color w:val="auto"/>
          <w:sz w:val="21"/>
          <w:highlight w:val="none"/>
        </w:rPr>
      </w:pPr>
      <w:r>
        <w:rPr>
          <w:rFonts w:hint="eastAsia" w:ascii="微软雅黑" w:hAnsi="微软雅黑" w:eastAsia="微软雅黑" w:cs="微软雅黑"/>
          <w:color w:val="auto"/>
          <w:sz w:val="21"/>
          <w:highlight w:val="none"/>
        </w:rPr>
        <w:t xml:space="preserve">16.4 </w:t>
      </w:r>
      <w:r>
        <w:rPr>
          <w:rFonts w:hint="eastAsia" w:ascii="微软雅黑" w:hAnsi="微软雅黑" w:eastAsia="微软雅黑" w:cs="微软雅黑"/>
          <w:color w:val="auto"/>
          <w:kern w:val="2"/>
          <w:sz w:val="21"/>
          <w:highlight w:val="none"/>
        </w:rPr>
        <w:t>涉及国家利益、社会公共利益的情形</w:t>
      </w:r>
    </w:p>
    <w:p w14:paraId="1429D0F6">
      <w:pPr>
        <w:pStyle w:val="307"/>
        <w:ind w:left="480" w:firstLine="420"/>
        <w:jc w:val="both"/>
        <w:rPr>
          <w:rFonts w:ascii="微软雅黑" w:hAnsi="微软雅黑" w:eastAsia="微软雅黑" w:cs="微软雅黑"/>
          <w:color w:val="auto"/>
          <w:sz w:val="21"/>
          <w:highlight w:val="none"/>
        </w:rPr>
      </w:pPr>
      <w:r>
        <w:rPr>
          <w:rFonts w:hint="eastAsia" w:ascii="微软雅黑" w:hAnsi="微软雅黑" w:eastAsia="微软雅黑" w:cs="微软雅黑"/>
          <w:color w:val="auto"/>
          <w:sz w:val="21"/>
          <w:highlight w:val="none"/>
        </w:rPr>
        <w:t>政府采购合同继续履行将损害国家利益和社会公共利益的，双方当事人应当变更、中止或者终止合同。有过错的一方应当承担赔偿责任，双方都有过错的，各自承担相应的责任。</w:t>
      </w:r>
    </w:p>
    <w:p w14:paraId="23422078">
      <w:pPr>
        <w:autoSpaceDE w:val="0"/>
        <w:autoSpaceDN w:val="0"/>
        <w:adjustRightInd w:val="0"/>
        <w:snapToGrid w:val="0"/>
        <w:spacing w:line="400" w:lineRule="exact"/>
        <w:ind w:firstLine="420"/>
        <w:rPr>
          <w:rFonts w:ascii="微软雅黑" w:hAnsi="微软雅黑" w:cs="微软雅黑"/>
          <w:b/>
          <w:bCs/>
          <w:color w:val="auto"/>
          <w:szCs w:val="21"/>
          <w:highlight w:val="none"/>
        </w:rPr>
      </w:pPr>
      <w:r>
        <w:rPr>
          <w:rFonts w:hint="eastAsia" w:ascii="微软雅黑" w:hAnsi="微软雅黑" w:cs="微软雅黑"/>
          <w:b/>
          <w:bCs/>
          <w:color w:val="auto"/>
          <w:szCs w:val="21"/>
          <w:highlight w:val="none"/>
          <w:lang w:bidi="ar"/>
        </w:rPr>
        <w:t>17. 合同分包</w:t>
      </w:r>
    </w:p>
    <w:p w14:paraId="3AE470CA">
      <w:pPr>
        <w:autoSpaceDE w:val="0"/>
        <w:autoSpaceDN w:val="0"/>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17.1 乙方不得将合同转包给其他供应商。涉及合同分包的，乙方应根据采购文件和投标（响应）文件规定进行合同分包。</w:t>
      </w:r>
    </w:p>
    <w:p w14:paraId="68C7BD03">
      <w:pPr>
        <w:autoSpaceDE w:val="0"/>
        <w:autoSpaceDN w:val="0"/>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17.2 乙方执行政府采购政策向中小企业依法分包的，乙方应当按采购文件和投标（响应）文件签订分包意向协议，分包意向协议属于本合同组成部分。</w:t>
      </w:r>
    </w:p>
    <w:p w14:paraId="51AB0ECE">
      <w:pPr>
        <w:autoSpaceDE w:val="0"/>
        <w:autoSpaceDN w:val="0"/>
        <w:adjustRightInd w:val="0"/>
        <w:snapToGrid w:val="0"/>
        <w:spacing w:line="400" w:lineRule="exact"/>
        <w:ind w:firstLine="420"/>
        <w:rPr>
          <w:rFonts w:ascii="微软雅黑" w:hAnsi="微软雅黑" w:cs="微软雅黑"/>
          <w:b/>
          <w:bCs/>
          <w:color w:val="auto"/>
          <w:szCs w:val="21"/>
          <w:highlight w:val="none"/>
        </w:rPr>
      </w:pPr>
      <w:r>
        <w:rPr>
          <w:rFonts w:hint="eastAsia" w:ascii="微软雅黑" w:hAnsi="微软雅黑" w:cs="微软雅黑"/>
          <w:b/>
          <w:bCs/>
          <w:color w:val="auto"/>
          <w:szCs w:val="21"/>
          <w:highlight w:val="none"/>
          <w:lang w:bidi="ar"/>
        </w:rPr>
        <w:t>18. 不可抗力</w:t>
      </w:r>
    </w:p>
    <w:p w14:paraId="2A63D233">
      <w:pPr>
        <w:autoSpaceDE w:val="0"/>
        <w:autoSpaceDN w:val="0"/>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18.1 不可抗力是指合同双方不能预见、不能避免且不能克服的客观情况。</w:t>
      </w:r>
    </w:p>
    <w:p w14:paraId="5283AE71">
      <w:pPr>
        <w:autoSpaceDE w:val="0"/>
        <w:autoSpaceDN w:val="0"/>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18.2 任何一方对由于不可抗力造成的部分或全部不能履行合同不承担违约责任。但迟延履行后发生不可抗力的，不能免除责任。</w:t>
      </w:r>
    </w:p>
    <w:p w14:paraId="20C7FC92">
      <w:pPr>
        <w:autoSpaceDE w:val="0"/>
        <w:autoSpaceDN w:val="0"/>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18.3 遇有不可抗力的一方，应及时将事件情况以书面形式告知另一方，并在事件发生后及时向另一方提交合同不能履行或部分不能履行或需要延期履行的详细报告，以及证明不可抗力发生及其持续时间的证据。</w:t>
      </w:r>
    </w:p>
    <w:p w14:paraId="33312683">
      <w:pPr>
        <w:autoSpaceDE w:val="0"/>
        <w:autoSpaceDN w:val="0"/>
        <w:adjustRightInd w:val="0"/>
        <w:snapToGrid w:val="0"/>
        <w:spacing w:line="400" w:lineRule="exact"/>
        <w:ind w:firstLine="420"/>
        <w:rPr>
          <w:rFonts w:ascii="微软雅黑" w:hAnsi="微软雅黑" w:cs="微软雅黑"/>
          <w:b/>
          <w:bCs/>
          <w:color w:val="auto"/>
          <w:szCs w:val="21"/>
          <w:highlight w:val="none"/>
        </w:rPr>
      </w:pPr>
      <w:r>
        <w:rPr>
          <w:rFonts w:hint="eastAsia" w:ascii="微软雅黑" w:hAnsi="微软雅黑" w:cs="微软雅黑"/>
          <w:b/>
          <w:bCs/>
          <w:color w:val="auto"/>
          <w:szCs w:val="21"/>
          <w:highlight w:val="none"/>
          <w:lang w:bidi="ar"/>
        </w:rPr>
        <w:t>19. 解决争议的方法</w:t>
      </w:r>
    </w:p>
    <w:p w14:paraId="7F9F2F46">
      <w:pPr>
        <w:pStyle w:val="307"/>
        <w:ind w:left="480" w:firstLine="420"/>
        <w:jc w:val="both"/>
        <w:rPr>
          <w:rFonts w:ascii="微软雅黑" w:hAnsi="微软雅黑" w:eastAsia="微软雅黑" w:cs="微软雅黑"/>
          <w:color w:val="auto"/>
          <w:sz w:val="21"/>
          <w:highlight w:val="none"/>
        </w:rPr>
      </w:pPr>
      <w:r>
        <w:rPr>
          <w:rFonts w:hint="eastAsia" w:ascii="微软雅黑" w:hAnsi="微软雅黑" w:eastAsia="微软雅黑" w:cs="微软雅黑"/>
          <w:color w:val="auto"/>
          <w:sz w:val="21"/>
          <w:highlight w:val="none"/>
        </w:rPr>
        <w:t>19.1 因本合同及合同有关事项发生的争议，由甲乙双方友好协商解决。协商不成时，可以向有关组织申请调解。合同一方或双方不愿调解或调解不成的，可以通过仲裁或诉讼的方式解决争议。</w:t>
      </w:r>
    </w:p>
    <w:p w14:paraId="18E59FC5">
      <w:pPr>
        <w:pStyle w:val="307"/>
        <w:ind w:left="480" w:firstLine="420"/>
        <w:jc w:val="both"/>
        <w:rPr>
          <w:rFonts w:ascii="微软雅黑" w:hAnsi="微软雅黑" w:eastAsia="微软雅黑" w:cs="微软雅黑"/>
          <w:color w:val="auto"/>
          <w:sz w:val="21"/>
          <w:highlight w:val="none"/>
        </w:rPr>
      </w:pPr>
      <w:r>
        <w:rPr>
          <w:rFonts w:hint="eastAsia" w:ascii="微软雅黑" w:hAnsi="微软雅黑" w:eastAsia="微软雅黑" w:cs="微软雅黑"/>
          <w:color w:val="auto"/>
          <w:sz w:val="21"/>
          <w:highlight w:val="none"/>
        </w:rPr>
        <w:t>19.2 选择仲裁的，应在</w:t>
      </w:r>
      <w:r>
        <w:rPr>
          <w:rFonts w:hint="eastAsia" w:ascii="微软雅黑" w:hAnsi="微软雅黑" w:eastAsia="微软雅黑" w:cs="微软雅黑"/>
          <w:b/>
          <w:bCs/>
          <w:color w:val="auto"/>
          <w:sz w:val="21"/>
          <w:highlight w:val="none"/>
        </w:rPr>
        <w:t>【政府采购合同专用条款】</w:t>
      </w:r>
      <w:r>
        <w:rPr>
          <w:rFonts w:hint="eastAsia" w:ascii="微软雅黑" w:hAnsi="微软雅黑" w:eastAsia="微软雅黑" w:cs="微软雅黑"/>
          <w:color w:val="auto"/>
          <w:sz w:val="21"/>
          <w:highlight w:val="none"/>
        </w:rPr>
        <w:t>中明确仲裁机构及仲裁地；通过诉讼方式解决的，可以在</w:t>
      </w:r>
      <w:r>
        <w:rPr>
          <w:rFonts w:hint="eastAsia" w:ascii="微软雅黑" w:hAnsi="微软雅黑" w:eastAsia="微软雅黑" w:cs="微软雅黑"/>
          <w:b/>
          <w:bCs/>
          <w:color w:val="auto"/>
          <w:sz w:val="21"/>
          <w:highlight w:val="none"/>
        </w:rPr>
        <w:t>【政府采购合同专用条款】</w:t>
      </w:r>
      <w:r>
        <w:rPr>
          <w:rFonts w:hint="eastAsia" w:ascii="微软雅黑" w:hAnsi="微软雅黑" w:eastAsia="微软雅黑" w:cs="微软雅黑"/>
          <w:color w:val="auto"/>
          <w:sz w:val="21"/>
          <w:highlight w:val="none"/>
        </w:rPr>
        <w:t>中进一步约定选择与争议有实际联系的地点的人民法院管辖，但管辖法院的约定不得违反级别管辖和专属管辖的规定。</w:t>
      </w:r>
    </w:p>
    <w:p w14:paraId="3C2F0E7A">
      <w:pPr>
        <w:pStyle w:val="307"/>
        <w:ind w:left="480" w:firstLine="420"/>
        <w:jc w:val="both"/>
        <w:rPr>
          <w:rFonts w:ascii="微软雅黑" w:hAnsi="微软雅黑" w:eastAsia="微软雅黑" w:cs="微软雅黑"/>
          <w:color w:val="auto"/>
          <w:sz w:val="21"/>
          <w:highlight w:val="none"/>
        </w:rPr>
      </w:pPr>
      <w:r>
        <w:rPr>
          <w:rFonts w:hint="eastAsia" w:ascii="微软雅黑" w:hAnsi="微软雅黑" w:eastAsia="微软雅黑" w:cs="微软雅黑"/>
          <w:color w:val="auto"/>
          <w:sz w:val="21"/>
          <w:highlight w:val="none"/>
        </w:rPr>
        <w:t>19.3 如甲乙双方有争议的事项不影响合同其他部分的履行，在争议解决期间，合同其他部分应当继续履行。</w:t>
      </w:r>
    </w:p>
    <w:p w14:paraId="744B23DA">
      <w:pPr>
        <w:autoSpaceDE w:val="0"/>
        <w:autoSpaceDN w:val="0"/>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b/>
          <w:color w:val="auto"/>
          <w:szCs w:val="21"/>
          <w:highlight w:val="none"/>
          <w:lang w:bidi="ar"/>
        </w:rPr>
        <w:t>20. 政府采购政策</w:t>
      </w:r>
    </w:p>
    <w:p w14:paraId="01AB519E">
      <w:pPr>
        <w:autoSpaceDE w:val="0"/>
        <w:autoSpaceDN w:val="0"/>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20.1 本合同应当按照规定执行政府采购政策。</w:t>
      </w:r>
    </w:p>
    <w:p w14:paraId="2466D1C6">
      <w:pPr>
        <w:autoSpaceDE w:val="0"/>
        <w:autoSpaceDN w:val="0"/>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20.2 本合同依法执行政府采购政策的方式和内容，属于合同履约验收的范围。甲乙双方未按规定要求执行政府采购政策造成损失的，有过错的一方应当承担赔偿责任，双方都有过错的，各自承担相应的责任。</w:t>
      </w:r>
    </w:p>
    <w:p w14:paraId="178A5554">
      <w:pPr>
        <w:pStyle w:val="47"/>
        <w:widowControl w:val="0"/>
        <w:spacing w:line="400" w:lineRule="exact"/>
        <w:ind w:firstLine="420"/>
        <w:jc w:val="both"/>
        <w:rPr>
          <w:rFonts w:ascii="微软雅黑" w:hAnsi="微软雅黑" w:cs="微软雅黑"/>
          <w:color w:val="auto"/>
          <w:sz w:val="21"/>
          <w:szCs w:val="21"/>
          <w:highlight w:val="none"/>
        </w:rPr>
      </w:pPr>
      <w:r>
        <w:rPr>
          <w:rFonts w:hint="eastAsia" w:ascii="微软雅黑" w:hAnsi="微软雅黑" w:cs="微软雅黑"/>
          <w:color w:val="auto"/>
          <w:kern w:val="2"/>
          <w:sz w:val="21"/>
          <w:szCs w:val="21"/>
          <w:highlight w:val="none"/>
          <w:lang w:bidi="ar"/>
        </w:rPr>
        <w:t>20.3 对于为落实中小企业支持政策，通过采购项目整体预留、设置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30F82B11">
      <w:pPr>
        <w:autoSpaceDE w:val="0"/>
        <w:autoSpaceDN w:val="0"/>
        <w:adjustRightInd w:val="0"/>
        <w:snapToGrid w:val="0"/>
        <w:spacing w:line="400" w:lineRule="exact"/>
        <w:ind w:firstLine="420"/>
        <w:rPr>
          <w:rFonts w:ascii="微软雅黑" w:hAnsi="微软雅黑" w:cs="微软雅黑"/>
          <w:b/>
          <w:color w:val="auto"/>
          <w:szCs w:val="21"/>
          <w:highlight w:val="none"/>
        </w:rPr>
      </w:pPr>
      <w:r>
        <w:rPr>
          <w:rFonts w:hint="eastAsia" w:ascii="微软雅黑" w:hAnsi="微软雅黑" w:cs="微软雅黑"/>
          <w:b/>
          <w:color w:val="auto"/>
          <w:szCs w:val="21"/>
          <w:highlight w:val="none"/>
          <w:lang w:bidi="ar"/>
        </w:rPr>
        <w:t>21. 法律适用</w:t>
      </w:r>
    </w:p>
    <w:p w14:paraId="3B9903D1">
      <w:pPr>
        <w:pStyle w:val="307"/>
        <w:ind w:left="480" w:firstLine="420"/>
        <w:jc w:val="both"/>
        <w:rPr>
          <w:rFonts w:ascii="微软雅黑" w:hAnsi="微软雅黑" w:eastAsia="微软雅黑" w:cs="微软雅黑"/>
          <w:color w:val="auto"/>
          <w:sz w:val="21"/>
          <w:highlight w:val="none"/>
        </w:rPr>
      </w:pPr>
      <w:r>
        <w:rPr>
          <w:rFonts w:hint="eastAsia" w:ascii="微软雅黑" w:hAnsi="微软雅黑" w:eastAsia="微软雅黑" w:cs="微软雅黑"/>
          <w:color w:val="auto"/>
          <w:sz w:val="21"/>
          <w:highlight w:val="none"/>
        </w:rPr>
        <w:t>21.1 本合同的订立、生效、解释、履行及与本合同有关的争议解决，均适用法律、行政法规。</w:t>
      </w:r>
    </w:p>
    <w:p w14:paraId="78343E31">
      <w:pPr>
        <w:pStyle w:val="307"/>
        <w:ind w:left="480" w:firstLine="420"/>
        <w:jc w:val="both"/>
        <w:rPr>
          <w:rFonts w:ascii="微软雅黑" w:hAnsi="微软雅黑" w:eastAsia="微软雅黑" w:cs="微软雅黑"/>
          <w:color w:val="auto"/>
          <w:sz w:val="21"/>
          <w:highlight w:val="none"/>
        </w:rPr>
      </w:pPr>
      <w:r>
        <w:rPr>
          <w:rFonts w:hint="eastAsia" w:ascii="微软雅黑" w:hAnsi="微软雅黑" w:eastAsia="微软雅黑" w:cs="微软雅黑"/>
          <w:color w:val="auto"/>
          <w:sz w:val="21"/>
          <w:highlight w:val="none"/>
        </w:rPr>
        <w:t>21.2 本合同条款与法律、行政法规的强制性规定不一致的，双方当事人应按照法律、行政法规的强制性规定修改本合同的相关条款。</w:t>
      </w:r>
    </w:p>
    <w:p w14:paraId="0742D2C5">
      <w:pPr>
        <w:autoSpaceDE w:val="0"/>
        <w:autoSpaceDN w:val="0"/>
        <w:adjustRightInd w:val="0"/>
        <w:snapToGrid w:val="0"/>
        <w:spacing w:line="400" w:lineRule="exact"/>
        <w:ind w:firstLine="420"/>
        <w:rPr>
          <w:rFonts w:ascii="微软雅黑" w:hAnsi="微软雅黑" w:cs="微软雅黑"/>
          <w:b/>
          <w:color w:val="auto"/>
          <w:szCs w:val="21"/>
          <w:highlight w:val="none"/>
        </w:rPr>
      </w:pPr>
      <w:r>
        <w:rPr>
          <w:rFonts w:hint="eastAsia" w:ascii="微软雅黑" w:hAnsi="微软雅黑" w:cs="微软雅黑"/>
          <w:b/>
          <w:color w:val="auto"/>
          <w:szCs w:val="21"/>
          <w:highlight w:val="none"/>
          <w:lang w:bidi="ar"/>
        </w:rPr>
        <w:t>22. 通知</w:t>
      </w:r>
    </w:p>
    <w:p w14:paraId="299C7183">
      <w:pPr>
        <w:pStyle w:val="307"/>
        <w:ind w:left="480" w:firstLine="420"/>
        <w:jc w:val="both"/>
        <w:rPr>
          <w:rFonts w:ascii="微软雅黑" w:hAnsi="微软雅黑" w:eastAsia="微软雅黑" w:cs="微软雅黑"/>
          <w:color w:val="auto"/>
          <w:sz w:val="21"/>
          <w:highlight w:val="none"/>
        </w:rPr>
      </w:pPr>
      <w:r>
        <w:rPr>
          <w:rFonts w:hint="eastAsia" w:ascii="微软雅黑" w:hAnsi="微软雅黑" w:eastAsia="微软雅黑" w:cs="微软雅黑"/>
          <w:color w:val="auto"/>
          <w:sz w:val="21"/>
          <w:highlight w:val="none"/>
        </w:rPr>
        <w:t>22.1 本合同任何一方向对方发出的通知、信件、数据电文等，应当发送至本合同第一部分《政府采购合同协议书》所约定的通讯地址、联系人、联系电话或电子邮箱。</w:t>
      </w:r>
    </w:p>
    <w:p w14:paraId="71BB6CED">
      <w:pPr>
        <w:pStyle w:val="307"/>
        <w:ind w:left="480" w:firstLine="0" w:firstLineChars="0"/>
        <w:jc w:val="both"/>
        <w:rPr>
          <w:rFonts w:ascii="微软雅黑" w:hAnsi="微软雅黑" w:eastAsia="微软雅黑" w:cs="微软雅黑"/>
          <w:color w:val="auto"/>
          <w:sz w:val="21"/>
          <w:highlight w:val="none"/>
        </w:rPr>
      </w:pPr>
      <w:r>
        <w:rPr>
          <w:rFonts w:hint="eastAsia" w:ascii="微软雅黑" w:hAnsi="微软雅黑" w:eastAsia="微软雅黑" w:cs="微软雅黑"/>
          <w:color w:val="auto"/>
          <w:sz w:val="21"/>
          <w:highlight w:val="none"/>
        </w:rPr>
        <w:t xml:space="preserve">    22.2 一方当事人变更名称、住所、联系人、联系电话或电子邮箱等信息的，应当在变更后3日内及时书面通知对方，对方实际收到变更通知前的送达仍为有效送达。</w:t>
      </w:r>
    </w:p>
    <w:p w14:paraId="3E4EC519">
      <w:pPr>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22.3本合同一方给另一方的通知均应采用书面形式，传真或快递送到本合同中规定的对方的地址和办理签收手续。</w:t>
      </w:r>
    </w:p>
    <w:p w14:paraId="6EEC1371">
      <w:pPr>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22.4通知以送达之日或通知书中规定的生效之日起生效，两者中以较迟之日为准。</w:t>
      </w:r>
    </w:p>
    <w:p w14:paraId="71B2BB34">
      <w:pPr>
        <w:numPr>
          <w:ilvl w:val="0"/>
          <w:numId w:val="50"/>
        </w:numPr>
        <w:adjustRightInd w:val="0"/>
        <w:snapToGrid w:val="0"/>
        <w:spacing w:line="400" w:lineRule="exact"/>
        <w:ind w:firstLine="420"/>
        <w:rPr>
          <w:rFonts w:ascii="微软雅黑" w:hAnsi="微软雅黑" w:cs="微软雅黑"/>
          <w:b/>
          <w:bCs/>
          <w:color w:val="auto"/>
          <w:szCs w:val="21"/>
          <w:highlight w:val="none"/>
        </w:rPr>
      </w:pPr>
      <w:r>
        <w:rPr>
          <w:rFonts w:hint="eastAsia" w:ascii="微软雅黑" w:hAnsi="微软雅黑" w:cs="微软雅黑"/>
          <w:b/>
          <w:bCs/>
          <w:color w:val="auto"/>
          <w:szCs w:val="21"/>
          <w:highlight w:val="none"/>
          <w:lang w:bidi="ar"/>
        </w:rPr>
        <w:t>合同未尽事项</w:t>
      </w:r>
    </w:p>
    <w:p w14:paraId="70C49C1E">
      <w:pPr>
        <w:adjustRightInd w:val="0"/>
        <w:snapToGrid w:val="0"/>
        <w:spacing w:line="400" w:lineRule="exact"/>
        <w:ind w:firstLine="420"/>
        <w:rPr>
          <w:rFonts w:ascii="微软雅黑" w:hAnsi="微软雅黑" w:cs="微软雅黑"/>
          <w:bCs/>
          <w:color w:val="auto"/>
          <w:szCs w:val="21"/>
          <w:highlight w:val="none"/>
        </w:rPr>
      </w:pPr>
      <w:r>
        <w:rPr>
          <w:rFonts w:hint="eastAsia" w:ascii="微软雅黑" w:hAnsi="微软雅黑" w:cs="微软雅黑"/>
          <w:bCs/>
          <w:color w:val="auto"/>
          <w:szCs w:val="21"/>
          <w:highlight w:val="none"/>
          <w:lang w:bidi="ar"/>
        </w:rPr>
        <w:t>23.1合同未尽事项见</w:t>
      </w:r>
      <w:r>
        <w:rPr>
          <w:rFonts w:hint="eastAsia" w:ascii="微软雅黑" w:hAnsi="微软雅黑" w:cs="微软雅黑"/>
          <w:b/>
          <w:color w:val="auto"/>
          <w:szCs w:val="21"/>
          <w:highlight w:val="none"/>
          <w:lang w:bidi="ar"/>
        </w:rPr>
        <w:t>【政府采购合同专用条款】</w:t>
      </w:r>
      <w:r>
        <w:rPr>
          <w:rFonts w:hint="eastAsia" w:ascii="微软雅黑" w:hAnsi="微软雅黑" w:cs="微软雅黑"/>
          <w:bCs/>
          <w:color w:val="auto"/>
          <w:szCs w:val="21"/>
          <w:highlight w:val="none"/>
          <w:lang w:bidi="ar"/>
        </w:rPr>
        <w:t>。</w:t>
      </w:r>
    </w:p>
    <w:p w14:paraId="41A63032">
      <w:pPr>
        <w:adjustRightInd w:val="0"/>
        <w:snapToGrid w:val="0"/>
        <w:spacing w:line="400" w:lineRule="exact"/>
        <w:ind w:firstLine="420"/>
        <w:rPr>
          <w:rFonts w:ascii="微软雅黑" w:hAnsi="微软雅黑" w:cs="微软雅黑"/>
          <w:color w:val="auto"/>
          <w:szCs w:val="21"/>
          <w:highlight w:val="none"/>
        </w:rPr>
      </w:pPr>
      <w:r>
        <w:rPr>
          <w:rFonts w:hint="eastAsia" w:ascii="微软雅黑" w:hAnsi="微软雅黑" w:cs="微软雅黑"/>
          <w:bCs/>
          <w:color w:val="auto"/>
          <w:szCs w:val="21"/>
          <w:highlight w:val="none"/>
          <w:lang w:bidi="ar"/>
        </w:rPr>
        <w:t xml:space="preserve">    23.2 合同附件与合同正文具有同等的法律效力。</w:t>
      </w:r>
      <w:bookmarkStart w:id="176" w:name="_Toc20313"/>
    </w:p>
    <w:p w14:paraId="1F93CD66">
      <w:pPr>
        <w:adjustRightInd w:val="0"/>
        <w:snapToGrid w:val="0"/>
        <w:ind w:firstLine="420"/>
        <w:jc w:val="center"/>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br w:type="page"/>
      </w:r>
    </w:p>
    <w:p w14:paraId="043B96BA">
      <w:pPr>
        <w:pStyle w:val="3"/>
        <w:widowControl/>
        <w:ind w:firstLine="420"/>
        <w:jc w:val="center"/>
        <w:rPr>
          <w:rFonts w:ascii="微软雅黑" w:hAnsi="微软雅黑" w:cs="微软雅黑"/>
          <w:b w:val="0"/>
          <w:color w:val="auto"/>
          <w:highlight w:val="none"/>
        </w:rPr>
      </w:pPr>
      <w:r>
        <w:rPr>
          <w:rFonts w:hint="eastAsia" w:ascii="微软雅黑" w:hAnsi="微软雅黑" w:cs="微软雅黑"/>
          <w:b w:val="0"/>
          <w:color w:val="auto"/>
          <w:highlight w:val="none"/>
        </w:rPr>
        <w:t>第三节 政府采购合同专用条款</w:t>
      </w:r>
      <w:bookmarkEnd w:id="176"/>
    </w:p>
    <w:tbl>
      <w:tblPr>
        <w:tblStyle w:val="52"/>
        <w:tblW w:w="9283" w:type="dxa"/>
        <w:tblInd w:w="0"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750"/>
        <w:gridCol w:w="1898"/>
        <w:gridCol w:w="5635"/>
      </w:tblGrid>
      <w:tr w14:paraId="261D6B7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50" w:type="dxa"/>
            <w:tcBorders>
              <w:top w:val="double" w:color="auto" w:sz="4" w:space="0"/>
              <w:left w:val="double" w:color="auto" w:sz="4" w:space="0"/>
              <w:bottom w:val="single" w:color="auto" w:sz="6" w:space="0"/>
              <w:right w:val="single" w:color="auto" w:sz="6" w:space="0"/>
            </w:tcBorders>
            <w:shd w:val="clear" w:color="auto" w:fill="auto"/>
            <w:vAlign w:val="center"/>
          </w:tcPr>
          <w:p w14:paraId="7D121AC9">
            <w:pPr>
              <w:adjustRightInd w:val="0"/>
              <w:snapToGrid w:val="0"/>
              <w:spacing w:after="0" w:line="240" w:lineRule="auto"/>
              <w:ind w:firstLine="0" w:firstLineChars="0"/>
              <w:jc w:val="center"/>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第二节</w:t>
            </w:r>
          </w:p>
          <w:p w14:paraId="3A9A7A38">
            <w:pPr>
              <w:adjustRightInd w:val="0"/>
              <w:snapToGrid w:val="0"/>
              <w:spacing w:after="0" w:line="240" w:lineRule="auto"/>
              <w:ind w:firstLine="0" w:firstLineChars="0"/>
              <w:jc w:val="center"/>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第1.2（6）项</w:t>
            </w:r>
          </w:p>
        </w:tc>
        <w:tc>
          <w:tcPr>
            <w:tcW w:w="1898" w:type="dxa"/>
            <w:tcBorders>
              <w:top w:val="double" w:color="auto" w:sz="4" w:space="0"/>
              <w:left w:val="single" w:color="auto" w:sz="6" w:space="0"/>
              <w:bottom w:val="single" w:color="auto" w:sz="6" w:space="0"/>
              <w:right w:val="single" w:color="auto" w:sz="6" w:space="0"/>
            </w:tcBorders>
            <w:shd w:val="clear" w:color="auto" w:fill="auto"/>
            <w:vAlign w:val="center"/>
          </w:tcPr>
          <w:p w14:paraId="534F9115">
            <w:pPr>
              <w:adjustRightInd w:val="0"/>
              <w:snapToGrid w:val="0"/>
              <w:spacing w:after="0" w:line="240" w:lineRule="auto"/>
              <w:ind w:firstLine="0" w:firstLineChars="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联合体具体要求</w:t>
            </w:r>
          </w:p>
        </w:tc>
        <w:tc>
          <w:tcPr>
            <w:tcW w:w="5635" w:type="dxa"/>
            <w:tcBorders>
              <w:top w:val="double" w:color="auto" w:sz="4" w:space="0"/>
              <w:left w:val="single" w:color="auto" w:sz="6" w:space="0"/>
              <w:bottom w:val="single" w:color="auto" w:sz="6" w:space="0"/>
              <w:right w:val="double" w:color="auto" w:sz="4" w:space="0"/>
            </w:tcBorders>
            <w:shd w:val="clear" w:color="auto" w:fill="auto"/>
            <w:vAlign w:val="center"/>
          </w:tcPr>
          <w:p w14:paraId="2E7DAB32">
            <w:pPr>
              <w:adjustRightInd w:val="0"/>
              <w:snapToGrid w:val="0"/>
              <w:spacing w:after="0" w:line="240" w:lineRule="auto"/>
              <w:ind w:firstLine="0" w:firstLineChars="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w:t>
            </w:r>
          </w:p>
        </w:tc>
      </w:tr>
      <w:tr w14:paraId="60375D1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trPr>
        <w:tc>
          <w:tcPr>
            <w:tcW w:w="1750" w:type="dxa"/>
            <w:tcBorders>
              <w:top w:val="single" w:color="auto" w:sz="6" w:space="0"/>
              <w:left w:val="double" w:color="auto" w:sz="4" w:space="0"/>
              <w:bottom w:val="single" w:color="auto" w:sz="6" w:space="0"/>
              <w:right w:val="single" w:color="auto" w:sz="6" w:space="0"/>
            </w:tcBorders>
            <w:shd w:val="clear" w:color="auto" w:fill="auto"/>
            <w:vAlign w:val="center"/>
          </w:tcPr>
          <w:p w14:paraId="51B086F3">
            <w:pPr>
              <w:adjustRightInd w:val="0"/>
              <w:snapToGrid w:val="0"/>
              <w:spacing w:after="0" w:line="240" w:lineRule="auto"/>
              <w:ind w:firstLine="0" w:firstLineChars="0"/>
              <w:jc w:val="center"/>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第二节</w:t>
            </w:r>
          </w:p>
          <w:p w14:paraId="7C36067E">
            <w:pPr>
              <w:adjustRightInd w:val="0"/>
              <w:snapToGrid w:val="0"/>
              <w:spacing w:after="0" w:line="240" w:lineRule="auto"/>
              <w:ind w:firstLine="0" w:firstLineChars="0"/>
              <w:jc w:val="center"/>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第1.2（7）项</w:t>
            </w:r>
          </w:p>
        </w:tc>
        <w:tc>
          <w:tcPr>
            <w:tcW w:w="1898" w:type="dxa"/>
            <w:tcBorders>
              <w:top w:val="single" w:color="auto" w:sz="6" w:space="0"/>
              <w:left w:val="single" w:color="auto" w:sz="6" w:space="0"/>
              <w:bottom w:val="single" w:color="auto" w:sz="6" w:space="0"/>
              <w:right w:val="single" w:color="auto" w:sz="6" w:space="0"/>
            </w:tcBorders>
            <w:shd w:val="clear" w:color="auto" w:fill="auto"/>
            <w:vAlign w:val="center"/>
          </w:tcPr>
          <w:p w14:paraId="3FA41765">
            <w:pPr>
              <w:adjustRightInd w:val="0"/>
              <w:snapToGrid w:val="0"/>
              <w:spacing w:after="0" w:line="240" w:lineRule="auto"/>
              <w:ind w:firstLine="0" w:firstLineChars="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其他术语解释</w:t>
            </w:r>
          </w:p>
        </w:tc>
        <w:tc>
          <w:tcPr>
            <w:tcW w:w="5635" w:type="dxa"/>
            <w:tcBorders>
              <w:top w:val="single" w:color="auto" w:sz="6" w:space="0"/>
              <w:left w:val="single" w:color="auto" w:sz="6" w:space="0"/>
              <w:bottom w:val="single" w:color="auto" w:sz="6" w:space="0"/>
              <w:right w:val="double" w:color="auto" w:sz="4" w:space="0"/>
            </w:tcBorders>
            <w:shd w:val="clear" w:color="auto" w:fill="auto"/>
            <w:vAlign w:val="center"/>
          </w:tcPr>
          <w:p w14:paraId="15224ED7">
            <w:pPr>
              <w:adjustRightInd w:val="0"/>
              <w:snapToGrid w:val="0"/>
              <w:spacing w:after="0" w:line="240" w:lineRule="auto"/>
              <w:ind w:firstLine="0" w:firstLineChars="0"/>
              <w:rPr>
                <w:rFonts w:ascii="微软雅黑" w:hAnsi="微软雅黑" w:cs="微软雅黑"/>
                <w:color w:val="auto"/>
                <w:szCs w:val="21"/>
                <w:highlight w:val="none"/>
              </w:rPr>
            </w:pPr>
          </w:p>
        </w:tc>
      </w:tr>
      <w:tr w14:paraId="378D029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50" w:type="dxa"/>
            <w:tcBorders>
              <w:top w:val="single" w:color="auto" w:sz="6" w:space="0"/>
              <w:left w:val="double" w:color="auto" w:sz="4" w:space="0"/>
              <w:bottom w:val="single" w:color="auto" w:sz="6" w:space="0"/>
              <w:right w:val="single" w:color="auto" w:sz="6" w:space="0"/>
            </w:tcBorders>
            <w:shd w:val="clear" w:color="auto" w:fill="auto"/>
            <w:vAlign w:val="center"/>
          </w:tcPr>
          <w:p w14:paraId="46FAB357">
            <w:pPr>
              <w:adjustRightInd w:val="0"/>
              <w:snapToGrid w:val="0"/>
              <w:spacing w:after="0" w:line="240" w:lineRule="auto"/>
              <w:ind w:firstLine="0" w:firstLineChars="0"/>
              <w:jc w:val="center"/>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第二节</w:t>
            </w:r>
          </w:p>
          <w:p w14:paraId="1ABED9BD">
            <w:pPr>
              <w:adjustRightInd w:val="0"/>
              <w:snapToGrid w:val="0"/>
              <w:spacing w:after="0" w:line="240" w:lineRule="auto"/>
              <w:ind w:firstLine="0" w:firstLineChars="0"/>
              <w:jc w:val="center"/>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第4.4款</w:t>
            </w:r>
          </w:p>
        </w:tc>
        <w:tc>
          <w:tcPr>
            <w:tcW w:w="1898" w:type="dxa"/>
            <w:tcBorders>
              <w:top w:val="single" w:color="auto" w:sz="6" w:space="0"/>
              <w:left w:val="single" w:color="auto" w:sz="6" w:space="0"/>
              <w:bottom w:val="single" w:color="auto" w:sz="6" w:space="0"/>
              <w:right w:val="single" w:color="auto" w:sz="6" w:space="0"/>
            </w:tcBorders>
            <w:shd w:val="clear" w:color="auto" w:fill="auto"/>
            <w:vAlign w:val="center"/>
          </w:tcPr>
          <w:p w14:paraId="26B3E5ED">
            <w:pPr>
              <w:adjustRightInd w:val="0"/>
              <w:snapToGrid w:val="0"/>
              <w:spacing w:after="0" w:line="240" w:lineRule="auto"/>
              <w:ind w:firstLine="0" w:firstLineChars="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履约验收中甲方提出异议或作出说明的期限</w:t>
            </w:r>
          </w:p>
        </w:tc>
        <w:tc>
          <w:tcPr>
            <w:tcW w:w="5635" w:type="dxa"/>
            <w:tcBorders>
              <w:top w:val="single" w:color="auto" w:sz="6" w:space="0"/>
              <w:left w:val="single" w:color="auto" w:sz="6" w:space="0"/>
              <w:bottom w:val="single" w:color="auto" w:sz="6" w:space="0"/>
              <w:right w:val="double" w:color="auto" w:sz="4" w:space="0"/>
            </w:tcBorders>
            <w:shd w:val="clear" w:color="auto" w:fill="auto"/>
            <w:vAlign w:val="center"/>
          </w:tcPr>
          <w:p w14:paraId="5E888CC3">
            <w:pPr>
              <w:adjustRightInd w:val="0"/>
              <w:snapToGrid w:val="0"/>
              <w:spacing w:after="0" w:line="240" w:lineRule="auto"/>
              <w:ind w:firstLine="0" w:firstLineChars="0"/>
              <w:rPr>
                <w:rFonts w:ascii="微软雅黑" w:hAnsi="微软雅黑" w:cs="微软雅黑"/>
                <w:color w:val="auto"/>
                <w:szCs w:val="21"/>
                <w:highlight w:val="none"/>
              </w:rPr>
            </w:pPr>
          </w:p>
        </w:tc>
      </w:tr>
      <w:tr w14:paraId="6CA2393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50" w:type="dxa"/>
            <w:tcBorders>
              <w:top w:val="single" w:color="auto" w:sz="6" w:space="0"/>
              <w:left w:val="double" w:color="auto" w:sz="4" w:space="0"/>
              <w:bottom w:val="single" w:color="auto" w:sz="6" w:space="0"/>
              <w:right w:val="single" w:color="auto" w:sz="6" w:space="0"/>
            </w:tcBorders>
            <w:shd w:val="clear" w:color="auto" w:fill="auto"/>
            <w:vAlign w:val="center"/>
          </w:tcPr>
          <w:p w14:paraId="37A9F87C">
            <w:pPr>
              <w:adjustRightInd w:val="0"/>
              <w:snapToGrid w:val="0"/>
              <w:spacing w:after="0" w:line="240" w:lineRule="auto"/>
              <w:ind w:firstLine="0" w:firstLineChars="0"/>
              <w:jc w:val="center"/>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第二节</w:t>
            </w:r>
          </w:p>
          <w:p w14:paraId="0EAE7069">
            <w:pPr>
              <w:adjustRightInd w:val="0"/>
              <w:snapToGrid w:val="0"/>
              <w:spacing w:after="0" w:line="240" w:lineRule="auto"/>
              <w:ind w:firstLine="0" w:firstLineChars="0"/>
              <w:jc w:val="center"/>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第4.6款</w:t>
            </w:r>
          </w:p>
        </w:tc>
        <w:tc>
          <w:tcPr>
            <w:tcW w:w="1898" w:type="dxa"/>
            <w:tcBorders>
              <w:top w:val="single" w:color="auto" w:sz="6" w:space="0"/>
              <w:left w:val="single" w:color="auto" w:sz="6" w:space="0"/>
              <w:bottom w:val="single" w:color="auto" w:sz="6" w:space="0"/>
              <w:right w:val="single" w:color="auto" w:sz="6" w:space="0"/>
            </w:tcBorders>
            <w:shd w:val="clear" w:color="auto" w:fill="auto"/>
            <w:vAlign w:val="center"/>
          </w:tcPr>
          <w:p w14:paraId="551B2AEF">
            <w:pPr>
              <w:adjustRightInd w:val="0"/>
              <w:snapToGrid w:val="0"/>
              <w:spacing w:after="0" w:line="240" w:lineRule="auto"/>
              <w:ind w:firstLine="0" w:firstLineChars="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约定甲方承担的其他义务和责任</w:t>
            </w:r>
          </w:p>
        </w:tc>
        <w:tc>
          <w:tcPr>
            <w:tcW w:w="5635" w:type="dxa"/>
            <w:tcBorders>
              <w:top w:val="single" w:color="auto" w:sz="6" w:space="0"/>
              <w:left w:val="single" w:color="auto" w:sz="6" w:space="0"/>
              <w:bottom w:val="single" w:color="auto" w:sz="6" w:space="0"/>
              <w:right w:val="double" w:color="auto" w:sz="4" w:space="0"/>
            </w:tcBorders>
            <w:shd w:val="clear" w:color="auto" w:fill="auto"/>
            <w:vAlign w:val="center"/>
          </w:tcPr>
          <w:p w14:paraId="0E4AF4E9">
            <w:pPr>
              <w:adjustRightInd w:val="0"/>
              <w:snapToGrid w:val="0"/>
              <w:spacing w:after="0" w:line="240" w:lineRule="auto"/>
              <w:ind w:firstLine="0" w:firstLineChars="0"/>
              <w:rPr>
                <w:rFonts w:ascii="微软雅黑" w:hAnsi="微软雅黑" w:cs="微软雅黑"/>
                <w:color w:val="auto"/>
                <w:szCs w:val="21"/>
                <w:highlight w:val="none"/>
              </w:rPr>
            </w:pPr>
          </w:p>
        </w:tc>
      </w:tr>
      <w:tr w14:paraId="43F7260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50" w:type="dxa"/>
            <w:tcBorders>
              <w:top w:val="single" w:color="auto" w:sz="6" w:space="0"/>
              <w:left w:val="double" w:color="auto" w:sz="4" w:space="0"/>
              <w:bottom w:val="single" w:color="auto" w:sz="6" w:space="0"/>
              <w:right w:val="single" w:color="auto" w:sz="6" w:space="0"/>
            </w:tcBorders>
            <w:shd w:val="clear" w:color="auto" w:fill="auto"/>
            <w:vAlign w:val="center"/>
          </w:tcPr>
          <w:p w14:paraId="26796053">
            <w:pPr>
              <w:adjustRightInd w:val="0"/>
              <w:snapToGrid w:val="0"/>
              <w:spacing w:after="0" w:line="240" w:lineRule="auto"/>
              <w:ind w:firstLine="0" w:firstLineChars="0"/>
              <w:jc w:val="center"/>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第二节</w:t>
            </w:r>
          </w:p>
          <w:p w14:paraId="1971214D">
            <w:pPr>
              <w:snapToGrid w:val="0"/>
              <w:spacing w:after="0" w:line="240" w:lineRule="auto"/>
              <w:ind w:firstLine="0" w:firstLineChars="0"/>
              <w:jc w:val="center"/>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第5.4款</w:t>
            </w:r>
          </w:p>
        </w:tc>
        <w:tc>
          <w:tcPr>
            <w:tcW w:w="1898" w:type="dxa"/>
            <w:tcBorders>
              <w:top w:val="single" w:color="auto" w:sz="6" w:space="0"/>
              <w:left w:val="single" w:color="auto" w:sz="6" w:space="0"/>
              <w:bottom w:val="single" w:color="auto" w:sz="6" w:space="0"/>
              <w:right w:val="single" w:color="auto" w:sz="6" w:space="0"/>
            </w:tcBorders>
            <w:shd w:val="clear" w:color="auto" w:fill="auto"/>
            <w:vAlign w:val="center"/>
          </w:tcPr>
          <w:p w14:paraId="241755F3">
            <w:pPr>
              <w:adjustRightInd w:val="0"/>
              <w:snapToGrid w:val="0"/>
              <w:spacing w:after="0" w:line="240" w:lineRule="auto"/>
              <w:ind w:firstLine="0" w:firstLineChars="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约定乙方承担的其他义务和责任</w:t>
            </w:r>
          </w:p>
        </w:tc>
        <w:tc>
          <w:tcPr>
            <w:tcW w:w="5635" w:type="dxa"/>
            <w:tcBorders>
              <w:top w:val="single" w:color="auto" w:sz="6" w:space="0"/>
              <w:left w:val="single" w:color="auto" w:sz="6" w:space="0"/>
              <w:bottom w:val="single" w:color="auto" w:sz="6" w:space="0"/>
              <w:right w:val="double" w:color="auto" w:sz="4" w:space="0"/>
            </w:tcBorders>
            <w:shd w:val="clear" w:color="auto" w:fill="auto"/>
            <w:vAlign w:val="center"/>
          </w:tcPr>
          <w:p w14:paraId="2E490FFD">
            <w:pPr>
              <w:adjustRightInd w:val="0"/>
              <w:snapToGrid w:val="0"/>
              <w:spacing w:after="0" w:line="240" w:lineRule="auto"/>
              <w:ind w:firstLine="0" w:firstLineChars="0"/>
              <w:rPr>
                <w:rFonts w:ascii="微软雅黑" w:hAnsi="微软雅黑" w:cs="微软雅黑"/>
                <w:color w:val="auto"/>
                <w:szCs w:val="21"/>
                <w:highlight w:val="none"/>
              </w:rPr>
            </w:pPr>
          </w:p>
        </w:tc>
      </w:tr>
      <w:tr w14:paraId="1767306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50" w:type="dxa"/>
            <w:tcBorders>
              <w:top w:val="single" w:color="auto" w:sz="6" w:space="0"/>
              <w:left w:val="double" w:color="auto" w:sz="4" w:space="0"/>
              <w:bottom w:val="single" w:color="auto" w:sz="6" w:space="0"/>
              <w:right w:val="single" w:color="auto" w:sz="6" w:space="0"/>
            </w:tcBorders>
            <w:shd w:val="clear" w:color="auto" w:fill="auto"/>
            <w:vAlign w:val="center"/>
          </w:tcPr>
          <w:p w14:paraId="7B7B3242">
            <w:pPr>
              <w:adjustRightInd w:val="0"/>
              <w:snapToGrid w:val="0"/>
              <w:spacing w:after="0" w:line="240" w:lineRule="auto"/>
              <w:ind w:firstLine="0" w:firstLineChars="0"/>
              <w:jc w:val="center"/>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第二节</w:t>
            </w:r>
          </w:p>
          <w:p w14:paraId="40440C02">
            <w:pPr>
              <w:snapToGrid w:val="0"/>
              <w:spacing w:after="0" w:line="240" w:lineRule="auto"/>
              <w:ind w:firstLine="0" w:firstLineChars="0"/>
              <w:jc w:val="center"/>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第6.1款</w:t>
            </w:r>
          </w:p>
        </w:tc>
        <w:tc>
          <w:tcPr>
            <w:tcW w:w="1898" w:type="dxa"/>
            <w:tcBorders>
              <w:top w:val="single" w:color="auto" w:sz="6" w:space="0"/>
              <w:left w:val="single" w:color="auto" w:sz="6" w:space="0"/>
              <w:bottom w:val="single" w:color="auto" w:sz="6" w:space="0"/>
              <w:right w:val="single" w:color="auto" w:sz="6" w:space="0"/>
            </w:tcBorders>
            <w:shd w:val="clear" w:color="auto" w:fill="auto"/>
            <w:vAlign w:val="center"/>
          </w:tcPr>
          <w:p w14:paraId="0D8D7049">
            <w:pPr>
              <w:adjustRightInd w:val="0"/>
              <w:snapToGrid w:val="0"/>
              <w:spacing w:after="0" w:line="240" w:lineRule="auto"/>
              <w:ind w:firstLine="0" w:firstLineChars="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履行合同义务的顺序</w:t>
            </w:r>
          </w:p>
        </w:tc>
        <w:tc>
          <w:tcPr>
            <w:tcW w:w="5635" w:type="dxa"/>
            <w:tcBorders>
              <w:top w:val="single" w:color="auto" w:sz="6" w:space="0"/>
              <w:left w:val="single" w:color="auto" w:sz="6" w:space="0"/>
              <w:bottom w:val="single" w:color="auto" w:sz="6" w:space="0"/>
              <w:right w:val="double" w:color="auto" w:sz="4" w:space="0"/>
            </w:tcBorders>
            <w:shd w:val="clear" w:color="auto" w:fill="auto"/>
            <w:vAlign w:val="center"/>
          </w:tcPr>
          <w:p w14:paraId="061965E8">
            <w:pPr>
              <w:adjustRightInd w:val="0"/>
              <w:snapToGrid w:val="0"/>
              <w:spacing w:after="0" w:line="240" w:lineRule="auto"/>
              <w:ind w:firstLine="0" w:firstLineChars="0"/>
              <w:rPr>
                <w:rFonts w:ascii="微软雅黑" w:hAnsi="微软雅黑" w:cs="微软雅黑"/>
                <w:color w:val="auto"/>
                <w:szCs w:val="21"/>
                <w:highlight w:val="none"/>
              </w:rPr>
            </w:pPr>
          </w:p>
        </w:tc>
      </w:tr>
      <w:tr w14:paraId="06AC51F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750" w:type="dxa"/>
            <w:vMerge w:val="restart"/>
            <w:tcBorders>
              <w:top w:val="single" w:color="auto" w:sz="6" w:space="0"/>
              <w:left w:val="double" w:color="auto" w:sz="4" w:space="0"/>
              <w:bottom w:val="single" w:color="auto" w:sz="6" w:space="0"/>
              <w:right w:val="single" w:color="auto" w:sz="6" w:space="0"/>
            </w:tcBorders>
            <w:shd w:val="clear" w:color="auto" w:fill="auto"/>
            <w:vAlign w:val="center"/>
          </w:tcPr>
          <w:p w14:paraId="6CB89EF4">
            <w:pPr>
              <w:adjustRightInd w:val="0"/>
              <w:snapToGrid w:val="0"/>
              <w:spacing w:after="0" w:line="240" w:lineRule="auto"/>
              <w:ind w:firstLine="0" w:firstLineChars="0"/>
              <w:jc w:val="center"/>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第二节</w:t>
            </w:r>
          </w:p>
          <w:p w14:paraId="01B6F80C">
            <w:pPr>
              <w:adjustRightInd w:val="0"/>
              <w:snapToGrid w:val="0"/>
              <w:spacing w:after="0" w:line="240" w:lineRule="auto"/>
              <w:ind w:firstLine="0" w:firstLineChars="0"/>
              <w:jc w:val="center"/>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第7.1款</w:t>
            </w:r>
          </w:p>
        </w:tc>
        <w:tc>
          <w:tcPr>
            <w:tcW w:w="1898" w:type="dxa"/>
            <w:tcBorders>
              <w:top w:val="single" w:color="auto" w:sz="6" w:space="0"/>
              <w:left w:val="single" w:color="auto" w:sz="6" w:space="0"/>
              <w:bottom w:val="single" w:color="auto" w:sz="6" w:space="0"/>
              <w:right w:val="single" w:color="auto" w:sz="6" w:space="0"/>
            </w:tcBorders>
            <w:shd w:val="clear" w:color="auto" w:fill="auto"/>
            <w:vAlign w:val="center"/>
          </w:tcPr>
          <w:p w14:paraId="63568C25">
            <w:pPr>
              <w:adjustRightInd w:val="0"/>
              <w:snapToGrid w:val="0"/>
              <w:spacing w:after="0" w:line="240" w:lineRule="auto"/>
              <w:ind w:firstLine="0" w:firstLineChars="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包装特殊要求</w:t>
            </w:r>
          </w:p>
        </w:tc>
        <w:tc>
          <w:tcPr>
            <w:tcW w:w="5635" w:type="dxa"/>
            <w:tcBorders>
              <w:top w:val="single" w:color="auto" w:sz="6" w:space="0"/>
              <w:left w:val="single" w:color="auto" w:sz="6" w:space="0"/>
              <w:bottom w:val="single" w:color="auto" w:sz="6" w:space="0"/>
              <w:right w:val="double" w:color="auto" w:sz="4" w:space="0"/>
            </w:tcBorders>
            <w:shd w:val="clear" w:color="auto" w:fill="auto"/>
            <w:vAlign w:val="center"/>
          </w:tcPr>
          <w:p w14:paraId="0A4B5298">
            <w:pPr>
              <w:spacing w:after="0" w:line="240" w:lineRule="auto"/>
              <w:ind w:firstLine="0" w:firstLineChars="0"/>
              <w:rPr>
                <w:rFonts w:ascii="微软雅黑" w:hAnsi="微软雅黑" w:cs="微软雅黑"/>
                <w:color w:val="auto"/>
                <w:szCs w:val="21"/>
                <w:highlight w:val="none"/>
              </w:rPr>
            </w:pPr>
          </w:p>
        </w:tc>
      </w:tr>
      <w:tr w14:paraId="1710EA5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750" w:type="dxa"/>
            <w:vMerge w:val="continue"/>
            <w:tcBorders>
              <w:top w:val="single" w:color="auto" w:sz="6" w:space="0"/>
              <w:left w:val="double" w:color="auto" w:sz="4" w:space="0"/>
              <w:bottom w:val="single" w:color="auto" w:sz="6" w:space="0"/>
              <w:right w:val="single" w:color="auto" w:sz="6" w:space="0"/>
            </w:tcBorders>
            <w:shd w:val="clear" w:color="auto" w:fill="auto"/>
            <w:vAlign w:val="center"/>
          </w:tcPr>
          <w:p w14:paraId="1BD0FB73">
            <w:pPr>
              <w:spacing w:after="0" w:line="240" w:lineRule="auto"/>
              <w:ind w:firstLine="0" w:firstLineChars="0"/>
              <w:rPr>
                <w:rFonts w:ascii="微软雅黑" w:hAnsi="微软雅黑" w:cs="微软雅黑"/>
                <w:color w:val="auto"/>
                <w:sz w:val="20"/>
                <w:szCs w:val="20"/>
                <w:highlight w:val="none"/>
              </w:rPr>
            </w:pPr>
          </w:p>
        </w:tc>
        <w:tc>
          <w:tcPr>
            <w:tcW w:w="1898" w:type="dxa"/>
            <w:tcBorders>
              <w:top w:val="single" w:color="auto" w:sz="6" w:space="0"/>
              <w:left w:val="single" w:color="auto" w:sz="6" w:space="0"/>
              <w:bottom w:val="single" w:color="auto" w:sz="6" w:space="0"/>
              <w:right w:val="single" w:color="auto" w:sz="6" w:space="0"/>
            </w:tcBorders>
            <w:shd w:val="clear" w:color="auto" w:fill="auto"/>
            <w:vAlign w:val="center"/>
          </w:tcPr>
          <w:p w14:paraId="3B4B1D48">
            <w:pPr>
              <w:adjustRightInd w:val="0"/>
              <w:snapToGrid w:val="0"/>
              <w:spacing w:after="0" w:line="240" w:lineRule="auto"/>
              <w:ind w:firstLine="0" w:firstLineChars="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指定现场</w:t>
            </w:r>
          </w:p>
        </w:tc>
        <w:tc>
          <w:tcPr>
            <w:tcW w:w="5635" w:type="dxa"/>
            <w:tcBorders>
              <w:top w:val="single" w:color="auto" w:sz="6" w:space="0"/>
              <w:left w:val="single" w:color="auto" w:sz="6" w:space="0"/>
              <w:bottom w:val="single" w:color="auto" w:sz="6" w:space="0"/>
              <w:right w:val="double" w:color="auto" w:sz="4" w:space="0"/>
            </w:tcBorders>
            <w:shd w:val="clear" w:color="auto" w:fill="auto"/>
            <w:vAlign w:val="center"/>
          </w:tcPr>
          <w:p w14:paraId="4BAF16F7">
            <w:pPr>
              <w:spacing w:after="0" w:line="240" w:lineRule="auto"/>
              <w:ind w:firstLine="0" w:firstLineChars="0"/>
              <w:rPr>
                <w:rFonts w:ascii="微软雅黑" w:hAnsi="微软雅黑" w:cs="微软雅黑"/>
                <w:color w:val="auto"/>
                <w:szCs w:val="21"/>
                <w:highlight w:val="none"/>
              </w:rPr>
            </w:pPr>
          </w:p>
        </w:tc>
      </w:tr>
      <w:tr w14:paraId="7BB3A36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2" w:hRule="atLeast"/>
        </w:trPr>
        <w:tc>
          <w:tcPr>
            <w:tcW w:w="1750" w:type="dxa"/>
            <w:tcBorders>
              <w:top w:val="single" w:color="auto" w:sz="6" w:space="0"/>
              <w:left w:val="double" w:color="auto" w:sz="4" w:space="0"/>
              <w:bottom w:val="single" w:color="auto" w:sz="6" w:space="0"/>
              <w:right w:val="single" w:color="auto" w:sz="6" w:space="0"/>
            </w:tcBorders>
            <w:shd w:val="clear" w:color="auto" w:fill="auto"/>
            <w:vAlign w:val="center"/>
          </w:tcPr>
          <w:p w14:paraId="7EFA883B">
            <w:pPr>
              <w:adjustRightInd w:val="0"/>
              <w:snapToGrid w:val="0"/>
              <w:spacing w:after="0" w:line="240" w:lineRule="auto"/>
              <w:ind w:firstLine="0" w:firstLineChars="0"/>
              <w:jc w:val="center"/>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第二节</w:t>
            </w:r>
          </w:p>
          <w:p w14:paraId="6C4938F7">
            <w:pPr>
              <w:adjustRightInd w:val="0"/>
              <w:snapToGrid w:val="0"/>
              <w:spacing w:after="0" w:line="240" w:lineRule="auto"/>
              <w:ind w:firstLine="0" w:firstLineChars="0"/>
              <w:jc w:val="center"/>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第7.2款</w:t>
            </w:r>
          </w:p>
        </w:tc>
        <w:tc>
          <w:tcPr>
            <w:tcW w:w="1898" w:type="dxa"/>
            <w:tcBorders>
              <w:top w:val="single" w:color="auto" w:sz="6" w:space="0"/>
              <w:left w:val="single" w:color="auto" w:sz="6" w:space="0"/>
              <w:bottom w:val="single" w:color="auto" w:sz="6" w:space="0"/>
              <w:right w:val="single" w:color="auto" w:sz="6" w:space="0"/>
            </w:tcBorders>
            <w:shd w:val="clear" w:color="auto" w:fill="auto"/>
            <w:vAlign w:val="center"/>
          </w:tcPr>
          <w:p w14:paraId="501B4D8C">
            <w:pPr>
              <w:adjustRightInd w:val="0"/>
              <w:snapToGrid w:val="0"/>
              <w:spacing w:after="0" w:line="240" w:lineRule="auto"/>
              <w:ind w:firstLine="0" w:firstLineChars="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运输特殊要求</w:t>
            </w:r>
          </w:p>
        </w:tc>
        <w:tc>
          <w:tcPr>
            <w:tcW w:w="5635" w:type="dxa"/>
            <w:tcBorders>
              <w:top w:val="single" w:color="auto" w:sz="6" w:space="0"/>
              <w:left w:val="single" w:color="auto" w:sz="6" w:space="0"/>
              <w:bottom w:val="single" w:color="auto" w:sz="6" w:space="0"/>
              <w:right w:val="double" w:color="auto" w:sz="4" w:space="0"/>
            </w:tcBorders>
            <w:shd w:val="clear" w:color="auto" w:fill="auto"/>
            <w:vAlign w:val="center"/>
          </w:tcPr>
          <w:p w14:paraId="427ACA67">
            <w:pPr>
              <w:spacing w:after="0" w:line="240" w:lineRule="auto"/>
              <w:ind w:firstLine="0" w:firstLineChars="0"/>
              <w:rPr>
                <w:rFonts w:ascii="微软雅黑" w:hAnsi="微软雅黑" w:cs="微软雅黑"/>
                <w:color w:val="auto"/>
                <w:szCs w:val="21"/>
                <w:highlight w:val="none"/>
              </w:rPr>
            </w:pPr>
          </w:p>
        </w:tc>
      </w:tr>
      <w:tr w14:paraId="4EACD82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750" w:type="dxa"/>
            <w:tcBorders>
              <w:top w:val="single" w:color="auto" w:sz="6" w:space="0"/>
              <w:left w:val="double" w:color="auto" w:sz="4" w:space="0"/>
              <w:bottom w:val="single" w:color="auto" w:sz="6" w:space="0"/>
              <w:right w:val="single" w:color="auto" w:sz="6" w:space="0"/>
            </w:tcBorders>
            <w:shd w:val="clear" w:color="auto" w:fill="auto"/>
            <w:vAlign w:val="center"/>
          </w:tcPr>
          <w:p w14:paraId="3590023B">
            <w:pPr>
              <w:adjustRightInd w:val="0"/>
              <w:snapToGrid w:val="0"/>
              <w:spacing w:after="0" w:line="240" w:lineRule="auto"/>
              <w:ind w:firstLine="0" w:firstLineChars="0"/>
              <w:jc w:val="center"/>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第二节</w:t>
            </w:r>
          </w:p>
          <w:p w14:paraId="70B24F3F">
            <w:pPr>
              <w:adjustRightInd w:val="0"/>
              <w:snapToGrid w:val="0"/>
              <w:spacing w:after="0" w:line="240" w:lineRule="auto"/>
              <w:ind w:firstLine="0" w:firstLineChars="0"/>
              <w:jc w:val="center"/>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第7.3款</w:t>
            </w:r>
          </w:p>
        </w:tc>
        <w:tc>
          <w:tcPr>
            <w:tcW w:w="1898" w:type="dxa"/>
            <w:tcBorders>
              <w:top w:val="single" w:color="auto" w:sz="6" w:space="0"/>
              <w:left w:val="single" w:color="auto" w:sz="6" w:space="0"/>
              <w:bottom w:val="single" w:color="auto" w:sz="6" w:space="0"/>
              <w:right w:val="single" w:color="auto" w:sz="6" w:space="0"/>
            </w:tcBorders>
            <w:shd w:val="clear" w:color="auto" w:fill="auto"/>
            <w:vAlign w:val="center"/>
          </w:tcPr>
          <w:p w14:paraId="03971E79">
            <w:pPr>
              <w:adjustRightInd w:val="0"/>
              <w:snapToGrid w:val="0"/>
              <w:spacing w:after="0" w:line="240" w:lineRule="auto"/>
              <w:ind w:firstLine="0" w:firstLineChars="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保险要求</w:t>
            </w:r>
          </w:p>
        </w:tc>
        <w:tc>
          <w:tcPr>
            <w:tcW w:w="5635" w:type="dxa"/>
            <w:tcBorders>
              <w:top w:val="single" w:color="auto" w:sz="6" w:space="0"/>
              <w:left w:val="single" w:color="auto" w:sz="6" w:space="0"/>
              <w:bottom w:val="single" w:color="auto" w:sz="6" w:space="0"/>
              <w:right w:val="double" w:color="auto" w:sz="4" w:space="0"/>
            </w:tcBorders>
            <w:shd w:val="clear" w:color="auto" w:fill="auto"/>
            <w:vAlign w:val="center"/>
          </w:tcPr>
          <w:p w14:paraId="5778C1BA">
            <w:pPr>
              <w:spacing w:after="0" w:line="240" w:lineRule="auto"/>
              <w:ind w:firstLine="0" w:firstLineChars="0"/>
              <w:rPr>
                <w:rFonts w:ascii="微软雅黑" w:hAnsi="微软雅黑" w:cs="微软雅黑"/>
                <w:color w:val="auto"/>
                <w:szCs w:val="21"/>
                <w:highlight w:val="none"/>
              </w:rPr>
            </w:pPr>
          </w:p>
        </w:tc>
      </w:tr>
      <w:tr w14:paraId="0661931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50" w:type="dxa"/>
            <w:tcBorders>
              <w:top w:val="single" w:color="auto" w:sz="6" w:space="0"/>
              <w:left w:val="double" w:color="auto" w:sz="4" w:space="0"/>
              <w:bottom w:val="single" w:color="auto" w:sz="6" w:space="0"/>
              <w:right w:val="single" w:color="auto" w:sz="6" w:space="0"/>
            </w:tcBorders>
            <w:shd w:val="clear" w:color="auto" w:fill="auto"/>
            <w:vAlign w:val="center"/>
          </w:tcPr>
          <w:p w14:paraId="57EC68D7">
            <w:pPr>
              <w:adjustRightInd w:val="0"/>
              <w:snapToGrid w:val="0"/>
              <w:spacing w:after="0" w:line="240" w:lineRule="auto"/>
              <w:ind w:firstLine="0" w:firstLineChars="0"/>
              <w:jc w:val="center"/>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第二节</w:t>
            </w:r>
          </w:p>
          <w:p w14:paraId="237EEDCD">
            <w:pPr>
              <w:adjustRightInd w:val="0"/>
              <w:snapToGrid w:val="0"/>
              <w:spacing w:after="0" w:line="240" w:lineRule="auto"/>
              <w:ind w:firstLine="0" w:firstLineChars="0"/>
              <w:jc w:val="center"/>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第8.2（1）项</w:t>
            </w:r>
          </w:p>
        </w:tc>
        <w:tc>
          <w:tcPr>
            <w:tcW w:w="1898" w:type="dxa"/>
            <w:tcBorders>
              <w:top w:val="single" w:color="auto" w:sz="6" w:space="0"/>
              <w:left w:val="single" w:color="auto" w:sz="6" w:space="0"/>
              <w:bottom w:val="single" w:color="auto" w:sz="6" w:space="0"/>
              <w:right w:val="single" w:color="auto" w:sz="6" w:space="0"/>
            </w:tcBorders>
            <w:shd w:val="clear" w:color="auto" w:fill="auto"/>
            <w:vAlign w:val="center"/>
          </w:tcPr>
          <w:p w14:paraId="5775A850">
            <w:pPr>
              <w:adjustRightInd w:val="0"/>
              <w:snapToGrid w:val="0"/>
              <w:spacing w:after="0" w:line="240" w:lineRule="auto"/>
              <w:ind w:firstLine="0" w:firstLineChars="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质量保证期</w:t>
            </w:r>
          </w:p>
        </w:tc>
        <w:tc>
          <w:tcPr>
            <w:tcW w:w="5635" w:type="dxa"/>
            <w:tcBorders>
              <w:top w:val="single" w:color="auto" w:sz="6" w:space="0"/>
              <w:left w:val="single" w:color="auto" w:sz="6" w:space="0"/>
              <w:bottom w:val="single" w:color="auto" w:sz="6" w:space="0"/>
              <w:right w:val="double" w:color="auto" w:sz="4" w:space="0"/>
            </w:tcBorders>
            <w:shd w:val="clear" w:color="auto" w:fill="auto"/>
            <w:vAlign w:val="center"/>
          </w:tcPr>
          <w:p w14:paraId="57C6F2E8">
            <w:pPr>
              <w:autoSpaceDE w:val="0"/>
              <w:autoSpaceDN w:val="0"/>
              <w:adjustRightInd w:val="0"/>
              <w:snapToGrid w:val="0"/>
              <w:spacing w:after="0" w:line="240" w:lineRule="auto"/>
              <w:ind w:firstLine="0" w:firstLineChars="0"/>
              <w:rPr>
                <w:rFonts w:ascii="微软雅黑" w:hAnsi="微软雅黑" w:cs="微软雅黑"/>
                <w:color w:val="auto"/>
                <w:szCs w:val="21"/>
                <w:highlight w:val="none"/>
              </w:rPr>
            </w:pPr>
          </w:p>
        </w:tc>
      </w:tr>
      <w:tr w14:paraId="27E319D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50" w:type="dxa"/>
            <w:tcBorders>
              <w:top w:val="single" w:color="auto" w:sz="6" w:space="0"/>
              <w:left w:val="double" w:color="auto" w:sz="4" w:space="0"/>
              <w:bottom w:val="single" w:color="auto" w:sz="6" w:space="0"/>
              <w:right w:val="single" w:color="auto" w:sz="6" w:space="0"/>
            </w:tcBorders>
            <w:shd w:val="clear" w:color="auto" w:fill="auto"/>
            <w:vAlign w:val="center"/>
          </w:tcPr>
          <w:p w14:paraId="68538C0D">
            <w:pPr>
              <w:adjustRightInd w:val="0"/>
              <w:snapToGrid w:val="0"/>
              <w:spacing w:after="0" w:line="240" w:lineRule="auto"/>
              <w:ind w:firstLine="0" w:firstLineChars="0"/>
              <w:jc w:val="center"/>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第二节</w:t>
            </w:r>
          </w:p>
          <w:p w14:paraId="6830B440">
            <w:pPr>
              <w:adjustRightInd w:val="0"/>
              <w:snapToGrid w:val="0"/>
              <w:spacing w:after="0" w:line="240" w:lineRule="auto"/>
              <w:ind w:firstLine="0" w:firstLineChars="0"/>
              <w:jc w:val="center"/>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第8.2（3）项</w:t>
            </w:r>
          </w:p>
        </w:tc>
        <w:tc>
          <w:tcPr>
            <w:tcW w:w="1898" w:type="dxa"/>
            <w:tcBorders>
              <w:top w:val="single" w:color="auto" w:sz="6" w:space="0"/>
              <w:left w:val="single" w:color="auto" w:sz="6" w:space="0"/>
              <w:bottom w:val="single" w:color="auto" w:sz="6" w:space="0"/>
              <w:right w:val="single" w:color="auto" w:sz="6" w:space="0"/>
            </w:tcBorders>
            <w:shd w:val="clear" w:color="auto" w:fill="auto"/>
            <w:vAlign w:val="center"/>
          </w:tcPr>
          <w:p w14:paraId="2F7FD9D0">
            <w:pPr>
              <w:adjustRightInd w:val="0"/>
              <w:snapToGrid w:val="0"/>
              <w:spacing w:after="0" w:line="240" w:lineRule="auto"/>
              <w:ind w:firstLine="0" w:firstLineChars="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货物质量缺陷</w:t>
            </w:r>
          </w:p>
          <w:p w14:paraId="56D3BCE1">
            <w:pPr>
              <w:adjustRightInd w:val="0"/>
              <w:snapToGrid w:val="0"/>
              <w:spacing w:after="0" w:line="240" w:lineRule="auto"/>
              <w:ind w:firstLine="0" w:firstLineChars="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响应时间</w:t>
            </w:r>
          </w:p>
        </w:tc>
        <w:tc>
          <w:tcPr>
            <w:tcW w:w="5635" w:type="dxa"/>
            <w:tcBorders>
              <w:top w:val="single" w:color="auto" w:sz="6" w:space="0"/>
              <w:left w:val="single" w:color="auto" w:sz="6" w:space="0"/>
              <w:bottom w:val="single" w:color="auto" w:sz="6" w:space="0"/>
              <w:right w:val="double" w:color="auto" w:sz="4" w:space="0"/>
            </w:tcBorders>
            <w:shd w:val="clear" w:color="auto" w:fill="auto"/>
            <w:vAlign w:val="center"/>
          </w:tcPr>
          <w:p w14:paraId="1401E60C">
            <w:pPr>
              <w:adjustRightInd w:val="0"/>
              <w:snapToGrid w:val="0"/>
              <w:spacing w:after="0" w:line="240" w:lineRule="auto"/>
              <w:ind w:firstLine="0" w:firstLineChars="0"/>
              <w:rPr>
                <w:rFonts w:ascii="微软雅黑" w:hAnsi="微软雅黑" w:cs="微软雅黑"/>
                <w:color w:val="auto"/>
                <w:szCs w:val="21"/>
                <w:highlight w:val="none"/>
              </w:rPr>
            </w:pPr>
          </w:p>
        </w:tc>
      </w:tr>
      <w:tr w14:paraId="0616BD3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50" w:type="dxa"/>
            <w:tcBorders>
              <w:top w:val="single" w:color="auto" w:sz="6" w:space="0"/>
              <w:left w:val="double" w:color="auto" w:sz="4" w:space="0"/>
              <w:bottom w:val="single" w:color="auto" w:sz="6" w:space="0"/>
              <w:right w:val="single" w:color="auto" w:sz="6" w:space="0"/>
            </w:tcBorders>
            <w:shd w:val="clear" w:color="auto" w:fill="auto"/>
            <w:vAlign w:val="center"/>
          </w:tcPr>
          <w:p w14:paraId="4E6287B9">
            <w:pPr>
              <w:snapToGrid w:val="0"/>
              <w:spacing w:after="0" w:line="240" w:lineRule="auto"/>
              <w:ind w:firstLine="0" w:firstLineChars="0"/>
              <w:jc w:val="center"/>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第二节</w:t>
            </w:r>
          </w:p>
          <w:p w14:paraId="34FD9668">
            <w:pPr>
              <w:pStyle w:val="307"/>
              <w:spacing w:after="0" w:line="240" w:lineRule="auto"/>
              <w:ind w:firstLine="0" w:firstLineChars="0"/>
              <w:jc w:val="center"/>
              <w:rPr>
                <w:rFonts w:ascii="微软雅黑" w:hAnsi="微软雅黑" w:eastAsia="微软雅黑" w:cs="微软雅黑"/>
                <w:color w:val="auto"/>
                <w:sz w:val="21"/>
                <w:highlight w:val="none"/>
              </w:rPr>
            </w:pPr>
            <w:r>
              <w:rPr>
                <w:rFonts w:hint="eastAsia" w:ascii="微软雅黑" w:hAnsi="微软雅黑" w:eastAsia="微软雅黑" w:cs="微软雅黑"/>
                <w:color w:val="auto"/>
                <w:sz w:val="21"/>
                <w:highlight w:val="none"/>
              </w:rPr>
              <w:t>第11.1款</w:t>
            </w:r>
          </w:p>
        </w:tc>
        <w:tc>
          <w:tcPr>
            <w:tcW w:w="1898" w:type="dxa"/>
            <w:tcBorders>
              <w:top w:val="single" w:color="auto" w:sz="6" w:space="0"/>
              <w:left w:val="single" w:color="auto" w:sz="6" w:space="0"/>
              <w:bottom w:val="single" w:color="auto" w:sz="6" w:space="0"/>
              <w:right w:val="single" w:color="auto" w:sz="6" w:space="0"/>
            </w:tcBorders>
            <w:shd w:val="clear" w:color="auto" w:fill="auto"/>
            <w:vAlign w:val="center"/>
          </w:tcPr>
          <w:p w14:paraId="7F7FD138">
            <w:pPr>
              <w:adjustRightInd w:val="0"/>
              <w:snapToGrid w:val="0"/>
              <w:spacing w:after="0" w:line="240" w:lineRule="auto"/>
              <w:ind w:firstLine="0" w:firstLineChars="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其他应当保密的信息</w:t>
            </w:r>
          </w:p>
        </w:tc>
        <w:tc>
          <w:tcPr>
            <w:tcW w:w="5635" w:type="dxa"/>
            <w:tcBorders>
              <w:top w:val="single" w:color="auto" w:sz="6" w:space="0"/>
              <w:left w:val="single" w:color="auto" w:sz="6" w:space="0"/>
              <w:bottom w:val="single" w:color="auto" w:sz="6" w:space="0"/>
              <w:right w:val="double" w:color="auto" w:sz="4" w:space="0"/>
            </w:tcBorders>
            <w:shd w:val="clear" w:color="auto" w:fill="auto"/>
            <w:vAlign w:val="center"/>
          </w:tcPr>
          <w:p w14:paraId="658A4F72">
            <w:pPr>
              <w:adjustRightInd w:val="0"/>
              <w:snapToGrid w:val="0"/>
              <w:spacing w:after="0" w:line="240" w:lineRule="auto"/>
              <w:ind w:firstLine="0" w:firstLineChars="0"/>
              <w:rPr>
                <w:rFonts w:ascii="微软雅黑" w:hAnsi="微软雅黑" w:cs="微软雅黑"/>
                <w:color w:val="auto"/>
                <w:szCs w:val="21"/>
                <w:highlight w:val="none"/>
              </w:rPr>
            </w:pPr>
          </w:p>
        </w:tc>
      </w:tr>
      <w:tr w14:paraId="3873FD8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750" w:type="dxa"/>
            <w:tcBorders>
              <w:top w:val="single" w:color="auto" w:sz="6" w:space="0"/>
              <w:left w:val="double" w:color="auto" w:sz="4" w:space="0"/>
              <w:bottom w:val="single" w:color="auto" w:sz="6" w:space="0"/>
              <w:right w:val="single" w:color="auto" w:sz="6" w:space="0"/>
            </w:tcBorders>
            <w:shd w:val="clear" w:color="auto" w:fill="auto"/>
            <w:vAlign w:val="center"/>
          </w:tcPr>
          <w:p w14:paraId="31663ABB">
            <w:pPr>
              <w:adjustRightInd w:val="0"/>
              <w:snapToGrid w:val="0"/>
              <w:spacing w:after="0" w:line="240" w:lineRule="auto"/>
              <w:ind w:firstLine="0" w:firstLineChars="0"/>
              <w:jc w:val="center"/>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第二节</w:t>
            </w:r>
          </w:p>
          <w:p w14:paraId="39E7D78C">
            <w:pPr>
              <w:adjustRightInd w:val="0"/>
              <w:snapToGrid w:val="0"/>
              <w:spacing w:after="0" w:line="240" w:lineRule="auto"/>
              <w:ind w:firstLine="0" w:firstLineChars="0"/>
              <w:jc w:val="center"/>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第12.2款</w:t>
            </w:r>
          </w:p>
        </w:tc>
        <w:tc>
          <w:tcPr>
            <w:tcW w:w="1898" w:type="dxa"/>
            <w:tcBorders>
              <w:top w:val="single" w:color="auto" w:sz="6" w:space="0"/>
              <w:left w:val="single" w:color="auto" w:sz="6" w:space="0"/>
              <w:bottom w:val="single" w:color="auto" w:sz="6" w:space="0"/>
              <w:right w:val="single" w:color="auto" w:sz="6" w:space="0"/>
            </w:tcBorders>
            <w:shd w:val="clear" w:color="auto" w:fill="auto"/>
            <w:vAlign w:val="center"/>
          </w:tcPr>
          <w:p w14:paraId="0E44F7DE">
            <w:pPr>
              <w:adjustRightInd w:val="0"/>
              <w:snapToGrid w:val="0"/>
              <w:spacing w:after="0" w:line="240" w:lineRule="auto"/>
              <w:ind w:firstLine="0" w:firstLineChars="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合同价款支付时间</w:t>
            </w:r>
          </w:p>
        </w:tc>
        <w:tc>
          <w:tcPr>
            <w:tcW w:w="5635" w:type="dxa"/>
            <w:tcBorders>
              <w:top w:val="single" w:color="auto" w:sz="6" w:space="0"/>
              <w:left w:val="single" w:color="auto" w:sz="6" w:space="0"/>
              <w:bottom w:val="single" w:color="auto" w:sz="6" w:space="0"/>
              <w:right w:val="double" w:color="auto" w:sz="4" w:space="0"/>
            </w:tcBorders>
            <w:shd w:val="clear" w:color="auto" w:fill="auto"/>
            <w:vAlign w:val="center"/>
          </w:tcPr>
          <w:p w14:paraId="06E5C99B">
            <w:pPr>
              <w:adjustRightInd w:val="0"/>
              <w:snapToGrid w:val="0"/>
              <w:spacing w:after="0" w:line="240" w:lineRule="auto"/>
              <w:ind w:firstLine="0" w:firstLineChars="0"/>
              <w:rPr>
                <w:rFonts w:ascii="微软雅黑" w:hAnsi="微软雅黑" w:cs="微软雅黑"/>
                <w:color w:val="auto"/>
                <w:szCs w:val="21"/>
                <w:highlight w:val="none"/>
              </w:rPr>
            </w:pPr>
          </w:p>
        </w:tc>
      </w:tr>
      <w:tr w14:paraId="45BF949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750" w:type="dxa"/>
            <w:tcBorders>
              <w:top w:val="single" w:color="auto" w:sz="6" w:space="0"/>
              <w:left w:val="double" w:color="auto" w:sz="4" w:space="0"/>
              <w:bottom w:val="single" w:color="auto" w:sz="6" w:space="0"/>
              <w:right w:val="single" w:color="auto" w:sz="6" w:space="0"/>
            </w:tcBorders>
            <w:shd w:val="clear" w:color="auto" w:fill="auto"/>
            <w:vAlign w:val="center"/>
          </w:tcPr>
          <w:p w14:paraId="54D0E832">
            <w:pPr>
              <w:adjustRightInd w:val="0"/>
              <w:snapToGrid w:val="0"/>
              <w:spacing w:after="0" w:line="240" w:lineRule="auto"/>
              <w:ind w:firstLine="0" w:firstLineChars="0"/>
              <w:jc w:val="center"/>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第二节</w:t>
            </w:r>
          </w:p>
          <w:p w14:paraId="6D68B80D">
            <w:pPr>
              <w:adjustRightInd w:val="0"/>
              <w:snapToGrid w:val="0"/>
              <w:spacing w:after="0" w:line="240" w:lineRule="auto"/>
              <w:ind w:firstLine="0" w:firstLineChars="0"/>
              <w:jc w:val="center"/>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第13.2款</w:t>
            </w:r>
          </w:p>
        </w:tc>
        <w:tc>
          <w:tcPr>
            <w:tcW w:w="1898" w:type="dxa"/>
            <w:tcBorders>
              <w:top w:val="single" w:color="auto" w:sz="6" w:space="0"/>
              <w:left w:val="single" w:color="auto" w:sz="6" w:space="0"/>
              <w:bottom w:val="single" w:color="auto" w:sz="6" w:space="0"/>
              <w:right w:val="single" w:color="auto" w:sz="6" w:space="0"/>
            </w:tcBorders>
            <w:shd w:val="clear" w:color="auto" w:fill="auto"/>
            <w:vAlign w:val="center"/>
          </w:tcPr>
          <w:p w14:paraId="6569CE85">
            <w:pPr>
              <w:adjustRightInd w:val="0"/>
              <w:snapToGrid w:val="0"/>
              <w:spacing w:after="0" w:line="240" w:lineRule="auto"/>
              <w:ind w:firstLine="0" w:firstLineChars="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履约保证金不予退还的情形</w:t>
            </w:r>
          </w:p>
        </w:tc>
        <w:tc>
          <w:tcPr>
            <w:tcW w:w="5635" w:type="dxa"/>
            <w:tcBorders>
              <w:top w:val="single" w:color="auto" w:sz="6" w:space="0"/>
              <w:left w:val="single" w:color="auto" w:sz="6" w:space="0"/>
              <w:bottom w:val="single" w:color="auto" w:sz="6" w:space="0"/>
              <w:right w:val="double" w:color="auto" w:sz="4" w:space="0"/>
            </w:tcBorders>
            <w:shd w:val="clear" w:color="auto" w:fill="auto"/>
            <w:vAlign w:val="center"/>
          </w:tcPr>
          <w:p w14:paraId="2724B1A3">
            <w:pPr>
              <w:adjustRightInd w:val="0"/>
              <w:snapToGrid w:val="0"/>
              <w:spacing w:after="0" w:line="240" w:lineRule="auto"/>
              <w:ind w:firstLine="0" w:firstLineChars="0"/>
              <w:rPr>
                <w:rFonts w:ascii="微软雅黑" w:hAnsi="微软雅黑" w:cs="微软雅黑"/>
                <w:color w:val="auto"/>
                <w:szCs w:val="21"/>
                <w:highlight w:val="none"/>
              </w:rPr>
            </w:pPr>
          </w:p>
        </w:tc>
      </w:tr>
      <w:tr w14:paraId="4AC2224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50" w:type="dxa"/>
            <w:tcBorders>
              <w:top w:val="single" w:color="auto" w:sz="6" w:space="0"/>
              <w:left w:val="double" w:color="auto" w:sz="4" w:space="0"/>
              <w:bottom w:val="single" w:color="auto" w:sz="6" w:space="0"/>
              <w:right w:val="single" w:color="auto" w:sz="6" w:space="0"/>
            </w:tcBorders>
            <w:shd w:val="clear" w:color="auto" w:fill="auto"/>
            <w:vAlign w:val="center"/>
          </w:tcPr>
          <w:p w14:paraId="61B3CDDA">
            <w:pPr>
              <w:adjustRightInd w:val="0"/>
              <w:snapToGrid w:val="0"/>
              <w:spacing w:after="0" w:line="240" w:lineRule="auto"/>
              <w:ind w:firstLine="0" w:firstLineChars="0"/>
              <w:jc w:val="center"/>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第二节</w:t>
            </w:r>
          </w:p>
          <w:p w14:paraId="49ED071A">
            <w:pPr>
              <w:adjustRightInd w:val="0"/>
              <w:snapToGrid w:val="0"/>
              <w:spacing w:after="0" w:line="240" w:lineRule="auto"/>
              <w:ind w:firstLine="0" w:firstLineChars="0"/>
              <w:jc w:val="center"/>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第13.3款</w:t>
            </w:r>
          </w:p>
        </w:tc>
        <w:tc>
          <w:tcPr>
            <w:tcW w:w="1898" w:type="dxa"/>
            <w:tcBorders>
              <w:top w:val="single" w:color="auto" w:sz="6" w:space="0"/>
              <w:left w:val="single" w:color="auto" w:sz="6" w:space="0"/>
              <w:bottom w:val="single" w:color="auto" w:sz="6" w:space="0"/>
              <w:right w:val="single" w:color="auto" w:sz="6" w:space="0"/>
            </w:tcBorders>
            <w:shd w:val="clear" w:color="auto" w:fill="auto"/>
            <w:vAlign w:val="center"/>
          </w:tcPr>
          <w:p w14:paraId="2536414B">
            <w:pPr>
              <w:adjustRightInd w:val="0"/>
              <w:snapToGrid w:val="0"/>
              <w:spacing w:after="0" w:line="240" w:lineRule="auto"/>
              <w:ind w:firstLine="0" w:firstLineChars="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履约保证金退还时间及逾期退还的违约金</w:t>
            </w:r>
          </w:p>
        </w:tc>
        <w:tc>
          <w:tcPr>
            <w:tcW w:w="5635" w:type="dxa"/>
            <w:tcBorders>
              <w:top w:val="single" w:color="auto" w:sz="6" w:space="0"/>
              <w:left w:val="single" w:color="auto" w:sz="6" w:space="0"/>
              <w:bottom w:val="single" w:color="auto" w:sz="6" w:space="0"/>
              <w:right w:val="double" w:color="auto" w:sz="4" w:space="0"/>
            </w:tcBorders>
            <w:shd w:val="clear" w:color="auto" w:fill="auto"/>
            <w:vAlign w:val="center"/>
          </w:tcPr>
          <w:p w14:paraId="2D73B3B6">
            <w:pPr>
              <w:adjustRightInd w:val="0"/>
              <w:snapToGrid w:val="0"/>
              <w:spacing w:after="0" w:line="240" w:lineRule="auto"/>
              <w:ind w:firstLine="0" w:firstLineChars="0"/>
              <w:rPr>
                <w:rFonts w:ascii="微软雅黑" w:hAnsi="微软雅黑" w:cs="微软雅黑"/>
                <w:color w:val="auto"/>
                <w:szCs w:val="21"/>
                <w:highlight w:val="none"/>
              </w:rPr>
            </w:pPr>
          </w:p>
        </w:tc>
      </w:tr>
      <w:tr w14:paraId="4E77BD9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750" w:type="dxa"/>
            <w:tcBorders>
              <w:top w:val="single" w:color="auto" w:sz="6" w:space="0"/>
              <w:left w:val="double" w:color="auto" w:sz="4" w:space="0"/>
              <w:bottom w:val="single" w:color="auto" w:sz="6" w:space="0"/>
              <w:right w:val="single" w:color="auto" w:sz="6" w:space="0"/>
            </w:tcBorders>
            <w:shd w:val="clear" w:color="auto" w:fill="auto"/>
            <w:vAlign w:val="center"/>
          </w:tcPr>
          <w:p w14:paraId="14AB1EB2">
            <w:pPr>
              <w:adjustRightInd w:val="0"/>
              <w:snapToGrid w:val="0"/>
              <w:spacing w:after="0" w:line="240" w:lineRule="auto"/>
              <w:ind w:firstLine="0" w:firstLineChars="0"/>
              <w:jc w:val="center"/>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第二节</w:t>
            </w:r>
          </w:p>
          <w:p w14:paraId="03C55F05">
            <w:pPr>
              <w:adjustRightInd w:val="0"/>
              <w:snapToGrid w:val="0"/>
              <w:spacing w:after="0" w:line="240" w:lineRule="auto"/>
              <w:ind w:firstLine="0" w:firstLineChars="0"/>
              <w:jc w:val="center"/>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第14.1（3）项</w:t>
            </w:r>
          </w:p>
        </w:tc>
        <w:tc>
          <w:tcPr>
            <w:tcW w:w="1898" w:type="dxa"/>
            <w:tcBorders>
              <w:top w:val="single" w:color="auto" w:sz="6" w:space="0"/>
              <w:left w:val="single" w:color="auto" w:sz="6" w:space="0"/>
              <w:bottom w:val="single" w:color="auto" w:sz="6" w:space="0"/>
              <w:right w:val="single" w:color="auto" w:sz="6" w:space="0"/>
            </w:tcBorders>
            <w:shd w:val="clear" w:color="auto" w:fill="auto"/>
            <w:vAlign w:val="center"/>
          </w:tcPr>
          <w:p w14:paraId="45DAF9D0">
            <w:pPr>
              <w:adjustRightInd w:val="0"/>
              <w:snapToGrid w:val="0"/>
              <w:spacing w:after="0" w:line="240" w:lineRule="auto"/>
              <w:ind w:firstLine="0" w:firstLineChars="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运行监督、维修期限</w:t>
            </w:r>
          </w:p>
        </w:tc>
        <w:tc>
          <w:tcPr>
            <w:tcW w:w="5635" w:type="dxa"/>
            <w:tcBorders>
              <w:top w:val="single" w:color="auto" w:sz="6" w:space="0"/>
              <w:left w:val="single" w:color="auto" w:sz="6" w:space="0"/>
              <w:bottom w:val="single" w:color="auto" w:sz="6" w:space="0"/>
              <w:right w:val="double" w:color="auto" w:sz="4" w:space="0"/>
            </w:tcBorders>
            <w:shd w:val="clear" w:color="auto" w:fill="auto"/>
            <w:vAlign w:val="center"/>
          </w:tcPr>
          <w:p w14:paraId="7CAE86D6">
            <w:pPr>
              <w:adjustRightInd w:val="0"/>
              <w:snapToGrid w:val="0"/>
              <w:spacing w:after="0" w:line="240" w:lineRule="auto"/>
              <w:ind w:firstLine="0" w:firstLineChars="0"/>
              <w:rPr>
                <w:rFonts w:ascii="微软雅黑" w:hAnsi="微软雅黑" w:cs="微软雅黑"/>
                <w:color w:val="auto"/>
                <w:szCs w:val="21"/>
                <w:highlight w:val="none"/>
              </w:rPr>
            </w:pPr>
          </w:p>
        </w:tc>
      </w:tr>
      <w:tr w14:paraId="174B25D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750" w:type="dxa"/>
            <w:tcBorders>
              <w:top w:val="single" w:color="auto" w:sz="6" w:space="0"/>
              <w:left w:val="double" w:color="auto" w:sz="4" w:space="0"/>
              <w:bottom w:val="single" w:color="auto" w:sz="6" w:space="0"/>
              <w:right w:val="single" w:color="auto" w:sz="6" w:space="0"/>
            </w:tcBorders>
            <w:shd w:val="clear" w:color="auto" w:fill="auto"/>
            <w:vAlign w:val="center"/>
          </w:tcPr>
          <w:p w14:paraId="62B25C98">
            <w:pPr>
              <w:adjustRightInd w:val="0"/>
              <w:snapToGrid w:val="0"/>
              <w:spacing w:after="0" w:line="240" w:lineRule="auto"/>
              <w:ind w:firstLine="0" w:firstLineChars="0"/>
              <w:jc w:val="center"/>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第二节</w:t>
            </w:r>
          </w:p>
          <w:p w14:paraId="6F971945">
            <w:pPr>
              <w:adjustRightInd w:val="0"/>
              <w:snapToGrid w:val="0"/>
              <w:spacing w:after="0" w:line="240" w:lineRule="auto"/>
              <w:ind w:firstLine="0" w:firstLineChars="0"/>
              <w:jc w:val="center"/>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第14.1（5）项</w:t>
            </w:r>
          </w:p>
        </w:tc>
        <w:tc>
          <w:tcPr>
            <w:tcW w:w="1898" w:type="dxa"/>
            <w:tcBorders>
              <w:top w:val="single" w:color="auto" w:sz="6" w:space="0"/>
              <w:left w:val="single" w:color="auto" w:sz="6" w:space="0"/>
              <w:bottom w:val="single" w:color="auto" w:sz="6" w:space="0"/>
              <w:right w:val="single" w:color="auto" w:sz="6" w:space="0"/>
            </w:tcBorders>
            <w:shd w:val="clear" w:color="auto" w:fill="auto"/>
            <w:vAlign w:val="center"/>
          </w:tcPr>
          <w:p w14:paraId="12B1550B">
            <w:pPr>
              <w:adjustRightInd w:val="0"/>
              <w:snapToGrid w:val="0"/>
              <w:spacing w:after="0" w:line="240" w:lineRule="auto"/>
              <w:ind w:firstLine="0" w:firstLineChars="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货物回收的约定</w:t>
            </w:r>
          </w:p>
        </w:tc>
        <w:tc>
          <w:tcPr>
            <w:tcW w:w="5635" w:type="dxa"/>
            <w:tcBorders>
              <w:top w:val="single" w:color="auto" w:sz="6" w:space="0"/>
              <w:left w:val="single" w:color="auto" w:sz="6" w:space="0"/>
              <w:bottom w:val="single" w:color="auto" w:sz="6" w:space="0"/>
              <w:right w:val="double" w:color="auto" w:sz="4" w:space="0"/>
            </w:tcBorders>
            <w:shd w:val="clear" w:color="auto" w:fill="auto"/>
            <w:vAlign w:val="center"/>
          </w:tcPr>
          <w:p w14:paraId="38184CE8">
            <w:pPr>
              <w:adjustRightInd w:val="0"/>
              <w:snapToGrid w:val="0"/>
              <w:spacing w:after="0" w:line="240" w:lineRule="auto"/>
              <w:ind w:firstLine="0" w:firstLineChars="0"/>
              <w:rPr>
                <w:rFonts w:ascii="微软雅黑" w:hAnsi="微软雅黑" w:cs="微软雅黑"/>
                <w:color w:val="auto"/>
                <w:szCs w:val="21"/>
                <w:highlight w:val="none"/>
              </w:rPr>
            </w:pPr>
          </w:p>
        </w:tc>
      </w:tr>
      <w:tr w14:paraId="6880B40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50" w:type="dxa"/>
            <w:tcBorders>
              <w:top w:val="single" w:color="auto" w:sz="6" w:space="0"/>
              <w:left w:val="double" w:color="auto" w:sz="4" w:space="0"/>
              <w:bottom w:val="single" w:color="auto" w:sz="6" w:space="0"/>
              <w:right w:val="single" w:color="auto" w:sz="6" w:space="0"/>
            </w:tcBorders>
            <w:shd w:val="clear" w:color="auto" w:fill="auto"/>
            <w:vAlign w:val="center"/>
          </w:tcPr>
          <w:p w14:paraId="38F68BFB">
            <w:pPr>
              <w:adjustRightInd w:val="0"/>
              <w:snapToGrid w:val="0"/>
              <w:spacing w:after="0" w:line="240" w:lineRule="auto"/>
              <w:ind w:firstLine="0" w:firstLineChars="0"/>
              <w:jc w:val="center"/>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第二节</w:t>
            </w:r>
          </w:p>
          <w:p w14:paraId="6564F9D8">
            <w:pPr>
              <w:adjustRightInd w:val="0"/>
              <w:snapToGrid w:val="0"/>
              <w:spacing w:after="0" w:line="240" w:lineRule="auto"/>
              <w:ind w:firstLine="0" w:firstLineChars="0"/>
              <w:jc w:val="center"/>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第14.1（6）项</w:t>
            </w:r>
          </w:p>
        </w:tc>
        <w:tc>
          <w:tcPr>
            <w:tcW w:w="1898" w:type="dxa"/>
            <w:tcBorders>
              <w:top w:val="single" w:color="auto" w:sz="6" w:space="0"/>
              <w:left w:val="single" w:color="auto" w:sz="6" w:space="0"/>
              <w:bottom w:val="single" w:color="auto" w:sz="6" w:space="0"/>
              <w:right w:val="single" w:color="auto" w:sz="6" w:space="0"/>
            </w:tcBorders>
            <w:shd w:val="clear" w:color="auto" w:fill="auto"/>
            <w:vAlign w:val="center"/>
          </w:tcPr>
          <w:p w14:paraId="6DD1AF41">
            <w:pPr>
              <w:adjustRightInd w:val="0"/>
              <w:snapToGrid w:val="0"/>
              <w:spacing w:after="0" w:line="240" w:lineRule="auto"/>
              <w:ind w:firstLine="0" w:firstLineChars="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乙方提供的其他服务</w:t>
            </w:r>
          </w:p>
        </w:tc>
        <w:tc>
          <w:tcPr>
            <w:tcW w:w="5635" w:type="dxa"/>
            <w:tcBorders>
              <w:top w:val="single" w:color="auto" w:sz="6" w:space="0"/>
              <w:left w:val="single" w:color="auto" w:sz="6" w:space="0"/>
              <w:bottom w:val="single" w:color="auto" w:sz="6" w:space="0"/>
              <w:right w:val="double" w:color="auto" w:sz="4" w:space="0"/>
            </w:tcBorders>
            <w:shd w:val="clear" w:color="auto" w:fill="auto"/>
            <w:vAlign w:val="center"/>
          </w:tcPr>
          <w:p w14:paraId="203D3E03">
            <w:pPr>
              <w:adjustRightInd w:val="0"/>
              <w:snapToGrid w:val="0"/>
              <w:spacing w:after="0" w:line="240" w:lineRule="auto"/>
              <w:ind w:firstLine="0" w:firstLineChars="0"/>
              <w:rPr>
                <w:rFonts w:ascii="微软雅黑" w:hAnsi="微软雅黑" w:cs="微软雅黑"/>
                <w:color w:val="auto"/>
                <w:szCs w:val="21"/>
                <w:highlight w:val="none"/>
              </w:rPr>
            </w:pPr>
          </w:p>
        </w:tc>
      </w:tr>
      <w:tr w14:paraId="7EB655E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50" w:type="dxa"/>
            <w:tcBorders>
              <w:top w:val="single" w:color="auto" w:sz="6" w:space="0"/>
              <w:left w:val="double" w:color="auto" w:sz="4" w:space="0"/>
              <w:bottom w:val="single" w:color="auto" w:sz="6" w:space="0"/>
              <w:right w:val="single" w:color="auto" w:sz="6" w:space="0"/>
            </w:tcBorders>
            <w:shd w:val="clear" w:color="auto" w:fill="auto"/>
            <w:vAlign w:val="center"/>
          </w:tcPr>
          <w:p w14:paraId="2C887B6B">
            <w:pPr>
              <w:adjustRightInd w:val="0"/>
              <w:snapToGrid w:val="0"/>
              <w:spacing w:after="0" w:line="240" w:lineRule="auto"/>
              <w:ind w:firstLine="0" w:firstLineChars="0"/>
              <w:jc w:val="center"/>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第二节</w:t>
            </w:r>
          </w:p>
          <w:p w14:paraId="0AF374CB">
            <w:pPr>
              <w:adjustRightInd w:val="0"/>
              <w:snapToGrid w:val="0"/>
              <w:spacing w:after="0" w:line="240" w:lineRule="auto"/>
              <w:ind w:firstLine="0" w:firstLineChars="0"/>
              <w:jc w:val="center"/>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第15.1款</w:t>
            </w:r>
          </w:p>
        </w:tc>
        <w:tc>
          <w:tcPr>
            <w:tcW w:w="1898" w:type="dxa"/>
            <w:tcBorders>
              <w:top w:val="single" w:color="auto" w:sz="6" w:space="0"/>
              <w:left w:val="single" w:color="auto" w:sz="6" w:space="0"/>
              <w:bottom w:val="single" w:color="auto" w:sz="6" w:space="0"/>
              <w:right w:val="single" w:color="auto" w:sz="6" w:space="0"/>
            </w:tcBorders>
            <w:shd w:val="clear" w:color="auto" w:fill="auto"/>
            <w:vAlign w:val="center"/>
          </w:tcPr>
          <w:p w14:paraId="38D436B6">
            <w:pPr>
              <w:adjustRightInd w:val="0"/>
              <w:snapToGrid w:val="0"/>
              <w:spacing w:after="0" w:line="240" w:lineRule="auto"/>
              <w:ind w:firstLine="0" w:firstLineChars="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修理、重作、更换相关具体规定</w:t>
            </w:r>
          </w:p>
        </w:tc>
        <w:tc>
          <w:tcPr>
            <w:tcW w:w="5635" w:type="dxa"/>
            <w:tcBorders>
              <w:top w:val="single" w:color="auto" w:sz="6" w:space="0"/>
              <w:left w:val="single" w:color="auto" w:sz="6" w:space="0"/>
              <w:bottom w:val="single" w:color="auto" w:sz="6" w:space="0"/>
              <w:right w:val="double" w:color="auto" w:sz="4" w:space="0"/>
            </w:tcBorders>
            <w:shd w:val="clear" w:color="auto" w:fill="auto"/>
            <w:vAlign w:val="center"/>
          </w:tcPr>
          <w:p w14:paraId="4043A8FA">
            <w:pPr>
              <w:adjustRightInd w:val="0"/>
              <w:snapToGrid w:val="0"/>
              <w:spacing w:after="0" w:line="240" w:lineRule="auto"/>
              <w:ind w:firstLine="0" w:firstLineChars="0"/>
              <w:rPr>
                <w:rFonts w:ascii="微软雅黑" w:hAnsi="微软雅黑" w:cs="微软雅黑"/>
                <w:color w:val="auto"/>
                <w:szCs w:val="21"/>
                <w:highlight w:val="none"/>
              </w:rPr>
            </w:pPr>
          </w:p>
        </w:tc>
      </w:tr>
      <w:tr w14:paraId="4DAACA2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50" w:type="dxa"/>
            <w:tcBorders>
              <w:top w:val="single" w:color="auto" w:sz="6" w:space="0"/>
              <w:left w:val="double" w:color="auto" w:sz="4" w:space="0"/>
              <w:bottom w:val="single" w:color="auto" w:sz="6" w:space="0"/>
              <w:right w:val="single" w:color="auto" w:sz="6" w:space="0"/>
            </w:tcBorders>
            <w:shd w:val="clear" w:color="auto" w:fill="auto"/>
            <w:vAlign w:val="center"/>
          </w:tcPr>
          <w:p w14:paraId="3409C1DA">
            <w:pPr>
              <w:adjustRightInd w:val="0"/>
              <w:snapToGrid w:val="0"/>
              <w:spacing w:after="0" w:line="240" w:lineRule="auto"/>
              <w:ind w:firstLine="0" w:firstLineChars="0"/>
              <w:jc w:val="center"/>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第二节</w:t>
            </w:r>
          </w:p>
          <w:p w14:paraId="755EA0AF">
            <w:pPr>
              <w:adjustRightInd w:val="0"/>
              <w:snapToGrid w:val="0"/>
              <w:spacing w:after="0" w:line="240" w:lineRule="auto"/>
              <w:ind w:firstLine="0" w:firstLineChars="0"/>
              <w:jc w:val="center"/>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第15.2（2）项</w:t>
            </w:r>
          </w:p>
        </w:tc>
        <w:tc>
          <w:tcPr>
            <w:tcW w:w="1898" w:type="dxa"/>
            <w:tcBorders>
              <w:top w:val="single" w:color="auto" w:sz="6" w:space="0"/>
              <w:left w:val="single" w:color="auto" w:sz="6" w:space="0"/>
              <w:bottom w:val="single" w:color="auto" w:sz="6" w:space="0"/>
              <w:right w:val="single" w:color="auto" w:sz="6" w:space="0"/>
            </w:tcBorders>
            <w:shd w:val="clear" w:color="auto" w:fill="auto"/>
            <w:vAlign w:val="center"/>
          </w:tcPr>
          <w:p w14:paraId="4A474745">
            <w:pPr>
              <w:adjustRightInd w:val="0"/>
              <w:snapToGrid w:val="0"/>
              <w:spacing w:after="0" w:line="240" w:lineRule="auto"/>
              <w:ind w:firstLine="0" w:firstLineChars="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迟延交货赔偿费</w:t>
            </w:r>
          </w:p>
        </w:tc>
        <w:tc>
          <w:tcPr>
            <w:tcW w:w="5635" w:type="dxa"/>
            <w:tcBorders>
              <w:top w:val="single" w:color="auto" w:sz="6" w:space="0"/>
              <w:left w:val="single" w:color="auto" w:sz="6" w:space="0"/>
              <w:bottom w:val="single" w:color="auto" w:sz="6" w:space="0"/>
              <w:right w:val="double" w:color="auto" w:sz="4" w:space="0"/>
            </w:tcBorders>
            <w:shd w:val="clear" w:color="auto" w:fill="auto"/>
            <w:vAlign w:val="center"/>
          </w:tcPr>
          <w:p w14:paraId="2B85F8E9">
            <w:pPr>
              <w:adjustRightInd w:val="0"/>
              <w:snapToGrid w:val="0"/>
              <w:spacing w:after="0" w:line="240" w:lineRule="auto"/>
              <w:ind w:firstLine="0" w:firstLineChars="0"/>
              <w:rPr>
                <w:rFonts w:ascii="微软雅黑" w:hAnsi="微软雅黑" w:cs="微软雅黑"/>
                <w:color w:val="auto"/>
                <w:szCs w:val="21"/>
                <w:highlight w:val="none"/>
                <w:u w:val="single"/>
              </w:rPr>
            </w:pPr>
          </w:p>
        </w:tc>
      </w:tr>
      <w:tr w14:paraId="4CDF1BB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50" w:type="dxa"/>
            <w:tcBorders>
              <w:top w:val="single" w:color="auto" w:sz="6" w:space="0"/>
              <w:left w:val="double" w:color="auto" w:sz="4" w:space="0"/>
              <w:bottom w:val="single" w:color="auto" w:sz="6" w:space="0"/>
              <w:right w:val="single" w:color="auto" w:sz="6" w:space="0"/>
            </w:tcBorders>
            <w:shd w:val="clear" w:color="auto" w:fill="auto"/>
            <w:vAlign w:val="center"/>
          </w:tcPr>
          <w:p w14:paraId="2C191268">
            <w:pPr>
              <w:adjustRightInd w:val="0"/>
              <w:snapToGrid w:val="0"/>
              <w:spacing w:after="0" w:line="240" w:lineRule="auto"/>
              <w:ind w:firstLine="0" w:firstLineChars="0"/>
              <w:jc w:val="center"/>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第二节</w:t>
            </w:r>
          </w:p>
          <w:p w14:paraId="58E3DF05">
            <w:pPr>
              <w:adjustRightInd w:val="0"/>
              <w:snapToGrid w:val="0"/>
              <w:spacing w:after="0" w:line="240" w:lineRule="auto"/>
              <w:ind w:firstLine="0" w:firstLineChars="0"/>
              <w:jc w:val="center"/>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第15.3款</w:t>
            </w:r>
          </w:p>
        </w:tc>
        <w:tc>
          <w:tcPr>
            <w:tcW w:w="1898" w:type="dxa"/>
            <w:tcBorders>
              <w:top w:val="single" w:color="auto" w:sz="6" w:space="0"/>
              <w:left w:val="single" w:color="auto" w:sz="6" w:space="0"/>
              <w:bottom w:val="single" w:color="auto" w:sz="6" w:space="0"/>
              <w:right w:val="single" w:color="auto" w:sz="6" w:space="0"/>
            </w:tcBorders>
            <w:shd w:val="clear" w:color="auto" w:fill="auto"/>
            <w:vAlign w:val="center"/>
          </w:tcPr>
          <w:p w14:paraId="38EFA858">
            <w:pPr>
              <w:adjustRightInd w:val="0"/>
              <w:snapToGrid w:val="0"/>
              <w:spacing w:after="0" w:line="240" w:lineRule="auto"/>
              <w:ind w:firstLine="0" w:firstLineChars="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逾期付款利息</w:t>
            </w:r>
          </w:p>
        </w:tc>
        <w:tc>
          <w:tcPr>
            <w:tcW w:w="5635" w:type="dxa"/>
            <w:tcBorders>
              <w:top w:val="single" w:color="auto" w:sz="6" w:space="0"/>
              <w:left w:val="single" w:color="auto" w:sz="6" w:space="0"/>
              <w:bottom w:val="single" w:color="auto" w:sz="6" w:space="0"/>
              <w:right w:val="double" w:color="auto" w:sz="4" w:space="0"/>
            </w:tcBorders>
            <w:shd w:val="clear" w:color="auto" w:fill="auto"/>
            <w:vAlign w:val="center"/>
          </w:tcPr>
          <w:p w14:paraId="5D1A1687">
            <w:pPr>
              <w:adjustRightInd w:val="0"/>
              <w:snapToGrid w:val="0"/>
              <w:spacing w:after="0" w:line="240" w:lineRule="auto"/>
              <w:ind w:firstLine="0" w:firstLineChars="0"/>
              <w:rPr>
                <w:rFonts w:ascii="微软雅黑" w:hAnsi="微软雅黑" w:cs="微软雅黑"/>
                <w:color w:val="auto"/>
                <w:szCs w:val="21"/>
                <w:highlight w:val="none"/>
                <w:u w:val="single"/>
              </w:rPr>
            </w:pPr>
            <w:r>
              <w:rPr>
                <w:rFonts w:hint="eastAsia" w:ascii="微软雅黑" w:hAnsi="微软雅黑" w:cs="微软雅黑"/>
                <w:color w:val="auto"/>
                <w:szCs w:val="21"/>
                <w:highlight w:val="none"/>
                <w:u w:val="single"/>
                <w:lang w:bidi="ar"/>
              </w:rPr>
              <w:t>/</w:t>
            </w:r>
          </w:p>
        </w:tc>
      </w:tr>
      <w:tr w14:paraId="707D3F3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6" w:hRule="atLeast"/>
        </w:trPr>
        <w:tc>
          <w:tcPr>
            <w:tcW w:w="1750" w:type="dxa"/>
            <w:tcBorders>
              <w:top w:val="single" w:color="auto" w:sz="6" w:space="0"/>
              <w:left w:val="double" w:color="auto" w:sz="4" w:space="0"/>
              <w:bottom w:val="single" w:color="auto" w:sz="2" w:space="0"/>
              <w:right w:val="single" w:color="auto" w:sz="2" w:space="0"/>
            </w:tcBorders>
            <w:shd w:val="clear" w:color="auto" w:fill="auto"/>
            <w:vAlign w:val="center"/>
          </w:tcPr>
          <w:p w14:paraId="26376A84">
            <w:pPr>
              <w:adjustRightInd w:val="0"/>
              <w:snapToGrid w:val="0"/>
              <w:spacing w:after="0" w:line="240" w:lineRule="auto"/>
              <w:ind w:firstLine="0" w:firstLineChars="0"/>
              <w:jc w:val="center"/>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第二节</w:t>
            </w:r>
          </w:p>
          <w:p w14:paraId="36FE096B">
            <w:pPr>
              <w:adjustRightInd w:val="0"/>
              <w:snapToGrid w:val="0"/>
              <w:spacing w:after="0" w:line="240" w:lineRule="auto"/>
              <w:ind w:firstLine="0" w:firstLineChars="0"/>
              <w:jc w:val="center"/>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第15.4款</w:t>
            </w:r>
          </w:p>
        </w:tc>
        <w:tc>
          <w:tcPr>
            <w:tcW w:w="1898" w:type="dxa"/>
            <w:tcBorders>
              <w:top w:val="single" w:color="auto" w:sz="6" w:space="0"/>
              <w:left w:val="single" w:color="auto" w:sz="2" w:space="0"/>
              <w:bottom w:val="single" w:color="auto" w:sz="2" w:space="0"/>
              <w:right w:val="single" w:color="auto" w:sz="2" w:space="0"/>
            </w:tcBorders>
            <w:shd w:val="clear" w:color="auto" w:fill="auto"/>
            <w:vAlign w:val="center"/>
          </w:tcPr>
          <w:p w14:paraId="4ABC21F1">
            <w:pPr>
              <w:adjustRightInd w:val="0"/>
              <w:snapToGrid w:val="0"/>
              <w:spacing w:after="0" w:line="240" w:lineRule="auto"/>
              <w:ind w:firstLine="0" w:firstLineChars="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其他违约责任</w:t>
            </w:r>
          </w:p>
        </w:tc>
        <w:tc>
          <w:tcPr>
            <w:tcW w:w="5635" w:type="dxa"/>
            <w:tcBorders>
              <w:top w:val="single" w:color="auto" w:sz="6" w:space="0"/>
              <w:left w:val="single" w:color="auto" w:sz="2" w:space="0"/>
              <w:bottom w:val="single" w:color="auto" w:sz="2" w:space="0"/>
              <w:right w:val="double" w:color="auto" w:sz="4" w:space="0"/>
            </w:tcBorders>
            <w:shd w:val="clear" w:color="auto" w:fill="auto"/>
            <w:vAlign w:val="center"/>
          </w:tcPr>
          <w:p w14:paraId="2E6EECC0">
            <w:pPr>
              <w:adjustRightInd w:val="0"/>
              <w:snapToGrid w:val="0"/>
              <w:spacing w:after="0" w:line="240" w:lineRule="auto"/>
              <w:ind w:firstLine="0" w:firstLineChars="0"/>
              <w:rPr>
                <w:rFonts w:ascii="微软雅黑" w:hAnsi="微软雅黑" w:cs="微软雅黑"/>
                <w:color w:val="auto"/>
                <w:szCs w:val="21"/>
                <w:highlight w:val="none"/>
                <w:u w:val="single"/>
              </w:rPr>
            </w:pPr>
          </w:p>
        </w:tc>
      </w:tr>
      <w:tr w14:paraId="662D8AE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750" w:type="dxa"/>
            <w:tcBorders>
              <w:top w:val="single" w:color="auto" w:sz="2" w:space="0"/>
              <w:left w:val="double" w:color="auto" w:sz="4" w:space="0"/>
              <w:bottom w:val="single" w:color="auto" w:sz="6" w:space="0"/>
              <w:right w:val="single" w:color="auto" w:sz="2" w:space="0"/>
            </w:tcBorders>
            <w:shd w:val="clear" w:color="auto" w:fill="auto"/>
            <w:vAlign w:val="center"/>
          </w:tcPr>
          <w:p w14:paraId="0FEE128C">
            <w:pPr>
              <w:adjustRightInd w:val="0"/>
              <w:snapToGrid w:val="0"/>
              <w:spacing w:after="0" w:line="240" w:lineRule="auto"/>
              <w:ind w:firstLine="0" w:firstLineChars="0"/>
              <w:jc w:val="center"/>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第二节</w:t>
            </w:r>
          </w:p>
          <w:p w14:paraId="3B4A2CF2">
            <w:pPr>
              <w:adjustRightInd w:val="0"/>
              <w:snapToGrid w:val="0"/>
              <w:spacing w:after="0" w:line="240" w:lineRule="auto"/>
              <w:ind w:firstLine="0" w:firstLineChars="0"/>
              <w:jc w:val="center"/>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第19.2款</w:t>
            </w:r>
          </w:p>
        </w:tc>
        <w:tc>
          <w:tcPr>
            <w:tcW w:w="1898" w:type="dxa"/>
            <w:tcBorders>
              <w:top w:val="single" w:color="auto" w:sz="2" w:space="0"/>
              <w:left w:val="single" w:color="auto" w:sz="2" w:space="0"/>
              <w:bottom w:val="single" w:color="auto" w:sz="6" w:space="0"/>
              <w:right w:val="single" w:color="auto" w:sz="2" w:space="0"/>
            </w:tcBorders>
            <w:shd w:val="clear" w:color="auto" w:fill="auto"/>
            <w:vAlign w:val="center"/>
          </w:tcPr>
          <w:p w14:paraId="27AB2093">
            <w:pPr>
              <w:adjustRightInd w:val="0"/>
              <w:snapToGrid w:val="0"/>
              <w:spacing w:after="0" w:line="240" w:lineRule="auto"/>
              <w:ind w:firstLine="0" w:firstLineChars="0"/>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解决争议的方法</w:t>
            </w:r>
          </w:p>
        </w:tc>
        <w:tc>
          <w:tcPr>
            <w:tcW w:w="5635" w:type="dxa"/>
            <w:tcBorders>
              <w:top w:val="single" w:color="auto" w:sz="2" w:space="0"/>
              <w:left w:val="single" w:color="auto" w:sz="2" w:space="0"/>
              <w:bottom w:val="single" w:color="auto" w:sz="6" w:space="0"/>
              <w:right w:val="double" w:color="auto" w:sz="4" w:space="0"/>
            </w:tcBorders>
            <w:shd w:val="clear" w:color="auto" w:fill="auto"/>
            <w:vAlign w:val="center"/>
          </w:tcPr>
          <w:p w14:paraId="6B0D6704">
            <w:pPr>
              <w:autoSpaceDE w:val="0"/>
              <w:autoSpaceDN w:val="0"/>
              <w:adjustRightInd w:val="0"/>
              <w:snapToGrid w:val="0"/>
              <w:spacing w:after="0" w:line="240" w:lineRule="auto"/>
              <w:ind w:firstLine="0" w:firstLineChars="0"/>
              <w:rPr>
                <w:rFonts w:ascii="微软雅黑" w:hAnsi="微软雅黑" w:cs="微软雅黑"/>
                <w:iCs/>
                <w:color w:val="auto"/>
                <w:szCs w:val="21"/>
                <w:highlight w:val="none"/>
              </w:rPr>
            </w:pPr>
            <w:r>
              <w:rPr>
                <w:rFonts w:hint="eastAsia" w:ascii="微软雅黑" w:hAnsi="微软雅黑" w:cs="微软雅黑"/>
                <w:iCs/>
                <w:color w:val="auto"/>
                <w:szCs w:val="21"/>
                <w:highlight w:val="none"/>
                <w:lang w:bidi="ar"/>
              </w:rPr>
              <w:t>因本合同及合同有关事项发生的争议，按下列第</w:t>
            </w:r>
            <w:r>
              <w:rPr>
                <w:rFonts w:hint="eastAsia" w:ascii="微软雅黑" w:hAnsi="微软雅黑" w:cs="微软雅黑"/>
                <w:iCs/>
                <w:color w:val="auto"/>
                <w:szCs w:val="21"/>
                <w:highlight w:val="none"/>
                <w:u w:val="single"/>
                <w:lang w:bidi="ar"/>
              </w:rPr>
              <w:t xml:space="preserve">   </w:t>
            </w:r>
            <w:r>
              <w:rPr>
                <w:rFonts w:hint="eastAsia" w:ascii="微软雅黑" w:hAnsi="微软雅黑" w:cs="微软雅黑"/>
                <w:iCs/>
                <w:color w:val="auto"/>
                <w:szCs w:val="21"/>
                <w:highlight w:val="none"/>
                <w:lang w:bidi="ar"/>
              </w:rPr>
              <w:t>种方式解决：</w:t>
            </w:r>
          </w:p>
          <w:p w14:paraId="7C35E675">
            <w:pPr>
              <w:autoSpaceDE w:val="0"/>
              <w:autoSpaceDN w:val="0"/>
              <w:adjustRightInd w:val="0"/>
              <w:snapToGrid w:val="0"/>
              <w:spacing w:after="0" w:line="240" w:lineRule="auto"/>
              <w:ind w:firstLine="0" w:firstLineChars="0"/>
              <w:rPr>
                <w:rFonts w:ascii="微软雅黑" w:hAnsi="微软雅黑" w:cs="微软雅黑"/>
                <w:iCs/>
                <w:color w:val="auto"/>
                <w:szCs w:val="21"/>
                <w:highlight w:val="none"/>
              </w:rPr>
            </w:pPr>
            <w:r>
              <w:rPr>
                <w:rFonts w:hint="eastAsia" w:ascii="微软雅黑" w:hAnsi="微软雅黑" w:cs="微软雅黑"/>
                <w:iCs/>
                <w:color w:val="auto"/>
                <w:szCs w:val="21"/>
                <w:highlight w:val="none"/>
                <w:lang w:bidi="ar"/>
              </w:rPr>
              <w:t>（1）向</w:t>
            </w:r>
            <w:r>
              <w:rPr>
                <w:rFonts w:hint="eastAsia" w:ascii="微软雅黑" w:hAnsi="微软雅黑" w:cs="微软雅黑"/>
                <w:iCs/>
                <w:color w:val="auto"/>
                <w:szCs w:val="21"/>
                <w:highlight w:val="none"/>
                <w:u w:val="single"/>
                <w:lang w:bidi="ar"/>
              </w:rPr>
              <w:t xml:space="preserve">                    </w:t>
            </w:r>
            <w:r>
              <w:rPr>
                <w:rFonts w:hint="eastAsia" w:ascii="微软雅黑" w:hAnsi="微软雅黑" w:cs="微软雅黑"/>
                <w:iCs/>
                <w:color w:val="auto"/>
                <w:szCs w:val="21"/>
                <w:highlight w:val="none"/>
                <w:lang w:bidi="ar"/>
              </w:rPr>
              <w:t>仲裁委员会申请仲裁，仲裁地点为</w:t>
            </w:r>
            <w:r>
              <w:rPr>
                <w:rFonts w:hint="eastAsia" w:ascii="微软雅黑" w:hAnsi="微软雅黑" w:cs="微软雅黑"/>
                <w:iCs/>
                <w:color w:val="auto"/>
                <w:szCs w:val="21"/>
                <w:highlight w:val="none"/>
                <w:u w:val="single"/>
                <w:lang w:bidi="ar"/>
              </w:rPr>
              <w:t xml:space="preserve">           </w:t>
            </w:r>
            <w:r>
              <w:rPr>
                <w:rFonts w:hint="eastAsia" w:ascii="微软雅黑" w:hAnsi="微软雅黑" w:cs="微软雅黑"/>
                <w:iCs/>
                <w:color w:val="auto"/>
                <w:szCs w:val="21"/>
                <w:highlight w:val="none"/>
                <w:lang w:bidi="ar"/>
              </w:rPr>
              <w:t>；</w:t>
            </w:r>
          </w:p>
          <w:p w14:paraId="3AD706D2">
            <w:pPr>
              <w:adjustRightInd w:val="0"/>
              <w:snapToGrid w:val="0"/>
              <w:spacing w:after="0" w:line="240" w:lineRule="auto"/>
              <w:ind w:firstLine="0" w:firstLineChars="0"/>
              <w:rPr>
                <w:rFonts w:ascii="微软雅黑" w:hAnsi="微软雅黑" w:cs="微软雅黑"/>
                <w:color w:val="auto"/>
                <w:szCs w:val="21"/>
                <w:highlight w:val="none"/>
                <w:u w:val="single"/>
              </w:rPr>
            </w:pPr>
            <w:r>
              <w:rPr>
                <w:rFonts w:hint="eastAsia" w:ascii="微软雅黑" w:hAnsi="微软雅黑" w:cs="微软雅黑"/>
                <w:iCs/>
                <w:color w:val="auto"/>
                <w:szCs w:val="21"/>
                <w:highlight w:val="none"/>
                <w:lang w:bidi="ar"/>
              </w:rPr>
              <w:t>（2）向</w:t>
            </w:r>
            <w:r>
              <w:rPr>
                <w:rFonts w:hint="eastAsia" w:ascii="微软雅黑" w:hAnsi="微软雅黑" w:cs="微软雅黑"/>
                <w:iCs/>
                <w:color w:val="auto"/>
                <w:szCs w:val="21"/>
                <w:highlight w:val="none"/>
                <w:u w:val="single"/>
                <w:lang w:bidi="ar"/>
              </w:rPr>
              <w:t xml:space="preserve">                    </w:t>
            </w:r>
            <w:r>
              <w:rPr>
                <w:rFonts w:hint="eastAsia" w:ascii="微软雅黑" w:hAnsi="微软雅黑" w:cs="微软雅黑"/>
                <w:iCs/>
                <w:color w:val="auto"/>
                <w:szCs w:val="21"/>
                <w:highlight w:val="none"/>
                <w:lang w:bidi="ar"/>
              </w:rPr>
              <w:t>人民法院起诉。</w:t>
            </w:r>
          </w:p>
        </w:tc>
      </w:tr>
      <w:tr w14:paraId="7ED0BBD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trPr>
        <w:tc>
          <w:tcPr>
            <w:tcW w:w="1750" w:type="dxa"/>
            <w:tcBorders>
              <w:top w:val="single" w:color="auto" w:sz="6" w:space="0"/>
              <w:left w:val="double" w:color="auto" w:sz="4" w:space="0"/>
              <w:bottom w:val="double" w:color="auto" w:sz="4" w:space="0"/>
              <w:right w:val="single" w:color="auto" w:sz="6" w:space="0"/>
            </w:tcBorders>
            <w:shd w:val="clear" w:color="auto" w:fill="auto"/>
            <w:vAlign w:val="center"/>
          </w:tcPr>
          <w:p w14:paraId="7C373109">
            <w:pPr>
              <w:adjustRightInd w:val="0"/>
              <w:snapToGrid w:val="0"/>
              <w:spacing w:after="0" w:line="240" w:lineRule="auto"/>
              <w:ind w:firstLine="0" w:firstLineChars="0"/>
              <w:jc w:val="center"/>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第二节</w:t>
            </w:r>
          </w:p>
          <w:p w14:paraId="6C611409">
            <w:pPr>
              <w:adjustRightInd w:val="0"/>
              <w:snapToGrid w:val="0"/>
              <w:spacing w:after="0" w:line="240" w:lineRule="auto"/>
              <w:ind w:firstLine="0" w:firstLineChars="0"/>
              <w:jc w:val="center"/>
              <w:rPr>
                <w:rFonts w:ascii="微软雅黑" w:hAnsi="微软雅黑" w:cs="微软雅黑"/>
                <w:color w:val="auto"/>
                <w:szCs w:val="21"/>
                <w:highlight w:val="none"/>
              </w:rPr>
            </w:pPr>
            <w:r>
              <w:rPr>
                <w:rFonts w:hint="eastAsia" w:ascii="微软雅黑" w:hAnsi="微软雅黑" w:cs="微软雅黑"/>
                <w:color w:val="auto"/>
                <w:szCs w:val="21"/>
                <w:highlight w:val="none"/>
                <w:lang w:bidi="ar"/>
              </w:rPr>
              <w:t>第23.1款</w:t>
            </w:r>
          </w:p>
        </w:tc>
        <w:tc>
          <w:tcPr>
            <w:tcW w:w="1898" w:type="dxa"/>
            <w:tcBorders>
              <w:top w:val="single" w:color="auto" w:sz="6" w:space="0"/>
              <w:left w:val="single" w:color="auto" w:sz="6" w:space="0"/>
              <w:bottom w:val="double" w:color="auto" w:sz="4" w:space="0"/>
              <w:right w:val="single" w:color="auto" w:sz="6" w:space="0"/>
            </w:tcBorders>
            <w:shd w:val="clear" w:color="auto" w:fill="auto"/>
            <w:vAlign w:val="center"/>
          </w:tcPr>
          <w:p w14:paraId="634AA184">
            <w:pPr>
              <w:adjustRightInd w:val="0"/>
              <w:snapToGrid w:val="0"/>
              <w:spacing w:after="0" w:line="240" w:lineRule="auto"/>
              <w:ind w:firstLine="0" w:firstLineChars="0"/>
              <w:rPr>
                <w:rFonts w:ascii="微软雅黑" w:hAnsi="微软雅黑" w:cs="微软雅黑"/>
                <w:color w:val="auto"/>
                <w:szCs w:val="21"/>
                <w:highlight w:val="none"/>
              </w:rPr>
            </w:pPr>
            <w:r>
              <w:rPr>
                <w:rFonts w:hint="eastAsia" w:ascii="微软雅黑" w:hAnsi="微软雅黑" w:cs="微软雅黑"/>
                <w:bCs/>
                <w:color w:val="auto"/>
                <w:szCs w:val="21"/>
                <w:highlight w:val="none"/>
                <w:lang w:bidi="ar"/>
              </w:rPr>
              <w:t>其他专用条款</w:t>
            </w:r>
          </w:p>
        </w:tc>
        <w:tc>
          <w:tcPr>
            <w:tcW w:w="5635" w:type="dxa"/>
            <w:tcBorders>
              <w:top w:val="single" w:color="auto" w:sz="6" w:space="0"/>
              <w:left w:val="single" w:color="auto" w:sz="6" w:space="0"/>
              <w:bottom w:val="double" w:color="auto" w:sz="4" w:space="0"/>
              <w:right w:val="double" w:color="auto" w:sz="4" w:space="0"/>
            </w:tcBorders>
            <w:shd w:val="clear" w:color="auto" w:fill="auto"/>
            <w:vAlign w:val="center"/>
          </w:tcPr>
          <w:p w14:paraId="412335B8">
            <w:pPr>
              <w:adjustRightInd w:val="0"/>
              <w:snapToGrid w:val="0"/>
              <w:spacing w:after="0" w:line="240" w:lineRule="auto"/>
              <w:ind w:firstLine="0" w:firstLineChars="0"/>
              <w:rPr>
                <w:rFonts w:ascii="微软雅黑" w:hAnsi="微软雅黑" w:cs="微软雅黑"/>
                <w:color w:val="auto"/>
                <w:szCs w:val="21"/>
                <w:highlight w:val="none"/>
              </w:rPr>
            </w:pPr>
          </w:p>
        </w:tc>
      </w:tr>
    </w:tbl>
    <w:p w14:paraId="28C32BCE">
      <w:pPr>
        <w:pStyle w:val="2"/>
        <w:widowControl/>
        <w:snapToGrid w:val="0"/>
        <w:spacing w:line="300" w:lineRule="auto"/>
        <w:jc w:val="both"/>
        <w:rPr>
          <w:rFonts w:ascii="微软雅黑" w:hAnsi="微软雅黑" w:cs="微软雅黑"/>
          <w:color w:val="auto"/>
          <w:sz w:val="21"/>
          <w:szCs w:val="21"/>
          <w:highlight w:val="none"/>
        </w:rPr>
      </w:pPr>
    </w:p>
    <w:p w14:paraId="62744BAF">
      <w:pPr>
        <w:pStyle w:val="3"/>
        <w:widowControl/>
        <w:ind w:firstLine="420"/>
        <w:rPr>
          <w:rFonts w:ascii="微软雅黑" w:hAnsi="微软雅黑" w:cs="微软雅黑"/>
          <w:color w:val="auto"/>
          <w:highlight w:val="none"/>
        </w:rPr>
      </w:pPr>
    </w:p>
    <w:p w14:paraId="697323B3">
      <w:pPr>
        <w:pStyle w:val="28"/>
        <w:snapToGrid w:val="0"/>
        <w:spacing w:before="120" w:after="120"/>
        <w:ind w:firstLine="420"/>
        <w:rPr>
          <w:rFonts w:ascii="微软雅黑" w:hAnsi="微软雅黑" w:cs="微软雅黑"/>
          <w:color w:val="auto"/>
          <w:szCs w:val="21"/>
          <w:highlight w:val="none"/>
        </w:rPr>
        <w:sectPr>
          <w:pgSz w:w="11907" w:h="16840" w:orient="landscape"/>
          <w:pgMar w:top="1276" w:right="1418" w:bottom="1247" w:left="1418" w:header="851" w:footer="992" w:gutter="0"/>
          <w:cols w:space="720" w:num="1"/>
          <w:titlePg/>
          <w:docGrid w:linePitch="312" w:charSpace="0"/>
        </w:sectPr>
      </w:pPr>
    </w:p>
    <w:tbl>
      <w:tblPr>
        <w:tblStyle w:val="52"/>
        <w:tblW w:w="12600" w:type="dxa"/>
        <w:tblInd w:w="392" w:type="dxa"/>
        <w:tblLayout w:type="fixed"/>
        <w:tblCellMar>
          <w:top w:w="0" w:type="dxa"/>
          <w:left w:w="108" w:type="dxa"/>
          <w:bottom w:w="0" w:type="dxa"/>
          <w:right w:w="108" w:type="dxa"/>
        </w:tblCellMar>
      </w:tblPr>
      <w:tblGrid>
        <w:gridCol w:w="4053"/>
        <w:gridCol w:w="3774"/>
        <w:gridCol w:w="1123"/>
        <w:gridCol w:w="1787"/>
        <w:gridCol w:w="1863"/>
      </w:tblGrid>
      <w:tr w14:paraId="302FE2E6">
        <w:tblPrEx>
          <w:tblCellMar>
            <w:top w:w="0" w:type="dxa"/>
            <w:left w:w="108" w:type="dxa"/>
            <w:bottom w:w="0" w:type="dxa"/>
            <w:right w:w="108" w:type="dxa"/>
          </w:tblCellMar>
        </w:tblPrEx>
        <w:trPr>
          <w:trHeight w:val="1317" w:hRule="atLeast"/>
        </w:trPr>
        <w:tc>
          <w:tcPr>
            <w:tcW w:w="12600" w:type="dxa"/>
            <w:gridSpan w:val="5"/>
            <w:tcBorders>
              <w:top w:val="nil"/>
              <w:left w:val="nil"/>
              <w:bottom w:val="nil"/>
              <w:right w:val="nil"/>
            </w:tcBorders>
            <w:vAlign w:val="center"/>
          </w:tcPr>
          <w:p w14:paraId="66F8EE33">
            <w:pPr>
              <w:pStyle w:val="3"/>
              <w:ind w:firstLine="420"/>
              <w:rPr>
                <w:bCs/>
                <w:color w:val="auto"/>
                <w:szCs w:val="21"/>
                <w:highlight w:val="none"/>
              </w:rPr>
            </w:pPr>
            <w:bookmarkStart w:id="177" w:name="_Toc29980"/>
            <w:bookmarkStart w:id="178" w:name="_Toc164943220"/>
            <w:r>
              <w:rPr>
                <w:rFonts w:hint="eastAsia"/>
                <w:bCs/>
                <w:color w:val="auto"/>
                <w:szCs w:val="21"/>
                <w:highlight w:val="none"/>
              </w:rPr>
              <w:t>合同附件</w:t>
            </w:r>
            <w:bookmarkEnd w:id="177"/>
          </w:p>
          <w:p w14:paraId="76D6F989">
            <w:pPr>
              <w:pStyle w:val="3"/>
              <w:ind w:firstLine="420"/>
              <w:jc w:val="center"/>
              <w:rPr>
                <w:bCs/>
                <w:color w:val="auto"/>
                <w:szCs w:val="21"/>
                <w:highlight w:val="none"/>
              </w:rPr>
            </w:pPr>
            <w:bookmarkStart w:id="179" w:name="_Toc11729"/>
            <w:r>
              <w:rPr>
                <w:bCs/>
                <w:color w:val="auto"/>
                <w:szCs w:val="21"/>
                <w:highlight w:val="none"/>
              </w:rPr>
              <w:t>政 府 采 购 项 目 验 收 单</w:t>
            </w:r>
            <w:bookmarkEnd w:id="178"/>
            <w:bookmarkEnd w:id="179"/>
          </w:p>
        </w:tc>
      </w:tr>
      <w:tr w14:paraId="4C57EF4C">
        <w:tblPrEx>
          <w:tblCellMar>
            <w:top w:w="0" w:type="dxa"/>
            <w:left w:w="108" w:type="dxa"/>
            <w:bottom w:w="0" w:type="dxa"/>
            <w:right w:w="108" w:type="dxa"/>
          </w:tblCellMar>
        </w:tblPrEx>
        <w:trPr>
          <w:trHeight w:val="489" w:hRule="atLeast"/>
        </w:trPr>
        <w:tc>
          <w:tcPr>
            <w:tcW w:w="12600" w:type="dxa"/>
            <w:gridSpan w:val="5"/>
            <w:tcBorders>
              <w:top w:val="nil"/>
              <w:left w:val="nil"/>
              <w:bottom w:val="nil"/>
              <w:right w:val="nil"/>
            </w:tcBorders>
            <w:vAlign w:val="center"/>
          </w:tcPr>
          <w:p w14:paraId="38205B36">
            <w:pPr>
              <w:widowControl/>
              <w:spacing w:line="240" w:lineRule="auto"/>
              <w:ind w:firstLine="0" w:firstLineChars="0"/>
              <w:rPr>
                <w:color w:val="auto"/>
                <w:kern w:val="0"/>
                <w:szCs w:val="21"/>
                <w:highlight w:val="none"/>
              </w:rPr>
            </w:pPr>
            <w:r>
              <w:rPr>
                <w:color w:val="auto"/>
                <w:kern w:val="0"/>
                <w:szCs w:val="21"/>
                <w:highlight w:val="none"/>
              </w:rPr>
              <w:t>按照</w:t>
            </w:r>
            <w:r>
              <w:rPr>
                <w:rFonts w:hint="eastAsia"/>
                <w:color w:val="auto"/>
                <w:kern w:val="0"/>
                <w:szCs w:val="21"/>
                <w:highlight w:val="none"/>
              </w:rPr>
              <w:t>采购计划文号：</w:t>
            </w:r>
            <w:r>
              <w:rPr>
                <w:rFonts w:hint="eastAsia" w:ascii="宋体" w:hAnsi="宋体"/>
                <w:color w:val="auto"/>
                <w:kern w:val="0"/>
                <w:szCs w:val="21"/>
                <w:highlight w:val="none"/>
              </w:rPr>
              <w:t xml:space="preserve">      </w:t>
            </w:r>
            <w:r>
              <w:rPr>
                <w:color w:val="auto"/>
                <w:kern w:val="0"/>
                <w:szCs w:val="21"/>
                <w:highlight w:val="none"/>
              </w:rPr>
              <w:t>，</w:t>
            </w:r>
            <w:r>
              <w:rPr>
                <w:rFonts w:hint="eastAsia"/>
                <w:color w:val="auto"/>
                <w:kern w:val="0"/>
                <w:szCs w:val="21"/>
                <w:highlight w:val="none"/>
              </w:rPr>
              <w:t>项目编号</w:t>
            </w:r>
            <w:r>
              <w:rPr>
                <w:color w:val="auto"/>
                <w:kern w:val="0"/>
                <w:szCs w:val="21"/>
                <w:highlight w:val="none"/>
              </w:rPr>
              <w:t>：</w:t>
            </w:r>
            <w:r>
              <w:rPr>
                <w:rFonts w:hint="eastAsia"/>
                <w:color w:val="auto"/>
                <w:kern w:val="0"/>
                <w:szCs w:val="21"/>
                <w:highlight w:val="none"/>
              </w:rPr>
              <w:t xml:space="preserve">                 </w:t>
            </w:r>
            <w:r>
              <w:rPr>
                <w:rFonts w:hint="eastAsia" w:ascii="宋体" w:hAnsi="宋体" w:eastAsia="宋体"/>
                <w:color w:val="auto"/>
                <w:kern w:val="0"/>
                <w:szCs w:val="21"/>
                <w:highlight w:val="none"/>
              </w:rPr>
              <w:t xml:space="preserve">,合同号：  </w:t>
            </w:r>
          </w:p>
        </w:tc>
      </w:tr>
      <w:tr w14:paraId="3A9190C7">
        <w:tblPrEx>
          <w:tblCellMar>
            <w:top w:w="0" w:type="dxa"/>
            <w:left w:w="108" w:type="dxa"/>
            <w:bottom w:w="0" w:type="dxa"/>
            <w:right w:w="108" w:type="dxa"/>
          </w:tblCellMar>
        </w:tblPrEx>
        <w:trPr>
          <w:trHeight w:val="489" w:hRule="atLeast"/>
        </w:trPr>
        <w:tc>
          <w:tcPr>
            <w:tcW w:w="12600" w:type="dxa"/>
            <w:gridSpan w:val="5"/>
            <w:tcBorders>
              <w:top w:val="nil"/>
              <w:left w:val="nil"/>
              <w:bottom w:val="nil"/>
              <w:right w:val="nil"/>
            </w:tcBorders>
            <w:vAlign w:val="center"/>
          </w:tcPr>
          <w:p w14:paraId="648417CA">
            <w:pPr>
              <w:widowControl/>
              <w:spacing w:line="240" w:lineRule="auto"/>
              <w:ind w:firstLine="0" w:firstLineChars="0"/>
              <w:rPr>
                <w:color w:val="auto"/>
                <w:kern w:val="0"/>
                <w:szCs w:val="21"/>
                <w:highlight w:val="none"/>
              </w:rPr>
            </w:pPr>
            <w:r>
              <w:rPr>
                <w:color w:val="auto"/>
                <w:kern w:val="0"/>
                <w:szCs w:val="21"/>
                <w:highlight w:val="none"/>
              </w:rPr>
              <w:t>以下项目已采购到位并验收合格。</w:t>
            </w:r>
          </w:p>
        </w:tc>
      </w:tr>
      <w:tr w14:paraId="7553AD3D">
        <w:tblPrEx>
          <w:tblCellMar>
            <w:top w:w="0" w:type="dxa"/>
            <w:left w:w="108" w:type="dxa"/>
            <w:bottom w:w="0" w:type="dxa"/>
            <w:right w:w="108" w:type="dxa"/>
          </w:tblCellMar>
        </w:tblPrEx>
        <w:trPr>
          <w:trHeight w:val="988" w:hRule="atLeast"/>
        </w:trPr>
        <w:tc>
          <w:tcPr>
            <w:tcW w:w="4053" w:type="dxa"/>
            <w:tcBorders>
              <w:top w:val="single" w:color="auto" w:sz="4" w:space="0"/>
              <w:left w:val="single" w:color="auto" w:sz="4" w:space="0"/>
              <w:bottom w:val="nil"/>
              <w:right w:val="single" w:color="auto" w:sz="4" w:space="0"/>
            </w:tcBorders>
            <w:vAlign w:val="center"/>
          </w:tcPr>
          <w:p w14:paraId="7D6BE773">
            <w:pPr>
              <w:widowControl/>
              <w:spacing w:line="240" w:lineRule="auto"/>
              <w:ind w:firstLine="0" w:firstLineChars="0"/>
              <w:jc w:val="center"/>
              <w:rPr>
                <w:rFonts w:ascii="微软雅黑" w:hAnsi="微软雅黑"/>
                <w:color w:val="auto"/>
                <w:kern w:val="0"/>
                <w:szCs w:val="21"/>
                <w:highlight w:val="none"/>
              </w:rPr>
            </w:pPr>
            <w:r>
              <w:rPr>
                <w:rFonts w:hint="eastAsia" w:ascii="微软雅黑" w:hAnsi="微软雅黑" w:cs="宋体"/>
                <w:color w:val="auto"/>
                <w:kern w:val="0"/>
                <w:szCs w:val="21"/>
                <w:highlight w:val="none"/>
              </w:rPr>
              <w:t>服务名称</w:t>
            </w:r>
          </w:p>
        </w:tc>
        <w:tc>
          <w:tcPr>
            <w:tcW w:w="3774" w:type="dxa"/>
            <w:tcBorders>
              <w:top w:val="single" w:color="auto" w:sz="4" w:space="0"/>
              <w:left w:val="nil"/>
              <w:bottom w:val="nil"/>
              <w:right w:val="single" w:color="auto" w:sz="4" w:space="0"/>
            </w:tcBorders>
            <w:vAlign w:val="center"/>
          </w:tcPr>
          <w:p w14:paraId="2F9B19B8">
            <w:pPr>
              <w:widowControl/>
              <w:spacing w:line="240" w:lineRule="auto"/>
              <w:ind w:firstLine="0" w:firstLineChars="0"/>
              <w:jc w:val="center"/>
              <w:rPr>
                <w:rFonts w:ascii="微软雅黑" w:hAnsi="微软雅黑"/>
                <w:color w:val="auto"/>
                <w:kern w:val="0"/>
                <w:szCs w:val="21"/>
                <w:highlight w:val="none"/>
              </w:rPr>
            </w:pPr>
            <w:r>
              <w:rPr>
                <w:rFonts w:hint="eastAsia" w:ascii="微软雅黑" w:hAnsi="微软雅黑" w:cs="宋体"/>
                <w:color w:val="auto"/>
                <w:kern w:val="0"/>
                <w:szCs w:val="21"/>
                <w:highlight w:val="none"/>
              </w:rPr>
              <w:t>服务内容</w:t>
            </w:r>
          </w:p>
        </w:tc>
        <w:tc>
          <w:tcPr>
            <w:tcW w:w="1123" w:type="dxa"/>
            <w:tcBorders>
              <w:top w:val="single" w:color="auto" w:sz="4" w:space="0"/>
              <w:left w:val="nil"/>
              <w:bottom w:val="nil"/>
              <w:right w:val="single" w:color="auto" w:sz="4" w:space="0"/>
            </w:tcBorders>
            <w:vAlign w:val="center"/>
          </w:tcPr>
          <w:p w14:paraId="6C3673E5">
            <w:pPr>
              <w:widowControl/>
              <w:spacing w:line="240" w:lineRule="auto"/>
              <w:ind w:firstLine="0" w:firstLineChars="0"/>
              <w:jc w:val="center"/>
              <w:rPr>
                <w:rFonts w:ascii="微软雅黑" w:hAnsi="微软雅黑"/>
                <w:color w:val="auto"/>
                <w:kern w:val="0"/>
                <w:szCs w:val="21"/>
                <w:highlight w:val="none"/>
              </w:rPr>
            </w:pPr>
            <w:r>
              <w:rPr>
                <w:rFonts w:hint="eastAsia" w:ascii="微软雅黑" w:hAnsi="微软雅黑" w:cs="宋体"/>
                <w:color w:val="auto"/>
                <w:kern w:val="0"/>
                <w:szCs w:val="21"/>
                <w:highlight w:val="none"/>
              </w:rPr>
              <w:t>数量</w:t>
            </w:r>
          </w:p>
        </w:tc>
        <w:tc>
          <w:tcPr>
            <w:tcW w:w="1787" w:type="dxa"/>
            <w:tcBorders>
              <w:top w:val="single" w:color="auto" w:sz="4" w:space="0"/>
              <w:left w:val="nil"/>
              <w:bottom w:val="nil"/>
              <w:right w:val="single" w:color="auto" w:sz="4" w:space="0"/>
            </w:tcBorders>
            <w:vAlign w:val="center"/>
          </w:tcPr>
          <w:p w14:paraId="0009000C">
            <w:pPr>
              <w:widowControl/>
              <w:spacing w:line="240" w:lineRule="auto"/>
              <w:ind w:firstLine="0" w:firstLineChars="0"/>
              <w:jc w:val="center"/>
              <w:rPr>
                <w:rFonts w:ascii="微软雅黑" w:hAnsi="微软雅黑"/>
                <w:color w:val="auto"/>
                <w:kern w:val="0"/>
                <w:szCs w:val="21"/>
                <w:highlight w:val="none"/>
              </w:rPr>
            </w:pPr>
            <w:r>
              <w:rPr>
                <w:rFonts w:hint="eastAsia" w:ascii="微软雅黑" w:hAnsi="微软雅黑" w:cs="宋体"/>
                <w:color w:val="auto"/>
                <w:kern w:val="0"/>
                <w:szCs w:val="21"/>
                <w:highlight w:val="none"/>
              </w:rPr>
              <w:t>核定总价</w:t>
            </w:r>
          </w:p>
        </w:tc>
        <w:tc>
          <w:tcPr>
            <w:tcW w:w="1863" w:type="dxa"/>
            <w:tcBorders>
              <w:top w:val="single" w:color="auto" w:sz="4" w:space="0"/>
              <w:left w:val="nil"/>
              <w:bottom w:val="single" w:color="auto" w:sz="4" w:space="0"/>
              <w:right w:val="single" w:color="auto" w:sz="4" w:space="0"/>
            </w:tcBorders>
            <w:vAlign w:val="center"/>
          </w:tcPr>
          <w:p w14:paraId="7453768B">
            <w:pPr>
              <w:widowControl/>
              <w:spacing w:line="240" w:lineRule="auto"/>
              <w:ind w:firstLine="0" w:firstLineChars="0"/>
              <w:jc w:val="center"/>
              <w:rPr>
                <w:rFonts w:ascii="微软雅黑" w:hAnsi="微软雅黑" w:cs="宋体"/>
                <w:color w:val="auto"/>
                <w:kern w:val="0"/>
                <w:szCs w:val="21"/>
                <w:highlight w:val="none"/>
              </w:rPr>
            </w:pPr>
            <w:r>
              <w:rPr>
                <w:rFonts w:hint="eastAsia" w:ascii="微软雅黑" w:hAnsi="微软雅黑" w:cs="宋体"/>
                <w:color w:val="auto"/>
                <w:kern w:val="0"/>
                <w:szCs w:val="21"/>
                <w:highlight w:val="none"/>
              </w:rPr>
              <w:t>采购人</w:t>
            </w:r>
          </w:p>
          <w:p w14:paraId="40F79674">
            <w:pPr>
              <w:widowControl/>
              <w:spacing w:line="240" w:lineRule="auto"/>
              <w:ind w:firstLine="0" w:firstLineChars="0"/>
              <w:jc w:val="center"/>
              <w:rPr>
                <w:rFonts w:ascii="微软雅黑" w:hAnsi="微软雅黑"/>
                <w:color w:val="auto"/>
                <w:kern w:val="0"/>
                <w:szCs w:val="21"/>
                <w:highlight w:val="none"/>
              </w:rPr>
            </w:pPr>
            <w:r>
              <w:rPr>
                <w:rFonts w:hint="eastAsia" w:ascii="微软雅黑" w:hAnsi="微软雅黑" w:cs="宋体"/>
                <w:color w:val="auto"/>
                <w:kern w:val="0"/>
                <w:szCs w:val="21"/>
                <w:highlight w:val="none"/>
              </w:rPr>
              <w:t>验收意见</w:t>
            </w:r>
          </w:p>
        </w:tc>
      </w:tr>
      <w:tr w14:paraId="0FBB8781">
        <w:tblPrEx>
          <w:tblCellMar>
            <w:top w:w="0" w:type="dxa"/>
            <w:left w:w="108" w:type="dxa"/>
            <w:bottom w:w="0" w:type="dxa"/>
            <w:right w:w="108" w:type="dxa"/>
          </w:tblCellMar>
        </w:tblPrEx>
        <w:trPr>
          <w:trHeight w:val="500" w:hRule="atLeast"/>
        </w:trPr>
        <w:tc>
          <w:tcPr>
            <w:tcW w:w="4053" w:type="dxa"/>
            <w:tcBorders>
              <w:top w:val="single" w:color="auto" w:sz="4" w:space="0"/>
              <w:left w:val="single" w:color="auto" w:sz="4" w:space="0"/>
              <w:bottom w:val="single" w:color="auto" w:sz="4" w:space="0"/>
              <w:right w:val="single" w:color="auto" w:sz="4" w:space="0"/>
            </w:tcBorders>
            <w:vAlign w:val="center"/>
          </w:tcPr>
          <w:p w14:paraId="2629F9D8">
            <w:pPr>
              <w:widowControl/>
              <w:spacing w:line="240" w:lineRule="auto"/>
              <w:ind w:firstLine="0" w:firstLineChars="0"/>
              <w:jc w:val="center"/>
              <w:rPr>
                <w:color w:val="auto"/>
                <w:kern w:val="0"/>
                <w:szCs w:val="21"/>
                <w:highlight w:val="none"/>
              </w:rPr>
            </w:pPr>
            <w:r>
              <w:rPr>
                <w:color w:val="auto"/>
                <w:kern w:val="0"/>
                <w:szCs w:val="21"/>
                <w:highlight w:val="none"/>
              </w:rPr>
              <w:t>　</w:t>
            </w:r>
          </w:p>
        </w:tc>
        <w:tc>
          <w:tcPr>
            <w:tcW w:w="3774" w:type="dxa"/>
            <w:tcBorders>
              <w:top w:val="single" w:color="auto" w:sz="4" w:space="0"/>
              <w:left w:val="nil"/>
              <w:bottom w:val="single" w:color="auto" w:sz="4" w:space="0"/>
              <w:right w:val="single" w:color="auto" w:sz="4" w:space="0"/>
            </w:tcBorders>
            <w:vAlign w:val="center"/>
          </w:tcPr>
          <w:p w14:paraId="33629089">
            <w:pPr>
              <w:widowControl/>
              <w:spacing w:line="240" w:lineRule="auto"/>
              <w:ind w:firstLine="0" w:firstLineChars="0"/>
              <w:jc w:val="center"/>
              <w:rPr>
                <w:color w:val="auto"/>
                <w:kern w:val="0"/>
                <w:szCs w:val="21"/>
                <w:highlight w:val="none"/>
              </w:rPr>
            </w:pPr>
            <w:r>
              <w:rPr>
                <w:color w:val="auto"/>
                <w:kern w:val="0"/>
                <w:szCs w:val="21"/>
                <w:highlight w:val="none"/>
              </w:rPr>
              <w:t>　</w:t>
            </w:r>
          </w:p>
        </w:tc>
        <w:tc>
          <w:tcPr>
            <w:tcW w:w="1123" w:type="dxa"/>
            <w:tcBorders>
              <w:top w:val="single" w:color="auto" w:sz="4" w:space="0"/>
              <w:left w:val="nil"/>
              <w:bottom w:val="single" w:color="auto" w:sz="4" w:space="0"/>
              <w:right w:val="single" w:color="auto" w:sz="4" w:space="0"/>
            </w:tcBorders>
            <w:vAlign w:val="center"/>
          </w:tcPr>
          <w:p w14:paraId="674FB308">
            <w:pPr>
              <w:widowControl/>
              <w:spacing w:line="240" w:lineRule="auto"/>
              <w:ind w:firstLine="0" w:firstLineChars="0"/>
              <w:jc w:val="center"/>
              <w:rPr>
                <w:color w:val="auto"/>
                <w:kern w:val="0"/>
                <w:szCs w:val="21"/>
                <w:highlight w:val="none"/>
              </w:rPr>
            </w:pPr>
            <w:r>
              <w:rPr>
                <w:color w:val="auto"/>
                <w:kern w:val="0"/>
                <w:szCs w:val="21"/>
                <w:highlight w:val="none"/>
              </w:rPr>
              <w:t>　</w:t>
            </w:r>
          </w:p>
        </w:tc>
        <w:tc>
          <w:tcPr>
            <w:tcW w:w="1787" w:type="dxa"/>
            <w:tcBorders>
              <w:top w:val="single" w:color="auto" w:sz="4" w:space="0"/>
              <w:left w:val="nil"/>
              <w:bottom w:val="single" w:color="auto" w:sz="4" w:space="0"/>
              <w:right w:val="single" w:color="auto" w:sz="4" w:space="0"/>
            </w:tcBorders>
            <w:vAlign w:val="center"/>
          </w:tcPr>
          <w:p w14:paraId="77941CE2">
            <w:pPr>
              <w:widowControl/>
              <w:spacing w:line="240" w:lineRule="auto"/>
              <w:ind w:firstLine="0" w:firstLineChars="0"/>
              <w:jc w:val="center"/>
              <w:rPr>
                <w:color w:val="auto"/>
                <w:kern w:val="0"/>
                <w:szCs w:val="21"/>
                <w:highlight w:val="none"/>
              </w:rPr>
            </w:pPr>
            <w:r>
              <w:rPr>
                <w:color w:val="auto"/>
                <w:kern w:val="0"/>
                <w:szCs w:val="21"/>
                <w:highlight w:val="none"/>
              </w:rPr>
              <w:t>　</w:t>
            </w:r>
          </w:p>
        </w:tc>
        <w:tc>
          <w:tcPr>
            <w:tcW w:w="1863" w:type="dxa"/>
            <w:tcBorders>
              <w:top w:val="nil"/>
              <w:left w:val="nil"/>
              <w:bottom w:val="single" w:color="auto" w:sz="4" w:space="0"/>
              <w:right w:val="single" w:color="auto" w:sz="4" w:space="0"/>
            </w:tcBorders>
            <w:vAlign w:val="bottom"/>
          </w:tcPr>
          <w:p w14:paraId="08250849">
            <w:pPr>
              <w:widowControl/>
              <w:spacing w:line="240" w:lineRule="auto"/>
              <w:ind w:firstLine="0" w:firstLineChars="0"/>
              <w:rPr>
                <w:color w:val="auto"/>
                <w:kern w:val="0"/>
                <w:szCs w:val="21"/>
                <w:highlight w:val="none"/>
              </w:rPr>
            </w:pPr>
            <w:r>
              <w:rPr>
                <w:color w:val="auto"/>
                <w:kern w:val="0"/>
                <w:szCs w:val="21"/>
                <w:highlight w:val="none"/>
              </w:rPr>
              <w:t>　</w:t>
            </w:r>
          </w:p>
        </w:tc>
      </w:tr>
      <w:tr w14:paraId="3B80636A">
        <w:tblPrEx>
          <w:tblCellMar>
            <w:top w:w="0" w:type="dxa"/>
            <w:left w:w="108" w:type="dxa"/>
            <w:bottom w:w="0" w:type="dxa"/>
            <w:right w:w="108" w:type="dxa"/>
          </w:tblCellMar>
        </w:tblPrEx>
        <w:trPr>
          <w:trHeight w:val="528" w:hRule="atLeast"/>
        </w:trPr>
        <w:tc>
          <w:tcPr>
            <w:tcW w:w="4053" w:type="dxa"/>
            <w:tcBorders>
              <w:top w:val="nil"/>
              <w:left w:val="single" w:color="auto" w:sz="4" w:space="0"/>
              <w:bottom w:val="single" w:color="auto" w:sz="4" w:space="0"/>
              <w:right w:val="single" w:color="auto" w:sz="4" w:space="0"/>
            </w:tcBorders>
            <w:vAlign w:val="center"/>
          </w:tcPr>
          <w:p w14:paraId="284A0F12">
            <w:pPr>
              <w:widowControl/>
              <w:spacing w:line="240" w:lineRule="auto"/>
              <w:ind w:firstLine="0" w:firstLineChars="0"/>
              <w:jc w:val="center"/>
              <w:rPr>
                <w:color w:val="auto"/>
                <w:kern w:val="0"/>
                <w:szCs w:val="21"/>
                <w:highlight w:val="none"/>
              </w:rPr>
            </w:pPr>
            <w:r>
              <w:rPr>
                <w:color w:val="auto"/>
                <w:kern w:val="0"/>
                <w:szCs w:val="21"/>
                <w:highlight w:val="none"/>
              </w:rPr>
              <w:t>合计总价款（人民币）</w:t>
            </w:r>
          </w:p>
        </w:tc>
        <w:tc>
          <w:tcPr>
            <w:tcW w:w="8547" w:type="dxa"/>
            <w:gridSpan w:val="4"/>
            <w:tcBorders>
              <w:top w:val="nil"/>
              <w:left w:val="nil"/>
              <w:bottom w:val="single" w:color="auto" w:sz="4" w:space="0"/>
              <w:right w:val="single" w:color="000000" w:sz="4" w:space="0"/>
            </w:tcBorders>
            <w:vAlign w:val="center"/>
          </w:tcPr>
          <w:p w14:paraId="3C30E9A6">
            <w:pPr>
              <w:widowControl/>
              <w:spacing w:line="240" w:lineRule="auto"/>
              <w:ind w:firstLine="0" w:firstLineChars="0"/>
              <w:rPr>
                <w:color w:val="auto"/>
                <w:kern w:val="0"/>
                <w:szCs w:val="21"/>
                <w:highlight w:val="none"/>
              </w:rPr>
            </w:pPr>
            <w:r>
              <w:rPr>
                <w:color w:val="auto"/>
                <w:kern w:val="0"/>
                <w:szCs w:val="21"/>
                <w:highlight w:val="none"/>
              </w:rPr>
              <w:t>人民币</w:t>
            </w:r>
            <w:r>
              <w:rPr>
                <w:color w:val="auto"/>
                <w:kern w:val="0"/>
                <w:szCs w:val="21"/>
                <w:highlight w:val="none"/>
                <w:u w:val="single"/>
              </w:rPr>
              <w:t xml:space="preserve">                 </w:t>
            </w:r>
            <w:r>
              <w:rPr>
                <w:color w:val="auto"/>
                <w:kern w:val="0"/>
                <w:szCs w:val="21"/>
                <w:highlight w:val="none"/>
              </w:rPr>
              <w:t xml:space="preserve">元整。       ￥: </w:t>
            </w:r>
            <w:r>
              <w:rPr>
                <w:color w:val="auto"/>
                <w:kern w:val="0"/>
                <w:szCs w:val="21"/>
                <w:highlight w:val="none"/>
                <w:u w:val="single"/>
              </w:rPr>
              <w:t xml:space="preserve">             </w:t>
            </w:r>
          </w:p>
        </w:tc>
      </w:tr>
      <w:tr w14:paraId="67FE1BEC">
        <w:tblPrEx>
          <w:tblCellMar>
            <w:top w:w="0" w:type="dxa"/>
            <w:left w:w="108" w:type="dxa"/>
            <w:bottom w:w="0" w:type="dxa"/>
            <w:right w:w="108" w:type="dxa"/>
          </w:tblCellMar>
        </w:tblPrEx>
        <w:trPr>
          <w:trHeight w:val="499" w:hRule="atLeast"/>
        </w:trPr>
        <w:tc>
          <w:tcPr>
            <w:tcW w:w="4053" w:type="dxa"/>
            <w:tcBorders>
              <w:top w:val="nil"/>
              <w:left w:val="single" w:color="auto" w:sz="4" w:space="0"/>
              <w:bottom w:val="nil"/>
              <w:right w:val="nil"/>
            </w:tcBorders>
            <w:vAlign w:val="bottom"/>
          </w:tcPr>
          <w:p w14:paraId="4772B8BE">
            <w:pPr>
              <w:widowControl/>
              <w:spacing w:line="240" w:lineRule="auto"/>
              <w:ind w:firstLine="0" w:firstLineChars="0"/>
              <w:rPr>
                <w:color w:val="auto"/>
                <w:kern w:val="0"/>
                <w:szCs w:val="21"/>
                <w:highlight w:val="none"/>
              </w:rPr>
            </w:pPr>
            <w:r>
              <w:rPr>
                <w:color w:val="auto"/>
                <w:kern w:val="0"/>
                <w:szCs w:val="21"/>
                <w:highlight w:val="none"/>
              </w:rPr>
              <w:t xml:space="preserve">供货单位（盖章）：                     </w:t>
            </w:r>
          </w:p>
        </w:tc>
        <w:tc>
          <w:tcPr>
            <w:tcW w:w="3774" w:type="dxa"/>
            <w:tcBorders>
              <w:top w:val="nil"/>
              <w:left w:val="nil"/>
              <w:bottom w:val="nil"/>
              <w:right w:val="nil"/>
            </w:tcBorders>
            <w:vAlign w:val="center"/>
          </w:tcPr>
          <w:p w14:paraId="172625B2">
            <w:pPr>
              <w:widowControl/>
              <w:spacing w:line="240" w:lineRule="auto"/>
              <w:ind w:firstLine="0" w:firstLineChars="0"/>
              <w:jc w:val="right"/>
              <w:rPr>
                <w:color w:val="auto"/>
                <w:kern w:val="0"/>
                <w:szCs w:val="21"/>
                <w:highlight w:val="none"/>
              </w:rPr>
            </w:pPr>
            <w:r>
              <w:rPr>
                <w:color w:val="auto"/>
                <w:kern w:val="0"/>
                <w:szCs w:val="21"/>
                <w:highlight w:val="none"/>
              </w:rPr>
              <w:t>采购人（盖章）:</w:t>
            </w:r>
          </w:p>
        </w:tc>
        <w:tc>
          <w:tcPr>
            <w:tcW w:w="2910" w:type="dxa"/>
            <w:gridSpan w:val="2"/>
            <w:tcBorders>
              <w:top w:val="nil"/>
              <w:left w:val="nil"/>
              <w:bottom w:val="nil"/>
              <w:right w:val="nil"/>
            </w:tcBorders>
            <w:vAlign w:val="bottom"/>
          </w:tcPr>
          <w:p w14:paraId="2D80DAE2">
            <w:pPr>
              <w:widowControl/>
              <w:spacing w:line="240" w:lineRule="auto"/>
              <w:ind w:firstLine="0" w:firstLineChars="0"/>
              <w:rPr>
                <w:color w:val="auto"/>
                <w:kern w:val="0"/>
                <w:szCs w:val="21"/>
                <w:highlight w:val="none"/>
              </w:rPr>
            </w:pPr>
          </w:p>
        </w:tc>
        <w:tc>
          <w:tcPr>
            <w:tcW w:w="1863" w:type="dxa"/>
            <w:tcBorders>
              <w:top w:val="nil"/>
              <w:left w:val="nil"/>
              <w:bottom w:val="nil"/>
              <w:right w:val="single" w:color="auto" w:sz="4" w:space="0"/>
            </w:tcBorders>
            <w:vAlign w:val="bottom"/>
          </w:tcPr>
          <w:p w14:paraId="4359D2F0">
            <w:pPr>
              <w:widowControl/>
              <w:spacing w:line="240" w:lineRule="auto"/>
              <w:ind w:firstLine="0" w:firstLineChars="0"/>
              <w:rPr>
                <w:color w:val="auto"/>
                <w:kern w:val="0"/>
                <w:szCs w:val="21"/>
                <w:highlight w:val="none"/>
              </w:rPr>
            </w:pPr>
            <w:r>
              <w:rPr>
                <w:color w:val="auto"/>
                <w:kern w:val="0"/>
                <w:szCs w:val="21"/>
                <w:highlight w:val="none"/>
              </w:rPr>
              <w:t>　</w:t>
            </w:r>
          </w:p>
        </w:tc>
      </w:tr>
      <w:tr w14:paraId="4A01415D">
        <w:tblPrEx>
          <w:tblCellMar>
            <w:top w:w="0" w:type="dxa"/>
            <w:left w:w="108" w:type="dxa"/>
            <w:bottom w:w="0" w:type="dxa"/>
            <w:right w:w="108" w:type="dxa"/>
          </w:tblCellMar>
        </w:tblPrEx>
        <w:trPr>
          <w:trHeight w:val="489" w:hRule="atLeast"/>
        </w:trPr>
        <w:tc>
          <w:tcPr>
            <w:tcW w:w="4053" w:type="dxa"/>
            <w:tcBorders>
              <w:top w:val="nil"/>
              <w:left w:val="single" w:color="auto" w:sz="4" w:space="0"/>
              <w:bottom w:val="nil"/>
              <w:right w:val="nil"/>
            </w:tcBorders>
            <w:vAlign w:val="bottom"/>
          </w:tcPr>
          <w:p w14:paraId="1A822BAA">
            <w:pPr>
              <w:widowControl/>
              <w:spacing w:line="240" w:lineRule="auto"/>
              <w:ind w:firstLine="0" w:firstLineChars="0"/>
              <w:rPr>
                <w:color w:val="auto"/>
                <w:kern w:val="0"/>
                <w:szCs w:val="21"/>
                <w:highlight w:val="none"/>
              </w:rPr>
            </w:pPr>
            <w:r>
              <w:rPr>
                <w:color w:val="auto"/>
                <w:kern w:val="0"/>
                <w:szCs w:val="21"/>
                <w:highlight w:val="none"/>
              </w:rPr>
              <w:t>经办项目负责人：</w:t>
            </w:r>
          </w:p>
        </w:tc>
        <w:tc>
          <w:tcPr>
            <w:tcW w:w="3774" w:type="dxa"/>
            <w:tcBorders>
              <w:top w:val="nil"/>
              <w:left w:val="nil"/>
              <w:bottom w:val="nil"/>
              <w:right w:val="nil"/>
            </w:tcBorders>
            <w:vAlign w:val="center"/>
          </w:tcPr>
          <w:p w14:paraId="0ED1E710">
            <w:pPr>
              <w:widowControl/>
              <w:spacing w:line="240" w:lineRule="auto"/>
              <w:ind w:firstLine="0" w:firstLineChars="0"/>
              <w:jc w:val="right"/>
              <w:rPr>
                <w:color w:val="auto"/>
                <w:kern w:val="0"/>
                <w:szCs w:val="21"/>
                <w:highlight w:val="none"/>
              </w:rPr>
            </w:pPr>
            <w:r>
              <w:rPr>
                <w:color w:val="auto"/>
                <w:kern w:val="0"/>
                <w:szCs w:val="21"/>
                <w:highlight w:val="none"/>
              </w:rPr>
              <w:t>项目验收组组长：</w:t>
            </w:r>
          </w:p>
        </w:tc>
        <w:tc>
          <w:tcPr>
            <w:tcW w:w="2910" w:type="dxa"/>
            <w:gridSpan w:val="2"/>
            <w:tcBorders>
              <w:top w:val="nil"/>
              <w:left w:val="nil"/>
              <w:bottom w:val="nil"/>
              <w:right w:val="nil"/>
            </w:tcBorders>
            <w:vAlign w:val="bottom"/>
          </w:tcPr>
          <w:p w14:paraId="2599FD2C">
            <w:pPr>
              <w:widowControl/>
              <w:spacing w:line="240" w:lineRule="auto"/>
              <w:ind w:firstLine="0" w:firstLineChars="0"/>
              <w:rPr>
                <w:color w:val="auto"/>
                <w:kern w:val="0"/>
                <w:szCs w:val="21"/>
                <w:highlight w:val="none"/>
              </w:rPr>
            </w:pPr>
          </w:p>
        </w:tc>
        <w:tc>
          <w:tcPr>
            <w:tcW w:w="1863" w:type="dxa"/>
            <w:tcBorders>
              <w:top w:val="nil"/>
              <w:left w:val="nil"/>
              <w:bottom w:val="nil"/>
              <w:right w:val="single" w:color="auto" w:sz="4" w:space="0"/>
            </w:tcBorders>
            <w:vAlign w:val="bottom"/>
          </w:tcPr>
          <w:p w14:paraId="1F9248D8">
            <w:pPr>
              <w:widowControl/>
              <w:spacing w:line="240" w:lineRule="auto"/>
              <w:ind w:firstLine="0" w:firstLineChars="0"/>
              <w:rPr>
                <w:color w:val="auto"/>
                <w:kern w:val="0"/>
                <w:szCs w:val="21"/>
                <w:highlight w:val="none"/>
              </w:rPr>
            </w:pPr>
            <w:r>
              <w:rPr>
                <w:color w:val="auto"/>
                <w:kern w:val="0"/>
                <w:szCs w:val="21"/>
                <w:highlight w:val="none"/>
              </w:rPr>
              <w:t>　</w:t>
            </w:r>
          </w:p>
        </w:tc>
      </w:tr>
      <w:tr w14:paraId="5F0D0A0F">
        <w:tblPrEx>
          <w:tblCellMar>
            <w:top w:w="0" w:type="dxa"/>
            <w:left w:w="108" w:type="dxa"/>
            <w:bottom w:w="0" w:type="dxa"/>
            <w:right w:w="108" w:type="dxa"/>
          </w:tblCellMar>
        </w:tblPrEx>
        <w:trPr>
          <w:trHeight w:val="489" w:hRule="atLeast"/>
        </w:trPr>
        <w:tc>
          <w:tcPr>
            <w:tcW w:w="4053" w:type="dxa"/>
            <w:tcBorders>
              <w:top w:val="nil"/>
              <w:left w:val="single" w:color="auto" w:sz="4" w:space="0"/>
              <w:bottom w:val="nil"/>
              <w:right w:val="nil"/>
            </w:tcBorders>
            <w:vAlign w:val="bottom"/>
          </w:tcPr>
          <w:p w14:paraId="2D355DC9">
            <w:pPr>
              <w:widowControl/>
              <w:spacing w:line="240" w:lineRule="auto"/>
              <w:ind w:firstLine="0" w:firstLineChars="0"/>
              <w:rPr>
                <w:color w:val="auto"/>
                <w:kern w:val="0"/>
                <w:szCs w:val="21"/>
                <w:highlight w:val="none"/>
              </w:rPr>
            </w:pPr>
            <w:r>
              <w:rPr>
                <w:color w:val="auto"/>
                <w:kern w:val="0"/>
                <w:szCs w:val="21"/>
                <w:highlight w:val="none"/>
              </w:rPr>
              <w:t>联系电话：</w:t>
            </w:r>
          </w:p>
        </w:tc>
        <w:tc>
          <w:tcPr>
            <w:tcW w:w="3774" w:type="dxa"/>
            <w:tcBorders>
              <w:top w:val="nil"/>
              <w:left w:val="nil"/>
              <w:bottom w:val="nil"/>
              <w:right w:val="nil"/>
            </w:tcBorders>
            <w:vAlign w:val="center"/>
          </w:tcPr>
          <w:p w14:paraId="735BA90E">
            <w:pPr>
              <w:widowControl/>
              <w:spacing w:line="240" w:lineRule="auto"/>
              <w:ind w:firstLine="0" w:firstLineChars="0"/>
              <w:jc w:val="right"/>
              <w:rPr>
                <w:color w:val="auto"/>
                <w:kern w:val="0"/>
                <w:szCs w:val="21"/>
                <w:highlight w:val="none"/>
              </w:rPr>
            </w:pPr>
            <w:r>
              <w:rPr>
                <w:color w:val="auto"/>
                <w:kern w:val="0"/>
                <w:szCs w:val="21"/>
                <w:highlight w:val="none"/>
              </w:rPr>
              <w:t>联系电话：</w:t>
            </w:r>
          </w:p>
        </w:tc>
        <w:tc>
          <w:tcPr>
            <w:tcW w:w="1123" w:type="dxa"/>
            <w:tcBorders>
              <w:top w:val="nil"/>
              <w:left w:val="nil"/>
              <w:bottom w:val="nil"/>
              <w:right w:val="nil"/>
            </w:tcBorders>
            <w:vAlign w:val="bottom"/>
          </w:tcPr>
          <w:p w14:paraId="1E717167">
            <w:pPr>
              <w:widowControl/>
              <w:spacing w:line="240" w:lineRule="auto"/>
              <w:ind w:firstLine="0" w:firstLineChars="0"/>
              <w:rPr>
                <w:color w:val="auto"/>
                <w:kern w:val="0"/>
                <w:szCs w:val="21"/>
                <w:highlight w:val="none"/>
              </w:rPr>
            </w:pPr>
          </w:p>
        </w:tc>
        <w:tc>
          <w:tcPr>
            <w:tcW w:w="1787" w:type="dxa"/>
            <w:tcBorders>
              <w:top w:val="nil"/>
              <w:left w:val="nil"/>
              <w:bottom w:val="nil"/>
              <w:right w:val="nil"/>
            </w:tcBorders>
            <w:vAlign w:val="bottom"/>
          </w:tcPr>
          <w:p w14:paraId="011844E1">
            <w:pPr>
              <w:widowControl/>
              <w:spacing w:line="240" w:lineRule="auto"/>
              <w:ind w:firstLine="0" w:firstLineChars="0"/>
              <w:rPr>
                <w:color w:val="auto"/>
                <w:kern w:val="0"/>
                <w:szCs w:val="21"/>
                <w:highlight w:val="none"/>
              </w:rPr>
            </w:pPr>
          </w:p>
        </w:tc>
        <w:tc>
          <w:tcPr>
            <w:tcW w:w="1863" w:type="dxa"/>
            <w:tcBorders>
              <w:top w:val="nil"/>
              <w:left w:val="nil"/>
              <w:bottom w:val="nil"/>
              <w:right w:val="single" w:color="auto" w:sz="4" w:space="0"/>
            </w:tcBorders>
            <w:vAlign w:val="bottom"/>
          </w:tcPr>
          <w:p w14:paraId="1B1711A8">
            <w:pPr>
              <w:widowControl/>
              <w:spacing w:line="240" w:lineRule="auto"/>
              <w:ind w:firstLine="0" w:firstLineChars="0"/>
              <w:rPr>
                <w:color w:val="auto"/>
                <w:kern w:val="0"/>
                <w:szCs w:val="21"/>
                <w:highlight w:val="none"/>
              </w:rPr>
            </w:pPr>
            <w:r>
              <w:rPr>
                <w:color w:val="auto"/>
                <w:kern w:val="0"/>
                <w:szCs w:val="21"/>
                <w:highlight w:val="none"/>
              </w:rPr>
              <w:t>　</w:t>
            </w:r>
          </w:p>
        </w:tc>
      </w:tr>
      <w:tr w14:paraId="73E3255D">
        <w:tblPrEx>
          <w:tblCellMar>
            <w:top w:w="0" w:type="dxa"/>
            <w:left w:w="108" w:type="dxa"/>
            <w:bottom w:w="0" w:type="dxa"/>
            <w:right w:w="108" w:type="dxa"/>
          </w:tblCellMar>
        </w:tblPrEx>
        <w:trPr>
          <w:trHeight w:val="489" w:hRule="atLeast"/>
        </w:trPr>
        <w:tc>
          <w:tcPr>
            <w:tcW w:w="4053" w:type="dxa"/>
            <w:tcBorders>
              <w:top w:val="nil"/>
              <w:left w:val="single" w:color="auto" w:sz="4" w:space="0"/>
              <w:bottom w:val="nil"/>
              <w:right w:val="nil"/>
            </w:tcBorders>
            <w:vAlign w:val="bottom"/>
          </w:tcPr>
          <w:p w14:paraId="1247D75A">
            <w:pPr>
              <w:widowControl/>
              <w:spacing w:line="240" w:lineRule="auto"/>
              <w:ind w:firstLine="0" w:firstLineChars="0"/>
              <w:rPr>
                <w:color w:val="auto"/>
                <w:kern w:val="0"/>
                <w:szCs w:val="21"/>
                <w:highlight w:val="none"/>
              </w:rPr>
            </w:pPr>
            <w:r>
              <w:rPr>
                <w:color w:val="auto"/>
                <w:kern w:val="0"/>
                <w:szCs w:val="21"/>
                <w:highlight w:val="none"/>
              </w:rPr>
              <w:t>开户银行：</w:t>
            </w:r>
          </w:p>
        </w:tc>
        <w:tc>
          <w:tcPr>
            <w:tcW w:w="3774" w:type="dxa"/>
            <w:tcBorders>
              <w:top w:val="nil"/>
              <w:left w:val="nil"/>
              <w:bottom w:val="nil"/>
              <w:right w:val="nil"/>
            </w:tcBorders>
            <w:vAlign w:val="center"/>
          </w:tcPr>
          <w:p w14:paraId="691D5715">
            <w:pPr>
              <w:widowControl/>
              <w:spacing w:line="240" w:lineRule="auto"/>
              <w:ind w:firstLine="0" w:firstLineChars="0"/>
              <w:jc w:val="right"/>
              <w:rPr>
                <w:color w:val="auto"/>
                <w:kern w:val="0"/>
                <w:szCs w:val="21"/>
                <w:highlight w:val="none"/>
              </w:rPr>
            </w:pPr>
            <w:r>
              <w:rPr>
                <w:color w:val="auto"/>
                <w:kern w:val="0"/>
                <w:szCs w:val="21"/>
                <w:highlight w:val="none"/>
              </w:rPr>
              <w:t>项目验收组成员（签名）：</w:t>
            </w:r>
          </w:p>
        </w:tc>
        <w:tc>
          <w:tcPr>
            <w:tcW w:w="1123" w:type="dxa"/>
            <w:tcBorders>
              <w:top w:val="nil"/>
              <w:left w:val="nil"/>
              <w:bottom w:val="nil"/>
              <w:right w:val="nil"/>
            </w:tcBorders>
            <w:vAlign w:val="bottom"/>
          </w:tcPr>
          <w:p w14:paraId="25A2B418">
            <w:pPr>
              <w:widowControl/>
              <w:spacing w:line="240" w:lineRule="auto"/>
              <w:ind w:firstLine="0" w:firstLineChars="0"/>
              <w:rPr>
                <w:color w:val="auto"/>
                <w:kern w:val="0"/>
                <w:szCs w:val="21"/>
                <w:highlight w:val="none"/>
              </w:rPr>
            </w:pPr>
          </w:p>
        </w:tc>
        <w:tc>
          <w:tcPr>
            <w:tcW w:w="1787" w:type="dxa"/>
            <w:tcBorders>
              <w:top w:val="nil"/>
              <w:left w:val="nil"/>
              <w:bottom w:val="nil"/>
              <w:right w:val="nil"/>
            </w:tcBorders>
            <w:vAlign w:val="bottom"/>
          </w:tcPr>
          <w:p w14:paraId="6DE3D309">
            <w:pPr>
              <w:widowControl/>
              <w:spacing w:line="240" w:lineRule="auto"/>
              <w:ind w:firstLine="0" w:firstLineChars="0"/>
              <w:rPr>
                <w:color w:val="auto"/>
                <w:kern w:val="0"/>
                <w:szCs w:val="21"/>
                <w:highlight w:val="none"/>
              </w:rPr>
            </w:pPr>
          </w:p>
        </w:tc>
        <w:tc>
          <w:tcPr>
            <w:tcW w:w="1863" w:type="dxa"/>
            <w:tcBorders>
              <w:top w:val="nil"/>
              <w:left w:val="nil"/>
              <w:bottom w:val="nil"/>
              <w:right w:val="single" w:color="auto" w:sz="4" w:space="0"/>
            </w:tcBorders>
            <w:vAlign w:val="bottom"/>
          </w:tcPr>
          <w:p w14:paraId="5823E3B3">
            <w:pPr>
              <w:widowControl/>
              <w:spacing w:line="240" w:lineRule="auto"/>
              <w:ind w:firstLine="0" w:firstLineChars="0"/>
              <w:rPr>
                <w:color w:val="auto"/>
                <w:kern w:val="0"/>
                <w:szCs w:val="21"/>
                <w:highlight w:val="none"/>
              </w:rPr>
            </w:pPr>
            <w:r>
              <w:rPr>
                <w:color w:val="auto"/>
                <w:kern w:val="0"/>
                <w:szCs w:val="21"/>
                <w:highlight w:val="none"/>
              </w:rPr>
              <w:t>　</w:t>
            </w:r>
          </w:p>
        </w:tc>
      </w:tr>
      <w:tr w14:paraId="3C136FF9">
        <w:tblPrEx>
          <w:tblCellMar>
            <w:top w:w="0" w:type="dxa"/>
            <w:left w:w="108" w:type="dxa"/>
            <w:bottom w:w="0" w:type="dxa"/>
            <w:right w:w="108" w:type="dxa"/>
          </w:tblCellMar>
        </w:tblPrEx>
        <w:trPr>
          <w:trHeight w:val="828" w:hRule="atLeast"/>
        </w:trPr>
        <w:tc>
          <w:tcPr>
            <w:tcW w:w="4053" w:type="dxa"/>
            <w:tcBorders>
              <w:top w:val="nil"/>
              <w:left w:val="single" w:color="auto" w:sz="4" w:space="0"/>
              <w:bottom w:val="single" w:color="auto" w:sz="4" w:space="0"/>
              <w:right w:val="nil"/>
            </w:tcBorders>
            <w:vAlign w:val="center"/>
          </w:tcPr>
          <w:p w14:paraId="6C1D4ABB">
            <w:pPr>
              <w:widowControl/>
              <w:spacing w:line="240" w:lineRule="auto"/>
              <w:ind w:firstLine="0" w:firstLineChars="0"/>
              <w:rPr>
                <w:color w:val="auto"/>
                <w:kern w:val="0"/>
                <w:szCs w:val="21"/>
                <w:highlight w:val="none"/>
              </w:rPr>
            </w:pPr>
            <w:r>
              <w:rPr>
                <w:color w:val="auto"/>
                <w:kern w:val="0"/>
                <w:szCs w:val="21"/>
                <w:highlight w:val="none"/>
              </w:rPr>
              <w:t>银行帐号：</w:t>
            </w:r>
          </w:p>
        </w:tc>
        <w:tc>
          <w:tcPr>
            <w:tcW w:w="3774" w:type="dxa"/>
            <w:tcBorders>
              <w:top w:val="nil"/>
              <w:left w:val="nil"/>
              <w:bottom w:val="single" w:color="auto" w:sz="4" w:space="0"/>
              <w:right w:val="nil"/>
            </w:tcBorders>
            <w:vAlign w:val="bottom"/>
          </w:tcPr>
          <w:p w14:paraId="3AC8E224">
            <w:pPr>
              <w:widowControl/>
              <w:spacing w:line="240" w:lineRule="auto"/>
              <w:ind w:firstLine="0" w:firstLineChars="0"/>
              <w:rPr>
                <w:color w:val="auto"/>
                <w:kern w:val="0"/>
                <w:szCs w:val="21"/>
                <w:highlight w:val="none"/>
              </w:rPr>
            </w:pPr>
            <w:r>
              <w:rPr>
                <w:color w:val="auto"/>
                <w:kern w:val="0"/>
                <w:szCs w:val="21"/>
                <w:highlight w:val="none"/>
              </w:rPr>
              <w:t>　</w:t>
            </w:r>
          </w:p>
        </w:tc>
        <w:tc>
          <w:tcPr>
            <w:tcW w:w="4773" w:type="dxa"/>
            <w:gridSpan w:val="3"/>
            <w:tcBorders>
              <w:top w:val="nil"/>
              <w:left w:val="nil"/>
              <w:bottom w:val="single" w:color="auto" w:sz="4" w:space="0"/>
              <w:right w:val="single" w:color="000000" w:sz="4" w:space="0"/>
            </w:tcBorders>
            <w:vAlign w:val="center"/>
          </w:tcPr>
          <w:p w14:paraId="479862CF">
            <w:pPr>
              <w:widowControl/>
              <w:spacing w:line="240" w:lineRule="auto"/>
              <w:ind w:firstLine="0" w:firstLineChars="0"/>
              <w:rPr>
                <w:color w:val="auto"/>
                <w:kern w:val="0"/>
                <w:szCs w:val="21"/>
                <w:highlight w:val="none"/>
              </w:rPr>
            </w:pPr>
            <w:r>
              <w:rPr>
                <w:color w:val="auto"/>
                <w:kern w:val="0"/>
                <w:szCs w:val="21"/>
                <w:highlight w:val="none"/>
              </w:rPr>
              <w:t>验收时间：       年     月     日</w:t>
            </w:r>
          </w:p>
        </w:tc>
      </w:tr>
      <w:tr w14:paraId="42A8EAF5">
        <w:tblPrEx>
          <w:tblCellMar>
            <w:top w:w="0" w:type="dxa"/>
            <w:left w:w="108" w:type="dxa"/>
            <w:bottom w:w="0" w:type="dxa"/>
            <w:right w:w="108" w:type="dxa"/>
          </w:tblCellMar>
        </w:tblPrEx>
        <w:trPr>
          <w:trHeight w:val="499" w:hRule="atLeast"/>
        </w:trPr>
        <w:tc>
          <w:tcPr>
            <w:tcW w:w="12600" w:type="dxa"/>
            <w:gridSpan w:val="5"/>
            <w:tcBorders>
              <w:top w:val="single" w:color="auto" w:sz="4" w:space="0"/>
              <w:left w:val="nil"/>
              <w:bottom w:val="nil"/>
              <w:right w:val="nil"/>
            </w:tcBorders>
            <w:vAlign w:val="center"/>
          </w:tcPr>
          <w:p w14:paraId="50BB75F4">
            <w:pPr>
              <w:widowControl/>
              <w:spacing w:line="240" w:lineRule="auto"/>
              <w:ind w:firstLine="0" w:firstLineChars="0"/>
              <w:rPr>
                <w:color w:val="auto"/>
                <w:kern w:val="0"/>
                <w:szCs w:val="21"/>
                <w:highlight w:val="none"/>
              </w:rPr>
            </w:pPr>
            <w:r>
              <w:rPr>
                <w:color w:val="auto"/>
                <w:kern w:val="0"/>
                <w:szCs w:val="21"/>
                <w:highlight w:val="none"/>
              </w:rPr>
              <w:t>本单一式四联：第一联采购人留存，第二联作为财政支付凭证，第三联供货单位留存。</w:t>
            </w:r>
          </w:p>
        </w:tc>
      </w:tr>
      <w:bookmarkEnd w:id="172"/>
    </w:tbl>
    <w:p w14:paraId="1C046249">
      <w:pPr>
        <w:pStyle w:val="2"/>
        <w:numPr>
          <w:ilvl w:val="0"/>
          <w:numId w:val="51"/>
        </w:numPr>
        <w:rPr>
          <w:rStyle w:val="66"/>
          <w:b/>
          <w:bCs/>
          <w:color w:val="auto"/>
          <w:highlight w:val="none"/>
        </w:rPr>
        <w:sectPr>
          <w:headerReference r:id="rId26" w:type="first"/>
          <w:footerReference r:id="rId27" w:type="default"/>
          <w:headerReference r:id="rId25" w:type="even"/>
          <w:type w:val="continuous"/>
          <w:pgSz w:w="16840" w:h="11907" w:orient="landscape"/>
          <w:pgMar w:top="1797" w:right="1474" w:bottom="1797" w:left="1247" w:header="851" w:footer="851" w:gutter="0"/>
          <w:cols w:space="720" w:num="1"/>
          <w:docGrid w:linePitch="312" w:charSpace="0"/>
        </w:sectPr>
      </w:pPr>
      <w:bookmarkStart w:id="180" w:name="_Toc25864"/>
      <w:bookmarkStart w:id="181" w:name="_Toc493511828"/>
    </w:p>
    <w:p w14:paraId="76275A36">
      <w:pPr>
        <w:pStyle w:val="2"/>
        <w:numPr>
          <w:ilvl w:val="0"/>
          <w:numId w:val="3"/>
        </w:numPr>
        <w:rPr>
          <w:rStyle w:val="66"/>
          <w:b/>
          <w:bCs/>
          <w:color w:val="auto"/>
          <w:highlight w:val="none"/>
        </w:rPr>
      </w:pPr>
      <w:bookmarkStart w:id="182" w:name="_Toc26505"/>
      <w:bookmarkStart w:id="183" w:name="_Toc2506"/>
      <w:r>
        <w:rPr>
          <w:rStyle w:val="66"/>
          <w:rFonts w:hint="eastAsia"/>
          <w:b/>
          <w:bCs/>
          <w:color w:val="auto"/>
          <w:highlight w:val="none"/>
        </w:rPr>
        <w:t>投标文件相关格式</w:t>
      </w:r>
      <w:bookmarkEnd w:id="180"/>
      <w:bookmarkEnd w:id="181"/>
      <w:bookmarkEnd w:id="182"/>
      <w:bookmarkEnd w:id="183"/>
      <w:bookmarkStart w:id="184" w:name="_Toc430786287"/>
    </w:p>
    <w:bookmarkEnd w:id="184"/>
    <w:p w14:paraId="5EBCBB95">
      <w:pPr>
        <w:pStyle w:val="3"/>
        <w:ind w:firstLine="420"/>
        <w:jc w:val="center"/>
        <w:rPr>
          <w:rFonts w:ascii="微软雅黑" w:hAnsi="微软雅黑" w:cs="仿宋_GB2312"/>
          <w:color w:val="auto"/>
          <w:szCs w:val="21"/>
          <w:highlight w:val="none"/>
        </w:rPr>
      </w:pPr>
      <w:bookmarkStart w:id="185" w:name="_Toc169015146"/>
      <w:bookmarkStart w:id="186" w:name="_Toc28874"/>
      <w:r>
        <w:rPr>
          <w:rFonts w:hint="eastAsia" w:ascii="微软雅黑" w:hAnsi="微软雅黑" w:cs="仿宋_GB2312"/>
          <w:color w:val="auto"/>
          <w:szCs w:val="21"/>
          <w:highlight w:val="none"/>
        </w:rPr>
        <w:t>资格文件部分</w:t>
      </w:r>
      <w:bookmarkEnd w:id="185"/>
      <w:bookmarkEnd w:id="186"/>
    </w:p>
    <w:p w14:paraId="0975279D">
      <w:pPr>
        <w:ind w:firstLine="420"/>
        <w:jc w:val="center"/>
        <w:outlineLvl w:val="0"/>
        <w:rPr>
          <w:rFonts w:ascii="微软雅黑" w:hAnsi="微软雅黑" w:cs="仿宋_GB2312"/>
          <w:b/>
          <w:color w:val="auto"/>
          <w:kern w:val="0"/>
          <w:szCs w:val="21"/>
          <w:highlight w:val="none"/>
        </w:rPr>
      </w:pPr>
      <w:bookmarkStart w:id="187" w:name="_Toc28300"/>
      <w:bookmarkStart w:id="188" w:name="_Toc24210"/>
      <w:bookmarkStart w:id="189" w:name="_Toc164943223"/>
      <w:bookmarkStart w:id="190" w:name="_Toc2384"/>
      <w:bookmarkStart w:id="191" w:name="_Toc169015147"/>
      <w:r>
        <w:rPr>
          <w:rFonts w:hint="eastAsia" w:ascii="微软雅黑" w:hAnsi="微软雅黑" w:cs="仿宋_GB2312"/>
          <w:b/>
          <w:color w:val="auto"/>
          <w:kern w:val="0"/>
          <w:szCs w:val="21"/>
          <w:highlight w:val="none"/>
        </w:rPr>
        <w:t>目录</w:t>
      </w:r>
      <w:bookmarkEnd w:id="187"/>
      <w:bookmarkEnd w:id="188"/>
      <w:bookmarkEnd w:id="189"/>
      <w:bookmarkEnd w:id="190"/>
      <w:bookmarkEnd w:id="191"/>
    </w:p>
    <w:p w14:paraId="52D7ACB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rPr>
          <w:rFonts w:hint="eastAsia" w:ascii="微软雅黑" w:hAnsi="微软雅黑" w:cs="宋体"/>
          <w:color w:val="auto"/>
          <w:kern w:val="0"/>
          <w:szCs w:val="21"/>
          <w:highlight w:val="none"/>
        </w:rPr>
      </w:pPr>
      <w:r>
        <w:rPr>
          <w:rFonts w:hint="eastAsia" w:ascii="微软雅黑" w:hAnsi="微软雅黑" w:cs="宋体"/>
          <w:color w:val="auto"/>
          <w:kern w:val="0"/>
          <w:szCs w:val="21"/>
          <w:highlight w:val="none"/>
        </w:rPr>
        <w:t>（1）符合参加政府采购活动应当具备的一般条件的承诺函……………（页码）</w:t>
      </w:r>
    </w:p>
    <w:p w14:paraId="14FFC17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rPr>
          <w:rFonts w:hint="eastAsia" w:ascii="微软雅黑" w:hAnsi="微软雅黑" w:cs="宋体"/>
          <w:color w:val="auto"/>
          <w:kern w:val="0"/>
          <w:szCs w:val="21"/>
          <w:highlight w:val="none"/>
        </w:rPr>
      </w:pPr>
      <w:r>
        <w:rPr>
          <w:rFonts w:hint="eastAsia" w:ascii="微软雅黑" w:hAnsi="微软雅黑" w:cs="宋体"/>
          <w:color w:val="auto"/>
          <w:kern w:val="0"/>
          <w:szCs w:val="21"/>
          <w:highlight w:val="none"/>
        </w:rPr>
        <w:t>（2）落实政府采购政策需满足的资格要求………………………………（页码）</w:t>
      </w:r>
    </w:p>
    <w:p w14:paraId="460756C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rPr>
          <w:rFonts w:hint="eastAsia" w:ascii="微软雅黑" w:hAnsi="微软雅黑" w:cs="宋体"/>
          <w:color w:val="auto"/>
          <w:kern w:val="0"/>
          <w:szCs w:val="21"/>
          <w:highlight w:val="none"/>
        </w:rPr>
      </w:pPr>
      <w:r>
        <w:rPr>
          <w:rFonts w:hint="eastAsia" w:ascii="微软雅黑" w:hAnsi="微软雅黑" w:cs="宋体"/>
          <w:color w:val="auto"/>
          <w:kern w:val="0"/>
          <w:szCs w:val="21"/>
          <w:highlight w:val="none"/>
        </w:rPr>
        <w:t>（</w:t>
      </w:r>
      <w:r>
        <w:rPr>
          <w:rFonts w:hint="eastAsia" w:ascii="微软雅黑" w:hAnsi="微软雅黑" w:cs="宋体"/>
          <w:color w:val="auto"/>
          <w:kern w:val="0"/>
          <w:szCs w:val="21"/>
          <w:highlight w:val="none"/>
          <w:lang w:val="en-US" w:eastAsia="zh-CN"/>
        </w:rPr>
        <w:t>3</w:t>
      </w:r>
      <w:r>
        <w:rPr>
          <w:rFonts w:hint="eastAsia" w:ascii="微软雅黑" w:hAnsi="微软雅黑" w:cs="宋体"/>
          <w:color w:val="auto"/>
          <w:kern w:val="0"/>
          <w:szCs w:val="21"/>
          <w:highlight w:val="none"/>
        </w:rPr>
        <w:t>）企业法人营业执照副本复印件………………………………（页码）</w:t>
      </w:r>
    </w:p>
    <w:p w14:paraId="3E32A82C">
      <w:pPr>
        <w:pStyle w:val="20"/>
        <w:ind w:firstLine="404"/>
        <w:rPr>
          <w:rFonts w:hint="eastAsia" w:ascii="微软雅黑" w:hAnsi="微软雅黑" w:cs="仿宋_GB2312"/>
          <w:color w:val="auto"/>
          <w:sz w:val="21"/>
          <w:szCs w:val="21"/>
          <w:highlight w:val="none"/>
        </w:rPr>
      </w:pPr>
    </w:p>
    <w:p w14:paraId="3F764014">
      <w:pPr>
        <w:snapToGrid w:val="0"/>
        <w:ind w:right="480" w:firstLine="420"/>
        <w:jc w:val="both"/>
        <w:outlineLvl w:val="1"/>
        <w:rPr>
          <w:rFonts w:hint="eastAsia" w:ascii="微软雅黑" w:hAnsi="微软雅黑" w:cs="仿宋_GB2312"/>
          <w:b/>
          <w:color w:val="auto"/>
          <w:kern w:val="0"/>
          <w:szCs w:val="21"/>
          <w:highlight w:val="none"/>
        </w:rPr>
        <w:sectPr>
          <w:footerReference r:id="rId28" w:type="default"/>
          <w:pgSz w:w="11906" w:h="16838"/>
          <w:pgMar w:top="1474" w:right="1134" w:bottom="1134" w:left="1474" w:header="851" w:footer="992" w:gutter="0"/>
          <w:cols w:space="720" w:num="1"/>
          <w:titlePg/>
          <w:docGrid w:linePitch="312" w:charSpace="0"/>
        </w:sectPr>
      </w:pPr>
    </w:p>
    <w:p w14:paraId="0A7901EB">
      <w:pPr>
        <w:pStyle w:val="20"/>
        <w:ind w:firstLine="404"/>
        <w:rPr>
          <w:rFonts w:ascii="微软雅黑" w:hAnsi="微软雅黑" w:cs="仿宋_GB2312"/>
          <w:color w:val="auto"/>
          <w:sz w:val="21"/>
          <w:szCs w:val="21"/>
          <w:highlight w:val="none"/>
        </w:rPr>
      </w:pPr>
    </w:p>
    <w:p w14:paraId="7FD3136E">
      <w:pPr>
        <w:snapToGrid w:val="0"/>
        <w:ind w:right="480" w:firstLine="420"/>
        <w:jc w:val="both"/>
        <w:outlineLvl w:val="1"/>
        <w:rPr>
          <w:rFonts w:ascii="微软雅黑" w:hAnsi="微软雅黑" w:cs="仿宋_GB2312"/>
          <w:b/>
          <w:color w:val="auto"/>
          <w:kern w:val="0"/>
          <w:szCs w:val="21"/>
          <w:highlight w:val="none"/>
        </w:rPr>
      </w:pPr>
      <w:bookmarkStart w:id="192" w:name="_Toc9621"/>
      <w:r>
        <w:rPr>
          <w:rFonts w:ascii="微软雅黑" w:hAnsi="微软雅黑" w:cs="仿宋_GB2312"/>
          <w:b/>
          <w:color w:val="auto"/>
          <w:kern w:val="0"/>
          <w:szCs w:val="21"/>
          <w:highlight w:val="none"/>
        </w:rPr>
        <w:t>一、 符合参加政府采购活动应当具备的一般条件的承诺函</w:t>
      </w:r>
      <w:bookmarkEnd w:id="192"/>
    </w:p>
    <w:p w14:paraId="5F9D6D3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rPr>
          <w:rFonts w:ascii="微软雅黑" w:hAnsi="微软雅黑" w:cs="宋体"/>
          <w:color w:val="auto"/>
          <w:kern w:val="0"/>
          <w:szCs w:val="21"/>
          <w:highlight w:val="none"/>
        </w:rPr>
      </w:pPr>
      <w:r>
        <w:rPr>
          <w:rFonts w:hint="eastAsia" w:ascii="微软雅黑" w:hAnsi="微软雅黑" w:cs="宋体"/>
          <w:color w:val="auto"/>
          <w:kern w:val="0"/>
          <w:szCs w:val="21"/>
          <w:highlight w:val="none"/>
        </w:rPr>
        <w:t>（采购人）、（采购代理机构）：</w:t>
      </w:r>
    </w:p>
    <w:p w14:paraId="357342A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rPr>
          <w:rFonts w:ascii="微软雅黑" w:hAnsi="微软雅黑" w:cs="宋体"/>
          <w:color w:val="auto"/>
          <w:kern w:val="0"/>
          <w:szCs w:val="21"/>
          <w:highlight w:val="none"/>
        </w:rPr>
      </w:pPr>
      <w:r>
        <w:rPr>
          <w:rFonts w:hint="eastAsia" w:ascii="微软雅黑" w:hAnsi="微软雅黑" w:cs="宋体"/>
          <w:color w:val="auto"/>
          <w:kern w:val="0"/>
          <w:szCs w:val="21"/>
          <w:highlight w:val="none"/>
        </w:rPr>
        <w:t>我方参与（项目名称）【项目编号】政府采购活动，郑重承诺：</w:t>
      </w:r>
    </w:p>
    <w:p w14:paraId="21D1B81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rPr>
          <w:rFonts w:ascii="微软雅黑" w:hAnsi="微软雅黑" w:cs="宋体"/>
          <w:color w:val="auto"/>
          <w:kern w:val="0"/>
          <w:szCs w:val="21"/>
          <w:highlight w:val="none"/>
        </w:rPr>
      </w:pPr>
      <w:r>
        <w:rPr>
          <w:rFonts w:hint="eastAsia" w:ascii="微软雅黑" w:hAnsi="微软雅黑" w:cs="宋体"/>
          <w:color w:val="auto"/>
          <w:kern w:val="0"/>
          <w:szCs w:val="21"/>
          <w:highlight w:val="none"/>
        </w:rPr>
        <w:t>（一）具备《中华人民共和国政府采购法》第二十二条第一款规定的条件：</w:t>
      </w:r>
    </w:p>
    <w:p w14:paraId="058F607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rPr>
          <w:rFonts w:ascii="微软雅黑" w:hAnsi="微软雅黑" w:cs="宋体"/>
          <w:color w:val="auto"/>
          <w:kern w:val="0"/>
          <w:szCs w:val="21"/>
          <w:highlight w:val="none"/>
        </w:rPr>
      </w:pPr>
      <w:r>
        <w:rPr>
          <w:rFonts w:hint="eastAsia" w:ascii="微软雅黑" w:hAnsi="微软雅黑" w:cs="宋体"/>
          <w:color w:val="auto"/>
          <w:kern w:val="0"/>
          <w:szCs w:val="21"/>
          <w:highlight w:val="none"/>
        </w:rPr>
        <w:t>1、具有独立承担民事责任的能力；</w:t>
      </w:r>
    </w:p>
    <w:p w14:paraId="687535A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rPr>
          <w:rFonts w:ascii="微软雅黑" w:hAnsi="微软雅黑" w:cs="宋体"/>
          <w:color w:val="auto"/>
          <w:kern w:val="0"/>
          <w:szCs w:val="21"/>
          <w:highlight w:val="none"/>
        </w:rPr>
      </w:pPr>
      <w:r>
        <w:rPr>
          <w:rFonts w:hint="eastAsia" w:ascii="微软雅黑" w:hAnsi="微软雅黑" w:cs="宋体"/>
          <w:color w:val="auto"/>
          <w:kern w:val="0"/>
          <w:szCs w:val="21"/>
          <w:highlight w:val="none"/>
        </w:rPr>
        <w:t xml:space="preserve">2、具有良好的商业信誉和健全的财务会计制度； </w:t>
      </w:r>
    </w:p>
    <w:p w14:paraId="739777B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rPr>
          <w:rFonts w:ascii="微软雅黑" w:hAnsi="微软雅黑" w:cs="宋体"/>
          <w:color w:val="auto"/>
          <w:kern w:val="0"/>
          <w:szCs w:val="21"/>
          <w:highlight w:val="none"/>
        </w:rPr>
      </w:pPr>
      <w:r>
        <w:rPr>
          <w:rFonts w:hint="eastAsia" w:ascii="微软雅黑" w:hAnsi="微软雅黑" w:cs="宋体"/>
          <w:color w:val="auto"/>
          <w:kern w:val="0"/>
          <w:szCs w:val="21"/>
          <w:highlight w:val="none"/>
        </w:rPr>
        <w:t>3、具有履行合同所必需的设备和专业技术能力；</w:t>
      </w:r>
    </w:p>
    <w:p w14:paraId="14D8AEF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rPr>
          <w:rFonts w:ascii="微软雅黑" w:hAnsi="微软雅黑" w:cs="宋体"/>
          <w:color w:val="auto"/>
          <w:kern w:val="0"/>
          <w:szCs w:val="21"/>
          <w:highlight w:val="none"/>
        </w:rPr>
      </w:pPr>
      <w:r>
        <w:rPr>
          <w:rFonts w:hint="eastAsia" w:ascii="微软雅黑" w:hAnsi="微软雅黑" w:cs="宋体"/>
          <w:color w:val="auto"/>
          <w:kern w:val="0"/>
          <w:szCs w:val="21"/>
          <w:highlight w:val="none"/>
        </w:rPr>
        <w:t>4、有依法缴纳税收和社会保障资金的良好记录；</w:t>
      </w:r>
    </w:p>
    <w:p w14:paraId="57BC89B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rPr>
          <w:rFonts w:ascii="微软雅黑" w:hAnsi="微软雅黑" w:cs="宋体"/>
          <w:color w:val="auto"/>
          <w:kern w:val="0"/>
          <w:szCs w:val="21"/>
          <w:highlight w:val="none"/>
        </w:rPr>
      </w:pPr>
      <w:r>
        <w:rPr>
          <w:rFonts w:hint="eastAsia" w:ascii="微软雅黑" w:hAnsi="微软雅黑" w:cs="宋体"/>
          <w:color w:val="auto"/>
          <w:kern w:val="0"/>
          <w:szCs w:val="21"/>
          <w:highlight w:val="none"/>
        </w:rPr>
        <w:t>5、参加政府采购活动前三年内，在经营活动中没有重大违法记录；</w:t>
      </w:r>
    </w:p>
    <w:p w14:paraId="76FB87AB">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rPr>
          <w:rFonts w:ascii="微软雅黑" w:hAnsi="微软雅黑" w:cs="宋体"/>
          <w:color w:val="auto"/>
          <w:kern w:val="0"/>
          <w:szCs w:val="21"/>
          <w:highlight w:val="none"/>
        </w:rPr>
      </w:pPr>
      <w:r>
        <w:rPr>
          <w:rFonts w:hint="eastAsia" w:ascii="微软雅黑" w:hAnsi="微软雅黑" w:cs="宋体"/>
          <w:color w:val="auto"/>
          <w:kern w:val="0"/>
          <w:szCs w:val="21"/>
          <w:highlight w:val="none"/>
        </w:rPr>
        <w:t>6、具有法律、行政法规规定的其他条件。</w:t>
      </w:r>
    </w:p>
    <w:p w14:paraId="2A909DB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rPr>
          <w:rFonts w:ascii="微软雅黑" w:hAnsi="微软雅黑" w:cs="宋体"/>
          <w:color w:val="auto"/>
          <w:kern w:val="0"/>
          <w:szCs w:val="21"/>
          <w:highlight w:val="none"/>
        </w:rPr>
      </w:pPr>
      <w:r>
        <w:rPr>
          <w:rFonts w:hint="eastAsia" w:ascii="微软雅黑" w:hAnsi="微软雅黑" w:cs="宋体"/>
          <w:color w:val="auto"/>
          <w:kern w:val="0"/>
          <w:szCs w:val="21"/>
          <w:highlight w:val="none"/>
        </w:rPr>
        <w:t>（二）未被信用中国（www.creditchina.gov.cn)、中国政府采购网（www.ccgp.gov.cn）列入失信被执行人、重大税收违法案件当事人名单、政府采购严重违法失信行为记录名单。</w:t>
      </w:r>
    </w:p>
    <w:p w14:paraId="08FE387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rPr>
          <w:rFonts w:ascii="微软雅黑" w:hAnsi="微软雅黑" w:cs="宋体"/>
          <w:color w:val="auto"/>
          <w:kern w:val="0"/>
          <w:szCs w:val="21"/>
          <w:highlight w:val="none"/>
        </w:rPr>
      </w:pPr>
      <w:r>
        <w:rPr>
          <w:rFonts w:hint="eastAsia" w:ascii="微软雅黑" w:hAnsi="微软雅黑" w:cs="宋体"/>
          <w:color w:val="auto"/>
          <w:kern w:val="0"/>
          <w:szCs w:val="21"/>
          <w:highlight w:val="none"/>
        </w:rPr>
        <w:t>（三）不存在以下情况：</w:t>
      </w:r>
    </w:p>
    <w:p w14:paraId="1BC7EFD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rPr>
          <w:rFonts w:ascii="微软雅黑" w:hAnsi="微软雅黑" w:cs="宋体"/>
          <w:color w:val="auto"/>
          <w:kern w:val="0"/>
          <w:szCs w:val="21"/>
          <w:highlight w:val="none"/>
        </w:rPr>
      </w:pPr>
      <w:r>
        <w:rPr>
          <w:rFonts w:hint="eastAsia" w:ascii="微软雅黑" w:hAnsi="微软雅黑" w:cs="宋体"/>
          <w:color w:val="auto"/>
          <w:kern w:val="0"/>
          <w:szCs w:val="21"/>
          <w:highlight w:val="none"/>
        </w:rPr>
        <w:t>1、单位负责人为同一人或者存在直接控股、管理关系的不同供应商参加同一合同项下的政府采购活动的；</w:t>
      </w:r>
    </w:p>
    <w:p w14:paraId="6047D13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rPr>
          <w:rFonts w:ascii="微软雅黑" w:hAnsi="微软雅黑" w:cs="宋体"/>
          <w:color w:val="auto"/>
          <w:kern w:val="0"/>
          <w:szCs w:val="21"/>
          <w:highlight w:val="none"/>
        </w:rPr>
      </w:pPr>
      <w:r>
        <w:rPr>
          <w:rFonts w:hint="eastAsia" w:ascii="微软雅黑" w:hAnsi="微软雅黑" w:cs="宋体"/>
          <w:color w:val="auto"/>
          <w:kern w:val="0"/>
          <w:szCs w:val="21"/>
          <w:highlight w:val="none"/>
        </w:rPr>
        <w:t>2、为采购项目提供整体设计、规范编制或者项目管理、监理、检测等服务后再参加该采购项目的其他采购活动的。</w:t>
      </w:r>
    </w:p>
    <w:p w14:paraId="3E31C581">
      <w:pPr>
        <w:snapToGrid w:val="0"/>
        <w:spacing w:before="120" w:beforeLines="50"/>
        <w:ind w:firstLine="420"/>
        <w:jc w:val="center"/>
        <w:rPr>
          <w:rFonts w:ascii="微软雅黑" w:hAnsi="微软雅黑"/>
          <w:color w:val="auto"/>
          <w:szCs w:val="21"/>
          <w:highlight w:val="none"/>
          <w:u w:val="single"/>
        </w:rPr>
      </w:pPr>
      <w:r>
        <w:rPr>
          <w:rFonts w:hint="eastAsia" w:ascii="微软雅黑" w:hAnsi="微软雅黑" w:cs="Arial"/>
          <w:color w:val="auto"/>
          <w:kern w:val="0"/>
          <w:szCs w:val="21"/>
          <w:highlight w:val="none"/>
        </w:rPr>
        <w:t xml:space="preserve"> 法定代表人或</w:t>
      </w:r>
      <w:r>
        <w:rPr>
          <w:rFonts w:hint="eastAsia" w:ascii="微软雅黑" w:hAnsi="微软雅黑"/>
          <w:color w:val="auto"/>
          <w:szCs w:val="21"/>
          <w:highlight w:val="none"/>
        </w:rPr>
        <w:t>被授权人签字（或盖章）：</w:t>
      </w:r>
    </w:p>
    <w:p w14:paraId="1672CB3E">
      <w:pPr>
        <w:pStyle w:val="122"/>
        <w:ind w:firstLine="420"/>
        <w:jc w:val="center"/>
        <w:rPr>
          <w:rFonts w:ascii="微软雅黑" w:hAnsi="微软雅黑" w:eastAsia="微软雅黑" w:cs="宋体"/>
          <w:color w:val="auto"/>
          <w:sz w:val="21"/>
          <w:szCs w:val="21"/>
          <w:highlight w:val="none"/>
        </w:rPr>
      </w:pPr>
      <w:r>
        <w:rPr>
          <w:rFonts w:hint="eastAsia" w:ascii="微软雅黑" w:hAnsi="微软雅黑" w:eastAsia="微软雅黑" w:cs="宋体"/>
          <w:color w:val="auto"/>
          <w:sz w:val="21"/>
          <w:szCs w:val="21"/>
          <w:highlight w:val="none"/>
        </w:rPr>
        <w:t xml:space="preserve">             供应商名称（公章）：</w:t>
      </w:r>
    </w:p>
    <w:p w14:paraId="4CEBDA25">
      <w:pPr>
        <w:pStyle w:val="122"/>
        <w:ind w:firstLine="420"/>
        <w:jc w:val="center"/>
        <w:rPr>
          <w:rFonts w:ascii="微软雅黑" w:hAnsi="微软雅黑" w:eastAsia="微软雅黑"/>
          <w:color w:val="auto"/>
          <w:sz w:val="21"/>
          <w:szCs w:val="21"/>
          <w:highlight w:val="none"/>
        </w:rPr>
      </w:pPr>
      <w:r>
        <w:rPr>
          <w:rFonts w:hint="eastAsia" w:ascii="微软雅黑" w:hAnsi="微软雅黑" w:eastAsia="微软雅黑"/>
          <w:color w:val="auto"/>
          <w:sz w:val="21"/>
          <w:szCs w:val="21"/>
          <w:highlight w:val="none"/>
        </w:rPr>
        <w:t xml:space="preserve">          日期： 年 月 日</w:t>
      </w:r>
    </w:p>
    <w:p w14:paraId="0F1CA85E">
      <w:pPr>
        <w:pStyle w:val="122"/>
        <w:ind w:firstLine="420"/>
        <w:jc w:val="center"/>
        <w:rPr>
          <w:rFonts w:ascii="微软雅黑" w:hAnsi="微软雅黑" w:eastAsia="微软雅黑"/>
          <w:color w:val="auto"/>
          <w:sz w:val="21"/>
          <w:szCs w:val="21"/>
          <w:highlight w:val="none"/>
        </w:rPr>
      </w:pPr>
    </w:p>
    <w:p w14:paraId="083CF8FB">
      <w:pPr>
        <w:ind w:firstLine="420"/>
        <w:rPr>
          <w:rFonts w:ascii="微软雅黑" w:hAnsi="微软雅黑" w:cs="仿宋_GB2312"/>
          <w:color w:val="auto"/>
          <w:szCs w:val="21"/>
          <w:highlight w:val="none"/>
        </w:rPr>
        <w:sectPr>
          <w:footerReference r:id="rId29" w:type="default"/>
          <w:pgSz w:w="11907" w:h="16840"/>
          <w:pgMar w:top="1276" w:right="1418" w:bottom="1247" w:left="1418" w:header="851" w:footer="992" w:gutter="0"/>
          <w:cols w:space="720" w:num="1"/>
          <w:titlePg/>
          <w:docGrid w:linePitch="312" w:charSpace="0"/>
        </w:sectPr>
      </w:pPr>
    </w:p>
    <w:p w14:paraId="3B1989B1">
      <w:pPr>
        <w:snapToGrid w:val="0"/>
        <w:spacing w:line="440" w:lineRule="exact"/>
        <w:ind w:right="480" w:firstLine="420"/>
        <w:jc w:val="center"/>
        <w:outlineLvl w:val="1"/>
        <w:rPr>
          <w:rFonts w:hint="eastAsia" w:ascii="微软雅黑" w:hAnsi="微软雅黑" w:cs="仿宋_GB2312"/>
          <w:b/>
          <w:color w:val="auto"/>
          <w:kern w:val="0"/>
          <w:szCs w:val="21"/>
          <w:highlight w:val="none"/>
        </w:rPr>
      </w:pPr>
      <w:r>
        <w:rPr>
          <w:rFonts w:hint="eastAsia" w:ascii="微软雅黑" w:hAnsi="微软雅黑"/>
          <w:color w:val="auto"/>
          <w:szCs w:val="21"/>
          <w:highlight w:val="none"/>
        </w:rPr>
        <w:t>二、</w:t>
      </w:r>
      <w:r>
        <w:rPr>
          <w:rFonts w:hint="eastAsia" w:ascii="微软雅黑" w:hAnsi="微软雅黑" w:cs="仿宋_GB2312"/>
          <w:b/>
          <w:color w:val="auto"/>
          <w:kern w:val="0"/>
          <w:szCs w:val="21"/>
          <w:highlight w:val="none"/>
        </w:rPr>
        <w:t>落实政府采购政策需满足的资格要求</w:t>
      </w:r>
    </w:p>
    <w:p w14:paraId="655EEF3A">
      <w:pPr>
        <w:snapToGrid w:val="0"/>
        <w:ind w:firstLine="420"/>
        <w:jc w:val="left"/>
        <w:outlineLvl w:val="1"/>
        <w:rPr>
          <w:rFonts w:hint="default"/>
          <w:b/>
          <w:color w:val="auto"/>
          <w:highlight w:val="none"/>
          <w:lang w:val="en-US" w:eastAsia="zh-CN"/>
        </w:rPr>
      </w:pPr>
      <w:r>
        <w:rPr>
          <w:rFonts w:hint="eastAsia"/>
          <w:b/>
          <w:color w:val="auto"/>
          <w:highlight w:val="none"/>
          <w:lang w:val="en-US" w:eastAsia="zh-CN"/>
        </w:rPr>
        <w:t>标项一</w:t>
      </w:r>
    </w:p>
    <w:p w14:paraId="58F6DBA0">
      <w:pPr>
        <w:snapToGrid w:val="0"/>
        <w:ind w:firstLine="420"/>
        <w:jc w:val="center"/>
        <w:outlineLvl w:val="1"/>
        <w:rPr>
          <w:rFonts w:ascii="微软雅黑" w:hAnsi="微软雅黑" w:cs="宋体"/>
          <w:b/>
          <w:bCs/>
          <w:color w:val="auto"/>
          <w:szCs w:val="21"/>
          <w:highlight w:val="none"/>
        </w:rPr>
      </w:pPr>
      <w:r>
        <w:rPr>
          <w:rFonts w:hint="eastAsia" w:ascii="微软雅黑" w:hAnsi="微软雅黑" w:cs="宋体"/>
          <w:b/>
          <w:bCs/>
          <w:color w:val="auto"/>
          <w:szCs w:val="21"/>
          <w:highlight w:val="none"/>
        </w:rPr>
        <w:t>中小企业声明函</w:t>
      </w:r>
    </w:p>
    <w:p w14:paraId="2428B4D8">
      <w:pPr>
        <w:snapToGrid w:val="0"/>
        <w:ind w:firstLine="630" w:firstLineChars="300"/>
        <w:rPr>
          <w:rFonts w:hint="eastAsia" w:ascii="微软雅黑" w:hAnsi="微软雅黑" w:cs="宋体"/>
          <w:color w:val="auto"/>
          <w:szCs w:val="21"/>
          <w:highlight w:val="none"/>
        </w:rPr>
      </w:pPr>
      <w:r>
        <w:rPr>
          <w:rFonts w:hint="eastAsia" w:ascii="微软雅黑" w:hAnsi="微软雅黑" w:cs="宋体"/>
          <w:color w:val="auto"/>
          <w:szCs w:val="21"/>
          <w:highlight w:val="none"/>
        </w:rPr>
        <w:t>本公司郑重声明，根据《政府采购促进中小企业发展管理办法》（财库﹝2020﹞46 号）的规定，本公司参加</w:t>
      </w:r>
      <w:r>
        <w:rPr>
          <w:rFonts w:hint="eastAsia" w:ascii="微软雅黑" w:hAnsi="微软雅黑" w:cs="宋体"/>
          <w:color w:val="auto"/>
          <w:szCs w:val="21"/>
          <w:highlight w:val="none"/>
          <w:u w:val="single"/>
        </w:rPr>
        <w:t>（单位名称）</w:t>
      </w:r>
      <w:r>
        <w:rPr>
          <w:rFonts w:hint="eastAsia" w:ascii="微软雅黑" w:hAnsi="微软雅黑" w:cs="宋体"/>
          <w:color w:val="auto"/>
          <w:szCs w:val="21"/>
          <w:highlight w:val="none"/>
        </w:rPr>
        <w:t>的</w:t>
      </w:r>
      <w:r>
        <w:rPr>
          <w:rFonts w:hint="eastAsia" w:ascii="微软雅黑" w:hAnsi="微软雅黑" w:cs="宋体"/>
          <w:color w:val="auto"/>
          <w:szCs w:val="21"/>
          <w:highlight w:val="none"/>
          <w:u w:val="single"/>
        </w:rPr>
        <w:t>（项目名称）</w:t>
      </w:r>
      <w:r>
        <w:rPr>
          <w:rFonts w:hint="eastAsia" w:ascii="微软雅黑" w:hAnsi="微软雅黑" w:cs="宋体"/>
          <w:color w:val="auto"/>
          <w:szCs w:val="21"/>
          <w:highlight w:val="none"/>
        </w:rPr>
        <w:t>采购活动，</w:t>
      </w:r>
      <w:r>
        <w:rPr>
          <w:rFonts w:hint="eastAsia" w:ascii="微软雅黑" w:hAnsi="微软雅黑" w:cs="宋体"/>
          <w:b/>
          <w:bCs/>
          <w:color w:val="auto"/>
          <w:szCs w:val="21"/>
          <w:highlight w:val="none"/>
          <w:shd w:val="pct10" w:color="auto" w:fill="FFFFFF"/>
        </w:rPr>
        <w:t>提供的货物全部由符合政策要求的中小企业制造</w:t>
      </w:r>
      <w:r>
        <w:rPr>
          <w:rFonts w:hint="eastAsia" w:ascii="微软雅黑" w:hAnsi="微软雅黑" w:cs="宋体"/>
          <w:color w:val="auto"/>
          <w:szCs w:val="21"/>
          <w:highlight w:val="none"/>
        </w:rPr>
        <w:t xml:space="preserve">。相关企业的具体情况如下： </w:t>
      </w:r>
    </w:p>
    <w:tbl>
      <w:tblPr>
        <w:tblStyle w:val="52"/>
        <w:tblW w:w="1016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7"/>
        <w:gridCol w:w="1611"/>
        <w:gridCol w:w="845"/>
        <w:gridCol w:w="1459"/>
        <w:gridCol w:w="1228"/>
        <w:gridCol w:w="1486"/>
        <w:gridCol w:w="1227"/>
        <w:gridCol w:w="1773"/>
      </w:tblGrid>
      <w:tr w14:paraId="6E17A1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1" w:hRule="atLeast"/>
        </w:trPr>
        <w:tc>
          <w:tcPr>
            <w:tcW w:w="537" w:type="dxa"/>
            <w:tcBorders>
              <w:tl2br w:val="nil"/>
              <w:tr2bl w:val="nil"/>
            </w:tcBorders>
            <w:noWrap/>
            <w:vAlign w:val="center"/>
          </w:tcPr>
          <w:p w14:paraId="538C382D">
            <w:pPr>
              <w:widowControl/>
              <w:spacing w:after="0" w:line="240" w:lineRule="auto"/>
              <w:ind w:firstLine="0" w:firstLineChars="0"/>
              <w:jc w:val="both"/>
              <w:rPr>
                <w:rFonts w:ascii="微软雅黑" w:hAnsi="微软雅黑"/>
                <w:b/>
                <w:bCs/>
                <w:color w:val="auto"/>
                <w:kern w:val="0"/>
                <w:szCs w:val="21"/>
                <w:highlight w:val="none"/>
              </w:rPr>
            </w:pPr>
            <w:r>
              <w:rPr>
                <w:rFonts w:ascii="微软雅黑" w:hAnsi="微软雅黑"/>
                <w:b/>
                <w:bCs/>
                <w:color w:val="auto"/>
                <w:kern w:val="0"/>
                <w:szCs w:val="21"/>
                <w:highlight w:val="none"/>
              </w:rPr>
              <w:t>序号</w:t>
            </w:r>
          </w:p>
        </w:tc>
        <w:tc>
          <w:tcPr>
            <w:tcW w:w="1611" w:type="dxa"/>
            <w:tcBorders>
              <w:tl2br w:val="nil"/>
              <w:tr2bl w:val="nil"/>
            </w:tcBorders>
            <w:noWrap/>
            <w:vAlign w:val="center"/>
          </w:tcPr>
          <w:p w14:paraId="36093627">
            <w:pPr>
              <w:widowControl/>
              <w:spacing w:after="0" w:line="240" w:lineRule="auto"/>
              <w:ind w:firstLine="0" w:firstLineChars="0"/>
              <w:jc w:val="both"/>
              <w:rPr>
                <w:rFonts w:ascii="微软雅黑" w:hAnsi="微软雅黑"/>
                <w:b/>
                <w:bCs/>
                <w:color w:val="auto"/>
                <w:kern w:val="0"/>
                <w:szCs w:val="21"/>
                <w:highlight w:val="none"/>
              </w:rPr>
            </w:pPr>
            <w:r>
              <w:rPr>
                <w:rFonts w:ascii="微软雅黑" w:hAnsi="微软雅黑"/>
                <w:b/>
                <w:bCs/>
                <w:color w:val="auto"/>
                <w:kern w:val="0"/>
                <w:szCs w:val="21"/>
                <w:highlight w:val="none"/>
              </w:rPr>
              <w:t>设备名称</w:t>
            </w:r>
          </w:p>
        </w:tc>
        <w:tc>
          <w:tcPr>
            <w:tcW w:w="845" w:type="dxa"/>
            <w:tcBorders>
              <w:tl2br w:val="nil"/>
              <w:tr2bl w:val="nil"/>
            </w:tcBorders>
            <w:noWrap/>
            <w:vAlign w:val="center"/>
          </w:tcPr>
          <w:p w14:paraId="4886294D">
            <w:pPr>
              <w:widowControl/>
              <w:spacing w:after="0" w:line="240" w:lineRule="auto"/>
              <w:ind w:firstLine="0" w:firstLineChars="0"/>
              <w:jc w:val="both"/>
              <w:rPr>
                <w:rFonts w:hint="eastAsia" w:ascii="微软雅黑" w:hAnsi="微软雅黑"/>
                <w:b/>
                <w:bCs/>
                <w:color w:val="auto"/>
                <w:kern w:val="0"/>
                <w:szCs w:val="21"/>
                <w:highlight w:val="none"/>
                <w:lang w:val="en-US" w:eastAsia="zh-CN"/>
              </w:rPr>
            </w:pPr>
            <w:r>
              <w:rPr>
                <w:rFonts w:hint="eastAsia" w:ascii="微软雅黑" w:hAnsi="微软雅黑"/>
                <w:b/>
                <w:bCs/>
                <w:color w:val="auto"/>
                <w:kern w:val="0"/>
                <w:szCs w:val="21"/>
                <w:highlight w:val="none"/>
                <w:lang w:val="en-US" w:eastAsia="zh-CN"/>
              </w:rPr>
              <w:t>所属</w:t>
            </w:r>
          </w:p>
          <w:p w14:paraId="0C26D322">
            <w:pPr>
              <w:widowControl/>
              <w:spacing w:after="0" w:line="240" w:lineRule="auto"/>
              <w:ind w:firstLine="0" w:firstLineChars="0"/>
              <w:jc w:val="both"/>
              <w:rPr>
                <w:rFonts w:hint="default" w:ascii="微软雅黑" w:hAnsi="微软雅黑" w:eastAsia="微软雅黑"/>
                <w:b/>
                <w:bCs/>
                <w:color w:val="auto"/>
                <w:kern w:val="0"/>
                <w:szCs w:val="21"/>
                <w:highlight w:val="none"/>
                <w:lang w:val="en-US" w:eastAsia="zh-CN"/>
              </w:rPr>
            </w:pPr>
            <w:r>
              <w:rPr>
                <w:rFonts w:hint="eastAsia" w:ascii="微软雅黑" w:hAnsi="微软雅黑"/>
                <w:b/>
                <w:bCs/>
                <w:color w:val="auto"/>
                <w:kern w:val="0"/>
                <w:szCs w:val="21"/>
                <w:highlight w:val="none"/>
                <w:lang w:val="en-US" w:eastAsia="zh-CN"/>
              </w:rPr>
              <w:t>行业</w:t>
            </w:r>
          </w:p>
        </w:tc>
        <w:tc>
          <w:tcPr>
            <w:tcW w:w="1459" w:type="dxa"/>
            <w:tcBorders>
              <w:tl2br w:val="nil"/>
              <w:tr2bl w:val="nil"/>
            </w:tcBorders>
            <w:noWrap/>
            <w:vAlign w:val="center"/>
          </w:tcPr>
          <w:p w14:paraId="685CE7F8">
            <w:pPr>
              <w:widowControl/>
              <w:spacing w:after="0" w:line="240" w:lineRule="auto"/>
              <w:ind w:firstLine="0" w:firstLineChars="0"/>
              <w:jc w:val="both"/>
              <w:rPr>
                <w:rFonts w:hint="eastAsia" w:ascii="微软雅黑" w:hAnsi="微软雅黑"/>
                <w:b/>
                <w:bCs/>
                <w:color w:val="auto"/>
                <w:szCs w:val="21"/>
                <w:highlight w:val="none"/>
                <w:lang w:val="en-US" w:eastAsia="zh-CN"/>
              </w:rPr>
            </w:pPr>
            <w:r>
              <w:rPr>
                <w:rFonts w:hint="eastAsia" w:ascii="微软雅黑" w:hAnsi="微软雅黑"/>
                <w:b/>
                <w:bCs/>
                <w:color w:val="auto"/>
                <w:szCs w:val="21"/>
                <w:highlight w:val="none"/>
                <w:lang w:val="en-US" w:eastAsia="zh-CN"/>
              </w:rPr>
              <w:t>制造商</w:t>
            </w:r>
          </w:p>
          <w:p w14:paraId="5C809505">
            <w:pPr>
              <w:widowControl/>
              <w:spacing w:after="0" w:line="240" w:lineRule="auto"/>
              <w:ind w:firstLine="0" w:firstLineChars="0"/>
              <w:jc w:val="both"/>
              <w:rPr>
                <w:rFonts w:hint="default" w:ascii="微软雅黑" w:hAnsi="微软雅黑" w:eastAsia="微软雅黑"/>
                <w:b/>
                <w:bCs/>
                <w:color w:val="auto"/>
                <w:szCs w:val="21"/>
                <w:highlight w:val="none"/>
                <w:lang w:val="en-US" w:eastAsia="zh-CN"/>
              </w:rPr>
            </w:pPr>
            <w:r>
              <w:rPr>
                <w:rFonts w:hint="eastAsia" w:ascii="微软雅黑" w:hAnsi="微软雅黑"/>
                <w:b/>
                <w:bCs/>
                <w:color w:val="auto"/>
                <w:szCs w:val="21"/>
                <w:highlight w:val="none"/>
                <w:lang w:val="en-US" w:eastAsia="zh-CN"/>
              </w:rPr>
              <w:t>（企业名称）</w:t>
            </w:r>
          </w:p>
        </w:tc>
        <w:tc>
          <w:tcPr>
            <w:tcW w:w="1228" w:type="dxa"/>
            <w:tcBorders>
              <w:tl2br w:val="nil"/>
              <w:tr2bl w:val="nil"/>
            </w:tcBorders>
            <w:noWrap/>
            <w:vAlign w:val="center"/>
          </w:tcPr>
          <w:p w14:paraId="20B4DDA6">
            <w:pPr>
              <w:widowControl/>
              <w:spacing w:after="0" w:line="240" w:lineRule="auto"/>
              <w:ind w:firstLine="0" w:firstLineChars="0"/>
              <w:jc w:val="both"/>
              <w:rPr>
                <w:rFonts w:hint="eastAsia" w:ascii="微软雅黑" w:hAnsi="微软雅黑"/>
                <w:b/>
                <w:bCs/>
                <w:color w:val="auto"/>
                <w:szCs w:val="21"/>
                <w:highlight w:val="none"/>
                <w:lang w:val="en-US" w:eastAsia="zh-CN"/>
              </w:rPr>
            </w:pPr>
            <w:r>
              <w:rPr>
                <w:rFonts w:hint="eastAsia" w:ascii="微软雅黑" w:hAnsi="微软雅黑"/>
                <w:b/>
                <w:bCs/>
                <w:color w:val="auto"/>
                <w:szCs w:val="21"/>
                <w:highlight w:val="none"/>
                <w:lang w:val="en-US" w:eastAsia="zh-CN"/>
              </w:rPr>
              <w:t>制造商</w:t>
            </w:r>
          </w:p>
          <w:p w14:paraId="374D2F30">
            <w:pPr>
              <w:widowControl/>
              <w:spacing w:after="0" w:line="240" w:lineRule="auto"/>
              <w:ind w:firstLine="0" w:firstLineChars="0"/>
              <w:jc w:val="both"/>
              <w:rPr>
                <w:rFonts w:hint="eastAsia" w:ascii="微软雅黑" w:hAnsi="微软雅黑"/>
                <w:b/>
                <w:bCs/>
                <w:color w:val="auto"/>
                <w:szCs w:val="21"/>
                <w:highlight w:val="none"/>
                <w:lang w:val="en-US" w:eastAsia="zh-CN"/>
              </w:rPr>
            </w:pPr>
            <w:r>
              <w:rPr>
                <w:rFonts w:hint="eastAsia" w:ascii="微软雅黑" w:hAnsi="微软雅黑"/>
                <w:b/>
                <w:bCs/>
                <w:color w:val="auto"/>
                <w:szCs w:val="21"/>
                <w:highlight w:val="none"/>
                <w:lang w:val="en-US" w:eastAsia="zh-CN"/>
              </w:rPr>
              <w:t>从业人员</w:t>
            </w:r>
          </w:p>
          <w:p w14:paraId="2D05BAD6">
            <w:pPr>
              <w:widowControl/>
              <w:spacing w:after="0" w:line="240" w:lineRule="auto"/>
              <w:ind w:firstLine="0" w:firstLineChars="0"/>
              <w:jc w:val="both"/>
              <w:rPr>
                <w:rFonts w:hint="default" w:ascii="微软雅黑" w:hAnsi="微软雅黑"/>
                <w:b/>
                <w:bCs/>
                <w:color w:val="auto"/>
                <w:szCs w:val="21"/>
                <w:highlight w:val="none"/>
                <w:lang w:val="en-US" w:eastAsia="zh-CN"/>
              </w:rPr>
            </w:pPr>
            <w:r>
              <w:rPr>
                <w:rFonts w:hint="eastAsia" w:ascii="微软雅黑" w:hAnsi="微软雅黑"/>
                <w:b/>
                <w:bCs/>
                <w:color w:val="auto"/>
                <w:szCs w:val="21"/>
                <w:highlight w:val="none"/>
                <w:lang w:val="en-US" w:eastAsia="zh-CN"/>
              </w:rPr>
              <w:t>（人）</w:t>
            </w:r>
          </w:p>
        </w:tc>
        <w:tc>
          <w:tcPr>
            <w:tcW w:w="1486" w:type="dxa"/>
            <w:tcBorders>
              <w:tl2br w:val="nil"/>
              <w:tr2bl w:val="nil"/>
            </w:tcBorders>
            <w:noWrap/>
            <w:vAlign w:val="center"/>
          </w:tcPr>
          <w:p w14:paraId="10D7457E">
            <w:pPr>
              <w:widowControl/>
              <w:spacing w:after="0" w:line="240" w:lineRule="auto"/>
              <w:ind w:firstLine="0" w:firstLineChars="0"/>
              <w:jc w:val="both"/>
              <w:rPr>
                <w:rFonts w:hint="eastAsia" w:ascii="微软雅黑" w:hAnsi="微软雅黑"/>
                <w:b/>
                <w:bCs/>
                <w:color w:val="auto"/>
                <w:szCs w:val="21"/>
                <w:highlight w:val="none"/>
                <w:lang w:val="en-US" w:eastAsia="zh-CN"/>
              </w:rPr>
            </w:pPr>
            <w:r>
              <w:rPr>
                <w:rFonts w:hint="eastAsia" w:ascii="微软雅黑" w:hAnsi="微软雅黑"/>
                <w:b/>
                <w:bCs/>
                <w:color w:val="auto"/>
                <w:szCs w:val="21"/>
                <w:highlight w:val="none"/>
                <w:lang w:val="en-US" w:eastAsia="zh-CN"/>
              </w:rPr>
              <w:t>制造商</w:t>
            </w:r>
          </w:p>
          <w:p w14:paraId="326327FB">
            <w:pPr>
              <w:widowControl/>
              <w:spacing w:after="0" w:line="240" w:lineRule="auto"/>
              <w:ind w:firstLine="0" w:firstLineChars="0"/>
              <w:jc w:val="both"/>
              <w:rPr>
                <w:rFonts w:hint="eastAsia" w:ascii="微软雅黑" w:hAnsi="微软雅黑"/>
                <w:b/>
                <w:bCs/>
                <w:color w:val="auto"/>
                <w:szCs w:val="21"/>
                <w:highlight w:val="none"/>
                <w:lang w:val="en-US" w:eastAsia="zh-CN"/>
              </w:rPr>
            </w:pPr>
            <w:r>
              <w:rPr>
                <w:rFonts w:hint="eastAsia" w:ascii="微软雅黑" w:hAnsi="微软雅黑"/>
                <w:b/>
                <w:bCs/>
                <w:color w:val="auto"/>
                <w:szCs w:val="21"/>
                <w:highlight w:val="none"/>
                <w:lang w:val="en-US" w:eastAsia="zh-CN"/>
              </w:rPr>
              <w:t>营业收入</w:t>
            </w:r>
          </w:p>
          <w:p w14:paraId="396F9AB6">
            <w:pPr>
              <w:widowControl/>
              <w:spacing w:after="0" w:line="240" w:lineRule="auto"/>
              <w:ind w:firstLine="0" w:firstLineChars="0"/>
              <w:jc w:val="both"/>
              <w:rPr>
                <w:rFonts w:hint="eastAsia" w:ascii="微软雅黑" w:hAnsi="微软雅黑"/>
                <w:b/>
                <w:bCs/>
                <w:color w:val="auto"/>
                <w:szCs w:val="21"/>
                <w:highlight w:val="none"/>
                <w:lang w:val="en-US" w:eastAsia="zh-CN"/>
              </w:rPr>
            </w:pPr>
            <w:r>
              <w:rPr>
                <w:rFonts w:hint="eastAsia" w:ascii="微软雅黑" w:hAnsi="微软雅黑"/>
                <w:b/>
                <w:bCs/>
                <w:color w:val="auto"/>
                <w:szCs w:val="21"/>
                <w:highlight w:val="none"/>
                <w:lang w:val="en-US" w:eastAsia="zh-CN"/>
              </w:rPr>
              <w:t>（万元）</w:t>
            </w:r>
          </w:p>
        </w:tc>
        <w:tc>
          <w:tcPr>
            <w:tcW w:w="1227" w:type="dxa"/>
            <w:tcBorders>
              <w:tl2br w:val="nil"/>
              <w:tr2bl w:val="nil"/>
            </w:tcBorders>
            <w:noWrap/>
            <w:vAlign w:val="center"/>
          </w:tcPr>
          <w:p w14:paraId="71C0071A">
            <w:pPr>
              <w:widowControl/>
              <w:spacing w:after="0" w:line="240" w:lineRule="auto"/>
              <w:ind w:firstLine="0" w:firstLineChars="0"/>
              <w:jc w:val="both"/>
              <w:rPr>
                <w:rFonts w:hint="default" w:ascii="微软雅黑" w:hAnsi="微软雅黑" w:eastAsia="微软雅黑" w:cs="宋体"/>
                <w:color w:val="auto"/>
                <w:szCs w:val="21"/>
                <w:highlight w:val="none"/>
                <w:lang w:val="en-US" w:eastAsia="zh-CN"/>
              </w:rPr>
            </w:pPr>
            <w:r>
              <w:rPr>
                <w:rFonts w:hint="eastAsia" w:ascii="微软雅黑" w:hAnsi="微软雅黑" w:cs="宋体"/>
                <w:color w:val="auto"/>
                <w:szCs w:val="21"/>
                <w:highlight w:val="none"/>
                <w:lang w:val="en-US" w:eastAsia="zh-CN"/>
              </w:rPr>
              <w:t>制造商</w:t>
            </w:r>
          </w:p>
          <w:p w14:paraId="57FBC6E4">
            <w:pPr>
              <w:widowControl/>
              <w:spacing w:after="0" w:line="240" w:lineRule="auto"/>
              <w:ind w:firstLine="0" w:firstLineChars="0"/>
              <w:jc w:val="both"/>
              <w:rPr>
                <w:rFonts w:hint="default" w:ascii="微软雅黑" w:hAnsi="微软雅黑" w:eastAsia="微软雅黑"/>
                <w:b/>
                <w:bCs/>
                <w:color w:val="auto"/>
                <w:szCs w:val="21"/>
                <w:highlight w:val="none"/>
                <w:lang w:val="en-US" w:eastAsia="zh-CN"/>
              </w:rPr>
            </w:pPr>
            <w:r>
              <w:rPr>
                <w:rFonts w:hint="eastAsia" w:ascii="微软雅黑" w:hAnsi="微软雅黑" w:cs="宋体"/>
                <w:color w:val="auto"/>
                <w:szCs w:val="21"/>
                <w:highlight w:val="none"/>
              </w:rPr>
              <w:t>资产总额</w:t>
            </w:r>
            <w:r>
              <w:rPr>
                <w:rFonts w:hint="eastAsia" w:ascii="微软雅黑" w:hAnsi="微软雅黑" w:cs="宋体"/>
                <w:color w:val="auto"/>
                <w:szCs w:val="21"/>
                <w:highlight w:val="none"/>
                <w:lang w:eastAsia="zh-CN"/>
              </w:rPr>
              <w:t>（</w:t>
            </w:r>
            <w:r>
              <w:rPr>
                <w:rFonts w:hint="eastAsia" w:ascii="微软雅黑" w:hAnsi="微软雅黑" w:cs="宋体"/>
                <w:color w:val="auto"/>
                <w:szCs w:val="21"/>
                <w:highlight w:val="none"/>
                <w:lang w:val="en-US" w:eastAsia="zh-CN"/>
              </w:rPr>
              <w:t>万元）</w:t>
            </w:r>
          </w:p>
        </w:tc>
        <w:tc>
          <w:tcPr>
            <w:tcW w:w="1773" w:type="dxa"/>
            <w:tcBorders>
              <w:tl2br w:val="nil"/>
              <w:tr2bl w:val="nil"/>
            </w:tcBorders>
            <w:noWrap/>
            <w:vAlign w:val="center"/>
          </w:tcPr>
          <w:p w14:paraId="468801E6">
            <w:pPr>
              <w:widowControl/>
              <w:spacing w:after="0" w:line="240" w:lineRule="auto"/>
              <w:ind w:firstLine="0" w:firstLineChars="0"/>
              <w:jc w:val="both"/>
              <w:rPr>
                <w:rFonts w:hint="default" w:ascii="微软雅黑" w:hAnsi="微软雅黑"/>
                <w:b/>
                <w:bCs/>
                <w:color w:val="auto"/>
                <w:szCs w:val="21"/>
                <w:highlight w:val="none"/>
                <w:lang w:val="en-US" w:eastAsia="zh-CN"/>
              </w:rPr>
            </w:pPr>
            <w:r>
              <w:rPr>
                <w:rFonts w:hint="eastAsia" w:ascii="微软雅黑" w:hAnsi="微软雅黑"/>
                <w:b/>
                <w:bCs/>
                <w:color w:val="auto"/>
                <w:szCs w:val="21"/>
                <w:highlight w:val="none"/>
                <w:lang w:val="en-US" w:eastAsia="zh-CN"/>
              </w:rPr>
              <w:t>企业类型</w:t>
            </w:r>
          </w:p>
        </w:tc>
      </w:tr>
      <w:tr w14:paraId="5B6EAB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trPr>
        <w:tc>
          <w:tcPr>
            <w:tcW w:w="537" w:type="dxa"/>
            <w:tcBorders>
              <w:tl2br w:val="nil"/>
              <w:tr2bl w:val="nil"/>
            </w:tcBorders>
            <w:noWrap/>
            <w:vAlign w:val="center"/>
          </w:tcPr>
          <w:p w14:paraId="0D15D316">
            <w:pPr>
              <w:spacing w:after="0" w:line="240" w:lineRule="auto"/>
              <w:ind w:firstLine="0" w:firstLineChars="0"/>
              <w:jc w:val="both"/>
              <w:rPr>
                <w:rFonts w:ascii="微软雅黑" w:hAnsi="微软雅黑"/>
                <w:color w:val="auto"/>
                <w:szCs w:val="21"/>
                <w:highlight w:val="none"/>
              </w:rPr>
            </w:pPr>
            <w:r>
              <w:rPr>
                <w:rFonts w:hint="eastAsia" w:ascii="微软雅黑" w:hAnsi="微软雅黑"/>
                <w:color w:val="auto"/>
                <w:szCs w:val="21"/>
                <w:highlight w:val="none"/>
              </w:rPr>
              <w:t>1</w:t>
            </w:r>
          </w:p>
        </w:tc>
        <w:tc>
          <w:tcPr>
            <w:tcW w:w="1611" w:type="dxa"/>
            <w:tcBorders>
              <w:tl2br w:val="nil"/>
              <w:tr2bl w:val="nil"/>
            </w:tcBorders>
            <w:noWrap/>
            <w:vAlign w:val="center"/>
          </w:tcPr>
          <w:p w14:paraId="4FA0B257">
            <w:pPr>
              <w:spacing w:after="0" w:line="240" w:lineRule="auto"/>
              <w:ind w:firstLine="0" w:firstLineChars="0"/>
              <w:jc w:val="both"/>
              <w:rPr>
                <w:rFonts w:ascii="微软雅黑" w:hAnsi="微软雅黑" w:cs="微软雅黑"/>
                <w:color w:val="auto"/>
                <w:szCs w:val="21"/>
                <w:highlight w:val="none"/>
              </w:rPr>
            </w:pPr>
            <w:r>
              <w:rPr>
                <w:rFonts w:hint="eastAsia" w:ascii="微软雅黑" w:hAnsi="微软雅黑" w:cs="微软雅黑"/>
                <w:color w:val="auto"/>
                <w:highlight w:val="none"/>
              </w:rPr>
              <w:t>紫外可见分光光谱仪</w:t>
            </w:r>
          </w:p>
        </w:tc>
        <w:tc>
          <w:tcPr>
            <w:tcW w:w="845" w:type="dxa"/>
            <w:tcBorders>
              <w:tl2br w:val="nil"/>
              <w:tr2bl w:val="nil"/>
            </w:tcBorders>
            <w:noWrap/>
            <w:vAlign w:val="center"/>
          </w:tcPr>
          <w:p w14:paraId="54132C4B">
            <w:pPr>
              <w:spacing w:after="0" w:line="240" w:lineRule="auto"/>
              <w:ind w:firstLine="0" w:firstLineChars="0"/>
              <w:jc w:val="both"/>
              <w:rPr>
                <w:rFonts w:hint="default" w:ascii="微软雅黑" w:hAnsi="微软雅黑" w:eastAsia="微软雅黑" w:cs="微软雅黑"/>
                <w:color w:val="auto"/>
                <w:szCs w:val="21"/>
                <w:highlight w:val="none"/>
                <w:lang w:val="en-US" w:eastAsia="zh-CN"/>
              </w:rPr>
            </w:pPr>
            <w:r>
              <w:rPr>
                <w:rFonts w:hint="eastAsia" w:ascii="微软雅黑" w:hAnsi="微软雅黑" w:cs="微软雅黑"/>
                <w:color w:val="auto"/>
                <w:szCs w:val="21"/>
                <w:highlight w:val="none"/>
                <w:lang w:val="en-US" w:eastAsia="zh-CN"/>
              </w:rPr>
              <w:t>工业</w:t>
            </w:r>
          </w:p>
        </w:tc>
        <w:tc>
          <w:tcPr>
            <w:tcW w:w="1459" w:type="dxa"/>
            <w:tcBorders>
              <w:tl2br w:val="nil"/>
              <w:tr2bl w:val="nil"/>
            </w:tcBorders>
            <w:noWrap/>
            <w:vAlign w:val="center"/>
          </w:tcPr>
          <w:p w14:paraId="53A7D3EC">
            <w:pPr>
              <w:widowControl/>
              <w:spacing w:after="0" w:line="240" w:lineRule="auto"/>
              <w:ind w:firstLine="0" w:firstLineChars="0"/>
              <w:jc w:val="both"/>
              <w:rPr>
                <w:rFonts w:ascii="微软雅黑" w:hAnsi="微软雅黑" w:cs="微软雅黑"/>
                <w:b/>
                <w:bCs/>
                <w:color w:val="auto"/>
                <w:szCs w:val="21"/>
                <w:highlight w:val="none"/>
              </w:rPr>
            </w:pPr>
          </w:p>
        </w:tc>
        <w:tc>
          <w:tcPr>
            <w:tcW w:w="1228" w:type="dxa"/>
            <w:tcBorders>
              <w:tl2br w:val="nil"/>
              <w:tr2bl w:val="nil"/>
            </w:tcBorders>
            <w:noWrap/>
            <w:vAlign w:val="center"/>
          </w:tcPr>
          <w:p w14:paraId="5D5B129A">
            <w:pPr>
              <w:widowControl/>
              <w:spacing w:after="0" w:line="240" w:lineRule="auto"/>
              <w:ind w:firstLine="0" w:firstLineChars="0"/>
              <w:jc w:val="both"/>
              <w:rPr>
                <w:rFonts w:ascii="微软雅黑" w:hAnsi="微软雅黑" w:cs="微软雅黑"/>
                <w:b/>
                <w:bCs/>
                <w:color w:val="auto"/>
                <w:szCs w:val="21"/>
                <w:highlight w:val="none"/>
              </w:rPr>
            </w:pPr>
          </w:p>
        </w:tc>
        <w:tc>
          <w:tcPr>
            <w:tcW w:w="1486" w:type="dxa"/>
            <w:tcBorders>
              <w:tl2br w:val="nil"/>
              <w:tr2bl w:val="nil"/>
            </w:tcBorders>
            <w:noWrap/>
            <w:vAlign w:val="center"/>
          </w:tcPr>
          <w:p w14:paraId="113A79AE">
            <w:pPr>
              <w:widowControl/>
              <w:spacing w:after="0" w:line="240" w:lineRule="auto"/>
              <w:ind w:firstLine="0" w:firstLineChars="0"/>
              <w:jc w:val="both"/>
              <w:rPr>
                <w:rFonts w:ascii="微软雅黑" w:hAnsi="微软雅黑" w:cs="微软雅黑"/>
                <w:b/>
                <w:bCs/>
                <w:color w:val="auto"/>
                <w:szCs w:val="21"/>
                <w:highlight w:val="none"/>
              </w:rPr>
            </w:pPr>
          </w:p>
        </w:tc>
        <w:tc>
          <w:tcPr>
            <w:tcW w:w="1227" w:type="dxa"/>
            <w:tcBorders>
              <w:tl2br w:val="nil"/>
              <w:tr2bl w:val="nil"/>
            </w:tcBorders>
            <w:noWrap/>
            <w:vAlign w:val="center"/>
          </w:tcPr>
          <w:p w14:paraId="4DF82BE8">
            <w:pPr>
              <w:widowControl/>
              <w:spacing w:after="0" w:line="240" w:lineRule="auto"/>
              <w:ind w:firstLine="0" w:firstLineChars="0"/>
              <w:jc w:val="both"/>
              <w:rPr>
                <w:rFonts w:hint="eastAsia" w:ascii="微软雅黑" w:hAnsi="微软雅黑" w:cs="宋体"/>
                <w:color w:val="auto"/>
                <w:szCs w:val="21"/>
                <w:highlight w:val="none"/>
              </w:rPr>
            </w:pPr>
          </w:p>
        </w:tc>
        <w:tc>
          <w:tcPr>
            <w:tcW w:w="1773" w:type="dxa"/>
            <w:tcBorders>
              <w:tl2br w:val="nil"/>
              <w:tr2bl w:val="nil"/>
            </w:tcBorders>
            <w:noWrap/>
            <w:vAlign w:val="center"/>
          </w:tcPr>
          <w:p w14:paraId="305284CF">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中型企业</w:t>
            </w:r>
          </w:p>
          <w:p w14:paraId="4CD57CFF">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小型企业</w:t>
            </w:r>
          </w:p>
          <w:p w14:paraId="670B0E6E">
            <w:pPr>
              <w:widowControl/>
              <w:spacing w:after="0" w:line="240" w:lineRule="auto"/>
              <w:ind w:firstLine="0" w:firstLineChars="0"/>
              <w:jc w:val="both"/>
              <w:rPr>
                <w:rFonts w:ascii="微软雅黑" w:hAnsi="微软雅黑" w:cs="微软雅黑"/>
                <w:b/>
                <w:bCs/>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微型</w:t>
            </w:r>
          </w:p>
        </w:tc>
      </w:tr>
      <w:tr w14:paraId="55A2B3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trPr>
        <w:tc>
          <w:tcPr>
            <w:tcW w:w="537" w:type="dxa"/>
            <w:tcBorders>
              <w:tl2br w:val="nil"/>
              <w:tr2bl w:val="nil"/>
            </w:tcBorders>
            <w:noWrap/>
            <w:vAlign w:val="center"/>
          </w:tcPr>
          <w:p w14:paraId="5A17A99A">
            <w:pPr>
              <w:spacing w:after="0" w:line="240" w:lineRule="auto"/>
              <w:ind w:firstLine="0" w:firstLineChars="0"/>
              <w:jc w:val="both"/>
              <w:rPr>
                <w:rFonts w:ascii="微软雅黑" w:hAnsi="微软雅黑"/>
                <w:color w:val="auto"/>
                <w:szCs w:val="21"/>
                <w:highlight w:val="none"/>
              </w:rPr>
            </w:pPr>
            <w:r>
              <w:rPr>
                <w:rFonts w:hint="eastAsia" w:ascii="微软雅黑" w:hAnsi="微软雅黑"/>
                <w:color w:val="auto"/>
                <w:szCs w:val="21"/>
                <w:highlight w:val="none"/>
              </w:rPr>
              <w:t>2</w:t>
            </w:r>
          </w:p>
        </w:tc>
        <w:tc>
          <w:tcPr>
            <w:tcW w:w="1611" w:type="dxa"/>
            <w:tcBorders>
              <w:tl2br w:val="nil"/>
              <w:tr2bl w:val="nil"/>
            </w:tcBorders>
            <w:noWrap/>
            <w:vAlign w:val="center"/>
          </w:tcPr>
          <w:p w14:paraId="1F541DD1">
            <w:pPr>
              <w:spacing w:after="0" w:line="240" w:lineRule="auto"/>
              <w:ind w:firstLine="0" w:firstLineChars="0"/>
              <w:jc w:val="both"/>
              <w:rPr>
                <w:rFonts w:ascii="微软雅黑" w:hAnsi="微软雅黑" w:cs="微软雅黑"/>
                <w:color w:val="auto"/>
                <w:szCs w:val="21"/>
                <w:highlight w:val="none"/>
              </w:rPr>
            </w:pPr>
            <w:r>
              <w:rPr>
                <w:rFonts w:hint="eastAsia" w:ascii="微软雅黑" w:hAnsi="微软雅黑" w:cs="微软雅黑"/>
                <w:color w:val="auto"/>
                <w:highlight w:val="none"/>
              </w:rPr>
              <w:t>分子荧光光谱仪</w:t>
            </w:r>
          </w:p>
        </w:tc>
        <w:tc>
          <w:tcPr>
            <w:tcW w:w="845" w:type="dxa"/>
            <w:tcBorders>
              <w:tl2br w:val="nil"/>
              <w:tr2bl w:val="nil"/>
            </w:tcBorders>
            <w:noWrap/>
            <w:vAlign w:val="center"/>
          </w:tcPr>
          <w:p w14:paraId="2788B954">
            <w:pPr>
              <w:spacing w:after="0" w:line="240" w:lineRule="auto"/>
              <w:ind w:firstLine="0" w:firstLineChars="0"/>
              <w:jc w:val="both"/>
              <w:rPr>
                <w:rFonts w:ascii="微软雅黑" w:hAnsi="微软雅黑" w:cs="微软雅黑"/>
                <w:color w:val="auto"/>
                <w:szCs w:val="21"/>
                <w:highlight w:val="none"/>
              </w:rPr>
            </w:pPr>
            <w:r>
              <w:rPr>
                <w:rFonts w:hint="eastAsia" w:ascii="微软雅黑" w:hAnsi="微软雅黑" w:cs="微软雅黑"/>
                <w:color w:val="auto"/>
                <w:szCs w:val="21"/>
                <w:highlight w:val="none"/>
                <w:lang w:val="en-US" w:eastAsia="zh-CN"/>
              </w:rPr>
              <w:t>工业</w:t>
            </w:r>
          </w:p>
        </w:tc>
        <w:tc>
          <w:tcPr>
            <w:tcW w:w="1459" w:type="dxa"/>
            <w:tcBorders>
              <w:tl2br w:val="nil"/>
              <w:tr2bl w:val="nil"/>
            </w:tcBorders>
            <w:noWrap/>
            <w:vAlign w:val="center"/>
          </w:tcPr>
          <w:p w14:paraId="64119B0C">
            <w:pPr>
              <w:widowControl/>
              <w:spacing w:after="0" w:line="240" w:lineRule="auto"/>
              <w:ind w:firstLine="0" w:firstLineChars="0"/>
              <w:jc w:val="both"/>
              <w:rPr>
                <w:rFonts w:ascii="微软雅黑" w:hAnsi="微软雅黑" w:cs="微软雅黑"/>
                <w:b/>
                <w:bCs/>
                <w:color w:val="auto"/>
                <w:szCs w:val="21"/>
                <w:highlight w:val="none"/>
              </w:rPr>
            </w:pPr>
          </w:p>
        </w:tc>
        <w:tc>
          <w:tcPr>
            <w:tcW w:w="1228" w:type="dxa"/>
            <w:tcBorders>
              <w:tl2br w:val="nil"/>
              <w:tr2bl w:val="nil"/>
            </w:tcBorders>
            <w:noWrap/>
            <w:vAlign w:val="center"/>
          </w:tcPr>
          <w:p w14:paraId="32796C38">
            <w:pPr>
              <w:widowControl/>
              <w:spacing w:after="0" w:line="240" w:lineRule="auto"/>
              <w:ind w:firstLine="0" w:firstLineChars="0"/>
              <w:jc w:val="both"/>
              <w:rPr>
                <w:rFonts w:ascii="微软雅黑" w:hAnsi="微软雅黑" w:cs="微软雅黑"/>
                <w:b/>
                <w:bCs/>
                <w:color w:val="auto"/>
                <w:szCs w:val="21"/>
                <w:highlight w:val="none"/>
              </w:rPr>
            </w:pPr>
          </w:p>
        </w:tc>
        <w:tc>
          <w:tcPr>
            <w:tcW w:w="1486" w:type="dxa"/>
            <w:tcBorders>
              <w:tl2br w:val="nil"/>
              <w:tr2bl w:val="nil"/>
            </w:tcBorders>
            <w:noWrap/>
            <w:vAlign w:val="center"/>
          </w:tcPr>
          <w:p w14:paraId="0356EB89">
            <w:pPr>
              <w:widowControl/>
              <w:spacing w:after="0" w:line="240" w:lineRule="auto"/>
              <w:ind w:firstLine="0" w:firstLineChars="0"/>
              <w:jc w:val="both"/>
              <w:rPr>
                <w:rFonts w:ascii="微软雅黑" w:hAnsi="微软雅黑" w:cs="微软雅黑"/>
                <w:b/>
                <w:bCs/>
                <w:color w:val="auto"/>
                <w:szCs w:val="21"/>
                <w:highlight w:val="none"/>
              </w:rPr>
            </w:pPr>
          </w:p>
        </w:tc>
        <w:tc>
          <w:tcPr>
            <w:tcW w:w="1227" w:type="dxa"/>
            <w:tcBorders>
              <w:tl2br w:val="nil"/>
              <w:tr2bl w:val="nil"/>
            </w:tcBorders>
            <w:noWrap/>
            <w:vAlign w:val="center"/>
          </w:tcPr>
          <w:p w14:paraId="4E0D1800">
            <w:pPr>
              <w:widowControl/>
              <w:spacing w:after="0" w:line="240" w:lineRule="auto"/>
              <w:ind w:firstLine="0" w:firstLineChars="0"/>
              <w:jc w:val="both"/>
              <w:rPr>
                <w:rFonts w:ascii="微软雅黑" w:hAnsi="微软雅黑" w:cs="微软雅黑"/>
                <w:b/>
                <w:bCs/>
                <w:color w:val="auto"/>
                <w:szCs w:val="21"/>
                <w:highlight w:val="none"/>
              </w:rPr>
            </w:pPr>
          </w:p>
        </w:tc>
        <w:tc>
          <w:tcPr>
            <w:tcW w:w="1773" w:type="dxa"/>
            <w:tcBorders>
              <w:tl2br w:val="nil"/>
              <w:tr2bl w:val="nil"/>
            </w:tcBorders>
            <w:noWrap/>
            <w:vAlign w:val="center"/>
          </w:tcPr>
          <w:p w14:paraId="5B1E6A3C">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中型企业</w:t>
            </w:r>
          </w:p>
          <w:p w14:paraId="3C515165">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小型企业</w:t>
            </w:r>
          </w:p>
          <w:p w14:paraId="129E6202">
            <w:pPr>
              <w:widowControl/>
              <w:spacing w:after="0" w:line="240" w:lineRule="auto"/>
              <w:ind w:firstLine="0" w:firstLineChars="0"/>
              <w:jc w:val="both"/>
              <w:rPr>
                <w:rFonts w:ascii="微软雅黑" w:hAnsi="微软雅黑" w:cs="微软雅黑"/>
                <w:b/>
                <w:bCs/>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微型</w:t>
            </w:r>
          </w:p>
        </w:tc>
      </w:tr>
      <w:tr w14:paraId="4D83ED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trPr>
        <w:tc>
          <w:tcPr>
            <w:tcW w:w="537" w:type="dxa"/>
            <w:tcBorders>
              <w:tl2br w:val="nil"/>
              <w:tr2bl w:val="nil"/>
            </w:tcBorders>
            <w:noWrap/>
            <w:vAlign w:val="center"/>
          </w:tcPr>
          <w:p w14:paraId="2898856E">
            <w:pPr>
              <w:spacing w:after="0" w:line="240" w:lineRule="auto"/>
              <w:ind w:firstLine="0" w:firstLineChars="0"/>
              <w:jc w:val="both"/>
              <w:rPr>
                <w:rFonts w:ascii="微软雅黑" w:hAnsi="微软雅黑"/>
                <w:color w:val="auto"/>
                <w:szCs w:val="21"/>
                <w:highlight w:val="none"/>
              </w:rPr>
            </w:pPr>
            <w:r>
              <w:rPr>
                <w:rFonts w:hint="eastAsia" w:ascii="微软雅黑" w:hAnsi="微软雅黑"/>
                <w:color w:val="auto"/>
                <w:szCs w:val="21"/>
                <w:highlight w:val="none"/>
              </w:rPr>
              <w:t>3</w:t>
            </w:r>
          </w:p>
        </w:tc>
        <w:tc>
          <w:tcPr>
            <w:tcW w:w="1611" w:type="dxa"/>
            <w:tcBorders>
              <w:tl2br w:val="nil"/>
              <w:tr2bl w:val="nil"/>
            </w:tcBorders>
            <w:noWrap/>
            <w:vAlign w:val="center"/>
          </w:tcPr>
          <w:p w14:paraId="1FDCA770">
            <w:pPr>
              <w:spacing w:after="0" w:line="240" w:lineRule="auto"/>
              <w:ind w:firstLine="0" w:firstLineChars="0"/>
              <w:jc w:val="both"/>
              <w:rPr>
                <w:rFonts w:ascii="微软雅黑" w:hAnsi="微软雅黑" w:cs="微软雅黑"/>
                <w:color w:val="auto"/>
                <w:szCs w:val="21"/>
                <w:highlight w:val="none"/>
              </w:rPr>
            </w:pPr>
            <w:r>
              <w:rPr>
                <w:rFonts w:hint="eastAsia" w:ascii="微软雅黑" w:hAnsi="微软雅黑" w:cs="微软雅黑"/>
                <w:color w:val="auto"/>
                <w:highlight w:val="none"/>
              </w:rPr>
              <w:t>万分之一分析天平</w:t>
            </w:r>
          </w:p>
        </w:tc>
        <w:tc>
          <w:tcPr>
            <w:tcW w:w="845" w:type="dxa"/>
            <w:tcBorders>
              <w:tl2br w:val="nil"/>
              <w:tr2bl w:val="nil"/>
            </w:tcBorders>
            <w:shd w:val="clear" w:color="auto" w:fill="auto"/>
            <w:noWrap/>
            <w:vAlign w:val="center"/>
          </w:tcPr>
          <w:p w14:paraId="3348E3A3">
            <w:pPr>
              <w:spacing w:after="0" w:line="240" w:lineRule="auto"/>
              <w:ind w:firstLine="0" w:firstLineChars="0"/>
              <w:jc w:val="both"/>
              <w:rPr>
                <w:rFonts w:hint="default" w:ascii="微软雅黑" w:hAnsi="微软雅黑" w:eastAsia="微软雅黑" w:cs="微软雅黑"/>
                <w:color w:val="auto"/>
                <w:kern w:val="2"/>
                <w:sz w:val="21"/>
                <w:szCs w:val="21"/>
                <w:highlight w:val="none"/>
                <w:lang w:val="en-US" w:eastAsia="zh-CN" w:bidi="ar-SA"/>
              </w:rPr>
            </w:pPr>
            <w:r>
              <w:rPr>
                <w:rFonts w:hint="eastAsia" w:ascii="微软雅黑" w:hAnsi="微软雅黑" w:cs="微软雅黑"/>
                <w:color w:val="auto"/>
                <w:szCs w:val="21"/>
                <w:highlight w:val="none"/>
                <w:lang w:val="en-US" w:eastAsia="zh-CN"/>
              </w:rPr>
              <w:t>工业</w:t>
            </w:r>
          </w:p>
        </w:tc>
        <w:tc>
          <w:tcPr>
            <w:tcW w:w="1459" w:type="dxa"/>
            <w:tcBorders>
              <w:tl2br w:val="nil"/>
              <w:tr2bl w:val="nil"/>
            </w:tcBorders>
            <w:noWrap/>
            <w:vAlign w:val="center"/>
          </w:tcPr>
          <w:p w14:paraId="56AF9557">
            <w:pPr>
              <w:widowControl/>
              <w:spacing w:after="0" w:line="240" w:lineRule="auto"/>
              <w:ind w:firstLine="0" w:firstLineChars="0"/>
              <w:jc w:val="both"/>
              <w:rPr>
                <w:rFonts w:ascii="微软雅黑" w:hAnsi="微软雅黑" w:cs="微软雅黑"/>
                <w:b/>
                <w:bCs/>
                <w:color w:val="auto"/>
                <w:szCs w:val="21"/>
                <w:highlight w:val="none"/>
              </w:rPr>
            </w:pPr>
          </w:p>
        </w:tc>
        <w:tc>
          <w:tcPr>
            <w:tcW w:w="1228" w:type="dxa"/>
            <w:tcBorders>
              <w:tl2br w:val="nil"/>
              <w:tr2bl w:val="nil"/>
            </w:tcBorders>
            <w:noWrap/>
            <w:vAlign w:val="center"/>
          </w:tcPr>
          <w:p w14:paraId="66035252">
            <w:pPr>
              <w:widowControl/>
              <w:spacing w:after="0" w:line="240" w:lineRule="auto"/>
              <w:ind w:firstLine="0" w:firstLineChars="0"/>
              <w:jc w:val="both"/>
              <w:rPr>
                <w:rFonts w:ascii="微软雅黑" w:hAnsi="微软雅黑" w:cs="微软雅黑"/>
                <w:b/>
                <w:bCs/>
                <w:color w:val="auto"/>
                <w:szCs w:val="21"/>
                <w:highlight w:val="none"/>
              </w:rPr>
            </w:pPr>
          </w:p>
        </w:tc>
        <w:tc>
          <w:tcPr>
            <w:tcW w:w="1486" w:type="dxa"/>
            <w:tcBorders>
              <w:tl2br w:val="nil"/>
              <w:tr2bl w:val="nil"/>
            </w:tcBorders>
            <w:noWrap/>
            <w:vAlign w:val="center"/>
          </w:tcPr>
          <w:p w14:paraId="6815A825">
            <w:pPr>
              <w:widowControl/>
              <w:spacing w:after="0" w:line="240" w:lineRule="auto"/>
              <w:ind w:firstLine="0" w:firstLineChars="0"/>
              <w:jc w:val="both"/>
              <w:rPr>
                <w:rFonts w:ascii="微软雅黑" w:hAnsi="微软雅黑" w:cs="微软雅黑"/>
                <w:b/>
                <w:bCs/>
                <w:color w:val="auto"/>
                <w:szCs w:val="21"/>
                <w:highlight w:val="none"/>
              </w:rPr>
            </w:pPr>
          </w:p>
        </w:tc>
        <w:tc>
          <w:tcPr>
            <w:tcW w:w="1227" w:type="dxa"/>
            <w:tcBorders>
              <w:tl2br w:val="nil"/>
              <w:tr2bl w:val="nil"/>
            </w:tcBorders>
            <w:noWrap/>
            <w:vAlign w:val="center"/>
          </w:tcPr>
          <w:p w14:paraId="46ED5DB6">
            <w:pPr>
              <w:widowControl/>
              <w:spacing w:after="0" w:line="240" w:lineRule="auto"/>
              <w:ind w:firstLine="0" w:firstLineChars="0"/>
              <w:jc w:val="both"/>
              <w:rPr>
                <w:rFonts w:ascii="微软雅黑" w:hAnsi="微软雅黑" w:cs="微软雅黑"/>
                <w:b/>
                <w:bCs/>
                <w:color w:val="auto"/>
                <w:szCs w:val="21"/>
                <w:highlight w:val="none"/>
              </w:rPr>
            </w:pPr>
          </w:p>
        </w:tc>
        <w:tc>
          <w:tcPr>
            <w:tcW w:w="1773" w:type="dxa"/>
            <w:tcBorders>
              <w:tl2br w:val="nil"/>
              <w:tr2bl w:val="nil"/>
            </w:tcBorders>
            <w:shd w:val="clear" w:color="auto" w:fill="auto"/>
            <w:noWrap/>
            <w:vAlign w:val="center"/>
          </w:tcPr>
          <w:p w14:paraId="2162285F">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中型企业</w:t>
            </w:r>
          </w:p>
          <w:p w14:paraId="36802247">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小型企业</w:t>
            </w:r>
          </w:p>
          <w:p w14:paraId="2632485F">
            <w:pPr>
              <w:widowControl/>
              <w:spacing w:after="0" w:line="240" w:lineRule="auto"/>
              <w:ind w:firstLine="0" w:firstLineChars="0"/>
              <w:jc w:val="both"/>
              <w:rPr>
                <w:rFonts w:ascii="微软雅黑" w:hAnsi="微软雅黑" w:eastAsia="微软雅黑" w:cs="微软雅黑"/>
                <w:b/>
                <w:bCs/>
                <w:color w:val="auto"/>
                <w:kern w:val="2"/>
                <w:sz w:val="21"/>
                <w:szCs w:val="21"/>
                <w:highlight w:val="none"/>
                <w:lang w:val="en-US" w:eastAsia="zh-CN" w:bidi="ar-SA"/>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微型</w:t>
            </w:r>
          </w:p>
        </w:tc>
      </w:tr>
      <w:tr w14:paraId="14C607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trPr>
        <w:tc>
          <w:tcPr>
            <w:tcW w:w="537" w:type="dxa"/>
            <w:tcBorders>
              <w:tl2br w:val="nil"/>
              <w:tr2bl w:val="nil"/>
            </w:tcBorders>
            <w:noWrap/>
            <w:vAlign w:val="center"/>
          </w:tcPr>
          <w:p w14:paraId="6F01CD23">
            <w:pPr>
              <w:spacing w:after="0" w:line="240" w:lineRule="auto"/>
              <w:ind w:firstLine="0" w:firstLineChars="0"/>
              <w:jc w:val="both"/>
              <w:rPr>
                <w:rFonts w:ascii="微软雅黑" w:hAnsi="微软雅黑"/>
                <w:color w:val="auto"/>
                <w:szCs w:val="21"/>
                <w:highlight w:val="none"/>
              </w:rPr>
            </w:pPr>
            <w:r>
              <w:rPr>
                <w:rFonts w:hint="eastAsia" w:ascii="微软雅黑" w:hAnsi="微软雅黑"/>
                <w:color w:val="auto"/>
                <w:szCs w:val="21"/>
                <w:highlight w:val="none"/>
              </w:rPr>
              <w:t>4</w:t>
            </w:r>
          </w:p>
        </w:tc>
        <w:tc>
          <w:tcPr>
            <w:tcW w:w="1611" w:type="dxa"/>
            <w:tcBorders>
              <w:tl2br w:val="nil"/>
              <w:tr2bl w:val="nil"/>
            </w:tcBorders>
            <w:noWrap/>
            <w:vAlign w:val="center"/>
          </w:tcPr>
          <w:p w14:paraId="6BD073F7">
            <w:pPr>
              <w:spacing w:after="0" w:line="240" w:lineRule="auto"/>
              <w:ind w:firstLine="0" w:firstLineChars="0"/>
              <w:jc w:val="both"/>
              <w:rPr>
                <w:rFonts w:ascii="微软雅黑" w:hAnsi="微软雅黑" w:cs="微软雅黑"/>
                <w:color w:val="auto"/>
                <w:szCs w:val="21"/>
                <w:highlight w:val="none"/>
              </w:rPr>
            </w:pPr>
            <w:r>
              <w:rPr>
                <w:rFonts w:hint="eastAsia" w:ascii="微软雅黑" w:hAnsi="微软雅黑" w:cs="微软雅黑"/>
                <w:color w:val="auto"/>
                <w:highlight w:val="none"/>
              </w:rPr>
              <w:t>pH计</w:t>
            </w:r>
          </w:p>
        </w:tc>
        <w:tc>
          <w:tcPr>
            <w:tcW w:w="845" w:type="dxa"/>
            <w:tcBorders>
              <w:tl2br w:val="nil"/>
              <w:tr2bl w:val="nil"/>
            </w:tcBorders>
            <w:shd w:val="clear" w:color="auto" w:fill="auto"/>
            <w:noWrap/>
            <w:vAlign w:val="center"/>
          </w:tcPr>
          <w:p w14:paraId="4B4A2C68">
            <w:pPr>
              <w:spacing w:after="0" w:line="240" w:lineRule="auto"/>
              <w:ind w:firstLine="0" w:firstLineChars="0"/>
              <w:jc w:val="both"/>
              <w:rPr>
                <w:rFonts w:ascii="微软雅黑" w:hAnsi="微软雅黑" w:eastAsia="微软雅黑" w:cs="微软雅黑"/>
                <w:color w:val="auto"/>
                <w:kern w:val="2"/>
                <w:sz w:val="21"/>
                <w:szCs w:val="21"/>
                <w:highlight w:val="none"/>
                <w:lang w:val="en-US" w:eastAsia="zh-CN" w:bidi="ar-SA"/>
              </w:rPr>
            </w:pPr>
            <w:r>
              <w:rPr>
                <w:rFonts w:hint="eastAsia" w:ascii="微软雅黑" w:hAnsi="微软雅黑" w:cs="微软雅黑"/>
                <w:color w:val="auto"/>
                <w:szCs w:val="21"/>
                <w:highlight w:val="none"/>
                <w:lang w:val="en-US" w:eastAsia="zh-CN"/>
              </w:rPr>
              <w:t>工业</w:t>
            </w:r>
          </w:p>
        </w:tc>
        <w:tc>
          <w:tcPr>
            <w:tcW w:w="1459" w:type="dxa"/>
            <w:tcBorders>
              <w:tl2br w:val="nil"/>
              <w:tr2bl w:val="nil"/>
            </w:tcBorders>
            <w:noWrap/>
            <w:vAlign w:val="center"/>
          </w:tcPr>
          <w:p w14:paraId="3FFBDC14">
            <w:pPr>
              <w:widowControl/>
              <w:spacing w:after="0" w:line="240" w:lineRule="auto"/>
              <w:ind w:firstLine="0" w:firstLineChars="0"/>
              <w:jc w:val="both"/>
              <w:rPr>
                <w:rFonts w:ascii="微软雅黑" w:hAnsi="微软雅黑" w:cs="微软雅黑"/>
                <w:b/>
                <w:bCs/>
                <w:color w:val="auto"/>
                <w:szCs w:val="21"/>
                <w:highlight w:val="none"/>
              </w:rPr>
            </w:pPr>
          </w:p>
        </w:tc>
        <w:tc>
          <w:tcPr>
            <w:tcW w:w="1228" w:type="dxa"/>
            <w:tcBorders>
              <w:tl2br w:val="nil"/>
              <w:tr2bl w:val="nil"/>
            </w:tcBorders>
            <w:noWrap/>
            <w:vAlign w:val="center"/>
          </w:tcPr>
          <w:p w14:paraId="2F056C2D">
            <w:pPr>
              <w:widowControl/>
              <w:spacing w:after="0" w:line="240" w:lineRule="auto"/>
              <w:ind w:firstLine="0" w:firstLineChars="0"/>
              <w:jc w:val="both"/>
              <w:rPr>
                <w:rFonts w:ascii="微软雅黑" w:hAnsi="微软雅黑" w:cs="微软雅黑"/>
                <w:b/>
                <w:bCs/>
                <w:color w:val="auto"/>
                <w:szCs w:val="21"/>
                <w:highlight w:val="none"/>
              </w:rPr>
            </w:pPr>
          </w:p>
        </w:tc>
        <w:tc>
          <w:tcPr>
            <w:tcW w:w="1486" w:type="dxa"/>
            <w:tcBorders>
              <w:tl2br w:val="nil"/>
              <w:tr2bl w:val="nil"/>
            </w:tcBorders>
            <w:noWrap/>
            <w:vAlign w:val="center"/>
          </w:tcPr>
          <w:p w14:paraId="0E2CF71D">
            <w:pPr>
              <w:widowControl/>
              <w:spacing w:after="0" w:line="240" w:lineRule="auto"/>
              <w:ind w:firstLine="0" w:firstLineChars="0"/>
              <w:jc w:val="both"/>
              <w:rPr>
                <w:rFonts w:ascii="微软雅黑" w:hAnsi="微软雅黑" w:cs="微软雅黑"/>
                <w:b/>
                <w:bCs/>
                <w:color w:val="auto"/>
                <w:szCs w:val="21"/>
                <w:highlight w:val="none"/>
              </w:rPr>
            </w:pPr>
          </w:p>
        </w:tc>
        <w:tc>
          <w:tcPr>
            <w:tcW w:w="1227" w:type="dxa"/>
            <w:tcBorders>
              <w:tl2br w:val="nil"/>
              <w:tr2bl w:val="nil"/>
            </w:tcBorders>
            <w:noWrap/>
            <w:vAlign w:val="center"/>
          </w:tcPr>
          <w:p w14:paraId="04861475">
            <w:pPr>
              <w:widowControl/>
              <w:spacing w:after="0" w:line="240" w:lineRule="auto"/>
              <w:ind w:firstLine="0" w:firstLineChars="0"/>
              <w:jc w:val="both"/>
              <w:rPr>
                <w:rFonts w:ascii="微软雅黑" w:hAnsi="微软雅黑" w:cs="微软雅黑"/>
                <w:b/>
                <w:bCs/>
                <w:color w:val="auto"/>
                <w:szCs w:val="21"/>
                <w:highlight w:val="none"/>
              </w:rPr>
            </w:pPr>
          </w:p>
        </w:tc>
        <w:tc>
          <w:tcPr>
            <w:tcW w:w="1773" w:type="dxa"/>
            <w:tcBorders>
              <w:tl2br w:val="nil"/>
              <w:tr2bl w:val="nil"/>
            </w:tcBorders>
            <w:shd w:val="clear" w:color="auto" w:fill="auto"/>
            <w:noWrap/>
            <w:vAlign w:val="center"/>
          </w:tcPr>
          <w:p w14:paraId="12088E33">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中型企业</w:t>
            </w:r>
          </w:p>
          <w:p w14:paraId="2579AD40">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小型企业</w:t>
            </w:r>
          </w:p>
          <w:p w14:paraId="09E2E50A">
            <w:pPr>
              <w:widowControl/>
              <w:spacing w:after="0" w:line="240" w:lineRule="auto"/>
              <w:ind w:firstLine="0" w:firstLineChars="0"/>
              <w:jc w:val="both"/>
              <w:rPr>
                <w:rFonts w:ascii="微软雅黑" w:hAnsi="微软雅黑" w:eastAsia="微软雅黑" w:cs="微软雅黑"/>
                <w:b/>
                <w:bCs/>
                <w:color w:val="auto"/>
                <w:kern w:val="2"/>
                <w:sz w:val="21"/>
                <w:szCs w:val="21"/>
                <w:highlight w:val="none"/>
                <w:lang w:val="en-US" w:eastAsia="zh-CN" w:bidi="ar-SA"/>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微型</w:t>
            </w:r>
          </w:p>
        </w:tc>
      </w:tr>
      <w:tr w14:paraId="722E99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trPr>
        <w:tc>
          <w:tcPr>
            <w:tcW w:w="537" w:type="dxa"/>
            <w:tcBorders>
              <w:tl2br w:val="nil"/>
              <w:tr2bl w:val="nil"/>
            </w:tcBorders>
            <w:noWrap/>
            <w:vAlign w:val="center"/>
          </w:tcPr>
          <w:p w14:paraId="1A01171B">
            <w:pPr>
              <w:spacing w:after="0" w:line="240" w:lineRule="auto"/>
              <w:ind w:firstLine="0" w:firstLineChars="0"/>
              <w:jc w:val="both"/>
              <w:rPr>
                <w:rFonts w:ascii="微软雅黑" w:hAnsi="微软雅黑"/>
                <w:color w:val="auto"/>
                <w:szCs w:val="21"/>
                <w:highlight w:val="none"/>
              </w:rPr>
            </w:pPr>
            <w:r>
              <w:rPr>
                <w:rFonts w:hint="eastAsia" w:ascii="微软雅黑" w:hAnsi="微软雅黑"/>
                <w:color w:val="auto"/>
                <w:szCs w:val="21"/>
                <w:highlight w:val="none"/>
              </w:rPr>
              <w:t>5</w:t>
            </w:r>
          </w:p>
        </w:tc>
        <w:tc>
          <w:tcPr>
            <w:tcW w:w="1611" w:type="dxa"/>
            <w:tcBorders>
              <w:tl2br w:val="nil"/>
              <w:tr2bl w:val="nil"/>
            </w:tcBorders>
            <w:noWrap/>
            <w:vAlign w:val="center"/>
          </w:tcPr>
          <w:p w14:paraId="33DF685B">
            <w:pPr>
              <w:spacing w:after="0" w:line="240" w:lineRule="auto"/>
              <w:ind w:firstLine="0" w:firstLineChars="0"/>
              <w:jc w:val="both"/>
              <w:rPr>
                <w:rFonts w:ascii="微软雅黑" w:hAnsi="微软雅黑" w:cs="微软雅黑"/>
                <w:color w:val="auto"/>
                <w:szCs w:val="21"/>
                <w:highlight w:val="none"/>
              </w:rPr>
            </w:pPr>
            <w:r>
              <w:rPr>
                <w:rFonts w:hint="eastAsia" w:ascii="微软雅黑" w:hAnsi="微软雅黑" w:cs="微软雅黑"/>
                <w:color w:val="auto"/>
                <w:highlight w:val="none"/>
              </w:rPr>
              <w:t>防爆冰箱</w:t>
            </w:r>
          </w:p>
        </w:tc>
        <w:tc>
          <w:tcPr>
            <w:tcW w:w="845" w:type="dxa"/>
            <w:tcBorders>
              <w:tl2br w:val="nil"/>
              <w:tr2bl w:val="nil"/>
            </w:tcBorders>
            <w:shd w:val="clear" w:color="auto" w:fill="auto"/>
            <w:noWrap/>
            <w:vAlign w:val="center"/>
          </w:tcPr>
          <w:p w14:paraId="527BFB65">
            <w:pPr>
              <w:spacing w:after="0" w:line="240" w:lineRule="auto"/>
              <w:ind w:firstLine="0" w:firstLineChars="0"/>
              <w:jc w:val="both"/>
              <w:rPr>
                <w:rFonts w:hint="default" w:ascii="微软雅黑" w:hAnsi="微软雅黑" w:eastAsia="微软雅黑" w:cs="微软雅黑"/>
                <w:color w:val="auto"/>
                <w:kern w:val="2"/>
                <w:sz w:val="21"/>
                <w:szCs w:val="21"/>
                <w:highlight w:val="none"/>
                <w:lang w:val="en-US" w:eastAsia="zh-CN" w:bidi="ar-SA"/>
              </w:rPr>
            </w:pPr>
            <w:r>
              <w:rPr>
                <w:rFonts w:hint="eastAsia" w:ascii="微软雅黑" w:hAnsi="微软雅黑" w:cs="微软雅黑"/>
                <w:color w:val="auto"/>
                <w:szCs w:val="21"/>
                <w:highlight w:val="none"/>
                <w:lang w:val="en-US" w:eastAsia="zh-CN"/>
              </w:rPr>
              <w:t>工业</w:t>
            </w:r>
          </w:p>
        </w:tc>
        <w:tc>
          <w:tcPr>
            <w:tcW w:w="1459" w:type="dxa"/>
            <w:tcBorders>
              <w:tl2br w:val="nil"/>
              <w:tr2bl w:val="nil"/>
            </w:tcBorders>
            <w:noWrap/>
            <w:vAlign w:val="center"/>
          </w:tcPr>
          <w:p w14:paraId="40D44DA8">
            <w:pPr>
              <w:widowControl/>
              <w:spacing w:after="0" w:line="240" w:lineRule="auto"/>
              <w:ind w:firstLine="0" w:firstLineChars="0"/>
              <w:jc w:val="both"/>
              <w:rPr>
                <w:rFonts w:ascii="微软雅黑" w:hAnsi="微软雅黑" w:cs="微软雅黑"/>
                <w:b/>
                <w:bCs/>
                <w:color w:val="auto"/>
                <w:szCs w:val="21"/>
                <w:highlight w:val="none"/>
              </w:rPr>
            </w:pPr>
          </w:p>
        </w:tc>
        <w:tc>
          <w:tcPr>
            <w:tcW w:w="1228" w:type="dxa"/>
            <w:tcBorders>
              <w:tl2br w:val="nil"/>
              <w:tr2bl w:val="nil"/>
            </w:tcBorders>
            <w:noWrap/>
            <w:vAlign w:val="center"/>
          </w:tcPr>
          <w:p w14:paraId="2D6A5641">
            <w:pPr>
              <w:widowControl/>
              <w:spacing w:after="0" w:line="240" w:lineRule="auto"/>
              <w:ind w:firstLine="0" w:firstLineChars="0"/>
              <w:jc w:val="both"/>
              <w:rPr>
                <w:rFonts w:ascii="微软雅黑" w:hAnsi="微软雅黑" w:cs="微软雅黑"/>
                <w:b/>
                <w:bCs/>
                <w:color w:val="auto"/>
                <w:szCs w:val="21"/>
                <w:highlight w:val="none"/>
              </w:rPr>
            </w:pPr>
          </w:p>
        </w:tc>
        <w:tc>
          <w:tcPr>
            <w:tcW w:w="1486" w:type="dxa"/>
            <w:tcBorders>
              <w:tl2br w:val="nil"/>
              <w:tr2bl w:val="nil"/>
            </w:tcBorders>
            <w:noWrap/>
            <w:vAlign w:val="center"/>
          </w:tcPr>
          <w:p w14:paraId="09BA96E4">
            <w:pPr>
              <w:widowControl/>
              <w:spacing w:after="0" w:line="240" w:lineRule="auto"/>
              <w:ind w:firstLine="0" w:firstLineChars="0"/>
              <w:jc w:val="both"/>
              <w:rPr>
                <w:rFonts w:ascii="微软雅黑" w:hAnsi="微软雅黑" w:cs="微软雅黑"/>
                <w:b/>
                <w:bCs/>
                <w:color w:val="auto"/>
                <w:szCs w:val="21"/>
                <w:highlight w:val="none"/>
              </w:rPr>
            </w:pPr>
          </w:p>
        </w:tc>
        <w:tc>
          <w:tcPr>
            <w:tcW w:w="1227" w:type="dxa"/>
            <w:tcBorders>
              <w:tl2br w:val="nil"/>
              <w:tr2bl w:val="nil"/>
            </w:tcBorders>
            <w:noWrap/>
            <w:vAlign w:val="center"/>
          </w:tcPr>
          <w:p w14:paraId="70CAC942">
            <w:pPr>
              <w:widowControl/>
              <w:spacing w:after="0" w:line="240" w:lineRule="auto"/>
              <w:ind w:firstLine="0" w:firstLineChars="0"/>
              <w:jc w:val="both"/>
              <w:rPr>
                <w:rFonts w:ascii="微软雅黑" w:hAnsi="微软雅黑" w:cs="微软雅黑"/>
                <w:b/>
                <w:bCs/>
                <w:color w:val="auto"/>
                <w:szCs w:val="21"/>
                <w:highlight w:val="none"/>
              </w:rPr>
            </w:pPr>
          </w:p>
        </w:tc>
        <w:tc>
          <w:tcPr>
            <w:tcW w:w="1773" w:type="dxa"/>
            <w:tcBorders>
              <w:tl2br w:val="nil"/>
              <w:tr2bl w:val="nil"/>
            </w:tcBorders>
            <w:shd w:val="clear" w:color="auto" w:fill="auto"/>
            <w:noWrap/>
            <w:vAlign w:val="center"/>
          </w:tcPr>
          <w:p w14:paraId="05D581F0">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中型企业</w:t>
            </w:r>
          </w:p>
          <w:p w14:paraId="31579BBB">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小型企业</w:t>
            </w:r>
          </w:p>
          <w:p w14:paraId="590FB78B">
            <w:pPr>
              <w:widowControl/>
              <w:spacing w:after="0" w:line="240" w:lineRule="auto"/>
              <w:ind w:firstLine="0" w:firstLineChars="0"/>
              <w:jc w:val="both"/>
              <w:rPr>
                <w:rFonts w:ascii="微软雅黑" w:hAnsi="微软雅黑" w:eastAsia="微软雅黑" w:cs="微软雅黑"/>
                <w:b/>
                <w:bCs/>
                <w:color w:val="auto"/>
                <w:kern w:val="2"/>
                <w:sz w:val="21"/>
                <w:szCs w:val="21"/>
                <w:highlight w:val="none"/>
                <w:lang w:val="en-US" w:eastAsia="zh-CN" w:bidi="ar-SA"/>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微型</w:t>
            </w:r>
          </w:p>
        </w:tc>
      </w:tr>
      <w:tr w14:paraId="747314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trPr>
        <w:tc>
          <w:tcPr>
            <w:tcW w:w="537" w:type="dxa"/>
            <w:tcBorders>
              <w:tl2br w:val="nil"/>
              <w:tr2bl w:val="nil"/>
            </w:tcBorders>
            <w:noWrap/>
            <w:vAlign w:val="center"/>
          </w:tcPr>
          <w:p w14:paraId="3829927F">
            <w:pPr>
              <w:spacing w:after="0" w:line="240" w:lineRule="auto"/>
              <w:ind w:firstLine="0" w:firstLineChars="0"/>
              <w:jc w:val="both"/>
              <w:rPr>
                <w:rFonts w:ascii="微软雅黑" w:hAnsi="微软雅黑"/>
                <w:color w:val="auto"/>
                <w:szCs w:val="21"/>
                <w:highlight w:val="none"/>
              </w:rPr>
            </w:pPr>
            <w:r>
              <w:rPr>
                <w:rFonts w:hint="eastAsia" w:ascii="微软雅黑" w:hAnsi="微软雅黑"/>
                <w:color w:val="auto"/>
                <w:szCs w:val="21"/>
                <w:highlight w:val="none"/>
              </w:rPr>
              <w:t>6</w:t>
            </w:r>
          </w:p>
        </w:tc>
        <w:tc>
          <w:tcPr>
            <w:tcW w:w="1611" w:type="dxa"/>
            <w:tcBorders>
              <w:tl2br w:val="nil"/>
              <w:tr2bl w:val="nil"/>
            </w:tcBorders>
            <w:noWrap/>
            <w:vAlign w:val="center"/>
          </w:tcPr>
          <w:p w14:paraId="7EE4B9C9">
            <w:pPr>
              <w:spacing w:after="0" w:line="240" w:lineRule="auto"/>
              <w:ind w:firstLine="0" w:firstLineChars="0"/>
              <w:jc w:val="both"/>
              <w:rPr>
                <w:rFonts w:ascii="微软雅黑" w:hAnsi="微软雅黑" w:cs="微软雅黑"/>
                <w:color w:val="auto"/>
                <w:szCs w:val="21"/>
                <w:highlight w:val="none"/>
              </w:rPr>
            </w:pPr>
            <w:r>
              <w:rPr>
                <w:rFonts w:hint="eastAsia" w:ascii="微软雅黑" w:hAnsi="微软雅黑" w:cs="微软雅黑"/>
                <w:color w:val="auto"/>
                <w:highlight w:val="none"/>
              </w:rPr>
              <w:t>燃烧热实验装置</w:t>
            </w:r>
          </w:p>
        </w:tc>
        <w:tc>
          <w:tcPr>
            <w:tcW w:w="845" w:type="dxa"/>
            <w:tcBorders>
              <w:tl2br w:val="nil"/>
              <w:tr2bl w:val="nil"/>
            </w:tcBorders>
            <w:shd w:val="clear" w:color="auto" w:fill="auto"/>
            <w:noWrap/>
            <w:vAlign w:val="center"/>
          </w:tcPr>
          <w:p w14:paraId="10784EA1">
            <w:pPr>
              <w:spacing w:after="0" w:line="240" w:lineRule="auto"/>
              <w:ind w:firstLine="0" w:firstLineChars="0"/>
              <w:jc w:val="both"/>
              <w:rPr>
                <w:rFonts w:ascii="微软雅黑" w:hAnsi="微软雅黑" w:eastAsia="微软雅黑" w:cs="微软雅黑"/>
                <w:color w:val="auto"/>
                <w:kern w:val="2"/>
                <w:sz w:val="21"/>
                <w:szCs w:val="21"/>
                <w:highlight w:val="none"/>
                <w:lang w:val="en-US" w:eastAsia="zh-CN" w:bidi="ar-SA"/>
              </w:rPr>
            </w:pPr>
            <w:r>
              <w:rPr>
                <w:rFonts w:hint="eastAsia" w:ascii="微软雅黑" w:hAnsi="微软雅黑" w:cs="微软雅黑"/>
                <w:color w:val="auto"/>
                <w:szCs w:val="21"/>
                <w:highlight w:val="none"/>
                <w:lang w:val="en-US" w:eastAsia="zh-CN"/>
              </w:rPr>
              <w:t>工业</w:t>
            </w:r>
          </w:p>
        </w:tc>
        <w:tc>
          <w:tcPr>
            <w:tcW w:w="1459" w:type="dxa"/>
            <w:tcBorders>
              <w:tl2br w:val="nil"/>
              <w:tr2bl w:val="nil"/>
            </w:tcBorders>
            <w:noWrap/>
            <w:vAlign w:val="center"/>
          </w:tcPr>
          <w:p w14:paraId="41A96622">
            <w:pPr>
              <w:widowControl/>
              <w:spacing w:after="0" w:line="240" w:lineRule="auto"/>
              <w:ind w:firstLine="0" w:firstLineChars="0"/>
              <w:jc w:val="both"/>
              <w:rPr>
                <w:rFonts w:ascii="微软雅黑" w:hAnsi="微软雅黑" w:cs="微软雅黑"/>
                <w:b/>
                <w:bCs/>
                <w:color w:val="auto"/>
                <w:szCs w:val="21"/>
                <w:highlight w:val="none"/>
              </w:rPr>
            </w:pPr>
          </w:p>
        </w:tc>
        <w:tc>
          <w:tcPr>
            <w:tcW w:w="1228" w:type="dxa"/>
            <w:tcBorders>
              <w:tl2br w:val="nil"/>
              <w:tr2bl w:val="nil"/>
            </w:tcBorders>
            <w:noWrap/>
            <w:vAlign w:val="center"/>
          </w:tcPr>
          <w:p w14:paraId="0B9F5043">
            <w:pPr>
              <w:widowControl/>
              <w:spacing w:after="0" w:line="240" w:lineRule="auto"/>
              <w:ind w:firstLine="0" w:firstLineChars="0"/>
              <w:jc w:val="both"/>
              <w:rPr>
                <w:rFonts w:ascii="微软雅黑" w:hAnsi="微软雅黑" w:cs="微软雅黑"/>
                <w:b/>
                <w:bCs/>
                <w:color w:val="auto"/>
                <w:szCs w:val="21"/>
                <w:highlight w:val="none"/>
              </w:rPr>
            </w:pPr>
          </w:p>
        </w:tc>
        <w:tc>
          <w:tcPr>
            <w:tcW w:w="1486" w:type="dxa"/>
            <w:tcBorders>
              <w:tl2br w:val="nil"/>
              <w:tr2bl w:val="nil"/>
            </w:tcBorders>
            <w:noWrap/>
            <w:vAlign w:val="center"/>
          </w:tcPr>
          <w:p w14:paraId="7B58F5A4">
            <w:pPr>
              <w:widowControl/>
              <w:spacing w:after="0" w:line="240" w:lineRule="auto"/>
              <w:ind w:firstLine="0" w:firstLineChars="0"/>
              <w:jc w:val="both"/>
              <w:rPr>
                <w:rFonts w:ascii="微软雅黑" w:hAnsi="微软雅黑" w:cs="微软雅黑"/>
                <w:b/>
                <w:bCs/>
                <w:color w:val="auto"/>
                <w:szCs w:val="21"/>
                <w:highlight w:val="none"/>
              </w:rPr>
            </w:pPr>
          </w:p>
        </w:tc>
        <w:tc>
          <w:tcPr>
            <w:tcW w:w="1227" w:type="dxa"/>
            <w:tcBorders>
              <w:tl2br w:val="nil"/>
              <w:tr2bl w:val="nil"/>
            </w:tcBorders>
            <w:noWrap/>
            <w:vAlign w:val="center"/>
          </w:tcPr>
          <w:p w14:paraId="17D815D3">
            <w:pPr>
              <w:widowControl/>
              <w:spacing w:after="0" w:line="240" w:lineRule="auto"/>
              <w:ind w:firstLine="0" w:firstLineChars="0"/>
              <w:jc w:val="both"/>
              <w:rPr>
                <w:rFonts w:ascii="微软雅黑" w:hAnsi="微软雅黑" w:cs="微软雅黑"/>
                <w:b/>
                <w:bCs/>
                <w:color w:val="auto"/>
                <w:szCs w:val="21"/>
                <w:highlight w:val="none"/>
              </w:rPr>
            </w:pPr>
          </w:p>
        </w:tc>
        <w:tc>
          <w:tcPr>
            <w:tcW w:w="1773" w:type="dxa"/>
            <w:tcBorders>
              <w:tl2br w:val="nil"/>
              <w:tr2bl w:val="nil"/>
            </w:tcBorders>
            <w:shd w:val="clear" w:color="auto" w:fill="auto"/>
            <w:noWrap/>
            <w:vAlign w:val="center"/>
          </w:tcPr>
          <w:p w14:paraId="69609964">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中型企业</w:t>
            </w:r>
          </w:p>
          <w:p w14:paraId="04FF3B56">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小型企业</w:t>
            </w:r>
          </w:p>
          <w:p w14:paraId="71351D3C">
            <w:pPr>
              <w:widowControl/>
              <w:spacing w:after="0" w:line="240" w:lineRule="auto"/>
              <w:ind w:firstLine="0" w:firstLineChars="0"/>
              <w:jc w:val="both"/>
              <w:rPr>
                <w:rFonts w:ascii="微软雅黑" w:hAnsi="微软雅黑" w:eastAsia="微软雅黑" w:cs="微软雅黑"/>
                <w:b/>
                <w:bCs/>
                <w:color w:val="auto"/>
                <w:kern w:val="2"/>
                <w:sz w:val="21"/>
                <w:szCs w:val="21"/>
                <w:highlight w:val="none"/>
                <w:lang w:val="en-US" w:eastAsia="zh-CN" w:bidi="ar-SA"/>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微型</w:t>
            </w:r>
          </w:p>
        </w:tc>
      </w:tr>
      <w:tr w14:paraId="007B04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trPr>
        <w:tc>
          <w:tcPr>
            <w:tcW w:w="537" w:type="dxa"/>
            <w:tcBorders>
              <w:tl2br w:val="nil"/>
              <w:tr2bl w:val="nil"/>
            </w:tcBorders>
            <w:noWrap/>
            <w:vAlign w:val="center"/>
          </w:tcPr>
          <w:p w14:paraId="032E11B8">
            <w:pPr>
              <w:widowControl/>
              <w:spacing w:after="0" w:line="240" w:lineRule="auto"/>
              <w:ind w:firstLine="0" w:firstLineChars="0"/>
              <w:jc w:val="both"/>
              <w:rPr>
                <w:rFonts w:ascii="微软雅黑" w:hAnsi="微软雅黑"/>
                <w:color w:val="auto"/>
                <w:kern w:val="0"/>
                <w:szCs w:val="21"/>
                <w:highlight w:val="none"/>
              </w:rPr>
            </w:pPr>
            <w:r>
              <w:rPr>
                <w:rFonts w:hint="eastAsia" w:ascii="微软雅黑" w:hAnsi="微软雅黑"/>
                <w:color w:val="auto"/>
                <w:kern w:val="0"/>
                <w:szCs w:val="21"/>
                <w:highlight w:val="none"/>
              </w:rPr>
              <w:t>7</w:t>
            </w:r>
          </w:p>
        </w:tc>
        <w:tc>
          <w:tcPr>
            <w:tcW w:w="1611" w:type="dxa"/>
            <w:tcBorders>
              <w:tl2br w:val="nil"/>
              <w:tr2bl w:val="nil"/>
            </w:tcBorders>
            <w:noWrap/>
            <w:vAlign w:val="center"/>
          </w:tcPr>
          <w:p w14:paraId="38081F5D">
            <w:pPr>
              <w:spacing w:after="0" w:line="240" w:lineRule="auto"/>
              <w:ind w:firstLine="0" w:firstLineChars="0"/>
              <w:jc w:val="both"/>
              <w:rPr>
                <w:rFonts w:ascii="微软雅黑" w:hAnsi="微软雅黑" w:cs="微软雅黑"/>
                <w:color w:val="auto"/>
                <w:kern w:val="0"/>
                <w:szCs w:val="21"/>
                <w:highlight w:val="none"/>
              </w:rPr>
            </w:pPr>
            <w:r>
              <w:rPr>
                <w:rFonts w:hint="eastAsia" w:ascii="微软雅黑" w:hAnsi="微软雅黑" w:cs="微软雅黑"/>
                <w:color w:val="auto"/>
                <w:highlight w:val="none"/>
              </w:rPr>
              <w:t>玻璃恒温水浴</w:t>
            </w:r>
          </w:p>
        </w:tc>
        <w:tc>
          <w:tcPr>
            <w:tcW w:w="845" w:type="dxa"/>
            <w:tcBorders>
              <w:tl2br w:val="nil"/>
              <w:tr2bl w:val="nil"/>
            </w:tcBorders>
            <w:shd w:val="clear" w:color="auto" w:fill="auto"/>
            <w:noWrap/>
            <w:vAlign w:val="center"/>
          </w:tcPr>
          <w:p w14:paraId="65E59483">
            <w:pPr>
              <w:spacing w:after="0" w:line="240" w:lineRule="auto"/>
              <w:ind w:firstLine="0" w:firstLineChars="0"/>
              <w:jc w:val="both"/>
              <w:rPr>
                <w:rFonts w:hint="default" w:ascii="微软雅黑" w:hAnsi="微软雅黑" w:eastAsia="微软雅黑" w:cs="微软雅黑"/>
                <w:color w:val="auto"/>
                <w:kern w:val="2"/>
                <w:sz w:val="21"/>
                <w:szCs w:val="21"/>
                <w:highlight w:val="none"/>
                <w:lang w:val="en-US" w:eastAsia="zh-CN" w:bidi="ar-SA"/>
              </w:rPr>
            </w:pPr>
            <w:r>
              <w:rPr>
                <w:rFonts w:hint="eastAsia" w:ascii="微软雅黑" w:hAnsi="微软雅黑" w:cs="微软雅黑"/>
                <w:color w:val="auto"/>
                <w:szCs w:val="21"/>
                <w:highlight w:val="none"/>
                <w:lang w:val="en-US" w:eastAsia="zh-CN"/>
              </w:rPr>
              <w:t>工业</w:t>
            </w:r>
          </w:p>
        </w:tc>
        <w:tc>
          <w:tcPr>
            <w:tcW w:w="1459" w:type="dxa"/>
            <w:tcBorders>
              <w:tl2br w:val="nil"/>
              <w:tr2bl w:val="nil"/>
            </w:tcBorders>
            <w:noWrap/>
            <w:vAlign w:val="center"/>
          </w:tcPr>
          <w:p w14:paraId="2A979A26">
            <w:pPr>
              <w:widowControl/>
              <w:spacing w:after="0" w:line="240" w:lineRule="auto"/>
              <w:ind w:firstLine="0" w:firstLineChars="0"/>
              <w:jc w:val="both"/>
              <w:rPr>
                <w:rFonts w:ascii="微软雅黑" w:hAnsi="微软雅黑" w:cs="微软雅黑"/>
                <w:color w:val="auto"/>
                <w:kern w:val="0"/>
                <w:szCs w:val="21"/>
                <w:highlight w:val="none"/>
              </w:rPr>
            </w:pPr>
          </w:p>
        </w:tc>
        <w:tc>
          <w:tcPr>
            <w:tcW w:w="1228" w:type="dxa"/>
            <w:tcBorders>
              <w:tl2br w:val="nil"/>
              <w:tr2bl w:val="nil"/>
            </w:tcBorders>
            <w:noWrap/>
            <w:vAlign w:val="center"/>
          </w:tcPr>
          <w:p w14:paraId="52088FCD">
            <w:pPr>
              <w:widowControl/>
              <w:spacing w:after="0" w:line="240" w:lineRule="auto"/>
              <w:ind w:firstLine="0" w:firstLineChars="0"/>
              <w:jc w:val="both"/>
              <w:rPr>
                <w:rFonts w:ascii="微软雅黑" w:hAnsi="微软雅黑" w:cs="微软雅黑"/>
                <w:color w:val="auto"/>
                <w:kern w:val="0"/>
                <w:szCs w:val="21"/>
                <w:highlight w:val="none"/>
              </w:rPr>
            </w:pPr>
          </w:p>
        </w:tc>
        <w:tc>
          <w:tcPr>
            <w:tcW w:w="1486" w:type="dxa"/>
            <w:tcBorders>
              <w:tl2br w:val="nil"/>
              <w:tr2bl w:val="nil"/>
            </w:tcBorders>
            <w:noWrap/>
            <w:vAlign w:val="center"/>
          </w:tcPr>
          <w:p w14:paraId="1183EBEF">
            <w:pPr>
              <w:widowControl/>
              <w:spacing w:after="0" w:line="240" w:lineRule="auto"/>
              <w:ind w:firstLine="0" w:firstLineChars="0"/>
              <w:jc w:val="both"/>
              <w:rPr>
                <w:rFonts w:ascii="微软雅黑" w:hAnsi="微软雅黑" w:cs="微软雅黑"/>
                <w:color w:val="auto"/>
                <w:kern w:val="0"/>
                <w:szCs w:val="21"/>
                <w:highlight w:val="none"/>
              </w:rPr>
            </w:pPr>
          </w:p>
        </w:tc>
        <w:tc>
          <w:tcPr>
            <w:tcW w:w="1227" w:type="dxa"/>
            <w:tcBorders>
              <w:tl2br w:val="nil"/>
              <w:tr2bl w:val="nil"/>
            </w:tcBorders>
            <w:noWrap/>
            <w:vAlign w:val="center"/>
          </w:tcPr>
          <w:p w14:paraId="0509F0C7">
            <w:pPr>
              <w:widowControl/>
              <w:spacing w:after="0" w:line="240" w:lineRule="auto"/>
              <w:ind w:firstLine="0" w:firstLineChars="0"/>
              <w:jc w:val="both"/>
              <w:rPr>
                <w:rFonts w:ascii="微软雅黑" w:hAnsi="微软雅黑" w:cs="微软雅黑"/>
                <w:color w:val="auto"/>
                <w:kern w:val="0"/>
                <w:szCs w:val="21"/>
                <w:highlight w:val="none"/>
              </w:rPr>
            </w:pPr>
          </w:p>
        </w:tc>
        <w:tc>
          <w:tcPr>
            <w:tcW w:w="1773" w:type="dxa"/>
            <w:tcBorders>
              <w:tl2br w:val="nil"/>
              <w:tr2bl w:val="nil"/>
            </w:tcBorders>
            <w:shd w:val="clear" w:color="auto" w:fill="auto"/>
            <w:noWrap/>
            <w:vAlign w:val="center"/>
          </w:tcPr>
          <w:p w14:paraId="6735E192">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中型企业</w:t>
            </w:r>
          </w:p>
          <w:p w14:paraId="534174F3">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小型企业</w:t>
            </w:r>
          </w:p>
          <w:p w14:paraId="4AE439A0">
            <w:pPr>
              <w:widowControl/>
              <w:spacing w:after="0" w:line="240" w:lineRule="auto"/>
              <w:ind w:firstLine="0" w:firstLineChars="0"/>
              <w:jc w:val="both"/>
              <w:rPr>
                <w:rFonts w:ascii="微软雅黑" w:hAnsi="微软雅黑" w:eastAsia="微软雅黑" w:cs="微软雅黑"/>
                <w:b/>
                <w:bCs/>
                <w:color w:val="auto"/>
                <w:kern w:val="2"/>
                <w:sz w:val="21"/>
                <w:szCs w:val="21"/>
                <w:highlight w:val="none"/>
                <w:lang w:val="en-US" w:eastAsia="zh-CN" w:bidi="ar-SA"/>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微型</w:t>
            </w:r>
          </w:p>
        </w:tc>
      </w:tr>
      <w:tr w14:paraId="29B5E0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trPr>
        <w:tc>
          <w:tcPr>
            <w:tcW w:w="537" w:type="dxa"/>
            <w:tcBorders>
              <w:tl2br w:val="nil"/>
              <w:tr2bl w:val="nil"/>
            </w:tcBorders>
            <w:noWrap/>
            <w:vAlign w:val="center"/>
          </w:tcPr>
          <w:p w14:paraId="53F598BC">
            <w:pPr>
              <w:widowControl/>
              <w:spacing w:after="0" w:line="240" w:lineRule="auto"/>
              <w:ind w:firstLine="0" w:firstLineChars="0"/>
              <w:jc w:val="both"/>
              <w:rPr>
                <w:rFonts w:ascii="微软雅黑" w:hAnsi="微软雅黑"/>
                <w:color w:val="auto"/>
                <w:kern w:val="0"/>
                <w:szCs w:val="21"/>
                <w:highlight w:val="none"/>
              </w:rPr>
            </w:pPr>
            <w:r>
              <w:rPr>
                <w:rFonts w:ascii="微软雅黑" w:hAnsi="微软雅黑"/>
                <w:color w:val="auto"/>
                <w:kern w:val="0"/>
                <w:szCs w:val="21"/>
                <w:highlight w:val="none"/>
              </w:rPr>
              <w:t>8</w:t>
            </w:r>
          </w:p>
        </w:tc>
        <w:tc>
          <w:tcPr>
            <w:tcW w:w="1611" w:type="dxa"/>
            <w:tcBorders>
              <w:tl2br w:val="nil"/>
              <w:tr2bl w:val="nil"/>
            </w:tcBorders>
            <w:noWrap/>
            <w:vAlign w:val="center"/>
          </w:tcPr>
          <w:p w14:paraId="73543F3D">
            <w:pPr>
              <w:spacing w:after="0" w:line="240" w:lineRule="auto"/>
              <w:ind w:firstLine="0" w:firstLineChars="0"/>
              <w:jc w:val="both"/>
              <w:rPr>
                <w:rFonts w:ascii="微软雅黑" w:hAnsi="微软雅黑" w:cs="微软雅黑"/>
                <w:color w:val="auto"/>
                <w:szCs w:val="21"/>
                <w:highlight w:val="none"/>
              </w:rPr>
            </w:pPr>
            <w:r>
              <w:rPr>
                <w:rFonts w:hint="eastAsia" w:ascii="微软雅黑" w:hAnsi="微软雅黑" w:cs="微软雅黑"/>
                <w:color w:val="auto"/>
                <w:highlight w:val="none"/>
              </w:rPr>
              <w:t>数字电位差综合测试仪</w:t>
            </w:r>
          </w:p>
        </w:tc>
        <w:tc>
          <w:tcPr>
            <w:tcW w:w="845" w:type="dxa"/>
            <w:tcBorders>
              <w:tl2br w:val="nil"/>
              <w:tr2bl w:val="nil"/>
            </w:tcBorders>
            <w:shd w:val="clear" w:color="auto" w:fill="auto"/>
            <w:noWrap/>
            <w:vAlign w:val="center"/>
          </w:tcPr>
          <w:p w14:paraId="0568DA5B">
            <w:pPr>
              <w:spacing w:after="0" w:line="240" w:lineRule="auto"/>
              <w:ind w:firstLine="0" w:firstLineChars="0"/>
              <w:jc w:val="both"/>
              <w:rPr>
                <w:rFonts w:ascii="微软雅黑" w:hAnsi="微软雅黑" w:eastAsia="微软雅黑" w:cs="微软雅黑"/>
                <w:color w:val="auto"/>
                <w:kern w:val="2"/>
                <w:sz w:val="21"/>
                <w:szCs w:val="21"/>
                <w:highlight w:val="none"/>
                <w:lang w:val="en-US" w:eastAsia="zh-CN" w:bidi="ar-SA"/>
              </w:rPr>
            </w:pPr>
            <w:r>
              <w:rPr>
                <w:rFonts w:hint="eastAsia" w:ascii="微软雅黑" w:hAnsi="微软雅黑" w:cs="微软雅黑"/>
                <w:color w:val="auto"/>
                <w:szCs w:val="21"/>
                <w:highlight w:val="none"/>
                <w:lang w:val="en-US" w:eastAsia="zh-CN"/>
              </w:rPr>
              <w:t>工业</w:t>
            </w:r>
          </w:p>
        </w:tc>
        <w:tc>
          <w:tcPr>
            <w:tcW w:w="1459" w:type="dxa"/>
            <w:tcBorders>
              <w:tl2br w:val="nil"/>
              <w:tr2bl w:val="nil"/>
            </w:tcBorders>
            <w:noWrap/>
            <w:vAlign w:val="center"/>
          </w:tcPr>
          <w:p w14:paraId="277C2991">
            <w:pPr>
              <w:widowControl/>
              <w:spacing w:after="0" w:line="240" w:lineRule="auto"/>
              <w:ind w:firstLine="0" w:firstLineChars="0"/>
              <w:jc w:val="both"/>
              <w:rPr>
                <w:rFonts w:ascii="微软雅黑" w:hAnsi="微软雅黑" w:cs="微软雅黑"/>
                <w:color w:val="auto"/>
                <w:kern w:val="0"/>
                <w:szCs w:val="21"/>
                <w:highlight w:val="none"/>
              </w:rPr>
            </w:pPr>
          </w:p>
        </w:tc>
        <w:tc>
          <w:tcPr>
            <w:tcW w:w="1228" w:type="dxa"/>
            <w:tcBorders>
              <w:tl2br w:val="nil"/>
              <w:tr2bl w:val="nil"/>
            </w:tcBorders>
            <w:noWrap/>
            <w:vAlign w:val="center"/>
          </w:tcPr>
          <w:p w14:paraId="6F830A20">
            <w:pPr>
              <w:widowControl/>
              <w:spacing w:after="0" w:line="240" w:lineRule="auto"/>
              <w:ind w:firstLine="0" w:firstLineChars="0"/>
              <w:jc w:val="both"/>
              <w:rPr>
                <w:rFonts w:ascii="微软雅黑" w:hAnsi="微软雅黑" w:cs="微软雅黑"/>
                <w:color w:val="auto"/>
                <w:kern w:val="0"/>
                <w:szCs w:val="21"/>
                <w:highlight w:val="none"/>
              </w:rPr>
            </w:pPr>
          </w:p>
        </w:tc>
        <w:tc>
          <w:tcPr>
            <w:tcW w:w="1486" w:type="dxa"/>
            <w:tcBorders>
              <w:tl2br w:val="nil"/>
              <w:tr2bl w:val="nil"/>
            </w:tcBorders>
            <w:noWrap/>
            <w:vAlign w:val="center"/>
          </w:tcPr>
          <w:p w14:paraId="3483FE85">
            <w:pPr>
              <w:widowControl/>
              <w:spacing w:after="0" w:line="240" w:lineRule="auto"/>
              <w:ind w:firstLine="0" w:firstLineChars="0"/>
              <w:jc w:val="both"/>
              <w:rPr>
                <w:rFonts w:ascii="微软雅黑" w:hAnsi="微软雅黑" w:cs="微软雅黑"/>
                <w:color w:val="auto"/>
                <w:kern w:val="0"/>
                <w:szCs w:val="21"/>
                <w:highlight w:val="none"/>
              </w:rPr>
            </w:pPr>
          </w:p>
        </w:tc>
        <w:tc>
          <w:tcPr>
            <w:tcW w:w="1227" w:type="dxa"/>
            <w:tcBorders>
              <w:tl2br w:val="nil"/>
              <w:tr2bl w:val="nil"/>
            </w:tcBorders>
            <w:noWrap/>
            <w:vAlign w:val="center"/>
          </w:tcPr>
          <w:p w14:paraId="5D87AD6B">
            <w:pPr>
              <w:widowControl/>
              <w:spacing w:after="0" w:line="240" w:lineRule="auto"/>
              <w:ind w:firstLine="0" w:firstLineChars="0"/>
              <w:jc w:val="both"/>
              <w:rPr>
                <w:rFonts w:ascii="微软雅黑" w:hAnsi="微软雅黑" w:cs="微软雅黑"/>
                <w:color w:val="auto"/>
                <w:kern w:val="0"/>
                <w:szCs w:val="21"/>
                <w:highlight w:val="none"/>
              </w:rPr>
            </w:pPr>
          </w:p>
        </w:tc>
        <w:tc>
          <w:tcPr>
            <w:tcW w:w="1773" w:type="dxa"/>
            <w:tcBorders>
              <w:tl2br w:val="nil"/>
              <w:tr2bl w:val="nil"/>
            </w:tcBorders>
            <w:shd w:val="clear" w:color="auto" w:fill="auto"/>
            <w:noWrap/>
            <w:vAlign w:val="center"/>
          </w:tcPr>
          <w:p w14:paraId="48D36064">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中型企业</w:t>
            </w:r>
          </w:p>
          <w:p w14:paraId="058182FA">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小型企业</w:t>
            </w:r>
          </w:p>
          <w:p w14:paraId="61653316">
            <w:pPr>
              <w:widowControl/>
              <w:spacing w:after="0" w:line="240" w:lineRule="auto"/>
              <w:ind w:firstLine="0" w:firstLineChars="0"/>
              <w:jc w:val="both"/>
              <w:rPr>
                <w:rFonts w:ascii="微软雅黑" w:hAnsi="微软雅黑" w:eastAsia="微软雅黑" w:cs="微软雅黑"/>
                <w:b/>
                <w:bCs/>
                <w:color w:val="auto"/>
                <w:kern w:val="2"/>
                <w:sz w:val="21"/>
                <w:szCs w:val="21"/>
                <w:highlight w:val="none"/>
                <w:lang w:val="en-US" w:eastAsia="zh-CN" w:bidi="ar-SA"/>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微型</w:t>
            </w:r>
          </w:p>
        </w:tc>
      </w:tr>
      <w:tr w14:paraId="76F549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trPr>
        <w:tc>
          <w:tcPr>
            <w:tcW w:w="537" w:type="dxa"/>
            <w:tcBorders>
              <w:tl2br w:val="nil"/>
              <w:tr2bl w:val="nil"/>
            </w:tcBorders>
            <w:noWrap/>
            <w:vAlign w:val="center"/>
          </w:tcPr>
          <w:p w14:paraId="4F24B89C">
            <w:pPr>
              <w:widowControl/>
              <w:spacing w:after="0" w:line="240" w:lineRule="auto"/>
              <w:ind w:firstLine="0" w:firstLineChars="0"/>
              <w:jc w:val="both"/>
              <w:rPr>
                <w:rFonts w:ascii="微软雅黑" w:hAnsi="微软雅黑"/>
                <w:color w:val="auto"/>
                <w:kern w:val="0"/>
                <w:szCs w:val="21"/>
                <w:highlight w:val="none"/>
              </w:rPr>
            </w:pPr>
            <w:r>
              <w:rPr>
                <w:rFonts w:ascii="微软雅黑" w:hAnsi="微软雅黑"/>
                <w:color w:val="auto"/>
                <w:kern w:val="0"/>
                <w:szCs w:val="21"/>
                <w:highlight w:val="none"/>
              </w:rPr>
              <w:t>9</w:t>
            </w:r>
          </w:p>
        </w:tc>
        <w:tc>
          <w:tcPr>
            <w:tcW w:w="1611" w:type="dxa"/>
            <w:tcBorders>
              <w:tl2br w:val="nil"/>
              <w:tr2bl w:val="nil"/>
            </w:tcBorders>
            <w:noWrap/>
            <w:vAlign w:val="center"/>
          </w:tcPr>
          <w:p w14:paraId="43C24CD2">
            <w:pPr>
              <w:spacing w:after="0" w:line="240" w:lineRule="auto"/>
              <w:ind w:firstLine="0" w:firstLineChars="0"/>
              <w:jc w:val="both"/>
              <w:rPr>
                <w:rFonts w:ascii="微软雅黑" w:hAnsi="微软雅黑" w:cs="微软雅黑"/>
                <w:color w:val="auto"/>
                <w:szCs w:val="21"/>
                <w:highlight w:val="none"/>
              </w:rPr>
            </w:pPr>
            <w:r>
              <w:rPr>
                <w:rFonts w:hint="eastAsia" w:ascii="微软雅黑" w:hAnsi="微软雅黑" w:cs="微软雅黑"/>
                <w:color w:val="auto"/>
                <w:highlight w:val="none"/>
              </w:rPr>
              <w:t>凝固点降低装置</w:t>
            </w:r>
          </w:p>
        </w:tc>
        <w:tc>
          <w:tcPr>
            <w:tcW w:w="845" w:type="dxa"/>
            <w:tcBorders>
              <w:tl2br w:val="nil"/>
              <w:tr2bl w:val="nil"/>
            </w:tcBorders>
            <w:shd w:val="clear" w:color="auto" w:fill="auto"/>
            <w:noWrap/>
            <w:vAlign w:val="center"/>
          </w:tcPr>
          <w:p w14:paraId="1E6EB8F5">
            <w:pPr>
              <w:spacing w:after="0" w:line="240" w:lineRule="auto"/>
              <w:ind w:firstLine="0" w:firstLineChars="0"/>
              <w:jc w:val="both"/>
              <w:rPr>
                <w:rFonts w:hint="default" w:ascii="微软雅黑" w:hAnsi="微软雅黑" w:eastAsia="微软雅黑" w:cs="微软雅黑"/>
                <w:color w:val="auto"/>
                <w:kern w:val="2"/>
                <w:sz w:val="21"/>
                <w:szCs w:val="21"/>
                <w:highlight w:val="none"/>
                <w:lang w:val="en-US" w:eastAsia="zh-CN" w:bidi="ar-SA"/>
              </w:rPr>
            </w:pPr>
            <w:r>
              <w:rPr>
                <w:rFonts w:hint="eastAsia" w:ascii="微软雅黑" w:hAnsi="微软雅黑" w:cs="微软雅黑"/>
                <w:color w:val="auto"/>
                <w:szCs w:val="21"/>
                <w:highlight w:val="none"/>
                <w:lang w:val="en-US" w:eastAsia="zh-CN"/>
              </w:rPr>
              <w:t>工业</w:t>
            </w:r>
          </w:p>
        </w:tc>
        <w:tc>
          <w:tcPr>
            <w:tcW w:w="1459" w:type="dxa"/>
            <w:tcBorders>
              <w:tl2br w:val="nil"/>
              <w:tr2bl w:val="nil"/>
            </w:tcBorders>
            <w:noWrap/>
            <w:vAlign w:val="center"/>
          </w:tcPr>
          <w:p w14:paraId="73B3D2B0">
            <w:pPr>
              <w:widowControl/>
              <w:spacing w:after="0" w:line="240" w:lineRule="auto"/>
              <w:ind w:firstLine="0" w:firstLineChars="0"/>
              <w:jc w:val="both"/>
              <w:rPr>
                <w:rFonts w:ascii="微软雅黑" w:hAnsi="微软雅黑" w:cs="微软雅黑"/>
                <w:color w:val="auto"/>
                <w:kern w:val="0"/>
                <w:szCs w:val="21"/>
                <w:highlight w:val="none"/>
              </w:rPr>
            </w:pPr>
          </w:p>
        </w:tc>
        <w:tc>
          <w:tcPr>
            <w:tcW w:w="1228" w:type="dxa"/>
            <w:tcBorders>
              <w:tl2br w:val="nil"/>
              <w:tr2bl w:val="nil"/>
            </w:tcBorders>
            <w:noWrap/>
            <w:vAlign w:val="center"/>
          </w:tcPr>
          <w:p w14:paraId="062392AC">
            <w:pPr>
              <w:widowControl/>
              <w:spacing w:after="0" w:line="240" w:lineRule="auto"/>
              <w:ind w:firstLine="0" w:firstLineChars="0"/>
              <w:jc w:val="both"/>
              <w:rPr>
                <w:rFonts w:ascii="微软雅黑" w:hAnsi="微软雅黑" w:cs="微软雅黑"/>
                <w:color w:val="auto"/>
                <w:kern w:val="0"/>
                <w:szCs w:val="21"/>
                <w:highlight w:val="none"/>
              </w:rPr>
            </w:pPr>
          </w:p>
        </w:tc>
        <w:tc>
          <w:tcPr>
            <w:tcW w:w="1486" w:type="dxa"/>
            <w:tcBorders>
              <w:tl2br w:val="nil"/>
              <w:tr2bl w:val="nil"/>
            </w:tcBorders>
            <w:noWrap/>
            <w:vAlign w:val="center"/>
          </w:tcPr>
          <w:p w14:paraId="59BBAB20">
            <w:pPr>
              <w:widowControl/>
              <w:spacing w:after="0" w:line="240" w:lineRule="auto"/>
              <w:ind w:firstLine="0" w:firstLineChars="0"/>
              <w:jc w:val="both"/>
              <w:rPr>
                <w:rFonts w:ascii="微软雅黑" w:hAnsi="微软雅黑" w:cs="微软雅黑"/>
                <w:color w:val="auto"/>
                <w:kern w:val="0"/>
                <w:szCs w:val="21"/>
                <w:highlight w:val="none"/>
              </w:rPr>
            </w:pPr>
          </w:p>
        </w:tc>
        <w:tc>
          <w:tcPr>
            <w:tcW w:w="1227" w:type="dxa"/>
            <w:tcBorders>
              <w:tl2br w:val="nil"/>
              <w:tr2bl w:val="nil"/>
            </w:tcBorders>
            <w:noWrap/>
            <w:vAlign w:val="center"/>
          </w:tcPr>
          <w:p w14:paraId="0B034DC9">
            <w:pPr>
              <w:widowControl/>
              <w:spacing w:after="0" w:line="240" w:lineRule="auto"/>
              <w:ind w:firstLine="0" w:firstLineChars="0"/>
              <w:jc w:val="both"/>
              <w:rPr>
                <w:rFonts w:ascii="微软雅黑" w:hAnsi="微软雅黑" w:cs="微软雅黑"/>
                <w:color w:val="auto"/>
                <w:kern w:val="0"/>
                <w:szCs w:val="21"/>
                <w:highlight w:val="none"/>
              </w:rPr>
            </w:pPr>
          </w:p>
        </w:tc>
        <w:tc>
          <w:tcPr>
            <w:tcW w:w="1773" w:type="dxa"/>
            <w:tcBorders>
              <w:tl2br w:val="nil"/>
              <w:tr2bl w:val="nil"/>
            </w:tcBorders>
            <w:shd w:val="clear" w:color="auto" w:fill="auto"/>
            <w:noWrap/>
            <w:vAlign w:val="center"/>
          </w:tcPr>
          <w:p w14:paraId="17C645B8">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中型企业</w:t>
            </w:r>
          </w:p>
          <w:p w14:paraId="52D207B3">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小型企业</w:t>
            </w:r>
          </w:p>
          <w:p w14:paraId="40EC5739">
            <w:pPr>
              <w:widowControl/>
              <w:spacing w:after="0" w:line="240" w:lineRule="auto"/>
              <w:ind w:firstLine="0" w:firstLineChars="0"/>
              <w:jc w:val="both"/>
              <w:rPr>
                <w:rFonts w:ascii="微软雅黑" w:hAnsi="微软雅黑" w:eastAsia="微软雅黑" w:cs="微软雅黑"/>
                <w:b/>
                <w:bCs/>
                <w:color w:val="auto"/>
                <w:kern w:val="2"/>
                <w:sz w:val="21"/>
                <w:szCs w:val="21"/>
                <w:highlight w:val="none"/>
                <w:lang w:val="en-US" w:eastAsia="zh-CN" w:bidi="ar-SA"/>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微型</w:t>
            </w:r>
          </w:p>
        </w:tc>
      </w:tr>
      <w:tr w14:paraId="3F0AFB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trPr>
        <w:tc>
          <w:tcPr>
            <w:tcW w:w="537" w:type="dxa"/>
            <w:tcBorders>
              <w:tl2br w:val="nil"/>
              <w:tr2bl w:val="nil"/>
            </w:tcBorders>
            <w:noWrap/>
            <w:vAlign w:val="center"/>
          </w:tcPr>
          <w:p w14:paraId="376B3E74">
            <w:pPr>
              <w:widowControl/>
              <w:spacing w:after="0" w:line="240" w:lineRule="auto"/>
              <w:ind w:firstLine="0" w:firstLineChars="0"/>
              <w:jc w:val="both"/>
              <w:rPr>
                <w:rFonts w:ascii="微软雅黑" w:hAnsi="微软雅黑"/>
                <w:color w:val="auto"/>
                <w:kern w:val="0"/>
                <w:szCs w:val="21"/>
                <w:highlight w:val="none"/>
              </w:rPr>
            </w:pPr>
            <w:r>
              <w:rPr>
                <w:rFonts w:ascii="微软雅黑" w:hAnsi="微软雅黑"/>
                <w:color w:val="auto"/>
                <w:kern w:val="0"/>
                <w:szCs w:val="21"/>
                <w:highlight w:val="none"/>
              </w:rPr>
              <w:t>10</w:t>
            </w:r>
          </w:p>
        </w:tc>
        <w:tc>
          <w:tcPr>
            <w:tcW w:w="1611" w:type="dxa"/>
            <w:tcBorders>
              <w:tl2br w:val="nil"/>
              <w:tr2bl w:val="nil"/>
            </w:tcBorders>
            <w:noWrap/>
            <w:vAlign w:val="center"/>
          </w:tcPr>
          <w:p w14:paraId="73E962DE">
            <w:pPr>
              <w:spacing w:after="0" w:line="240" w:lineRule="auto"/>
              <w:ind w:firstLine="0" w:firstLineChars="0"/>
              <w:jc w:val="both"/>
              <w:rPr>
                <w:rFonts w:ascii="微软雅黑" w:hAnsi="微软雅黑" w:cs="微软雅黑"/>
                <w:color w:val="auto"/>
                <w:szCs w:val="21"/>
                <w:highlight w:val="none"/>
              </w:rPr>
            </w:pPr>
            <w:r>
              <w:rPr>
                <w:rFonts w:hint="eastAsia" w:ascii="微软雅黑" w:hAnsi="微软雅黑" w:cs="微软雅黑"/>
                <w:color w:val="auto"/>
                <w:highlight w:val="none"/>
              </w:rPr>
              <w:t>紫外可见分光光度计</w:t>
            </w:r>
          </w:p>
        </w:tc>
        <w:tc>
          <w:tcPr>
            <w:tcW w:w="845" w:type="dxa"/>
            <w:tcBorders>
              <w:tl2br w:val="nil"/>
              <w:tr2bl w:val="nil"/>
            </w:tcBorders>
            <w:shd w:val="clear" w:color="auto" w:fill="auto"/>
            <w:noWrap/>
            <w:vAlign w:val="center"/>
          </w:tcPr>
          <w:p w14:paraId="146A905A">
            <w:pPr>
              <w:spacing w:after="0" w:line="240" w:lineRule="auto"/>
              <w:ind w:firstLine="0" w:firstLineChars="0"/>
              <w:jc w:val="both"/>
              <w:rPr>
                <w:rFonts w:ascii="微软雅黑" w:hAnsi="微软雅黑" w:eastAsia="微软雅黑" w:cs="微软雅黑"/>
                <w:color w:val="auto"/>
                <w:kern w:val="2"/>
                <w:sz w:val="21"/>
                <w:szCs w:val="21"/>
                <w:highlight w:val="none"/>
                <w:lang w:val="en-US" w:eastAsia="zh-CN" w:bidi="ar-SA"/>
              </w:rPr>
            </w:pPr>
            <w:r>
              <w:rPr>
                <w:rFonts w:hint="eastAsia" w:ascii="微软雅黑" w:hAnsi="微软雅黑" w:cs="微软雅黑"/>
                <w:color w:val="auto"/>
                <w:szCs w:val="21"/>
                <w:highlight w:val="none"/>
                <w:lang w:val="en-US" w:eastAsia="zh-CN"/>
              </w:rPr>
              <w:t>工业</w:t>
            </w:r>
          </w:p>
        </w:tc>
        <w:tc>
          <w:tcPr>
            <w:tcW w:w="1459" w:type="dxa"/>
            <w:tcBorders>
              <w:tl2br w:val="nil"/>
              <w:tr2bl w:val="nil"/>
            </w:tcBorders>
            <w:noWrap/>
            <w:vAlign w:val="center"/>
          </w:tcPr>
          <w:p w14:paraId="1E3B034A">
            <w:pPr>
              <w:widowControl/>
              <w:spacing w:after="0" w:line="240" w:lineRule="auto"/>
              <w:ind w:firstLine="0" w:firstLineChars="0"/>
              <w:jc w:val="both"/>
              <w:rPr>
                <w:rFonts w:ascii="微软雅黑" w:hAnsi="微软雅黑" w:cs="微软雅黑"/>
                <w:color w:val="auto"/>
                <w:kern w:val="0"/>
                <w:szCs w:val="21"/>
                <w:highlight w:val="none"/>
              </w:rPr>
            </w:pPr>
          </w:p>
        </w:tc>
        <w:tc>
          <w:tcPr>
            <w:tcW w:w="1228" w:type="dxa"/>
            <w:tcBorders>
              <w:tl2br w:val="nil"/>
              <w:tr2bl w:val="nil"/>
            </w:tcBorders>
            <w:noWrap/>
            <w:vAlign w:val="center"/>
          </w:tcPr>
          <w:p w14:paraId="5182DD5E">
            <w:pPr>
              <w:widowControl/>
              <w:spacing w:after="0" w:line="240" w:lineRule="auto"/>
              <w:ind w:firstLine="0" w:firstLineChars="0"/>
              <w:jc w:val="both"/>
              <w:rPr>
                <w:rFonts w:ascii="微软雅黑" w:hAnsi="微软雅黑" w:cs="微软雅黑"/>
                <w:color w:val="auto"/>
                <w:kern w:val="0"/>
                <w:szCs w:val="21"/>
                <w:highlight w:val="none"/>
              </w:rPr>
            </w:pPr>
          </w:p>
        </w:tc>
        <w:tc>
          <w:tcPr>
            <w:tcW w:w="1486" w:type="dxa"/>
            <w:tcBorders>
              <w:tl2br w:val="nil"/>
              <w:tr2bl w:val="nil"/>
            </w:tcBorders>
            <w:noWrap/>
            <w:vAlign w:val="center"/>
          </w:tcPr>
          <w:p w14:paraId="1318804A">
            <w:pPr>
              <w:widowControl/>
              <w:spacing w:after="0" w:line="240" w:lineRule="auto"/>
              <w:ind w:firstLine="0" w:firstLineChars="0"/>
              <w:jc w:val="both"/>
              <w:rPr>
                <w:rFonts w:ascii="微软雅黑" w:hAnsi="微软雅黑" w:cs="微软雅黑"/>
                <w:color w:val="auto"/>
                <w:kern w:val="0"/>
                <w:szCs w:val="21"/>
                <w:highlight w:val="none"/>
              </w:rPr>
            </w:pPr>
          </w:p>
        </w:tc>
        <w:tc>
          <w:tcPr>
            <w:tcW w:w="1227" w:type="dxa"/>
            <w:tcBorders>
              <w:tl2br w:val="nil"/>
              <w:tr2bl w:val="nil"/>
            </w:tcBorders>
            <w:noWrap/>
            <w:vAlign w:val="center"/>
          </w:tcPr>
          <w:p w14:paraId="5C96B5B6">
            <w:pPr>
              <w:widowControl/>
              <w:spacing w:after="0" w:line="240" w:lineRule="auto"/>
              <w:ind w:firstLine="0" w:firstLineChars="0"/>
              <w:jc w:val="both"/>
              <w:rPr>
                <w:rFonts w:ascii="微软雅黑" w:hAnsi="微软雅黑" w:cs="微软雅黑"/>
                <w:color w:val="auto"/>
                <w:kern w:val="0"/>
                <w:szCs w:val="21"/>
                <w:highlight w:val="none"/>
              </w:rPr>
            </w:pPr>
          </w:p>
        </w:tc>
        <w:tc>
          <w:tcPr>
            <w:tcW w:w="1773" w:type="dxa"/>
            <w:tcBorders>
              <w:tl2br w:val="nil"/>
              <w:tr2bl w:val="nil"/>
            </w:tcBorders>
            <w:shd w:val="clear" w:color="auto" w:fill="auto"/>
            <w:noWrap/>
            <w:vAlign w:val="center"/>
          </w:tcPr>
          <w:p w14:paraId="3445C93B">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中型企业</w:t>
            </w:r>
          </w:p>
          <w:p w14:paraId="244355AA">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小型企业</w:t>
            </w:r>
          </w:p>
          <w:p w14:paraId="76BA46C2">
            <w:pPr>
              <w:widowControl/>
              <w:spacing w:after="0" w:line="240" w:lineRule="auto"/>
              <w:ind w:firstLine="0" w:firstLineChars="0"/>
              <w:jc w:val="both"/>
              <w:rPr>
                <w:rFonts w:ascii="微软雅黑" w:hAnsi="微软雅黑" w:eastAsia="微软雅黑" w:cs="微软雅黑"/>
                <w:b/>
                <w:bCs/>
                <w:color w:val="auto"/>
                <w:kern w:val="2"/>
                <w:sz w:val="21"/>
                <w:szCs w:val="21"/>
                <w:highlight w:val="none"/>
                <w:lang w:val="en-US" w:eastAsia="zh-CN" w:bidi="ar-SA"/>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微型</w:t>
            </w:r>
          </w:p>
        </w:tc>
      </w:tr>
      <w:tr w14:paraId="5B74BA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1" w:hRule="atLeast"/>
        </w:trPr>
        <w:tc>
          <w:tcPr>
            <w:tcW w:w="537" w:type="dxa"/>
            <w:tcBorders>
              <w:tl2br w:val="nil"/>
              <w:tr2bl w:val="nil"/>
            </w:tcBorders>
            <w:noWrap/>
            <w:vAlign w:val="center"/>
          </w:tcPr>
          <w:p w14:paraId="56DF93D4">
            <w:pPr>
              <w:widowControl/>
              <w:spacing w:after="0" w:line="240" w:lineRule="auto"/>
              <w:ind w:firstLine="0" w:firstLineChars="0"/>
              <w:jc w:val="both"/>
              <w:rPr>
                <w:rFonts w:ascii="微软雅黑" w:hAnsi="微软雅黑"/>
                <w:color w:val="auto"/>
                <w:kern w:val="0"/>
                <w:szCs w:val="21"/>
                <w:highlight w:val="none"/>
              </w:rPr>
            </w:pPr>
            <w:r>
              <w:rPr>
                <w:rFonts w:ascii="微软雅黑" w:hAnsi="微软雅黑"/>
                <w:color w:val="auto"/>
                <w:kern w:val="0"/>
                <w:szCs w:val="21"/>
                <w:highlight w:val="none"/>
              </w:rPr>
              <w:t>11</w:t>
            </w:r>
          </w:p>
        </w:tc>
        <w:tc>
          <w:tcPr>
            <w:tcW w:w="1611" w:type="dxa"/>
            <w:tcBorders>
              <w:tl2br w:val="nil"/>
              <w:tr2bl w:val="nil"/>
            </w:tcBorders>
            <w:noWrap/>
            <w:vAlign w:val="center"/>
          </w:tcPr>
          <w:p w14:paraId="29FFB65B">
            <w:pPr>
              <w:spacing w:after="0" w:line="240" w:lineRule="auto"/>
              <w:ind w:firstLine="0" w:firstLineChars="0"/>
              <w:jc w:val="both"/>
              <w:rPr>
                <w:rFonts w:ascii="微软雅黑" w:hAnsi="微软雅黑" w:cs="微软雅黑"/>
                <w:color w:val="auto"/>
                <w:szCs w:val="21"/>
                <w:highlight w:val="none"/>
              </w:rPr>
            </w:pPr>
            <w:r>
              <w:rPr>
                <w:rFonts w:hint="eastAsia" w:ascii="微软雅黑" w:hAnsi="微软雅黑" w:cs="微软雅黑"/>
                <w:color w:val="auto"/>
                <w:highlight w:val="none"/>
              </w:rPr>
              <w:t>DP-AF精密数字（真空）压力计</w:t>
            </w:r>
          </w:p>
        </w:tc>
        <w:tc>
          <w:tcPr>
            <w:tcW w:w="845" w:type="dxa"/>
            <w:tcBorders>
              <w:tl2br w:val="nil"/>
              <w:tr2bl w:val="nil"/>
            </w:tcBorders>
            <w:shd w:val="clear" w:color="auto" w:fill="auto"/>
            <w:noWrap/>
            <w:vAlign w:val="center"/>
          </w:tcPr>
          <w:p w14:paraId="324AF5AF">
            <w:pPr>
              <w:spacing w:after="0" w:line="240" w:lineRule="auto"/>
              <w:ind w:firstLine="0" w:firstLineChars="0"/>
              <w:jc w:val="both"/>
              <w:rPr>
                <w:rFonts w:hint="default" w:ascii="微软雅黑" w:hAnsi="微软雅黑" w:eastAsia="微软雅黑" w:cs="微软雅黑"/>
                <w:color w:val="auto"/>
                <w:kern w:val="2"/>
                <w:sz w:val="21"/>
                <w:szCs w:val="21"/>
                <w:highlight w:val="none"/>
                <w:lang w:val="en-US" w:eastAsia="zh-CN" w:bidi="ar-SA"/>
              </w:rPr>
            </w:pPr>
            <w:r>
              <w:rPr>
                <w:rFonts w:hint="eastAsia" w:ascii="微软雅黑" w:hAnsi="微软雅黑" w:cs="微软雅黑"/>
                <w:color w:val="auto"/>
                <w:szCs w:val="21"/>
                <w:highlight w:val="none"/>
                <w:lang w:val="en-US" w:eastAsia="zh-CN"/>
              </w:rPr>
              <w:t>工业</w:t>
            </w:r>
          </w:p>
        </w:tc>
        <w:tc>
          <w:tcPr>
            <w:tcW w:w="1459" w:type="dxa"/>
            <w:tcBorders>
              <w:tl2br w:val="nil"/>
              <w:tr2bl w:val="nil"/>
            </w:tcBorders>
            <w:noWrap/>
            <w:vAlign w:val="center"/>
          </w:tcPr>
          <w:p w14:paraId="01CC35C1">
            <w:pPr>
              <w:widowControl/>
              <w:spacing w:after="0" w:line="240" w:lineRule="auto"/>
              <w:ind w:firstLine="0" w:firstLineChars="0"/>
              <w:jc w:val="both"/>
              <w:rPr>
                <w:rFonts w:ascii="微软雅黑" w:hAnsi="微软雅黑" w:cs="微软雅黑"/>
                <w:color w:val="auto"/>
                <w:kern w:val="0"/>
                <w:szCs w:val="21"/>
                <w:highlight w:val="none"/>
              </w:rPr>
            </w:pPr>
          </w:p>
        </w:tc>
        <w:tc>
          <w:tcPr>
            <w:tcW w:w="1228" w:type="dxa"/>
            <w:tcBorders>
              <w:tl2br w:val="nil"/>
              <w:tr2bl w:val="nil"/>
            </w:tcBorders>
            <w:noWrap/>
            <w:vAlign w:val="center"/>
          </w:tcPr>
          <w:p w14:paraId="2DE4BB3C">
            <w:pPr>
              <w:widowControl/>
              <w:spacing w:after="0" w:line="240" w:lineRule="auto"/>
              <w:ind w:firstLine="0" w:firstLineChars="0"/>
              <w:jc w:val="both"/>
              <w:rPr>
                <w:rFonts w:ascii="微软雅黑" w:hAnsi="微软雅黑" w:cs="微软雅黑"/>
                <w:color w:val="auto"/>
                <w:kern w:val="0"/>
                <w:szCs w:val="21"/>
                <w:highlight w:val="none"/>
              </w:rPr>
            </w:pPr>
          </w:p>
        </w:tc>
        <w:tc>
          <w:tcPr>
            <w:tcW w:w="1486" w:type="dxa"/>
            <w:tcBorders>
              <w:tl2br w:val="nil"/>
              <w:tr2bl w:val="nil"/>
            </w:tcBorders>
            <w:noWrap/>
            <w:vAlign w:val="center"/>
          </w:tcPr>
          <w:p w14:paraId="5D2056F8">
            <w:pPr>
              <w:widowControl/>
              <w:spacing w:after="0" w:line="240" w:lineRule="auto"/>
              <w:ind w:firstLine="0" w:firstLineChars="0"/>
              <w:jc w:val="both"/>
              <w:rPr>
                <w:rFonts w:ascii="微软雅黑" w:hAnsi="微软雅黑" w:cs="微软雅黑"/>
                <w:color w:val="auto"/>
                <w:kern w:val="0"/>
                <w:szCs w:val="21"/>
                <w:highlight w:val="none"/>
              </w:rPr>
            </w:pPr>
          </w:p>
        </w:tc>
        <w:tc>
          <w:tcPr>
            <w:tcW w:w="1227" w:type="dxa"/>
            <w:tcBorders>
              <w:tl2br w:val="nil"/>
              <w:tr2bl w:val="nil"/>
            </w:tcBorders>
            <w:noWrap/>
            <w:vAlign w:val="center"/>
          </w:tcPr>
          <w:p w14:paraId="077D973D">
            <w:pPr>
              <w:widowControl/>
              <w:spacing w:after="0" w:line="240" w:lineRule="auto"/>
              <w:ind w:firstLine="0" w:firstLineChars="0"/>
              <w:jc w:val="both"/>
              <w:rPr>
                <w:rFonts w:ascii="微软雅黑" w:hAnsi="微软雅黑" w:cs="微软雅黑"/>
                <w:color w:val="auto"/>
                <w:kern w:val="0"/>
                <w:szCs w:val="21"/>
                <w:highlight w:val="none"/>
              </w:rPr>
            </w:pPr>
          </w:p>
        </w:tc>
        <w:tc>
          <w:tcPr>
            <w:tcW w:w="1773" w:type="dxa"/>
            <w:tcBorders>
              <w:tl2br w:val="nil"/>
              <w:tr2bl w:val="nil"/>
            </w:tcBorders>
            <w:shd w:val="clear" w:color="auto" w:fill="auto"/>
            <w:noWrap/>
            <w:vAlign w:val="center"/>
          </w:tcPr>
          <w:p w14:paraId="5E0447E5">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中型企业</w:t>
            </w:r>
          </w:p>
          <w:p w14:paraId="56268A30">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小型企业</w:t>
            </w:r>
          </w:p>
          <w:p w14:paraId="1439F408">
            <w:pPr>
              <w:widowControl/>
              <w:spacing w:after="0" w:line="240" w:lineRule="auto"/>
              <w:ind w:firstLine="0" w:firstLineChars="0"/>
              <w:jc w:val="both"/>
              <w:rPr>
                <w:rFonts w:ascii="微软雅黑" w:hAnsi="微软雅黑" w:eastAsia="微软雅黑" w:cs="微软雅黑"/>
                <w:b/>
                <w:bCs/>
                <w:color w:val="auto"/>
                <w:kern w:val="2"/>
                <w:sz w:val="21"/>
                <w:szCs w:val="21"/>
                <w:highlight w:val="none"/>
                <w:lang w:val="en-US" w:eastAsia="zh-CN" w:bidi="ar-SA"/>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微型</w:t>
            </w:r>
          </w:p>
        </w:tc>
      </w:tr>
      <w:tr w14:paraId="6F84C4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1" w:hRule="atLeast"/>
        </w:trPr>
        <w:tc>
          <w:tcPr>
            <w:tcW w:w="537" w:type="dxa"/>
            <w:tcBorders>
              <w:tl2br w:val="nil"/>
              <w:tr2bl w:val="nil"/>
            </w:tcBorders>
            <w:noWrap/>
            <w:vAlign w:val="center"/>
          </w:tcPr>
          <w:p w14:paraId="3C5A5A96">
            <w:pPr>
              <w:widowControl/>
              <w:spacing w:after="0" w:line="240" w:lineRule="auto"/>
              <w:ind w:firstLine="0" w:firstLineChars="0"/>
              <w:jc w:val="both"/>
              <w:rPr>
                <w:rFonts w:ascii="微软雅黑" w:hAnsi="微软雅黑"/>
                <w:color w:val="auto"/>
                <w:kern w:val="0"/>
                <w:szCs w:val="21"/>
                <w:highlight w:val="none"/>
              </w:rPr>
            </w:pPr>
            <w:r>
              <w:rPr>
                <w:rFonts w:ascii="微软雅黑" w:hAnsi="微软雅黑"/>
                <w:color w:val="auto"/>
                <w:kern w:val="0"/>
                <w:szCs w:val="21"/>
                <w:highlight w:val="none"/>
              </w:rPr>
              <w:t>12</w:t>
            </w:r>
          </w:p>
        </w:tc>
        <w:tc>
          <w:tcPr>
            <w:tcW w:w="1611" w:type="dxa"/>
            <w:tcBorders>
              <w:tl2br w:val="nil"/>
              <w:tr2bl w:val="nil"/>
            </w:tcBorders>
            <w:noWrap/>
            <w:vAlign w:val="center"/>
          </w:tcPr>
          <w:p w14:paraId="689F8CA1">
            <w:pPr>
              <w:spacing w:after="0" w:line="240" w:lineRule="auto"/>
              <w:ind w:firstLine="0" w:firstLineChars="0"/>
              <w:jc w:val="both"/>
              <w:rPr>
                <w:rFonts w:ascii="微软雅黑" w:hAnsi="微软雅黑" w:cs="微软雅黑"/>
                <w:color w:val="auto"/>
                <w:szCs w:val="21"/>
                <w:highlight w:val="none"/>
              </w:rPr>
            </w:pPr>
            <w:r>
              <w:rPr>
                <w:rFonts w:hint="eastAsia" w:ascii="微软雅黑" w:hAnsi="微软雅黑" w:cs="微软雅黑"/>
                <w:color w:val="auto"/>
                <w:highlight w:val="none"/>
              </w:rPr>
              <w:t>精密数字（微差压）压力计</w:t>
            </w:r>
          </w:p>
        </w:tc>
        <w:tc>
          <w:tcPr>
            <w:tcW w:w="845" w:type="dxa"/>
            <w:tcBorders>
              <w:tl2br w:val="nil"/>
              <w:tr2bl w:val="nil"/>
            </w:tcBorders>
            <w:shd w:val="clear" w:color="auto" w:fill="auto"/>
            <w:noWrap/>
            <w:vAlign w:val="center"/>
          </w:tcPr>
          <w:p w14:paraId="5CC6A928">
            <w:pPr>
              <w:spacing w:after="0" w:line="240" w:lineRule="auto"/>
              <w:ind w:firstLine="0" w:firstLineChars="0"/>
              <w:jc w:val="both"/>
              <w:rPr>
                <w:rFonts w:ascii="微软雅黑" w:hAnsi="微软雅黑" w:eastAsia="微软雅黑" w:cs="微软雅黑"/>
                <w:color w:val="auto"/>
                <w:kern w:val="2"/>
                <w:sz w:val="21"/>
                <w:szCs w:val="21"/>
                <w:highlight w:val="none"/>
                <w:lang w:val="en-US" w:eastAsia="zh-CN" w:bidi="ar-SA"/>
              </w:rPr>
            </w:pPr>
            <w:r>
              <w:rPr>
                <w:rFonts w:hint="eastAsia" w:ascii="微软雅黑" w:hAnsi="微软雅黑" w:cs="微软雅黑"/>
                <w:color w:val="auto"/>
                <w:szCs w:val="21"/>
                <w:highlight w:val="none"/>
                <w:lang w:val="en-US" w:eastAsia="zh-CN"/>
              </w:rPr>
              <w:t>工业</w:t>
            </w:r>
          </w:p>
        </w:tc>
        <w:tc>
          <w:tcPr>
            <w:tcW w:w="1459" w:type="dxa"/>
            <w:tcBorders>
              <w:tl2br w:val="nil"/>
              <w:tr2bl w:val="nil"/>
            </w:tcBorders>
            <w:noWrap/>
            <w:vAlign w:val="center"/>
          </w:tcPr>
          <w:p w14:paraId="4539824E">
            <w:pPr>
              <w:widowControl/>
              <w:spacing w:after="0" w:line="240" w:lineRule="auto"/>
              <w:ind w:firstLine="0" w:firstLineChars="0"/>
              <w:jc w:val="both"/>
              <w:rPr>
                <w:rFonts w:ascii="微软雅黑" w:hAnsi="微软雅黑" w:cs="微软雅黑"/>
                <w:color w:val="auto"/>
                <w:kern w:val="0"/>
                <w:szCs w:val="21"/>
                <w:highlight w:val="none"/>
              </w:rPr>
            </w:pPr>
          </w:p>
        </w:tc>
        <w:tc>
          <w:tcPr>
            <w:tcW w:w="1228" w:type="dxa"/>
            <w:tcBorders>
              <w:tl2br w:val="nil"/>
              <w:tr2bl w:val="nil"/>
            </w:tcBorders>
            <w:noWrap/>
            <w:vAlign w:val="center"/>
          </w:tcPr>
          <w:p w14:paraId="3EDB7F7C">
            <w:pPr>
              <w:widowControl/>
              <w:spacing w:after="0" w:line="240" w:lineRule="auto"/>
              <w:ind w:firstLine="0" w:firstLineChars="0"/>
              <w:jc w:val="both"/>
              <w:rPr>
                <w:rFonts w:ascii="微软雅黑" w:hAnsi="微软雅黑" w:cs="微软雅黑"/>
                <w:color w:val="auto"/>
                <w:kern w:val="0"/>
                <w:szCs w:val="21"/>
                <w:highlight w:val="none"/>
              </w:rPr>
            </w:pPr>
          </w:p>
        </w:tc>
        <w:tc>
          <w:tcPr>
            <w:tcW w:w="1486" w:type="dxa"/>
            <w:tcBorders>
              <w:tl2br w:val="nil"/>
              <w:tr2bl w:val="nil"/>
            </w:tcBorders>
            <w:noWrap/>
            <w:vAlign w:val="center"/>
          </w:tcPr>
          <w:p w14:paraId="7C1B8A26">
            <w:pPr>
              <w:widowControl/>
              <w:spacing w:after="0" w:line="240" w:lineRule="auto"/>
              <w:ind w:firstLine="0" w:firstLineChars="0"/>
              <w:jc w:val="both"/>
              <w:rPr>
                <w:rFonts w:ascii="微软雅黑" w:hAnsi="微软雅黑" w:cs="微软雅黑"/>
                <w:color w:val="auto"/>
                <w:kern w:val="0"/>
                <w:szCs w:val="21"/>
                <w:highlight w:val="none"/>
              </w:rPr>
            </w:pPr>
          </w:p>
        </w:tc>
        <w:tc>
          <w:tcPr>
            <w:tcW w:w="1227" w:type="dxa"/>
            <w:tcBorders>
              <w:tl2br w:val="nil"/>
              <w:tr2bl w:val="nil"/>
            </w:tcBorders>
            <w:noWrap/>
            <w:vAlign w:val="center"/>
          </w:tcPr>
          <w:p w14:paraId="5B51F549">
            <w:pPr>
              <w:widowControl/>
              <w:spacing w:after="0" w:line="240" w:lineRule="auto"/>
              <w:ind w:firstLine="0" w:firstLineChars="0"/>
              <w:jc w:val="both"/>
              <w:rPr>
                <w:rFonts w:ascii="微软雅黑" w:hAnsi="微软雅黑" w:cs="微软雅黑"/>
                <w:color w:val="auto"/>
                <w:kern w:val="0"/>
                <w:szCs w:val="21"/>
                <w:highlight w:val="none"/>
              </w:rPr>
            </w:pPr>
          </w:p>
        </w:tc>
        <w:tc>
          <w:tcPr>
            <w:tcW w:w="1773" w:type="dxa"/>
            <w:tcBorders>
              <w:tl2br w:val="nil"/>
              <w:tr2bl w:val="nil"/>
            </w:tcBorders>
            <w:shd w:val="clear" w:color="auto" w:fill="auto"/>
            <w:noWrap/>
            <w:vAlign w:val="center"/>
          </w:tcPr>
          <w:p w14:paraId="29B32140">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中型企业</w:t>
            </w:r>
          </w:p>
          <w:p w14:paraId="51CF744F">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小型企业</w:t>
            </w:r>
          </w:p>
          <w:p w14:paraId="08555BE5">
            <w:pPr>
              <w:widowControl/>
              <w:spacing w:after="0" w:line="240" w:lineRule="auto"/>
              <w:ind w:firstLine="0" w:firstLineChars="0"/>
              <w:jc w:val="both"/>
              <w:rPr>
                <w:rFonts w:ascii="微软雅黑" w:hAnsi="微软雅黑" w:eastAsia="微软雅黑" w:cs="微软雅黑"/>
                <w:b/>
                <w:bCs/>
                <w:color w:val="auto"/>
                <w:kern w:val="2"/>
                <w:sz w:val="21"/>
                <w:szCs w:val="21"/>
                <w:highlight w:val="none"/>
                <w:lang w:val="en-US" w:eastAsia="zh-CN" w:bidi="ar-SA"/>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微型</w:t>
            </w:r>
          </w:p>
        </w:tc>
      </w:tr>
      <w:tr w14:paraId="799F80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1" w:hRule="atLeast"/>
        </w:trPr>
        <w:tc>
          <w:tcPr>
            <w:tcW w:w="537" w:type="dxa"/>
            <w:tcBorders>
              <w:tl2br w:val="nil"/>
              <w:tr2bl w:val="nil"/>
            </w:tcBorders>
            <w:noWrap/>
            <w:vAlign w:val="center"/>
          </w:tcPr>
          <w:p w14:paraId="77E94639">
            <w:pPr>
              <w:widowControl/>
              <w:spacing w:after="0" w:line="240" w:lineRule="auto"/>
              <w:ind w:firstLine="0" w:firstLineChars="0"/>
              <w:jc w:val="both"/>
              <w:rPr>
                <w:rFonts w:ascii="微软雅黑" w:hAnsi="微软雅黑"/>
                <w:color w:val="auto"/>
                <w:kern w:val="0"/>
                <w:szCs w:val="21"/>
                <w:highlight w:val="none"/>
              </w:rPr>
            </w:pPr>
            <w:r>
              <w:rPr>
                <w:rFonts w:ascii="微软雅黑" w:hAnsi="微软雅黑"/>
                <w:color w:val="auto"/>
                <w:kern w:val="0"/>
                <w:szCs w:val="21"/>
                <w:highlight w:val="none"/>
              </w:rPr>
              <w:t>13</w:t>
            </w:r>
          </w:p>
        </w:tc>
        <w:tc>
          <w:tcPr>
            <w:tcW w:w="1611" w:type="dxa"/>
            <w:tcBorders>
              <w:tl2br w:val="nil"/>
              <w:tr2bl w:val="nil"/>
            </w:tcBorders>
            <w:noWrap/>
            <w:vAlign w:val="center"/>
          </w:tcPr>
          <w:p w14:paraId="4CD7F848">
            <w:pPr>
              <w:spacing w:after="0" w:line="240" w:lineRule="auto"/>
              <w:ind w:firstLine="0" w:firstLineChars="0"/>
              <w:jc w:val="both"/>
              <w:rPr>
                <w:rFonts w:ascii="微软雅黑" w:hAnsi="微软雅黑" w:cs="微软雅黑"/>
                <w:color w:val="auto"/>
                <w:szCs w:val="21"/>
                <w:highlight w:val="none"/>
              </w:rPr>
            </w:pPr>
            <w:r>
              <w:rPr>
                <w:rFonts w:hint="eastAsia" w:ascii="微软雅黑" w:hAnsi="微软雅黑" w:cs="微软雅黑"/>
                <w:color w:val="auto"/>
                <w:highlight w:val="none"/>
              </w:rPr>
              <w:t>数控恒温磁力搅拌电热套</w:t>
            </w:r>
          </w:p>
        </w:tc>
        <w:tc>
          <w:tcPr>
            <w:tcW w:w="845" w:type="dxa"/>
            <w:tcBorders>
              <w:tl2br w:val="nil"/>
              <w:tr2bl w:val="nil"/>
            </w:tcBorders>
            <w:shd w:val="clear" w:color="auto" w:fill="auto"/>
            <w:noWrap/>
            <w:vAlign w:val="center"/>
          </w:tcPr>
          <w:p w14:paraId="0DCB846B">
            <w:pPr>
              <w:spacing w:after="0" w:line="240" w:lineRule="auto"/>
              <w:ind w:firstLine="0" w:firstLineChars="0"/>
              <w:jc w:val="both"/>
              <w:rPr>
                <w:rFonts w:hint="default" w:ascii="微软雅黑" w:hAnsi="微软雅黑" w:eastAsia="微软雅黑" w:cs="微软雅黑"/>
                <w:color w:val="auto"/>
                <w:kern w:val="2"/>
                <w:sz w:val="21"/>
                <w:szCs w:val="21"/>
                <w:highlight w:val="none"/>
                <w:lang w:val="en-US" w:eastAsia="zh-CN" w:bidi="ar-SA"/>
              </w:rPr>
            </w:pPr>
            <w:r>
              <w:rPr>
                <w:rFonts w:hint="eastAsia" w:ascii="微软雅黑" w:hAnsi="微软雅黑" w:cs="微软雅黑"/>
                <w:color w:val="auto"/>
                <w:szCs w:val="21"/>
                <w:highlight w:val="none"/>
                <w:lang w:val="en-US" w:eastAsia="zh-CN"/>
              </w:rPr>
              <w:t>工业</w:t>
            </w:r>
          </w:p>
        </w:tc>
        <w:tc>
          <w:tcPr>
            <w:tcW w:w="1459" w:type="dxa"/>
            <w:tcBorders>
              <w:tl2br w:val="nil"/>
              <w:tr2bl w:val="nil"/>
            </w:tcBorders>
            <w:noWrap/>
            <w:vAlign w:val="center"/>
          </w:tcPr>
          <w:p w14:paraId="35988EEB">
            <w:pPr>
              <w:widowControl/>
              <w:spacing w:after="0" w:line="240" w:lineRule="auto"/>
              <w:ind w:firstLine="0" w:firstLineChars="0"/>
              <w:jc w:val="both"/>
              <w:rPr>
                <w:rFonts w:ascii="微软雅黑" w:hAnsi="微软雅黑" w:cs="微软雅黑"/>
                <w:color w:val="auto"/>
                <w:kern w:val="0"/>
                <w:szCs w:val="21"/>
                <w:highlight w:val="none"/>
              </w:rPr>
            </w:pPr>
          </w:p>
        </w:tc>
        <w:tc>
          <w:tcPr>
            <w:tcW w:w="1228" w:type="dxa"/>
            <w:tcBorders>
              <w:tl2br w:val="nil"/>
              <w:tr2bl w:val="nil"/>
            </w:tcBorders>
            <w:noWrap/>
            <w:vAlign w:val="center"/>
          </w:tcPr>
          <w:p w14:paraId="3FDF6F6B">
            <w:pPr>
              <w:widowControl/>
              <w:spacing w:after="0" w:line="240" w:lineRule="auto"/>
              <w:ind w:firstLine="0" w:firstLineChars="0"/>
              <w:jc w:val="both"/>
              <w:rPr>
                <w:rFonts w:ascii="微软雅黑" w:hAnsi="微软雅黑" w:cs="微软雅黑"/>
                <w:color w:val="auto"/>
                <w:kern w:val="0"/>
                <w:szCs w:val="21"/>
                <w:highlight w:val="none"/>
              </w:rPr>
            </w:pPr>
          </w:p>
        </w:tc>
        <w:tc>
          <w:tcPr>
            <w:tcW w:w="1486" w:type="dxa"/>
            <w:tcBorders>
              <w:tl2br w:val="nil"/>
              <w:tr2bl w:val="nil"/>
            </w:tcBorders>
            <w:noWrap/>
            <w:vAlign w:val="center"/>
          </w:tcPr>
          <w:p w14:paraId="2A6A6E2B">
            <w:pPr>
              <w:widowControl/>
              <w:spacing w:after="0" w:line="240" w:lineRule="auto"/>
              <w:ind w:firstLine="0" w:firstLineChars="0"/>
              <w:jc w:val="both"/>
              <w:rPr>
                <w:rFonts w:ascii="微软雅黑" w:hAnsi="微软雅黑" w:cs="微软雅黑"/>
                <w:color w:val="auto"/>
                <w:kern w:val="0"/>
                <w:szCs w:val="21"/>
                <w:highlight w:val="none"/>
              </w:rPr>
            </w:pPr>
          </w:p>
        </w:tc>
        <w:tc>
          <w:tcPr>
            <w:tcW w:w="1227" w:type="dxa"/>
            <w:tcBorders>
              <w:tl2br w:val="nil"/>
              <w:tr2bl w:val="nil"/>
            </w:tcBorders>
            <w:noWrap/>
            <w:vAlign w:val="center"/>
          </w:tcPr>
          <w:p w14:paraId="0C9D7BF2">
            <w:pPr>
              <w:widowControl/>
              <w:spacing w:after="0" w:line="240" w:lineRule="auto"/>
              <w:ind w:firstLine="0" w:firstLineChars="0"/>
              <w:jc w:val="both"/>
              <w:rPr>
                <w:rFonts w:ascii="微软雅黑" w:hAnsi="微软雅黑" w:cs="微软雅黑"/>
                <w:color w:val="auto"/>
                <w:kern w:val="0"/>
                <w:szCs w:val="21"/>
                <w:highlight w:val="none"/>
              </w:rPr>
            </w:pPr>
          </w:p>
        </w:tc>
        <w:tc>
          <w:tcPr>
            <w:tcW w:w="1773" w:type="dxa"/>
            <w:tcBorders>
              <w:tl2br w:val="nil"/>
              <w:tr2bl w:val="nil"/>
            </w:tcBorders>
            <w:shd w:val="clear" w:color="auto" w:fill="auto"/>
            <w:noWrap/>
            <w:vAlign w:val="center"/>
          </w:tcPr>
          <w:p w14:paraId="1B5117CB">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中型企业</w:t>
            </w:r>
          </w:p>
          <w:p w14:paraId="5C79E4D8">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小型企业</w:t>
            </w:r>
          </w:p>
          <w:p w14:paraId="326C0F2D">
            <w:pPr>
              <w:widowControl/>
              <w:spacing w:after="0" w:line="240" w:lineRule="auto"/>
              <w:ind w:firstLine="0" w:firstLineChars="0"/>
              <w:jc w:val="both"/>
              <w:rPr>
                <w:rFonts w:ascii="微软雅黑" w:hAnsi="微软雅黑" w:eastAsia="微软雅黑" w:cs="微软雅黑"/>
                <w:b/>
                <w:bCs/>
                <w:color w:val="auto"/>
                <w:kern w:val="2"/>
                <w:sz w:val="21"/>
                <w:szCs w:val="21"/>
                <w:highlight w:val="none"/>
                <w:lang w:val="en-US" w:eastAsia="zh-CN" w:bidi="ar-SA"/>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微型</w:t>
            </w:r>
          </w:p>
        </w:tc>
      </w:tr>
      <w:tr w14:paraId="661121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trPr>
        <w:tc>
          <w:tcPr>
            <w:tcW w:w="537" w:type="dxa"/>
            <w:tcBorders>
              <w:tl2br w:val="nil"/>
              <w:tr2bl w:val="nil"/>
            </w:tcBorders>
            <w:noWrap/>
            <w:vAlign w:val="center"/>
          </w:tcPr>
          <w:p w14:paraId="11EA9347">
            <w:pPr>
              <w:widowControl/>
              <w:spacing w:after="0" w:line="240" w:lineRule="auto"/>
              <w:ind w:firstLine="0" w:firstLineChars="0"/>
              <w:jc w:val="both"/>
              <w:rPr>
                <w:rFonts w:ascii="微软雅黑" w:hAnsi="微软雅黑"/>
                <w:color w:val="auto"/>
                <w:kern w:val="0"/>
                <w:szCs w:val="21"/>
                <w:highlight w:val="none"/>
              </w:rPr>
            </w:pPr>
            <w:r>
              <w:rPr>
                <w:rFonts w:ascii="微软雅黑" w:hAnsi="微软雅黑"/>
                <w:color w:val="auto"/>
                <w:kern w:val="0"/>
                <w:szCs w:val="21"/>
                <w:highlight w:val="none"/>
              </w:rPr>
              <w:t>14</w:t>
            </w:r>
          </w:p>
        </w:tc>
        <w:tc>
          <w:tcPr>
            <w:tcW w:w="1611" w:type="dxa"/>
            <w:tcBorders>
              <w:tl2br w:val="nil"/>
              <w:tr2bl w:val="nil"/>
            </w:tcBorders>
            <w:noWrap/>
            <w:vAlign w:val="center"/>
          </w:tcPr>
          <w:p w14:paraId="076F6ED9">
            <w:pPr>
              <w:spacing w:after="0" w:line="240" w:lineRule="auto"/>
              <w:ind w:firstLine="0" w:firstLineChars="0"/>
              <w:jc w:val="both"/>
              <w:rPr>
                <w:rFonts w:ascii="微软雅黑" w:hAnsi="微软雅黑" w:cs="微软雅黑"/>
                <w:color w:val="auto"/>
                <w:szCs w:val="21"/>
                <w:highlight w:val="none"/>
              </w:rPr>
            </w:pPr>
            <w:r>
              <w:rPr>
                <w:rFonts w:hint="eastAsia" w:ascii="微软雅黑" w:hAnsi="微软雅黑" w:cs="微软雅黑"/>
                <w:color w:val="auto"/>
                <w:highlight w:val="none"/>
              </w:rPr>
              <w:t>电导率仪</w:t>
            </w:r>
          </w:p>
        </w:tc>
        <w:tc>
          <w:tcPr>
            <w:tcW w:w="845" w:type="dxa"/>
            <w:tcBorders>
              <w:tl2br w:val="nil"/>
              <w:tr2bl w:val="nil"/>
            </w:tcBorders>
            <w:shd w:val="clear" w:color="auto" w:fill="auto"/>
            <w:noWrap/>
            <w:vAlign w:val="center"/>
          </w:tcPr>
          <w:p w14:paraId="6C0B57EA">
            <w:pPr>
              <w:spacing w:after="0" w:line="240" w:lineRule="auto"/>
              <w:ind w:firstLine="0" w:firstLineChars="0"/>
              <w:jc w:val="both"/>
              <w:rPr>
                <w:rFonts w:ascii="微软雅黑" w:hAnsi="微软雅黑" w:eastAsia="微软雅黑" w:cs="微软雅黑"/>
                <w:color w:val="auto"/>
                <w:kern w:val="2"/>
                <w:sz w:val="21"/>
                <w:szCs w:val="21"/>
                <w:highlight w:val="none"/>
                <w:lang w:val="en-US" w:eastAsia="zh-CN" w:bidi="ar-SA"/>
              </w:rPr>
            </w:pPr>
            <w:r>
              <w:rPr>
                <w:rFonts w:hint="eastAsia" w:ascii="微软雅黑" w:hAnsi="微软雅黑" w:cs="微软雅黑"/>
                <w:color w:val="auto"/>
                <w:szCs w:val="21"/>
                <w:highlight w:val="none"/>
                <w:lang w:val="en-US" w:eastAsia="zh-CN"/>
              </w:rPr>
              <w:t>工业</w:t>
            </w:r>
          </w:p>
        </w:tc>
        <w:tc>
          <w:tcPr>
            <w:tcW w:w="1459" w:type="dxa"/>
            <w:tcBorders>
              <w:tl2br w:val="nil"/>
              <w:tr2bl w:val="nil"/>
            </w:tcBorders>
            <w:noWrap/>
            <w:vAlign w:val="center"/>
          </w:tcPr>
          <w:p w14:paraId="740C5E71">
            <w:pPr>
              <w:widowControl/>
              <w:spacing w:after="0" w:line="240" w:lineRule="auto"/>
              <w:ind w:firstLine="0" w:firstLineChars="0"/>
              <w:jc w:val="both"/>
              <w:rPr>
                <w:rFonts w:ascii="微软雅黑" w:hAnsi="微软雅黑" w:cs="微软雅黑"/>
                <w:color w:val="auto"/>
                <w:kern w:val="0"/>
                <w:szCs w:val="21"/>
                <w:highlight w:val="none"/>
              </w:rPr>
            </w:pPr>
          </w:p>
        </w:tc>
        <w:tc>
          <w:tcPr>
            <w:tcW w:w="1228" w:type="dxa"/>
            <w:tcBorders>
              <w:tl2br w:val="nil"/>
              <w:tr2bl w:val="nil"/>
            </w:tcBorders>
            <w:noWrap/>
            <w:vAlign w:val="center"/>
          </w:tcPr>
          <w:p w14:paraId="50490E59">
            <w:pPr>
              <w:widowControl/>
              <w:spacing w:after="0" w:line="240" w:lineRule="auto"/>
              <w:ind w:firstLine="0" w:firstLineChars="0"/>
              <w:jc w:val="both"/>
              <w:rPr>
                <w:rFonts w:ascii="微软雅黑" w:hAnsi="微软雅黑" w:cs="微软雅黑"/>
                <w:color w:val="auto"/>
                <w:kern w:val="0"/>
                <w:szCs w:val="21"/>
                <w:highlight w:val="none"/>
              </w:rPr>
            </w:pPr>
          </w:p>
        </w:tc>
        <w:tc>
          <w:tcPr>
            <w:tcW w:w="1486" w:type="dxa"/>
            <w:tcBorders>
              <w:tl2br w:val="nil"/>
              <w:tr2bl w:val="nil"/>
            </w:tcBorders>
            <w:noWrap/>
            <w:vAlign w:val="center"/>
          </w:tcPr>
          <w:p w14:paraId="73A55C04">
            <w:pPr>
              <w:widowControl/>
              <w:spacing w:after="0" w:line="240" w:lineRule="auto"/>
              <w:ind w:firstLine="0" w:firstLineChars="0"/>
              <w:jc w:val="both"/>
              <w:rPr>
                <w:rFonts w:ascii="微软雅黑" w:hAnsi="微软雅黑" w:cs="微软雅黑"/>
                <w:color w:val="auto"/>
                <w:kern w:val="0"/>
                <w:szCs w:val="21"/>
                <w:highlight w:val="none"/>
              </w:rPr>
            </w:pPr>
          </w:p>
        </w:tc>
        <w:tc>
          <w:tcPr>
            <w:tcW w:w="1227" w:type="dxa"/>
            <w:tcBorders>
              <w:tl2br w:val="nil"/>
              <w:tr2bl w:val="nil"/>
            </w:tcBorders>
            <w:noWrap/>
            <w:vAlign w:val="center"/>
          </w:tcPr>
          <w:p w14:paraId="1506A063">
            <w:pPr>
              <w:widowControl/>
              <w:spacing w:after="0" w:line="240" w:lineRule="auto"/>
              <w:ind w:firstLine="0" w:firstLineChars="0"/>
              <w:jc w:val="both"/>
              <w:rPr>
                <w:rFonts w:ascii="微软雅黑" w:hAnsi="微软雅黑" w:cs="微软雅黑"/>
                <w:color w:val="auto"/>
                <w:kern w:val="0"/>
                <w:szCs w:val="21"/>
                <w:highlight w:val="none"/>
              </w:rPr>
            </w:pPr>
          </w:p>
        </w:tc>
        <w:tc>
          <w:tcPr>
            <w:tcW w:w="1773" w:type="dxa"/>
            <w:tcBorders>
              <w:tl2br w:val="nil"/>
              <w:tr2bl w:val="nil"/>
            </w:tcBorders>
            <w:shd w:val="clear" w:color="auto" w:fill="auto"/>
            <w:noWrap/>
            <w:vAlign w:val="center"/>
          </w:tcPr>
          <w:p w14:paraId="3E90A80B">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中型企业</w:t>
            </w:r>
          </w:p>
          <w:p w14:paraId="731AB584">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小型企业</w:t>
            </w:r>
          </w:p>
          <w:p w14:paraId="66F5AE53">
            <w:pPr>
              <w:widowControl/>
              <w:spacing w:after="0" w:line="240" w:lineRule="auto"/>
              <w:ind w:firstLine="0" w:firstLineChars="0"/>
              <w:jc w:val="both"/>
              <w:rPr>
                <w:rFonts w:ascii="微软雅黑" w:hAnsi="微软雅黑" w:eastAsia="微软雅黑" w:cs="微软雅黑"/>
                <w:b/>
                <w:bCs/>
                <w:color w:val="auto"/>
                <w:kern w:val="2"/>
                <w:sz w:val="21"/>
                <w:szCs w:val="21"/>
                <w:highlight w:val="none"/>
                <w:lang w:val="en-US" w:eastAsia="zh-CN" w:bidi="ar-SA"/>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微型</w:t>
            </w:r>
          </w:p>
        </w:tc>
      </w:tr>
      <w:tr w14:paraId="3CA897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trPr>
        <w:tc>
          <w:tcPr>
            <w:tcW w:w="537" w:type="dxa"/>
            <w:tcBorders>
              <w:tl2br w:val="nil"/>
              <w:tr2bl w:val="nil"/>
            </w:tcBorders>
            <w:noWrap/>
            <w:vAlign w:val="center"/>
          </w:tcPr>
          <w:p w14:paraId="7BB417DF">
            <w:pPr>
              <w:widowControl/>
              <w:spacing w:after="0" w:line="240" w:lineRule="auto"/>
              <w:ind w:firstLine="0" w:firstLineChars="0"/>
              <w:jc w:val="both"/>
              <w:rPr>
                <w:rFonts w:ascii="微软雅黑" w:hAnsi="微软雅黑"/>
                <w:color w:val="auto"/>
                <w:kern w:val="0"/>
                <w:szCs w:val="21"/>
                <w:highlight w:val="none"/>
              </w:rPr>
            </w:pPr>
            <w:r>
              <w:rPr>
                <w:rFonts w:ascii="微软雅黑" w:hAnsi="微软雅黑"/>
                <w:color w:val="auto"/>
                <w:kern w:val="0"/>
                <w:szCs w:val="21"/>
                <w:highlight w:val="none"/>
              </w:rPr>
              <w:t>15</w:t>
            </w:r>
          </w:p>
        </w:tc>
        <w:tc>
          <w:tcPr>
            <w:tcW w:w="1611" w:type="dxa"/>
            <w:tcBorders>
              <w:tl2br w:val="nil"/>
              <w:tr2bl w:val="nil"/>
            </w:tcBorders>
            <w:noWrap/>
            <w:vAlign w:val="center"/>
          </w:tcPr>
          <w:p w14:paraId="2198AF2F">
            <w:pPr>
              <w:spacing w:after="0" w:line="240" w:lineRule="auto"/>
              <w:ind w:firstLine="0" w:firstLineChars="0"/>
              <w:jc w:val="both"/>
              <w:rPr>
                <w:rFonts w:ascii="微软雅黑" w:hAnsi="微软雅黑" w:cs="微软雅黑"/>
                <w:color w:val="auto"/>
                <w:szCs w:val="21"/>
                <w:highlight w:val="none"/>
              </w:rPr>
            </w:pPr>
            <w:r>
              <w:rPr>
                <w:rFonts w:hint="eastAsia" w:ascii="微软雅黑" w:hAnsi="微软雅黑" w:cs="微软雅黑"/>
                <w:color w:val="auto"/>
                <w:highlight w:val="none"/>
              </w:rPr>
              <w:t>电子天平</w:t>
            </w:r>
          </w:p>
        </w:tc>
        <w:tc>
          <w:tcPr>
            <w:tcW w:w="845" w:type="dxa"/>
            <w:tcBorders>
              <w:tl2br w:val="nil"/>
              <w:tr2bl w:val="nil"/>
            </w:tcBorders>
            <w:shd w:val="clear" w:color="auto" w:fill="auto"/>
            <w:noWrap/>
            <w:vAlign w:val="center"/>
          </w:tcPr>
          <w:p w14:paraId="04B84C4F">
            <w:pPr>
              <w:spacing w:after="0" w:line="240" w:lineRule="auto"/>
              <w:ind w:firstLine="0" w:firstLineChars="0"/>
              <w:jc w:val="both"/>
              <w:rPr>
                <w:rFonts w:hint="default" w:ascii="微软雅黑" w:hAnsi="微软雅黑" w:eastAsia="微软雅黑" w:cs="微软雅黑"/>
                <w:color w:val="auto"/>
                <w:kern w:val="2"/>
                <w:sz w:val="21"/>
                <w:szCs w:val="21"/>
                <w:highlight w:val="none"/>
                <w:lang w:val="en-US" w:eastAsia="zh-CN" w:bidi="ar-SA"/>
              </w:rPr>
            </w:pPr>
            <w:r>
              <w:rPr>
                <w:rFonts w:hint="eastAsia" w:ascii="微软雅黑" w:hAnsi="微软雅黑" w:cs="微软雅黑"/>
                <w:color w:val="auto"/>
                <w:szCs w:val="21"/>
                <w:highlight w:val="none"/>
                <w:lang w:val="en-US" w:eastAsia="zh-CN"/>
              </w:rPr>
              <w:t>工业</w:t>
            </w:r>
          </w:p>
        </w:tc>
        <w:tc>
          <w:tcPr>
            <w:tcW w:w="1459" w:type="dxa"/>
            <w:tcBorders>
              <w:tl2br w:val="nil"/>
              <w:tr2bl w:val="nil"/>
            </w:tcBorders>
            <w:noWrap/>
            <w:vAlign w:val="center"/>
          </w:tcPr>
          <w:p w14:paraId="31DC8122">
            <w:pPr>
              <w:widowControl/>
              <w:spacing w:after="0" w:line="240" w:lineRule="auto"/>
              <w:ind w:firstLine="0" w:firstLineChars="0"/>
              <w:jc w:val="both"/>
              <w:rPr>
                <w:rFonts w:ascii="微软雅黑" w:hAnsi="微软雅黑" w:cs="微软雅黑"/>
                <w:color w:val="auto"/>
                <w:kern w:val="0"/>
                <w:szCs w:val="21"/>
                <w:highlight w:val="none"/>
              </w:rPr>
            </w:pPr>
          </w:p>
        </w:tc>
        <w:tc>
          <w:tcPr>
            <w:tcW w:w="1228" w:type="dxa"/>
            <w:tcBorders>
              <w:tl2br w:val="nil"/>
              <w:tr2bl w:val="nil"/>
            </w:tcBorders>
            <w:noWrap/>
            <w:vAlign w:val="center"/>
          </w:tcPr>
          <w:p w14:paraId="385C7063">
            <w:pPr>
              <w:widowControl/>
              <w:spacing w:after="0" w:line="240" w:lineRule="auto"/>
              <w:ind w:firstLine="0" w:firstLineChars="0"/>
              <w:jc w:val="both"/>
              <w:rPr>
                <w:rFonts w:ascii="微软雅黑" w:hAnsi="微软雅黑" w:cs="微软雅黑"/>
                <w:color w:val="auto"/>
                <w:kern w:val="0"/>
                <w:szCs w:val="21"/>
                <w:highlight w:val="none"/>
              </w:rPr>
            </w:pPr>
          </w:p>
        </w:tc>
        <w:tc>
          <w:tcPr>
            <w:tcW w:w="1486" w:type="dxa"/>
            <w:tcBorders>
              <w:tl2br w:val="nil"/>
              <w:tr2bl w:val="nil"/>
            </w:tcBorders>
            <w:noWrap/>
            <w:vAlign w:val="center"/>
          </w:tcPr>
          <w:p w14:paraId="68E28D74">
            <w:pPr>
              <w:widowControl/>
              <w:spacing w:after="0" w:line="240" w:lineRule="auto"/>
              <w:ind w:firstLine="0" w:firstLineChars="0"/>
              <w:jc w:val="both"/>
              <w:rPr>
                <w:rFonts w:ascii="微软雅黑" w:hAnsi="微软雅黑" w:cs="微软雅黑"/>
                <w:color w:val="auto"/>
                <w:kern w:val="0"/>
                <w:szCs w:val="21"/>
                <w:highlight w:val="none"/>
              </w:rPr>
            </w:pPr>
          </w:p>
        </w:tc>
        <w:tc>
          <w:tcPr>
            <w:tcW w:w="1227" w:type="dxa"/>
            <w:tcBorders>
              <w:tl2br w:val="nil"/>
              <w:tr2bl w:val="nil"/>
            </w:tcBorders>
            <w:noWrap/>
            <w:vAlign w:val="center"/>
          </w:tcPr>
          <w:p w14:paraId="1FFA87BC">
            <w:pPr>
              <w:widowControl/>
              <w:spacing w:after="0" w:line="240" w:lineRule="auto"/>
              <w:ind w:firstLine="0" w:firstLineChars="0"/>
              <w:jc w:val="both"/>
              <w:rPr>
                <w:rFonts w:ascii="微软雅黑" w:hAnsi="微软雅黑" w:cs="微软雅黑"/>
                <w:color w:val="auto"/>
                <w:kern w:val="0"/>
                <w:szCs w:val="21"/>
                <w:highlight w:val="none"/>
              </w:rPr>
            </w:pPr>
          </w:p>
        </w:tc>
        <w:tc>
          <w:tcPr>
            <w:tcW w:w="1773" w:type="dxa"/>
            <w:tcBorders>
              <w:tl2br w:val="nil"/>
              <w:tr2bl w:val="nil"/>
            </w:tcBorders>
            <w:shd w:val="clear" w:color="auto" w:fill="auto"/>
            <w:noWrap/>
            <w:vAlign w:val="center"/>
          </w:tcPr>
          <w:p w14:paraId="03AAF8E3">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中型企业</w:t>
            </w:r>
          </w:p>
          <w:p w14:paraId="01FC1E97">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小型企业</w:t>
            </w:r>
          </w:p>
          <w:p w14:paraId="26C03B17">
            <w:pPr>
              <w:widowControl/>
              <w:spacing w:after="0" w:line="240" w:lineRule="auto"/>
              <w:ind w:firstLine="0" w:firstLineChars="0"/>
              <w:jc w:val="both"/>
              <w:rPr>
                <w:rFonts w:ascii="微软雅黑" w:hAnsi="微软雅黑" w:eastAsia="微软雅黑" w:cs="微软雅黑"/>
                <w:b/>
                <w:bCs/>
                <w:color w:val="auto"/>
                <w:kern w:val="2"/>
                <w:sz w:val="21"/>
                <w:szCs w:val="21"/>
                <w:highlight w:val="none"/>
                <w:lang w:val="en-US" w:eastAsia="zh-CN" w:bidi="ar-SA"/>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微型</w:t>
            </w:r>
          </w:p>
        </w:tc>
      </w:tr>
      <w:tr w14:paraId="2E49F6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trPr>
        <w:tc>
          <w:tcPr>
            <w:tcW w:w="537" w:type="dxa"/>
            <w:tcBorders>
              <w:tl2br w:val="nil"/>
              <w:tr2bl w:val="nil"/>
            </w:tcBorders>
            <w:noWrap/>
            <w:vAlign w:val="center"/>
          </w:tcPr>
          <w:p w14:paraId="631A883D">
            <w:pPr>
              <w:widowControl/>
              <w:spacing w:after="0" w:line="240" w:lineRule="auto"/>
              <w:ind w:firstLine="0" w:firstLineChars="0"/>
              <w:jc w:val="both"/>
              <w:rPr>
                <w:rFonts w:ascii="微软雅黑" w:hAnsi="微软雅黑"/>
                <w:color w:val="auto"/>
                <w:kern w:val="0"/>
                <w:szCs w:val="21"/>
                <w:highlight w:val="none"/>
              </w:rPr>
            </w:pPr>
            <w:r>
              <w:rPr>
                <w:rFonts w:ascii="微软雅黑" w:hAnsi="微软雅黑"/>
                <w:color w:val="auto"/>
                <w:kern w:val="0"/>
                <w:szCs w:val="21"/>
                <w:highlight w:val="none"/>
              </w:rPr>
              <w:t>16</w:t>
            </w:r>
          </w:p>
        </w:tc>
        <w:tc>
          <w:tcPr>
            <w:tcW w:w="1611" w:type="dxa"/>
            <w:tcBorders>
              <w:tl2br w:val="nil"/>
              <w:tr2bl w:val="nil"/>
            </w:tcBorders>
            <w:noWrap/>
            <w:vAlign w:val="center"/>
          </w:tcPr>
          <w:p w14:paraId="539AF124">
            <w:pPr>
              <w:spacing w:after="0" w:line="240" w:lineRule="auto"/>
              <w:ind w:firstLine="0" w:firstLineChars="0"/>
              <w:jc w:val="both"/>
              <w:rPr>
                <w:rFonts w:ascii="微软雅黑" w:hAnsi="微软雅黑" w:cs="微软雅黑"/>
                <w:color w:val="auto"/>
                <w:szCs w:val="21"/>
                <w:highlight w:val="none"/>
              </w:rPr>
            </w:pPr>
            <w:r>
              <w:rPr>
                <w:rFonts w:hint="eastAsia" w:ascii="微软雅黑" w:hAnsi="微软雅黑" w:cs="微软雅黑"/>
                <w:color w:val="auto"/>
                <w:highlight w:val="none"/>
              </w:rPr>
              <w:t>超声清洗机</w:t>
            </w:r>
          </w:p>
        </w:tc>
        <w:tc>
          <w:tcPr>
            <w:tcW w:w="845" w:type="dxa"/>
            <w:tcBorders>
              <w:tl2br w:val="nil"/>
              <w:tr2bl w:val="nil"/>
            </w:tcBorders>
            <w:shd w:val="clear" w:color="auto" w:fill="auto"/>
            <w:noWrap/>
            <w:vAlign w:val="center"/>
          </w:tcPr>
          <w:p w14:paraId="66C006FF">
            <w:pPr>
              <w:spacing w:after="0" w:line="240" w:lineRule="auto"/>
              <w:ind w:firstLine="0" w:firstLineChars="0"/>
              <w:jc w:val="both"/>
              <w:rPr>
                <w:rFonts w:ascii="微软雅黑" w:hAnsi="微软雅黑" w:eastAsia="微软雅黑" w:cs="微软雅黑"/>
                <w:color w:val="auto"/>
                <w:kern w:val="2"/>
                <w:sz w:val="21"/>
                <w:szCs w:val="21"/>
                <w:highlight w:val="none"/>
                <w:lang w:val="en-US" w:eastAsia="zh-CN" w:bidi="ar-SA"/>
              </w:rPr>
            </w:pPr>
            <w:r>
              <w:rPr>
                <w:rFonts w:hint="eastAsia" w:ascii="微软雅黑" w:hAnsi="微软雅黑" w:cs="微软雅黑"/>
                <w:color w:val="auto"/>
                <w:szCs w:val="21"/>
                <w:highlight w:val="none"/>
                <w:lang w:val="en-US" w:eastAsia="zh-CN"/>
              </w:rPr>
              <w:t>工业</w:t>
            </w:r>
          </w:p>
        </w:tc>
        <w:tc>
          <w:tcPr>
            <w:tcW w:w="1459" w:type="dxa"/>
            <w:tcBorders>
              <w:tl2br w:val="nil"/>
              <w:tr2bl w:val="nil"/>
            </w:tcBorders>
            <w:noWrap/>
            <w:vAlign w:val="center"/>
          </w:tcPr>
          <w:p w14:paraId="26CDB873">
            <w:pPr>
              <w:widowControl/>
              <w:spacing w:after="0" w:line="240" w:lineRule="auto"/>
              <w:ind w:firstLine="0" w:firstLineChars="0"/>
              <w:jc w:val="both"/>
              <w:rPr>
                <w:rFonts w:ascii="微软雅黑" w:hAnsi="微软雅黑" w:cs="微软雅黑"/>
                <w:color w:val="auto"/>
                <w:kern w:val="0"/>
                <w:szCs w:val="21"/>
                <w:highlight w:val="none"/>
              </w:rPr>
            </w:pPr>
          </w:p>
        </w:tc>
        <w:tc>
          <w:tcPr>
            <w:tcW w:w="1228" w:type="dxa"/>
            <w:tcBorders>
              <w:tl2br w:val="nil"/>
              <w:tr2bl w:val="nil"/>
            </w:tcBorders>
            <w:noWrap/>
            <w:vAlign w:val="center"/>
          </w:tcPr>
          <w:p w14:paraId="42B29940">
            <w:pPr>
              <w:widowControl/>
              <w:spacing w:after="0" w:line="240" w:lineRule="auto"/>
              <w:ind w:firstLine="0" w:firstLineChars="0"/>
              <w:jc w:val="both"/>
              <w:rPr>
                <w:rFonts w:ascii="微软雅黑" w:hAnsi="微软雅黑" w:cs="微软雅黑"/>
                <w:color w:val="auto"/>
                <w:kern w:val="0"/>
                <w:szCs w:val="21"/>
                <w:highlight w:val="none"/>
              </w:rPr>
            </w:pPr>
          </w:p>
        </w:tc>
        <w:tc>
          <w:tcPr>
            <w:tcW w:w="1486" w:type="dxa"/>
            <w:tcBorders>
              <w:tl2br w:val="nil"/>
              <w:tr2bl w:val="nil"/>
            </w:tcBorders>
            <w:noWrap/>
            <w:vAlign w:val="center"/>
          </w:tcPr>
          <w:p w14:paraId="0B13AF39">
            <w:pPr>
              <w:widowControl/>
              <w:spacing w:after="0" w:line="240" w:lineRule="auto"/>
              <w:ind w:firstLine="0" w:firstLineChars="0"/>
              <w:jc w:val="both"/>
              <w:rPr>
                <w:rFonts w:ascii="微软雅黑" w:hAnsi="微软雅黑" w:cs="微软雅黑"/>
                <w:color w:val="auto"/>
                <w:kern w:val="0"/>
                <w:szCs w:val="21"/>
                <w:highlight w:val="none"/>
              </w:rPr>
            </w:pPr>
          </w:p>
        </w:tc>
        <w:tc>
          <w:tcPr>
            <w:tcW w:w="1227" w:type="dxa"/>
            <w:tcBorders>
              <w:tl2br w:val="nil"/>
              <w:tr2bl w:val="nil"/>
            </w:tcBorders>
            <w:noWrap/>
            <w:vAlign w:val="center"/>
          </w:tcPr>
          <w:p w14:paraId="0ACA3160">
            <w:pPr>
              <w:widowControl/>
              <w:spacing w:after="0" w:line="240" w:lineRule="auto"/>
              <w:ind w:firstLine="0" w:firstLineChars="0"/>
              <w:jc w:val="both"/>
              <w:rPr>
                <w:rFonts w:ascii="微软雅黑" w:hAnsi="微软雅黑" w:cs="微软雅黑"/>
                <w:color w:val="auto"/>
                <w:kern w:val="0"/>
                <w:szCs w:val="21"/>
                <w:highlight w:val="none"/>
              </w:rPr>
            </w:pPr>
          </w:p>
        </w:tc>
        <w:tc>
          <w:tcPr>
            <w:tcW w:w="1773" w:type="dxa"/>
            <w:tcBorders>
              <w:tl2br w:val="nil"/>
              <w:tr2bl w:val="nil"/>
            </w:tcBorders>
            <w:shd w:val="clear" w:color="auto" w:fill="auto"/>
            <w:noWrap/>
            <w:vAlign w:val="center"/>
          </w:tcPr>
          <w:p w14:paraId="6F691377">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中型企业</w:t>
            </w:r>
          </w:p>
          <w:p w14:paraId="31C1E69B">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小型企业</w:t>
            </w:r>
          </w:p>
          <w:p w14:paraId="0A7C6467">
            <w:pPr>
              <w:widowControl/>
              <w:spacing w:after="0" w:line="240" w:lineRule="auto"/>
              <w:ind w:firstLine="0" w:firstLineChars="0"/>
              <w:jc w:val="both"/>
              <w:rPr>
                <w:rFonts w:ascii="微软雅黑" w:hAnsi="微软雅黑" w:eastAsia="微软雅黑" w:cs="微软雅黑"/>
                <w:b/>
                <w:bCs/>
                <w:color w:val="auto"/>
                <w:kern w:val="2"/>
                <w:sz w:val="21"/>
                <w:szCs w:val="21"/>
                <w:highlight w:val="none"/>
                <w:lang w:val="en-US" w:eastAsia="zh-CN" w:bidi="ar-SA"/>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微型</w:t>
            </w:r>
          </w:p>
        </w:tc>
      </w:tr>
      <w:tr w14:paraId="4A0FBF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trPr>
        <w:tc>
          <w:tcPr>
            <w:tcW w:w="537" w:type="dxa"/>
            <w:tcBorders>
              <w:tl2br w:val="nil"/>
              <w:tr2bl w:val="nil"/>
            </w:tcBorders>
            <w:noWrap/>
            <w:vAlign w:val="center"/>
          </w:tcPr>
          <w:p w14:paraId="7B4AA097">
            <w:pPr>
              <w:widowControl/>
              <w:spacing w:after="0" w:line="240" w:lineRule="auto"/>
              <w:ind w:firstLine="0" w:firstLineChars="0"/>
              <w:jc w:val="both"/>
              <w:rPr>
                <w:rFonts w:ascii="微软雅黑" w:hAnsi="微软雅黑"/>
                <w:color w:val="auto"/>
                <w:kern w:val="0"/>
                <w:szCs w:val="21"/>
                <w:highlight w:val="none"/>
              </w:rPr>
            </w:pPr>
            <w:r>
              <w:rPr>
                <w:rFonts w:ascii="微软雅黑" w:hAnsi="微软雅黑"/>
                <w:color w:val="auto"/>
                <w:kern w:val="0"/>
                <w:szCs w:val="21"/>
                <w:highlight w:val="none"/>
              </w:rPr>
              <w:t>17</w:t>
            </w:r>
          </w:p>
        </w:tc>
        <w:tc>
          <w:tcPr>
            <w:tcW w:w="1611" w:type="dxa"/>
            <w:tcBorders>
              <w:tl2br w:val="nil"/>
              <w:tr2bl w:val="nil"/>
            </w:tcBorders>
            <w:noWrap/>
            <w:vAlign w:val="center"/>
          </w:tcPr>
          <w:p w14:paraId="3AD9260F">
            <w:pPr>
              <w:spacing w:after="0" w:line="240" w:lineRule="auto"/>
              <w:ind w:firstLine="0" w:firstLineChars="0"/>
              <w:jc w:val="both"/>
              <w:rPr>
                <w:rFonts w:ascii="微软雅黑" w:hAnsi="微软雅黑" w:cs="微软雅黑"/>
                <w:color w:val="auto"/>
                <w:szCs w:val="21"/>
                <w:highlight w:val="none"/>
              </w:rPr>
            </w:pPr>
            <w:r>
              <w:rPr>
                <w:rFonts w:hint="eastAsia" w:ascii="微软雅黑" w:hAnsi="微软雅黑" w:cs="微软雅黑"/>
                <w:color w:val="auto"/>
                <w:highlight w:val="none"/>
              </w:rPr>
              <w:t>电化学工作站</w:t>
            </w:r>
          </w:p>
        </w:tc>
        <w:tc>
          <w:tcPr>
            <w:tcW w:w="845" w:type="dxa"/>
            <w:tcBorders>
              <w:tl2br w:val="nil"/>
              <w:tr2bl w:val="nil"/>
            </w:tcBorders>
            <w:shd w:val="clear" w:color="auto" w:fill="auto"/>
            <w:noWrap/>
            <w:vAlign w:val="center"/>
          </w:tcPr>
          <w:p w14:paraId="3CC23799">
            <w:pPr>
              <w:spacing w:after="0" w:line="240" w:lineRule="auto"/>
              <w:ind w:firstLine="0" w:firstLineChars="0"/>
              <w:jc w:val="both"/>
              <w:rPr>
                <w:rFonts w:hint="default" w:ascii="微软雅黑" w:hAnsi="微软雅黑" w:eastAsia="微软雅黑" w:cs="微软雅黑"/>
                <w:color w:val="auto"/>
                <w:kern w:val="2"/>
                <w:sz w:val="21"/>
                <w:szCs w:val="21"/>
                <w:highlight w:val="none"/>
                <w:lang w:val="en-US" w:eastAsia="zh-CN" w:bidi="ar-SA"/>
              </w:rPr>
            </w:pPr>
            <w:r>
              <w:rPr>
                <w:rFonts w:hint="eastAsia" w:ascii="微软雅黑" w:hAnsi="微软雅黑" w:cs="微软雅黑"/>
                <w:color w:val="auto"/>
                <w:szCs w:val="21"/>
                <w:highlight w:val="none"/>
                <w:lang w:val="en-US" w:eastAsia="zh-CN"/>
              </w:rPr>
              <w:t>工业</w:t>
            </w:r>
          </w:p>
        </w:tc>
        <w:tc>
          <w:tcPr>
            <w:tcW w:w="1459" w:type="dxa"/>
            <w:tcBorders>
              <w:tl2br w:val="nil"/>
              <w:tr2bl w:val="nil"/>
            </w:tcBorders>
            <w:noWrap/>
            <w:vAlign w:val="center"/>
          </w:tcPr>
          <w:p w14:paraId="5FFCCD24">
            <w:pPr>
              <w:widowControl/>
              <w:spacing w:after="0" w:line="240" w:lineRule="auto"/>
              <w:ind w:firstLine="0" w:firstLineChars="0"/>
              <w:jc w:val="both"/>
              <w:rPr>
                <w:rFonts w:ascii="微软雅黑" w:hAnsi="微软雅黑" w:cs="微软雅黑"/>
                <w:color w:val="auto"/>
                <w:kern w:val="0"/>
                <w:szCs w:val="21"/>
                <w:highlight w:val="none"/>
              </w:rPr>
            </w:pPr>
          </w:p>
        </w:tc>
        <w:tc>
          <w:tcPr>
            <w:tcW w:w="1228" w:type="dxa"/>
            <w:tcBorders>
              <w:tl2br w:val="nil"/>
              <w:tr2bl w:val="nil"/>
            </w:tcBorders>
            <w:noWrap/>
            <w:vAlign w:val="center"/>
          </w:tcPr>
          <w:p w14:paraId="31D3E72E">
            <w:pPr>
              <w:widowControl/>
              <w:spacing w:after="0" w:line="240" w:lineRule="auto"/>
              <w:ind w:firstLine="0" w:firstLineChars="0"/>
              <w:jc w:val="both"/>
              <w:rPr>
                <w:rFonts w:ascii="微软雅黑" w:hAnsi="微软雅黑" w:cs="微软雅黑"/>
                <w:color w:val="auto"/>
                <w:kern w:val="0"/>
                <w:szCs w:val="21"/>
                <w:highlight w:val="none"/>
              </w:rPr>
            </w:pPr>
          </w:p>
        </w:tc>
        <w:tc>
          <w:tcPr>
            <w:tcW w:w="1486" w:type="dxa"/>
            <w:tcBorders>
              <w:tl2br w:val="nil"/>
              <w:tr2bl w:val="nil"/>
            </w:tcBorders>
            <w:noWrap/>
            <w:vAlign w:val="center"/>
          </w:tcPr>
          <w:p w14:paraId="49D2B954">
            <w:pPr>
              <w:widowControl/>
              <w:spacing w:after="0" w:line="240" w:lineRule="auto"/>
              <w:ind w:firstLine="0" w:firstLineChars="0"/>
              <w:jc w:val="both"/>
              <w:rPr>
                <w:rFonts w:ascii="微软雅黑" w:hAnsi="微软雅黑" w:cs="微软雅黑"/>
                <w:color w:val="auto"/>
                <w:kern w:val="0"/>
                <w:szCs w:val="21"/>
                <w:highlight w:val="none"/>
              </w:rPr>
            </w:pPr>
          </w:p>
        </w:tc>
        <w:tc>
          <w:tcPr>
            <w:tcW w:w="1227" w:type="dxa"/>
            <w:tcBorders>
              <w:tl2br w:val="nil"/>
              <w:tr2bl w:val="nil"/>
            </w:tcBorders>
            <w:noWrap/>
            <w:vAlign w:val="center"/>
          </w:tcPr>
          <w:p w14:paraId="044254AE">
            <w:pPr>
              <w:widowControl/>
              <w:spacing w:after="0" w:line="240" w:lineRule="auto"/>
              <w:ind w:firstLine="0" w:firstLineChars="0"/>
              <w:jc w:val="both"/>
              <w:rPr>
                <w:rFonts w:ascii="微软雅黑" w:hAnsi="微软雅黑" w:cs="微软雅黑"/>
                <w:color w:val="auto"/>
                <w:kern w:val="0"/>
                <w:szCs w:val="21"/>
                <w:highlight w:val="none"/>
              </w:rPr>
            </w:pPr>
          </w:p>
        </w:tc>
        <w:tc>
          <w:tcPr>
            <w:tcW w:w="1773" w:type="dxa"/>
            <w:tcBorders>
              <w:tl2br w:val="nil"/>
              <w:tr2bl w:val="nil"/>
            </w:tcBorders>
            <w:shd w:val="clear" w:color="auto" w:fill="auto"/>
            <w:noWrap/>
            <w:vAlign w:val="center"/>
          </w:tcPr>
          <w:p w14:paraId="42D72EB4">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中型企业</w:t>
            </w:r>
          </w:p>
          <w:p w14:paraId="29B2E162">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小型企业</w:t>
            </w:r>
          </w:p>
          <w:p w14:paraId="3447DC3E">
            <w:pPr>
              <w:widowControl/>
              <w:spacing w:after="0" w:line="240" w:lineRule="auto"/>
              <w:ind w:firstLine="0" w:firstLineChars="0"/>
              <w:jc w:val="both"/>
              <w:rPr>
                <w:rFonts w:ascii="微软雅黑" w:hAnsi="微软雅黑" w:eastAsia="微软雅黑" w:cs="微软雅黑"/>
                <w:b/>
                <w:bCs/>
                <w:color w:val="auto"/>
                <w:kern w:val="2"/>
                <w:sz w:val="21"/>
                <w:szCs w:val="21"/>
                <w:highlight w:val="none"/>
                <w:lang w:val="en-US" w:eastAsia="zh-CN" w:bidi="ar-SA"/>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微型</w:t>
            </w:r>
          </w:p>
        </w:tc>
      </w:tr>
      <w:tr w14:paraId="7A31E5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trPr>
        <w:tc>
          <w:tcPr>
            <w:tcW w:w="537" w:type="dxa"/>
            <w:tcBorders>
              <w:tl2br w:val="nil"/>
              <w:tr2bl w:val="nil"/>
            </w:tcBorders>
            <w:noWrap/>
            <w:vAlign w:val="center"/>
          </w:tcPr>
          <w:p w14:paraId="4B299B64">
            <w:pPr>
              <w:widowControl/>
              <w:spacing w:after="0" w:line="240" w:lineRule="auto"/>
              <w:ind w:firstLine="0" w:firstLineChars="0"/>
              <w:jc w:val="both"/>
              <w:rPr>
                <w:rFonts w:ascii="微软雅黑" w:hAnsi="微软雅黑"/>
                <w:color w:val="auto"/>
                <w:kern w:val="0"/>
                <w:szCs w:val="21"/>
                <w:highlight w:val="none"/>
              </w:rPr>
            </w:pPr>
            <w:r>
              <w:rPr>
                <w:rFonts w:ascii="微软雅黑" w:hAnsi="微软雅黑"/>
                <w:color w:val="auto"/>
                <w:kern w:val="0"/>
                <w:szCs w:val="21"/>
                <w:highlight w:val="none"/>
              </w:rPr>
              <w:t>18</w:t>
            </w:r>
          </w:p>
        </w:tc>
        <w:tc>
          <w:tcPr>
            <w:tcW w:w="1611" w:type="dxa"/>
            <w:tcBorders>
              <w:tl2br w:val="nil"/>
              <w:tr2bl w:val="nil"/>
            </w:tcBorders>
            <w:noWrap/>
            <w:vAlign w:val="center"/>
          </w:tcPr>
          <w:p w14:paraId="78BA1FC4">
            <w:pPr>
              <w:spacing w:after="0" w:line="240" w:lineRule="auto"/>
              <w:ind w:firstLine="0" w:firstLineChars="0"/>
              <w:jc w:val="both"/>
              <w:rPr>
                <w:rFonts w:ascii="微软雅黑" w:hAnsi="微软雅黑" w:cs="微软雅黑"/>
                <w:color w:val="auto"/>
                <w:szCs w:val="21"/>
                <w:highlight w:val="none"/>
              </w:rPr>
            </w:pPr>
            <w:r>
              <w:rPr>
                <w:rFonts w:hint="eastAsia" w:ascii="微软雅黑" w:hAnsi="微软雅黑" w:cs="微软雅黑"/>
                <w:color w:val="auto"/>
                <w:highlight w:val="none"/>
              </w:rPr>
              <w:t>电热恒温鼓风干燥箱</w:t>
            </w:r>
          </w:p>
        </w:tc>
        <w:tc>
          <w:tcPr>
            <w:tcW w:w="845" w:type="dxa"/>
            <w:tcBorders>
              <w:tl2br w:val="nil"/>
              <w:tr2bl w:val="nil"/>
            </w:tcBorders>
            <w:shd w:val="clear" w:color="auto" w:fill="auto"/>
            <w:noWrap/>
            <w:vAlign w:val="center"/>
          </w:tcPr>
          <w:p w14:paraId="353C0D73">
            <w:pPr>
              <w:spacing w:after="0" w:line="240" w:lineRule="auto"/>
              <w:ind w:firstLine="0" w:firstLineChars="0"/>
              <w:jc w:val="both"/>
              <w:rPr>
                <w:rFonts w:ascii="微软雅黑" w:hAnsi="微软雅黑" w:eastAsia="微软雅黑" w:cs="微软雅黑"/>
                <w:color w:val="auto"/>
                <w:kern w:val="2"/>
                <w:sz w:val="21"/>
                <w:szCs w:val="21"/>
                <w:highlight w:val="none"/>
                <w:lang w:val="en-US" w:eastAsia="zh-CN" w:bidi="ar-SA"/>
              </w:rPr>
            </w:pPr>
            <w:r>
              <w:rPr>
                <w:rFonts w:hint="eastAsia" w:ascii="微软雅黑" w:hAnsi="微软雅黑" w:cs="微软雅黑"/>
                <w:color w:val="auto"/>
                <w:szCs w:val="21"/>
                <w:highlight w:val="none"/>
                <w:lang w:val="en-US" w:eastAsia="zh-CN"/>
              </w:rPr>
              <w:t>工业</w:t>
            </w:r>
          </w:p>
        </w:tc>
        <w:tc>
          <w:tcPr>
            <w:tcW w:w="1459" w:type="dxa"/>
            <w:tcBorders>
              <w:tl2br w:val="nil"/>
              <w:tr2bl w:val="nil"/>
            </w:tcBorders>
            <w:noWrap/>
            <w:vAlign w:val="center"/>
          </w:tcPr>
          <w:p w14:paraId="134DED7D">
            <w:pPr>
              <w:widowControl/>
              <w:spacing w:after="0" w:line="240" w:lineRule="auto"/>
              <w:ind w:firstLine="0" w:firstLineChars="0"/>
              <w:jc w:val="both"/>
              <w:rPr>
                <w:rFonts w:ascii="微软雅黑" w:hAnsi="微软雅黑" w:cs="微软雅黑"/>
                <w:color w:val="auto"/>
                <w:kern w:val="0"/>
                <w:szCs w:val="21"/>
                <w:highlight w:val="none"/>
              </w:rPr>
            </w:pPr>
          </w:p>
        </w:tc>
        <w:tc>
          <w:tcPr>
            <w:tcW w:w="1228" w:type="dxa"/>
            <w:tcBorders>
              <w:tl2br w:val="nil"/>
              <w:tr2bl w:val="nil"/>
            </w:tcBorders>
            <w:noWrap/>
            <w:vAlign w:val="center"/>
          </w:tcPr>
          <w:p w14:paraId="1A2BB489">
            <w:pPr>
              <w:widowControl/>
              <w:spacing w:after="0" w:line="240" w:lineRule="auto"/>
              <w:ind w:firstLine="0" w:firstLineChars="0"/>
              <w:jc w:val="both"/>
              <w:rPr>
                <w:rFonts w:ascii="微软雅黑" w:hAnsi="微软雅黑" w:cs="微软雅黑"/>
                <w:color w:val="auto"/>
                <w:kern w:val="0"/>
                <w:szCs w:val="21"/>
                <w:highlight w:val="none"/>
              </w:rPr>
            </w:pPr>
          </w:p>
        </w:tc>
        <w:tc>
          <w:tcPr>
            <w:tcW w:w="1486" w:type="dxa"/>
            <w:tcBorders>
              <w:tl2br w:val="nil"/>
              <w:tr2bl w:val="nil"/>
            </w:tcBorders>
            <w:noWrap/>
            <w:vAlign w:val="center"/>
          </w:tcPr>
          <w:p w14:paraId="61A9E884">
            <w:pPr>
              <w:widowControl/>
              <w:spacing w:after="0" w:line="240" w:lineRule="auto"/>
              <w:ind w:firstLine="0" w:firstLineChars="0"/>
              <w:jc w:val="both"/>
              <w:rPr>
                <w:rFonts w:ascii="微软雅黑" w:hAnsi="微软雅黑" w:cs="微软雅黑"/>
                <w:color w:val="auto"/>
                <w:kern w:val="0"/>
                <w:szCs w:val="21"/>
                <w:highlight w:val="none"/>
              </w:rPr>
            </w:pPr>
          </w:p>
        </w:tc>
        <w:tc>
          <w:tcPr>
            <w:tcW w:w="1227" w:type="dxa"/>
            <w:tcBorders>
              <w:tl2br w:val="nil"/>
              <w:tr2bl w:val="nil"/>
            </w:tcBorders>
            <w:noWrap/>
            <w:vAlign w:val="center"/>
          </w:tcPr>
          <w:p w14:paraId="623FAC22">
            <w:pPr>
              <w:widowControl/>
              <w:spacing w:after="0" w:line="240" w:lineRule="auto"/>
              <w:ind w:firstLine="0" w:firstLineChars="0"/>
              <w:jc w:val="both"/>
              <w:rPr>
                <w:rFonts w:ascii="微软雅黑" w:hAnsi="微软雅黑" w:cs="微软雅黑"/>
                <w:color w:val="auto"/>
                <w:kern w:val="0"/>
                <w:szCs w:val="21"/>
                <w:highlight w:val="none"/>
              </w:rPr>
            </w:pPr>
          </w:p>
        </w:tc>
        <w:tc>
          <w:tcPr>
            <w:tcW w:w="1773" w:type="dxa"/>
            <w:tcBorders>
              <w:tl2br w:val="nil"/>
              <w:tr2bl w:val="nil"/>
            </w:tcBorders>
            <w:shd w:val="clear" w:color="auto" w:fill="auto"/>
            <w:noWrap/>
            <w:vAlign w:val="center"/>
          </w:tcPr>
          <w:p w14:paraId="105E12CE">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中型企业</w:t>
            </w:r>
          </w:p>
          <w:p w14:paraId="0E276888">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小型企业</w:t>
            </w:r>
          </w:p>
          <w:p w14:paraId="52B0E6AA">
            <w:pPr>
              <w:widowControl/>
              <w:spacing w:after="0" w:line="240" w:lineRule="auto"/>
              <w:ind w:firstLine="0" w:firstLineChars="0"/>
              <w:jc w:val="both"/>
              <w:rPr>
                <w:rFonts w:ascii="微软雅黑" w:hAnsi="微软雅黑" w:eastAsia="微软雅黑" w:cs="微软雅黑"/>
                <w:b/>
                <w:bCs/>
                <w:color w:val="auto"/>
                <w:kern w:val="2"/>
                <w:sz w:val="21"/>
                <w:szCs w:val="21"/>
                <w:highlight w:val="none"/>
                <w:lang w:val="en-US" w:eastAsia="zh-CN" w:bidi="ar-SA"/>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微型</w:t>
            </w:r>
          </w:p>
        </w:tc>
      </w:tr>
      <w:tr w14:paraId="7336D8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trPr>
        <w:tc>
          <w:tcPr>
            <w:tcW w:w="537" w:type="dxa"/>
            <w:tcBorders>
              <w:tl2br w:val="nil"/>
              <w:tr2bl w:val="nil"/>
            </w:tcBorders>
            <w:noWrap/>
            <w:vAlign w:val="center"/>
          </w:tcPr>
          <w:p w14:paraId="20B805CD">
            <w:pPr>
              <w:widowControl/>
              <w:spacing w:after="0" w:line="240" w:lineRule="auto"/>
              <w:ind w:firstLine="0" w:firstLineChars="0"/>
              <w:jc w:val="both"/>
              <w:rPr>
                <w:rFonts w:ascii="微软雅黑" w:hAnsi="微软雅黑"/>
                <w:color w:val="auto"/>
                <w:kern w:val="0"/>
                <w:szCs w:val="21"/>
                <w:highlight w:val="none"/>
              </w:rPr>
            </w:pPr>
            <w:r>
              <w:rPr>
                <w:rFonts w:ascii="微软雅黑" w:hAnsi="微软雅黑"/>
                <w:color w:val="auto"/>
                <w:kern w:val="0"/>
                <w:szCs w:val="21"/>
                <w:highlight w:val="none"/>
              </w:rPr>
              <w:t>19</w:t>
            </w:r>
          </w:p>
        </w:tc>
        <w:tc>
          <w:tcPr>
            <w:tcW w:w="1611" w:type="dxa"/>
            <w:tcBorders>
              <w:tl2br w:val="nil"/>
              <w:tr2bl w:val="nil"/>
            </w:tcBorders>
            <w:noWrap/>
            <w:vAlign w:val="center"/>
          </w:tcPr>
          <w:p w14:paraId="7F7AFE1B">
            <w:pPr>
              <w:spacing w:after="0" w:line="240" w:lineRule="auto"/>
              <w:ind w:firstLine="0" w:firstLineChars="0"/>
              <w:jc w:val="both"/>
              <w:rPr>
                <w:rFonts w:ascii="微软雅黑" w:hAnsi="微软雅黑" w:cs="微软雅黑"/>
                <w:color w:val="auto"/>
                <w:szCs w:val="21"/>
                <w:highlight w:val="none"/>
              </w:rPr>
            </w:pPr>
            <w:r>
              <w:rPr>
                <w:rFonts w:hint="eastAsia" w:ascii="微软雅黑" w:hAnsi="微软雅黑" w:cs="微软雅黑"/>
                <w:color w:val="auto"/>
                <w:highlight w:val="none"/>
              </w:rPr>
              <w:t>循环水真空泵</w:t>
            </w:r>
          </w:p>
        </w:tc>
        <w:tc>
          <w:tcPr>
            <w:tcW w:w="845" w:type="dxa"/>
            <w:tcBorders>
              <w:tl2br w:val="nil"/>
              <w:tr2bl w:val="nil"/>
            </w:tcBorders>
            <w:shd w:val="clear" w:color="auto" w:fill="auto"/>
            <w:noWrap/>
            <w:vAlign w:val="center"/>
          </w:tcPr>
          <w:p w14:paraId="10C68AD7">
            <w:pPr>
              <w:spacing w:after="0" w:line="240" w:lineRule="auto"/>
              <w:ind w:firstLine="0" w:firstLineChars="0"/>
              <w:jc w:val="both"/>
              <w:rPr>
                <w:rFonts w:hint="default" w:ascii="微软雅黑" w:hAnsi="微软雅黑" w:eastAsia="微软雅黑" w:cs="微软雅黑"/>
                <w:color w:val="auto"/>
                <w:kern w:val="2"/>
                <w:sz w:val="21"/>
                <w:szCs w:val="21"/>
                <w:highlight w:val="none"/>
                <w:lang w:val="en-US" w:eastAsia="zh-CN" w:bidi="ar-SA"/>
              </w:rPr>
            </w:pPr>
            <w:r>
              <w:rPr>
                <w:rFonts w:hint="eastAsia" w:ascii="微软雅黑" w:hAnsi="微软雅黑" w:cs="微软雅黑"/>
                <w:color w:val="auto"/>
                <w:szCs w:val="21"/>
                <w:highlight w:val="none"/>
                <w:lang w:val="en-US" w:eastAsia="zh-CN"/>
              </w:rPr>
              <w:t>工业</w:t>
            </w:r>
          </w:p>
        </w:tc>
        <w:tc>
          <w:tcPr>
            <w:tcW w:w="1459" w:type="dxa"/>
            <w:tcBorders>
              <w:tl2br w:val="nil"/>
              <w:tr2bl w:val="nil"/>
            </w:tcBorders>
            <w:noWrap/>
            <w:vAlign w:val="center"/>
          </w:tcPr>
          <w:p w14:paraId="30F8E9A7">
            <w:pPr>
              <w:widowControl/>
              <w:spacing w:after="0" w:line="240" w:lineRule="auto"/>
              <w:ind w:firstLine="0" w:firstLineChars="0"/>
              <w:jc w:val="both"/>
              <w:rPr>
                <w:rFonts w:ascii="微软雅黑" w:hAnsi="微软雅黑" w:cs="微软雅黑"/>
                <w:color w:val="auto"/>
                <w:kern w:val="0"/>
                <w:szCs w:val="21"/>
                <w:highlight w:val="none"/>
              </w:rPr>
            </w:pPr>
          </w:p>
        </w:tc>
        <w:tc>
          <w:tcPr>
            <w:tcW w:w="1228" w:type="dxa"/>
            <w:tcBorders>
              <w:tl2br w:val="nil"/>
              <w:tr2bl w:val="nil"/>
            </w:tcBorders>
            <w:noWrap/>
            <w:vAlign w:val="center"/>
          </w:tcPr>
          <w:p w14:paraId="20E3CD3C">
            <w:pPr>
              <w:widowControl/>
              <w:spacing w:after="0" w:line="240" w:lineRule="auto"/>
              <w:ind w:firstLine="0" w:firstLineChars="0"/>
              <w:jc w:val="both"/>
              <w:rPr>
                <w:rFonts w:ascii="微软雅黑" w:hAnsi="微软雅黑" w:cs="微软雅黑"/>
                <w:color w:val="auto"/>
                <w:kern w:val="0"/>
                <w:szCs w:val="21"/>
                <w:highlight w:val="none"/>
              </w:rPr>
            </w:pPr>
          </w:p>
        </w:tc>
        <w:tc>
          <w:tcPr>
            <w:tcW w:w="1486" w:type="dxa"/>
            <w:tcBorders>
              <w:tl2br w:val="nil"/>
              <w:tr2bl w:val="nil"/>
            </w:tcBorders>
            <w:noWrap/>
            <w:vAlign w:val="center"/>
          </w:tcPr>
          <w:p w14:paraId="558508AF">
            <w:pPr>
              <w:widowControl/>
              <w:spacing w:after="0" w:line="240" w:lineRule="auto"/>
              <w:ind w:firstLine="0" w:firstLineChars="0"/>
              <w:jc w:val="both"/>
              <w:rPr>
                <w:rFonts w:ascii="微软雅黑" w:hAnsi="微软雅黑" w:cs="微软雅黑"/>
                <w:color w:val="auto"/>
                <w:kern w:val="0"/>
                <w:szCs w:val="21"/>
                <w:highlight w:val="none"/>
              </w:rPr>
            </w:pPr>
          </w:p>
        </w:tc>
        <w:tc>
          <w:tcPr>
            <w:tcW w:w="1227" w:type="dxa"/>
            <w:tcBorders>
              <w:tl2br w:val="nil"/>
              <w:tr2bl w:val="nil"/>
            </w:tcBorders>
            <w:noWrap/>
            <w:vAlign w:val="center"/>
          </w:tcPr>
          <w:p w14:paraId="643462E8">
            <w:pPr>
              <w:widowControl/>
              <w:spacing w:after="0" w:line="240" w:lineRule="auto"/>
              <w:ind w:firstLine="0" w:firstLineChars="0"/>
              <w:jc w:val="both"/>
              <w:rPr>
                <w:rFonts w:ascii="微软雅黑" w:hAnsi="微软雅黑" w:cs="微软雅黑"/>
                <w:color w:val="auto"/>
                <w:kern w:val="0"/>
                <w:szCs w:val="21"/>
                <w:highlight w:val="none"/>
              </w:rPr>
            </w:pPr>
          </w:p>
        </w:tc>
        <w:tc>
          <w:tcPr>
            <w:tcW w:w="1773" w:type="dxa"/>
            <w:tcBorders>
              <w:tl2br w:val="nil"/>
              <w:tr2bl w:val="nil"/>
            </w:tcBorders>
            <w:shd w:val="clear" w:color="auto" w:fill="auto"/>
            <w:noWrap/>
            <w:vAlign w:val="center"/>
          </w:tcPr>
          <w:p w14:paraId="17AD66D7">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中型企业</w:t>
            </w:r>
          </w:p>
          <w:p w14:paraId="281C4381">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小型企业</w:t>
            </w:r>
          </w:p>
          <w:p w14:paraId="46D94542">
            <w:pPr>
              <w:widowControl/>
              <w:spacing w:after="0" w:line="240" w:lineRule="auto"/>
              <w:ind w:firstLine="0" w:firstLineChars="0"/>
              <w:jc w:val="both"/>
              <w:rPr>
                <w:rFonts w:ascii="微软雅黑" w:hAnsi="微软雅黑" w:eastAsia="微软雅黑" w:cs="微软雅黑"/>
                <w:b/>
                <w:bCs/>
                <w:color w:val="auto"/>
                <w:kern w:val="2"/>
                <w:sz w:val="21"/>
                <w:szCs w:val="21"/>
                <w:highlight w:val="none"/>
                <w:lang w:val="en-US" w:eastAsia="zh-CN" w:bidi="ar-SA"/>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微型</w:t>
            </w:r>
          </w:p>
        </w:tc>
      </w:tr>
      <w:tr w14:paraId="5CDDEE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trPr>
        <w:tc>
          <w:tcPr>
            <w:tcW w:w="537" w:type="dxa"/>
            <w:tcBorders>
              <w:tl2br w:val="nil"/>
              <w:tr2bl w:val="nil"/>
            </w:tcBorders>
            <w:noWrap/>
            <w:vAlign w:val="center"/>
          </w:tcPr>
          <w:p w14:paraId="0FF8A457">
            <w:pPr>
              <w:widowControl/>
              <w:spacing w:after="0" w:line="240" w:lineRule="auto"/>
              <w:ind w:firstLine="0" w:firstLineChars="0"/>
              <w:jc w:val="both"/>
              <w:rPr>
                <w:rFonts w:ascii="微软雅黑" w:hAnsi="微软雅黑"/>
                <w:color w:val="auto"/>
                <w:kern w:val="0"/>
                <w:szCs w:val="21"/>
                <w:highlight w:val="none"/>
              </w:rPr>
            </w:pPr>
            <w:r>
              <w:rPr>
                <w:rFonts w:ascii="微软雅黑" w:hAnsi="微软雅黑"/>
                <w:color w:val="auto"/>
                <w:kern w:val="0"/>
                <w:szCs w:val="21"/>
                <w:highlight w:val="none"/>
              </w:rPr>
              <w:t>20</w:t>
            </w:r>
          </w:p>
        </w:tc>
        <w:tc>
          <w:tcPr>
            <w:tcW w:w="1611" w:type="dxa"/>
            <w:tcBorders>
              <w:tl2br w:val="nil"/>
              <w:tr2bl w:val="nil"/>
            </w:tcBorders>
            <w:noWrap/>
            <w:vAlign w:val="center"/>
          </w:tcPr>
          <w:p w14:paraId="4BD2C2C8">
            <w:pPr>
              <w:spacing w:after="0" w:line="240" w:lineRule="auto"/>
              <w:ind w:firstLine="0" w:firstLineChars="0"/>
              <w:jc w:val="both"/>
              <w:rPr>
                <w:rFonts w:ascii="微软雅黑" w:hAnsi="微软雅黑" w:cs="微软雅黑"/>
                <w:color w:val="auto"/>
                <w:szCs w:val="21"/>
                <w:highlight w:val="none"/>
              </w:rPr>
            </w:pPr>
            <w:r>
              <w:rPr>
                <w:rFonts w:hint="eastAsia" w:ascii="微软雅黑" w:hAnsi="微软雅黑" w:cs="微软雅黑"/>
                <w:color w:val="auto"/>
                <w:highlight w:val="none"/>
              </w:rPr>
              <w:t>电热恒温水浴锅</w:t>
            </w:r>
          </w:p>
        </w:tc>
        <w:tc>
          <w:tcPr>
            <w:tcW w:w="845" w:type="dxa"/>
            <w:tcBorders>
              <w:tl2br w:val="nil"/>
              <w:tr2bl w:val="nil"/>
            </w:tcBorders>
            <w:shd w:val="clear" w:color="auto" w:fill="auto"/>
            <w:noWrap/>
            <w:vAlign w:val="center"/>
          </w:tcPr>
          <w:p w14:paraId="6938DBDC">
            <w:pPr>
              <w:spacing w:after="0" w:line="240" w:lineRule="auto"/>
              <w:ind w:firstLine="0" w:firstLineChars="0"/>
              <w:jc w:val="both"/>
              <w:rPr>
                <w:rFonts w:ascii="微软雅黑" w:hAnsi="微软雅黑" w:eastAsia="微软雅黑" w:cs="微软雅黑"/>
                <w:color w:val="auto"/>
                <w:kern w:val="2"/>
                <w:sz w:val="21"/>
                <w:szCs w:val="21"/>
                <w:highlight w:val="none"/>
                <w:lang w:val="en-US" w:eastAsia="zh-CN" w:bidi="ar-SA"/>
              </w:rPr>
            </w:pPr>
            <w:r>
              <w:rPr>
                <w:rFonts w:hint="eastAsia" w:ascii="微软雅黑" w:hAnsi="微软雅黑" w:cs="微软雅黑"/>
                <w:color w:val="auto"/>
                <w:szCs w:val="21"/>
                <w:highlight w:val="none"/>
                <w:lang w:val="en-US" w:eastAsia="zh-CN"/>
              </w:rPr>
              <w:t>工业</w:t>
            </w:r>
          </w:p>
        </w:tc>
        <w:tc>
          <w:tcPr>
            <w:tcW w:w="1459" w:type="dxa"/>
            <w:tcBorders>
              <w:tl2br w:val="nil"/>
              <w:tr2bl w:val="nil"/>
            </w:tcBorders>
            <w:noWrap/>
            <w:vAlign w:val="center"/>
          </w:tcPr>
          <w:p w14:paraId="0089EA19">
            <w:pPr>
              <w:widowControl/>
              <w:spacing w:after="0" w:line="240" w:lineRule="auto"/>
              <w:ind w:firstLine="0" w:firstLineChars="0"/>
              <w:jc w:val="both"/>
              <w:rPr>
                <w:rFonts w:ascii="微软雅黑" w:hAnsi="微软雅黑" w:cs="微软雅黑"/>
                <w:color w:val="auto"/>
                <w:kern w:val="0"/>
                <w:szCs w:val="21"/>
                <w:highlight w:val="none"/>
              </w:rPr>
            </w:pPr>
          </w:p>
        </w:tc>
        <w:tc>
          <w:tcPr>
            <w:tcW w:w="1228" w:type="dxa"/>
            <w:tcBorders>
              <w:tl2br w:val="nil"/>
              <w:tr2bl w:val="nil"/>
            </w:tcBorders>
            <w:noWrap/>
            <w:vAlign w:val="center"/>
          </w:tcPr>
          <w:p w14:paraId="7678B088">
            <w:pPr>
              <w:widowControl/>
              <w:spacing w:after="0" w:line="240" w:lineRule="auto"/>
              <w:ind w:firstLine="0" w:firstLineChars="0"/>
              <w:jc w:val="both"/>
              <w:rPr>
                <w:rFonts w:ascii="微软雅黑" w:hAnsi="微软雅黑" w:cs="微软雅黑"/>
                <w:color w:val="auto"/>
                <w:kern w:val="0"/>
                <w:szCs w:val="21"/>
                <w:highlight w:val="none"/>
              </w:rPr>
            </w:pPr>
          </w:p>
        </w:tc>
        <w:tc>
          <w:tcPr>
            <w:tcW w:w="1486" w:type="dxa"/>
            <w:tcBorders>
              <w:tl2br w:val="nil"/>
              <w:tr2bl w:val="nil"/>
            </w:tcBorders>
            <w:noWrap/>
            <w:vAlign w:val="center"/>
          </w:tcPr>
          <w:p w14:paraId="510634F4">
            <w:pPr>
              <w:widowControl/>
              <w:spacing w:after="0" w:line="240" w:lineRule="auto"/>
              <w:ind w:firstLine="0" w:firstLineChars="0"/>
              <w:jc w:val="both"/>
              <w:rPr>
                <w:rFonts w:ascii="微软雅黑" w:hAnsi="微软雅黑" w:cs="微软雅黑"/>
                <w:color w:val="auto"/>
                <w:kern w:val="0"/>
                <w:szCs w:val="21"/>
                <w:highlight w:val="none"/>
              </w:rPr>
            </w:pPr>
          </w:p>
        </w:tc>
        <w:tc>
          <w:tcPr>
            <w:tcW w:w="1227" w:type="dxa"/>
            <w:tcBorders>
              <w:tl2br w:val="nil"/>
              <w:tr2bl w:val="nil"/>
            </w:tcBorders>
            <w:noWrap/>
            <w:vAlign w:val="center"/>
          </w:tcPr>
          <w:p w14:paraId="5C072E07">
            <w:pPr>
              <w:widowControl/>
              <w:spacing w:after="0" w:line="240" w:lineRule="auto"/>
              <w:ind w:firstLine="0" w:firstLineChars="0"/>
              <w:jc w:val="both"/>
              <w:rPr>
                <w:rFonts w:ascii="微软雅黑" w:hAnsi="微软雅黑" w:cs="微软雅黑"/>
                <w:color w:val="auto"/>
                <w:kern w:val="0"/>
                <w:szCs w:val="21"/>
                <w:highlight w:val="none"/>
              </w:rPr>
            </w:pPr>
          </w:p>
        </w:tc>
        <w:tc>
          <w:tcPr>
            <w:tcW w:w="1773" w:type="dxa"/>
            <w:tcBorders>
              <w:tl2br w:val="nil"/>
              <w:tr2bl w:val="nil"/>
            </w:tcBorders>
            <w:shd w:val="clear" w:color="auto" w:fill="auto"/>
            <w:noWrap/>
            <w:vAlign w:val="center"/>
          </w:tcPr>
          <w:p w14:paraId="5AEBC239">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中型企业</w:t>
            </w:r>
          </w:p>
          <w:p w14:paraId="0C925266">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小型企业</w:t>
            </w:r>
          </w:p>
          <w:p w14:paraId="4ADC835C">
            <w:pPr>
              <w:widowControl/>
              <w:spacing w:after="0" w:line="240" w:lineRule="auto"/>
              <w:ind w:firstLine="0" w:firstLineChars="0"/>
              <w:jc w:val="both"/>
              <w:rPr>
                <w:rFonts w:ascii="微软雅黑" w:hAnsi="微软雅黑" w:eastAsia="微软雅黑" w:cs="微软雅黑"/>
                <w:b/>
                <w:bCs/>
                <w:color w:val="auto"/>
                <w:kern w:val="2"/>
                <w:sz w:val="21"/>
                <w:szCs w:val="21"/>
                <w:highlight w:val="none"/>
                <w:lang w:val="en-US" w:eastAsia="zh-CN" w:bidi="ar-SA"/>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微型</w:t>
            </w:r>
          </w:p>
        </w:tc>
      </w:tr>
      <w:tr w14:paraId="653A1F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trPr>
        <w:tc>
          <w:tcPr>
            <w:tcW w:w="537" w:type="dxa"/>
            <w:tcBorders>
              <w:tl2br w:val="nil"/>
              <w:tr2bl w:val="nil"/>
            </w:tcBorders>
            <w:noWrap/>
            <w:vAlign w:val="center"/>
          </w:tcPr>
          <w:p w14:paraId="225770DB">
            <w:pPr>
              <w:widowControl/>
              <w:spacing w:after="0" w:line="240" w:lineRule="auto"/>
              <w:ind w:firstLine="0" w:firstLineChars="0"/>
              <w:jc w:val="both"/>
              <w:rPr>
                <w:rFonts w:ascii="微软雅黑" w:hAnsi="微软雅黑"/>
                <w:color w:val="auto"/>
                <w:kern w:val="0"/>
                <w:szCs w:val="21"/>
                <w:highlight w:val="none"/>
              </w:rPr>
            </w:pPr>
            <w:r>
              <w:rPr>
                <w:rFonts w:ascii="微软雅黑" w:hAnsi="微软雅黑"/>
                <w:color w:val="auto"/>
                <w:kern w:val="0"/>
                <w:szCs w:val="21"/>
                <w:highlight w:val="none"/>
              </w:rPr>
              <w:t>21</w:t>
            </w:r>
          </w:p>
        </w:tc>
        <w:tc>
          <w:tcPr>
            <w:tcW w:w="1611" w:type="dxa"/>
            <w:tcBorders>
              <w:tl2br w:val="nil"/>
              <w:tr2bl w:val="nil"/>
            </w:tcBorders>
            <w:noWrap/>
            <w:vAlign w:val="center"/>
          </w:tcPr>
          <w:p w14:paraId="3743D8FF">
            <w:pPr>
              <w:spacing w:after="0" w:line="240" w:lineRule="auto"/>
              <w:ind w:firstLine="0" w:firstLineChars="0"/>
              <w:jc w:val="both"/>
              <w:rPr>
                <w:rFonts w:ascii="微软雅黑" w:hAnsi="微软雅黑" w:cs="微软雅黑"/>
                <w:color w:val="auto"/>
                <w:szCs w:val="21"/>
                <w:highlight w:val="none"/>
              </w:rPr>
            </w:pPr>
            <w:r>
              <w:rPr>
                <w:rFonts w:hint="eastAsia" w:ascii="微软雅黑" w:hAnsi="微软雅黑" w:cs="微软雅黑"/>
                <w:color w:val="auto"/>
                <w:highlight w:val="none"/>
              </w:rPr>
              <w:t>红外线加热炉</w:t>
            </w:r>
          </w:p>
        </w:tc>
        <w:tc>
          <w:tcPr>
            <w:tcW w:w="845" w:type="dxa"/>
            <w:tcBorders>
              <w:tl2br w:val="nil"/>
              <w:tr2bl w:val="nil"/>
            </w:tcBorders>
            <w:shd w:val="clear" w:color="auto" w:fill="auto"/>
            <w:noWrap/>
            <w:vAlign w:val="center"/>
          </w:tcPr>
          <w:p w14:paraId="7836F0AB">
            <w:pPr>
              <w:spacing w:after="0" w:line="240" w:lineRule="auto"/>
              <w:ind w:firstLine="0" w:firstLineChars="0"/>
              <w:jc w:val="both"/>
              <w:rPr>
                <w:rFonts w:hint="default" w:ascii="微软雅黑" w:hAnsi="微软雅黑" w:eastAsia="微软雅黑" w:cs="微软雅黑"/>
                <w:color w:val="auto"/>
                <w:kern w:val="2"/>
                <w:sz w:val="21"/>
                <w:szCs w:val="21"/>
                <w:highlight w:val="none"/>
                <w:lang w:val="en-US" w:eastAsia="zh-CN" w:bidi="ar-SA"/>
              </w:rPr>
            </w:pPr>
            <w:r>
              <w:rPr>
                <w:rFonts w:hint="eastAsia" w:ascii="微软雅黑" w:hAnsi="微软雅黑" w:cs="微软雅黑"/>
                <w:color w:val="auto"/>
                <w:szCs w:val="21"/>
                <w:highlight w:val="none"/>
                <w:lang w:val="en-US" w:eastAsia="zh-CN"/>
              </w:rPr>
              <w:t>工业</w:t>
            </w:r>
          </w:p>
        </w:tc>
        <w:tc>
          <w:tcPr>
            <w:tcW w:w="1459" w:type="dxa"/>
            <w:tcBorders>
              <w:tl2br w:val="nil"/>
              <w:tr2bl w:val="nil"/>
            </w:tcBorders>
            <w:noWrap/>
            <w:vAlign w:val="center"/>
          </w:tcPr>
          <w:p w14:paraId="1A14B275">
            <w:pPr>
              <w:widowControl/>
              <w:spacing w:after="0" w:line="240" w:lineRule="auto"/>
              <w:ind w:firstLine="0" w:firstLineChars="0"/>
              <w:jc w:val="both"/>
              <w:rPr>
                <w:rFonts w:ascii="微软雅黑" w:hAnsi="微软雅黑" w:cs="微软雅黑"/>
                <w:color w:val="auto"/>
                <w:kern w:val="0"/>
                <w:szCs w:val="21"/>
                <w:highlight w:val="none"/>
              </w:rPr>
            </w:pPr>
          </w:p>
        </w:tc>
        <w:tc>
          <w:tcPr>
            <w:tcW w:w="1228" w:type="dxa"/>
            <w:tcBorders>
              <w:tl2br w:val="nil"/>
              <w:tr2bl w:val="nil"/>
            </w:tcBorders>
            <w:noWrap/>
            <w:vAlign w:val="center"/>
          </w:tcPr>
          <w:p w14:paraId="2903C788">
            <w:pPr>
              <w:widowControl/>
              <w:spacing w:after="0" w:line="240" w:lineRule="auto"/>
              <w:ind w:firstLine="0" w:firstLineChars="0"/>
              <w:jc w:val="both"/>
              <w:rPr>
                <w:rFonts w:ascii="微软雅黑" w:hAnsi="微软雅黑" w:cs="微软雅黑"/>
                <w:color w:val="auto"/>
                <w:kern w:val="0"/>
                <w:szCs w:val="21"/>
                <w:highlight w:val="none"/>
              </w:rPr>
            </w:pPr>
          </w:p>
        </w:tc>
        <w:tc>
          <w:tcPr>
            <w:tcW w:w="1486" w:type="dxa"/>
            <w:tcBorders>
              <w:tl2br w:val="nil"/>
              <w:tr2bl w:val="nil"/>
            </w:tcBorders>
            <w:noWrap/>
            <w:vAlign w:val="center"/>
          </w:tcPr>
          <w:p w14:paraId="38FCCDDC">
            <w:pPr>
              <w:widowControl/>
              <w:spacing w:after="0" w:line="240" w:lineRule="auto"/>
              <w:ind w:firstLine="0" w:firstLineChars="0"/>
              <w:jc w:val="both"/>
              <w:rPr>
                <w:rFonts w:ascii="微软雅黑" w:hAnsi="微软雅黑" w:cs="微软雅黑"/>
                <w:color w:val="auto"/>
                <w:kern w:val="0"/>
                <w:szCs w:val="21"/>
                <w:highlight w:val="none"/>
              </w:rPr>
            </w:pPr>
          </w:p>
        </w:tc>
        <w:tc>
          <w:tcPr>
            <w:tcW w:w="1227" w:type="dxa"/>
            <w:tcBorders>
              <w:tl2br w:val="nil"/>
              <w:tr2bl w:val="nil"/>
            </w:tcBorders>
            <w:noWrap/>
            <w:vAlign w:val="center"/>
          </w:tcPr>
          <w:p w14:paraId="3BA0F731">
            <w:pPr>
              <w:widowControl/>
              <w:spacing w:after="0" w:line="240" w:lineRule="auto"/>
              <w:ind w:firstLine="0" w:firstLineChars="0"/>
              <w:jc w:val="both"/>
              <w:rPr>
                <w:rFonts w:ascii="微软雅黑" w:hAnsi="微软雅黑" w:cs="微软雅黑"/>
                <w:color w:val="auto"/>
                <w:kern w:val="0"/>
                <w:szCs w:val="21"/>
                <w:highlight w:val="none"/>
              </w:rPr>
            </w:pPr>
          </w:p>
        </w:tc>
        <w:tc>
          <w:tcPr>
            <w:tcW w:w="1773" w:type="dxa"/>
            <w:tcBorders>
              <w:tl2br w:val="nil"/>
              <w:tr2bl w:val="nil"/>
            </w:tcBorders>
            <w:shd w:val="clear" w:color="auto" w:fill="auto"/>
            <w:noWrap/>
            <w:vAlign w:val="center"/>
          </w:tcPr>
          <w:p w14:paraId="6A43A391">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中型企业</w:t>
            </w:r>
          </w:p>
          <w:p w14:paraId="283CA36F">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小型企业</w:t>
            </w:r>
          </w:p>
          <w:p w14:paraId="2A834CA5">
            <w:pPr>
              <w:widowControl/>
              <w:spacing w:after="0" w:line="240" w:lineRule="auto"/>
              <w:ind w:firstLine="0" w:firstLineChars="0"/>
              <w:jc w:val="both"/>
              <w:rPr>
                <w:rFonts w:ascii="微软雅黑" w:hAnsi="微软雅黑" w:eastAsia="微软雅黑" w:cs="微软雅黑"/>
                <w:b/>
                <w:bCs/>
                <w:color w:val="auto"/>
                <w:kern w:val="2"/>
                <w:sz w:val="21"/>
                <w:szCs w:val="21"/>
                <w:highlight w:val="none"/>
                <w:lang w:val="en-US" w:eastAsia="zh-CN" w:bidi="ar-SA"/>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微型</w:t>
            </w:r>
          </w:p>
        </w:tc>
      </w:tr>
      <w:tr w14:paraId="406FE4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trPr>
        <w:tc>
          <w:tcPr>
            <w:tcW w:w="537" w:type="dxa"/>
            <w:tcBorders>
              <w:tl2br w:val="nil"/>
              <w:tr2bl w:val="nil"/>
            </w:tcBorders>
            <w:noWrap/>
            <w:vAlign w:val="center"/>
          </w:tcPr>
          <w:p w14:paraId="0F7B1335">
            <w:pPr>
              <w:widowControl/>
              <w:spacing w:after="0" w:line="240" w:lineRule="auto"/>
              <w:ind w:firstLine="0" w:firstLineChars="0"/>
              <w:jc w:val="both"/>
              <w:rPr>
                <w:rFonts w:ascii="微软雅黑" w:hAnsi="微软雅黑"/>
                <w:color w:val="auto"/>
                <w:kern w:val="0"/>
                <w:szCs w:val="21"/>
                <w:highlight w:val="none"/>
              </w:rPr>
            </w:pPr>
            <w:r>
              <w:rPr>
                <w:rFonts w:ascii="微软雅黑" w:hAnsi="微软雅黑"/>
                <w:color w:val="auto"/>
                <w:kern w:val="0"/>
                <w:szCs w:val="21"/>
                <w:highlight w:val="none"/>
              </w:rPr>
              <w:t>22</w:t>
            </w:r>
          </w:p>
        </w:tc>
        <w:tc>
          <w:tcPr>
            <w:tcW w:w="1611" w:type="dxa"/>
            <w:tcBorders>
              <w:tl2br w:val="nil"/>
              <w:tr2bl w:val="nil"/>
            </w:tcBorders>
            <w:noWrap/>
            <w:vAlign w:val="center"/>
          </w:tcPr>
          <w:p w14:paraId="0E99AB9C">
            <w:pPr>
              <w:spacing w:after="0" w:line="240" w:lineRule="auto"/>
              <w:ind w:firstLine="0" w:firstLineChars="0"/>
              <w:jc w:val="both"/>
              <w:rPr>
                <w:rFonts w:ascii="微软雅黑" w:hAnsi="微软雅黑" w:cs="微软雅黑"/>
                <w:color w:val="auto"/>
                <w:szCs w:val="21"/>
                <w:highlight w:val="none"/>
              </w:rPr>
            </w:pPr>
            <w:r>
              <w:rPr>
                <w:rFonts w:hint="eastAsia" w:ascii="微软雅黑" w:hAnsi="微软雅黑" w:cs="微软雅黑"/>
                <w:color w:val="auto"/>
                <w:highlight w:val="none"/>
              </w:rPr>
              <w:t>制冰机</w:t>
            </w:r>
          </w:p>
        </w:tc>
        <w:tc>
          <w:tcPr>
            <w:tcW w:w="845" w:type="dxa"/>
            <w:tcBorders>
              <w:tl2br w:val="nil"/>
              <w:tr2bl w:val="nil"/>
            </w:tcBorders>
            <w:shd w:val="clear" w:color="auto" w:fill="auto"/>
            <w:noWrap/>
            <w:vAlign w:val="center"/>
          </w:tcPr>
          <w:p w14:paraId="21979416">
            <w:pPr>
              <w:spacing w:after="0" w:line="240" w:lineRule="auto"/>
              <w:ind w:firstLine="0" w:firstLineChars="0"/>
              <w:jc w:val="both"/>
              <w:rPr>
                <w:rFonts w:ascii="微软雅黑" w:hAnsi="微软雅黑" w:eastAsia="微软雅黑" w:cs="微软雅黑"/>
                <w:color w:val="auto"/>
                <w:kern w:val="2"/>
                <w:sz w:val="21"/>
                <w:szCs w:val="21"/>
                <w:highlight w:val="none"/>
                <w:lang w:val="en-US" w:eastAsia="zh-CN" w:bidi="ar-SA"/>
              </w:rPr>
            </w:pPr>
            <w:r>
              <w:rPr>
                <w:rFonts w:hint="eastAsia" w:ascii="微软雅黑" w:hAnsi="微软雅黑" w:cs="微软雅黑"/>
                <w:color w:val="auto"/>
                <w:szCs w:val="21"/>
                <w:highlight w:val="none"/>
                <w:lang w:val="en-US" w:eastAsia="zh-CN"/>
              </w:rPr>
              <w:t>工业</w:t>
            </w:r>
          </w:p>
        </w:tc>
        <w:tc>
          <w:tcPr>
            <w:tcW w:w="1459" w:type="dxa"/>
            <w:tcBorders>
              <w:tl2br w:val="nil"/>
              <w:tr2bl w:val="nil"/>
            </w:tcBorders>
            <w:noWrap/>
            <w:vAlign w:val="center"/>
          </w:tcPr>
          <w:p w14:paraId="06D7158B">
            <w:pPr>
              <w:widowControl/>
              <w:spacing w:after="0" w:line="240" w:lineRule="auto"/>
              <w:ind w:firstLine="0" w:firstLineChars="0"/>
              <w:jc w:val="both"/>
              <w:rPr>
                <w:rFonts w:ascii="微软雅黑" w:hAnsi="微软雅黑" w:cs="微软雅黑"/>
                <w:color w:val="auto"/>
                <w:kern w:val="0"/>
                <w:szCs w:val="21"/>
                <w:highlight w:val="none"/>
              </w:rPr>
            </w:pPr>
          </w:p>
        </w:tc>
        <w:tc>
          <w:tcPr>
            <w:tcW w:w="1228" w:type="dxa"/>
            <w:tcBorders>
              <w:tl2br w:val="nil"/>
              <w:tr2bl w:val="nil"/>
            </w:tcBorders>
            <w:noWrap/>
            <w:vAlign w:val="center"/>
          </w:tcPr>
          <w:p w14:paraId="476E1DCF">
            <w:pPr>
              <w:widowControl/>
              <w:spacing w:after="0" w:line="240" w:lineRule="auto"/>
              <w:ind w:firstLine="0" w:firstLineChars="0"/>
              <w:jc w:val="both"/>
              <w:rPr>
                <w:rFonts w:ascii="微软雅黑" w:hAnsi="微软雅黑" w:cs="微软雅黑"/>
                <w:color w:val="auto"/>
                <w:kern w:val="0"/>
                <w:szCs w:val="21"/>
                <w:highlight w:val="none"/>
              </w:rPr>
            </w:pPr>
          </w:p>
        </w:tc>
        <w:tc>
          <w:tcPr>
            <w:tcW w:w="1486" w:type="dxa"/>
            <w:tcBorders>
              <w:tl2br w:val="nil"/>
              <w:tr2bl w:val="nil"/>
            </w:tcBorders>
            <w:noWrap/>
            <w:vAlign w:val="center"/>
          </w:tcPr>
          <w:p w14:paraId="0C4E98C1">
            <w:pPr>
              <w:widowControl/>
              <w:spacing w:after="0" w:line="240" w:lineRule="auto"/>
              <w:ind w:firstLine="0" w:firstLineChars="0"/>
              <w:jc w:val="both"/>
              <w:rPr>
                <w:rFonts w:ascii="微软雅黑" w:hAnsi="微软雅黑" w:cs="微软雅黑"/>
                <w:color w:val="auto"/>
                <w:kern w:val="0"/>
                <w:szCs w:val="21"/>
                <w:highlight w:val="none"/>
              </w:rPr>
            </w:pPr>
          </w:p>
        </w:tc>
        <w:tc>
          <w:tcPr>
            <w:tcW w:w="1227" w:type="dxa"/>
            <w:tcBorders>
              <w:tl2br w:val="nil"/>
              <w:tr2bl w:val="nil"/>
            </w:tcBorders>
            <w:noWrap/>
            <w:vAlign w:val="center"/>
          </w:tcPr>
          <w:p w14:paraId="419075A1">
            <w:pPr>
              <w:widowControl/>
              <w:spacing w:after="0" w:line="240" w:lineRule="auto"/>
              <w:ind w:firstLine="0" w:firstLineChars="0"/>
              <w:jc w:val="both"/>
              <w:rPr>
                <w:rFonts w:ascii="微软雅黑" w:hAnsi="微软雅黑" w:cs="微软雅黑"/>
                <w:color w:val="auto"/>
                <w:kern w:val="0"/>
                <w:szCs w:val="21"/>
                <w:highlight w:val="none"/>
              </w:rPr>
            </w:pPr>
          </w:p>
        </w:tc>
        <w:tc>
          <w:tcPr>
            <w:tcW w:w="1773" w:type="dxa"/>
            <w:tcBorders>
              <w:tl2br w:val="nil"/>
              <w:tr2bl w:val="nil"/>
            </w:tcBorders>
            <w:shd w:val="clear" w:color="auto" w:fill="auto"/>
            <w:noWrap/>
            <w:vAlign w:val="center"/>
          </w:tcPr>
          <w:p w14:paraId="6F323639">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中型企业</w:t>
            </w:r>
          </w:p>
          <w:p w14:paraId="08CA2BD0">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小型企业</w:t>
            </w:r>
          </w:p>
          <w:p w14:paraId="68925671">
            <w:pPr>
              <w:widowControl/>
              <w:spacing w:after="0" w:line="240" w:lineRule="auto"/>
              <w:ind w:firstLine="0" w:firstLineChars="0"/>
              <w:jc w:val="both"/>
              <w:rPr>
                <w:rFonts w:ascii="微软雅黑" w:hAnsi="微软雅黑" w:eastAsia="微软雅黑" w:cs="微软雅黑"/>
                <w:b/>
                <w:bCs/>
                <w:color w:val="auto"/>
                <w:kern w:val="2"/>
                <w:sz w:val="21"/>
                <w:szCs w:val="21"/>
                <w:highlight w:val="none"/>
                <w:lang w:val="en-US" w:eastAsia="zh-CN" w:bidi="ar-SA"/>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微型</w:t>
            </w:r>
          </w:p>
        </w:tc>
      </w:tr>
      <w:tr w14:paraId="22487A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trPr>
        <w:tc>
          <w:tcPr>
            <w:tcW w:w="537" w:type="dxa"/>
            <w:tcBorders>
              <w:tl2br w:val="nil"/>
              <w:tr2bl w:val="nil"/>
            </w:tcBorders>
            <w:noWrap/>
            <w:vAlign w:val="center"/>
          </w:tcPr>
          <w:p w14:paraId="1CA5084E">
            <w:pPr>
              <w:widowControl/>
              <w:spacing w:after="0" w:line="240" w:lineRule="auto"/>
              <w:ind w:firstLine="0" w:firstLineChars="0"/>
              <w:jc w:val="both"/>
              <w:rPr>
                <w:rFonts w:ascii="微软雅黑" w:hAnsi="微软雅黑"/>
                <w:color w:val="auto"/>
                <w:kern w:val="0"/>
                <w:szCs w:val="21"/>
                <w:highlight w:val="none"/>
              </w:rPr>
            </w:pPr>
            <w:r>
              <w:rPr>
                <w:rFonts w:ascii="微软雅黑" w:hAnsi="微软雅黑"/>
                <w:color w:val="auto"/>
                <w:kern w:val="0"/>
                <w:szCs w:val="21"/>
                <w:highlight w:val="none"/>
              </w:rPr>
              <w:t>23</w:t>
            </w:r>
          </w:p>
        </w:tc>
        <w:tc>
          <w:tcPr>
            <w:tcW w:w="1611" w:type="dxa"/>
            <w:tcBorders>
              <w:tl2br w:val="nil"/>
              <w:tr2bl w:val="nil"/>
            </w:tcBorders>
            <w:noWrap/>
            <w:vAlign w:val="center"/>
          </w:tcPr>
          <w:p w14:paraId="7E9440C7">
            <w:pPr>
              <w:spacing w:after="0" w:line="240" w:lineRule="auto"/>
              <w:ind w:firstLine="0" w:firstLineChars="0"/>
              <w:jc w:val="both"/>
              <w:rPr>
                <w:rFonts w:ascii="微软雅黑" w:hAnsi="微软雅黑" w:cs="微软雅黑"/>
                <w:color w:val="auto"/>
                <w:szCs w:val="21"/>
                <w:highlight w:val="none"/>
              </w:rPr>
            </w:pPr>
            <w:r>
              <w:rPr>
                <w:rFonts w:hint="eastAsia" w:ascii="微软雅黑" w:hAnsi="微软雅黑" w:cs="微软雅黑"/>
                <w:color w:val="auto"/>
                <w:highlight w:val="none"/>
              </w:rPr>
              <w:t>马弗炉</w:t>
            </w:r>
          </w:p>
        </w:tc>
        <w:tc>
          <w:tcPr>
            <w:tcW w:w="845" w:type="dxa"/>
            <w:tcBorders>
              <w:tl2br w:val="nil"/>
              <w:tr2bl w:val="nil"/>
            </w:tcBorders>
            <w:shd w:val="clear" w:color="auto" w:fill="auto"/>
            <w:noWrap/>
            <w:vAlign w:val="center"/>
          </w:tcPr>
          <w:p w14:paraId="54154A29">
            <w:pPr>
              <w:spacing w:after="0" w:line="240" w:lineRule="auto"/>
              <w:ind w:firstLine="0" w:firstLineChars="0"/>
              <w:jc w:val="both"/>
              <w:rPr>
                <w:rFonts w:hint="default" w:ascii="微软雅黑" w:hAnsi="微软雅黑" w:eastAsia="微软雅黑" w:cs="微软雅黑"/>
                <w:color w:val="auto"/>
                <w:kern w:val="2"/>
                <w:sz w:val="21"/>
                <w:szCs w:val="21"/>
                <w:highlight w:val="none"/>
                <w:lang w:val="en-US" w:eastAsia="zh-CN" w:bidi="ar-SA"/>
              </w:rPr>
            </w:pPr>
            <w:r>
              <w:rPr>
                <w:rFonts w:hint="eastAsia" w:ascii="微软雅黑" w:hAnsi="微软雅黑" w:cs="微软雅黑"/>
                <w:color w:val="auto"/>
                <w:szCs w:val="21"/>
                <w:highlight w:val="none"/>
                <w:lang w:val="en-US" w:eastAsia="zh-CN"/>
              </w:rPr>
              <w:t>工业</w:t>
            </w:r>
          </w:p>
        </w:tc>
        <w:tc>
          <w:tcPr>
            <w:tcW w:w="1459" w:type="dxa"/>
            <w:tcBorders>
              <w:tl2br w:val="nil"/>
              <w:tr2bl w:val="nil"/>
            </w:tcBorders>
            <w:noWrap/>
            <w:vAlign w:val="center"/>
          </w:tcPr>
          <w:p w14:paraId="291A1A11">
            <w:pPr>
              <w:widowControl/>
              <w:spacing w:after="0" w:line="240" w:lineRule="auto"/>
              <w:ind w:firstLine="0" w:firstLineChars="0"/>
              <w:jc w:val="both"/>
              <w:rPr>
                <w:rFonts w:ascii="微软雅黑" w:hAnsi="微软雅黑" w:cs="微软雅黑"/>
                <w:color w:val="auto"/>
                <w:kern w:val="0"/>
                <w:szCs w:val="21"/>
                <w:highlight w:val="none"/>
              </w:rPr>
            </w:pPr>
          </w:p>
        </w:tc>
        <w:tc>
          <w:tcPr>
            <w:tcW w:w="1228" w:type="dxa"/>
            <w:tcBorders>
              <w:tl2br w:val="nil"/>
              <w:tr2bl w:val="nil"/>
            </w:tcBorders>
            <w:noWrap/>
            <w:vAlign w:val="center"/>
          </w:tcPr>
          <w:p w14:paraId="1F1C8B8B">
            <w:pPr>
              <w:widowControl/>
              <w:spacing w:after="0" w:line="240" w:lineRule="auto"/>
              <w:ind w:firstLine="0" w:firstLineChars="0"/>
              <w:jc w:val="both"/>
              <w:rPr>
                <w:rFonts w:ascii="微软雅黑" w:hAnsi="微软雅黑" w:cs="微软雅黑"/>
                <w:color w:val="auto"/>
                <w:kern w:val="0"/>
                <w:szCs w:val="21"/>
                <w:highlight w:val="none"/>
              </w:rPr>
            </w:pPr>
          </w:p>
        </w:tc>
        <w:tc>
          <w:tcPr>
            <w:tcW w:w="1486" w:type="dxa"/>
            <w:tcBorders>
              <w:tl2br w:val="nil"/>
              <w:tr2bl w:val="nil"/>
            </w:tcBorders>
            <w:noWrap/>
            <w:vAlign w:val="center"/>
          </w:tcPr>
          <w:p w14:paraId="4BAF92B5">
            <w:pPr>
              <w:widowControl/>
              <w:spacing w:after="0" w:line="240" w:lineRule="auto"/>
              <w:ind w:firstLine="0" w:firstLineChars="0"/>
              <w:jc w:val="both"/>
              <w:rPr>
                <w:rFonts w:ascii="微软雅黑" w:hAnsi="微软雅黑" w:cs="微软雅黑"/>
                <w:color w:val="auto"/>
                <w:kern w:val="0"/>
                <w:szCs w:val="21"/>
                <w:highlight w:val="none"/>
              </w:rPr>
            </w:pPr>
          </w:p>
        </w:tc>
        <w:tc>
          <w:tcPr>
            <w:tcW w:w="1227" w:type="dxa"/>
            <w:tcBorders>
              <w:tl2br w:val="nil"/>
              <w:tr2bl w:val="nil"/>
            </w:tcBorders>
            <w:noWrap/>
            <w:vAlign w:val="center"/>
          </w:tcPr>
          <w:p w14:paraId="28B037DA">
            <w:pPr>
              <w:widowControl/>
              <w:spacing w:after="0" w:line="240" w:lineRule="auto"/>
              <w:ind w:firstLine="0" w:firstLineChars="0"/>
              <w:jc w:val="both"/>
              <w:rPr>
                <w:rFonts w:ascii="微软雅黑" w:hAnsi="微软雅黑" w:cs="微软雅黑"/>
                <w:color w:val="auto"/>
                <w:kern w:val="0"/>
                <w:szCs w:val="21"/>
                <w:highlight w:val="none"/>
              </w:rPr>
            </w:pPr>
          </w:p>
        </w:tc>
        <w:tc>
          <w:tcPr>
            <w:tcW w:w="1773" w:type="dxa"/>
            <w:tcBorders>
              <w:tl2br w:val="nil"/>
              <w:tr2bl w:val="nil"/>
            </w:tcBorders>
            <w:shd w:val="clear" w:color="auto" w:fill="auto"/>
            <w:noWrap/>
            <w:vAlign w:val="center"/>
          </w:tcPr>
          <w:p w14:paraId="4A2C437C">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中型企业</w:t>
            </w:r>
          </w:p>
          <w:p w14:paraId="1C3FB682">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小型企业</w:t>
            </w:r>
          </w:p>
          <w:p w14:paraId="5E008C92">
            <w:pPr>
              <w:widowControl/>
              <w:spacing w:after="0" w:line="240" w:lineRule="auto"/>
              <w:ind w:firstLine="0" w:firstLineChars="0"/>
              <w:jc w:val="both"/>
              <w:rPr>
                <w:rFonts w:ascii="微软雅黑" w:hAnsi="微软雅黑" w:eastAsia="微软雅黑" w:cs="微软雅黑"/>
                <w:b/>
                <w:bCs/>
                <w:color w:val="auto"/>
                <w:kern w:val="2"/>
                <w:sz w:val="21"/>
                <w:szCs w:val="21"/>
                <w:highlight w:val="none"/>
                <w:lang w:val="en-US" w:eastAsia="zh-CN" w:bidi="ar-SA"/>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微型</w:t>
            </w:r>
          </w:p>
        </w:tc>
      </w:tr>
      <w:tr w14:paraId="1993C4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trPr>
        <w:tc>
          <w:tcPr>
            <w:tcW w:w="537" w:type="dxa"/>
            <w:tcBorders>
              <w:tl2br w:val="nil"/>
              <w:tr2bl w:val="nil"/>
            </w:tcBorders>
            <w:noWrap/>
            <w:vAlign w:val="center"/>
          </w:tcPr>
          <w:p w14:paraId="0EF83E8E">
            <w:pPr>
              <w:widowControl/>
              <w:spacing w:after="0" w:line="240" w:lineRule="auto"/>
              <w:ind w:firstLine="0" w:firstLineChars="0"/>
              <w:jc w:val="both"/>
              <w:rPr>
                <w:rFonts w:ascii="微软雅黑" w:hAnsi="微软雅黑"/>
                <w:color w:val="auto"/>
                <w:kern w:val="0"/>
                <w:szCs w:val="21"/>
                <w:highlight w:val="none"/>
              </w:rPr>
            </w:pPr>
            <w:r>
              <w:rPr>
                <w:rFonts w:ascii="微软雅黑" w:hAnsi="微软雅黑"/>
                <w:color w:val="auto"/>
                <w:kern w:val="0"/>
                <w:szCs w:val="21"/>
                <w:highlight w:val="none"/>
              </w:rPr>
              <w:t>24</w:t>
            </w:r>
          </w:p>
        </w:tc>
        <w:tc>
          <w:tcPr>
            <w:tcW w:w="1611" w:type="dxa"/>
            <w:tcBorders>
              <w:tl2br w:val="nil"/>
              <w:tr2bl w:val="nil"/>
            </w:tcBorders>
            <w:noWrap/>
            <w:vAlign w:val="center"/>
          </w:tcPr>
          <w:p w14:paraId="278C6EAA">
            <w:pPr>
              <w:spacing w:after="0" w:line="240" w:lineRule="auto"/>
              <w:ind w:firstLine="0" w:firstLineChars="0"/>
              <w:jc w:val="both"/>
              <w:rPr>
                <w:rFonts w:ascii="微软雅黑" w:hAnsi="微软雅黑" w:cs="微软雅黑"/>
                <w:color w:val="auto"/>
                <w:szCs w:val="21"/>
                <w:highlight w:val="none"/>
              </w:rPr>
            </w:pPr>
            <w:r>
              <w:rPr>
                <w:rFonts w:hint="eastAsia" w:ascii="微软雅黑" w:hAnsi="微软雅黑" w:cs="微软雅黑"/>
                <w:color w:val="auto"/>
                <w:highlight w:val="none"/>
              </w:rPr>
              <w:t>真空干燥箱</w:t>
            </w:r>
          </w:p>
        </w:tc>
        <w:tc>
          <w:tcPr>
            <w:tcW w:w="845" w:type="dxa"/>
            <w:tcBorders>
              <w:tl2br w:val="nil"/>
              <w:tr2bl w:val="nil"/>
            </w:tcBorders>
            <w:shd w:val="clear" w:color="auto" w:fill="auto"/>
            <w:noWrap/>
            <w:vAlign w:val="center"/>
          </w:tcPr>
          <w:p w14:paraId="6FADA3F7">
            <w:pPr>
              <w:spacing w:after="0" w:line="240" w:lineRule="auto"/>
              <w:ind w:firstLine="0" w:firstLineChars="0"/>
              <w:jc w:val="both"/>
              <w:rPr>
                <w:rFonts w:ascii="微软雅黑" w:hAnsi="微软雅黑" w:eastAsia="微软雅黑" w:cs="微软雅黑"/>
                <w:color w:val="auto"/>
                <w:kern w:val="2"/>
                <w:sz w:val="21"/>
                <w:szCs w:val="21"/>
                <w:highlight w:val="none"/>
                <w:lang w:val="en-US" w:eastAsia="zh-CN" w:bidi="ar-SA"/>
              </w:rPr>
            </w:pPr>
            <w:r>
              <w:rPr>
                <w:rFonts w:hint="eastAsia" w:ascii="微软雅黑" w:hAnsi="微软雅黑" w:cs="微软雅黑"/>
                <w:color w:val="auto"/>
                <w:szCs w:val="21"/>
                <w:highlight w:val="none"/>
                <w:lang w:val="en-US" w:eastAsia="zh-CN"/>
              </w:rPr>
              <w:t>工业</w:t>
            </w:r>
          </w:p>
        </w:tc>
        <w:tc>
          <w:tcPr>
            <w:tcW w:w="1459" w:type="dxa"/>
            <w:tcBorders>
              <w:tl2br w:val="nil"/>
              <w:tr2bl w:val="nil"/>
            </w:tcBorders>
            <w:noWrap/>
            <w:vAlign w:val="center"/>
          </w:tcPr>
          <w:p w14:paraId="6C7B38EF">
            <w:pPr>
              <w:widowControl/>
              <w:spacing w:after="0" w:line="240" w:lineRule="auto"/>
              <w:ind w:firstLine="0" w:firstLineChars="0"/>
              <w:jc w:val="both"/>
              <w:rPr>
                <w:rFonts w:ascii="微软雅黑" w:hAnsi="微软雅黑" w:cs="微软雅黑"/>
                <w:color w:val="auto"/>
                <w:kern w:val="0"/>
                <w:szCs w:val="21"/>
                <w:highlight w:val="none"/>
              </w:rPr>
            </w:pPr>
          </w:p>
        </w:tc>
        <w:tc>
          <w:tcPr>
            <w:tcW w:w="1228" w:type="dxa"/>
            <w:tcBorders>
              <w:tl2br w:val="nil"/>
              <w:tr2bl w:val="nil"/>
            </w:tcBorders>
            <w:noWrap/>
            <w:vAlign w:val="center"/>
          </w:tcPr>
          <w:p w14:paraId="7B93F6FF">
            <w:pPr>
              <w:widowControl/>
              <w:spacing w:after="0" w:line="240" w:lineRule="auto"/>
              <w:ind w:firstLine="0" w:firstLineChars="0"/>
              <w:jc w:val="both"/>
              <w:rPr>
                <w:rFonts w:ascii="微软雅黑" w:hAnsi="微软雅黑" w:cs="微软雅黑"/>
                <w:color w:val="auto"/>
                <w:kern w:val="0"/>
                <w:szCs w:val="21"/>
                <w:highlight w:val="none"/>
              </w:rPr>
            </w:pPr>
          </w:p>
        </w:tc>
        <w:tc>
          <w:tcPr>
            <w:tcW w:w="1486" w:type="dxa"/>
            <w:tcBorders>
              <w:tl2br w:val="nil"/>
              <w:tr2bl w:val="nil"/>
            </w:tcBorders>
            <w:noWrap/>
            <w:vAlign w:val="center"/>
          </w:tcPr>
          <w:p w14:paraId="15B0C96F">
            <w:pPr>
              <w:widowControl/>
              <w:spacing w:after="0" w:line="240" w:lineRule="auto"/>
              <w:ind w:firstLine="0" w:firstLineChars="0"/>
              <w:jc w:val="both"/>
              <w:rPr>
                <w:rFonts w:ascii="微软雅黑" w:hAnsi="微软雅黑" w:cs="微软雅黑"/>
                <w:color w:val="auto"/>
                <w:kern w:val="0"/>
                <w:szCs w:val="21"/>
                <w:highlight w:val="none"/>
              </w:rPr>
            </w:pPr>
          </w:p>
        </w:tc>
        <w:tc>
          <w:tcPr>
            <w:tcW w:w="1227" w:type="dxa"/>
            <w:tcBorders>
              <w:tl2br w:val="nil"/>
              <w:tr2bl w:val="nil"/>
            </w:tcBorders>
            <w:noWrap/>
            <w:vAlign w:val="center"/>
          </w:tcPr>
          <w:p w14:paraId="2D3F2527">
            <w:pPr>
              <w:widowControl/>
              <w:spacing w:after="0" w:line="240" w:lineRule="auto"/>
              <w:ind w:firstLine="0" w:firstLineChars="0"/>
              <w:jc w:val="both"/>
              <w:rPr>
                <w:rFonts w:ascii="微软雅黑" w:hAnsi="微软雅黑" w:cs="微软雅黑"/>
                <w:color w:val="auto"/>
                <w:kern w:val="0"/>
                <w:szCs w:val="21"/>
                <w:highlight w:val="none"/>
              </w:rPr>
            </w:pPr>
          </w:p>
        </w:tc>
        <w:tc>
          <w:tcPr>
            <w:tcW w:w="1773" w:type="dxa"/>
            <w:tcBorders>
              <w:tl2br w:val="nil"/>
              <w:tr2bl w:val="nil"/>
            </w:tcBorders>
            <w:shd w:val="clear" w:color="auto" w:fill="auto"/>
            <w:noWrap/>
            <w:vAlign w:val="center"/>
          </w:tcPr>
          <w:p w14:paraId="78B7BDF6">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中型企业</w:t>
            </w:r>
          </w:p>
          <w:p w14:paraId="48E30E07">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小型企业</w:t>
            </w:r>
          </w:p>
          <w:p w14:paraId="7F0EA338">
            <w:pPr>
              <w:widowControl/>
              <w:spacing w:after="0" w:line="240" w:lineRule="auto"/>
              <w:ind w:firstLine="0" w:firstLineChars="0"/>
              <w:jc w:val="both"/>
              <w:rPr>
                <w:rFonts w:ascii="微软雅黑" w:hAnsi="微软雅黑" w:eastAsia="微软雅黑" w:cs="微软雅黑"/>
                <w:b/>
                <w:bCs/>
                <w:color w:val="auto"/>
                <w:kern w:val="2"/>
                <w:sz w:val="21"/>
                <w:szCs w:val="21"/>
                <w:highlight w:val="none"/>
                <w:lang w:val="en-US" w:eastAsia="zh-CN" w:bidi="ar-SA"/>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微型</w:t>
            </w:r>
          </w:p>
        </w:tc>
      </w:tr>
      <w:tr w14:paraId="7DA5FE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trPr>
        <w:tc>
          <w:tcPr>
            <w:tcW w:w="537" w:type="dxa"/>
            <w:tcBorders>
              <w:tl2br w:val="nil"/>
              <w:tr2bl w:val="nil"/>
            </w:tcBorders>
            <w:noWrap/>
            <w:vAlign w:val="center"/>
          </w:tcPr>
          <w:p w14:paraId="389EC557">
            <w:pPr>
              <w:widowControl/>
              <w:spacing w:after="0" w:line="240" w:lineRule="auto"/>
              <w:ind w:firstLine="0" w:firstLineChars="0"/>
              <w:jc w:val="both"/>
              <w:rPr>
                <w:rFonts w:ascii="微软雅黑" w:hAnsi="微软雅黑"/>
                <w:color w:val="auto"/>
                <w:kern w:val="0"/>
                <w:szCs w:val="21"/>
                <w:highlight w:val="none"/>
              </w:rPr>
            </w:pPr>
            <w:r>
              <w:rPr>
                <w:rFonts w:ascii="微软雅黑" w:hAnsi="微软雅黑"/>
                <w:color w:val="auto"/>
                <w:kern w:val="0"/>
                <w:szCs w:val="21"/>
                <w:highlight w:val="none"/>
              </w:rPr>
              <w:t>25</w:t>
            </w:r>
          </w:p>
        </w:tc>
        <w:tc>
          <w:tcPr>
            <w:tcW w:w="1611" w:type="dxa"/>
            <w:tcBorders>
              <w:tl2br w:val="nil"/>
              <w:tr2bl w:val="nil"/>
            </w:tcBorders>
            <w:noWrap/>
            <w:vAlign w:val="center"/>
          </w:tcPr>
          <w:p w14:paraId="27455AB5">
            <w:pPr>
              <w:spacing w:after="0" w:line="240" w:lineRule="auto"/>
              <w:ind w:firstLine="0" w:firstLineChars="0"/>
              <w:jc w:val="both"/>
              <w:rPr>
                <w:rFonts w:ascii="微软雅黑" w:hAnsi="微软雅黑" w:cs="微软雅黑"/>
                <w:color w:val="auto"/>
                <w:szCs w:val="21"/>
                <w:highlight w:val="none"/>
              </w:rPr>
            </w:pPr>
            <w:r>
              <w:rPr>
                <w:rFonts w:hint="eastAsia" w:ascii="微软雅黑" w:hAnsi="微软雅黑" w:cs="微软雅黑"/>
                <w:color w:val="auto"/>
                <w:highlight w:val="none"/>
              </w:rPr>
              <w:t>不锈钢缓冲储气罐</w:t>
            </w:r>
          </w:p>
        </w:tc>
        <w:tc>
          <w:tcPr>
            <w:tcW w:w="845" w:type="dxa"/>
            <w:tcBorders>
              <w:tl2br w:val="nil"/>
              <w:tr2bl w:val="nil"/>
            </w:tcBorders>
            <w:shd w:val="clear" w:color="auto" w:fill="auto"/>
            <w:noWrap/>
            <w:vAlign w:val="center"/>
          </w:tcPr>
          <w:p w14:paraId="262B5867">
            <w:pPr>
              <w:spacing w:after="0" w:line="240" w:lineRule="auto"/>
              <w:ind w:firstLine="0" w:firstLineChars="0"/>
              <w:jc w:val="both"/>
              <w:rPr>
                <w:rFonts w:hint="default" w:ascii="微软雅黑" w:hAnsi="微软雅黑" w:eastAsia="微软雅黑" w:cs="微软雅黑"/>
                <w:color w:val="auto"/>
                <w:kern w:val="2"/>
                <w:sz w:val="21"/>
                <w:szCs w:val="21"/>
                <w:highlight w:val="none"/>
                <w:lang w:val="en-US" w:eastAsia="zh-CN" w:bidi="ar-SA"/>
              </w:rPr>
            </w:pPr>
            <w:r>
              <w:rPr>
                <w:rFonts w:hint="eastAsia" w:ascii="微软雅黑" w:hAnsi="微软雅黑" w:cs="微软雅黑"/>
                <w:color w:val="auto"/>
                <w:szCs w:val="21"/>
                <w:highlight w:val="none"/>
                <w:lang w:val="en-US" w:eastAsia="zh-CN"/>
              </w:rPr>
              <w:t>工业</w:t>
            </w:r>
          </w:p>
        </w:tc>
        <w:tc>
          <w:tcPr>
            <w:tcW w:w="1459" w:type="dxa"/>
            <w:tcBorders>
              <w:tl2br w:val="nil"/>
              <w:tr2bl w:val="nil"/>
            </w:tcBorders>
            <w:noWrap/>
            <w:vAlign w:val="center"/>
          </w:tcPr>
          <w:p w14:paraId="5961434B">
            <w:pPr>
              <w:widowControl/>
              <w:spacing w:after="0" w:line="240" w:lineRule="auto"/>
              <w:ind w:firstLine="0" w:firstLineChars="0"/>
              <w:jc w:val="both"/>
              <w:rPr>
                <w:rFonts w:ascii="微软雅黑" w:hAnsi="微软雅黑" w:cs="微软雅黑"/>
                <w:color w:val="auto"/>
                <w:kern w:val="0"/>
                <w:szCs w:val="21"/>
                <w:highlight w:val="none"/>
              </w:rPr>
            </w:pPr>
          </w:p>
        </w:tc>
        <w:tc>
          <w:tcPr>
            <w:tcW w:w="1228" w:type="dxa"/>
            <w:tcBorders>
              <w:tl2br w:val="nil"/>
              <w:tr2bl w:val="nil"/>
            </w:tcBorders>
            <w:noWrap/>
            <w:vAlign w:val="center"/>
          </w:tcPr>
          <w:p w14:paraId="7C201703">
            <w:pPr>
              <w:widowControl/>
              <w:spacing w:after="0" w:line="240" w:lineRule="auto"/>
              <w:ind w:firstLine="0" w:firstLineChars="0"/>
              <w:jc w:val="both"/>
              <w:rPr>
                <w:rFonts w:ascii="微软雅黑" w:hAnsi="微软雅黑" w:cs="微软雅黑"/>
                <w:color w:val="auto"/>
                <w:kern w:val="0"/>
                <w:szCs w:val="21"/>
                <w:highlight w:val="none"/>
              </w:rPr>
            </w:pPr>
          </w:p>
        </w:tc>
        <w:tc>
          <w:tcPr>
            <w:tcW w:w="1486" w:type="dxa"/>
            <w:tcBorders>
              <w:tl2br w:val="nil"/>
              <w:tr2bl w:val="nil"/>
            </w:tcBorders>
            <w:noWrap/>
            <w:vAlign w:val="center"/>
          </w:tcPr>
          <w:p w14:paraId="0C0C2A81">
            <w:pPr>
              <w:widowControl/>
              <w:spacing w:after="0" w:line="240" w:lineRule="auto"/>
              <w:ind w:firstLine="0" w:firstLineChars="0"/>
              <w:jc w:val="both"/>
              <w:rPr>
                <w:rFonts w:ascii="微软雅黑" w:hAnsi="微软雅黑" w:cs="微软雅黑"/>
                <w:color w:val="auto"/>
                <w:kern w:val="0"/>
                <w:szCs w:val="21"/>
                <w:highlight w:val="none"/>
              </w:rPr>
            </w:pPr>
          </w:p>
        </w:tc>
        <w:tc>
          <w:tcPr>
            <w:tcW w:w="1227" w:type="dxa"/>
            <w:tcBorders>
              <w:tl2br w:val="nil"/>
              <w:tr2bl w:val="nil"/>
            </w:tcBorders>
            <w:noWrap/>
            <w:vAlign w:val="center"/>
          </w:tcPr>
          <w:p w14:paraId="25EC2181">
            <w:pPr>
              <w:widowControl/>
              <w:spacing w:after="0" w:line="240" w:lineRule="auto"/>
              <w:ind w:firstLine="0" w:firstLineChars="0"/>
              <w:jc w:val="both"/>
              <w:rPr>
                <w:rFonts w:ascii="微软雅黑" w:hAnsi="微软雅黑" w:cs="微软雅黑"/>
                <w:color w:val="auto"/>
                <w:kern w:val="0"/>
                <w:szCs w:val="21"/>
                <w:highlight w:val="none"/>
              </w:rPr>
            </w:pPr>
          </w:p>
        </w:tc>
        <w:tc>
          <w:tcPr>
            <w:tcW w:w="1773" w:type="dxa"/>
            <w:tcBorders>
              <w:tl2br w:val="nil"/>
              <w:tr2bl w:val="nil"/>
            </w:tcBorders>
            <w:shd w:val="clear" w:color="auto" w:fill="auto"/>
            <w:noWrap/>
            <w:vAlign w:val="center"/>
          </w:tcPr>
          <w:p w14:paraId="2C8D6909">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中型企业</w:t>
            </w:r>
          </w:p>
          <w:p w14:paraId="2B0759E5">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小型企业</w:t>
            </w:r>
          </w:p>
          <w:p w14:paraId="1D2FE173">
            <w:pPr>
              <w:widowControl/>
              <w:spacing w:after="0" w:line="240" w:lineRule="auto"/>
              <w:ind w:firstLine="0" w:firstLineChars="0"/>
              <w:jc w:val="both"/>
              <w:rPr>
                <w:rFonts w:ascii="微软雅黑" w:hAnsi="微软雅黑" w:eastAsia="微软雅黑" w:cs="微软雅黑"/>
                <w:b/>
                <w:bCs/>
                <w:color w:val="auto"/>
                <w:kern w:val="2"/>
                <w:sz w:val="21"/>
                <w:szCs w:val="21"/>
                <w:highlight w:val="none"/>
                <w:lang w:val="en-US" w:eastAsia="zh-CN" w:bidi="ar-SA"/>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微型</w:t>
            </w:r>
          </w:p>
        </w:tc>
      </w:tr>
      <w:tr w14:paraId="4BDA8C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trPr>
        <w:tc>
          <w:tcPr>
            <w:tcW w:w="537" w:type="dxa"/>
            <w:tcBorders>
              <w:tl2br w:val="nil"/>
              <w:tr2bl w:val="nil"/>
            </w:tcBorders>
            <w:noWrap/>
            <w:vAlign w:val="center"/>
          </w:tcPr>
          <w:p w14:paraId="0C20B09D">
            <w:pPr>
              <w:widowControl/>
              <w:spacing w:after="0" w:line="240" w:lineRule="auto"/>
              <w:ind w:firstLine="0" w:firstLineChars="0"/>
              <w:jc w:val="both"/>
              <w:rPr>
                <w:rFonts w:ascii="微软雅黑" w:hAnsi="微软雅黑"/>
                <w:color w:val="auto"/>
                <w:kern w:val="0"/>
                <w:szCs w:val="21"/>
                <w:highlight w:val="none"/>
              </w:rPr>
            </w:pPr>
            <w:r>
              <w:rPr>
                <w:rFonts w:ascii="微软雅黑" w:hAnsi="微软雅黑"/>
                <w:color w:val="auto"/>
                <w:kern w:val="0"/>
                <w:szCs w:val="21"/>
                <w:highlight w:val="none"/>
              </w:rPr>
              <w:t>26</w:t>
            </w:r>
          </w:p>
        </w:tc>
        <w:tc>
          <w:tcPr>
            <w:tcW w:w="1611" w:type="dxa"/>
            <w:tcBorders>
              <w:tl2br w:val="nil"/>
              <w:tr2bl w:val="nil"/>
            </w:tcBorders>
            <w:noWrap/>
            <w:vAlign w:val="center"/>
          </w:tcPr>
          <w:p w14:paraId="014C24D0">
            <w:pPr>
              <w:spacing w:after="0" w:line="240" w:lineRule="auto"/>
              <w:ind w:firstLine="0" w:firstLineChars="0"/>
              <w:jc w:val="both"/>
              <w:rPr>
                <w:rFonts w:ascii="微软雅黑" w:hAnsi="微软雅黑" w:cs="微软雅黑"/>
                <w:color w:val="auto"/>
                <w:szCs w:val="21"/>
                <w:highlight w:val="none"/>
              </w:rPr>
            </w:pPr>
            <w:r>
              <w:rPr>
                <w:rFonts w:hint="eastAsia" w:ascii="微软雅黑" w:hAnsi="微软雅黑" w:cs="微软雅黑"/>
                <w:color w:val="auto"/>
                <w:highlight w:val="none"/>
              </w:rPr>
              <w:t>旋片式真空泵</w:t>
            </w:r>
          </w:p>
        </w:tc>
        <w:tc>
          <w:tcPr>
            <w:tcW w:w="845" w:type="dxa"/>
            <w:tcBorders>
              <w:tl2br w:val="nil"/>
              <w:tr2bl w:val="nil"/>
            </w:tcBorders>
            <w:shd w:val="clear" w:color="auto" w:fill="auto"/>
            <w:noWrap/>
            <w:vAlign w:val="center"/>
          </w:tcPr>
          <w:p w14:paraId="72D11866">
            <w:pPr>
              <w:spacing w:after="0" w:line="240" w:lineRule="auto"/>
              <w:ind w:firstLine="0" w:firstLineChars="0"/>
              <w:jc w:val="both"/>
              <w:rPr>
                <w:rFonts w:ascii="微软雅黑" w:hAnsi="微软雅黑" w:eastAsia="微软雅黑" w:cs="微软雅黑"/>
                <w:color w:val="auto"/>
                <w:kern w:val="2"/>
                <w:sz w:val="21"/>
                <w:szCs w:val="21"/>
                <w:highlight w:val="none"/>
                <w:lang w:val="en-US" w:eastAsia="zh-CN" w:bidi="ar-SA"/>
              </w:rPr>
            </w:pPr>
            <w:r>
              <w:rPr>
                <w:rFonts w:hint="eastAsia" w:ascii="微软雅黑" w:hAnsi="微软雅黑" w:cs="微软雅黑"/>
                <w:color w:val="auto"/>
                <w:szCs w:val="21"/>
                <w:highlight w:val="none"/>
                <w:lang w:val="en-US" w:eastAsia="zh-CN"/>
              </w:rPr>
              <w:t>工业</w:t>
            </w:r>
          </w:p>
        </w:tc>
        <w:tc>
          <w:tcPr>
            <w:tcW w:w="1459" w:type="dxa"/>
            <w:tcBorders>
              <w:tl2br w:val="nil"/>
              <w:tr2bl w:val="nil"/>
            </w:tcBorders>
            <w:noWrap/>
            <w:vAlign w:val="center"/>
          </w:tcPr>
          <w:p w14:paraId="173B48CD">
            <w:pPr>
              <w:widowControl/>
              <w:spacing w:after="0" w:line="240" w:lineRule="auto"/>
              <w:ind w:firstLine="0" w:firstLineChars="0"/>
              <w:jc w:val="both"/>
              <w:rPr>
                <w:rFonts w:ascii="微软雅黑" w:hAnsi="微软雅黑" w:cs="微软雅黑"/>
                <w:color w:val="auto"/>
                <w:kern w:val="0"/>
                <w:szCs w:val="21"/>
                <w:highlight w:val="none"/>
              </w:rPr>
            </w:pPr>
          </w:p>
        </w:tc>
        <w:tc>
          <w:tcPr>
            <w:tcW w:w="1228" w:type="dxa"/>
            <w:tcBorders>
              <w:tl2br w:val="nil"/>
              <w:tr2bl w:val="nil"/>
            </w:tcBorders>
            <w:noWrap/>
            <w:vAlign w:val="center"/>
          </w:tcPr>
          <w:p w14:paraId="21136035">
            <w:pPr>
              <w:widowControl/>
              <w:spacing w:after="0" w:line="240" w:lineRule="auto"/>
              <w:ind w:firstLine="0" w:firstLineChars="0"/>
              <w:jc w:val="both"/>
              <w:rPr>
                <w:rFonts w:ascii="微软雅黑" w:hAnsi="微软雅黑" w:cs="微软雅黑"/>
                <w:color w:val="auto"/>
                <w:kern w:val="0"/>
                <w:szCs w:val="21"/>
                <w:highlight w:val="none"/>
              </w:rPr>
            </w:pPr>
          </w:p>
        </w:tc>
        <w:tc>
          <w:tcPr>
            <w:tcW w:w="1486" w:type="dxa"/>
            <w:tcBorders>
              <w:tl2br w:val="nil"/>
              <w:tr2bl w:val="nil"/>
            </w:tcBorders>
            <w:noWrap/>
            <w:vAlign w:val="center"/>
          </w:tcPr>
          <w:p w14:paraId="35C51989">
            <w:pPr>
              <w:widowControl/>
              <w:spacing w:after="0" w:line="240" w:lineRule="auto"/>
              <w:ind w:firstLine="0" w:firstLineChars="0"/>
              <w:jc w:val="both"/>
              <w:rPr>
                <w:rFonts w:ascii="微软雅黑" w:hAnsi="微软雅黑" w:cs="微软雅黑"/>
                <w:color w:val="auto"/>
                <w:kern w:val="0"/>
                <w:szCs w:val="21"/>
                <w:highlight w:val="none"/>
              </w:rPr>
            </w:pPr>
          </w:p>
        </w:tc>
        <w:tc>
          <w:tcPr>
            <w:tcW w:w="1227" w:type="dxa"/>
            <w:tcBorders>
              <w:tl2br w:val="nil"/>
              <w:tr2bl w:val="nil"/>
            </w:tcBorders>
            <w:noWrap/>
            <w:vAlign w:val="center"/>
          </w:tcPr>
          <w:p w14:paraId="447FC7B5">
            <w:pPr>
              <w:widowControl/>
              <w:spacing w:after="0" w:line="240" w:lineRule="auto"/>
              <w:ind w:firstLine="0" w:firstLineChars="0"/>
              <w:jc w:val="both"/>
              <w:rPr>
                <w:rFonts w:ascii="微软雅黑" w:hAnsi="微软雅黑" w:cs="微软雅黑"/>
                <w:color w:val="auto"/>
                <w:kern w:val="0"/>
                <w:szCs w:val="21"/>
                <w:highlight w:val="none"/>
              </w:rPr>
            </w:pPr>
          </w:p>
        </w:tc>
        <w:tc>
          <w:tcPr>
            <w:tcW w:w="1773" w:type="dxa"/>
            <w:tcBorders>
              <w:tl2br w:val="nil"/>
              <w:tr2bl w:val="nil"/>
            </w:tcBorders>
            <w:shd w:val="clear" w:color="auto" w:fill="auto"/>
            <w:noWrap/>
            <w:vAlign w:val="center"/>
          </w:tcPr>
          <w:p w14:paraId="693819A1">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中型企业</w:t>
            </w:r>
          </w:p>
          <w:p w14:paraId="512EC0FF">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小型企业</w:t>
            </w:r>
          </w:p>
          <w:p w14:paraId="55DAEA2C">
            <w:pPr>
              <w:widowControl/>
              <w:spacing w:after="0" w:line="240" w:lineRule="auto"/>
              <w:ind w:firstLine="0" w:firstLineChars="0"/>
              <w:jc w:val="both"/>
              <w:rPr>
                <w:rFonts w:ascii="微软雅黑" w:hAnsi="微软雅黑" w:eastAsia="微软雅黑" w:cs="微软雅黑"/>
                <w:b/>
                <w:bCs/>
                <w:color w:val="auto"/>
                <w:kern w:val="2"/>
                <w:sz w:val="21"/>
                <w:szCs w:val="21"/>
                <w:highlight w:val="none"/>
                <w:lang w:val="en-US" w:eastAsia="zh-CN" w:bidi="ar-SA"/>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微型</w:t>
            </w:r>
          </w:p>
        </w:tc>
      </w:tr>
      <w:tr w14:paraId="3537B9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trPr>
        <w:tc>
          <w:tcPr>
            <w:tcW w:w="537" w:type="dxa"/>
            <w:tcBorders>
              <w:tl2br w:val="nil"/>
              <w:tr2bl w:val="nil"/>
            </w:tcBorders>
            <w:noWrap/>
            <w:vAlign w:val="center"/>
          </w:tcPr>
          <w:p w14:paraId="7945C487">
            <w:pPr>
              <w:widowControl/>
              <w:spacing w:after="0" w:line="240" w:lineRule="auto"/>
              <w:ind w:firstLine="0" w:firstLineChars="0"/>
              <w:jc w:val="both"/>
              <w:rPr>
                <w:rFonts w:ascii="微软雅黑" w:hAnsi="微软雅黑"/>
                <w:color w:val="auto"/>
                <w:kern w:val="0"/>
                <w:szCs w:val="21"/>
                <w:highlight w:val="none"/>
              </w:rPr>
            </w:pPr>
            <w:r>
              <w:rPr>
                <w:rFonts w:ascii="微软雅黑" w:hAnsi="微软雅黑"/>
                <w:color w:val="auto"/>
                <w:kern w:val="0"/>
                <w:szCs w:val="21"/>
                <w:highlight w:val="none"/>
              </w:rPr>
              <w:t>27</w:t>
            </w:r>
          </w:p>
        </w:tc>
        <w:tc>
          <w:tcPr>
            <w:tcW w:w="1611" w:type="dxa"/>
            <w:tcBorders>
              <w:tl2br w:val="nil"/>
              <w:tr2bl w:val="nil"/>
            </w:tcBorders>
            <w:noWrap/>
            <w:vAlign w:val="center"/>
          </w:tcPr>
          <w:p w14:paraId="49BA1449">
            <w:pPr>
              <w:spacing w:after="0" w:line="240" w:lineRule="auto"/>
              <w:ind w:firstLine="0" w:firstLineChars="0"/>
              <w:jc w:val="both"/>
              <w:rPr>
                <w:rFonts w:ascii="微软雅黑" w:hAnsi="微软雅黑" w:cs="微软雅黑"/>
                <w:color w:val="auto"/>
                <w:szCs w:val="21"/>
                <w:highlight w:val="none"/>
              </w:rPr>
            </w:pPr>
            <w:r>
              <w:rPr>
                <w:rFonts w:hint="eastAsia" w:ascii="微软雅黑" w:hAnsi="微软雅黑" w:cs="微软雅黑"/>
                <w:color w:val="auto"/>
                <w:highlight w:val="none"/>
              </w:rPr>
              <w:t>自动旋光仪</w:t>
            </w:r>
          </w:p>
        </w:tc>
        <w:tc>
          <w:tcPr>
            <w:tcW w:w="845" w:type="dxa"/>
            <w:tcBorders>
              <w:tl2br w:val="nil"/>
              <w:tr2bl w:val="nil"/>
            </w:tcBorders>
            <w:shd w:val="clear" w:color="auto" w:fill="auto"/>
            <w:noWrap/>
            <w:vAlign w:val="center"/>
          </w:tcPr>
          <w:p w14:paraId="34132F6C">
            <w:pPr>
              <w:spacing w:after="0" w:line="240" w:lineRule="auto"/>
              <w:ind w:firstLine="0" w:firstLineChars="0"/>
              <w:jc w:val="both"/>
              <w:rPr>
                <w:rFonts w:hint="default" w:ascii="微软雅黑" w:hAnsi="微软雅黑" w:eastAsia="微软雅黑" w:cs="微软雅黑"/>
                <w:color w:val="auto"/>
                <w:kern w:val="2"/>
                <w:sz w:val="21"/>
                <w:szCs w:val="21"/>
                <w:highlight w:val="none"/>
                <w:lang w:val="en-US" w:eastAsia="zh-CN" w:bidi="ar-SA"/>
              </w:rPr>
            </w:pPr>
            <w:r>
              <w:rPr>
                <w:rFonts w:hint="eastAsia" w:ascii="微软雅黑" w:hAnsi="微软雅黑" w:cs="微软雅黑"/>
                <w:color w:val="auto"/>
                <w:szCs w:val="21"/>
                <w:highlight w:val="none"/>
                <w:lang w:val="en-US" w:eastAsia="zh-CN"/>
              </w:rPr>
              <w:t>工业</w:t>
            </w:r>
          </w:p>
        </w:tc>
        <w:tc>
          <w:tcPr>
            <w:tcW w:w="1459" w:type="dxa"/>
            <w:tcBorders>
              <w:tl2br w:val="nil"/>
              <w:tr2bl w:val="nil"/>
            </w:tcBorders>
            <w:noWrap/>
            <w:vAlign w:val="center"/>
          </w:tcPr>
          <w:p w14:paraId="1E0443D9">
            <w:pPr>
              <w:widowControl/>
              <w:spacing w:after="0" w:line="240" w:lineRule="auto"/>
              <w:ind w:firstLine="0" w:firstLineChars="0"/>
              <w:jc w:val="both"/>
              <w:rPr>
                <w:rFonts w:ascii="微软雅黑" w:hAnsi="微软雅黑" w:cs="微软雅黑"/>
                <w:color w:val="auto"/>
                <w:kern w:val="0"/>
                <w:szCs w:val="21"/>
                <w:highlight w:val="none"/>
              </w:rPr>
            </w:pPr>
          </w:p>
        </w:tc>
        <w:tc>
          <w:tcPr>
            <w:tcW w:w="1228" w:type="dxa"/>
            <w:tcBorders>
              <w:tl2br w:val="nil"/>
              <w:tr2bl w:val="nil"/>
            </w:tcBorders>
            <w:noWrap/>
            <w:vAlign w:val="center"/>
          </w:tcPr>
          <w:p w14:paraId="75DF87CE">
            <w:pPr>
              <w:widowControl/>
              <w:spacing w:after="0" w:line="240" w:lineRule="auto"/>
              <w:ind w:firstLine="0" w:firstLineChars="0"/>
              <w:jc w:val="both"/>
              <w:rPr>
                <w:rFonts w:ascii="微软雅黑" w:hAnsi="微软雅黑" w:cs="微软雅黑"/>
                <w:color w:val="auto"/>
                <w:kern w:val="0"/>
                <w:szCs w:val="21"/>
                <w:highlight w:val="none"/>
              </w:rPr>
            </w:pPr>
          </w:p>
        </w:tc>
        <w:tc>
          <w:tcPr>
            <w:tcW w:w="1486" w:type="dxa"/>
            <w:tcBorders>
              <w:tl2br w:val="nil"/>
              <w:tr2bl w:val="nil"/>
            </w:tcBorders>
            <w:noWrap/>
            <w:vAlign w:val="center"/>
          </w:tcPr>
          <w:p w14:paraId="7898A091">
            <w:pPr>
              <w:widowControl/>
              <w:spacing w:after="0" w:line="240" w:lineRule="auto"/>
              <w:ind w:firstLine="0" w:firstLineChars="0"/>
              <w:jc w:val="both"/>
              <w:rPr>
                <w:rFonts w:ascii="微软雅黑" w:hAnsi="微软雅黑" w:cs="微软雅黑"/>
                <w:color w:val="auto"/>
                <w:kern w:val="0"/>
                <w:szCs w:val="21"/>
                <w:highlight w:val="none"/>
              </w:rPr>
            </w:pPr>
          </w:p>
        </w:tc>
        <w:tc>
          <w:tcPr>
            <w:tcW w:w="1227" w:type="dxa"/>
            <w:tcBorders>
              <w:tl2br w:val="nil"/>
              <w:tr2bl w:val="nil"/>
            </w:tcBorders>
            <w:noWrap/>
            <w:vAlign w:val="center"/>
          </w:tcPr>
          <w:p w14:paraId="78D588F9">
            <w:pPr>
              <w:widowControl/>
              <w:spacing w:after="0" w:line="240" w:lineRule="auto"/>
              <w:ind w:firstLine="0" w:firstLineChars="0"/>
              <w:jc w:val="both"/>
              <w:rPr>
                <w:rFonts w:ascii="微软雅黑" w:hAnsi="微软雅黑" w:cs="微软雅黑"/>
                <w:color w:val="auto"/>
                <w:kern w:val="0"/>
                <w:szCs w:val="21"/>
                <w:highlight w:val="none"/>
              </w:rPr>
            </w:pPr>
          </w:p>
        </w:tc>
        <w:tc>
          <w:tcPr>
            <w:tcW w:w="1773" w:type="dxa"/>
            <w:tcBorders>
              <w:tl2br w:val="nil"/>
              <w:tr2bl w:val="nil"/>
            </w:tcBorders>
            <w:shd w:val="clear" w:color="auto" w:fill="auto"/>
            <w:noWrap/>
            <w:vAlign w:val="center"/>
          </w:tcPr>
          <w:p w14:paraId="234C0EC3">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中型企业</w:t>
            </w:r>
          </w:p>
          <w:p w14:paraId="3F4AF94D">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小型企业</w:t>
            </w:r>
          </w:p>
          <w:p w14:paraId="206D50F1">
            <w:pPr>
              <w:widowControl/>
              <w:spacing w:after="0" w:line="240" w:lineRule="auto"/>
              <w:ind w:firstLine="0" w:firstLineChars="0"/>
              <w:jc w:val="both"/>
              <w:rPr>
                <w:rFonts w:ascii="微软雅黑" w:hAnsi="微软雅黑" w:eastAsia="微软雅黑" w:cs="微软雅黑"/>
                <w:b/>
                <w:bCs/>
                <w:color w:val="auto"/>
                <w:kern w:val="2"/>
                <w:sz w:val="21"/>
                <w:szCs w:val="21"/>
                <w:highlight w:val="none"/>
                <w:lang w:val="en-US" w:eastAsia="zh-CN" w:bidi="ar-SA"/>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微型</w:t>
            </w:r>
          </w:p>
        </w:tc>
      </w:tr>
      <w:tr w14:paraId="1246E0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trPr>
        <w:tc>
          <w:tcPr>
            <w:tcW w:w="537" w:type="dxa"/>
            <w:tcBorders>
              <w:tl2br w:val="nil"/>
              <w:tr2bl w:val="nil"/>
            </w:tcBorders>
            <w:noWrap/>
            <w:vAlign w:val="center"/>
          </w:tcPr>
          <w:p w14:paraId="55D59FB2">
            <w:pPr>
              <w:widowControl/>
              <w:spacing w:after="0" w:line="240" w:lineRule="auto"/>
              <w:ind w:firstLine="0" w:firstLineChars="0"/>
              <w:jc w:val="both"/>
              <w:rPr>
                <w:rFonts w:ascii="微软雅黑" w:hAnsi="微软雅黑"/>
                <w:color w:val="auto"/>
                <w:kern w:val="0"/>
                <w:szCs w:val="21"/>
                <w:highlight w:val="none"/>
              </w:rPr>
            </w:pPr>
            <w:r>
              <w:rPr>
                <w:rFonts w:ascii="微软雅黑" w:hAnsi="微软雅黑"/>
                <w:color w:val="auto"/>
                <w:kern w:val="0"/>
                <w:szCs w:val="21"/>
                <w:highlight w:val="none"/>
              </w:rPr>
              <w:t>28</w:t>
            </w:r>
          </w:p>
        </w:tc>
        <w:tc>
          <w:tcPr>
            <w:tcW w:w="1611" w:type="dxa"/>
            <w:tcBorders>
              <w:tl2br w:val="nil"/>
              <w:tr2bl w:val="nil"/>
            </w:tcBorders>
            <w:noWrap/>
            <w:vAlign w:val="center"/>
          </w:tcPr>
          <w:p w14:paraId="1DF497BE">
            <w:pPr>
              <w:spacing w:after="0" w:line="240" w:lineRule="auto"/>
              <w:ind w:firstLine="0" w:firstLineChars="0"/>
              <w:jc w:val="both"/>
              <w:rPr>
                <w:rFonts w:ascii="微软雅黑" w:hAnsi="微软雅黑" w:cs="微软雅黑"/>
                <w:color w:val="auto"/>
                <w:szCs w:val="21"/>
                <w:highlight w:val="none"/>
              </w:rPr>
            </w:pPr>
            <w:r>
              <w:rPr>
                <w:rFonts w:hint="eastAsia" w:ascii="微软雅黑" w:hAnsi="微软雅黑" w:cs="微软雅黑"/>
                <w:color w:val="auto"/>
                <w:highlight w:val="none"/>
              </w:rPr>
              <w:t>充氧器</w:t>
            </w:r>
          </w:p>
        </w:tc>
        <w:tc>
          <w:tcPr>
            <w:tcW w:w="845" w:type="dxa"/>
            <w:tcBorders>
              <w:tl2br w:val="nil"/>
              <w:tr2bl w:val="nil"/>
            </w:tcBorders>
            <w:shd w:val="clear" w:color="auto" w:fill="auto"/>
            <w:noWrap/>
            <w:vAlign w:val="center"/>
          </w:tcPr>
          <w:p w14:paraId="385BA4F8">
            <w:pPr>
              <w:spacing w:after="0" w:line="240" w:lineRule="auto"/>
              <w:ind w:firstLine="0" w:firstLineChars="0"/>
              <w:jc w:val="both"/>
              <w:rPr>
                <w:rFonts w:ascii="微软雅黑" w:hAnsi="微软雅黑" w:eastAsia="微软雅黑" w:cs="微软雅黑"/>
                <w:color w:val="auto"/>
                <w:kern w:val="2"/>
                <w:sz w:val="21"/>
                <w:szCs w:val="21"/>
                <w:highlight w:val="none"/>
                <w:lang w:val="en-US" w:eastAsia="zh-CN" w:bidi="ar-SA"/>
              </w:rPr>
            </w:pPr>
            <w:r>
              <w:rPr>
                <w:rFonts w:hint="eastAsia" w:ascii="微软雅黑" w:hAnsi="微软雅黑" w:cs="微软雅黑"/>
                <w:color w:val="auto"/>
                <w:szCs w:val="21"/>
                <w:highlight w:val="none"/>
                <w:lang w:val="en-US" w:eastAsia="zh-CN"/>
              </w:rPr>
              <w:t>工业</w:t>
            </w:r>
          </w:p>
        </w:tc>
        <w:tc>
          <w:tcPr>
            <w:tcW w:w="1459" w:type="dxa"/>
            <w:tcBorders>
              <w:tl2br w:val="nil"/>
              <w:tr2bl w:val="nil"/>
            </w:tcBorders>
            <w:noWrap/>
            <w:vAlign w:val="center"/>
          </w:tcPr>
          <w:p w14:paraId="225365A0">
            <w:pPr>
              <w:widowControl/>
              <w:spacing w:after="0" w:line="240" w:lineRule="auto"/>
              <w:ind w:firstLine="0" w:firstLineChars="0"/>
              <w:jc w:val="both"/>
              <w:rPr>
                <w:rFonts w:ascii="微软雅黑" w:hAnsi="微软雅黑" w:cs="微软雅黑"/>
                <w:color w:val="auto"/>
                <w:kern w:val="0"/>
                <w:szCs w:val="21"/>
                <w:highlight w:val="none"/>
              </w:rPr>
            </w:pPr>
          </w:p>
        </w:tc>
        <w:tc>
          <w:tcPr>
            <w:tcW w:w="1228" w:type="dxa"/>
            <w:tcBorders>
              <w:tl2br w:val="nil"/>
              <w:tr2bl w:val="nil"/>
            </w:tcBorders>
            <w:noWrap/>
            <w:vAlign w:val="center"/>
          </w:tcPr>
          <w:p w14:paraId="05B93A3B">
            <w:pPr>
              <w:widowControl/>
              <w:spacing w:after="0" w:line="240" w:lineRule="auto"/>
              <w:ind w:firstLine="0" w:firstLineChars="0"/>
              <w:jc w:val="both"/>
              <w:rPr>
                <w:rFonts w:ascii="微软雅黑" w:hAnsi="微软雅黑" w:cs="微软雅黑"/>
                <w:color w:val="auto"/>
                <w:kern w:val="0"/>
                <w:szCs w:val="21"/>
                <w:highlight w:val="none"/>
              </w:rPr>
            </w:pPr>
          </w:p>
        </w:tc>
        <w:tc>
          <w:tcPr>
            <w:tcW w:w="1486" w:type="dxa"/>
            <w:tcBorders>
              <w:tl2br w:val="nil"/>
              <w:tr2bl w:val="nil"/>
            </w:tcBorders>
            <w:noWrap/>
            <w:vAlign w:val="center"/>
          </w:tcPr>
          <w:p w14:paraId="1B9AF1C0">
            <w:pPr>
              <w:widowControl/>
              <w:spacing w:after="0" w:line="240" w:lineRule="auto"/>
              <w:ind w:firstLine="0" w:firstLineChars="0"/>
              <w:jc w:val="both"/>
              <w:rPr>
                <w:rFonts w:ascii="微软雅黑" w:hAnsi="微软雅黑" w:cs="微软雅黑"/>
                <w:color w:val="auto"/>
                <w:kern w:val="0"/>
                <w:szCs w:val="21"/>
                <w:highlight w:val="none"/>
              </w:rPr>
            </w:pPr>
          </w:p>
        </w:tc>
        <w:tc>
          <w:tcPr>
            <w:tcW w:w="1227" w:type="dxa"/>
            <w:tcBorders>
              <w:tl2br w:val="nil"/>
              <w:tr2bl w:val="nil"/>
            </w:tcBorders>
            <w:noWrap/>
            <w:vAlign w:val="center"/>
          </w:tcPr>
          <w:p w14:paraId="66893E7F">
            <w:pPr>
              <w:widowControl/>
              <w:spacing w:after="0" w:line="240" w:lineRule="auto"/>
              <w:ind w:firstLine="0" w:firstLineChars="0"/>
              <w:jc w:val="both"/>
              <w:rPr>
                <w:rFonts w:ascii="微软雅黑" w:hAnsi="微软雅黑" w:cs="微软雅黑"/>
                <w:color w:val="auto"/>
                <w:kern w:val="0"/>
                <w:szCs w:val="21"/>
                <w:highlight w:val="none"/>
              </w:rPr>
            </w:pPr>
          </w:p>
        </w:tc>
        <w:tc>
          <w:tcPr>
            <w:tcW w:w="1773" w:type="dxa"/>
            <w:tcBorders>
              <w:tl2br w:val="nil"/>
              <w:tr2bl w:val="nil"/>
            </w:tcBorders>
            <w:shd w:val="clear" w:color="auto" w:fill="auto"/>
            <w:noWrap/>
            <w:vAlign w:val="center"/>
          </w:tcPr>
          <w:p w14:paraId="0C1A2B02">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中型企业</w:t>
            </w:r>
          </w:p>
          <w:p w14:paraId="3CE7579E">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小型企业</w:t>
            </w:r>
          </w:p>
          <w:p w14:paraId="219CF8AB">
            <w:pPr>
              <w:widowControl/>
              <w:spacing w:after="0" w:line="240" w:lineRule="auto"/>
              <w:ind w:firstLine="0" w:firstLineChars="0"/>
              <w:jc w:val="both"/>
              <w:rPr>
                <w:rFonts w:ascii="微软雅黑" w:hAnsi="微软雅黑" w:eastAsia="微软雅黑" w:cs="微软雅黑"/>
                <w:b/>
                <w:bCs/>
                <w:color w:val="auto"/>
                <w:kern w:val="2"/>
                <w:sz w:val="21"/>
                <w:szCs w:val="21"/>
                <w:highlight w:val="none"/>
                <w:lang w:val="en-US" w:eastAsia="zh-CN" w:bidi="ar-SA"/>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微型</w:t>
            </w:r>
          </w:p>
        </w:tc>
      </w:tr>
      <w:tr w14:paraId="3E05A9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trPr>
        <w:tc>
          <w:tcPr>
            <w:tcW w:w="537" w:type="dxa"/>
            <w:tcBorders>
              <w:tl2br w:val="nil"/>
              <w:tr2bl w:val="nil"/>
            </w:tcBorders>
            <w:noWrap/>
            <w:vAlign w:val="center"/>
          </w:tcPr>
          <w:p w14:paraId="366683ED">
            <w:pPr>
              <w:widowControl/>
              <w:spacing w:after="0" w:line="240" w:lineRule="auto"/>
              <w:ind w:firstLine="0" w:firstLineChars="0"/>
              <w:jc w:val="both"/>
              <w:rPr>
                <w:rFonts w:ascii="微软雅黑" w:hAnsi="微软雅黑"/>
                <w:color w:val="auto"/>
                <w:kern w:val="0"/>
                <w:szCs w:val="21"/>
                <w:highlight w:val="none"/>
              </w:rPr>
            </w:pPr>
            <w:r>
              <w:rPr>
                <w:rFonts w:ascii="微软雅黑" w:hAnsi="微软雅黑"/>
                <w:color w:val="auto"/>
                <w:kern w:val="0"/>
                <w:szCs w:val="21"/>
                <w:highlight w:val="none"/>
              </w:rPr>
              <w:t>29</w:t>
            </w:r>
          </w:p>
        </w:tc>
        <w:tc>
          <w:tcPr>
            <w:tcW w:w="1611" w:type="dxa"/>
            <w:tcBorders>
              <w:tl2br w:val="nil"/>
              <w:tr2bl w:val="nil"/>
            </w:tcBorders>
            <w:noWrap/>
            <w:vAlign w:val="center"/>
          </w:tcPr>
          <w:p w14:paraId="7D591BE4">
            <w:pPr>
              <w:spacing w:after="0" w:line="240" w:lineRule="auto"/>
              <w:ind w:firstLine="0" w:firstLineChars="0"/>
              <w:jc w:val="both"/>
              <w:rPr>
                <w:rFonts w:ascii="微软雅黑" w:hAnsi="微软雅黑" w:cs="微软雅黑"/>
                <w:color w:val="auto"/>
                <w:szCs w:val="21"/>
                <w:highlight w:val="none"/>
              </w:rPr>
            </w:pPr>
            <w:r>
              <w:rPr>
                <w:rFonts w:hint="eastAsia" w:ascii="微软雅黑" w:hAnsi="微软雅黑" w:cs="微软雅黑"/>
                <w:color w:val="auto"/>
                <w:highlight w:val="none"/>
              </w:rPr>
              <w:t>压片机(螺旋式)</w:t>
            </w:r>
          </w:p>
        </w:tc>
        <w:tc>
          <w:tcPr>
            <w:tcW w:w="845" w:type="dxa"/>
            <w:tcBorders>
              <w:tl2br w:val="nil"/>
              <w:tr2bl w:val="nil"/>
            </w:tcBorders>
            <w:shd w:val="clear" w:color="auto" w:fill="auto"/>
            <w:noWrap/>
            <w:vAlign w:val="center"/>
          </w:tcPr>
          <w:p w14:paraId="29753B81">
            <w:pPr>
              <w:spacing w:after="0" w:line="240" w:lineRule="auto"/>
              <w:ind w:firstLine="0" w:firstLineChars="0"/>
              <w:jc w:val="both"/>
              <w:rPr>
                <w:rFonts w:hint="default" w:ascii="微软雅黑" w:hAnsi="微软雅黑" w:eastAsia="微软雅黑" w:cs="微软雅黑"/>
                <w:color w:val="auto"/>
                <w:kern w:val="2"/>
                <w:sz w:val="21"/>
                <w:szCs w:val="21"/>
                <w:highlight w:val="none"/>
                <w:lang w:val="en-US" w:eastAsia="zh-CN" w:bidi="ar-SA"/>
              </w:rPr>
            </w:pPr>
            <w:r>
              <w:rPr>
                <w:rFonts w:hint="eastAsia" w:ascii="微软雅黑" w:hAnsi="微软雅黑" w:cs="微软雅黑"/>
                <w:color w:val="auto"/>
                <w:szCs w:val="21"/>
                <w:highlight w:val="none"/>
                <w:lang w:val="en-US" w:eastAsia="zh-CN"/>
              </w:rPr>
              <w:t>工业</w:t>
            </w:r>
          </w:p>
        </w:tc>
        <w:tc>
          <w:tcPr>
            <w:tcW w:w="1459" w:type="dxa"/>
            <w:tcBorders>
              <w:tl2br w:val="nil"/>
              <w:tr2bl w:val="nil"/>
            </w:tcBorders>
            <w:noWrap/>
            <w:vAlign w:val="center"/>
          </w:tcPr>
          <w:p w14:paraId="587BC7AA">
            <w:pPr>
              <w:widowControl/>
              <w:spacing w:after="0" w:line="240" w:lineRule="auto"/>
              <w:ind w:firstLine="0" w:firstLineChars="0"/>
              <w:jc w:val="both"/>
              <w:rPr>
                <w:rFonts w:ascii="微软雅黑" w:hAnsi="微软雅黑" w:cs="微软雅黑"/>
                <w:color w:val="auto"/>
                <w:kern w:val="0"/>
                <w:szCs w:val="21"/>
                <w:highlight w:val="none"/>
              </w:rPr>
            </w:pPr>
          </w:p>
        </w:tc>
        <w:tc>
          <w:tcPr>
            <w:tcW w:w="1228" w:type="dxa"/>
            <w:tcBorders>
              <w:tl2br w:val="nil"/>
              <w:tr2bl w:val="nil"/>
            </w:tcBorders>
            <w:noWrap/>
            <w:vAlign w:val="center"/>
          </w:tcPr>
          <w:p w14:paraId="5CAC615D">
            <w:pPr>
              <w:widowControl/>
              <w:spacing w:after="0" w:line="240" w:lineRule="auto"/>
              <w:ind w:firstLine="0" w:firstLineChars="0"/>
              <w:jc w:val="both"/>
              <w:rPr>
                <w:rFonts w:ascii="微软雅黑" w:hAnsi="微软雅黑" w:cs="微软雅黑"/>
                <w:color w:val="auto"/>
                <w:kern w:val="0"/>
                <w:szCs w:val="21"/>
                <w:highlight w:val="none"/>
              </w:rPr>
            </w:pPr>
          </w:p>
        </w:tc>
        <w:tc>
          <w:tcPr>
            <w:tcW w:w="1486" w:type="dxa"/>
            <w:tcBorders>
              <w:tl2br w:val="nil"/>
              <w:tr2bl w:val="nil"/>
            </w:tcBorders>
            <w:noWrap/>
            <w:vAlign w:val="center"/>
          </w:tcPr>
          <w:p w14:paraId="0FA5930A">
            <w:pPr>
              <w:widowControl/>
              <w:spacing w:after="0" w:line="240" w:lineRule="auto"/>
              <w:ind w:firstLine="0" w:firstLineChars="0"/>
              <w:jc w:val="both"/>
              <w:rPr>
                <w:rFonts w:ascii="微软雅黑" w:hAnsi="微软雅黑" w:cs="微软雅黑"/>
                <w:color w:val="auto"/>
                <w:kern w:val="0"/>
                <w:szCs w:val="21"/>
                <w:highlight w:val="none"/>
              </w:rPr>
            </w:pPr>
          </w:p>
        </w:tc>
        <w:tc>
          <w:tcPr>
            <w:tcW w:w="1227" w:type="dxa"/>
            <w:tcBorders>
              <w:tl2br w:val="nil"/>
              <w:tr2bl w:val="nil"/>
            </w:tcBorders>
            <w:noWrap/>
            <w:vAlign w:val="center"/>
          </w:tcPr>
          <w:p w14:paraId="2AA954EB">
            <w:pPr>
              <w:widowControl/>
              <w:spacing w:after="0" w:line="240" w:lineRule="auto"/>
              <w:ind w:firstLine="0" w:firstLineChars="0"/>
              <w:jc w:val="both"/>
              <w:rPr>
                <w:rFonts w:ascii="微软雅黑" w:hAnsi="微软雅黑" w:cs="微软雅黑"/>
                <w:color w:val="auto"/>
                <w:kern w:val="0"/>
                <w:szCs w:val="21"/>
                <w:highlight w:val="none"/>
              </w:rPr>
            </w:pPr>
          </w:p>
        </w:tc>
        <w:tc>
          <w:tcPr>
            <w:tcW w:w="1773" w:type="dxa"/>
            <w:tcBorders>
              <w:tl2br w:val="nil"/>
              <w:tr2bl w:val="nil"/>
            </w:tcBorders>
            <w:shd w:val="clear" w:color="auto" w:fill="auto"/>
            <w:noWrap/>
            <w:vAlign w:val="center"/>
          </w:tcPr>
          <w:p w14:paraId="08B67805">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中型企业</w:t>
            </w:r>
          </w:p>
          <w:p w14:paraId="33936465">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小型企业</w:t>
            </w:r>
          </w:p>
          <w:p w14:paraId="4B5D939C">
            <w:pPr>
              <w:widowControl/>
              <w:spacing w:after="0" w:line="240" w:lineRule="auto"/>
              <w:ind w:firstLine="0" w:firstLineChars="0"/>
              <w:jc w:val="both"/>
              <w:rPr>
                <w:rFonts w:ascii="微软雅黑" w:hAnsi="微软雅黑" w:eastAsia="微软雅黑" w:cs="微软雅黑"/>
                <w:b/>
                <w:bCs/>
                <w:color w:val="auto"/>
                <w:kern w:val="2"/>
                <w:sz w:val="21"/>
                <w:szCs w:val="21"/>
                <w:highlight w:val="none"/>
                <w:lang w:val="en-US" w:eastAsia="zh-CN" w:bidi="ar-SA"/>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微型</w:t>
            </w:r>
          </w:p>
        </w:tc>
      </w:tr>
      <w:tr w14:paraId="4328B0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trPr>
        <w:tc>
          <w:tcPr>
            <w:tcW w:w="537" w:type="dxa"/>
            <w:tcBorders>
              <w:tl2br w:val="nil"/>
              <w:tr2bl w:val="nil"/>
            </w:tcBorders>
            <w:noWrap/>
            <w:vAlign w:val="center"/>
          </w:tcPr>
          <w:p w14:paraId="0490EE35">
            <w:pPr>
              <w:widowControl/>
              <w:spacing w:after="0" w:line="240" w:lineRule="auto"/>
              <w:ind w:firstLine="0" w:firstLineChars="0"/>
              <w:jc w:val="both"/>
              <w:rPr>
                <w:rFonts w:ascii="微软雅黑" w:hAnsi="微软雅黑"/>
                <w:color w:val="auto"/>
                <w:kern w:val="0"/>
                <w:szCs w:val="21"/>
                <w:highlight w:val="none"/>
              </w:rPr>
            </w:pPr>
            <w:r>
              <w:rPr>
                <w:rFonts w:ascii="微软雅黑" w:hAnsi="微软雅黑"/>
                <w:color w:val="auto"/>
                <w:kern w:val="0"/>
                <w:szCs w:val="21"/>
                <w:highlight w:val="none"/>
              </w:rPr>
              <w:t>30</w:t>
            </w:r>
          </w:p>
        </w:tc>
        <w:tc>
          <w:tcPr>
            <w:tcW w:w="1611" w:type="dxa"/>
            <w:tcBorders>
              <w:tl2br w:val="nil"/>
              <w:tr2bl w:val="nil"/>
            </w:tcBorders>
            <w:noWrap/>
            <w:vAlign w:val="center"/>
          </w:tcPr>
          <w:p w14:paraId="1ED6CC0B">
            <w:pPr>
              <w:spacing w:after="0" w:line="240" w:lineRule="auto"/>
              <w:ind w:firstLine="0" w:firstLineChars="0"/>
              <w:jc w:val="both"/>
              <w:rPr>
                <w:rFonts w:ascii="微软雅黑" w:hAnsi="微软雅黑" w:cs="微软雅黑"/>
                <w:color w:val="auto"/>
                <w:szCs w:val="21"/>
                <w:highlight w:val="none"/>
              </w:rPr>
            </w:pPr>
            <w:r>
              <w:rPr>
                <w:rFonts w:hint="eastAsia" w:ascii="微软雅黑" w:hAnsi="微软雅黑" w:cs="微软雅黑"/>
                <w:color w:val="auto"/>
                <w:highlight w:val="none"/>
              </w:rPr>
              <w:t>旋转蒸发仪</w:t>
            </w:r>
          </w:p>
        </w:tc>
        <w:tc>
          <w:tcPr>
            <w:tcW w:w="845" w:type="dxa"/>
            <w:tcBorders>
              <w:tl2br w:val="nil"/>
              <w:tr2bl w:val="nil"/>
            </w:tcBorders>
            <w:shd w:val="clear" w:color="auto" w:fill="auto"/>
            <w:noWrap/>
            <w:vAlign w:val="center"/>
          </w:tcPr>
          <w:p w14:paraId="2F262EA9">
            <w:pPr>
              <w:spacing w:after="0" w:line="240" w:lineRule="auto"/>
              <w:ind w:firstLine="0" w:firstLineChars="0"/>
              <w:jc w:val="both"/>
              <w:rPr>
                <w:rFonts w:ascii="微软雅黑" w:hAnsi="微软雅黑" w:eastAsia="微软雅黑" w:cs="微软雅黑"/>
                <w:color w:val="auto"/>
                <w:kern w:val="2"/>
                <w:sz w:val="21"/>
                <w:szCs w:val="21"/>
                <w:highlight w:val="none"/>
                <w:lang w:val="en-US" w:eastAsia="zh-CN" w:bidi="ar-SA"/>
              </w:rPr>
            </w:pPr>
            <w:r>
              <w:rPr>
                <w:rFonts w:hint="eastAsia" w:ascii="微软雅黑" w:hAnsi="微软雅黑" w:cs="微软雅黑"/>
                <w:color w:val="auto"/>
                <w:szCs w:val="21"/>
                <w:highlight w:val="none"/>
                <w:lang w:val="en-US" w:eastAsia="zh-CN"/>
              </w:rPr>
              <w:t>工业</w:t>
            </w:r>
          </w:p>
        </w:tc>
        <w:tc>
          <w:tcPr>
            <w:tcW w:w="1459" w:type="dxa"/>
            <w:tcBorders>
              <w:tl2br w:val="nil"/>
              <w:tr2bl w:val="nil"/>
            </w:tcBorders>
            <w:noWrap/>
            <w:vAlign w:val="center"/>
          </w:tcPr>
          <w:p w14:paraId="1B5A0605">
            <w:pPr>
              <w:widowControl/>
              <w:spacing w:after="0" w:line="240" w:lineRule="auto"/>
              <w:ind w:firstLine="0" w:firstLineChars="0"/>
              <w:jc w:val="both"/>
              <w:rPr>
                <w:rFonts w:ascii="微软雅黑" w:hAnsi="微软雅黑" w:cs="微软雅黑"/>
                <w:color w:val="auto"/>
                <w:kern w:val="0"/>
                <w:szCs w:val="21"/>
                <w:highlight w:val="none"/>
              </w:rPr>
            </w:pPr>
          </w:p>
        </w:tc>
        <w:tc>
          <w:tcPr>
            <w:tcW w:w="1228" w:type="dxa"/>
            <w:tcBorders>
              <w:tl2br w:val="nil"/>
              <w:tr2bl w:val="nil"/>
            </w:tcBorders>
            <w:noWrap/>
            <w:vAlign w:val="center"/>
          </w:tcPr>
          <w:p w14:paraId="1F33D1DA">
            <w:pPr>
              <w:widowControl/>
              <w:spacing w:after="0" w:line="240" w:lineRule="auto"/>
              <w:ind w:firstLine="0" w:firstLineChars="0"/>
              <w:jc w:val="both"/>
              <w:rPr>
                <w:rFonts w:ascii="微软雅黑" w:hAnsi="微软雅黑" w:cs="微软雅黑"/>
                <w:color w:val="auto"/>
                <w:kern w:val="0"/>
                <w:szCs w:val="21"/>
                <w:highlight w:val="none"/>
              </w:rPr>
            </w:pPr>
          </w:p>
        </w:tc>
        <w:tc>
          <w:tcPr>
            <w:tcW w:w="1486" w:type="dxa"/>
            <w:tcBorders>
              <w:tl2br w:val="nil"/>
              <w:tr2bl w:val="nil"/>
            </w:tcBorders>
            <w:noWrap/>
            <w:vAlign w:val="center"/>
          </w:tcPr>
          <w:p w14:paraId="510DBF0B">
            <w:pPr>
              <w:widowControl/>
              <w:spacing w:after="0" w:line="240" w:lineRule="auto"/>
              <w:ind w:firstLine="0" w:firstLineChars="0"/>
              <w:jc w:val="both"/>
              <w:rPr>
                <w:rFonts w:ascii="微软雅黑" w:hAnsi="微软雅黑" w:cs="微软雅黑"/>
                <w:color w:val="auto"/>
                <w:kern w:val="0"/>
                <w:szCs w:val="21"/>
                <w:highlight w:val="none"/>
              </w:rPr>
            </w:pPr>
          </w:p>
        </w:tc>
        <w:tc>
          <w:tcPr>
            <w:tcW w:w="1227" w:type="dxa"/>
            <w:tcBorders>
              <w:tl2br w:val="nil"/>
              <w:tr2bl w:val="nil"/>
            </w:tcBorders>
            <w:noWrap/>
            <w:vAlign w:val="center"/>
          </w:tcPr>
          <w:p w14:paraId="38E30750">
            <w:pPr>
              <w:widowControl/>
              <w:spacing w:after="0" w:line="240" w:lineRule="auto"/>
              <w:ind w:firstLine="0" w:firstLineChars="0"/>
              <w:jc w:val="both"/>
              <w:rPr>
                <w:rFonts w:ascii="微软雅黑" w:hAnsi="微软雅黑" w:cs="微软雅黑"/>
                <w:color w:val="auto"/>
                <w:kern w:val="0"/>
                <w:szCs w:val="21"/>
                <w:highlight w:val="none"/>
              </w:rPr>
            </w:pPr>
          </w:p>
        </w:tc>
        <w:tc>
          <w:tcPr>
            <w:tcW w:w="1773" w:type="dxa"/>
            <w:tcBorders>
              <w:tl2br w:val="nil"/>
              <w:tr2bl w:val="nil"/>
            </w:tcBorders>
            <w:shd w:val="clear" w:color="auto" w:fill="auto"/>
            <w:noWrap/>
            <w:vAlign w:val="center"/>
          </w:tcPr>
          <w:p w14:paraId="6A8AD926">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中型企业</w:t>
            </w:r>
          </w:p>
          <w:p w14:paraId="780576FC">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小型企业</w:t>
            </w:r>
          </w:p>
          <w:p w14:paraId="7CD5188B">
            <w:pPr>
              <w:widowControl/>
              <w:spacing w:after="0" w:line="240" w:lineRule="auto"/>
              <w:ind w:firstLine="0" w:firstLineChars="0"/>
              <w:jc w:val="both"/>
              <w:rPr>
                <w:rFonts w:ascii="微软雅黑" w:hAnsi="微软雅黑" w:eastAsia="微软雅黑" w:cs="微软雅黑"/>
                <w:b/>
                <w:bCs/>
                <w:color w:val="auto"/>
                <w:kern w:val="2"/>
                <w:sz w:val="21"/>
                <w:szCs w:val="21"/>
                <w:highlight w:val="none"/>
                <w:lang w:val="en-US" w:eastAsia="zh-CN" w:bidi="ar-SA"/>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微型</w:t>
            </w:r>
          </w:p>
        </w:tc>
      </w:tr>
      <w:tr w14:paraId="0AFC33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trPr>
        <w:tc>
          <w:tcPr>
            <w:tcW w:w="537" w:type="dxa"/>
            <w:tcBorders>
              <w:tl2br w:val="nil"/>
              <w:tr2bl w:val="nil"/>
            </w:tcBorders>
            <w:noWrap/>
            <w:vAlign w:val="center"/>
          </w:tcPr>
          <w:p w14:paraId="7D1774D3">
            <w:pPr>
              <w:widowControl/>
              <w:spacing w:after="0" w:line="240" w:lineRule="auto"/>
              <w:ind w:firstLine="0" w:firstLineChars="0"/>
              <w:jc w:val="both"/>
              <w:rPr>
                <w:rFonts w:ascii="微软雅黑" w:hAnsi="微软雅黑"/>
                <w:color w:val="auto"/>
                <w:kern w:val="0"/>
                <w:szCs w:val="21"/>
                <w:highlight w:val="none"/>
              </w:rPr>
            </w:pPr>
            <w:r>
              <w:rPr>
                <w:rFonts w:ascii="微软雅黑" w:hAnsi="微软雅黑"/>
                <w:color w:val="auto"/>
                <w:kern w:val="0"/>
                <w:szCs w:val="21"/>
                <w:highlight w:val="none"/>
              </w:rPr>
              <w:t>31</w:t>
            </w:r>
          </w:p>
        </w:tc>
        <w:tc>
          <w:tcPr>
            <w:tcW w:w="1611" w:type="dxa"/>
            <w:tcBorders>
              <w:tl2br w:val="nil"/>
              <w:tr2bl w:val="nil"/>
            </w:tcBorders>
            <w:noWrap/>
            <w:vAlign w:val="center"/>
          </w:tcPr>
          <w:p w14:paraId="58B67B93">
            <w:pPr>
              <w:spacing w:after="0" w:line="240" w:lineRule="auto"/>
              <w:ind w:firstLine="0" w:firstLineChars="0"/>
              <w:jc w:val="both"/>
              <w:rPr>
                <w:rFonts w:ascii="微软雅黑" w:hAnsi="微软雅黑" w:cs="微软雅黑"/>
                <w:color w:val="auto"/>
                <w:szCs w:val="21"/>
                <w:highlight w:val="none"/>
              </w:rPr>
            </w:pPr>
            <w:r>
              <w:rPr>
                <w:rFonts w:hint="eastAsia" w:ascii="微软雅黑" w:hAnsi="微软雅黑" w:cs="微软雅黑"/>
                <w:color w:val="auto"/>
                <w:highlight w:val="none"/>
              </w:rPr>
              <w:t>低温冷却液循环泵</w:t>
            </w:r>
          </w:p>
        </w:tc>
        <w:tc>
          <w:tcPr>
            <w:tcW w:w="845" w:type="dxa"/>
            <w:tcBorders>
              <w:tl2br w:val="nil"/>
              <w:tr2bl w:val="nil"/>
            </w:tcBorders>
            <w:shd w:val="clear" w:color="auto" w:fill="auto"/>
            <w:noWrap/>
            <w:vAlign w:val="center"/>
          </w:tcPr>
          <w:p w14:paraId="3B9DE3D7">
            <w:pPr>
              <w:spacing w:after="0" w:line="240" w:lineRule="auto"/>
              <w:ind w:firstLine="0" w:firstLineChars="0"/>
              <w:jc w:val="both"/>
              <w:rPr>
                <w:rFonts w:hint="default" w:ascii="微软雅黑" w:hAnsi="微软雅黑" w:eastAsia="微软雅黑" w:cs="微软雅黑"/>
                <w:color w:val="auto"/>
                <w:kern w:val="2"/>
                <w:sz w:val="21"/>
                <w:szCs w:val="21"/>
                <w:highlight w:val="none"/>
                <w:lang w:val="en-US" w:eastAsia="zh-CN" w:bidi="ar-SA"/>
              </w:rPr>
            </w:pPr>
            <w:r>
              <w:rPr>
                <w:rFonts w:hint="eastAsia" w:ascii="微软雅黑" w:hAnsi="微软雅黑" w:cs="微软雅黑"/>
                <w:color w:val="auto"/>
                <w:szCs w:val="21"/>
                <w:highlight w:val="none"/>
                <w:lang w:val="en-US" w:eastAsia="zh-CN"/>
              </w:rPr>
              <w:t>工业</w:t>
            </w:r>
          </w:p>
        </w:tc>
        <w:tc>
          <w:tcPr>
            <w:tcW w:w="1459" w:type="dxa"/>
            <w:tcBorders>
              <w:tl2br w:val="nil"/>
              <w:tr2bl w:val="nil"/>
            </w:tcBorders>
            <w:noWrap/>
            <w:vAlign w:val="center"/>
          </w:tcPr>
          <w:p w14:paraId="451C1CE2">
            <w:pPr>
              <w:widowControl/>
              <w:spacing w:after="0" w:line="240" w:lineRule="auto"/>
              <w:ind w:firstLine="0" w:firstLineChars="0"/>
              <w:jc w:val="both"/>
              <w:rPr>
                <w:rFonts w:ascii="微软雅黑" w:hAnsi="微软雅黑" w:cs="微软雅黑"/>
                <w:color w:val="auto"/>
                <w:kern w:val="0"/>
                <w:szCs w:val="21"/>
                <w:highlight w:val="none"/>
              </w:rPr>
            </w:pPr>
          </w:p>
        </w:tc>
        <w:tc>
          <w:tcPr>
            <w:tcW w:w="1228" w:type="dxa"/>
            <w:tcBorders>
              <w:tl2br w:val="nil"/>
              <w:tr2bl w:val="nil"/>
            </w:tcBorders>
            <w:noWrap/>
            <w:vAlign w:val="center"/>
          </w:tcPr>
          <w:p w14:paraId="5C658CEB">
            <w:pPr>
              <w:widowControl/>
              <w:spacing w:after="0" w:line="240" w:lineRule="auto"/>
              <w:ind w:firstLine="0" w:firstLineChars="0"/>
              <w:jc w:val="both"/>
              <w:rPr>
                <w:rFonts w:ascii="微软雅黑" w:hAnsi="微软雅黑" w:cs="微软雅黑"/>
                <w:color w:val="auto"/>
                <w:kern w:val="0"/>
                <w:szCs w:val="21"/>
                <w:highlight w:val="none"/>
              </w:rPr>
            </w:pPr>
          </w:p>
        </w:tc>
        <w:tc>
          <w:tcPr>
            <w:tcW w:w="1486" w:type="dxa"/>
            <w:tcBorders>
              <w:tl2br w:val="nil"/>
              <w:tr2bl w:val="nil"/>
            </w:tcBorders>
            <w:noWrap/>
            <w:vAlign w:val="center"/>
          </w:tcPr>
          <w:p w14:paraId="617661C0">
            <w:pPr>
              <w:widowControl/>
              <w:spacing w:after="0" w:line="240" w:lineRule="auto"/>
              <w:ind w:firstLine="0" w:firstLineChars="0"/>
              <w:jc w:val="both"/>
              <w:rPr>
                <w:rFonts w:ascii="微软雅黑" w:hAnsi="微软雅黑" w:cs="微软雅黑"/>
                <w:color w:val="auto"/>
                <w:kern w:val="0"/>
                <w:szCs w:val="21"/>
                <w:highlight w:val="none"/>
              </w:rPr>
            </w:pPr>
          </w:p>
        </w:tc>
        <w:tc>
          <w:tcPr>
            <w:tcW w:w="1227" w:type="dxa"/>
            <w:tcBorders>
              <w:tl2br w:val="nil"/>
              <w:tr2bl w:val="nil"/>
            </w:tcBorders>
            <w:noWrap/>
            <w:vAlign w:val="center"/>
          </w:tcPr>
          <w:p w14:paraId="0187C513">
            <w:pPr>
              <w:widowControl/>
              <w:spacing w:after="0" w:line="240" w:lineRule="auto"/>
              <w:ind w:firstLine="0" w:firstLineChars="0"/>
              <w:jc w:val="both"/>
              <w:rPr>
                <w:rFonts w:ascii="微软雅黑" w:hAnsi="微软雅黑" w:cs="微软雅黑"/>
                <w:color w:val="auto"/>
                <w:kern w:val="0"/>
                <w:szCs w:val="21"/>
                <w:highlight w:val="none"/>
              </w:rPr>
            </w:pPr>
          </w:p>
        </w:tc>
        <w:tc>
          <w:tcPr>
            <w:tcW w:w="1773" w:type="dxa"/>
            <w:tcBorders>
              <w:tl2br w:val="nil"/>
              <w:tr2bl w:val="nil"/>
            </w:tcBorders>
            <w:shd w:val="clear" w:color="auto" w:fill="auto"/>
            <w:noWrap/>
            <w:vAlign w:val="center"/>
          </w:tcPr>
          <w:p w14:paraId="2CD2E3AD">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中型企业</w:t>
            </w:r>
          </w:p>
          <w:p w14:paraId="485D0623">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小型企业</w:t>
            </w:r>
          </w:p>
          <w:p w14:paraId="7575A8B0">
            <w:pPr>
              <w:widowControl/>
              <w:spacing w:after="0" w:line="240" w:lineRule="auto"/>
              <w:ind w:firstLine="0" w:firstLineChars="0"/>
              <w:jc w:val="both"/>
              <w:rPr>
                <w:rFonts w:ascii="微软雅黑" w:hAnsi="微软雅黑" w:eastAsia="微软雅黑" w:cs="微软雅黑"/>
                <w:b/>
                <w:bCs/>
                <w:color w:val="auto"/>
                <w:kern w:val="2"/>
                <w:sz w:val="21"/>
                <w:szCs w:val="21"/>
                <w:highlight w:val="none"/>
                <w:lang w:val="en-US" w:eastAsia="zh-CN" w:bidi="ar-SA"/>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微型</w:t>
            </w:r>
          </w:p>
        </w:tc>
      </w:tr>
      <w:tr w14:paraId="76BCBF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trPr>
        <w:tc>
          <w:tcPr>
            <w:tcW w:w="537" w:type="dxa"/>
            <w:tcBorders>
              <w:tl2br w:val="nil"/>
              <w:tr2bl w:val="nil"/>
            </w:tcBorders>
            <w:noWrap/>
            <w:vAlign w:val="center"/>
          </w:tcPr>
          <w:p w14:paraId="53BE9C88">
            <w:pPr>
              <w:widowControl/>
              <w:spacing w:after="0" w:line="240" w:lineRule="auto"/>
              <w:ind w:firstLine="0" w:firstLineChars="0"/>
              <w:jc w:val="both"/>
              <w:rPr>
                <w:rFonts w:ascii="微软雅黑" w:hAnsi="微软雅黑"/>
                <w:color w:val="auto"/>
                <w:kern w:val="0"/>
                <w:szCs w:val="21"/>
                <w:highlight w:val="none"/>
              </w:rPr>
            </w:pPr>
            <w:r>
              <w:rPr>
                <w:rFonts w:ascii="微软雅黑" w:hAnsi="微软雅黑"/>
                <w:color w:val="auto"/>
                <w:kern w:val="0"/>
                <w:szCs w:val="21"/>
                <w:highlight w:val="none"/>
              </w:rPr>
              <w:t>32</w:t>
            </w:r>
          </w:p>
        </w:tc>
        <w:tc>
          <w:tcPr>
            <w:tcW w:w="1611" w:type="dxa"/>
            <w:tcBorders>
              <w:tl2br w:val="nil"/>
              <w:tr2bl w:val="nil"/>
            </w:tcBorders>
            <w:noWrap/>
            <w:vAlign w:val="center"/>
          </w:tcPr>
          <w:p w14:paraId="6634360B">
            <w:pPr>
              <w:spacing w:after="0" w:line="240" w:lineRule="auto"/>
              <w:ind w:firstLine="0" w:firstLineChars="0"/>
              <w:jc w:val="both"/>
              <w:rPr>
                <w:rFonts w:ascii="微软雅黑" w:hAnsi="微软雅黑" w:cs="微软雅黑"/>
                <w:color w:val="auto"/>
                <w:szCs w:val="21"/>
                <w:highlight w:val="none"/>
              </w:rPr>
            </w:pPr>
            <w:r>
              <w:rPr>
                <w:rFonts w:hint="eastAsia" w:ascii="微软雅黑" w:hAnsi="微软雅黑" w:cs="微软雅黑"/>
                <w:color w:val="auto"/>
                <w:highlight w:val="none"/>
              </w:rPr>
              <w:t>磁力搅拌器</w:t>
            </w:r>
          </w:p>
        </w:tc>
        <w:tc>
          <w:tcPr>
            <w:tcW w:w="845" w:type="dxa"/>
            <w:tcBorders>
              <w:tl2br w:val="nil"/>
              <w:tr2bl w:val="nil"/>
            </w:tcBorders>
            <w:shd w:val="clear" w:color="auto" w:fill="auto"/>
            <w:noWrap/>
            <w:vAlign w:val="center"/>
          </w:tcPr>
          <w:p w14:paraId="09E6221C">
            <w:pPr>
              <w:spacing w:after="0" w:line="240" w:lineRule="auto"/>
              <w:ind w:firstLine="0" w:firstLineChars="0"/>
              <w:jc w:val="both"/>
              <w:rPr>
                <w:rFonts w:ascii="微软雅黑" w:hAnsi="微软雅黑" w:eastAsia="微软雅黑" w:cs="微软雅黑"/>
                <w:color w:val="auto"/>
                <w:kern w:val="2"/>
                <w:sz w:val="21"/>
                <w:szCs w:val="21"/>
                <w:highlight w:val="none"/>
                <w:lang w:val="en-US" w:eastAsia="zh-CN" w:bidi="ar-SA"/>
              </w:rPr>
            </w:pPr>
            <w:r>
              <w:rPr>
                <w:rFonts w:hint="eastAsia" w:ascii="微软雅黑" w:hAnsi="微软雅黑" w:cs="微软雅黑"/>
                <w:color w:val="auto"/>
                <w:szCs w:val="21"/>
                <w:highlight w:val="none"/>
                <w:lang w:val="en-US" w:eastAsia="zh-CN"/>
              </w:rPr>
              <w:t>工业</w:t>
            </w:r>
          </w:p>
        </w:tc>
        <w:tc>
          <w:tcPr>
            <w:tcW w:w="1459" w:type="dxa"/>
            <w:tcBorders>
              <w:tl2br w:val="nil"/>
              <w:tr2bl w:val="nil"/>
            </w:tcBorders>
            <w:noWrap/>
            <w:vAlign w:val="center"/>
          </w:tcPr>
          <w:p w14:paraId="7450AFD1">
            <w:pPr>
              <w:widowControl/>
              <w:spacing w:after="0" w:line="240" w:lineRule="auto"/>
              <w:ind w:firstLine="0" w:firstLineChars="0"/>
              <w:jc w:val="both"/>
              <w:rPr>
                <w:rFonts w:ascii="微软雅黑" w:hAnsi="微软雅黑" w:cs="微软雅黑"/>
                <w:color w:val="auto"/>
                <w:kern w:val="0"/>
                <w:szCs w:val="21"/>
                <w:highlight w:val="none"/>
              </w:rPr>
            </w:pPr>
          </w:p>
        </w:tc>
        <w:tc>
          <w:tcPr>
            <w:tcW w:w="1228" w:type="dxa"/>
            <w:tcBorders>
              <w:tl2br w:val="nil"/>
              <w:tr2bl w:val="nil"/>
            </w:tcBorders>
            <w:noWrap/>
            <w:vAlign w:val="center"/>
          </w:tcPr>
          <w:p w14:paraId="6DF2A544">
            <w:pPr>
              <w:widowControl/>
              <w:spacing w:after="0" w:line="240" w:lineRule="auto"/>
              <w:ind w:firstLine="0" w:firstLineChars="0"/>
              <w:jc w:val="both"/>
              <w:rPr>
                <w:rFonts w:ascii="微软雅黑" w:hAnsi="微软雅黑" w:cs="微软雅黑"/>
                <w:color w:val="auto"/>
                <w:kern w:val="0"/>
                <w:szCs w:val="21"/>
                <w:highlight w:val="none"/>
              </w:rPr>
            </w:pPr>
          </w:p>
        </w:tc>
        <w:tc>
          <w:tcPr>
            <w:tcW w:w="1486" w:type="dxa"/>
            <w:tcBorders>
              <w:tl2br w:val="nil"/>
              <w:tr2bl w:val="nil"/>
            </w:tcBorders>
            <w:noWrap/>
            <w:vAlign w:val="center"/>
          </w:tcPr>
          <w:p w14:paraId="21915CB5">
            <w:pPr>
              <w:widowControl/>
              <w:spacing w:after="0" w:line="240" w:lineRule="auto"/>
              <w:ind w:firstLine="0" w:firstLineChars="0"/>
              <w:jc w:val="both"/>
              <w:rPr>
                <w:rFonts w:ascii="微软雅黑" w:hAnsi="微软雅黑" w:cs="微软雅黑"/>
                <w:color w:val="auto"/>
                <w:kern w:val="0"/>
                <w:szCs w:val="21"/>
                <w:highlight w:val="none"/>
              </w:rPr>
            </w:pPr>
          </w:p>
        </w:tc>
        <w:tc>
          <w:tcPr>
            <w:tcW w:w="1227" w:type="dxa"/>
            <w:tcBorders>
              <w:tl2br w:val="nil"/>
              <w:tr2bl w:val="nil"/>
            </w:tcBorders>
            <w:noWrap/>
            <w:vAlign w:val="center"/>
          </w:tcPr>
          <w:p w14:paraId="41B2952B">
            <w:pPr>
              <w:widowControl/>
              <w:spacing w:after="0" w:line="240" w:lineRule="auto"/>
              <w:ind w:firstLine="0" w:firstLineChars="0"/>
              <w:jc w:val="both"/>
              <w:rPr>
                <w:rFonts w:ascii="微软雅黑" w:hAnsi="微软雅黑" w:cs="微软雅黑"/>
                <w:color w:val="auto"/>
                <w:kern w:val="0"/>
                <w:szCs w:val="21"/>
                <w:highlight w:val="none"/>
              </w:rPr>
            </w:pPr>
          </w:p>
        </w:tc>
        <w:tc>
          <w:tcPr>
            <w:tcW w:w="1773" w:type="dxa"/>
            <w:tcBorders>
              <w:tl2br w:val="nil"/>
              <w:tr2bl w:val="nil"/>
            </w:tcBorders>
            <w:shd w:val="clear" w:color="auto" w:fill="auto"/>
            <w:noWrap/>
            <w:vAlign w:val="center"/>
          </w:tcPr>
          <w:p w14:paraId="4B6D2712">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中型企业</w:t>
            </w:r>
          </w:p>
          <w:p w14:paraId="6893345C">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小型企业</w:t>
            </w:r>
          </w:p>
          <w:p w14:paraId="5BF88DA9">
            <w:pPr>
              <w:widowControl/>
              <w:spacing w:after="0" w:line="240" w:lineRule="auto"/>
              <w:ind w:firstLine="0" w:firstLineChars="0"/>
              <w:jc w:val="both"/>
              <w:rPr>
                <w:rFonts w:ascii="微软雅黑" w:hAnsi="微软雅黑" w:eastAsia="微软雅黑" w:cs="微软雅黑"/>
                <w:b/>
                <w:bCs/>
                <w:color w:val="auto"/>
                <w:kern w:val="2"/>
                <w:sz w:val="21"/>
                <w:szCs w:val="21"/>
                <w:highlight w:val="none"/>
                <w:lang w:val="en-US" w:eastAsia="zh-CN" w:bidi="ar-SA"/>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微型</w:t>
            </w:r>
          </w:p>
        </w:tc>
      </w:tr>
      <w:tr w14:paraId="0E7441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trPr>
        <w:tc>
          <w:tcPr>
            <w:tcW w:w="537" w:type="dxa"/>
            <w:tcBorders>
              <w:tl2br w:val="nil"/>
              <w:tr2bl w:val="nil"/>
            </w:tcBorders>
            <w:noWrap/>
            <w:vAlign w:val="center"/>
          </w:tcPr>
          <w:p w14:paraId="6DA491AD">
            <w:pPr>
              <w:widowControl/>
              <w:spacing w:after="0" w:line="240" w:lineRule="auto"/>
              <w:ind w:firstLine="0" w:firstLineChars="0"/>
              <w:jc w:val="both"/>
              <w:rPr>
                <w:rFonts w:ascii="微软雅黑" w:hAnsi="微软雅黑"/>
                <w:color w:val="auto"/>
                <w:kern w:val="0"/>
                <w:szCs w:val="21"/>
                <w:highlight w:val="none"/>
              </w:rPr>
            </w:pPr>
            <w:r>
              <w:rPr>
                <w:rFonts w:ascii="微软雅黑" w:hAnsi="微软雅黑"/>
                <w:color w:val="auto"/>
                <w:kern w:val="0"/>
                <w:szCs w:val="21"/>
                <w:highlight w:val="none"/>
              </w:rPr>
              <w:t>33</w:t>
            </w:r>
          </w:p>
        </w:tc>
        <w:tc>
          <w:tcPr>
            <w:tcW w:w="1611" w:type="dxa"/>
            <w:tcBorders>
              <w:tl2br w:val="nil"/>
              <w:tr2bl w:val="nil"/>
            </w:tcBorders>
            <w:noWrap/>
            <w:vAlign w:val="center"/>
          </w:tcPr>
          <w:p w14:paraId="36C91BB5">
            <w:pPr>
              <w:spacing w:after="0" w:line="240" w:lineRule="auto"/>
              <w:ind w:firstLine="0" w:firstLineChars="0"/>
              <w:jc w:val="both"/>
              <w:rPr>
                <w:rFonts w:ascii="微软雅黑" w:hAnsi="微软雅黑" w:cs="微软雅黑"/>
                <w:color w:val="auto"/>
                <w:szCs w:val="21"/>
                <w:highlight w:val="none"/>
              </w:rPr>
            </w:pPr>
            <w:r>
              <w:rPr>
                <w:rFonts w:hint="eastAsia" w:ascii="微软雅黑" w:hAnsi="微软雅黑" w:cs="微软雅黑"/>
                <w:color w:val="auto"/>
                <w:highlight w:val="none"/>
              </w:rPr>
              <w:t>三用紫外分析仪</w:t>
            </w:r>
          </w:p>
        </w:tc>
        <w:tc>
          <w:tcPr>
            <w:tcW w:w="845" w:type="dxa"/>
            <w:tcBorders>
              <w:tl2br w:val="nil"/>
              <w:tr2bl w:val="nil"/>
            </w:tcBorders>
            <w:shd w:val="clear" w:color="auto" w:fill="auto"/>
            <w:noWrap/>
            <w:vAlign w:val="center"/>
          </w:tcPr>
          <w:p w14:paraId="1681236B">
            <w:pPr>
              <w:spacing w:after="0" w:line="240" w:lineRule="auto"/>
              <w:ind w:firstLine="0" w:firstLineChars="0"/>
              <w:jc w:val="both"/>
              <w:rPr>
                <w:rFonts w:ascii="微软雅黑" w:hAnsi="微软雅黑" w:eastAsia="微软雅黑" w:cs="微软雅黑"/>
                <w:color w:val="auto"/>
                <w:kern w:val="2"/>
                <w:sz w:val="21"/>
                <w:szCs w:val="21"/>
                <w:highlight w:val="none"/>
                <w:lang w:val="en-US" w:eastAsia="zh-CN" w:bidi="ar-SA"/>
              </w:rPr>
            </w:pPr>
            <w:r>
              <w:rPr>
                <w:rFonts w:hint="eastAsia" w:ascii="微软雅黑" w:hAnsi="微软雅黑" w:cs="微软雅黑"/>
                <w:color w:val="auto"/>
                <w:szCs w:val="21"/>
                <w:highlight w:val="none"/>
                <w:lang w:val="en-US" w:eastAsia="zh-CN"/>
              </w:rPr>
              <w:t>工业</w:t>
            </w:r>
          </w:p>
        </w:tc>
        <w:tc>
          <w:tcPr>
            <w:tcW w:w="1459" w:type="dxa"/>
            <w:tcBorders>
              <w:tl2br w:val="nil"/>
              <w:tr2bl w:val="nil"/>
            </w:tcBorders>
            <w:noWrap/>
            <w:vAlign w:val="center"/>
          </w:tcPr>
          <w:p w14:paraId="08FCCBAF">
            <w:pPr>
              <w:widowControl/>
              <w:spacing w:after="0" w:line="240" w:lineRule="auto"/>
              <w:ind w:firstLine="0" w:firstLineChars="0"/>
              <w:jc w:val="both"/>
              <w:rPr>
                <w:rFonts w:ascii="微软雅黑" w:hAnsi="微软雅黑" w:cs="微软雅黑"/>
                <w:color w:val="auto"/>
                <w:kern w:val="0"/>
                <w:szCs w:val="21"/>
                <w:highlight w:val="none"/>
              </w:rPr>
            </w:pPr>
          </w:p>
        </w:tc>
        <w:tc>
          <w:tcPr>
            <w:tcW w:w="1228" w:type="dxa"/>
            <w:tcBorders>
              <w:tl2br w:val="nil"/>
              <w:tr2bl w:val="nil"/>
            </w:tcBorders>
            <w:noWrap/>
            <w:vAlign w:val="center"/>
          </w:tcPr>
          <w:p w14:paraId="7DC937B4">
            <w:pPr>
              <w:widowControl/>
              <w:spacing w:after="0" w:line="240" w:lineRule="auto"/>
              <w:ind w:firstLine="0" w:firstLineChars="0"/>
              <w:jc w:val="both"/>
              <w:rPr>
                <w:rFonts w:ascii="微软雅黑" w:hAnsi="微软雅黑" w:cs="微软雅黑"/>
                <w:color w:val="auto"/>
                <w:kern w:val="0"/>
                <w:szCs w:val="21"/>
                <w:highlight w:val="none"/>
              </w:rPr>
            </w:pPr>
          </w:p>
        </w:tc>
        <w:tc>
          <w:tcPr>
            <w:tcW w:w="1486" w:type="dxa"/>
            <w:tcBorders>
              <w:tl2br w:val="nil"/>
              <w:tr2bl w:val="nil"/>
            </w:tcBorders>
            <w:noWrap/>
            <w:vAlign w:val="center"/>
          </w:tcPr>
          <w:p w14:paraId="203425DD">
            <w:pPr>
              <w:widowControl/>
              <w:spacing w:after="0" w:line="240" w:lineRule="auto"/>
              <w:ind w:firstLine="0" w:firstLineChars="0"/>
              <w:jc w:val="both"/>
              <w:rPr>
                <w:rFonts w:ascii="微软雅黑" w:hAnsi="微软雅黑" w:cs="微软雅黑"/>
                <w:color w:val="auto"/>
                <w:kern w:val="0"/>
                <w:szCs w:val="21"/>
                <w:highlight w:val="none"/>
              </w:rPr>
            </w:pPr>
          </w:p>
        </w:tc>
        <w:tc>
          <w:tcPr>
            <w:tcW w:w="1227" w:type="dxa"/>
            <w:tcBorders>
              <w:tl2br w:val="nil"/>
              <w:tr2bl w:val="nil"/>
            </w:tcBorders>
            <w:noWrap/>
            <w:vAlign w:val="center"/>
          </w:tcPr>
          <w:p w14:paraId="33BBBD9F">
            <w:pPr>
              <w:widowControl/>
              <w:spacing w:after="0" w:line="240" w:lineRule="auto"/>
              <w:ind w:firstLine="0" w:firstLineChars="0"/>
              <w:jc w:val="both"/>
              <w:rPr>
                <w:rFonts w:ascii="微软雅黑" w:hAnsi="微软雅黑" w:cs="微软雅黑"/>
                <w:color w:val="auto"/>
                <w:kern w:val="0"/>
                <w:szCs w:val="21"/>
                <w:highlight w:val="none"/>
              </w:rPr>
            </w:pPr>
          </w:p>
        </w:tc>
        <w:tc>
          <w:tcPr>
            <w:tcW w:w="1773" w:type="dxa"/>
            <w:tcBorders>
              <w:tl2br w:val="nil"/>
              <w:tr2bl w:val="nil"/>
            </w:tcBorders>
            <w:shd w:val="clear" w:color="auto" w:fill="auto"/>
            <w:noWrap/>
            <w:vAlign w:val="center"/>
          </w:tcPr>
          <w:p w14:paraId="75E6B7CB">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中型企业</w:t>
            </w:r>
          </w:p>
          <w:p w14:paraId="13EEEC7C">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小型企业</w:t>
            </w:r>
          </w:p>
          <w:p w14:paraId="270D3D0E">
            <w:pPr>
              <w:widowControl/>
              <w:spacing w:after="0" w:line="240" w:lineRule="auto"/>
              <w:ind w:firstLine="0" w:firstLineChars="0"/>
              <w:jc w:val="both"/>
              <w:rPr>
                <w:rFonts w:ascii="微软雅黑" w:hAnsi="微软雅黑" w:eastAsia="微软雅黑" w:cs="微软雅黑"/>
                <w:b/>
                <w:bCs/>
                <w:color w:val="auto"/>
                <w:kern w:val="2"/>
                <w:sz w:val="21"/>
                <w:szCs w:val="21"/>
                <w:highlight w:val="none"/>
                <w:lang w:val="en-US" w:eastAsia="zh-CN" w:bidi="ar-SA"/>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微型</w:t>
            </w:r>
          </w:p>
        </w:tc>
      </w:tr>
      <w:tr w14:paraId="4D413E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trPr>
        <w:tc>
          <w:tcPr>
            <w:tcW w:w="537" w:type="dxa"/>
            <w:tcBorders>
              <w:tl2br w:val="nil"/>
              <w:tr2bl w:val="nil"/>
            </w:tcBorders>
            <w:noWrap/>
            <w:vAlign w:val="center"/>
          </w:tcPr>
          <w:p w14:paraId="69853470">
            <w:pPr>
              <w:widowControl/>
              <w:spacing w:after="0" w:line="240" w:lineRule="auto"/>
              <w:ind w:firstLine="0" w:firstLineChars="0"/>
              <w:jc w:val="both"/>
              <w:rPr>
                <w:rFonts w:ascii="微软雅黑" w:hAnsi="微软雅黑"/>
                <w:color w:val="auto"/>
                <w:kern w:val="0"/>
                <w:szCs w:val="21"/>
                <w:highlight w:val="none"/>
              </w:rPr>
            </w:pPr>
            <w:r>
              <w:rPr>
                <w:rFonts w:ascii="微软雅黑" w:hAnsi="微软雅黑"/>
                <w:color w:val="auto"/>
                <w:kern w:val="0"/>
                <w:szCs w:val="21"/>
                <w:highlight w:val="none"/>
              </w:rPr>
              <w:t>34</w:t>
            </w:r>
          </w:p>
        </w:tc>
        <w:tc>
          <w:tcPr>
            <w:tcW w:w="1611" w:type="dxa"/>
            <w:tcBorders>
              <w:tl2br w:val="nil"/>
              <w:tr2bl w:val="nil"/>
            </w:tcBorders>
            <w:noWrap/>
            <w:vAlign w:val="center"/>
          </w:tcPr>
          <w:p w14:paraId="0C86D7A2">
            <w:pPr>
              <w:spacing w:after="0" w:line="240" w:lineRule="auto"/>
              <w:ind w:firstLine="0" w:firstLineChars="0"/>
              <w:jc w:val="both"/>
              <w:rPr>
                <w:rFonts w:ascii="微软雅黑" w:hAnsi="微软雅黑" w:cs="微软雅黑"/>
                <w:color w:val="auto"/>
                <w:szCs w:val="21"/>
                <w:highlight w:val="none"/>
              </w:rPr>
            </w:pPr>
            <w:r>
              <w:rPr>
                <w:rFonts w:hint="eastAsia" w:ascii="微软雅黑" w:hAnsi="微软雅黑" w:cs="微软雅黑"/>
                <w:color w:val="auto"/>
                <w:highlight w:val="none"/>
              </w:rPr>
              <w:t>玻璃气流烘干器</w:t>
            </w:r>
          </w:p>
        </w:tc>
        <w:tc>
          <w:tcPr>
            <w:tcW w:w="845" w:type="dxa"/>
            <w:tcBorders>
              <w:tl2br w:val="nil"/>
              <w:tr2bl w:val="nil"/>
            </w:tcBorders>
            <w:shd w:val="clear" w:color="auto" w:fill="auto"/>
            <w:noWrap/>
            <w:vAlign w:val="center"/>
          </w:tcPr>
          <w:p w14:paraId="31E00453">
            <w:pPr>
              <w:spacing w:after="0" w:line="240" w:lineRule="auto"/>
              <w:ind w:firstLine="0" w:firstLineChars="0"/>
              <w:jc w:val="both"/>
              <w:rPr>
                <w:rFonts w:hint="default" w:ascii="微软雅黑" w:hAnsi="微软雅黑" w:eastAsia="微软雅黑" w:cs="微软雅黑"/>
                <w:color w:val="auto"/>
                <w:kern w:val="2"/>
                <w:sz w:val="21"/>
                <w:szCs w:val="21"/>
                <w:highlight w:val="none"/>
                <w:lang w:val="en-US" w:eastAsia="zh-CN" w:bidi="ar-SA"/>
              </w:rPr>
            </w:pPr>
            <w:r>
              <w:rPr>
                <w:rFonts w:hint="eastAsia" w:ascii="微软雅黑" w:hAnsi="微软雅黑" w:cs="微软雅黑"/>
                <w:color w:val="auto"/>
                <w:szCs w:val="21"/>
                <w:highlight w:val="none"/>
                <w:lang w:val="en-US" w:eastAsia="zh-CN"/>
              </w:rPr>
              <w:t>工业</w:t>
            </w:r>
          </w:p>
        </w:tc>
        <w:tc>
          <w:tcPr>
            <w:tcW w:w="1459" w:type="dxa"/>
            <w:tcBorders>
              <w:tl2br w:val="nil"/>
              <w:tr2bl w:val="nil"/>
            </w:tcBorders>
            <w:noWrap/>
            <w:vAlign w:val="center"/>
          </w:tcPr>
          <w:p w14:paraId="3B309A27">
            <w:pPr>
              <w:widowControl/>
              <w:spacing w:after="0" w:line="240" w:lineRule="auto"/>
              <w:ind w:firstLine="0" w:firstLineChars="0"/>
              <w:jc w:val="both"/>
              <w:rPr>
                <w:rFonts w:ascii="微软雅黑" w:hAnsi="微软雅黑" w:cs="微软雅黑"/>
                <w:color w:val="auto"/>
                <w:kern w:val="0"/>
                <w:szCs w:val="21"/>
                <w:highlight w:val="none"/>
              </w:rPr>
            </w:pPr>
          </w:p>
        </w:tc>
        <w:tc>
          <w:tcPr>
            <w:tcW w:w="1228" w:type="dxa"/>
            <w:tcBorders>
              <w:tl2br w:val="nil"/>
              <w:tr2bl w:val="nil"/>
            </w:tcBorders>
            <w:noWrap/>
            <w:vAlign w:val="center"/>
          </w:tcPr>
          <w:p w14:paraId="64362E24">
            <w:pPr>
              <w:widowControl/>
              <w:spacing w:after="0" w:line="240" w:lineRule="auto"/>
              <w:ind w:firstLine="0" w:firstLineChars="0"/>
              <w:jc w:val="both"/>
              <w:rPr>
                <w:rFonts w:ascii="微软雅黑" w:hAnsi="微软雅黑" w:cs="微软雅黑"/>
                <w:color w:val="auto"/>
                <w:kern w:val="0"/>
                <w:szCs w:val="21"/>
                <w:highlight w:val="none"/>
              </w:rPr>
            </w:pPr>
          </w:p>
        </w:tc>
        <w:tc>
          <w:tcPr>
            <w:tcW w:w="1486" w:type="dxa"/>
            <w:tcBorders>
              <w:tl2br w:val="nil"/>
              <w:tr2bl w:val="nil"/>
            </w:tcBorders>
            <w:noWrap/>
            <w:vAlign w:val="center"/>
          </w:tcPr>
          <w:p w14:paraId="1BAF5C0C">
            <w:pPr>
              <w:widowControl/>
              <w:spacing w:after="0" w:line="240" w:lineRule="auto"/>
              <w:ind w:firstLine="0" w:firstLineChars="0"/>
              <w:jc w:val="both"/>
              <w:rPr>
                <w:rFonts w:ascii="微软雅黑" w:hAnsi="微软雅黑" w:cs="微软雅黑"/>
                <w:color w:val="auto"/>
                <w:kern w:val="0"/>
                <w:szCs w:val="21"/>
                <w:highlight w:val="none"/>
              </w:rPr>
            </w:pPr>
          </w:p>
        </w:tc>
        <w:tc>
          <w:tcPr>
            <w:tcW w:w="1227" w:type="dxa"/>
            <w:tcBorders>
              <w:tl2br w:val="nil"/>
              <w:tr2bl w:val="nil"/>
            </w:tcBorders>
            <w:noWrap/>
            <w:vAlign w:val="center"/>
          </w:tcPr>
          <w:p w14:paraId="7D670A2F">
            <w:pPr>
              <w:widowControl/>
              <w:spacing w:after="0" w:line="240" w:lineRule="auto"/>
              <w:ind w:firstLine="0" w:firstLineChars="0"/>
              <w:jc w:val="both"/>
              <w:rPr>
                <w:rFonts w:ascii="微软雅黑" w:hAnsi="微软雅黑" w:cs="微软雅黑"/>
                <w:color w:val="auto"/>
                <w:kern w:val="0"/>
                <w:szCs w:val="21"/>
                <w:highlight w:val="none"/>
              </w:rPr>
            </w:pPr>
          </w:p>
        </w:tc>
        <w:tc>
          <w:tcPr>
            <w:tcW w:w="1773" w:type="dxa"/>
            <w:tcBorders>
              <w:tl2br w:val="nil"/>
              <w:tr2bl w:val="nil"/>
            </w:tcBorders>
            <w:shd w:val="clear" w:color="auto" w:fill="auto"/>
            <w:noWrap/>
            <w:vAlign w:val="center"/>
          </w:tcPr>
          <w:p w14:paraId="5606CD1F">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中型企业</w:t>
            </w:r>
          </w:p>
          <w:p w14:paraId="0C4A62DD">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小型企业</w:t>
            </w:r>
          </w:p>
          <w:p w14:paraId="5D18BFE1">
            <w:pPr>
              <w:widowControl/>
              <w:spacing w:after="0" w:line="240" w:lineRule="auto"/>
              <w:ind w:firstLine="0" w:firstLineChars="0"/>
              <w:jc w:val="both"/>
              <w:rPr>
                <w:rFonts w:ascii="微软雅黑" w:hAnsi="微软雅黑" w:eastAsia="微软雅黑" w:cs="微软雅黑"/>
                <w:b/>
                <w:bCs/>
                <w:color w:val="auto"/>
                <w:kern w:val="2"/>
                <w:sz w:val="21"/>
                <w:szCs w:val="21"/>
                <w:highlight w:val="none"/>
                <w:lang w:val="en-US" w:eastAsia="zh-CN" w:bidi="ar-SA"/>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微型</w:t>
            </w:r>
          </w:p>
        </w:tc>
      </w:tr>
      <w:tr w14:paraId="40281D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trPr>
        <w:tc>
          <w:tcPr>
            <w:tcW w:w="537" w:type="dxa"/>
            <w:tcBorders>
              <w:tl2br w:val="nil"/>
              <w:tr2bl w:val="nil"/>
            </w:tcBorders>
            <w:noWrap/>
            <w:vAlign w:val="center"/>
          </w:tcPr>
          <w:p w14:paraId="243EAF56">
            <w:pPr>
              <w:widowControl/>
              <w:spacing w:after="0" w:line="240" w:lineRule="auto"/>
              <w:ind w:firstLine="0" w:firstLineChars="0"/>
              <w:jc w:val="both"/>
              <w:rPr>
                <w:rFonts w:ascii="微软雅黑" w:hAnsi="微软雅黑"/>
                <w:color w:val="auto"/>
                <w:kern w:val="0"/>
                <w:szCs w:val="21"/>
                <w:highlight w:val="none"/>
              </w:rPr>
            </w:pPr>
            <w:r>
              <w:rPr>
                <w:rFonts w:ascii="微软雅黑" w:hAnsi="微软雅黑"/>
                <w:color w:val="auto"/>
                <w:kern w:val="0"/>
                <w:szCs w:val="21"/>
                <w:highlight w:val="none"/>
              </w:rPr>
              <w:t>35</w:t>
            </w:r>
          </w:p>
        </w:tc>
        <w:tc>
          <w:tcPr>
            <w:tcW w:w="1611" w:type="dxa"/>
            <w:tcBorders>
              <w:tl2br w:val="nil"/>
              <w:tr2bl w:val="nil"/>
            </w:tcBorders>
            <w:noWrap/>
            <w:vAlign w:val="center"/>
          </w:tcPr>
          <w:p w14:paraId="08EBFE84">
            <w:pPr>
              <w:spacing w:after="0" w:line="240" w:lineRule="auto"/>
              <w:ind w:firstLine="0" w:firstLineChars="0"/>
              <w:jc w:val="both"/>
              <w:rPr>
                <w:rFonts w:ascii="微软雅黑" w:hAnsi="微软雅黑" w:cs="微软雅黑"/>
                <w:color w:val="auto"/>
                <w:szCs w:val="21"/>
                <w:highlight w:val="none"/>
              </w:rPr>
            </w:pPr>
            <w:r>
              <w:rPr>
                <w:rFonts w:hint="eastAsia" w:ascii="微软雅黑" w:hAnsi="微软雅黑" w:cs="微软雅黑"/>
                <w:color w:val="auto"/>
                <w:highlight w:val="none"/>
              </w:rPr>
              <w:t>显微熔点仪</w:t>
            </w:r>
          </w:p>
        </w:tc>
        <w:tc>
          <w:tcPr>
            <w:tcW w:w="845" w:type="dxa"/>
            <w:tcBorders>
              <w:tl2br w:val="nil"/>
              <w:tr2bl w:val="nil"/>
            </w:tcBorders>
            <w:shd w:val="clear" w:color="auto" w:fill="auto"/>
            <w:noWrap/>
            <w:vAlign w:val="center"/>
          </w:tcPr>
          <w:p w14:paraId="34ECE91C">
            <w:pPr>
              <w:spacing w:after="0" w:line="240" w:lineRule="auto"/>
              <w:ind w:firstLine="0" w:firstLineChars="0"/>
              <w:jc w:val="both"/>
              <w:rPr>
                <w:rFonts w:ascii="微软雅黑" w:hAnsi="微软雅黑" w:eastAsia="微软雅黑" w:cs="微软雅黑"/>
                <w:color w:val="auto"/>
                <w:kern w:val="2"/>
                <w:sz w:val="21"/>
                <w:szCs w:val="21"/>
                <w:highlight w:val="none"/>
                <w:lang w:val="en-US" w:eastAsia="zh-CN" w:bidi="ar-SA"/>
              </w:rPr>
            </w:pPr>
            <w:r>
              <w:rPr>
                <w:rFonts w:hint="eastAsia" w:ascii="微软雅黑" w:hAnsi="微软雅黑" w:cs="微软雅黑"/>
                <w:color w:val="auto"/>
                <w:szCs w:val="21"/>
                <w:highlight w:val="none"/>
                <w:lang w:val="en-US" w:eastAsia="zh-CN"/>
              </w:rPr>
              <w:t>工业</w:t>
            </w:r>
          </w:p>
        </w:tc>
        <w:tc>
          <w:tcPr>
            <w:tcW w:w="1459" w:type="dxa"/>
            <w:tcBorders>
              <w:tl2br w:val="nil"/>
              <w:tr2bl w:val="nil"/>
            </w:tcBorders>
            <w:noWrap/>
            <w:vAlign w:val="center"/>
          </w:tcPr>
          <w:p w14:paraId="65FFB9B7">
            <w:pPr>
              <w:widowControl/>
              <w:spacing w:after="0" w:line="240" w:lineRule="auto"/>
              <w:ind w:firstLine="0" w:firstLineChars="0"/>
              <w:jc w:val="both"/>
              <w:rPr>
                <w:rFonts w:ascii="微软雅黑" w:hAnsi="微软雅黑" w:cs="微软雅黑"/>
                <w:color w:val="auto"/>
                <w:kern w:val="0"/>
                <w:szCs w:val="21"/>
                <w:highlight w:val="none"/>
              </w:rPr>
            </w:pPr>
          </w:p>
        </w:tc>
        <w:tc>
          <w:tcPr>
            <w:tcW w:w="1228" w:type="dxa"/>
            <w:tcBorders>
              <w:tl2br w:val="nil"/>
              <w:tr2bl w:val="nil"/>
            </w:tcBorders>
            <w:noWrap/>
            <w:vAlign w:val="center"/>
          </w:tcPr>
          <w:p w14:paraId="3DC8DFF0">
            <w:pPr>
              <w:widowControl/>
              <w:spacing w:after="0" w:line="240" w:lineRule="auto"/>
              <w:ind w:firstLine="0" w:firstLineChars="0"/>
              <w:jc w:val="both"/>
              <w:rPr>
                <w:rFonts w:ascii="微软雅黑" w:hAnsi="微软雅黑" w:cs="微软雅黑"/>
                <w:color w:val="auto"/>
                <w:kern w:val="0"/>
                <w:szCs w:val="21"/>
                <w:highlight w:val="none"/>
              </w:rPr>
            </w:pPr>
          </w:p>
        </w:tc>
        <w:tc>
          <w:tcPr>
            <w:tcW w:w="1486" w:type="dxa"/>
            <w:tcBorders>
              <w:tl2br w:val="nil"/>
              <w:tr2bl w:val="nil"/>
            </w:tcBorders>
            <w:noWrap/>
            <w:vAlign w:val="center"/>
          </w:tcPr>
          <w:p w14:paraId="00CE97D0">
            <w:pPr>
              <w:widowControl/>
              <w:spacing w:after="0" w:line="240" w:lineRule="auto"/>
              <w:ind w:firstLine="0" w:firstLineChars="0"/>
              <w:jc w:val="both"/>
              <w:rPr>
                <w:rFonts w:ascii="微软雅黑" w:hAnsi="微软雅黑" w:cs="微软雅黑"/>
                <w:color w:val="auto"/>
                <w:kern w:val="0"/>
                <w:szCs w:val="21"/>
                <w:highlight w:val="none"/>
              </w:rPr>
            </w:pPr>
          </w:p>
        </w:tc>
        <w:tc>
          <w:tcPr>
            <w:tcW w:w="1227" w:type="dxa"/>
            <w:tcBorders>
              <w:tl2br w:val="nil"/>
              <w:tr2bl w:val="nil"/>
            </w:tcBorders>
            <w:noWrap/>
            <w:vAlign w:val="center"/>
          </w:tcPr>
          <w:p w14:paraId="68954BCB">
            <w:pPr>
              <w:widowControl/>
              <w:spacing w:after="0" w:line="240" w:lineRule="auto"/>
              <w:ind w:firstLine="0" w:firstLineChars="0"/>
              <w:jc w:val="both"/>
              <w:rPr>
                <w:rFonts w:ascii="微软雅黑" w:hAnsi="微软雅黑" w:cs="微软雅黑"/>
                <w:color w:val="auto"/>
                <w:kern w:val="0"/>
                <w:szCs w:val="21"/>
                <w:highlight w:val="none"/>
              </w:rPr>
            </w:pPr>
          </w:p>
        </w:tc>
        <w:tc>
          <w:tcPr>
            <w:tcW w:w="1773" w:type="dxa"/>
            <w:tcBorders>
              <w:tl2br w:val="nil"/>
              <w:tr2bl w:val="nil"/>
            </w:tcBorders>
            <w:shd w:val="clear" w:color="auto" w:fill="auto"/>
            <w:noWrap/>
            <w:vAlign w:val="center"/>
          </w:tcPr>
          <w:p w14:paraId="27E58546">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中型企业</w:t>
            </w:r>
          </w:p>
          <w:p w14:paraId="3ED63E21">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小型企业</w:t>
            </w:r>
          </w:p>
          <w:p w14:paraId="206F652B">
            <w:pPr>
              <w:widowControl/>
              <w:spacing w:after="0" w:line="240" w:lineRule="auto"/>
              <w:ind w:firstLine="0" w:firstLineChars="0"/>
              <w:jc w:val="both"/>
              <w:rPr>
                <w:rFonts w:ascii="微软雅黑" w:hAnsi="微软雅黑" w:eastAsia="微软雅黑" w:cs="微软雅黑"/>
                <w:b/>
                <w:bCs/>
                <w:color w:val="auto"/>
                <w:kern w:val="2"/>
                <w:sz w:val="21"/>
                <w:szCs w:val="21"/>
                <w:highlight w:val="none"/>
                <w:lang w:val="en-US" w:eastAsia="zh-CN" w:bidi="ar-SA"/>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微型</w:t>
            </w:r>
          </w:p>
        </w:tc>
      </w:tr>
      <w:tr w14:paraId="174564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trPr>
        <w:tc>
          <w:tcPr>
            <w:tcW w:w="537" w:type="dxa"/>
            <w:tcBorders>
              <w:tl2br w:val="nil"/>
              <w:tr2bl w:val="nil"/>
            </w:tcBorders>
            <w:noWrap/>
            <w:vAlign w:val="center"/>
          </w:tcPr>
          <w:p w14:paraId="579387A1">
            <w:pPr>
              <w:widowControl/>
              <w:spacing w:after="0" w:line="240" w:lineRule="auto"/>
              <w:ind w:firstLine="0" w:firstLineChars="0"/>
              <w:jc w:val="both"/>
              <w:rPr>
                <w:rFonts w:ascii="微软雅黑" w:hAnsi="微软雅黑"/>
                <w:color w:val="auto"/>
                <w:kern w:val="0"/>
                <w:szCs w:val="21"/>
                <w:highlight w:val="none"/>
              </w:rPr>
            </w:pPr>
            <w:r>
              <w:rPr>
                <w:rFonts w:ascii="微软雅黑" w:hAnsi="微软雅黑"/>
                <w:color w:val="auto"/>
                <w:kern w:val="0"/>
                <w:szCs w:val="21"/>
                <w:highlight w:val="none"/>
              </w:rPr>
              <w:t>36</w:t>
            </w:r>
          </w:p>
        </w:tc>
        <w:tc>
          <w:tcPr>
            <w:tcW w:w="1611" w:type="dxa"/>
            <w:tcBorders>
              <w:tl2br w:val="nil"/>
              <w:tr2bl w:val="nil"/>
            </w:tcBorders>
            <w:noWrap/>
            <w:vAlign w:val="center"/>
          </w:tcPr>
          <w:p w14:paraId="6DC9D3C0">
            <w:pPr>
              <w:spacing w:after="0" w:line="240" w:lineRule="auto"/>
              <w:ind w:firstLine="0" w:firstLineChars="0"/>
              <w:jc w:val="both"/>
              <w:rPr>
                <w:rFonts w:ascii="微软雅黑" w:hAnsi="微软雅黑" w:cs="微软雅黑"/>
                <w:color w:val="auto"/>
                <w:szCs w:val="21"/>
                <w:highlight w:val="none"/>
              </w:rPr>
            </w:pPr>
            <w:r>
              <w:rPr>
                <w:rFonts w:hint="eastAsia" w:ascii="微软雅黑" w:hAnsi="微软雅黑" w:cs="微软雅黑"/>
                <w:color w:val="auto"/>
                <w:highlight w:val="none"/>
              </w:rPr>
              <w:t>纯水机</w:t>
            </w:r>
          </w:p>
        </w:tc>
        <w:tc>
          <w:tcPr>
            <w:tcW w:w="845" w:type="dxa"/>
            <w:tcBorders>
              <w:tl2br w:val="nil"/>
              <w:tr2bl w:val="nil"/>
            </w:tcBorders>
            <w:shd w:val="clear" w:color="auto" w:fill="auto"/>
            <w:noWrap/>
            <w:vAlign w:val="center"/>
          </w:tcPr>
          <w:p w14:paraId="0BA80072">
            <w:pPr>
              <w:spacing w:after="0" w:line="240" w:lineRule="auto"/>
              <w:ind w:firstLine="0" w:firstLineChars="0"/>
              <w:jc w:val="both"/>
              <w:rPr>
                <w:rFonts w:hint="default" w:ascii="微软雅黑" w:hAnsi="微软雅黑" w:eastAsia="微软雅黑" w:cs="微软雅黑"/>
                <w:color w:val="auto"/>
                <w:kern w:val="2"/>
                <w:sz w:val="21"/>
                <w:szCs w:val="21"/>
                <w:highlight w:val="none"/>
                <w:lang w:val="en-US" w:eastAsia="zh-CN" w:bidi="ar-SA"/>
              </w:rPr>
            </w:pPr>
            <w:r>
              <w:rPr>
                <w:rFonts w:hint="eastAsia" w:ascii="微软雅黑" w:hAnsi="微软雅黑" w:cs="微软雅黑"/>
                <w:color w:val="auto"/>
                <w:szCs w:val="21"/>
                <w:highlight w:val="none"/>
                <w:lang w:val="en-US" w:eastAsia="zh-CN"/>
              </w:rPr>
              <w:t>工业</w:t>
            </w:r>
          </w:p>
        </w:tc>
        <w:tc>
          <w:tcPr>
            <w:tcW w:w="1459" w:type="dxa"/>
            <w:tcBorders>
              <w:tl2br w:val="nil"/>
              <w:tr2bl w:val="nil"/>
            </w:tcBorders>
            <w:noWrap/>
            <w:vAlign w:val="center"/>
          </w:tcPr>
          <w:p w14:paraId="60AFA864">
            <w:pPr>
              <w:widowControl/>
              <w:spacing w:after="0" w:line="240" w:lineRule="auto"/>
              <w:ind w:firstLine="0" w:firstLineChars="0"/>
              <w:jc w:val="both"/>
              <w:rPr>
                <w:rFonts w:ascii="微软雅黑" w:hAnsi="微软雅黑" w:cs="微软雅黑"/>
                <w:color w:val="auto"/>
                <w:kern w:val="0"/>
                <w:szCs w:val="21"/>
                <w:highlight w:val="none"/>
              </w:rPr>
            </w:pPr>
          </w:p>
        </w:tc>
        <w:tc>
          <w:tcPr>
            <w:tcW w:w="1228" w:type="dxa"/>
            <w:tcBorders>
              <w:tl2br w:val="nil"/>
              <w:tr2bl w:val="nil"/>
            </w:tcBorders>
            <w:noWrap/>
            <w:vAlign w:val="center"/>
          </w:tcPr>
          <w:p w14:paraId="2F2B85A5">
            <w:pPr>
              <w:widowControl/>
              <w:spacing w:after="0" w:line="240" w:lineRule="auto"/>
              <w:ind w:firstLine="0" w:firstLineChars="0"/>
              <w:jc w:val="both"/>
              <w:rPr>
                <w:rFonts w:ascii="微软雅黑" w:hAnsi="微软雅黑" w:cs="微软雅黑"/>
                <w:color w:val="auto"/>
                <w:kern w:val="0"/>
                <w:szCs w:val="21"/>
                <w:highlight w:val="none"/>
              </w:rPr>
            </w:pPr>
          </w:p>
        </w:tc>
        <w:tc>
          <w:tcPr>
            <w:tcW w:w="1486" w:type="dxa"/>
            <w:tcBorders>
              <w:tl2br w:val="nil"/>
              <w:tr2bl w:val="nil"/>
            </w:tcBorders>
            <w:noWrap/>
            <w:vAlign w:val="center"/>
          </w:tcPr>
          <w:p w14:paraId="236663DF">
            <w:pPr>
              <w:widowControl/>
              <w:spacing w:after="0" w:line="240" w:lineRule="auto"/>
              <w:ind w:firstLine="0" w:firstLineChars="0"/>
              <w:jc w:val="both"/>
              <w:rPr>
                <w:rFonts w:ascii="微软雅黑" w:hAnsi="微软雅黑" w:cs="微软雅黑"/>
                <w:color w:val="auto"/>
                <w:kern w:val="0"/>
                <w:szCs w:val="21"/>
                <w:highlight w:val="none"/>
              </w:rPr>
            </w:pPr>
          </w:p>
        </w:tc>
        <w:tc>
          <w:tcPr>
            <w:tcW w:w="1227" w:type="dxa"/>
            <w:tcBorders>
              <w:tl2br w:val="nil"/>
              <w:tr2bl w:val="nil"/>
            </w:tcBorders>
            <w:noWrap/>
            <w:vAlign w:val="center"/>
          </w:tcPr>
          <w:p w14:paraId="6F29A34B">
            <w:pPr>
              <w:widowControl/>
              <w:spacing w:after="0" w:line="240" w:lineRule="auto"/>
              <w:ind w:firstLine="0" w:firstLineChars="0"/>
              <w:jc w:val="both"/>
              <w:rPr>
                <w:rFonts w:ascii="微软雅黑" w:hAnsi="微软雅黑" w:cs="微软雅黑"/>
                <w:color w:val="auto"/>
                <w:kern w:val="0"/>
                <w:szCs w:val="21"/>
                <w:highlight w:val="none"/>
              </w:rPr>
            </w:pPr>
          </w:p>
        </w:tc>
        <w:tc>
          <w:tcPr>
            <w:tcW w:w="1773" w:type="dxa"/>
            <w:tcBorders>
              <w:tl2br w:val="nil"/>
              <w:tr2bl w:val="nil"/>
            </w:tcBorders>
            <w:shd w:val="clear" w:color="auto" w:fill="auto"/>
            <w:noWrap/>
            <w:vAlign w:val="center"/>
          </w:tcPr>
          <w:p w14:paraId="07DC0EC3">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中型企业</w:t>
            </w:r>
          </w:p>
          <w:p w14:paraId="480BC2A5">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小型企业</w:t>
            </w:r>
          </w:p>
          <w:p w14:paraId="6C80E161">
            <w:pPr>
              <w:widowControl/>
              <w:spacing w:after="0" w:line="240" w:lineRule="auto"/>
              <w:ind w:firstLine="0" w:firstLineChars="0"/>
              <w:jc w:val="both"/>
              <w:rPr>
                <w:rFonts w:ascii="微软雅黑" w:hAnsi="微软雅黑" w:eastAsia="微软雅黑" w:cs="微软雅黑"/>
                <w:b/>
                <w:bCs/>
                <w:color w:val="auto"/>
                <w:kern w:val="2"/>
                <w:sz w:val="21"/>
                <w:szCs w:val="21"/>
                <w:highlight w:val="none"/>
                <w:lang w:val="en-US" w:eastAsia="zh-CN" w:bidi="ar-SA"/>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微型</w:t>
            </w:r>
          </w:p>
        </w:tc>
      </w:tr>
      <w:tr w14:paraId="093B27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trPr>
        <w:tc>
          <w:tcPr>
            <w:tcW w:w="537" w:type="dxa"/>
            <w:tcBorders>
              <w:tl2br w:val="nil"/>
              <w:tr2bl w:val="nil"/>
            </w:tcBorders>
            <w:noWrap/>
            <w:vAlign w:val="center"/>
          </w:tcPr>
          <w:p w14:paraId="2467B750">
            <w:pPr>
              <w:widowControl/>
              <w:spacing w:after="0" w:line="240" w:lineRule="auto"/>
              <w:ind w:firstLine="0" w:firstLineChars="0"/>
              <w:jc w:val="both"/>
              <w:rPr>
                <w:rFonts w:ascii="微软雅黑" w:hAnsi="微软雅黑"/>
                <w:color w:val="auto"/>
                <w:kern w:val="0"/>
                <w:szCs w:val="21"/>
                <w:highlight w:val="none"/>
              </w:rPr>
            </w:pPr>
            <w:r>
              <w:rPr>
                <w:rFonts w:ascii="微软雅黑" w:hAnsi="微软雅黑"/>
                <w:color w:val="auto"/>
                <w:kern w:val="0"/>
                <w:szCs w:val="21"/>
                <w:highlight w:val="none"/>
              </w:rPr>
              <w:t>37</w:t>
            </w:r>
          </w:p>
        </w:tc>
        <w:tc>
          <w:tcPr>
            <w:tcW w:w="1611" w:type="dxa"/>
            <w:tcBorders>
              <w:tl2br w:val="nil"/>
              <w:tr2bl w:val="nil"/>
            </w:tcBorders>
            <w:noWrap/>
            <w:vAlign w:val="center"/>
          </w:tcPr>
          <w:p w14:paraId="24B70E0E">
            <w:pPr>
              <w:spacing w:after="0" w:line="240" w:lineRule="auto"/>
              <w:ind w:firstLine="0" w:firstLineChars="0"/>
              <w:jc w:val="both"/>
              <w:rPr>
                <w:rFonts w:ascii="微软雅黑" w:hAnsi="微软雅黑" w:cs="微软雅黑"/>
                <w:color w:val="auto"/>
                <w:szCs w:val="21"/>
                <w:highlight w:val="none"/>
              </w:rPr>
            </w:pPr>
            <w:r>
              <w:rPr>
                <w:rFonts w:hint="eastAsia" w:ascii="微软雅黑" w:hAnsi="微软雅黑" w:cs="微软雅黑"/>
                <w:color w:val="auto"/>
                <w:highlight w:val="none"/>
              </w:rPr>
              <w:t>超纯水仪</w:t>
            </w:r>
          </w:p>
        </w:tc>
        <w:tc>
          <w:tcPr>
            <w:tcW w:w="845" w:type="dxa"/>
            <w:tcBorders>
              <w:tl2br w:val="nil"/>
              <w:tr2bl w:val="nil"/>
            </w:tcBorders>
            <w:shd w:val="clear" w:color="auto" w:fill="auto"/>
            <w:noWrap/>
            <w:vAlign w:val="center"/>
          </w:tcPr>
          <w:p w14:paraId="6C48156C">
            <w:pPr>
              <w:spacing w:after="0" w:line="240" w:lineRule="auto"/>
              <w:ind w:firstLine="0" w:firstLineChars="0"/>
              <w:jc w:val="both"/>
              <w:rPr>
                <w:rFonts w:ascii="微软雅黑" w:hAnsi="微软雅黑" w:eastAsia="微软雅黑" w:cs="微软雅黑"/>
                <w:color w:val="auto"/>
                <w:kern w:val="2"/>
                <w:sz w:val="21"/>
                <w:szCs w:val="21"/>
                <w:highlight w:val="none"/>
                <w:lang w:val="en-US" w:eastAsia="zh-CN" w:bidi="ar-SA"/>
              </w:rPr>
            </w:pPr>
            <w:r>
              <w:rPr>
                <w:rFonts w:hint="eastAsia" w:ascii="微软雅黑" w:hAnsi="微软雅黑" w:cs="微软雅黑"/>
                <w:color w:val="auto"/>
                <w:szCs w:val="21"/>
                <w:highlight w:val="none"/>
                <w:lang w:val="en-US" w:eastAsia="zh-CN"/>
              </w:rPr>
              <w:t>工业</w:t>
            </w:r>
          </w:p>
        </w:tc>
        <w:tc>
          <w:tcPr>
            <w:tcW w:w="1459" w:type="dxa"/>
            <w:tcBorders>
              <w:tl2br w:val="nil"/>
              <w:tr2bl w:val="nil"/>
            </w:tcBorders>
            <w:noWrap/>
            <w:vAlign w:val="center"/>
          </w:tcPr>
          <w:p w14:paraId="37FA53F7">
            <w:pPr>
              <w:widowControl/>
              <w:spacing w:after="0" w:line="240" w:lineRule="auto"/>
              <w:ind w:firstLine="0" w:firstLineChars="0"/>
              <w:jc w:val="both"/>
              <w:rPr>
                <w:rFonts w:ascii="微软雅黑" w:hAnsi="微软雅黑" w:cs="微软雅黑"/>
                <w:color w:val="auto"/>
                <w:kern w:val="0"/>
                <w:szCs w:val="21"/>
                <w:highlight w:val="none"/>
              </w:rPr>
            </w:pPr>
          </w:p>
        </w:tc>
        <w:tc>
          <w:tcPr>
            <w:tcW w:w="1228" w:type="dxa"/>
            <w:tcBorders>
              <w:tl2br w:val="nil"/>
              <w:tr2bl w:val="nil"/>
            </w:tcBorders>
            <w:noWrap/>
            <w:vAlign w:val="center"/>
          </w:tcPr>
          <w:p w14:paraId="7CB6EBEA">
            <w:pPr>
              <w:widowControl/>
              <w:spacing w:after="0" w:line="240" w:lineRule="auto"/>
              <w:ind w:firstLine="0" w:firstLineChars="0"/>
              <w:jc w:val="both"/>
              <w:rPr>
                <w:rFonts w:ascii="微软雅黑" w:hAnsi="微软雅黑" w:cs="微软雅黑"/>
                <w:color w:val="auto"/>
                <w:kern w:val="0"/>
                <w:szCs w:val="21"/>
                <w:highlight w:val="none"/>
              </w:rPr>
            </w:pPr>
          </w:p>
        </w:tc>
        <w:tc>
          <w:tcPr>
            <w:tcW w:w="1486" w:type="dxa"/>
            <w:tcBorders>
              <w:tl2br w:val="nil"/>
              <w:tr2bl w:val="nil"/>
            </w:tcBorders>
            <w:noWrap/>
            <w:vAlign w:val="center"/>
          </w:tcPr>
          <w:p w14:paraId="29DAD16D">
            <w:pPr>
              <w:widowControl/>
              <w:spacing w:after="0" w:line="240" w:lineRule="auto"/>
              <w:ind w:firstLine="0" w:firstLineChars="0"/>
              <w:jc w:val="both"/>
              <w:rPr>
                <w:rFonts w:ascii="微软雅黑" w:hAnsi="微软雅黑" w:cs="微软雅黑"/>
                <w:color w:val="auto"/>
                <w:kern w:val="0"/>
                <w:szCs w:val="21"/>
                <w:highlight w:val="none"/>
              </w:rPr>
            </w:pPr>
          </w:p>
        </w:tc>
        <w:tc>
          <w:tcPr>
            <w:tcW w:w="1227" w:type="dxa"/>
            <w:tcBorders>
              <w:tl2br w:val="nil"/>
              <w:tr2bl w:val="nil"/>
            </w:tcBorders>
            <w:noWrap/>
            <w:vAlign w:val="center"/>
          </w:tcPr>
          <w:p w14:paraId="6DFE8D77">
            <w:pPr>
              <w:widowControl/>
              <w:spacing w:after="0" w:line="240" w:lineRule="auto"/>
              <w:ind w:firstLine="0" w:firstLineChars="0"/>
              <w:jc w:val="both"/>
              <w:rPr>
                <w:rFonts w:ascii="微软雅黑" w:hAnsi="微软雅黑" w:cs="微软雅黑"/>
                <w:color w:val="auto"/>
                <w:kern w:val="0"/>
                <w:szCs w:val="21"/>
                <w:highlight w:val="none"/>
              </w:rPr>
            </w:pPr>
          </w:p>
        </w:tc>
        <w:tc>
          <w:tcPr>
            <w:tcW w:w="1773" w:type="dxa"/>
            <w:tcBorders>
              <w:tl2br w:val="nil"/>
              <w:tr2bl w:val="nil"/>
            </w:tcBorders>
            <w:shd w:val="clear" w:color="auto" w:fill="auto"/>
            <w:noWrap/>
            <w:vAlign w:val="center"/>
          </w:tcPr>
          <w:p w14:paraId="361325F7">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中型企业</w:t>
            </w:r>
          </w:p>
          <w:p w14:paraId="088B52AF">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小型企业</w:t>
            </w:r>
          </w:p>
          <w:p w14:paraId="4C435C26">
            <w:pPr>
              <w:widowControl/>
              <w:spacing w:after="0" w:line="240" w:lineRule="auto"/>
              <w:ind w:firstLine="0" w:firstLineChars="0"/>
              <w:jc w:val="both"/>
              <w:rPr>
                <w:rFonts w:ascii="微软雅黑" w:hAnsi="微软雅黑" w:eastAsia="微软雅黑" w:cs="微软雅黑"/>
                <w:b/>
                <w:bCs/>
                <w:color w:val="auto"/>
                <w:kern w:val="2"/>
                <w:sz w:val="21"/>
                <w:szCs w:val="21"/>
                <w:highlight w:val="none"/>
                <w:lang w:val="en-US" w:eastAsia="zh-CN" w:bidi="ar-SA"/>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微型</w:t>
            </w:r>
          </w:p>
        </w:tc>
      </w:tr>
      <w:tr w14:paraId="69C38C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trPr>
        <w:tc>
          <w:tcPr>
            <w:tcW w:w="537" w:type="dxa"/>
            <w:tcBorders>
              <w:tl2br w:val="nil"/>
              <w:tr2bl w:val="nil"/>
            </w:tcBorders>
            <w:noWrap/>
            <w:vAlign w:val="center"/>
          </w:tcPr>
          <w:p w14:paraId="081320DD">
            <w:pPr>
              <w:widowControl/>
              <w:spacing w:after="0" w:line="240" w:lineRule="auto"/>
              <w:ind w:firstLine="0" w:firstLineChars="0"/>
              <w:jc w:val="both"/>
              <w:rPr>
                <w:rFonts w:ascii="微软雅黑" w:hAnsi="微软雅黑"/>
                <w:color w:val="auto"/>
                <w:kern w:val="0"/>
                <w:szCs w:val="21"/>
                <w:highlight w:val="none"/>
              </w:rPr>
            </w:pPr>
            <w:r>
              <w:rPr>
                <w:rFonts w:ascii="微软雅黑" w:hAnsi="微软雅黑"/>
                <w:color w:val="auto"/>
                <w:kern w:val="0"/>
                <w:szCs w:val="21"/>
                <w:highlight w:val="none"/>
              </w:rPr>
              <w:t>38</w:t>
            </w:r>
          </w:p>
        </w:tc>
        <w:tc>
          <w:tcPr>
            <w:tcW w:w="1611" w:type="dxa"/>
            <w:tcBorders>
              <w:tl2br w:val="nil"/>
              <w:tr2bl w:val="nil"/>
            </w:tcBorders>
            <w:noWrap/>
            <w:vAlign w:val="center"/>
          </w:tcPr>
          <w:p w14:paraId="7E59EB8E">
            <w:pPr>
              <w:spacing w:after="0" w:line="240" w:lineRule="auto"/>
              <w:ind w:firstLine="0" w:firstLineChars="0"/>
              <w:jc w:val="both"/>
              <w:rPr>
                <w:rFonts w:ascii="微软雅黑" w:hAnsi="微软雅黑" w:cs="微软雅黑"/>
                <w:color w:val="auto"/>
                <w:szCs w:val="21"/>
                <w:highlight w:val="none"/>
              </w:rPr>
            </w:pPr>
            <w:r>
              <w:rPr>
                <w:rFonts w:hint="eastAsia" w:ascii="微软雅黑" w:hAnsi="微软雅黑" w:cs="微软雅黑"/>
                <w:color w:val="auto"/>
                <w:highlight w:val="none"/>
              </w:rPr>
              <w:t>除湿机</w:t>
            </w:r>
          </w:p>
        </w:tc>
        <w:tc>
          <w:tcPr>
            <w:tcW w:w="845" w:type="dxa"/>
            <w:tcBorders>
              <w:tl2br w:val="nil"/>
              <w:tr2bl w:val="nil"/>
            </w:tcBorders>
            <w:noWrap/>
            <w:vAlign w:val="center"/>
          </w:tcPr>
          <w:p w14:paraId="0F96FEC3">
            <w:pPr>
              <w:spacing w:after="0" w:line="240" w:lineRule="auto"/>
              <w:ind w:firstLine="0" w:firstLineChars="0"/>
              <w:jc w:val="both"/>
              <w:rPr>
                <w:rFonts w:ascii="微软雅黑" w:hAnsi="微软雅黑" w:cs="微软雅黑"/>
                <w:color w:val="auto"/>
                <w:kern w:val="0"/>
                <w:szCs w:val="21"/>
                <w:highlight w:val="none"/>
              </w:rPr>
            </w:pPr>
            <w:r>
              <w:rPr>
                <w:rFonts w:hint="eastAsia" w:ascii="微软雅黑" w:hAnsi="微软雅黑" w:cs="微软雅黑"/>
                <w:color w:val="auto"/>
                <w:szCs w:val="21"/>
                <w:highlight w:val="none"/>
                <w:lang w:val="en-US" w:eastAsia="zh-CN"/>
              </w:rPr>
              <w:t>工业</w:t>
            </w:r>
          </w:p>
        </w:tc>
        <w:tc>
          <w:tcPr>
            <w:tcW w:w="1459" w:type="dxa"/>
            <w:tcBorders>
              <w:tl2br w:val="nil"/>
              <w:tr2bl w:val="nil"/>
            </w:tcBorders>
            <w:noWrap/>
            <w:vAlign w:val="center"/>
          </w:tcPr>
          <w:p w14:paraId="1878D8D8">
            <w:pPr>
              <w:widowControl/>
              <w:spacing w:after="0" w:line="240" w:lineRule="auto"/>
              <w:ind w:firstLine="0" w:firstLineChars="0"/>
              <w:jc w:val="both"/>
              <w:rPr>
                <w:rFonts w:ascii="微软雅黑" w:hAnsi="微软雅黑" w:cs="微软雅黑"/>
                <w:b/>
                <w:bCs/>
                <w:color w:val="auto"/>
                <w:szCs w:val="21"/>
                <w:highlight w:val="none"/>
                <w:lang w:bidi="ar"/>
              </w:rPr>
            </w:pPr>
          </w:p>
        </w:tc>
        <w:tc>
          <w:tcPr>
            <w:tcW w:w="1228" w:type="dxa"/>
            <w:tcBorders>
              <w:tl2br w:val="nil"/>
              <w:tr2bl w:val="nil"/>
            </w:tcBorders>
            <w:noWrap/>
            <w:vAlign w:val="center"/>
          </w:tcPr>
          <w:p w14:paraId="11EFAA62">
            <w:pPr>
              <w:widowControl/>
              <w:spacing w:after="0" w:line="240" w:lineRule="auto"/>
              <w:ind w:firstLine="0" w:firstLineChars="0"/>
              <w:jc w:val="both"/>
              <w:rPr>
                <w:rFonts w:ascii="微软雅黑" w:hAnsi="微软雅黑" w:cs="微软雅黑"/>
                <w:b/>
                <w:bCs/>
                <w:color w:val="auto"/>
                <w:szCs w:val="21"/>
                <w:highlight w:val="none"/>
                <w:lang w:bidi="ar"/>
              </w:rPr>
            </w:pPr>
          </w:p>
        </w:tc>
        <w:tc>
          <w:tcPr>
            <w:tcW w:w="1486" w:type="dxa"/>
            <w:tcBorders>
              <w:tl2br w:val="nil"/>
              <w:tr2bl w:val="nil"/>
            </w:tcBorders>
            <w:noWrap/>
            <w:vAlign w:val="center"/>
          </w:tcPr>
          <w:p w14:paraId="40BCA4F1">
            <w:pPr>
              <w:widowControl/>
              <w:spacing w:after="0" w:line="240" w:lineRule="auto"/>
              <w:ind w:firstLine="0" w:firstLineChars="0"/>
              <w:jc w:val="both"/>
              <w:rPr>
                <w:rFonts w:ascii="微软雅黑" w:hAnsi="微软雅黑" w:cs="微软雅黑"/>
                <w:b/>
                <w:bCs/>
                <w:color w:val="auto"/>
                <w:szCs w:val="21"/>
                <w:highlight w:val="none"/>
                <w:lang w:bidi="ar"/>
              </w:rPr>
            </w:pPr>
          </w:p>
        </w:tc>
        <w:tc>
          <w:tcPr>
            <w:tcW w:w="1227" w:type="dxa"/>
            <w:tcBorders>
              <w:tl2br w:val="nil"/>
              <w:tr2bl w:val="nil"/>
            </w:tcBorders>
            <w:noWrap/>
            <w:vAlign w:val="center"/>
          </w:tcPr>
          <w:p w14:paraId="5DC8D4CC">
            <w:pPr>
              <w:widowControl/>
              <w:spacing w:after="0" w:line="240" w:lineRule="auto"/>
              <w:ind w:firstLine="0" w:firstLineChars="0"/>
              <w:jc w:val="both"/>
              <w:rPr>
                <w:rFonts w:ascii="微软雅黑" w:hAnsi="微软雅黑" w:cs="微软雅黑"/>
                <w:b/>
                <w:bCs/>
                <w:color w:val="auto"/>
                <w:szCs w:val="21"/>
                <w:highlight w:val="none"/>
                <w:lang w:bidi="ar"/>
              </w:rPr>
            </w:pPr>
          </w:p>
        </w:tc>
        <w:tc>
          <w:tcPr>
            <w:tcW w:w="1773" w:type="dxa"/>
            <w:tcBorders>
              <w:tl2br w:val="nil"/>
              <w:tr2bl w:val="nil"/>
            </w:tcBorders>
            <w:shd w:val="clear" w:color="auto" w:fill="auto"/>
            <w:noWrap/>
            <w:vAlign w:val="center"/>
          </w:tcPr>
          <w:p w14:paraId="0CAEFC5D">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中型企业</w:t>
            </w:r>
          </w:p>
          <w:p w14:paraId="7558CF9F">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小型企业</w:t>
            </w:r>
          </w:p>
          <w:p w14:paraId="0C8A269B">
            <w:pPr>
              <w:widowControl/>
              <w:spacing w:after="0" w:line="240" w:lineRule="auto"/>
              <w:ind w:firstLine="0" w:firstLineChars="0"/>
              <w:jc w:val="both"/>
              <w:rPr>
                <w:rFonts w:ascii="微软雅黑" w:hAnsi="微软雅黑" w:eastAsia="微软雅黑" w:cs="微软雅黑"/>
                <w:b/>
                <w:bCs/>
                <w:color w:val="auto"/>
                <w:kern w:val="2"/>
                <w:sz w:val="21"/>
                <w:szCs w:val="21"/>
                <w:highlight w:val="none"/>
                <w:lang w:val="en-US" w:eastAsia="zh-CN" w:bidi="ar-SA"/>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微型</w:t>
            </w:r>
          </w:p>
        </w:tc>
      </w:tr>
    </w:tbl>
    <w:p w14:paraId="6068700C">
      <w:pPr>
        <w:snapToGrid w:val="0"/>
        <w:ind w:firstLine="630" w:firstLineChars="300"/>
        <w:rPr>
          <w:rFonts w:ascii="微软雅黑" w:hAnsi="微软雅黑" w:cs="宋体"/>
          <w:color w:val="auto"/>
          <w:szCs w:val="21"/>
          <w:highlight w:val="none"/>
        </w:rPr>
      </w:pPr>
      <w:r>
        <w:rPr>
          <w:rFonts w:hint="eastAsia" w:ascii="微软雅黑" w:hAnsi="微软雅黑" w:cs="宋体"/>
          <w:color w:val="auto"/>
          <w:szCs w:val="21"/>
          <w:highlight w:val="none"/>
        </w:rPr>
        <w:t>以上企业，不属于大企业的分支机构，不存在控股股东为大企业的情形，也不存在与大企业的负责人为同一人的情形。</w:t>
      </w:r>
    </w:p>
    <w:p w14:paraId="3717308A">
      <w:pPr>
        <w:pStyle w:val="64"/>
        <w:ind w:left="420" w:firstLine="0" w:firstLineChars="0"/>
        <w:rPr>
          <w:rFonts w:hint="eastAsia" w:ascii="微软雅黑" w:hAnsi="微软雅黑" w:cs="宋体"/>
          <w:color w:val="auto"/>
          <w:sz w:val="21"/>
          <w:szCs w:val="21"/>
          <w:highlight w:val="none"/>
        </w:rPr>
      </w:pPr>
      <w:r>
        <w:rPr>
          <w:rFonts w:hint="eastAsia" w:ascii="微软雅黑" w:hAnsi="微软雅黑" w:cs="宋体"/>
          <w:color w:val="auto"/>
          <w:szCs w:val="21"/>
          <w:highlight w:val="none"/>
        </w:rPr>
        <w:t>本企业对上述声明内容的真实性负责。如有虚假，将依法承担相应责任。</w:t>
      </w:r>
    </w:p>
    <w:p w14:paraId="7DD5A5FD">
      <w:pPr>
        <w:snapToGrid w:val="0"/>
        <w:spacing w:before="120" w:beforeLines="50"/>
        <w:ind w:firstLine="420"/>
        <w:jc w:val="center"/>
        <w:rPr>
          <w:rFonts w:hint="eastAsia" w:ascii="微软雅黑" w:hAnsi="微软雅黑"/>
          <w:color w:val="auto"/>
          <w:szCs w:val="21"/>
          <w:highlight w:val="none"/>
          <w:u w:val="single"/>
        </w:rPr>
      </w:pPr>
      <w:r>
        <w:rPr>
          <w:rFonts w:hint="eastAsia" w:ascii="微软雅黑" w:hAnsi="微软雅黑" w:cs="Arial"/>
          <w:color w:val="auto"/>
          <w:kern w:val="0"/>
          <w:szCs w:val="21"/>
          <w:highlight w:val="none"/>
        </w:rPr>
        <w:t xml:space="preserve"> 法定代表人或</w:t>
      </w:r>
      <w:r>
        <w:rPr>
          <w:rFonts w:hint="eastAsia" w:ascii="微软雅黑" w:hAnsi="微软雅黑"/>
          <w:color w:val="auto"/>
          <w:szCs w:val="21"/>
          <w:highlight w:val="none"/>
        </w:rPr>
        <w:t>被授权人签字（或盖章）：</w:t>
      </w:r>
    </w:p>
    <w:p w14:paraId="1630A4EE">
      <w:pPr>
        <w:pStyle w:val="122"/>
        <w:ind w:firstLine="420"/>
        <w:jc w:val="center"/>
        <w:rPr>
          <w:rFonts w:hint="eastAsia" w:ascii="微软雅黑" w:hAnsi="微软雅黑" w:eastAsia="微软雅黑" w:cs="宋体"/>
          <w:color w:val="auto"/>
          <w:sz w:val="21"/>
          <w:szCs w:val="21"/>
          <w:highlight w:val="none"/>
        </w:rPr>
      </w:pPr>
      <w:r>
        <w:rPr>
          <w:rFonts w:hint="eastAsia" w:ascii="微软雅黑" w:hAnsi="微软雅黑" w:eastAsia="微软雅黑" w:cs="宋体"/>
          <w:color w:val="auto"/>
          <w:sz w:val="21"/>
          <w:szCs w:val="21"/>
          <w:highlight w:val="none"/>
        </w:rPr>
        <w:t xml:space="preserve">             供应商名称（公章）：</w:t>
      </w:r>
    </w:p>
    <w:p w14:paraId="4107E27C">
      <w:pPr>
        <w:pStyle w:val="122"/>
        <w:ind w:firstLine="420"/>
        <w:jc w:val="center"/>
        <w:rPr>
          <w:rFonts w:hint="eastAsia" w:ascii="微软雅黑" w:hAnsi="微软雅黑" w:eastAsia="微软雅黑"/>
          <w:color w:val="auto"/>
          <w:sz w:val="21"/>
          <w:szCs w:val="21"/>
          <w:highlight w:val="none"/>
        </w:rPr>
      </w:pPr>
      <w:r>
        <w:rPr>
          <w:rFonts w:hint="eastAsia" w:ascii="微软雅黑" w:hAnsi="微软雅黑" w:eastAsia="微软雅黑"/>
          <w:color w:val="auto"/>
          <w:sz w:val="21"/>
          <w:szCs w:val="21"/>
          <w:highlight w:val="none"/>
        </w:rPr>
        <w:t xml:space="preserve">          日期： 年 月 日</w:t>
      </w:r>
    </w:p>
    <w:p w14:paraId="2F37045C">
      <w:pPr>
        <w:snapToGrid w:val="0"/>
        <w:ind w:firstLine="420" w:firstLineChars="0"/>
        <w:rPr>
          <w:rFonts w:hint="eastAsia" w:ascii="微软雅黑" w:hAnsi="微软雅黑" w:cs="宋体"/>
          <w:color w:val="auto"/>
          <w:szCs w:val="21"/>
          <w:highlight w:val="none"/>
        </w:rPr>
      </w:pPr>
      <w:r>
        <w:rPr>
          <w:rFonts w:hint="eastAsia" w:ascii="微软雅黑" w:hAnsi="微软雅黑" w:cs="宋体"/>
          <w:color w:val="auto"/>
          <w:szCs w:val="21"/>
          <w:highlight w:val="none"/>
        </w:rPr>
        <w:t xml:space="preserve"> 注：</w:t>
      </w:r>
    </w:p>
    <w:p w14:paraId="639D7FEE">
      <w:pPr>
        <w:snapToGrid w:val="0"/>
        <w:ind w:firstLine="420" w:firstLineChars="0"/>
        <w:rPr>
          <w:rFonts w:hint="eastAsia" w:ascii="微软雅黑" w:hAnsi="微软雅黑" w:cs="宋体"/>
          <w:color w:val="auto"/>
          <w:szCs w:val="21"/>
          <w:highlight w:val="none"/>
        </w:rPr>
      </w:pPr>
      <w:r>
        <w:rPr>
          <w:rFonts w:hint="eastAsia" w:ascii="微软雅黑" w:hAnsi="微软雅黑" w:cs="宋体"/>
          <w:color w:val="auto"/>
          <w:szCs w:val="21"/>
          <w:highlight w:val="none"/>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声明内容不实的，属于提供虚假材料谋取中标、成交的，依法承担法律责任。</w:t>
      </w:r>
    </w:p>
    <w:p w14:paraId="63ABB10B">
      <w:pPr>
        <w:snapToGrid w:val="0"/>
        <w:ind w:firstLine="420" w:firstLineChars="0"/>
        <w:rPr>
          <w:rFonts w:hint="eastAsia" w:ascii="微软雅黑" w:hAnsi="微软雅黑" w:cs="宋体"/>
          <w:color w:val="auto"/>
          <w:szCs w:val="21"/>
          <w:highlight w:val="none"/>
        </w:rPr>
      </w:pPr>
      <w:r>
        <w:rPr>
          <w:rFonts w:hint="eastAsia" w:ascii="微软雅黑" w:hAnsi="微软雅黑" w:cs="宋体"/>
          <w:color w:val="auto"/>
          <w:szCs w:val="21"/>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5EFD6B29">
      <w:pPr>
        <w:snapToGrid w:val="0"/>
        <w:ind w:firstLine="420" w:firstLineChars="0"/>
        <w:rPr>
          <w:rFonts w:hint="eastAsia" w:ascii="微软雅黑" w:hAnsi="微软雅黑" w:cs="宋体"/>
          <w:b/>
          <w:bCs/>
          <w:color w:val="auto"/>
          <w:szCs w:val="21"/>
          <w:highlight w:val="none"/>
        </w:rPr>
        <w:sectPr>
          <w:type w:val="continuous"/>
          <w:pgSz w:w="11906" w:h="16838"/>
          <w:pgMar w:top="1247" w:right="1418" w:bottom="1276" w:left="1418" w:header="851" w:footer="992" w:gutter="0"/>
          <w:cols w:space="720" w:num="1"/>
          <w:titlePg/>
          <w:docGrid w:linePitch="312" w:charSpace="0"/>
        </w:sectPr>
      </w:pPr>
      <w:r>
        <w:rPr>
          <w:rFonts w:hint="eastAsia" w:ascii="微软雅黑" w:hAnsi="微软雅黑" w:cs="宋体"/>
          <w:b/>
          <w:bCs/>
          <w:color w:val="auto"/>
          <w:szCs w:val="21"/>
          <w:highlight w:val="none"/>
        </w:rPr>
        <w:t>3.根据实际情况，在（</w:t>
      </w:r>
      <w:r>
        <w:rPr>
          <w:rFonts w:hint="eastAsia" w:ascii="微软雅黑" w:hAnsi="微软雅黑" w:cs="宋体"/>
          <w:b/>
          <w:bCs/>
          <w:color w:val="auto"/>
          <w:szCs w:val="21"/>
          <w:highlight w:val="none"/>
        </w:rPr>
        <w:sym w:font="Wingdings" w:char="00A8"/>
      </w:r>
      <w:r>
        <w:rPr>
          <w:rFonts w:hint="eastAsia" w:ascii="微软雅黑" w:hAnsi="微软雅黑" w:cs="宋体"/>
          <w:b/>
          <w:bCs/>
          <w:color w:val="auto"/>
          <w:szCs w:val="21"/>
          <w:highlight w:val="none"/>
        </w:rPr>
        <w:t>中型企业、</w:t>
      </w:r>
      <w:r>
        <w:rPr>
          <w:rFonts w:hint="eastAsia" w:ascii="微软雅黑" w:hAnsi="微软雅黑" w:cs="宋体"/>
          <w:b/>
          <w:bCs/>
          <w:color w:val="auto"/>
          <w:szCs w:val="21"/>
          <w:highlight w:val="none"/>
        </w:rPr>
        <w:sym w:font="Wingdings" w:char="00A8"/>
      </w:r>
      <w:r>
        <w:rPr>
          <w:rFonts w:hint="eastAsia" w:ascii="微软雅黑" w:hAnsi="微软雅黑" w:cs="宋体"/>
          <w:b/>
          <w:bCs/>
          <w:color w:val="auto"/>
          <w:szCs w:val="21"/>
          <w:highlight w:val="none"/>
        </w:rPr>
        <w:t>小型企业、</w:t>
      </w:r>
      <w:r>
        <w:rPr>
          <w:rFonts w:hint="eastAsia" w:ascii="微软雅黑" w:hAnsi="微软雅黑" w:cs="宋体"/>
          <w:b/>
          <w:bCs/>
          <w:color w:val="auto"/>
          <w:szCs w:val="21"/>
          <w:highlight w:val="none"/>
        </w:rPr>
        <w:sym w:font="Wingdings" w:char="00A8"/>
      </w:r>
      <w:r>
        <w:rPr>
          <w:rFonts w:hint="eastAsia" w:ascii="微软雅黑" w:hAnsi="微软雅黑" w:cs="宋体"/>
          <w:b/>
          <w:bCs/>
          <w:color w:val="auto"/>
          <w:szCs w:val="21"/>
          <w:highlight w:val="none"/>
        </w:rPr>
        <w:t>微型企业）处进行勾选。</w:t>
      </w:r>
    </w:p>
    <w:p w14:paraId="01E5152C">
      <w:pPr>
        <w:snapToGrid w:val="0"/>
        <w:ind w:firstLine="420"/>
        <w:jc w:val="left"/>
        <w:outlineLvl w:val="1"/>
        <w:rPr>
          <w:rFonts w:hint="default"/>
          <w:b/>
          <w:color w:val="auto"/>
          <w:highlight w:val="none"/>
          <w:lang w:val="en-US" w:eastAsia="zh-CN"/>
        </w:rPr>
      </w:pPr>
      <w:r>
        <w:rPr>
          <w:rFonts w:hint="eastAsia"/>
          <w:b/>
          <w:color w:val="auto"/>
          <w:highlight w:val="none"/>
          <w:lang w:val="en-US" w:eastAsia="zh-CN"/>
        </w:rPr>
        <w:t>标项二</w:t>
      </w:r>
    </w:p>
    <w:p w14:paraId="20FDC3D7">
      <w:pPr>
        <w:snapToGrid w:val="0"/>
        <w:ind w:firstLine="420"/>
        <w:jc w:val="center"/>
        <w:outlineLvl w:val="1"/>
        <w:rPr>
          <w:rFonts w:ascii="微软雅黑" w:hAnsi="微软雅黑" w:cs="宋体"/>
          <w:b/>
          <w:bCs/>
          <w:color w:val="auto"/>
          <w:szCs w:val="21"/>
          <w:highlight w:val="none"/>
        </w:rPr>
      </w:pPr>
      <w:r>
        <w:rPr>
          <w:rFonts w:hint="eastAsia" w:ascii="微软雅黑" w:hAnsi="微软雅黑" w:cs="宋体"/>
          <w:b/>
          <w:bCs/>
          <w:color w:val="auto"/>
          <w:szCs w:val="21"/>
          <w:highlight w:val="none"/>
        </w:rPr>
        <w:t>中小企业声明函</w:t>
      </w:r>
    </w:p>
    <w:p w14:paraId="40DFC5C3">
      <w:pPr>
        <w:snapToGrid w:val="0"/>
        <w:ind w:firstLine="630" w:firstLineChars="300"/>
        <w:rPr>
          <w:rFonts w:hint="eastAsia" w:ascii="微软雅黑" w:hAnsi="微软雅黑" w:cs="宋体"/>
          <w:color w:val="auto"/>
          <w:szCs w:val="21"/>
          <w:highlight w:val="none"/>
        </w:rPr>
      </w:pPr>
      <w:r>
        <w:rPr>
          <w:rFonts w:hint="eastAsia" w:ascii="微软雅黑" w:hAnsi="微软雅黑" w:cs="宋体"/>
          <w:color w:val="auto"/>
          <w:szCs w:val="21"/>
          <w:highlight w:val="none"/>
        </w:rPr>
        <w:t>本公司郑重声明，根据《政府采购促进中小企业发展管理办法》（财库﹝2020﹞46 号）的规定，本公司参加</w:t>
      </w:r>
      <w:r>
        <w:rPr>
          <w:rFonts w:hint="eastAsia" w:ascii="微软雅黑" w:hAnsi="微软雅黑" w:cs="宋体"/>
          <w:color w:val="auto"/>
          <w:szCs w:val="21"/>
          <w:highlight w:val="none"/>
          <w:u w:val="single"/>
        </w:rPr>
        <w:t>（单位名称）</w:t>
      </w:r>
      <w:r>
        <w:rPr>
          <w:rFonts w:hint="eastAsia" w:ascii="微软雅黑" w:hAnsi="微软雅黑" w:cs="宋体"/>
          <w:color w:val="auto"/>
          <w:szCs w:val="21"/>
          <w:highlight w:val="none"/>
        </w:rPr>
        <w:t>的</w:t>
      </w:r>
      <w:r>
        <w:rPr>
          <w:rFonts w:hint="eastAsia" w:ascii="微软雅黑" w:hAnsi="微软雅黑" w:cs="宋体"/>
          <w:color w:val="auto"/>
          <w:szCs w:val="21"/>
          <w:highlight w:val="none"/>
          <w:u w:val="single"/>
        </w:rPr>
        <w:t>（项目名称）</w:t>
      </w:r>
      <w:r>
        <w:rPr>
          <w:rFonts w:hint="eastAsia" w:ascii="微软雅黑" w:hAnsi="微软雅黑" w:cs="宋体"/>
          <w:color w:val="auto"/>
          <w:szCs w:val="21"/>
          <w:highlight w:val="none"/>
        </w:rPr>
        <w:t>采购活动，</w:t>
      </w:r>
      <w:r>
        <w:rPr>
          <w:rFonts w:hint="eastAsia" w:ascii="微软雅黑" w:hAnsi="微软雅黑" w:cs="宋体"/>
          <w:b/>
          <w:bCs/>
          <w:color w:val="auto"/>
          <w:szCs w:val="21"/>
          <w:highlight w:val="none"/>
          <w:shd w:val="pct10" w:color="auto" w:fill="FFFFFF"/>
        </w:rPr>
        <w:t>提供的货物全部由符合政策要求的中小企业制造</w:t>
      </w:r>
      <w:r>
        <w:rPr>
          <w:rFonts w:hint="eastAsia" w:ascii="微软雅黑" w:hAnsi="微软雅黑" w:cs="宋体"/>
          <w:color w:val="auto"/>
          <w:szCs w:val="21"/>
          <w:highlight w:val="none"/>
        </w:rPr>
        <w:t xml:space="preserve">。相关企业的具体情况如下： </w:t>
      </w:r>
    </w:p>
    <w:tbl>
      <w:tblPr>
        <w:tblStyle w:val="52"/>
        <w:tblW w:w="1016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7"/>
        <w:gridCol w:w="1611"/>
        <w:gridCol w:w="845"/>
        <w:gridCol w:w="1459"/>
        <w:gridCol w:w="1228"/>
        <w:gridCol w:w="1486"/>
        <w:gridCol w:w="1227"/>
        <w:gridCol w:w="1773"/>
      </w:tblGrid>
      <w:tr w14:paraId="29CC79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1" w:hRule="atLeast"/>
        </w:trPr>
        <w:tc>
          <w:tcPr>
            <w:tcW w:w="537" w:type="dxa"/>
            <w:tcBorders>
              <w:tl2br w:val="nil"/>
              <w:tr2bl w:val="nil"/>
            </w:tcBorders>
            <w:noWrap/>
            <w:vAlign w:val="center"/>
          </w:tcPr>
          <w:p w14:paraId="1068620E">
            <w:pPr>
              <w:widowControl/>
              <w:spacing w:after="0" w:line="240" w:lineRule="auto"/>
              <w:ind w:firstLine="0" w:firstLineChars="0"/>
              <w:jc w:val="center"/>
              <w:rPr>
                <w:rFonts w:ascii="微软雅黑" w:hAnsi="微软雅黑"/>
                <w:b/>
                <w:bCs/>
                <w:color w:val="auto"/>
                <w:kern w:val="0"/>
                <w:szCs w:val="21"/>
                <w:highlight w:val="none"/>
              </w:rPr>
            </w:pPr>
            <w:r>
              <w:rPr>
                <w:rFonts w:ascii="微软雅黑" w:hAnsi="微软雅黑"/>
                <w:b/>
                <w:bCs/>
                <w:color w:val="auto"/>
                <w:kern w:val="0"/>
                <w:szCs w:val="21"/>
                <w:highlight w:val="none"/>
              </w:rPr>
              <w:t>序号</w:t>
            </w:r>
          </w:p>
        </w:tc>
        <w:tc>
          <w:tcPr>
            <w:tcW w:w="1611" w:type="dxa"/>
            <w:tcBorders>
              <w:tl2br w:val="nil"/>
              <w:tr2bl w:val="nil"/>
            </w:tcBorders>
            <w:noWrap/>
            <w:vAlign w:val="center"/>
          </w:tcPr>
          <w:p w14:paraId="11A9A810">
            <w:pPr>
              <w:widowControl/>
              <w:spacing w:after="0" w:line="240" w:lineRule="auto"/>
              <w:ind w:firstLine="0" w:firstLineChars="0"/>
              <w:jc w:val="both"/>
              <w:rPr>
                <w:rFonts w:ascii="微软雅黑" w:hAnsi="微软雅黑"/>
                <w:b/>
                <w:bCs/>
                <w:color w:val="auto"/>
                <w:kern w:val="0"/>
                <w:szCs w:val="21"/>
                <w:highlight w:val="none"/>
              </w:rPr>
            </w:pPr>
            <w:r>
              <w:rPr>
                <w:rFonts w:ascii="微软雅黑" w:hAnsi="微软雅黑"/>
                <w:b/>
                <w:bCs/>
                <w:color w:val="auto"/>
                <w:kern w:val="0"/>
                <w:szCs w:val="21"/>
                <w:highlight w:val="none"/>
              </w:rPr>
              <w:t>设备名称</w:t>
            </w:r>
          </w:p>
        </w:tc>
        <w:tc>
          <w:tcPr>
            <w:tcW w:w="845" w:type="dxa"/>
            <w:tcBorders>
              <w:tl2br w:val="nil"/>
              <w:tr2bl w:val="nil"/>
            </w:tcBorders>
            <w:noWrap/>
            <w:vAlign w:val="center"/>
          </w:tcPr>
          <w:p w14:paraId="52825846">
            <w:pPr>
              <w:widowControl/>
              <w:spacing w:after="0" w:line="240" w:lineRule="auto"/>
              <w:ind w:firstLine="0" w:firstLineChars="0"/>
              <w:jc w:val="both"/>
              <w:rPr>
                <w:rFonts w:hint="eastAsia" w:ascii="微软雅黑" w:hAnsi="微软雅黑"/>
                <w:b/>
                <w:bCs/>
                <w:color w:val="auto"/>
                <w:kern w:val="0"/>
                <w:szCs w:val="21"/>
                <w:highlight w:val="none"/>
                <w:lang w:val="en-US" w:eastAsia="zh-CN"/>
              </w:rPr>
            </w:pPr>
            <w:r>
              <w:rPr>
                <w:rFonts w:hint="eastAsia" w:ascii="微软雅黑" w:hAnsi="微软雅黑"/>
                <w:b/>
                <w:bCs/>
                <w:color w:val="auto"/>
                <w:kern w:val="0"/>
                <w:szCs w:val="21"/>
                <w:highlight w:val="none"/>
                <w:lang w:val="en-US" w:eastAsia="zh-CN"/>
              </w:rPr>
              <w:t>所属</w:t>
            </w:r>
          </w:p>
          <w:p w14:paraId="3C6446A3">
            <w:pPr>
              <w:widowControl/>
              <w:spacing w:after="0" w:line="240" w:lineRule="auto"/>
              <w:ind w:firstLine="0" w:firstLineChars="0"/>
              <w:jc w:val="both"/>
              <w:rPr>
                <w:rFonts w:hint="default" w:ascii="微软雅黑" w:hAnsi="微软雅黑" w:eastAsia="微软雅黑"/>
                <w:b/>
                <w:bCs/>
                <w:color w:val="auto"/>
                <w:kern w:val="0"/>
                <w:szCs w:val="21"/>
                <w:highlight w:val="none"/>
                <w:lang w:val="en-US" w:eastAsia="zh-CN"/>
              </w:rPr>
            </w:pPr>
            <w:r>
              <w:rPr>
                <w:rFonts w:hint="eastAsia" w:ascii="微软雅黑" w:hAnsi="微软雅黑"/>
                <w:b/>
                <w:bCs/>
                <w:color w:val="auto"/>
                <w:kern w:val="0"/>
                <w:szCs w:val="21"/>
                <w:highlight w:val="none"/>
                <w:lang w:val="en-US" w:eastAsia="zh-CN"/>
              </w:rPr>
              <w:t>行业</w:t>
            </w:r>
          </w:p>
        </w:tc>
        <w:tc>
          <w:tcPr>
            <w:tcW w:w="1459" w:type="dxa"/>
            <w:tcBorders>
              <w:tl2br w:val="nil"/>
              <w:tr2bl w:val="nil"/>
            </w:tcBorders>
            <w:noWrap/>
            <w:vAlign w:val="center"/>
          </w:tcPr>
          <w:p w14:paraId="0246713A">
            <w:pPr>
              <w:widowControl/>
              <w:spacing w:after="0" w:line="240" w:lineRule="auto"/>
              <w:ind w:firstLine="0" w:firstLineChars="0"/>
              <w:jc w:val="both"/>
              <w:rPr>
                <w:rFonts w:hint="eastAsia" w:ascii="微软雅黑" w:hAnsi="微软雅黑"/>
                <w:b/>
                <w:bCs/>
                <w:color w:val="auto"/>
                <w:szCs w:val="21"/>
                <w:highlight w:val="none"/>
                <w:lang w:val="en-US" w:eastAsia="zh-CN"/>
              </w:rPr>
            </w:pPr>
            <w:r>
              <w:rPr>
                <w:rFonts w:hint="eastAsia" w:ascii="微软雅黑" w:hAnsi="微软雅黑"/>
                <w:b/>
                <w:bCs/>
                <w:color w:val="auto"/>
                <w:szCs w:val="21"/>
                <w:highlight w:val="none"/>
                <w:lang w:val="en-US" w:eastAsia="zh-CN"/>
              </w:rPr>
              <w:t>制造商</w:t>
            </w:r>
          </w:p>
          <w:p w14:paraId="4F3095E9">
            <w:pPr>
              <w:widowControl/>
              <w:spacing w:after="0" w:line="240" w:lineRule="auto"/>
              <w:ind w:firstLine="0" w:firstLineChars="0"/>
              <w:jc w:val="both"/>
              <w:rPr>
                <w:rFonts w:hint="default" w:ascii="微软雅黑" w:hAnsi="微软雅黑" w:eastAsia="微软雅黑"/>
                <w:b/>
                <w:bCs/>
                <w:color w:val="auto"/>
                <w:szCs w:val="21"/>
                <w:highlight w:val="none"/>
                <w:lang w:val="en-US" w:eastAsia="zh-CN"/>
              </w:rPr>
            </w:pPr>
            <w:r>
              <w:rPr>
                <w:rFonts w:hint="eastAsia" w:ascii="微软雅黑" w:hAnsi="微软雅黑"/>
                <w:b/>
                <w:bCs/>
                <w:color w:val="auto"/>
                <w:szCs w:val="21"/>
                <w:highlight w:val="none"/>
                <w:lang w:val="en-US" w:eastAsia="zh-CN"/>
              </w:rPr>
              <w:t>（企业名称）</w:t>
            </w:r>
          </w:p>
        </w:tc>
        <w:tc>
          <w:tcPr>
            <w:tcW w:w="1228" w:type="dxa"/>
            <w:tcBorders>
              <w:tl2br w:val="nil"/>
              <w:tr2bl w:val="nil"/>
            </w:tcBorders>
            <w:noWrap/>
            <w:vAlign w:val="center"/>
          </w:tcPr>
          <w:p w14:paraId="391C72D2">
            <w:pPr>
              <w:widowControl/>
              <w:spacing w:after="0" w:line="240" w:lineRule="auto"/>
              <w:ind w:firstLine="0" w:firstLineChars="0"/>
              <w:jc w:val="both"/>
              <w:rPr>
                <w:rFonts w:hint="eastAsia" w:ascii="微软雅黑" w:hAnsi="微软雅黑"/>
                <w:b/>
                <w:bCs/>
                <w:color w:val="auto"/>
                <w:szCs w:val="21"/>
                <w:highlight w:val="none"/>
                <w:lang w:val="en-US" w:eastAsia="zh-CN"/>
              </w:rPr>
            </w:pPr>
            <w:r>
              <w:rPr>
                <w:rFonts w:hint="eastAsia" w:ascii="微软雅黑" w:hAnsi="微软雅黑"/>
                <w:b/>
                <w:bCs/>
                <w:color w:val="auto"/>
                <w:szCs w:val="21"/>
                <w:highlight w:val="none"/>
                <w:lang w:val="en-US" w:eastAsia="zh-CN"/>
              </w:rPr>
              <w:t>制造商</w:t>
            </w:r>
          </w:p>
          <w:p w14:paraId="60CA15E5">
            <w:pPr>
              <w:widowControl/>
              <w:spacing w:after="0" w:line="240" w:lineRule="auto"/>
              <w:ind w:firstLine="0" w:firstLineChars="0"/>
              <w:jc w:val="both"/>
              <w:rPr>
                <w:rFonts w:hint="eastAsia" w:ascii="微软雅黑" w:hAnsi="微软雅黑"/>
                <w:b/>
                <w:bCs/>
                <w:color w:val="auto"/>
                <w:szCs w:val="21"/>
                <w:highlight w:val="none"/>
                <w:lang w:val="en-US" w:eastAsia="zh-CN"/>
              </w:rPr>
            </w:pPr>
            <w:r>
              <w:rPr>
                <w:rFonts w:hint="eastAsia" w:ascii="微软雅黑" w:hAnsi="微软雅黑"/>
                <w:b/>
                <w:bCs/>
                <w:color w:val="auto"/>
                <w:szCs w:val="21"/>
                <w:highlight w:val="none"/>
                <w:lang w:val="en-US" w:eastAsia="zh-CN"/>
              </w:rPr>
              <w:t>从业人员</w:t>
            </w:r>
          </w:p>
          <w:p w14:paraId="7C3C2806">
            <w:pPr>
              <w:widowControl/>
              <w:spacing w:after="0" w:line="240" w:lineRule="auto"/>
              <w:ind w:firstLine="0" w:firstLineChars="0"/>
              <w:jc w:val="both"/>
              <w:rPr>
                <w:rFonts w:hint="default" w:ascii="微软雅黑" w:hAnsi="微软雅黑"/>
                <w:b/>
                <w:bCs/>
                <w:color w:val="auto"/>
                <w:szCs w:val="21"/>
                <w:highlight w:val="none"/>
                <w:lang w:val="en-US" w:eastAsia="zh-CN"/>
              </w:rPr>
            </w:pPr>
            <w:r>
              <w:rPr>
                <w:rFonts w:hint="eastAsia" w:ascii="微软雅黑" w:hAnsi="微软雅黑"/>
                <w:b/>
                <w:bCs/>
                <w:color w:val="auto"/>
                <w:szCs w:val="21"/>
                <w:highlight w:val="none"/>
                <w:lang w:val="en-US" w:eastAsia="zh-CN"/>
              </w:rPr>
              <w:t>（人）</w:t>
            </w:r>
          </w:p>
        </w:tc>
        <w:tc>
          <w:tcPr>
            <w:tcW w:w="1486" w:type="dxa"/>
            <w:tcBorders>
              <w:tl2br w:val="nil"/>
              <w:tr2bl w:val="nil"/>
            </w:tcBorders>
            <w:noWrap/>
            <w:vAlign w:val="center"/>
          </w:tcPr>
          <w:p w14:paraId="551CF3BD">
            <w:pPr>
              <w:widowControl/>
              <w:spacing w:after="0" w:line="240" w:lineRule="auto"/>
              <w:ind w:firstLine="0" w:firstLineChars="0"/>
              <w:jc w:val="both"/>
              <w:rPr>
                <w:rFonts w:hint="eastAsia" w:ascii="微软雅黑" w:hAnsi="微软雅黑"/>
                <w:b/>
                <w:bCs/>
                <w:color w:val="auto"/>
                <w:szCs w:val="21"/>
                <w:highlight w:val="none"/>
                <w:lang w:val="en-US" w:eastAsia="zh-CN"/>
              </w:rPr>
            </w:pPr>
            <w:r>
              <w:rPr>
                <w:rFonts w:hint="eastAsia" w:ascii="微软雅黑" w:hAnsi="微软雅黑"/>
                <w:b/>
                <w:bCs/>
                <w:color w:val="auto"/>
                <w:szCs w:val="21"/>
                <w:highlight w:val="none"/>
                <w:lang w:val="en-US" w:eastAsia="zh-CN"/>
              </w:rPr>
              <w:t>制造商</w:t>
            </w:r>
          </w:p>
          <w:p w14:paraId="2CB4EE0B">
            <w:pPr>
              <w:widowControl/>
              <w:spacing w:after="0" w:line="240" w:lineRule="auto"/>
              <w:ind w:firstLine="0" w:firstLineChars="0"/>
              <w:jc w:val="both"/>
              <w:rPr>
                <w:rFonts w:hint="eastAsia" w:ascii="微软雅黑" w:hAnsi="微软雅黑"/>
                <w:b/>
                <w:bCs/>
                <w:color w:val="auto"/>
                <w:szCs w:val="21"/>
                <w:highlight w:val="none"/>
                <w:lang w:val="en-US" w:eastAsia="zh-CN"/>
              </w:rPr>
            </w:pPr>
            <w:r>
              <w:rPr>
                <w:rFonts w:hint="eastAsia" w:ascii="微软雅黑" w:hAnsi="微软雅黑"/>
                <w:b/>
                <w:bCs/>
                <w:color w:val="auto"/>
                <w:szCs w:val="21"/>
                <w:highlight w:val="none"/>
                <w:lang w:val="en-US" w:eastAsia="zh-CN"/>
              </w:rPr>
              <w:t>营业收入</w:t>
            </w:r>
          </w:p>
          <w:p w14:paraId="52472C34">
            <w:pPr>
              <w:widowControl/>
              <w:spacing w:after="0" w:line="240" w:lineRule="auto"/>
              <w:ind w:firstLine="0" w:firstLineChars="0"/>
              <w:jc w:val="both"/>
              <w:rPr>
                <w:rFonts w:hint="eastAsia" w:ascii="微软雅黑" w:hAnsi="微软雅黑"/>
                <w:b/>
                <w:bCs/>
                <w:color w:val="auto"/>
                <w:szCs w:val="21"/>
                <w:highlight w:val="none"/>
                <w:lang w:val="en-US" w:eastAsia="zh-CN"/>
              </w:rPr>
            </w:pPr>
            <w:r>
              <w:rPr>
                <w:rFonts w:hint="eastAsia" w:ascii="微软雅黑" w:hAnsi="微软雅黑"/>
                <w:b/>
                <w:bCs/>
                <w:color w:val="auto"/>
                <w:szCs w:val="21"/>
                <w:highlight w:val="none"/>
                <w:lang w:val="en-US" w:eastAsia="zh-CN"/>
              </w:rPr>
              <w:t>（万元）</w:t>
            </w:r>
          </w:p>
        </w:tc>
        <w:tc>
          <w:tcPr>
            <w:tcW w:w="1227" w:type="dxa"/>
            <w:tcBorders>
              <w:tl2br w:val="nil"/>
              <w:tr2bl w:val="nil"/>
            </w:tcBorders>
            <w:noWrap/>
            <w:vAlign w:val="center"/>
          </w:tcPr>
          <w:p w14:paraId="6D2511C8">
            <w:pPr>
              <w:widowControl/>
              <w:spacing w:after="0" w:line="240" w:lineRule="auto"/>
              <w:ind w:firstLine="0" w:firstLineChars="0"/>
              <w:jc w:val="both"/>
              <w:rPr>
                <w:rFonts w:hint="default" w:ascii="微软雅黑" w:hAnsi="微软雅黑" w:eastAsia="微软雅黑" w:cs="宋体"/>
                <w:color w:val="auto"/>
                <w:szCs w:val="21"/>
                <w:highlight w:val="none"/>
                <w:lang w:val="en-US" w:eastAsia="zh-CN"/>
              </w:rPr>
            </w:pPr>
            <w:r>
              <w:rPr>
                <w:rFonts w:hint="eastAsia" w:ascii="微软雅黑" w:hAnsi="微软雅黑" w:cs="宋体"/>
                <w:color w:val="auto"/>
                <w:szCs w:val="21"/>
                <w:highlight w:val="none"/>
                <w:lang w:val="en-US" w:eastAsia="zh-CN"/>
              </w:rPr>
              <w:t>制造商</w:t>
            </w:r>
          </w:p>
          <w:p w14:paraId="14E9756E">
            <w:pPr>
              <w:widowControl/>
              <w:spacing w:after="0" w:line="240" w:lineRule="auto"/>
              <w:ind w:firstLine="0" w:firstLineChars="0"/>
              <w:jc w:val="both"/>
              <w:rPr>
                <w:rFonts w:hint="default" w:ascii="微软雅黑" w:hAnsi="微软雅黑" w:eastAsia="微软雅黑"/>
                <w:b/>
                <w:bCs/>
                <w:color w:val="auto"/>
                <w:szCs w:val="21"/>
                <w:highlight w:val="none"/>
                <w:lang w:val="en-US" w:eastAsia="zh-CN"/>
              </w:rPr>
            </w:pPr>
            <w:r>
              <w:rPr>
                <w:rFonts w:hint="eastAsia" w:ascii="微软雅黑" w:hAnsi="微软雅黑" w:cs="宋体"/>
                <w:color w:val="auto"/>
                <w:szCs w:val="21"/>
                <w:highlight w:val="none"/>
              </w:rPr>
              <w:t>资产总额</w:t>
            </w:r>
            <w:r>
              <w:rPr>
                <w:rFonts w:hint="eastAsia" w:ascii="微软雅黑" w:hAnsi="微软雅黑" w:cs="宋体"/>
                <w:color w:val="auto"/>
                <w:szCs w:val="21"/>
                <w:highlight w:val="none"/>
                <w:lang w:eastAsia="zh-CN"/>
              </w:rPr>
              <w:t>（</w:t>
            </w:r>
            <w:r>
              <w:rPr>
                <w:rFonts w:hint="eastAsia" w:ascii="微软雅黑" w:hAnsi="微软雅黑" w:cs="宋体"/>
                <w:color w:val="auto"/>
                <w:szCs w:val="21"/>
                <w:highlight w:val="none"/>
                <w:lang w:val="en-US" w:eastAsia="zh-CN"/>
              </w:rPr>
              <w:t>万元）</w:t>
            </w:r>
          </w:p>
        </w:tc>
        <w:tc>
          <w:tcPr>
            <w:tcW w:w="1773" w:type="dxa"/>
            <w:tcBorders>
              <w:tl2br w:val="nil"/>
              <w:tr2bl w:val="nil"/>
            </w:tcBorders>
            <w:noWrap/>
            <w:vAlign w:val="center"/>
          </w:tcPr>
          <w:p w14:paraId="65772A8E">
            <w:pPr>
              <w:widowControl/>
              <w:spacing w:after="0" w:line="240" w:lineRule="auto"/>
              <w:ind w:firstLine="0" w:firstLineChars="0"/>
              <w:jc w:val="both"/>
              <w:rPr>
                <w:rFonts w:hint="default" w:ascii="微软雅黑" w:hAnsi="微软雅黑"/>
                <w:b/>
                <w:bCs/>
                <w:color w:val="auto"/>
                <w:szCs w:val="21"/>
                <w:highlight w:val="none"/>
                <w:lang w:val="en-US" w:eastAsia="zh-CN"/>
              </w:rPr>
            </w:pPr>
            <w:r>
              <w:rPr>
                <w:rFonts w:hint="eastAsia" w:ascii="微软雅黑" w:hAnsi="微软雅黑"/>
                <w:b/>
                <w:bCs/>
                <w:color w:val="auto"/>
                <w:szCs w:val="21"/>
                <w:highlight w:val="none"/>
                <w:lang w:val="en-US" w:eastAsia="zh-CN"/>
              </w:rPr>
              <w:t>企业类型</w:t>
            </w:r>
          </w:p>
        </w:tc>
      </w:tr>
      <w:tr w14:paraId="792F3C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trPr>
        <w:tc>
          <w:tcPr>
            <w:tcW w:w="537" w:type="dxa"/>
            <w:tcBorders>
              <w:tl2br w:val="nil"/>
              <w:tr2bl w:val="nil"/>
            </w:tcBorders>
            <w:noWrap/>
            <w:vAlign w:val="center"/>
          </w:tcPr>
          <w:p w14:paraId="6670185F">
            <w:pPr>
              <w:spacing w:after="0" w:line="240" w:lineRule="auto"/>
              <w:ind w:firstLine="0" w:firstLineChars="0"/>
              <w:jc w:val="center"/>
              <w:rPr>
                <w:rFonts w:ascii="微软雅黑" w:hAnsi="微软雅黑"/>
                <w:color w:val="auto"/>
                <w:szCs w:val="21"/>
                <w:highlight w:val="none"/>
              </w:rPr>
            </w:pPr>
            <w:r>
              <w:rPr>
                <w:rFonts w:hint="eastAsia" w:ascii="微软雅黑" w:hAnsi="微软雅黑"/>
                <w:color w:val="auto"/>
                <w:szCs w:val="21"/>
                <w:highlight w:val="none"/>
              </w:rPr>
              <w:t>1</w:t>
            </w:r>
          </w:p>
        </w:tc>
        <w:tc>
          <w:tcPr>
            <w:tcW w:w="1611" w:type="dxa"/>
            <w:tcBorders>
              <w:tl2br w:val="nil"/>
              <w:tr2bl w:val="nil"/>
            </w:tcBorders>
            <w:noWrap/>
            <w:vAlign w:val="center"/>
          </w:tcPr>
          <w:p w14:paraId="28A228C8">
            <w:pPr>
              <w:widowControl/>
              <w:spacing w:after="0" w:line="240" w:lineRule="auto"/>
              <w:ind w:firstLine="0" w:firstLineChars="0"/>
              <w:jc w:val="center"/>
              <w:rPr>
                <w:rFonts w:ascii="微软雅黑" w:hAnsi="微软雅黑" w:cs="微软雅黑"/>
                <w:color w:val="auto"/>
                <w:szCs w:val="21"/>
                <w:highlight w:val="none"/>
              </w:rPr>
            </w:pPr>
            <w:r>
              <w:rPr>
                <w:rFonts w:hint="eastAsia" w:ascii="微软雅黑" w:hAnsi="微软雅黑"/>
                <w:color w:val="auto"/>
                <w:szCs w:val="21"/>
                <w:highlight w:val="none"/>
              </w:rPr>
              <w:t>干燥实验装置</w:t>
            </w:r>
          </w:p>
        </w:tc>
        <w:tc>
          <w:tcPr>
            <w:tcW w:w="845" w:type="dxa"/>
            <w:tcBorders>
              <w:tl2br w:val="nil"/>
              <w:tr2bl w:val="nil"/>
            </w:tcBorders>
            <w:noWrap/>
            <w:vAlign w:val="center"/>
          </w:tcPr>
          <w:p w14:paraId="7C4338D4">
            <w:pPr>
              <w:spacing w:after="0" w:line="240" w:lineRule="auto"/>
              <w:ind w:firstLine="0" w:firstLineChars="0"/>
              <w:jc w:val="both"/>
              <w:rPr>
                <w:rFonts w:hint="default" w:ascii="微软雅黑" w:hAnsi="微软雅黑" w:eastAsia="微软雅黑" w:cs="微软雅黑"/>
                <w:color w:val="auto"/>
                <w:szCs w:val="21"/>
                <w:highlight w:val="none"/>
                <w:lang w:val="en-US" w:eastAsia="zh-CN"/>
              </w:rPr>
            </w:pPr>
            <w:r>
              <w:rPr>
                <w:rFonts w:hint="eastAsia" w:ascii="微软雅黑" w:hAnsi="微软雅黑" w:cs="微软雅黑"/>
                <w:color w:val="auto"/>
                <w:szCs w:val="21"/>
                <w:highlight w:val="none"/>
                <w:lang w:val="en-US" w:eastAsia="zh-CN"/>
              </w:rPr>
              <w:t>工业</w:t>
            </w:r>
          </w:p>
        </w:tc>
        <w:tc>
          <w:tcPr>
            <w:tcW w:w="1459" w:type="dxa"/>
            <w:tcBorders>
              <w:tl2br w:val="nil"/>
              <w:tr2bl w:val="nil"/>
            </w:tcBorders>
            <w:noWrap/>
            <w:vAlign w:val="center"/>
          </w:tcPr>
          <w:p w14:paraId="4B74EE3B">
            <w:pPr>
              <w:widowControl/>
              <w:spacing w:after="0" w:line="240" w:lineRule="auto"/>
              <w:ind w:firstLine="0" w:firstLineChars="0"/>
              <w:jc w:val="both"/>
              <w:rPr>
                <w:rFonts w:ascii="微软雅黑" w:hAnsi="微软雅黑" w:cs="微软雅黑"/>
                <w:b/>
                <w:bCs/>
                <w:color w:val="auto"/>
                <w:szCs w:val="21"/>
                <w:highlight w:val="none"/>
              </w:rPr>
            </w:pPr>
          </w:p>
        </w:tc>
        <w:tc>
          <w:tcPr>
            <w:tcW w:w="1228" w:type="dxa"/>
            <w:tcBorders>
              <w:tl2br w:val="nil"/>
              <w:tr2bl w:val="nil"/>
            </w:tcBorders>
            <w:noWrap/>
            <w:vAlign w:val="center"/>
          </w:tcPr>
          <w:p w14:paraId="55FFE7C4">
            <w:pPr>
              <w:widowControl/>
              <w:spacing w:after="0" w:line="240" w:lineRule="auto"/>
              <w:ind w:firstLine="0" w:firstLineChars="0"/>
              <w:jc w:val="both"/>
              <w:rPr>
                <w:rFonts w:ascii="微软雅黑" w:hAnsi="微软雅黑" w:cs="微软雅黑"/>
                <w:b/>
                <w:bCs/>
                <w:color w:val="auto"/>
                <w:szCs w:val="21"/>
                <w:highlight w:val="none"/>
              </w:rPr>
            </w:pPr>
          </w:p>
        </w:tc>
        <w:tc>
          <w:tcPr>
            <w:tcW w:w="1486" w:type="dxa"/>
            <w:tcBorders>
              <w:tl2br w:val="nil"/>
              <w:tr2bl w:val="nil"/>
            </w:tcBorders>
            <w:noWrap/>
            <w:vAlign w:val="center"/>
          </w:tcPr>
          <w:p w14:paraId="0A66A71A">
            <w:pPr>
              <w:widowControl/>
              <w:spacing w:after="0" w:line="240" w:lineRule="auto"/>
              <w:ind w:firstLine="0" w:firstLineChars="0"/>
              <w:jc w:val="both"/>
              <w:rPr>
                <w:rFonts w:ascii="微软雅黑" w:hAnsi="微软雅黑" w:cs="微软雅黑"/>
                <w:b/>
                <w:bCs/>
                <w:color w:val="auto"/>
                <w:szCs w:val="21"/>
                <w:highlight w:val="none"/>
              </w:rPr>
            </w:pPr>
          </w:p>
        </w:tc>
        <w:tc>
          <w:tcPr>
            <w:tcW w:w="1227" w:type="dxa"/>
            <w:tcBorders>
              <w:tl2br w:val="nil"/>
              <w:tr2bl w:val="nil"/>
            </w:tcBorders>
            <w:noWrap/>
            <w:vAlign w:val="center"/>
          </w:tcPr>
          <w:p w14:paraId="0F84DECF">
            <w:pPr>
              <w:widowControl/>
              <w:spacing w:after="0" w:line="240" w:lineRule="auto"/>
              <w:ind w:firstLine="0" w:firstLineChars="0"/>
              <w:jc w:val="both"/>
              <w:rPr>
                <w:rFonts w:hint="eastAsia" w:ascii="微软雅黑" w:hAnsi="微软雅黑" w:cs="宋体"/>
                <w:color w:val="auto"/>
                <w:szCs w:val="21"/>
                <w:highlight w:val="none"/>
              </w:rPr>
            </w:pPr>
          </w:p>
        </w:tc>
        <w:tc>
          <w:tcPr>
            <w:tcW w:w="1773" w:type="dxa"/>
            <w:tcBorders>
              <w:tl2br w:val="nil"/>
              <w:tr2bl w:val="nil"/>
            </w:tcBorders>
            <w:noWrap/>
            <w:vAlign w:val="center"/>
          </w:tcPr>
          <w:p w14:paraId="6B38DFED">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中型企业</w:t>
            </w:r>
          </w:p>
          <w:p w14:paraId="6DE117D7">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小型企业</w:t>
            </w:r>
          </w:p>
          <w:p w14:paraId="2DCC84CF">
            <w:pPr>
              <w:widowControl/>
              <w:spacing w:after="0" w:line="240" w:lineRule="auto"/>
              <w:ind w:firstLine="0" w:firstLineChars="0"/>
              <w:jc w:val="both"/>
              <w:rPr>
                <w:rFonts w:ascii="微软雅黑" w:hAnsi="微软雅黑" w:cs="微软雅黑"/>
                <w:b/>
                <w:bCs/>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微型</w:t>
            </w:r>
          </w:p>
        </w:tc>
      </w:tr>
      <w:tr w14:paraId="755CD0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trPr>
        <w:tc>
          <w:tcPr>
            <w:tcW w:w="537" w:type="dxa"/>
            <w:tcBorders>
              <w:tl2br w:val="nil"/>
              <w:tr2bl w:val="nil"/>
            </w:tcBorders>
            <w:noWrap/>
            <w:vAlign w:val="center"/>
          </w:tcPr>
          <w:p w14:paraId="2945EC13">
            <w:pPr>
              <w:spacing w:after="0" w:line="240" w:lineRule="auto"/>
              <w:ind w:firstLine="0" w:firstLineChars="0"/>
              <w:jc w:val="center"/>
              <w:rPr>
                <w:rFonts w:ascii="微软雅黑" w:hAnsi="微软雅黑"/>
                <w:color w:val="auto"/>
                <w:szCs w:val="21"/>
                <w:highlight w:val="none"/>
              </w:rPr>
            </w:pPr>
            <w:r>
              <w:rPr>
                <w:rFonts w:hint="eastAsia" w:ascii="微软雅黑" w:hAnsi="微软雅黑"/>
                <w:color w:val="auto"/>
                <w:szCs w:val="21"/>
                <w:highlight w:val="none"/>
              </w:rPr>
              <w:t>2</w:t>
            </w:r>
          </w:p>
        </w:tc>
        <w:tc>
          <w:tcPr>
            <w:tcW w:w="1611" w:type="dxa"/>
            <w:tcBorders>
              <w:tl2br w:val="nil"/>
              <w:tr2bl w:val="nil"/>
            </w:tcBorders>
            <w:noWrap/>
            <w:vAlign w:val="center"/>
          </w:tcPr>
          <w:p w14:paraId="3EB8FA4F">
            <w:pPr>
              <w:widowControl/>
              <w:spacing w:after="0" w:line="240" w:lineRule="auto"/>
              <w:ind w:firstLine="0" w:firstLineChars="0"/>
              <w:jc w:val="center"/>
              <w:rPr>
                <w:rFonts w:ascii="微软雅黑" w:hAnsi="微软雅黑" w:cs="微软雅黑"/>
                <w:color w:val="auto"/>
                <w:szCs w:val="21"/>
                <w:highlight w:val="none"/>
              </w:rPr>
            </w:pPr>
            <w:r>
              <w:rPr>
                <w:rFonts w:hint="eastAsia" w:ascii="微软雅黑" w:hAnsi="微软雅黑"/>
                <w:color w:val="auto"/>
                <w:szCs w:val="21"/>
                <w:highlight w:val="none"/>
              </w:rPr>
              <w:t>化工流动综合实验装置</w:t>
            </w:r>
          </w:p>
        </w:tc>
        <w:tc>
          <w:tcPr>
            <w:tcW w:w="845" w:type="dxa"/>
            <w:tcBorders>
              <w:tl2br w:val="nil"/>
              <w:tr2bl w:val="nil"/>
            </w:tcBorders>
            <w:noWrap/>
            <w:vAlign w:val="center"/>
          </w:tcPr>
          <w:p w14:paraId="59010EBF">
            <w:pPr>
              <w:spacing w:after="0" w:line="240" w:lineRule="auto"/>
              <w:ind w:firstLine="0" w:firstLineChars="0"/>
              <w:jc w:val="both"/>
              <w:rPr>
                <w:rFonts w:ascii="微软雅黑" w:hAnsi="微软雅黑" w:cs="微软雅黑"/>
                <w:color w:val="auto"/>
                <w:szCs w:val="21"/>
                <w:highlight w:val="none"/>
              </w:rPr>
            </w:pPr>
            <w:r>
              <w:rPr>
                <w:rFonts w:hint="eastAsia" w:ascii="微软雅黑" w:hAnsi="微软雅黑" w:cs="微软雅黑"/>
                <w:color w:val="auto"/>
                <w:szCs w:val="21"/>
                <w:highlight w:val="none"/>
                <w:lang w:val="en-US" w:eastAsia="zh-CN"/>
              </w:rPr>
              <w:t>工业</w:t>
            </w:r>
          </w:p>
        </w:tc>
        <w:tc>
          <w:tcPr>
            <w:tcW w:w="1459" w:type="dxa"/>
            <w:tcBorders>
              <w:tl2br w:val="nil"/>
              <w:tr2bl w:val="nil"/>
            </w:tcBorders>
            <w:noWrap/>
            <w:vAlign w:val="center"/>
          </w:tcPr>
          <w:p w14:paraId="5E56DA81">
            <w:pPr>
              <w:widowControl/>
              <w:spacing w:after="0" w:line="240" w:lineRule="auto"/>
              <w:ind w:firstLine="0" w:firstLineChars="0"/>
              <w:jc w:val="both"/>
              <w:rPr>
                <w:rFonts w:ascii="微软雅黑" w:hAnsi="微软雅黑" w:cs="微软雅黑"/>
                <w:b/>
                <w:bCs/>
                <w:color w:val="auto"/>
                <w:szCs w:val="21"/>
                <w:highlight w:val="none"/>
              </w:rPr>
            </w:pPr>
          </w:p>
        </w:tc>
        <w:tc>
          <w:tcPr>
            <w:tcW w:w="1228" w:type="dxa"/>
            <w:tcBorders>
              <w:tl2br w:val="nil"/>
              <w:tr2bl w:val="nil"/>
            </w:tcBorders>
            <w:noWrap/>
            <w:vAlign w:val="center"/>
          </w:tcPr>
          <w:p w14:paraId="3FDBAA6C">
            <w:pPr>
              <w:widowControl/>
              <w:spacing w:after="0" w:line="240" w:lineRule="auto"/>
              <w:ind w:firstLine="0" w:firstLineChars="0"/>
              <w:jc w:val="both"/>
              <w:rPr>
                <w:rFonts w:ascii="微软雅黑" w:hAnsi="微软雅黑" w:cs="微软雅黑"/>
                <w:b/>
                <w:bCs/>
                <w:color w:val="auto"/>
                <w:szCs w:val="21"/>
                <w:highlight w:val="none"/>
              </w:rPr>
            </w:pPr>
          </w:p>
        </w:tc>
        <w:tc>
          <w:tcPr>
            <w:tcW w:w="1486" w:type="dxa"/>
            <w:tcBorders>
              <w:tl2br w:val="nil"/>
              <w:tr2bl w:val="nil"/>
            </w:tcBorders>
            <w:noWrap/>
            <w:vAlign w:val="center"/>
          </w:tcPr>
          <w:p w14:paraId="75969734">
            <w:pPr>
              <w:widowControl/>
              <w:spacing w:after="0" w:line="240" w:lineRule="auto"/>
              <w:ind w:firstLine="0" w:firstLineChars="0"/>
              <w:jc w:val="both"/>
              <w:rPr>
                <w:rFonts w:ascii="微软雅黑" w:hAnsi="微软雅黑" w:cs="微软雅黑"/>
                <w:b/>
                <w:bCs/>
                <w:color w:val="auto"/>
                <w:szCs w:val="21"/>
                <w:highlight w:val="none"/>
              </w:rPr>
            </w:pPr>
          </w:p>
        </w:tc>
        <w:tc>
          <w:tcPr>
            <w:tcW w:w="1227" w:type="dxa"/>
            <w:tcBorders>
              <w:tl2br w:val="nil"/>
              <w:tr2bl w:val="nil"/>
            </w:tcBorders>
            <w:noWrap/>
            <w:vAlign w:val="center"/>
          </w:tcPr>
          <w:p w14:paraId="0EA6EED2">
            <w:pPr>
              <w:widowControl/>
              <w:spacing w:after="0" w:line="240" w:lineRule="auto"/>
              <w:ind w:firstLine="0" w:firstLineChars="0"/>
              <w:jc w:val="both"/>
              <w:rPr>
                <w:rFonts w:ascii="微软雅黑" w:hAnsi="微软雅黑" w:cs="微软雅黑"/>
                <w:b/>
                <w:bCs/>
                <w:color w:val="auto"/>
                <w:szCs w:val="21"/>
                <w:highlight w:val="none"/>
              </w:rPr>
            </w:pPr>
          </w:p>
        </w:tc>
        <w:tc>
          <w:tcPr>
            <w:tcW w:w="1773" w:type="dxa"/>
            <w:tcBorders>
              <w:tl2br w:val="nil"/>
              <w:tr2bl w:val="nil"/>
            </w:tcBorders>
            <w:noWrap/>
            <w:vAlign w:val="center"/>
          </w:tcPr>
          <w:p w14:paraId="05F18AB8">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中型企业</w:t>
            </w:r>
          </w:p>
          <w:p w14:paraId="63C34E1D">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小型企业</w:t>
            </w:r>
          </w:p>
          <w:p w14:paraId="0A6B35E9">
            <w:pPr>
              <w:widowControl/>
              <w:spacing w:after="0" w:line="240" w:lineRule="auto"/>
              <w:ind w:firstLine="0" w:firstLineChars="0"/>
              <w:jc w:val="both"/>
              <w:rPr>
                <w:rFonts w:ascii="微软雅黑" w:hAnsi="微软雅黑" w:cs="微软雅黑"/>
                <w:b/>
                <w:bCs/>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微型</w:t>
            </w:r>
          </w:p>
        </w:tc>
      </w:tr>
      <w:tr w14:paraId="5A651D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trPr>
        <w:tc>
          <w:tcPr>
            <w:tcW w:w="537" w:type="dxa"/>
            <w:tcBorders>
              <w:tl2br w:val="nil"/>
              <w:tr2bl w:val="nil"/>
            </w:tcBorders>
            <w:noWrap/>
            <w:vAlign w:val="center"/>
          </w:tcPr>
          <w:p w14:paraId="6864DCF6">
            <w:pPr>
              <w:spacing w:after="0" w:line="240" w:lineRule="auto"/>
              <w:ind w:firstLine="0" w:firstLineChars="0"/>
              <w:jc w:val="center"/>
              <w:rPr>
                <w:rFonts w:ascii="微软雅黑" w:hAnsi="微软雅黑"/>
                <w:color w:val="auto"/>
                <w:szCs w:val="21"/>
                <w:highlight w:val="none"/>
              </w:rPr>
            </w:pPr>
            <w:r>
              <w:rPr>
                <w:rFonts w:hint="eastAsia" w:ascii="微软雅黑" w:hAnsi="微软雅黑"/>
                <w:color w:val="auto"/>
                <w:szCs w:val="21"/>
                <w:highlight w:val="none"/>
              </w:rPr>
              <w:t>3</w:t>
            </w:r>
          </w:p>
        </w:tc>
        <w:tc>
          <w:tcPr>
            <w:tcW w:w="1611" w:type="dxa"/>
            <w:tcBorders>
              <w:tl2br w:val="nil"/>
              <w:tr2bl w:val="nil"/>
            </w:tcBorders>
            <w:noWrap/>
            <w:vAlign w:val="center"/>
          </w:tcPr>
          <w:p w14:paraId="141DF13B">
            <w:pPr>
              <w:widowControl/>
              <w:spacing w:after="0" w:line="240" w:lineRule="auto"/>
              <w:ind w:firstLine="0" w:firstLineChars="0"/>
              <w:jc w:val="center"/>
              <w:rPr>
                <w:rFonts w:ascii="微软雅黑" w:hAnsi="微软雅黑" w:cs="微软雅黑"/>
                <w:color w:val="auto"/>
                <w:szCs w:val="21"/>
                <w:highlight w:val="none"/>
              </w:rPr>
            </w:pPr>
            <w:r>
              <w:rPr>
                <w:rFonts w:hint="eastAsia" w:ascii="微软雅黑" w:hAnsi="微软雅黑"/>
                <w:color w:val="auto"/>
                <w:szCs w:val="21"/>
                <w:highlight w:val="none"/>
              </w:rPr>
              <w:t>精馏实验装置</w:t>
            </w:r>
          </w:p>
        </w:tc>
        <w:tc>
          <w:tcPr>
            <w:tcW w:w="845" w:type="dxa"/>
            <w:tcBorders>
              <w:tl2br w:val="nil"/>
              <w:tr2bl w:val="nil"/>
            </w:tcBorders>
            <w:shd w:val="clear" w:color="auto" w:fill="auto"/>
            <w:noWrap/>
            <w:vAlign w:val="center"/>
          </w:tcPr>
          <w:p w14:paraId="24084A31">
            <w:pPr>
              <w:spacing w:after="0" w:line="240" w:lineRule="auto"/>
              <w:ind w:firstLine="0" w:firstLineChars="0"/>
              <w:jc w:val="both"/>
              <w:rPr>
                <w:rFonts w:hint="default" w:ascii="微软雅黑" w:hAnsi="微软雅黑" w:eastAsia="微软雅黑" w:cs="微软雅黑"/>
                <w:color w:val="auto"/>
                <w:kern w:val="2"/>
                <w:sz w:val="21"/>
                <w:szCs w:val="21"/>
                <w:highlight w:val="none"/>
                <w:lang w:val="en-US" w:eastAsia="zh-CN" w:bidi="ar-SA"/>
              </w:rPr>
            </w:pPr>
            <w:r>
              <w:rPr>
                <w:rFonts w:hint="eastAsia" w:ascii="微软雅黑" w:hAnsi="微软雅黑" w:cs="微软雅黑"/>
                <w:color w:val="auto"/>
                <w:szCs w:val="21"/>
                <w:highlight w:val="none"/>
                <w:lang w:val="en-US" w:eastAsia="zh-CN"/>
              </w:rPr>
              <w:t>工业</w:t>
            </w:r>
          </w:p>
        </w:tc>
        <w:tc>
          <w:tcPr>
            <w:tcW w:w="1459" w:type="dxa"/>
            <w:tcBorders>
              <w:tl2br w:val="nil"/>
              <w:tr2bl w:val="nil"/>
            </w:tcBorders>
            <w:noWrap/>
            <w:vAlign w:val="center"/>
          </w:tcPr>
          <w:p w14:paraId="11F622F0">
            <w:pPr>
              <w:widowControl/>
              <w:spacing w:after="0" w:line="240" w:lineRule="auto"/>
              <w:ind w:firstLine="0" w:firstLineChars="0"/>
              <w:jc w:val="both"/>
              <w:rPr>
                <w:rFonts w:ascii="微软雅黑" w:hAnsi="微软雅黑" w:cs="微软雅黑"/>
                <w:b/>
                <w:bCs/>
                <w:color w:val="auto"/>
                <w:szCs w:val="21"/>
                <w:highlight w:val="none"/>
              </w:rPr>
            </w:pPr>
          </w:p>
        </w:tc>
        <w:tc>
          <w:tcPr>
            <w:tcW w:w="1228" w:type="dxa"/>
            <w:tcBorders>
              <w:tl2br w:val="nil"/>
              <w:tr2bl w:val="nil"/>
            </w:tcBorders>
            <w:noWrap/>
            <w:vAlign w:val="center"/>
          </w:tcPr>
          <w:p w14:paraId="40BC35DB">
            <w:pPr>
              <w:widowControl/>
              <w:spacing w:after="0" w:line="240" w:lineRule="auto"/>
              <w:ind w:firstLine="0" w:firstLineChars="0"/>
              <w:jc w:val="both"/>
              <w:rPr>
                <w:rFonts w:ascii="微软雅黑" w:hAnsi="微软雅黑" w:cs="微软雅黑"/>
                <w:b/>
                <w:bCs/>
                <w:color w:val="auto"/>
                <w:szCs w:val="21"/>
                <w:highlight w:val="none"/>
              </w:rPr>
            </w:pPr>
          </w:p>
        </w:tc>
        <w:tc>
          <w:tcPr>
            <w:tcW w:w="1486" w:type="dxa"/>
            <w:tcBorders>
              <w:tl2br w:val="nil"/>
              <w:tr2bl w:val="nil"/>
            </w:tcBorders>
            <w:noWrap/>
            <w:vAlign w:val="center"/>
          </w:tcPr>
          <w:p w14:paraId="78D814EE">
            <w:pPr>
              <w:widowControl/>
              <w:spacing w:after="0" w:line="240" w:lineRule="auto"/>
              <w:ind w:firstLine="0" w:firstLineChars="0"/>
              <w:jc w:val="both"/>
              <w:rPr>
                <w:rFonts w:ascii="微软雅黑" w:hAnsi="微软雅黑" w:cs="微软雅黑"/>
                <w:b/>
                <w:bCs/>
                <w:color w:val="auto"/>
                <w:szCs w:val="21"/>
                <w:highlight w:val="none"/>
              </w:rPr>
            </w:pPr>
          </w:p>
        </w:tc>
        <w:tc>
          <w:tcPr>
            <w:tcW w:w="1227" w:type="dxa"/>
            <w:tcBorders>
              <w:tl2br w:val="nil"/>
              <w:tr2bl w:val="nil"/>
            </w:tcBorders>
            <w:noWrap/>
            <w:vAlign w:val="center"/>
          </w:tcPr>
          <w:p w14:paraId="5D2B40A9">
            <w:pPr>
              <w:widowControl/>
              <w:spacing w:after="0" w:line="240" w:lineRule="auto"/>
              <w:ind w:firstLine="0" w:firstLineChars="0"/>
              <w:jc w:val="both"/>
              <w:rPr>
                <w:rFonts w:ascii="微软雅黑" w:hAnsi="微软雅黑" w:cs="微软雅黑"/>
                <w:b/>
                <w:bCs/>
                <w:color w:val="auto"/>
                <w:szCs w:val="21"/>
                <w:highlight w:val="none"/>
              </w:rPr>
            </w:pPr>
          </w:p>
        </w:tc>
        <w:tc>
          <w:tcPr>
            <w:tcW w:w="1773" w:type="dxa"/>
            <w:tcBorders>
              <w:tl2br w:val="nil"/>
              <w:tr2bl w:val="nil"/>
            </w:tcBorders>
            <w:shd w:val="clear" w:color="auto" w:fill="auto"/>
            <w:noWrap/>
            <w:vAlign w:val="center"/>
          </w:tcPr>
          <w:p w14:paraId="46DE9667">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中型企业</w:t>
            </w:r>
          </w:p>
          <w:p w14:paraId="5523D833">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小型企业</w:t>
            </w:r>
          </w:p>
          <w:p w14:paraId="1B455D02">
            <w:pPr>
              <w:widowControl/>
              <w:spacing w:after="0" w:line="240" w:lineRule="auto"/>
              <w:ind w:firstLine="0" w:firstLineChars="0"/>
              <w:jc w:val="both"/>
              <w:rPr>
                <w:rFonts w:ascii="微软雅黑" w:hAnsi="微软雅黑" w:eastAsia="微软雅黑" w:cs="微软雅黑"/>
                <w:b/>
                <w:bCs/>
                <w:color w:val="auto"/>
                <w:kern w:val="2"/>
                <w:sz w:val="21"/>
                <w:szCs w:val="21"/>
                <w:highlight w:val="none"/>
                <w:lang w:val="en-US" w:eastAsia="zh-CN" w:bidi="ar-SA"/>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微型</w:t>
            </w:r>
          </w:p>
        </w:tc>
      </w:tr>
      <w:tr w14:paraId="05D4D2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trPr>
        <w:tc>
          <w:tcPr>
            <w:tcW w:w="537" w:type="dxa"/>
            <w:tcBorders>
              <w:tl2br w:val="nil"/>
              <w:tr2bl w:val="nil"/>
            </w:tcBorders>
            <w:noWrap/>
            <w:vAlign w:val="center"/>
          </w:tcPr>
          <w:p w14:paraId="0ED27BA6">
            <w:pPr>
              <w:spacing w:after="0" w:line="240" w:lineRule="auto"/>
              <w:ind w:firstLine="0" w:firstLineChars="0"/>
              <w:jc w:val="center"/>
              <w:rPr>
                <w:rFonts w:ascii="微软雅黑" w:hAnsi="微软雅黑"/>
                <w:color w:val="auto"/>
                <w:szCs w:val="21"/>
                <w:highlight w:val="none"/>
              </w:rPr>
            </w:pPr>
            <w:r>
              <w:rPr>
                <w:rFonts w:hint="eastAsia" w:ascii="微软雅黑" w:hAnsi="微软雅黑"/>
                <w:color w:val="auto"/>
                <w:szCs w:val="21"/>
                <w:highlight w:val="none"/>
              </w:rPr>
              <w:t>4</w:t>
            </w:r>
          </w:p>
        </w:tc>
        <w:tc>
          <w:tcPr>
            <w:tcW w:w="1611" w:type="dxa"/>
            <w:tcBorders>
              <w:tl2br w:val="nil"/>
              <w:tr2bl w:val="nil"/>
            </w:tcBorders>
            <w:noWrap/>
            <w:vAlign w:val="center"/>
          </w:tcPr>
          <w:p w14:paraId="00454E7D">
            <w:pPr>
              <w:widowControl/>
              <w:spacing w:after="0" w:line="240" w:lineRule="auto"/>
              <w:ind w:firstLine="0" w:firstLineChars="0"/>
              <w:jc w:val="center"/>
              <w:rPr>
                <w:rFonts w:ascii="微软雅黑" w:hAnsi="微软雅黑" w:cs="微软雅黑"/>
                <w:color w:val="auto"/>
                <w:szCs w:val="21"/>
                <w:highlight w:val="none"/>
              </w:rPr>
            </w:pPr>
            <w:r>
              <w:rPr>
                <w:rFonts w:hint="eastAsia" w:ascii="微软雅黑" w:hAnsi="微软雅黑"/>
                <w:color w:val="auto"/>
                <w:szCs w:val="21"/>
                <w:highlight w:val="none"/>
              </w:rPr>
              <w:t>传热实验装置</w:t>
            </w:r>
          </w:p>
        </w:tc>
        <w:tc>
          <w:tcPr>
            <w:tcW w:w="845" w:type="dxa"/>
            <w:tcBorders>
              <w:tl2br w:val="nil"/>
              <w:tr2bl w:val="nil"/>
            </w:tcBorders>
            <w:shd w:val="clear" w:color="auto" w:fill="auto"/>
            <w:noWrap/>
            <w:vAlign w:val="center"/>
          </w:tcPr>
          <w:p w14:paraId="6E7618AC">
            <w:pPr>
              <w:spacing w:after="0" w:line="240" w:lineRule="auto"/>
              <w:ind w:firstLine="0" w:firstLineChars="0"/>
              <w:jc w:val="both"/>
              <w:rPr>
                <w:rFonts w:ascii="微软雅黑" w:hAnsi="微软雅黑" w:eastAsia="微软雅黑" w:cs="微软雅黑"/>
                <w:color w:val="auto"/>
                <w:kern w:val="2"/>
                <w:sz w:val="21"/>
                <w:szCs w:val="21"/>
                <w:highlight w:val="none"/>
                <w:lang w:val="en-US" w:eastAsia="zh-CN" w:bidi="ar-SA"/>
              </w:rPr>
            </w:pPr>
            <w:r>
              <w:rPr>
                <w:rFonts w:hint="eastAsia" w:ascii="微软雅黑" w:hAnsi="微软雅黑" w:cs="微软雅黑"/>
                <w:color w:val="auto"/>
                <w:szCs w:val="21"/>
                <w:highlight w:val="none"/>
                <w:lang w:val="en-US" w:eastAsia="zh-CN"/>
              </w:rPr>
              <w:t>工业</w:t>
            </w:r>
          </w:p>
        </w:tc>
        <w:tc>
          <w:tcPr>
            <w:tcW w:w="1459" w:type="dxa"/>
            <w:tcBorders>
              <w:tl2br w:val="nil"/>
              <w:tr2bl w:val="nil"/>
            </w:tcBorders>
            <w:noWrap/>
            <w:vAlign w:val="center"/>
          </w:tcPr>
          <w:p w14:paraId="47E8CF47">
            <w:pPr>
              <w:widowControl/>
              <w:spacing w:after="0" w:line="240" w:lineRule="auto"/>
              <w:ind w:firstLine="0" w:firstLineChars="0"/>
              <w:jc w:val="both"/>
              <w:rPr>
                <w:rFonts w:ascii="微软雅黑" w:hAnsi="微软雅黑" w:cs="微软雅黑"/>
                <w:b/>
                <w:bCs/>
                <w:color w:val="auto"/>
                <w:szCs w:val="21"/>
                <w:highlight w:val="none"/>
              </w:rPr>
            </w:pPr>
          </w:p>
        </w:tc>
        <w:tc>
          <w:tcPr>
            <w:tcW w:w="1228" w:type="dxa"/>
            <w:tcBorders>
              <w:tl2br w:val="nil"/>
              <w:tr2bl w:val="nil"/>
            </w:tcBorders>
            <w:noWrap/>
            <w:vAlign w:val="center"/>
          </w:tcPr>
          <w:p w14:paraId="22F5485A">
            <w:pPr>
              <w:widowControl/>
              <w:spacing w:after="0" w:line="240" w:lineRule="auto"/>
              <w:ind w:firstLine="0" w:firstLineChars="0"/>
              <w:jc w:val="both"/>
              <w:rPr>
                <w:rFonts w:ascii="微软雅黑" w:hAnsi="微软雅黑" w:cs="微软雅黑"/>
                <w:b/>
                <w:bCs/>
                <w:color w:val="auto"/>
                <w:szCs w:val="21"/>
                <w:highlight w:val="none"/>
              </w:rPr>
            </w:pPr>
          </w:p>
        </w:tc>
        <w:tc>
          <w:tcPr>
            <w:tcW w:w="1486" w:type="dxa"/>
            <w:tcBorders>
              <w:tl2br w:val="nil"/>
              <w:tr2bl w:val="nil"/>
            </w:tcBorders>
            <w:noWrap/>
            <w:vAlign w:val="center"/>
          </w:tcPr>
          <w:p w14:paraId="3AAC54AC">
            <w:pPr>
              <w:widowControl/>
              <w:spacing w:after="0" w:line="240" w:lineRule="auto"/>
              <w:ind w:firstLine="0" w:firstLineChars="0"/>
              <w:jc w:val="both"/>
              <w:rPr>
                <w:rFonts w:ascii="微软雅黑" w:hAnsi="微软雅黑" w:cs="微软雅黑"/>
                <w:b/>
                <w:bCs/>
                <w:color w:val="auto"/>
                <w:szCs w:val="21"/>
                <w:highlight w:val="none"/>
              </w:rPr>
            </w:pPr>
          </w:p>
        </w:tc>
        <w:tc>
          <w:tcPr>
            <w:tcW w:w="1227" w:type="dxa"/>
            <w:tcBorders>
              <w:tl2br w:val="nil"/>
              <w:tr2bl w:val="nil"/>
            </w:tcBorders>
            <w:noWrap/>
            <w:vAlign w:val="center"/>
          </w:tcPr>
          <w:p w14:paraId="6F1106E2">
            <w:pPr>
              <w:widowControl/>
              <w:spacing w:after="0" w:line="240" w:lineRule="auto"/>
              <w:ind w:firstLine="0" w:firstLineChars="0"/>
              <w:jc w:val="both"/>
              <w:rPr>
                <w:rFonts w:ascii="微软雅黑" w:hAnsi="微软雅黑" w:cs="微软雅黑"/>
                <w:b/>
                <w:bCs/>
                <w:color w:val="auto"/>
                <w:szCs w:val="21"/>
                <w:highlight w:val="none"/>
              </w:rPr>
            </w:pPr>
          </w:p>
        </w:tc>
        <w:tc>
          <w:tcPr>
            <w:tcW w:w="1773" w:type="dxa"/>
            <w:tcBorders>
              <w:tl2br w:val="nil"/>
              <w:tr2bl w:val="nil"/>
            </w:tcBorders>
            <w:shd w:val="clear" w:color="auto" w:fill="auto"/>
            <w:noWrap/>
            <w:vAlign w:val="center"/>
          </w:tcPr>
          <w:p w14:paraId="7D855E6D">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中型企业</w:t>
            </w:r>
          </w:p>
          <w:p w14:paraId="3B4FD425">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小型企业</w:t>
            </w:r>
          </w:p>
          <w:p w14:paraId="03C1EDF9">
            <w:pPr>
              <w:widowControl/>
              <w:spacing w:after="0" w:line="240" w:lineRule="auto"/>
              <w:ind w:firstLine="0" w:firstLineChars="0"/>
              <w:jc w:val="both"/>
              <w:rPr>
                <w:rFonts w:ascii="微软雅黑" w:hAnsi="微软雅黑" w:eastAsia="微软雅黑" w:cs="微软雅黑"/>
                <w:b/>
                <w:bCs/>
                <w:color w:val="auto"/>
                <w:kern w:val="2"/>
                <w:sz w:val="21"/>
                <w:szCs w:val="21"/>
                <w:highlight w:val="none"/>
                <w:lang w:val="en-US" w:eastAsia="zh-CN" w:bidi="ar-SA"/>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微型</w:t>
            </w:r>
          </w:p>
        </w:tc>
      </w:tr>
      <w:tr w14:paraId="27DABB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trPr>
        <w:tc>
          <w:tcPr>
            <w:tcW w:w="537" w:type="dxa"/>
            <w:tcBorders>
              <w:tl2br w:val="nil"/>
              <w:tr2bl w:val="nil"/>
            </w:tcBorders>
            <w:noWrap/>
            <w:vAlign w:val="center"/>
          </w:tcPr>
          <w:p w14:paraId="132E2BE7">
            <w:pPr>
              <w:spacing w:after="0" w:line="240" w:lineRule="auto"/>
              <w:ind w:firstLine="0" w:firstLineChars="0"/>
              <w:jc w:val="center"/>
              <w:rPr>
                <w:rFonts w:ascii="微软雅黑" w:hAnsi="微软雅黑"/>
                <w:color w:val="auto"/>
                <w:szCs w:val="21"/>
                <w:highlight w:val="none"/>
              </w:rPr>
            </w:pPr>
            <w:r>
              <w:rPr>
                <w:rFonts w:hint="eastAsia" w:ascii="微软雅黑" w:hAnsi="微软雅黑"/>
                <w:color w:val="auto"/>
                <w:szCs w:val="21"/>
                <w:highlight w:val="none"/>
              </w:rPr>
              <w:t>5</w:t>
            </w:r>
          </w:p>
        </w:tc>
        <w:tc>
          <w:tcPr>
            <w:tcW w:w="1611" w:type="dxa"/>
            <w:tcBorders>
              <w:tl2br w:val="nil"/>
              <w:tr2bl w:val="nil"/>
            </w:tcBorders>
            <w:noWrap/>
            <w:vAlign w:val="center"/>
          </w:tcPr>
          <w:p w14:paraId="6D9D9E64">
            <w:pPr>
              <w:widowControl/>
              <w:spacing w:after="0" w:line="240" w:lineRule="auto"/>
              <w:ind w:firstLine="0" w:firstLineChars="0"/>
              <w:jc w:val="center"/>
              <w:rPr>
                <w:rFonts w:ascii="微软雅黑" w:hAnsi="微软雅黑" w:cs="微软雅黑"/>
                <w:color w:val="auto"/>
                <w:szCs w:val="21"/>
                <w:highlight w:val="none"/>
              </w:rPr>
            </w:pPr>
            <w:r>
              <w:rPr>
                <w:rFonts w:hint="eastAsia" w:ascii="微软雅黑" w:hAnsi="微软雅黑"/>
                <w:color w:val="auto"/>
                <w:szCs w:val="21"/>
                <w:highlight w:val="none"/>
              </w:rPr>
              <w:t>过滤实验装置（核心设备）</w:t>
            </w:r>
          </w:p>
        </w:tc>
        <w:tc>
          <w:tcPr>
            <w:tcW w:w="845" w:type="dxa"/>
            <w:tcBorders>
              <w:tl2br w:val="nil"/>
              <w:tr2bl w:val="nil"/>
            </w:tcBorders>
            <w:shd w:val="clear" w:color="auto" w:fill="auto"/>
            <w:noWrap/>
            <w:vAlign w:val="center"/>
          </w:tcPr>
          <w:p w14:paraId="0A6E670E">
            <w:pPr>
              <w:spacing w:after="0" w:line="240" w:lineRule="auto"/>
              <w:ind w:firstLine="0" w:firstLineChars="0"/>
              <w:jc w:val="both"/>
              <w:rPr>
                <w:rFonts w:hint="default" w:ascii="微软雅黑" w:hAnsi="微软雅黑" w:eastAsia="微软雅黑" w:cs="微软雅黑"/>
                <w:color w:val="auto"/>
                <w:kern w:val="2"/>
                <w:sz w:val="21"/>
                <w:szCs w:val="21"/>
                <w:highlight w:val="none"/>
                <w:lang w:val="en-US" w:eastAsia="zh-CN" w:bidi="ar-SA"/>
              </w:rPr>
            </w:pPr>
            <w:r>
              <w:rPr>
                <w:rFonts w:hint="eastAsia" w:ascii="微软雅黑" w:hAnsi="微软雅黑" w:cs="微软雅黑"/>
                <w:color w:val="auto"/>
                <w:szCs w:val="21"/>
                <w:highlight w:val="none"/>
                <w:lang w:val="en-US" w:eastAsia="zh-CN"/>
              </w:rPr>
              <w:t>工业</w:t>
            </w:r>
          </w:p>
        </w:tc>
        <w:tc>
          <w:tcPr>
            <w:tcW w:w="1459" w:type="dxa"/>
            <w:tcBorders>
              <w:tl2br w:val="nil"/>
              <w:tr2bl w:val="nil"/>
            </w:tcBorders>
            <w:noWrap/>
            <w:vAlign w:val="center"/>
          </w:tcPr>
          <w:p w14:paraId="080F3E75">
            <w:pPr>
              <w:widowControl/>
              <w:spacing w:after="0" w:line="240" w:lineRule="auto"/>
              <w:ind w:firstLine="0" w:firstLineChars="0"/>
              <w:jc w:val="both"/>
              <w:rPr>
                <w:rFonts w:ascii="微软雅黑" w:hAnsi="微软雅黑" w:cs="微软雅黑"/>
                <w:b/>
                <w:bCs/>
                <w:color w:val="auto"/>
                <w:szCs w:val="21"/>
                <w:highlight w:val="none"/>
              </w:rPr>
            </w:pPr>
          </w:p>
        </w:tc>
        <w:tc>
          <w:tcPr>
            <w:tcW w:w="1228" w:type="dxa"/>
            <w:tcBorders>
              <w:tl2br w:val="nil"/>
              <w:tr2bl w:val="nil"/>
            </w:tcBorders>
            <w:noWrap/>
            <w:vAlign w:val="center"/>
          </w:tcPr>
          <w:p w14:paraId="320420B3">
            <w:pPr>
              <w:widowControl/>
              <w:spacing w:after="0" w:line="240" w:lineRule="auto"/>
              <w:ind w:firstLine="0" w:firstLineChars="0"/>
              <w:jc w:val="both"/>
              <w:rPr>
                <w:rFonts w:ascii="微软雅黑" w:hAnsi="微软雅黑" w:cs="微软雅黑"/>
                <w:b/>
                <w:bCs/>
                <w:color w:val="auto"/>
                <w:szCs w:val="21"/>
                <w:highlight w:val="none"/>
              </w:rPr>
            </w:pPr>
          </w:p>
        </w:tc>
        <w:tc>
          <w:tcPr>
            <w:tcW w:w="1486" w:type="dxa"/>
            <w:tcBorders>
              <w:tl2br w:val="nil"/>
              <w:tr2bl w:val="nil"/>
            </w:tcBorders>
            <w:noWrap/>
            <w:vAlign w:val="center"/>
          </w:tcPr>
          <w:p w14:paraId="49588052">
            <w:pPr>
              <w:widowControl/>
              <w:spacing w:after="0" w:line="240" w:lineRule="auto"/>
              <w:ind w:firstLine="0" w:firstLineChars="0"/>
              <w:jc w:val="both"/>
              <w:rPr>
                <w:rFonts w:ascii="微软雅黑" w:hAnsi="微软雅黑" w:cs="微软雅黑"/>
                <w:b/>
                <w:bCs/>
                <w:color w:val="auto"/>
                <w:szCs w:val="21"/>
                <w:highlight w:val="none"/>
              </w:rPr>
            </w:pPr>
          </w:p>
        </w:tc>
        <w:tc>
          <w:tcPr>
            <w:tcW w:w="1227" w:type="dxa"/>
            <w:tcBorders>
              <w:tl2br w:val="nil"/>
              <w:tr2bl w:val="nil"/>
            </w:tcBorders>
            <w:noWrap/>
            <w:vAlign w:val="center"/>
          </w:tcPr>
          <w:p w14:paraId="5C550F51">
            <w:pPr>
              <w:widowControl/>
              <w:spacing w:after="0" w:line="240" w:lineRule="auto"/>
              <w:ind w:firstLine="0" w:firstLineChars="0"/>
              <w:jc w:val="both"/>
              <w:rPr>
                <w:rFonts w:ascii="微软雅黑" w:hAnsi="微软雅黑" w:cs="微软雅黑"/>
                <w:b/>
                <w:bCs/>
                <w:color w:val="auto"/>
                <w:szCs w:val="21"/>
                <w:highlight w:val="none"/>
              </w:rPr>
            </w:pPr>
          </w:p>
        </w:tc>
        <w:tc>
          <w:tcPr>
            <w:tcW w:w="1773" w:type="dxa"/>
            <w:tcBorders>
              <w:tl2br w:val="nil"/>
              <w:tr2bl w:val="nil"/>
            </w:tcBorders>
            <w:shd w:val="clear" w:color="auto" w:fill="auto"/>
            <w:noWrap/>
            <w:vAlign w:val="center"/>
          </w:tcPr>
          <w:p w14:paraId="1E0A7633">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中型企业</w:t>
            </w:r>
          </w:p>
          <w:p w14:paraId="6846DB04">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小型企业</w:t>
            </w:r>
          </w:p>
          <w:p w14:paraId="108A8961">
            <w:pPr>
              <w:widowControl/>
              <w:spacing w:after="0" w:line="240" w:lineRule="auto"/>
              <w:ind w:firstLine="0" w:firstLineChars="0"/>
              <w:jc w:val="both"/>
              <w:rPr>
                <w:rFonts w:ascii="微软雅黑" w:hAnsi="微软雅黑" w:eastAsia="微软雅黑" w:cs="微软雅黑"/>
                <w:b/>
                <w:bCs/>
                <w:color w:val="auto"/>
                <w:kern w:val="2"/>
                <w:sz w:val="21"/>
                <w:szCs w:val="21"/>
                <w:highlight w:val="none"/>
                <w:lang w:val="en-US" w:eastAsia="zh-CN" w:bidi="ar-SA"/>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微型</w:t>
            </w:r>
          </w:p>
        </w:tc>
      </w:tr>
      <w:tr w14:paraId="2C5669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trPr>
        <w:tc>
          <w:tcPr>
            <w:tcW w:w="537" w:type="dxa"/>
            <w:tcBorders>
              <w:tl2br w:val="nil"/>
              <w:tr2bl w:val="nil"/>
            </w:tcBorders>
            <w:noWrap/>
            <w:vAlign w:val="center"/>
          </w:tcPr>
          <w:p w14:paraId="3965BD82">
            <w:pPr>
              <w:spacing w:after="0" w:line="240" w:lineRule="auto"/>
              <w:ind w:firstLine="0" w:firstLineChars="0"/>
              <w:jc w:val="center"/>
              <w:rPr>
                <w:rFonts w:ascii="微软雅黑" w:hAnsi="微软雅黑"/>
                <w:color w:val="auto"/>
                <w:szCs w:val="21"/>
                <w:highlight w:val="none"/>
              </w:rPr>
            </w:pPr>
            <w:r>
              <w:rPr>
                <w:rFonts w:hint="eastAsia" w:ascii="微软雅黑" w:hAnsi="微软雅黑"/>
                <w:color w:val="auto"/>
                <w:szCs w:val="21"/>
                <w:highlight w:val="none"/>
              </w:rPr>
              <w:t>6</w:t>
            </w:r>
          </w:p>
        </w:tc>
        <w:tc>
          <w:tcPr>
            <w:tcW w:w="1611" w:type="dxa"/>
            <w:tcBorders>
              <w:tl2br w:val="nil"/>
              <w:tr2bl w:val="nil"/>
            </w:tcBorders>
            <w:noWrap/>
            <w:vAlign w:val="center"/>
          </w:tcPr>
          <w:p w14:paraId="2B599B97">
            <w:pPr>
              <w:widowControl/>
              <w:spacing w:after="0" w:line="240" w:lineRule="auto"/>
              <w:ind w:firstLine="0" w:firstLineChars="0"/>
              <w:jc w:val="center"/>
              <w:rPr>
                <w:rFonts w:ascii="微软雅黑" w:hAnsi="微软雅黑" w:cs="微软雅黑"/>
                <w:color w:val="auto"/>
                <w:szCs w:val="21"/>
                <w:highlight w:val="none"/>
              </w:rPr>
            </w:pPr>
            <w:r>
              <w:rPr>
                <w:rFonts w:hint="eastAsia" w:ascii="微软雅黑" w:hAnsi="微软雅黑"/>
                <w:color w:val="auto"/>
                <w:szCs w:val="21"/>
                <w:highlight w:val="none"/>
              </w:rPr>
              <w:t>吸收解吸实验装置</w:t>
            </w:r>
          </w:p>
        </w:tc>
        <w:tc>
          <w:tcPr>
            <w:tcW w:w="845" w:type="dxa"/>
            <w:tcBorders>
              <w:tl2br w:val="nil"/>
              <w:tr2bl w:val="nil"/>
            </w:tcBorders>
            <w:shd w:val="clear" w:color="auto" w:fill="auto"/>
            <w:noWrap/>
            <w:vAlign w:val="center"/>
          </w:tcPr>
          <w:p w14:paraId="2091FD2D">
            <w:pPr>
              <w:spacing w:after="0" w:line="240" w:lineRule="auto"/>
              <w:ind w:firstLine="0" w:firstLineChars="0"/>
              <w:jc w:val="both"/>
              <w:rPr>
                <w:rFonts w:ascii="微软雅黑" w:hAnsi="微软雅黑" w:eastAsia="微软雅黑" w:cs="微软雅黑"/>
                <w:color w:val="auto"/>
                <w:kern w:val="2"/>
                <w:sz w:val="21"/>
                <w:szCs w:val="21"/>
                <w:highlight w:val="none"/>
                <w:lang w:val="en-US" w:eastAsia="zh-CN" w:bidi="ar-SA"/>
              </w:rPr>
            </w:pPr>
            <w:r>
              <w:rPr>
                <w:rFonts w:hint="eastAsia" w:ascii="微软雅黑" w:hAnsi="微软雅黑" w:cs="微软雅黑"/>
                <w:color w:val="auto"/>
                <w:szCs w:val="21"/>
                <w:highlight w:val="none"/>
                <w:lang w:val="en-US" w:eastAsia="zh-CN"/>
              </w:rPr>
              <w:t>工业</w:t>
            </w:r>
          </w:p>
        </w:tc>
        <w:tc>
          <w:tcPr>
            <w:tcW w:w="1459" w:type="dxa"/>
            <w:tcBorders>
              <w:tl2br w:val="nil"/>
              <w:tr2bl w:val="nil"/>
            </w:tcBorders>
            <w:noWrap/>
            <w:vAlign w:val="center"/>
          </w:tcPr>
          <w:p w14:paraId="4DDC36E0">
            <w:pPr>
              <w:widowControl/>
              <w:spacing w:after="0" w:line="240" w:lineRule="auto"/>
              <w:ind w:firstLine="0" w:firstLineChars="0"/>
              <w:jc w:val="both"/>
              <w:rPr>
                <w:rFonts w:ascii="微软雅黑" w:hAnsi="微软雅黑" w:cs="微软雅黑"/>
                <w:b/>
                <w:bCs/>
                <w:color w:val="auto"/>
                <w:szCs w:val="21"/>
                <w:highlight w:val="none"/>
              </w:rPr>
            </w:pPr>
          </w:p>
        </w:tc>
        <w:tc>
          <w:tcPr>
            <w:tcW w:w="1228" w:type="dxa"/>
            <w:tcBorders>
              <w:tl2br w:val="nil"/>
              <w:tr2bl w:val="nil"/>
            </w:tcBorders>
            <w:noWrap/>
            <w:vAlign w:val="center"/>
          </w:tcPr>
          <w:p w14:paraId="695D3398">
            <w:pPr>
              <w:widowControl/>
              <w:spacing w:after="0" w:line="240" w:lineRule="auto"/>
              <w:ind w:firstLine="0" w:firstLineChars="0"/>
              <w:jc w:val="both"/>
              <w:rPr>
                <w:rFonts w:ascii="微软雅黑" w:hAnsi="微软雅黑" w:cs="微软雅黑"/>
                <w:b/>
                <w:bCs/>
                <w:color w:val="auto"/>
                <w:szCs w:val="21"/>
                <w:highlight w:val="none"/>
              </w:rPr>
            </w:pPr>
          </w:p>
        </w:tc>
        <w:tc>
          <w:tcPr>
            <w:tcW w:w="1486" w:type="dxa"/>
            <w:tcBorders>
              <w:tl2br w:val="nil"/>
              <w:tr2bl w:val="nil"/>
            </w:tcBorders>
            <w:noWrap/>
            <w:vAlign w:val="center"/>
          </w:tcPr>
          <w:p w14:paraId="51BAB2DE">
            <w:pPr>
              <w:widowControl/>
              <w:spacing w:after="0" w:line="240" w:lineRule="auto"/>
              <w:ind w:firstLine="0" w:firstLineChars="0"/>
              <w:jc w:val="both"/>
              <w:rPr>
                <w:rFonts w:ascii="微软雅黑" w:hAnsi="微软雅黑" w:cs="微软雅黑"/>
                <w:b/>
                <w:bCs/>
                <w:color w:val="auto"/>
                <w:szCs w:val="21"/>
                <w:highlight w:val="none"/>
              </w:rPr>
            </w:pPr>
          </w:p>
        </w:tc>
        <w:tc>
          <w:tcPr>
            <w:tcW w:w="1227" w:type="dxa"/>
            <w:tcBorders>
              <w:tl2br w:val="nil"/>
              <w:tr2bl w:val="nil"/>
            </w:tcBorders>
            <w:noWrap/>
            <w:vAlign w:val="center"/>
          </w:tcPr>
          <w:p w14:paraId="5030042C">
            <w:pPr>
              <w:widowControl/>
              <w:spacing w:after="0" w:line="240" w:lineRule="auto"/>
              <w:ind w:firstLine="0" w:firstLineChars="0"/>
              <w:jc w:val="both"/>
              <w:rPr>
                <w:rFonts w:ascii="微软雅黑" w:hAnsi="微软雅黑" w:cs="微软雅黑"/>
                <w:b/>
                <w:bCs/>
                <w:color w:val="auto"/>
                <w:szCs w:val="21"/>
                <w:highlight w:val="none"/>
              </w:rPr>
            </w:pPr>
          </w:p>
        </w:tc>
        <w:tc>
          <w:tcPr>
            <w:tcW w:w="1773" w:type="dxa"/>
            <w:tcBorders>
              <w:tl2br w:val="nil"/>
              <w:tr2bl w:val="nil"/>
            </w:tcBorders>
            <w:shd w:val="clear" w:color="auto" w:fill="auto"/>
            <w:noWrap/>
            <w:vAlign w:val="center"/>
          </w:tcPr>
          <w:p w14:paraId="06C75B63">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中型企业</w:t>
            </w:r>
          </w:p>
          <w:p w14:paraId="253D2C0E">
            <w:pPr>
              <w:widowControl/>
              <w:spacing w:after="0" w:line="240" w:lineRule="auto"/>
              <w:ind w:firstLine="0"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小型企业</w:t>
            </w:r>
          </w:p>
          <w:p w14:paraId="2C3E2B29">
            <w:pPr>
              <w:widowControl/>
              <w:spacing w:after="0" w:line="240" w:lineRule="auto"/>
              <w:ind w:firstLine="0" w:firstLineChars="0"/>
              <w:jc w:val="both"/>
              <w:rPr>
                <w:rFonts w:ascii="微软雅黑" w:hAnsi="微软雅黑" w:eastAsia="微软雅黑" w:cs="微软雅黑"/>
                <w:b/>
                <w:bCs/>
                <w:color w:val="auto"/>
                <w:kern w:val="2"/>
                <w:sz w:val="21"/>
                <w:szCs w:val="21"/>
                <w:highlight w:val="none"/>
                <w:lang w:val="en-US" w:eastAsia="zh-CN" w:bidi="ar-SA"/>
              </w:rPr>
            </w:pP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微型</w:t>
            </w:r>
          </w:p>
        </w:tc>
      </w:tr>
    </w:tbl>
    <w:p w14:paraId="4BA21FFE">
      <w:pPr>
        <w:snapToGrid w:val="0"/>
        <w:ind w:firstLine="630" w:firstLineChars="300"/>
        <w:rPr>
          <w:rFonts w:ascii="微软雅黑" w:hAnsi="微软雅黑" w:cs="宋体"/>
          <w:color w:val="auto"/>
          <w:szCs w:val="21"/>
          <w:highlight w:val="none"/>
        </w:rPr>
      </w:pPr>
      <w:r>
        <w:rPr>
          <w:rFonts w:hint="eastAsia" w:ascii="微软雅黑" w:hAnsi="微软雅黑" w:cs="宋体"/>
          <w:color w:val="auto"/>
          <w:szCs w:val="21"/>
          <w:highlight w:val="none"/>
        </w:rPr>
        <w:t>以上企业，不属于大企业的分支机构，不存在控股股东为大企业的情形，也不存在与大企业的负责人为同一人的情形。</w:t>
      </w:r>
    </w:p>
    <w:p w14:paraId="7616DF8A">
      <w:pPr>
        <w:pStyle w:val="64"/>
        <w:ind w:left="420" w:firstLine="0" w:firstLineChars="0"/>
        <w:rPr>
          <w:rFonts w:hint="eastAsia" w:ascii="微软雅黑" w:hAnsi="微软雅黑" w:cs="宋体"/>
          <w:color w:val="auto"/>
          <w:sz w:val="21"/>
          <w:szCs w:val="21"/>
          <w:highlight w:val="none"/>
        </w:rPr>
      </w:pPr>
      <w:r>
        <w:rPr>
          <w:rFonts w:hint="eastAsia" w:ascii="微软雅黑" w:hAnsi="微软雅黑" w:cs="宋体"/>
          <w:color w:val="auto"/>
          <w:szCs w:val="21"/>
          <w:highlight w:val="none"/>
        </w:rPr>
        <w:t>本企业对上述声明内容的真实性负责。如有虚假，将依法承担相应责任。</w:t>
      </w:r>
    </w:p>
    <w:p w14:paraId="04E874F2">
      <w:pPr>
        <w:snapToGrid w:val="0"/>
        <w:spacing w:before="120" w:beforeLines="50"/>
        <w:ind w:firstLine="420"/>
        <w:jc w:val="center"/>
        <w:rPr>
          <w:rFonts w:hint="eastAsia" w:ascii="微软雅黑" w:hAnsi="微软雅黑"/>
          <w:color w:val="auto"/>
          <w:szCs w:val="21"/>
          <w:highlight w:val="none"/>
          <w:u w:val="single"/>
        </w:rPr>
      </w:pPr>
      <w:r>
        <w:rPr>
          <w:rFonts w:hint="eastAsia" w:ascii="微软雅黑" w:hAnsi="微软雅黑" w:cs="Arial"/>
          <w:color w:val="auto"/>
          <w:kern w:val="0"/>
          <w:szCs w:val="21"/>
          <w:highlight w:val="none"/>
        </w:rPr>
        <w:t xml:space="preserve"> 法定代表人或</w:t>
      </w:r>
      <w:r>
        <w:rPr>
          <w:rFonts w:hint="eastAsia" w:ascii="微软雅黑" w:hAnsi="微软雅黑"/>
          <w:color w:val="auto"/>
          <w:szCs w:val="21"/>
          <w:highlight w:val="none"/>
        </w:rPr>
        <w:t>被授权人签字（或盖章）：</w:t>
      </w:r>
    </w:p>
    <w:p w14:paraId="0BFEC55D">
      <w:pPr>
        <w:pStyle w:val="122"/>
        <w:ind w:firstLine="420"/>
        <w:jc w:val="center"/>
        <w:rPr>
          <w:rFonts w:hint="eastAsia" w:ascii="微软雅黑" w:hAnsi="微软雅黑" w:eastAsia="微软雅黑" w:cs="宋体"/>
          <w:color w:val="auto"/>
          <w:sz w:val="21"/>
          <w:szCs w:val="21"/>
          <w:highlight w:val="none"/>
        </w:rPr>
      </w:pPr>
      <w:r>
        <w:rPr>
          <w:rFonts w:hint="eastAsia" w:ascii="微软雅黑" w:hAnsi="微软雅黑" w:eastAsia="微软雅黑" w:cs="宋体"/>
          <w:color w:val="auto"/>
          <w:sz w:val="21"/>
          <w:szCs w:val="21"/>
          <w:highlight w:val="none"/>
        </w:rPr>
        <w:t xml:space="preserve">             供应商名称（公章）：</w:t>
      </w:r>
    </w:p>
    <w:p w14:paraId="6F46A98C">
      <w:pPr>
        <w:pStyle w:val="122"/>
        <w:ind w:firstLine="420"/>
        <w:jc w:val="center"/>
        <w:rPr>
          <w:rFonts w:hint="eastAsia" w:ascii="微软雅黑" w:hAnsi="微软雅黑" w:eastAsia="微软雅黑"/>
          <w:color w:val="auto"/>
          <w:sz w:val="21"/>
          <w:szCs w:val="21"/>
          <w:highlight w:val="none"/>
        </w:rPr>
      </w:pPr>
      <w:r>
        <w:rPr>
          <w:rFonts w:hint="eastAsia" w:ascii="微软雅黑" w:hAnsi="微软雅黑" w:eastAsia="微软雅黑"/>
          <w:color w:val="auto"/>
          <w:sz w:val="21"/>
          <w:szCs w:val="21"/>
          <w:highlight w:val="none"/>
        </w:rPr>
        <w:t xml:space="preserve">          日期： 年 月 日</w:t>
      </w:r>
    </w:p>
    <w:p w14:paraId="432F375E">
      <w:pPr>
        <w:snapToGrid w:val="0"/>
        <w:ind w:firstLine="420" w:firstLineChars="0"/>
        <w:rPr>
          <w:rFonts w:hint="eastAsia" w:ascii="微软雅黑" w:hAnsi="微软雅黑" w:cs="宋体"/>
          <w:color w:val="auto"/>
          <w:szCs w:val="21"/>
          <w:highlight w:val="none"/>
        </w:rPr>
      </w:pPr>
      <w:r>
        <w:rPr>
          <w:rFonts w:hint="eastAsia" w:ascii="微软雅黑" w:hAnsi="微软雅黑" w:cs="宋体"/>
          <w:color w:val="auto"/>
          <w:szCs w:val="21"/>
          <w:highlight w:val="none"/>
        </w:rPr>
        <w:t xml:space="preserve"> 注：</w:t>
      </w:r>
    </w:p>
    <w:p w14:paraId="53EB428A">
      <w:pPr>
        <w:snapToGrid w:val="0"/>
        <w:ind w:firstLine="420" w:firstLineChars="0"/>
        <w:rPr>
          <w:rFonts w:hint="eastAsia" w:ascii="微软雅黑" w:hAnsi="微软雅黑" w:cs="宋体"/>
          <w:color w:val="auto"/>
          <w:szCs w:val="21"/>
          <w:highlight w:val="none"/>
        </w:rPr>
      </w:pPr>
      <w:r>
        <w:rPr>
          <w:rFonts w:hint="eastAsia" w:ascii="微软雅黑" w:hAnsi="微软雅黑" w:cs="宋体"/>
          <w:color w:val="auto"/>
          <w:szCs w:val="21"/>
          <w:highlight w:val="none"/>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声明内容不实的，属于提供虚假材料谋取中标、成交的，依法承担法律责任。</w:t>
      </w:r>
    </w:p>
    <w:p w14:paraId="4FA92F7E">
      <w:pPr>
        <w:snapToGrid w:val="0"/>
        <w:ind w:firstLine="420" w:firstLineChars="0"/>
        <w:rPr>
          <w:rFonts w:hint="eastAsia" w:ascii="微软雅黑" w:hAnsi="微软雅黑" w:cs="宋体"/>
          <w:color w:val="auto"/>
          <w:szCs w:val="21"/>
          <w:highlight w:val="none"/>
        </w:rPr>
      </w:pPr>
      <w:r>
        <w:rPr>
          <w:rFonts w:hint="eastAsia" w:ascii="微软雅黑" w:hAnsi="微软雅黑" w:cs="宋体"/>
          <w:color w:val="auto"/>
          <w:szCs w:val="21"/>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24424EA9">
      <w:pPr>
        <w:snapToGrid w:val="0"/>
        <w:ind w:firstLine="420" w:firstLineChars="0"/>
        <w:rPr>
          <w:rFonts w:hint="eastAsia" w:ascii="微软雅黑" w:hAnsi="微软雅黑" w:cs="仿宋_GB2312"/>
          <w:color w:val="auto"/>
          <w:szCs w:val="21"/>
          <w:highlight w:val="none"/>
        </w:rPr>
        <w:sectPr>
          <w:pgSz w:w="11906" w:h="16838"/>
          <w:pgMar w:top="1247" w:right="1418" w:bottom="1276" w:left="1418" w:header="851" w:footer="992" w:gutter="0"/>
          <w:cols w:space="720" w:num="1"/>
          <w:titlePg/>
          <w:docGrid w:linePitch="312" w:charSpace="0"/>
        </w:sectPr>
      </w:pPr>
      <w:r>
        <w:rPr>
          <w:rFonts w:hint="eastAsia" w:ascii="微软雅黑" w:hAnsi="微软雅黑" w:cs="宋体"/>
          <w:b/>
          <w:bCs/>
          <w:color w:val="auto"/>
          <w:szCs w:val="21"/>
          <w:highlight w:val="none"/>
        </w:rPr>
        <w:t>3.根据实际情况，在（</w:t>
      </w:r>
      <w:r>
        <w:rPr>
          <w:rFonts w:hint="eastAsia" w:ascii="微软雅黑" w:hAnsi="微软雅黑" w:cs="宋体"/>
          <w:b/>
          <w:bCs/>
          <w:color w:val="auto"/>
          <w:szCs w:val="21"/>
          <w:highlight w:val="none"/>
        </w:rPr>
        <w:sym w:font="Wingdings" w:char="00A8"/>
      </w:r>
      <w:r>
        <w:rPr>
          <w:rFonts w:hint="eastAsia" w:ascii="微软雅黑" w:hAnsi="微软雅黑" w:cs="宋体"/>
          <w:b/>
          <w:bCs/>
          <w:color w:val="auto"/>
          <w:szCs w:val="21"/>
          <w:highlight w:val="none"/>
        </w:rPr>
        <w:t>中型企业、</w:t>
      </w:r>
      <w:r>
        <w:rPr>
          <w:rFonts w:hint="eastAsia" w:ascii="微软雅黑" w:hAnsi="微软雅黑" w:cs="宋体"/>
          <w:b/>
          <w:bCs/>
          <w:color w:val="auto"/>
          <w:szCs w:val="21"/>
          <w:highlight w:val="none"/>
        </w:rPr>
        <w:sym w:font="Wingdings" w:char="00A8"/>
      </w:r>
      <w:r>
        <w:rPr>
          <w:rFonts w:hint="eastAsia" w:ascii="微软雅黑" w:hAnsi="微软雅黑" w:cs="宋体"/>
          <w:b/>
          <w:bCs/>
          <w:color w:val="auto"/>
          <w:szCs w:val="21"/>
          <w:highlight w:val="none"/>
        </w:rPr>
        <w:t>小型企业、</w:t>
      </w:r>
      <w:r>
        <w:rPr>
          <w:rFonts w:hint="eastAsia" w:ascii="微软雅黑" w:hAnsi="微软雅黑" w:cs="宋体"/>
          <w:b/>
          <w:bCs/>
          <w:color w:val="auto"/>
          <w:szCs w:val="21"/>
          <w:highlight w:val="none"/>
        </w:rPr>
        <w:sym w:font="Wingdings" w:char="00A8"/>
      </w:r>
      <w:r>
        <w:rPr>
          <w:rFonts w:hint="eastAsia" w:ascii="微软雅黑" w:hAnsi="微软雅黑" w:cs="宋体"/>
          <w:b/>
          <w:bCs/>
          <w:color w:val="auto"/>
          <w:szCs w:val="21"/>
          <w:highlight w:val="none"/>
        </w:rPr>
        <w:t>微型企业）处进行勾选。</w:t>
      </w:r>
    </w:p>
    <w:p w14:paraId="0523FAE8">
      <w:pPr>
        <w:pStyle w:val="294"/>
        <w:keepNext w:val="0"/>
        <w:pageBreakBefore w:val="0"/>
        <w:tabs>
          <w:tab w:val="clear" w:pos="720"/>
        </w:tabs>
        <w:snapToGrid w:val="0"/>
        <w:spacing w:before="120" w:after="120"/>
        <w:ind w:firstLine="640"/>
        <w:outlineLvl w:val="1"/>
        <w:rPr>
          <w:rFonts w:hint="eastAsia" w:ascii="微软雅黑" w:hAnsi="微软雅黑" w:eastAsia="微软雅黑" w:cs="仿宋_GB2312"/>
          <w:color w:val="auto"/>
          <w:kern w:val="2"/>
          <w:sz w:val="21"/>
          <w:szCs w:val="21"/>
          <w:highlight w:val="none"/>
        </w:rPr>
      </w:pPr>
      <w:r>
        <w:rPr>
          <w:rFonts w:hint="eastAsia" w:ascii="微软雅黑" w:hAnsi="微软雅黑" w:eastAsia="微软雅黑" w:cs="仿宋_GB2312"/>
          <w:color w:val="auto"/>
          <w:kern w:val="2"/>
          <w:sz w:val="21"/>
          <w:szCs w:val="21"/>
          <w:highlight w:val="none"/>
        </w:rPr>
        <w:t>残疾人福利性单位声明函</w:t>
      </w:r>
    </w:p>
    <w:p w14:paraId="505D4855">
      <w:pPr>
        <w:widowControl/>
        <w:ind w:firstLine="420"/>
        <w:textAlignment w:val="top"/>
        <w:rPr>
          <w:rFonts w:hint="eastAsia" w:ascii="微软雅黑" w:hAnsi="微软雅黑"/>
          <w:color w:val="auto"/>
          <w:kern w:val="0"/>
          <w:szCs w:val="21"/>
          <w:highlight w:val="none"/>
        </w:rPr>
      </w:pPr>
      <w:r>
        <w:rPr>
          <w:rFonts w:hint="eastAsia" w:ascii="微软雅黑" w:hAnsi="微软雅黑"/>
          <w:color w:val="auto"/>
          <w:kern w:val="0"/>
          <w:szCs w:val="21"/>
          <w:highlight w:val="none"/>
        </w:rPr>
        <w:t>   本单位郑重声明，根据《财政部民政部中国残疾人联合会关于促进残疾人就业政府采购政策的通知》（财库〔2017〕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25ACCB9C">
      <w:pPr>
        <w:widowControl/>
        <w:ind w:firstLine="420"/>
        <w:textAlignment w:val="top"/>
        <w:rPr>
          <w:rFonts w:hint="eastAsia" w:ascii="微软雅黑" w:hAnsi="微软雅黑"/>
          <w:color w:val="auto"/>
          <w:kern w:val="0"/>
          <w:szCs w:val="21"/>
          <w:highlight w:val="none"/>
        </w:rPr>
      </w:pPr>
      <w:r>
        <w:rPr>
          <w:rFonts w:hint="eastAsia" w:ascii="微软雅黑" w:hAnsi="微软雅黑"/>
          <w:color w:val="auto"/>
          <w:kern w:val="0"/>
          <w:szCs w:val="21"/>
          <w:highlight w:val="none"/>
        </w:rPr>
        <w:t>      本单位对上述声明的真实性负责。如有虚假，将依法承担相应责任。</w:t>
      </w:r>
    </w:p>
    <w:p w14:paraId="710BD445">
      <w:pPr>
        <w:snapToGrid w:val="0"/>
        <w:spacing w:before="120" w:beforeLines="50"/>
        <w:ind w:firstLine="420"/>
        <w:jc w:val="center"/>
        <w:rPr>
          <w:rFonts w:hint="eastAsia" w:ascii="微软雅黑" w:hAnsi="微软雅黑" w:cs="Arial"/>
          <w:color w:val="auto"/>
          <w:kern w:val="0"/>
          <w:szCs w:val="21"/>
          <w:highlight w:val="none"/>
        </w:rPr>
      </w:pPr>
    </w:p>
    <w:p w14:paraId="6DDB4889">
      <w:pPr>
        <w:snapToGrid w:val="0"/>
        <w:spacing w:before="120" w:beforeLines="50"/>
        <w:ind w:firstLine="420"/>
        <w:jc w:val="center"/>
        <w:rPr>
          <w:rFonts w:hint="eastAsia" w:ascii="微软雅黑" w:hAnsi="微软雅黑"/>
          <w:color w:val="auto"/>
          <w:szCs w:val="21"/>
          <w:highlight w:val="none"/>
          <w:u w:val="single"/>
        </w:rPr>
      </w:pPr>
      <w:r>
        <w:rPr>
          <w:rFonts w:hint="eastAsia" w:ascii="微软雅黑" w:hAnsi="微软雅黑" w:cs="Arial"/>
          <w:color w:val="auto"/>
          <w:kern w:val="0"/>
          <w:szCs w:val="21"/>
          <w:highlight w:val="none"/>
        </w:rPr>
        <w:t xml:space="preserve"> 法定代表人或</w:t>
      </w:r>
      <w:r>
        <w:rPr>
          <w:rFonts w:hint="eastAsia" w:ascii="微软雅黑" w:hAnsi="微软雅黑"/>
          <w:color w:val="auto"/>
          <w:szCs w:val="21"/>
          <w:highlight w:val="none"/>
        </w:rPr>
        <w:t>被授权人签字（或盖章）：</w:t>
      </w:r>
    </w:p>
    <w:p w14:paraId="107A9826">
      <w:pPr>
        <w:pStyle w:val="122"/>
        <w:ind w:firstLine="420"/>
        <w:jc w:val="center"/>
        <w:rPr>
          <w:rFonts w:hint="eastAsia" w:ascii="微软雅黑" w:hAnsi="微软雅黑" w:eastAsia="微软雅黑" w:cs="宋体"/>
          <w:color w:val="auto"/>
          <w:sz w:val="21"/>
          <w:szCs w:val="21"/>
          <w:highlight w:val="none"/>
        </w:rPr>
      </w:pPr>
      <w:r>
        <w:rPr>
          <w:rFonts w:hint="eastAsia" w:ascii="微软雅黑" w:hAnsi="微软雅黑" w:eastAsia="微软雅黑" w:cs="宋体"/>
          <w:color w:val="auto"/>
          <w:sz w:val="21"/>
          <w:szCs w:val="21"/>
          <w:highlight w:val="none"/>
        </w:rPr>
        <w:t xml:space="preserve">             供应商名称（公章）：</w:t>
      </w:r>
    </w:p>
    <w:p w14:paraId="4A2B9E54">
      <w:pPr>
        <w:pStyle w:val="122"/>
        <w:ind w:firstLine="420"/>
        <w:jc w:val="center"/>
        <w:rPr>
          <w:rFonts w:hint="eastAsia" w:ascii="微软雅黑" w:hAnsi="微软雅黑" w:eastAsia="微软雅黑"/>
          <w:color w:val="auto"/>
          <w:sz w:val="21"/>
          <w:szCs w:val="21"/>
          <w:highlight w:val="none"/>
        </w:rPr>
      </w:pPr>
      <w:r>
        <w:rPr>
          <w:rFonts w:hint="eastAsia" w:ascii="微软雅黑" w:hAnsi="微软雅黑" w:eastAsia="微软雅黑"/>
          <w:color w:val="auto"/>
          <w:sz w:val="21"/>
          <w:szCs w:val="21"/>
          <w:highlight w:val="none"/>
        </w:rPr>
        <w:t xml:space="preserve">          日期： 年 月 日</w:t>
      </w:r>
    </w:p>
    <w:p w14:paraId="0665E305">
      <w:pPr>
        <w:widowControl/>
        <w:ind w:right="480" w:firstLine="6825" w:firstLineChars="3250"/>
        <w:textAlignment w:val="top"/>
        <w:rPr>
          <w:rFonts w:hint="eastAsia" w:ascii="宋体" w:hAnsi="宋体"/>
          <w:color w:val="auto"/>
          <w:kern w:val="0"/>
          <w:szCs w:val="21"/>
          <w:highlight w:val="none"/>
        </w:rPr>
      </w:pPr>
    </w:p>
    <w:p w14:paraId="0DC2FCE1">
      <w:pPr>
        <w:pStyle w:val="18"/>
        <w:ind w:firstLine="420"/>
        <w:rPr>
          <w:color w:val="auto"/>
          <w:highlight w:val="none"/>
        </w:rPr>
      </w:pPr>
    </w:p>
    <w:p w14:paraId="0C6BF0D9">
      <w:pPr>
        <w:pStyle w:val="18"/>
        <w:ind w:firstLine="420"/>
        <w:rPr>
          <w:color w:val="auto"/>
          <w:highlight w:val="none"/>
        </w:rPr>
      </w:pPr>
    </w:p>
    <w:p w14:paraId="240375A6">
      <w:pPr>
        <w:pStyle w:val="19"/>
        <w:ind w:firstLine="480"/>
        <w:rPr>
          <w:rFonts w:hint="eastAsia"/>
          <w:color w:val="auto"/>
          <w:highlight w:val="none"/>
        </w:rPr>
      </w:pPr>
    </w:p>
    <w:p w14:paraId="33C5195A">
      <w:pPr>
        <w:pStyle w:val="19"/>
        <w:ind w:firstLine="480"/>
        <w:rPr>
          <w:rFonts w:hint="eastAsia"/>
          <w:color w:val="auto"/>
          <w:highlight w:val="none"/>
        </w:rPr>
      </w:pPr>
    </w:p>
    <w:p w14:paraId="2B6A6671">
      <w:pPr>
        <w:pStyle w:val="19"/>
        <w:ind w:firstLine="480"/>
        <w:rPr>
          <w:rFonts w:hint="eastAsia"/>
          <w:color w:val="auto"/>
          <w:highlight w:val="none"/>
        </w:rPr>
      </w:pPr>
    </w:p>
    <w:p w14:paraId="2BE8C13D">
      <w:pPr>
        <w:pStyle w:val="19"/>
        <w:ind w:firstLine="480"/>
        <w:rPr>
          <w:rFonts w:hint="eastAsia"/>
          <w:color w:val="auto"/>
          <w:highlight w:val="none"/>
        </w:rPr>
      </w:pPr>
    </w:p>
    <w:p w14:paraId="1B49FFE1">
      <w:pPr>
        <w:pStyle w:val="18"/>
        <w:ind w:firstLine="420"/>
        <w:rPr>
          <w:color w:val="auto"/>
          <w:highlight w:val="none"/>
        </w:rPr>
      </w:pPr>
    </w:p>
    <w:p w14:paraId="00EA0F7E">
      <w:pPr>
        <w:pStyle w:val="19"/>
        <w:ind w:firstLine="480"/>
        <w:rPr>
          <w:rFonts w:hint="eastAsia"/>
          <w:color w:val="auto"/>
          <w:highlight w:val="none"/>
        </w:rPr>
      </w:pPr>
    </w:p>
    <w:p w14:paraId="2E610375">
      <w:pPr>
        <w:widowControl/>
        <w:spacing w:line="240" w:lineRule="auto"/>
        <w:ind w:firstLine="0" w:firstLineChars="0"/>
        <w:rPr>
          <w:color w:val="auto"/>
          <w:highlight w:val="none"/>
        </w:rPr>
      </w:pPr>
      <w:r>
        <w:rPr>
          <w:color w:val="auto"/>
          <w:highlight w:val="none"/>
        </w:rPr>
        <w:br w:type="page"/>
      </w:r>
    </w:p>
    <w:p w14:paraId="5ACE5933">
      <w:pPr>
        <w:ind w:firstLine="420"/>
        <w:outlineLvl w:val="1"/>
        <w:rPr>
          <w:b/>
          <w:bCs/>
          <w:color w:val="auto"/>
          <w:highlight w:val="none"/>
        </w:rPr>
      </w:pPr>
      <w:r>
        <w:rPr>
          <w:rFonts w:hint="eastAsia"/>
          <w:b/>
          <w:bCs/>
          <w:color w:val="auto"/>
          <w:highlight w:val="none"/>
        </w:rPr>
        <w:t>监狱企业证明文件</w:t>
      </w:r>
    </w:p>
    <w:p w14:paraId="3940D9A0">
      <w:pPr>
        <w:ind w:firstLine="420"/>
        <w:jc w:val="center"/>
        <w:rPr>
          <w:rFonts w:hint="eastAsia" w:ascii="微软雅黑" w:hAnsi="微软雅黑"/>
          <w:b/>
          <w:color w:val="auto"/>
          <w:szCs w:val="21"/>
          <w:highlight w:val="none"/>
        </w:rPr>
      </w:pPr>
      <w:r>
        <w:rPr>
          <w:rFonts w:hint="eastAsia" w:ascii="微软雅黑" w:hAnsi="微软雅黑"/>
          <w:b/>
          <w:color w:val="auto"/>
          <w:szCs w:val="21"/>
          <w:highlight w:val="none"/>
        </w:rPr>
        <w:t>监狱企业证明文件</w:t>
      </w:r>
    </w:p>
    <w:tbl>
      <w:tblPr>
        <w:tblStyle w:val="52"/>
        <w:tblW w:w="8820" w:type="dxa"/>
        <w:tblInd w:w="108" w:type="dxa"/>
        <w:tblBorders>
          <w:top w:val="dotDash" w:color="000000" w:sz="4" w:space="0"/>
          <w:left w:val="dotDash" w:color="000000" w:sz="4" w:space="0"/>
          <w:bottom w:val="dotDash" w:color="000000" w:sz="4" w:space="0"/>
          <w:right w:val="dotDash" w:color="000000" w:sz="4" w:space="0"/>
          <w:insideH w:val="dotDash" w:color="000000" w:sz="4" w:space="0"/>
          <w:insideV w:val="dotDash" w:color="000000" w:sz="4" w:space="0"/>
        </w:tblBorders>
        <w:tblLayout w:type="fixed"/>
        <w:tblCellMar>
          <w:top w:w="0" w:type="dxa"/>
          <w:left w:w="108" w:type="dxa"/>
          <w:bottom w:w="0" w:type="dxa"/>
          <w:right w:w="108" w:type="dxa"/>
        </w:tblCellMar>
      </w:tblPr>
      <w:tblGrid>
        <w:gridCol w:w="8820"/>
      </w:tblGrid>
      <w:tr w14:paraId="42942A50">
        <w:tblPrEx>
          <w:tblBorders>
            <w:top w:val="dotDash" w:color="000000" w:sz="4" w:space="0"/>
            <w:left w:val="dotDash" w:color="000000" w:sz="4" w:space="0"/>
            <w:bottom w:val="dotDash" w:color="000000" w:sz="4" w:space="0"/>
            <w:right w:val="dotDash" w:color="000000" w:sz="4" w:space="0"/>
            <w:insideH w:val="dotDash" w:color="000000" w:sz="4" w:space="0"/>
            <w:insideV w:val="dotDash" w:color="000000" w:sz="4" w:space="0"/>
          </w:tblBorders>
          <w:tblCellMar>
            <w:top w:w="0" w:type="dxa"/>
            <w:left w:w="108" w:type="dxa"/>
            <w:bottom w:w="0" w:type="dxa"/>
            <w:right w:w="108" w:type="dxa"/>
          </w:tblCellMar>
        </w:tblPrEx>
        <w:trPr>
          <w:trHeight w:val="6516" w:hRule="atLeast"/>
        </w:trPr>
        <w:tc>
          <w:tcPr>
            <w:tcW w:w="8820" w:type="dxa"/>
            <w:vAlign w:val="center"/>
          </w:tcPr>
          <w:p w14:paraId="07E99410">
            <w:pPr>
              <w:ind w:firstLine="420"/>
              <w:jc w:val="center"/>
              <w:rPr>
                <w:rFonts w:hint="eastAsia" w:ascii="微软雅黑" w:hAnsi="微软雅黑"/>
                <w:b/>
                <w:color w:val="auto"/>
                <w:szCs w:val="21"/>
                <w:highlight w:val="none"/>
              </w:rPr>
            </w:pPr>
            <w:r>
              <w:rPr>
                <w:rFonts w:hint="eastAsia" w:ascii="微软雅黑" w:hAnsi="微软雅黑"/>
                <w:b/>
                <w:color w:val="auto"/>
                <w:szCs w:val="21"/>
                <w:highlight w:val="none"/>
              </w:rPr>
              <w:t>相关部门出具的监狱企业证明文件</w:t>
            </w:r>
          </w:p>
          <w:p w14:paraId="26E1E17C">
            <w:pPr>
              <w:ind w:firstLine="420"/>
              <w:jc w:val="center"/>
              <w:rPr>
                <w:rFonts w:hint="eastAsia" w:ascii="微软雅黑" w:hAnsi="微软雅黑" w:cs="Arial"/>
                <w:b/>
                <w:i/>
                <w:color w:val="auto"/>
                <w:kern w:val="0"/>
                <w:szCs w:val="21"/>
                <w:highlight w:val="none"/>
              </w:rPr>
            </w:pPr>
            <w:r>
              <w:rPr>
                <w:rFonts w:hint="eastAsia" w:ascii="微软雅黑" w:hAnsi="微软雅黑"/>
                <w:color w:val="auto"/>
                <w:szCs w:val="21"/>
                <w:highlight w:val="none"/>
              </w:rPr>
              <w:t>（如是，提供</w:t>
            </w:r>
            <w:r>
              <w:rPr>
                <w:rFonts w:hint="eastAsia" w:ascii="微软雅黑" w:hAnsi="微软雅黑" w:cs="Arial"/>
                <w:color w:val="auto"/>
                <w:kern w:val="0"/>
                <w:szCs w:val="21"/>
                <w:highlight w:val="none"/>
              </w:rPr>
              <w:t>复印件加盖投标供应商公章）</w:t>
            </w:r>
          </w:p>
        </w:tc>
      </w:tr>
    </w:tbl>
    <w:p w14:paraId="492817DA">
      <w:pPr>
        <w:ind w:firstLine="420"/>
        <w:rPr>
          <w:rFonts w:hint="eastAsia" w:ascii="微软雅黑" w:hAnsi="微软雅黑" w:cs="Arial"/>
          <w:i/>
          <w:color w:val="auto"/>
          <w:szCs w:val="21"/>
          <w:highlight w:val="none"/>
        </w:rPr>
      </w:pPr>
    </w:p>
    <w:p w14:paraId="2227E967">
      <w:pPr>
        <w:snapToGrid w:val="0"/>
        <w:ind w:firstLine="0" w:firstLineChars="0"/>
        <w:rPr>
          <w:rFonts w:hint="eastAsia" w:ascii="微软雅黑" w:hAnsi="微软雅黑"/>
          <w:color w:val="auto"/>
          <w:szCs w:val="21"/>
          <w:highlight w:val="none"/>
          <w:shd w:val="clear" w:color="auto" w:fill="FFFFFF"/>
        </w:rPr>
      </w:pPr>
      <w:r>
        <w:rPr>
          <w:rFonts w:hint="eastAsia" w:ascii="微软雅黑" w:hAnsi="微软雅黑"/>
          <w:color w:val="auto"/>
          <w:szCs w:val="21"/>
          <w:highlight w:val="none"/>
          <w:shd w:val="clear" w:color="auto" w:fill="FFFFFF"/>
        </w:rPr>
        <w:t>投标人名称：（盖章）</w:t>
      </w:r>
    </w:p>
    <w:p w14:paraId="7031DAC6">
      <w:pPr>
        <w:snapToGrid w:val="0"/>
        <w:ind w:firstLine="0" w:firstLineChars="0"/>
        <w:rPr>
          <w:rFonts w:hint="eastAsia" w:ascii="微软雅黑" w:hAnsi="微软雅黑"/>
          <w:color w:val="auto"/>
          <w:szCs w:val="21"/>
          <w:highlight w:val="none"/>
          <w:shd w:val="clear" w:color="auto" w:fill="FFFFFF"/>
        </w:rPr>
      </w:pPr>
      <w:r>
        <w:rPr>
          <w:rFonts w:hint="eastAsia" w:ascii="微软雅黑" w:hAnsi="微软雅黑"/>
          <w:color w:val="auto"/>
          <w:szCs w:val="21"/>
          <w:highlight w:val="none"/>
          <w:shd w:val="clear" w:color="auto" w:fill="FFFFFF"/>
        </w:rPr>
        <w:t>法定代表人或授权代表（签字）：</w:t>
      </w:r>
    </w:p>
    <w:p w14:paraId="43A2CD46">
      <w:pPr>
        <w:snapToGrid w:val="0"/>
        <w:ind w:firstLine="0" w:firstLineChars="0"/>
        <w:rPr>
          <w:rFonts w:hint="eastAsia" w:ascii="微软雅黑" w:hAnsi="微软雅黑"/>
          <w:color w:val="auto"/>
          <w:szCs w:val="21"/>
          <w:highlight w:val="none"/>
          <w:u w:val="single"/>
        </w:rPr>
      </w:pPr>
      <w:r>
        <w:rPr>
          <w:rFonts w:hint="eastAsia" w:ascii="微软雅黑" w:hAnsi="微软雅黑"/>
          <w:color w:val="auto"/>
          <w:szCs w:val="21"/>
          <w:highlight w:val="none"/>
          <w:shd w:val="clear" w:color="auto" w:fill="FFFFFF"/>
        </w:rPr>
        <w:t>投标日期： 年 月 日</w:t>
      </w:r>
    </w:p>
    <w:p w14:paraId="1535145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rPr>
          <w:rFonts w:hint="eastAsia" w:ascii="微软雅黑" w:hAnsi="微软雅黑" w:cs="宋体"/>
          <w:b/>
          <w:bCs/>
          <w:color w:val="auto"/>
          <w:kern w:val="0"/>
          <w:szCs w:val="21"/>
          <w:highlight w:val="none"/>
        </w:rPr>
      </w:pPr>
    </w:p>
    <w:p w14:paraId="2B750F9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rPr>
          <w:rFonts w:hint="eastAsia" w:ascii="微软雅黑" w:hAnsi="微软雅黑" w:cs="宋体"/>
          <w:b/>
          <w:bCs/>
          <w:color w:val="auto"/>
          <w:kern w:val="0"/>
          <w:szCs w:val="21"/>
          <w:highlight w:val="none"/>
        </w:rPr>
        <w:sectPr>
          <w:footerReference r:id="rId30" w:type="default"/>
          <w:pgSz w:w="11906" w:h="16838"/>
          <w:pgMar w:top="1474" w:right="1134" w:bottom="1134" w:left="1474" w:header="851" w:footer="992" w:gutter="0"/>
          <w:cols w:space="720" w:num="1"/>
          <w:titlePg/>
          <w:docGrid w:linePitch="312" w:charSpace="0"/>
        </w:sectPr>
      </w:pPr>
    </w:p>
    <w:p w14:paraId="0521C3F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rPr>
          <w:rFonts w:hint="eastAsia" w:ascii="微软雅黑" w:hAnsi="微软雅黑" w:cs="宋体"/>
          <w:b/>
          <w:bCs/>
          <w:color w:val="auto"/>
          <w:kern w:val="0"/>
          <w:szCs w:val="21"/>
          <w:highlight w:val="none"/>
        </w:rPr>
      </w:pPr>
      <w:r>
        <w:rPr>
          <w:rFonts w:hint="eastAsia" w:ascii="微软雅黑" w:hAnsi="微软雅黑" w:cs="宋体"/>
          <w:b/>
          <w:bCs/>
          <w:color w:val="auto"/>
          <w:kern w:val="0"/>
          <w:szCs w:val="21"/>
          <w:highlight w:val="none"/>
          <w:lang w:val="en-US" w:eastAsia="zh-CN"/>
        </w:rPr>
        <w:t>三</w:t>
      </w:r>
      <w:r>
        <w:rPr>
          <w:rFonts w:hint="eastAsia" w:ascii="微软雅黑" w:hAnsi="微软雅黑" w:cs="宋体"/>
          <w:b/>
          <w:bCs/>
          <w:color w:val="auto"/>
          <w:kern w:val="0"/>
          <w:szCs w:val="21"/>
          <w:highlight w:val="none"/>
        </w:rPr>
        <w:t>、企业法人营业执照副本复印件</w:t>
      </w:r>
    </w:p>
    <w:p w14:paraId="016D734A">
      <w:pPr>
        <w:pStyle w:val="122"/>
        <w:ind w:firstLine="420"/>
        <w:jc w:val="center"/>
        <w:rPr>
          <w:rFonts w:hint="eastAsia" w:ascii="微软雅黑" w:hAnsi="微软雅黑" w:eastAsia="微软雅黑"/>
          <w:color w:val="auto"/>
          <w:sz w:val="21"/>
          <w:szCs w:val="21"/>
          <w:highlight w:val="none"/>
        </w:rPr>
        <w:sectPr>
          <w:pgSz w:w="11906" w:h="16838"/>
          <w:pgMar w:top="1474" w:right="1134" w:bottom="1134" w:left="1474" w:header="851" w:footer="992" w:gutter="0"/>
          <w:cols w:space="720" w:num="1"/>
          <w:titlePg/>
          <w:docGrid w:linePitch="312" w:charSpace="0"/>
        </w:sectPr>
      </w:pPr>
    </w:p>
    <w:p w14:paraId="783BDE3C">
      <w:pPr>
        <w:ind w:firstLine="420"/>
        <w:rPr>
          <w:rFonts w:ascii="微软雅黑" w:hAnsi="微软雅黑" w:cs="仿宋_GB2312"/>
          <w:color w:val="auto"/>
          <w:szCs w:val="21"/>
          <w:highlight w:val="none"/>
        </w:rPr>
      </w:pPr>
      <w:r>
        <w:rPr>
          <w:rFonts w:hint="eastAsia" w:ascii="微软雅黑" w:hAnsi="微软雅黑" w:cs="仿宋_GB2312"/>
          <w:color w:val="auto"/>
          <w:szCs w:val="21"/>
          <w:highlight w:val="none"/>
        </w:rPr>
        <w:t>商务技术文件部分</w:t>
      </w:r>
    </w:p>
    <w:p w14:paraId="2BC9989D">
      <w:pPr>
        <w:ind w:firstLine="420"/>
        <w:jc w:val="center"/>
        <w:outlineLvl w:val="0"/>
        <w:rPr>
          <w:rFonts w:ascii="微软雅黑" w:hAnsi="微软雅黑" w:cs="宋体"/>
          <w:b/>
          <w:color w:val="auto"/>
          <w:kern w:val="0"/>
          <w:szCs w:val="21"/>
          <w:highlight w:val="none"/>
        </w:rPr>
      </w:pPr>
      <w:bookmarkStart w:id="193" w:name="_Toc164943225"/>
      <w:bookmarkStart w:id="194" w:name="_Toc169015148"/>
      <w:bookmarkStart w:id="195" w:name="_Toc16145"/>
      <w:bookmarkStart w:id="196" w:name="_Toc29002"/>
      <w:bookmarkStart w:id="197" w:name="_Toc21948"/>
      <w:r>
        <w:rPr>
          <w:rFonts w:hint="eastAsia" w:ascii="微软雅黑" w:hAnsi="微软雅黑" w:cs="宋体"/>
          <w:b/>
          <w:color w:val="auto"/>
          <w:kern w:val="0"/>
          <w:szCs w:val="21"/>
          <w:highlight w:val="none"/>
        </w:rPr>
        <w:t>目录</w:t>
      </w:r>
      <w:bookmarkEnd w:id="193"/>
      <w:bookmarkEnd w:id="194"/>
      <w:bookmarkEnd w:id="195"/>
      <w:bookmarkEnd w:id="196"/>
      <w:bookmarkEnd w:id="197"/>
    </w:p>
    <w:p w14:paraId="6FF07967">
      <w:pPr>
        <w:numPr>
          <w:ilvl w:val="0"/>
          <w:numId w:val="52"/>
        </w:numPr>
        <w:ind w:firstLineChars="0"/>
        <w:jc w:val="both"/>
        <w:rPr>
          <w:rFonts w:ascii="微软雅黑" w:hAnsi="微软雅黑" w:cs="宋体"/>
          <w:color w:val="auto"/>
          <w:szCs w:val="21"/>
          <w:highlight w:val="none"/>
        </w:rPr>
      </w:pPr>
      <w:r>
        <w:rPr>
          <w:rFonts w:hint="eastAsia" w:ascii="微软雅黑" w:hAnsi="微软雅黑" w:cs="宋体"/>
          <w:color w:val="auto"/>
          <w:szCs w:val="21"/>
          <w:highlight w:val="none"/>
        </w:rPr>
        <w:t>投标函……………………………………………………………………（页码）</w:t>
      </w:r>
    </w:p>
    <w:p w14:paraId="776E515C">
      <w:pPr>
        <w:numPr>
          <w:ilvl w:val="0"/>
          <w:numId w:val="52"/>
        </w:numPr>
        <w:ind w:firstLineChars="0"/>
        <w:jc w:val="both"/>
        <w:rPr>
          <w:rFonts w:ascii="微软雅黑" w:hAnsi="微软雅黑" w:cs="宋体"/>
          <w:color w:val="auto"/>
          <w:szCs w:val="21"/>
          <w:highlight w:val="none"/>
        </w:rPr>
      </w:pPr>
      <w:r>
        <w:rPr>
          <w:rFonts w:hint="eastAsia" w:ascii="微软雅黑" w:hAnsi="微软雅黑" w:cs="宋体"/>
          <w:color w:val="auto"/>
          <w:szCs w:val="21"/>
          <w:highlight w:val="none"/>
        </w:rPr>
        <w:t>法定代表人授权委托书…………………………………………………（页码）</w:t>
      </w:r>
    </w:p>
    <w:p w14:paraId="5E343AD2">
      <w:pPr>
        <w:ind w:firstLine="420"/>
        <w:jc w:val="both"/>
        <w:rPr>
          <w:rFonts w:ascii="微软雅黑" w:hAnsi="微软雅黑"/>
          <w:color w:val="auto"/>
          <w:szCs w:val="21"/>
          <w:highlight w:val="none"/>
        </w:rPr>
      </w:pPr>
      <w:r>
        <w:rPr>
          <w:rFonts w:hint="eastAsia" w:ascii="微软雅黑" w:hAnsi="微软雅黑" w:cs="宋体"/>
          <w:color w:val="auto"/>
          <w:szCs w:val="21"/>
          <w:highlight w:val="none"/>
        </w:rPr>
        <w:t>（3）政府采购活动现场确认声明书…………………………………………（页码）</w:t>
      </w:r>
    </w:p>
    <w:p w14:paraId="14C162A2">
      <w:pPr>
        <w:ind w:firstLine="420"/>
        <w:jc w:val="both"/>
        <w:rPr>
          <w:rFonts w:ascii="微软雅黑" w:hAnsi="微软雅黑" w:cs="宋体"/>
          <w:color w:val="auto"/>
          <w:szCs w:val="21"/>
          <w:highlight w:val="none"/>
        </w:rPr>
      </w:pPr>
      <w:r>
        <w:rPr>
          <w:rFonts w:hint="eastAsia" w:ascii="微软雅黑" w:hAnsi="微软雅黑" w:cs="宋体"/>
          <w:color w:val="auto"/>
          <w:szCs w:val="21"/>
          <w:highlight w:val="none"/>
        </w:rPr>
        <w:t>（4）符合性审查资料…………………………………………………………（页码）</w:t>
      </w:r>
    </w:p>
    <w:p w14:paraId="59F19A3F">
      <w:pPr>
        <w:ind w:firstLine="420"/>
        <w:jc w:val="both"/>
        <w:rPr>
          <w:rFonts w:ascii="微软雅黑" w:hAnsi="微软雅黑" w:cs="宋体"/>
          <w:color w:val="auto"/>
          <w:szCs w:val="21"/>
          <w:highlight w:val="none"/>
        </w:rPr>
      </w:pPr>
      <w:r>
        <w:rPr>
          <w:rFonts w:hint="eastAsia" w:ascii="微软雅黑" w:hAnsi="微软雅黑" w:cs="宋体"/>
          <w:color w:val="auto"/>
          <w:szCs w:val="21"/>
          <w:highlight w:val="none"/>
        </w:rPr>
        <w:t>（5）评分对应表………………………………………………………………（页码）</w:t>
      </w:r>
    </w:p>
    <w:p w14:paraId="24B741F9">
      <w:pPr>
        <w:ind w:firstLine="420"/>
        <w:jc w:val="both"/>
        <w:rPr>
          <w:rFonts w:ascii="微软雅黑" w:hAnsi="微软雅黑" w:cs="宋体"/>
          <w:color w:val="auto"/>
          <w:szCs w:val="21"/>
          <w:highlight w:val="none"/>
        </w:rPr>
      </w:pPr>
      <w:r>
        <w:rPr>
          <w:rFonts w:hint="eastAsia" w:ascii="微软雅黑" w:hAnsi="微软雅黑" w:cs="宋体"/>
          <w:color w:val="auto"/>
          <w:szCs w:val="21"/>
          <w:highlight w:val="none"/>
        </w:rPr>
        <w:t>（6）商务响应表………………………………………………………………（页码）</w:t>
      </w:r>
    </w:p>
    <w:p w14:paraId="256AB431">
      <w:pPr>
        <w:ind w:firstLine="420"/>
        <w:jc w:val="both"/>
        <w:rPr>
          <w:rFonts w:ascii="微软雅黑" w:hAnsi="微软雅黑" w:cs="仿宋_GB2312"/>
          <w:b/>
          <w:color w:val="auto"/>
          <w:kern w:val="0"/>
          <w:szCs w:val="21"/>
          <w:highlight w:val="none"/>
        </w:rPr>
      </w:pPr>
      <w:r>
        <w:rPr>
          <w:rFonts w:hint="eastAsia" w:ascii="微软雅黑" w:hAnsi="微软雅黑" w:cs="宋体"/>
          <w:color w:val="auto"/>
          <w:szCs w:val="21"/>
          <w:highlight w:val="none"/>
          <w:lang w:val="zh-CN"/>
        </w:rPr>
        <w:t>（</w:t>
      </w:r>
      <w:r>
        <w:rPr>
          <w:rFonts w:hint="eastAsia" w:ascii="微软雅黑" w:hAnsi="微软雅黑" w:cs="宋体"/>
          <w:color w:val="auto"/>
          <w:szCs w:val="21"/>
          <w:highlight w:val="none"/>
        </w:rPr>
        <w:t>7</w:t>
      </w:r>
      <w:r>
        <w:rPr>
          <w:rFonts w:hint="eastAsia" w:ascii="微软雅黑" w:hAnsi="微软雅黑" w:cs="宋体"/>
          <w:color w:val="auto"/>
          <w:szCs w:val="21"/>
          <w:highlight w:val="none"/>
          <w:lang w:val="zh-CN"/>
        </w:rPr>
        <w:t>）评标标准相应的商务技术资料</w:t>
      </w:r>
      <w:r>
        <w:rPr>
          <w:rFonts w:hint="eastAsia" w:ascii="微软雅黑" w:hAnsi="微软雅黑" w:cs="宋体"/>
          <w:color w:val="auto"/>
          <w:szCs w:val="21"/>
          <w:highlight w:val="none"/>
        </w:rPr>
        <w:t>…………………………………………（页码）</w:t>
      </w:r>
    </w:p>
    <w:p w14:paraId="5CCF1B91">
      <w:pPr>
        <w:snapToGrid w:val="0"/>
        <w:spacing w:before="120" w:beforeLines="50" w:after="50"/>
        <w:ind w:firstLine="420"/>
        <w:jc w:val="center"/>
        <w:rPr>
          <w:rFonts w:ascii="宋体" w:hAnsi="宋体"/>
          <w:b/>
          <w:color w:val="auto"/>
          <w:szCs w:val="21"/>
          <w:highlight w:val="none"/>
        </w:rPr>
        <w:sectPr>
          <w:type w:val="continuous"/>
          <w:pgSz w:w="11907" w:h="16840"/>
          <w:pgMar w:top="1276" w:right="1418" w:bottom="1247" w:left="1418" w:header="851" w:footer="992" w:gutter="0"/>
          <w:cols w:space="720" w:num="1"/>
          <w:titlePg/>
          <w:docGrid w:linePitch="312" w:charSpace="0"/>
        </w:sectPr>
      </w:pPr>
    </w:p>
    <w:p w14:paraId="3E7F5035">
      <w:pPr>
        <w:snapToGrid w:val="0"/>
        <w:spacing w:before="120" w:beforeLines="50" w:after="50"/>
        <w:ind w:firstLine="420"/>
        <w:jc w:val="center"/>
        <w:rPr>
          <w:rFonts w:ascii="宋体" w:hAnsi="宋体"/>
          <w:b/>
          <w:color w:val="auto"/>
          <w:szCs w:val="21"/>
          <w:highlight w:val="none"/>
        </w:rPr>
        <w:sectPr>
          <w:type w:val="continuous"/>
          <w:pgSz w:w="11907" w:h="16840"/>
          <w:pgMar w:top="1276" w:right="1418" w:bottom="1247" w:left="1418" w:header="851" w:footer="992" w:gutter="0"/>
          <w:cols w:space="720" w:num="1"/>
          <w:titlePg/>
          <w:docGrid w:linePitch="312" w:charSpace="0"/>
        </w:sectPr>
      </w:pPr>
      <w:bookmarkStart w:id="198" w:name="_Toc9182"/>
    </w:p>
    <w:p w14:paraId="07969C62">
      <w:pPr>
        <w:snapToGrid w:val="0"/>
        <w:spacing w:before="120" w:beforeLines="50" w:after="50"/>
        <w:ind w:firstLine="420"/>
        <w:jc w:val="center"/>
        <w:outlineLvl w:val="1"/>
        <w:rPr>
          <w:rFonts w:ascii="宋体" w:hAnsi="宋体"/>
          <w:b/>
          <w:color w:val="auto"/>
          <w:szCs w:val="21"/>
          <w:highlight w:val="none"/>
        </w:rPr>
      </w:pPr>
      <w:r>
        <w:rPr>
          <w:rFonts w:hint="eastAsia" w:ascii="宋体" w:hAnsi="宋体"/>
          <w:b/>
          <w:color w:val="auto"/>
          <w:szCs w:val="21"/>
          <w:highlight w:val="none"/>
        </w:rPr>
        <w:t>一、投标函</w:t>
      </w:r>
      <w:bookmarkEnd w:id="198"/>
    </w:p>
    <w:p w14:paraId="37FA10A7">
      <w:pPr>
        <w:snapToGrid w:val="0"/>
        <w:ind w:firstLine="420"/>
        <w:rPr>
          <w:rFonts w:ascii="微软雅黑" w:hAnsi="微软雅黑" w:cs="宋体"/>
          <w:color w:val="auto"/>
          <w:szCs w:val="21"/>
          <w:highlight w:val="none"/>
        </w:rPr>
      </w:pPr>
      <w:r>
        <w:rPr>
          <w:rFonts w:hint="eastAsia" w:ascii="微软雅黑" w:hAnsi="微软雅黑" w:cs="宋体"/>
          <w:color w:val="auto"/>
          <w:szCs w:val="21"/>
          <w:highlight w:val="none"/>
          <w:u w:val="single"/>
        </w:rPr>
        <w:t>（采购人）、（采购代理机构）</w:t>
      </w:r>
      <w:r>
        <w:rPr>
          <w:rFonts w:hint="eastAsia" w:ascii="微软雅黑" w:hAnsi="微软雅黑" w:cs="宋体"/>
          <w:color w:val="auto"/>
          <w:szCs w:val="21"/>
          <w:highlight w:val="none"/>
        </w:rPr>
        <w:t>：</w:t>
      </w:r>
    </w:p>
    <w:p w14:paraId="0F5DA13A">
      <w:pPr>
        <w:snapToGrid w:val="0"/>
        <w:ind w:firstLine="420"/>
        <w:rPr>
          <w:rFonts w:ascii="微软雅黑" w:hAnsi="微软雅黑" w:cs="宋体"/>
          <w:color w:val="auto"/>
          <w:szCs w:val="21"/>
          <w:highlight w:val="none"/>
        </w:rPr>
      </w:pPr>
      <w:r>
        <w:rPr>
          <w:rFonts w:hint="eastAsia" w:ascii="微软雅黑" w:hAnsi="微软雅黑" w:cs="宋体"/>
          <w:color w:val="auto"/>
          <w:szCs w:val="21"/>
          <w:highlight w:val="none"/>
        </w:rPr>
        <w:t>我方参加你方组织的（项目名称）【项目编号】招标的有关活动，并对此项目进行投标。为此：</w:t>
      </w:r>
    </w:p>
    <w:p w14:paraId="15FED749">
      <w:pPr>
        <w:snapToGrid w:val="0"/>
        <w:ind w:firstLine="420"/>
        <w:rPr>
          <w:rFonts w:ascii="微软雅黑" w:hAnsi="微软雅黑" w:cs="宋体"/>
          <w:color w:val="auto"/>
          <w:szCs w:val="21"/>
          <w:highlight w:val="none"/>
        </w:rPr>
      </w:pPr>
      <w:r>
        <w:rPr>
          <w:rFonts w:hint="eastAsia" w:ascii="微软雅黑" w:hAnsi="微软雅黑" w:cs="宋体"/>
          <w:color w:val="auto"/>
          <w:szCs w:val="21"/>
          <w:highlight w:val="none"/>
        </w:rPr>
        <w:t>1、我方承诺投标有效期从提交投标文件的截止之日起</w:t>
      </w:r>
      <w:r>
        <w:rPr>
          <w:rFonts w:hint="eastAsia" w:ascii="微软雅黑" w:hAnsi="微软雅黑" w:cs="宋体"/>
          <w:color w:val="auto"/>
          <w:szCs w:val="21"/>
          <w:highlight w:val="none"/>
          <w:u w:val="single"/>
        </w:rPr>
        <w:t xml:space="preserve">     </w:t>
      </w:r>
      <w:r>
        <w:rPr>
          <w:rFonts w:hint="eastAsia" w:ascii="微软雅黑" w:hAnsi="微软雅黑" w:cs="宋体"/>
          <w:color w:val="auto"/>
          <w:szCs w:val="21"/>
          <w:highlight w:val="none"/>
        </w:rPr>
        <w:t>天（不少于90天），本投标文件在投标有效期满之前均具有约束力。</w:t>
      </w:r>
    </w:p>
    <w:p w14:paraId="6C95BB3F">
      <w:pPr>
        <w:snapToGrid w:val="0"/>
        <w:ind w:firstLine="420"/>
        <w:rPr>
          <w:rFonts w:ascii="微软雅黑" w:hAnsi="微软雅黑" w:cs="宋体"/>
          <w:color w:val="auto"/>
          <w:szCs w:val="21"/>
          <w:highlight w:val="none"/>
        </w:rPr>
      </w:pPr>
      <w:r>
        <w:rPr>
          <w:rFonts w:hint="eastAsia" w:ascii="微软雅黑" w:hAnsi="微软雅黑" w:cs="宋体"/>
          <w:color w:val="auto"/>
          <w:szCs w:val="21"/>
          <w:highlight w:val="none"/>
        </w:rPr>
        <w:t>2、我方的投标文件包括以下内容：</w:t>
      </w:r>
    </w:p>
    <w:p w14:paraId="473D54C6">
      <w:pPr>
        <w:snapToGrid w:val="0"/>
        <w:ind w:left="210" w:leftChars="100" w:firstLine="420"/>
        <w:rPr>
          <w:rFonts w:ascii="微软雅黑" w:hAnsi="微软雅黑" w:cs="宋体"/>
          <w:color w:val="auto"/>
          <w:szCs w:val="21"/>
          <w:highlight w:val="none"/>
        </w:rPr>
      </w:pPr>
      <w:r>
        <w:rPr>
          <w:rFonts w:hint="eastAsia" w:ascii="微软雅黑" w:hAnsi="微软雅黑" w:cs="宋体"/>
          <w:color w:val="auto"/>
          <w:szCs w:val="21"/>
          <w:highlight w:val="none"/>
        </w:rPr>
        <w:t>2.1资格文件：</w:t>
      </w:r>
    </w:p>
    <w:p w14:paraId="16EA178F">
      <w:pPr>
        <w:snapToGrid w:val="0"/>
        <w:ind w:left="420" w:leftChars="200" w:firstLine="420"/>
        <w:rPr>
          <w:rFonts w:ascii="微软雅黑" w:hAnsi="微软雅黑" w:cs="宋体"/>
          <w:color w:val="auto"/>
          <w:szCs w:val="21"/>
          <w:highlight w:val="none"/>
        </w:rPr>
      </w:pPr>
      <w:r>
        <w:rPr>
          <w:rFonts w:hint="eastAsia" w:ascii="微软雅黑" w:hAnsi="微软雅黑" w:cs="宋体"/>
          <w:color w:val="auto"/>
          <w:szCs w:val="21"/>
          <w:highlight w:val="none"/>
        </w:rPr>
        <w:t>2.1.1符合参加政府采购活动应当具备的一般条件的承诺函；</w:t>
      </w:r>
    </w:p>
    <w:p w14:paraId="2D968472">
      <w:pPr>
        <w:snapToGrid w:val="0"/>
        <w:ind w:left="420" w:leftChars="200" w:firstLine="420"/>
        <w:rPr>
          <w:color w:val="auto"/>
          <w:highlight w:val="none"/>
        </w:rPr>
      </w:pPr>
      <w:r>
        <w:rPr>
          <w:rFonts w:hint="eastAsia" w:ascii="微软雅黑" w:hAnsi="微软雅黑" w:cs="宋体"/>
          <w:color w:val="auto"/>
          <w:szCs w:val="21"/>
          <w:highlight w:val="none"/>
        </w:rPr>
        <w:t>2.1.2</w:t>
      </w:r>
      <w:r>
        <w:rPr>
          <w:rFonts w:hint="eastAsia" w:ascii="微软雅黑" w:hAnsi="微软雅黑" w:cs="宋体"/>
          <w:color w:val="auto"/>
          <w:kern w:val="0"/>
          <w:szCs w:val="21"/>
          <w:highlight w:val="none"/>
        </w:rPr>
        <w:t>企业法人营业执照副本复印件。</w:t>
      </w:r>
    </w:p>
    <w:p w14:paraId="0263C570">
      <w:pPr>
        <w:snapToGrid w:val="0"/>
        <w:ind w:left="210" w:leftChars="100" w:firstLine="420"/>
        <w:rPr>
          <w:rFonts w:ascii="微软雅黑" w:hAnsi="微软雅黑" w:cs="宋体"/>
          <w:color w:val="auto"/>
          <w:szCs w:val="21"/>
          <w:highlight w:val="none"/>
          <w:lang w:val="zh-CN"/>
        </w:rPr>
      </w:pPr>
      <w:r>
        <w:rPr>
          <w:rFonts w:hint="eastAsia" w:ascii="微软雅黑" w:hAnsi="微软雅黑" w:cs="宋体"/>
          <w:color w:val="auto"/>
          <w:szCs w:val="21"/>
          <w:highlight w:val="none"/>
        </w:rPr>
        <w:t>2</w:t>
      </w:r>
      <w:r>
        <w:rPr>
          <w:rFonts w:hint="eastAsia" w:ascii="微软雅黑" w:hAnsi="微软雅黑" w:cs="宋体"/>
          <w:color w:val="auto"/>
          <w:szCs w:val="21"/>
          <w:highlight w:val="none"/>
          <w:lang w:val="zh-CN"/>
        </w:rPr>
        <w:t>.</w:t>
      </w:r>
      <w:r>
        <w:rPr>
          <w:rFonts w:hint="eastAsia" w:ascii="微软雅黑" w:hAnsi="微软雅黑" w:cs="宋体"/>
          <w:color w:val="auto"/>
          <w:szCs w:val="21"/>
          <w:highlight w:val="none"/>
        </w:rPr>
        <w:t>2</w:t>
      </w:r>
      <w:r>
        <w:rPr>
          <w:rFonts w:hint="eastAsia" w:ascii="微软雅黑" w:hAnsi="微软雅黑" w:cs="宋体"/>
          <w:color w:val="auto"/>
          <w:szCs w:val="21"/>
          <w:highlight w:val="none"/>
          <w:lang w:val="zh-CN"/>
        </w:rPr>
        <w:t xml:space="preserve"> </w:t>
      </w:r>
      <w:r>
        <w:rPr>
          <w:rFonts w:hint="eastAsia" w:ascii="微软雅黑" w:hAnsi="微软雅黑" w:cs="宋体"/>
          <w:color w:val="auto"/>
          <w:szCs w:val="21"/>
          <w:highlight w:val="none"/>
        </w:rPr>
        <w:t>商务技术</w:t>
      </w:r>
      <w:r>
        <w:rPr>
          <w:rFonts w:hint="eastAsia" w:ascii="微软雅黑" w:hAnsi="微软雅黑" w:cs="宋体"/>
          <w:color w:val="auto"/>
          <w:szCs w:val="21"/>
          <w:highlight w:val="none"/>
          <w:lang w:val="zh-CN"/>
        </w:rPr>
        <w:t>文件：</w:t>
      </w:r>
    </w:p>
    <w:p w14:paraId="4899F9C2">
      <w:pPr>
        <w:snapToGrid w:val="0"/>
        <w:ind w:left="420" w:leftChars="200" w:firstLine="420"/>
        <w:rPr>
          <w:rFonts w:ascii="微软雅黑" w:hAnsi="微软雅黑" w:cs="宋体"/>
          <w:color w:val="auto"/>
          <w:szCs w:val="21"/>
          <w:highlight w:val="none"/>
        </w:rPr>
      </w:pPr>
      <w:r>
        <w:rPr>
          <w:rFonts w:hint="eastAsia" w:ascii="微软雅黑" w:hAnsi="微软雅黑" w:cs="宋体"/>
          <w:color w:val="auto"/>
          <w:szCs w:val="21"/>
          <w:highlight w:val="none"/>
        </w:rPr>
        <w:t>2.2.1投标函；</w:t>
      </w:r>
      <w:r>
        <w:rPr>
          <w:rFonts w:hint="eastAsia" w:ascii="微软雅黑" w:hAnsi="微软雅黑" w:cs="宋体"/>
          <w:color w:val="auto"/>
          <w:szCs w:val="21"/>
          <w:highlight w:val="none"/>
          <w:lang w:val="zh-CN"/>
        </w:rPr>
        <w:t xml:space="preserve"> </w:t>
      </w:r>
    </w:p>
    <w:p w14:paraId="560F576D">
      <w:pPr>
        <w:snapToGrid w:val="0"/>
        <w:ind w:left="420" w:leftChars="200" w:firstLine="420"/>
        <w:rPr>
          <w:rFonts w:ascii="微软雅黑" w:hAnsi="微软雅黑" w:cs="宋体"/>
          <w:color w:val="auto"/>
          <w:szCs w:val="21"/>
          <w:highlight w:val="none"/>
        </w:rPr>
      </w:pPr>
      <w:r>
        <w:rPr>
          <w:rFonts w:hint="eastAsia" w:ascii="微软雅黑" w:hAnsi="微软雅黑" w:cs="宋体"/>
          <w:color w:val="auto"/>
          <w:szCs w:val="21"/>
          <w:highlight w:val="none"/>
        </w:rPr>
        <w:t>2.2.2授权委托书或法定代表人（单位负责人）身份证明；</w:t>
      </w:r>
    </w:p>
    <w:p w14:paraId="2599DA2C">
      <w:pPr>
        <w:snapToGrid w:val="0"/>
        <w:ind w:left="420" w:leftChars="200" w:firstLine="420"/>
        <w:rPr>
          <w:rFonts w:ascii="微软雅黑" w:hAnsi="微软雅黑" w:cs="宋体"/>
          <w:color w:val="auto"/>
          <w:szCs w:val="21"/>
          <w:highlight w:val="none"/>
        </w:rPr>
      </w:pPr>
      <w:r>
        <w:rPr>
          <w:rFonts w:hint="eastAsia" w:ascii="微软雅黑" w:hAnsi="微软雅黑" w:cs="宋体"/>
          <w:color w:val="auto"/>
          <w:szCs w:val="21"/>
          <w:highlight w:val="none"/>
        </w:rPr>
        <w:t>2.2.3政府采购活动现场确认声明书；</w:t>
      </w:r>
    </w:p>
    <w:p w14:paraId="1A53A134">
      <w:pPr>
        <w:snapToGrid w:val="0"/>
        <w:ind w:firstLine="840" w:firstLineChars="400"/>
        <w:rPr>
          <w:rFonts w:ascii="微软雅黑" w:hAnsi="微软雅黑" w:cs="宋体"/>
          <w:color w:val="auto"/>
          <w:szCs w:val="21"/>
          <w:highlight w:val="none"/>
        </w:rPr>
      </w:pPr>
      <w:r>
        <w:rPr>
          <w:rFonts w:hint="eastAsia" w:ascii="微软雅黑" w:hAnsi="微软雅黑" w:cs="宋体"/>
          <w:color w:val="auto"/>
          <w:szCs w:val="21"/>
          <w:highlight w:val="none"/>
        </w:rPr>
        <w:t>2.2.4符合性审查资料；</w:t>
      </w:r>
    </w:p>
    <w:p w14:paraId="155C0BDB">
      <w:pPr>
        <w:snapToGrid w:val="0"/>
        <w:ind w:firstLine="840" w:firstLineChars="400"/>
        <w:rPr>
          <w:rFonts w:ascii="微软雅黑" w:hAnsi="微软雅黑" w:cs="仿宋_GB2312"/>
          <w:color w:val="auto"/>
          <w:szCs w:val="21"/>
          <w:highlight w:val="none"/>
        </w:rPr>
      </w:pPr>
      <w:r>
        <w:rPr>
          <w:rFonts w:hint="eastAsia" w:ascii="微软雅黑" w:hAnsi="微软雅黑" w:cs="宋体"/>
          <w:color w:val="auto"/>
          <w:szCs w:val="21"/>
          <w:highlight w:val="none"/>
        </w:rPr>
        <w:t>2.2.5商</w:t>
      </w:r>
      <w:r>
        <w:rPr>
          <w:rFonts w:hint="eastAsia" w:ascii="微软雅黑" w:hAnsi="微软雅黑"/>
          <w:color w:val="auto"/>
          <w:szCs w:val="21"/>
          <w:highlight w:val="none"/>
        </w:rPr>
        <w:t>务响应表</w:t>
      </w:r>
      <w:r>
        <w:rPr>
          <w:rFonts w:ascii="微软雅黑" w:hAnsi="微软雅黑" w:cs="仿宋_GB2312"/>
          <w:color w:val="auto"/>
          <w:szCs w:val="21"/>
          <w:highlight w:val="none"/>
        </w:rPr>
        <w:t>；</w:t>
      </w:r>
    </w:p>
    <w:p w14:paraId="073F7A5F">
      <w:pPr>
        <w:snapToGrid w:val="0"/>
        <w:ind w:firstLine="840" w:firstLineChars="400"/>
        <w:rPr>
          <w:rFonts w:ascii="微软雅黑" w:hAnsi="微软雅黑" w:cs="宋体"/>
          <w:color w:val="auto"/>
          <w:szCs w:val="21"/>
          <w:highlight w:val="none"/>
        </w:rPr>
      </w:pPr>
      <w:r>
        <w:rPr>
          <w:rFonts w:hint="eastAsia" w:ascii="微软雅黑" w:hAnsi="微软雅黑" w:cs="宋体"/>
          <w:color w:val="auto"/>
          <w:szCs w:val="21"/>
          <w:highlight w:val="none"/>
        </w:rPr>
        <w:t>2.2.6技术响应表；</w:t>
      </w:r>
    </w:p>
    <w:p w14:paraId="29464FA0">
      <w:pPr>
        <w:snapToGrid w:val="0"/>
        <w:ind w:left="420" w:leftChars="200" w:firstLine="420"/>
        <w:rPr>
          <w:rFonts w:ascii="微软雅黑" w:hAnsi="微软雅黑" w:cs="宋体"/>
          <w:color w:val="auto"/>
          <w:szCs w:val="21"/>
          <w:highlight w:val="none"/>
        </w:rPr>
      </w:pPr>
      <w:r>
        <w:rPr>
          <w:rFonts w:hint="eastAsia" w:ascii="微软雅黑" w:hAnsi="微软雅黑" w:cs="宋体"/>
          <w:color w:val="auto"/>
          <w:szCs w:val="21"/>
          <w:highlight w:val="none"/>
        </w:rPr>
        <w:t>2.2.7评标标准相应的商务技术资料；</w:t>
      </w:r>
    </w:p>
    <w:p w14:paraId="0969810C">
      <w:pPr>
        <w:snapToGrid w:val="0"/>
        <w:ind w:firstLine="840" w:firstLineChars="400"/>
        <w:rPr>
          <w:rFonts w:ascii="微软雅黑" w:hAnsi="微软雅黑" w:cs="宋体"/>
          <w:color w:val="auto"/>
          <w:szCs w:val="21"/>
          <w:highlight w:val="none"/>
          <w:lang w:val="en"/>
        </w:rPr>
      </w:pPr>
      <w:r>
        <w:rPr>
          <w:rFonts w:hint="eastAsia" w:ascii="微软雅黑" w:hAnsi="微软雅黑" w:cs="宋体"/>
          <w:color w:val="auto"/>
          <w:szCs w:val="21"/>
          <w:highlight w:val="none"/>
        </w:rPr>
        <w:t>2.2.8评分对应表</w:t>
      </w:r>
      <w:r>
        <w:rPr>
          <w:rFonts w:hint="eastAsia" w:ascii="微软雅黑" w:hAnsi="微软雅黑" w:cs="宋体"/>
          <w:color w:val="auto"/>
          <w:szCs w:val="21"/>
          <w:highlight w:val="none"/>
          <w:lang w:val="en"/>
        </w:rPr>
        <w:t>；</w:t>
      </w:r>
    </w:p>
    <w:p w14:paraId="2F886D9F">
      <w:pPr>
        <w:snapToGrid w:val="0"/>
        <w:ind w:firstLine="840" w:firstLineChars="400"/>
        <w:rPr>
          <w:rFonts w:ascii="微软雅黑" w:hAnsi="微软雅黑" w:cs="宋体"/>
          <w:color w:val="auto"/>
          <w:szCs w:val="21"/>
          <w:highlight w:val="none"/>
        </w:rPr>
      </w:pPr>
      <w:r>
        <w:rPr>
          <w:rFonts w:ascii="微软雅黑" w:hAnsi="微软雅黑" w:cs="宋体"/>
          <w:color w:val="auto"/>
          <w:szCs w:val="21"/>
          <w:highlight w:val="none"/>
          <w:lang w:val="en"/>
        </w:rPr>
        <w:t>2.2.</w:t>
      </w:r>
      <w:r>
        <w:rPr>
          <w:rFonts w:hint="eastAsia" w:ascii="微软雅黑" w:hAnsi="微软雅黑" w:cs="宋体"/>
          <w:color w:val="auto"/>
          <w:szCs w:val="21"/>
          <w:highlight w:val="none"/>
        </w:rPr>
        <w:t>9供应商认为需要提供的其他文件及资料（格式自拟）。</w:t>
      </w:r>
    </w:p>
    <w:p w14:paraId="1FE23273">
      <w:pPr>
        <w:snapToGrid w:val="0"/>
        <w:ind w:firstLine="420"/>
        <w:rPr>
          <w:rFonts w:ascii="微软雅黑" w:hAnsi="微软雅黑" w:cs="宋体"/>
          <w:color w:val="auto"/>
          <w:szCs w:val="21"/>
          <w:highlight w:val="none"/>
        </w:rPr>
      </w:pPr>
      <w:r>
        <w:rPr>
          <w:rFonts w:hint="eastAsia" w:ascii="微软雅黑" w:hAnsi="微软雅黑" w:cs="宋体"/>
          <w:color w:val="auto"/>
          <w:szCs w:val="21"/>
          <w:highlight w:val="none"/>
        </w:rPr>
        <w:t>2</w:t>
      </w:r>
      <w:r>
        <w:rPr>
          <w:rFonts w:hint="eastAsia" w:ascii="微软雅黑" w:hAnsi="微软雅黑" w:cs="宋体"/>
          <w:color w:val="auto"/>
          <w:szCs w:val="21"/>
          <w:highlight w:val="none"/>
          <w:lang w:val="zh-CN"/>
        </w:rPr>
        <w:t>.</w:t>
      </w:r>
      <w:r>
        <w:rPr>
          <w:rFonts w:hint="eastAsia" w:ascii="微软雅黑" w:hAnsi="微软雅黑" w:cs="宋体"/>
          <w:color w:val="auto"/>
          <w:szCs w:val="21"/>
          <w:highlight w:val="none"/>
        </w:rPr>
        <w:t>3报价文件</w:t>
      </w:r>
    </w:p>
    <w:p w14:paraId="43B61668">
      <w:pPr>
        <w:snapToGrid w:val="0"/>
        <w:ind w:left="420" w:leftChars="200" w:firstLine="420"/>
        <w:rPr>
          <w:rFonts w:ascii="微软雅黑" w:hAnsi="微软雅黑" w:cs="宋体"/>
          <w:color w:val="auto"/>
          <w:szCs w:val="21"/>
          <w:highlight w:val="none"/>
        </w:rPr>
      </w:pPr>
      <w:r>
        <w:rPr>
          <w:rFonts w:hint="eastAsia" w:ascii="微软雅黑" w:hAnsi="微软雅黑" w:cs="宋体"/>
          <w:color w:val="auto"/>
          <w:szCs w:val="21"/>
          <w:highlight w:val="none"/>
        </w:rPr>
        <w:t>2.3.1报价明细表；</w:t>
      </w:r>
    </w:p>
    <w:p w14:paraId="3B866933">
      <w:pPr>
        <w:snapToGrid w:val="0"/>
        <w:ind w:left="420" w:leftChars="200" w:firstLine="420"/>
        <w:rPr>
          <w:rFonts w:ascii="微软雅黑" w:hAnsi="微软雅黑" w:cs="宋体"/>
          <w:color w:val="auto"/>
          <w:szCs w:val="21"/>
          <w:highlight w:val="none"/>
        </w:rPr>
      </w:pPr>
      <w:r>
        <w:rPr>
          <w:rFonts w:hint="eastAsia" w:ascii="微软雅黑" w:hAnsi="微软雅黑" w:cs="宋体"/>
          <w:color w:val="auto"/>
          <w:szCs w:val="21"/>
          <w:highlight w:val="none"/>
        </w:rPr>
        <w:t>2.3.2开标一览表（报价表）；</w:t>
      </w:r>
    </w:p>
    <w:p w14:paraId="2E7EA611">
      <w:pPr>
        <w:ind w:firstLine="840" w:firstLineChars="400"/>
        <w:rPr>
          <w:rFonts w:ascii="微软雅黑" w:hAnsi="微软雅黑"/>
          <w:color w:val="auto"/>
          <w:szCs w:val="21"/>
          <w:highlight w:val="none"/>
        </w:rPr>
      </w:pPr>
      <w:r>
        <w:rPr>
          <w:rFonts w:hint="eastAsia" w:ascii="微软雅黑" w:hAnsi="微软雅黑" w:cs="宋体"/>
          <w:color w:val="auto"/>
          <w:szCs w:val="21"/>
          <w:highlight w:val="none"/>
        </w:rPr>
        <w:t>2.3.3</w:t>
      </w:r>
      <w:r>
        <w:rPr>
          <w:rFonts w:hint="eastAsia" w:ascii="微软雅黑" w:hAnsi="微软雅黑"/>
          <w:color w:val="auto"/>
          <w:szCs w:val="21"/>
          <w:highlight w:val="none"/>
        </w:rPr>
        <w:t>中小企业声明函、残疾人福利性单位声明函及其他符合政策性加分条件的承诺函或证明材料。</w:t>
      </w:r>
    </w:p>
    <w:p w14:paraId="4BB59A2A">
      <w:pPr>
        <w:ind w:firstLine="840" w:firstLineChars="400"/>
        <w:rPr>
          <w:rFonts w:ascii="微软雅黑" w:hAnsi="微软雅黑"/>
          <w:color w:val="auto"/>
          <w:szCs w:val="21"/>
          <w:highlight w:val="none"/>
        </w:rPr>
      </w:pPr>
      <w:r>
        <w:rPr>
          <w:rFonts w:hint="eastAsia" w:ascii="微软雅黑" w:hAnsi="微软雅黑"/>
          <w:color w:val="auto"/>
          <w:szCs w:val="21"/>
          <w:highlight w:val="none"/>
        </w:rPr>
        <w:t>2.3.3投标供应商针对报价需要说明的其他文件和说明。</w:t>
      </w:r>
    </w:p>
    <w:p w14:paraId="10E81BBF">
      <w:pPr>
        <w:snapToGrid w:val="0"/>
        <w:ind w:left="420" w:leftChars="200" w:firstLine="420"/>
        <w:rPr>
          <w:rFonts w:ascii="微软雅黑" w:hAnsi="微软雅黑" w:cs="宋体"/>
          <w:color w:val="auto"/>
          <w:szCs w:val="21"/>
          <w:highlight w:val="none"/>
        </w:rPr>
      </w:pPr>
      <w:r>
        <w:rPr>
          <w:rFonts w:hint="eastAsia" w:ascii="微软雅黑" w:hAnsi="微软雅黑"/>
          <w:b/>
          <w:bCs/>
          <w:color w:val="auto"/>
          <w:szCs w:val="21"/>
          <w:highlight w:val="none"/>
        </w:rPr>
        <w:t>法定代表人授权委托书、投标函、开标一览表必须有法定代表人或被</w:t>
      </w:r>
      <w:r>
        <w:rPr>
          <w:rFonts w:hint="eastAsia" w:ascii="微软雅黑" w:hAnsi="微软雅黑"/>
          <w:b/>
          <w:color w:val="auto"/>
          <w:szCs w:val="21"/>
          <w:highlight w:val="none"/>
        </w:rPr>
        <w:t>授权</w:t>
      </w:r>
      <w:r>
        <w:rPr>
          <w:rFonts w:hint="eastAsia" w:ascii="微软雅黑" w:hAnsi="微软雅黑"/>
          <w:b/>
          <w:bCs/>
          <w:color w:val="auto"/>
          <w:szCs w:val="21"/>
          <w:highlight w:val="none"/>
        </w:rPr>
        <w:t>人签字（或签章）并加盖单位公章。</w:t>
      </w:r>
    </w:p>
    <w:p w14:paraId="337D23BD">
      <w:pPr>
        <w:snapToGrid w:val="0"/>
        <w:ind w:firstLine="420"/>
        <w:rPr>
          <w:rFonts w:ascii="微软雅黑" w:hAnsi="微软雅黑" w:cs="宋体"/>
          <w:color w:val="auto"/>
          <w:szCs w:val="21"/>
          <w:highlight w:val="none"/>
        </w:rPr>
      </w:pPr>
      <w:r>
        <w:rPr>
          <w:rFonts w:hint="eastAsia" w:ascii="微软雅黑" w:hAnsi="微软雅黑" w:cs="宋体"/>
          <w:color w:val="auto"/>
          <w:szCs w:val="21"/>
          <w:highlight w:val="none"/>
        </w:rPr>
        <w:t>3、我方承诺除商务技术响应表列出的偏离外，我方响应招标文件的全部要求。</w:t>
      </w:r>
    </w:p>
    <w:p w14:paraId="62D0C9B9">
      <w:pPr>
        <w:snapToGrid w:val="0"/>
        <w:ind w:firstLine="420"/>
        <w:rPr>
          <w:rFonts w:ascii="微软雅黑" w:hAnsi="微软雅黑" w:cs="宋体"/>
          <w:color w:val="auto"/>
          <w:szCs w:val="21"/>
          <w:highlight w:val="none"/>
        </w:rPr>
      </w:pPr>
      <w:r>
        <w:rPr>
          <w:rFonts w:hint="eastAsia" w:ascii="微软雅黑" w:hAnsi="微软雅黑" w:cs="宋体"/>
          <w:color w:val="auto"/>
          <w:szCs w:val="21"/>
          <w:highlight w:val="none"/>
        </w:rPr>
        <w:t>4、如我方中标，我方承诺：</w:t>
      </w:r>
    </w:p>
    <w:p w14:paraId="7ED7A3A8">
      <w:pPr>
        <w:snapToGrid w:val="0"/>
        <w:ind w:left="210" w:leftChars="100" w:firstLine="420"/>
        <w:rPr>
          <w:rFonts w:ascii="微软雅黑" w:hAnsi="微软雅黑" w:cs="宋体"/>
          <w:color w:val="auto"/>
          <w:szCs w:val="21"/>
          <w:highlight w:val="none"/>
        </w:rPr>
      </w:pPr>
      <w:r>
        <w:rPr>
          <w:rFonts w:hint="eastAsia" w:ascii="微软雅黑" w:hAnsi="微软雅黑" w:cs="宋体"/>
          <w:color w:val="auto"/>
          <w:szCs w:val="21"/>
          <w:highlight w:val="none"/>
        </w:rPr>
        <w:t xml:space="preserve">4.1在收到中标通知书后，在中标通知书规定的期限内与你方签订合同； </w:t>
      </w:r>
    </w:p>
    <w:p w14:paraId="31AE61FD">
      <w:pPr>
        <w:snapToGrid w:val="0"/>
        <w:ind w:left="210" w:leftChars="100" w:firstLine="420"/>
        <w:rPr>
          <w:rFonts w:ascii="微软雅黑" w:hAnsi="微软雅黑" w:cs="宋体"/>
          <w:color w:val="auto"/>
          <w:szCs w:val="21"/>
          <w:highlight w:val="none"/>
        </w:rPr>
      </w:pPr>
      <w:r>
        <w:rPr>
          <w:rFonts w:hint="eastAsia" w:ascii="微软雅黑" w:hAnsi="微软雅黑" w:cs="宋体"/>
          <w:color w:val="auto"/>
          <w:szCs w:val="21"/>
          <w:highlight w:val="none"/>
        </w:rPr>
        <w:t xml:space="preserve">4.2在签订合同时不向你方提出附加条件； </w:t>
      </w:r>
    </w:p>
    <w:p w14:paraId="09F1E76D">
      <w:pPr>
        <w:snapToGrid w:val="0"/>
        <w:ind w:left="210" w:leftChars="100" w:firstLine="420"/>
        <w:rPr>
          <w:rFonts w:ascii="微软雅黑" w:hAnsi="微软雅黑" w:cs="宋体"/>
          <w:color w:val="auto"/>
          <w:szCs w:val="21"/>
          <w:highlight w:val="none"/>
        </w:rPr>
      </w:pPr>
      <w:r>
        <w:rPr>
          <w:rFonts w:hint="eastAsia" w:ascii="微软雅黑" w:hAnsi="微软雅黑" w:cs="宋体"/>
          <w:color w:val="auto"/>
          <w:szCs w:val="21"/>
          <w:highlight w:val="none"/>
        </w:rPr>
        <w:t xml:space="preserve">4.3按照招标文件要求提交履约保证金； </w:t>
      </w:r>
    </w:p>
    <w:p w14:paraId="20480323">
      <w:pPr>
        <w:snapToGrid w:val="0"/>
        <w:ind w:left="210" w:leftChars="100" w:firstLine="420"/>
        <w:rPr>
          <w:rFonts w:ascii="微软雅黑" w:hAnsi="微软雅黑" w:cs="宋体"/>
          <w:color w:val="auto"/>
          <w:szCs w:val="21"/>
          <w:highlight w:val="none"/>
        </w:rPr>
      </w:pPr>
      <w:r>
        <w:rPr>
          <w:rFonts w:hint="eastAsia" w:ascii="微软雅黑" w:hAnsi="微软雅黑" w:cs="宋体"/>
          <w:color w:val="auto"/>
          <w:szCs w:val="21"/>
          <w:highlight w:val="none"/>
        </w:rPr>
        <w:t xml:space="preserve">4.4在合同约定的期限内完成合同规定的全部义务。 </w:t>
      </w:r>
    </w:p>
    <w:p w14:paraId="05AD1495">
      <w:pPr>
        <w:snapToGrid w:val="0"/>
        <w:ind w:left="210" w:leftChars="100" w:firstLine="420"/>
        <w:rPr>
          <w:rFonts w:ascii="微软雅黑" w:hAnsi="微软雅黑" w:cs="宋体"/>
          <w:color w:val="auto"/>
          <w:szCs w:val="21"/>
          <w:highlight w:val="none"/>
        </w:rPr>
      </w:pPr>
      <w:r>
        <w:rPr>
          <w:rFonts w:hint="eastAsia" w:ascii="微软雅黑" w:hAnsi="微软雅黑" w:cs="宋体"/>
          <w:color w:val="auto"/>
          <w:szCs w:val="21"/>
          <w:highlight w:val="none"/>
        </w:rPr>
        <w:t>5、其他补充说明:</w:t>
      </w:r>
      <w:r>
        <w:rPr>
          <w:rFonts w:hint="eastAsia" w:ascii="微软雅黑" w:hAnsi="微软雅黑" w:cs="宋体"/>
          <w:color w:val="auto"/>
          <w:szCs w:val="21"/>
          <w:highlight w:val="none"/>
          <w:u w:val="single"/>
        </w:rPr>
        <w:t xml:space="preserve">                                        </w:t>
      </w:r>
      <w:r>
        <w:rPr>
          <w:rFonts w:hint="eastAsia" w:ascii="微软雅黑" w:hAnsi="微软雅黑" w:cs="宋体"/>
          <w:color w:val="auto"/>
          <w:szCs w:val="21"/>
          <w:highlight w:val="none"/>
        </w:rPr>
        <w:t>。</w:t>
      </w:r>
    </w:p>
    <w:p w14:paraId="5BFB5AD0">
      <w:pPr>
        <w:snapToGrid w:val="0"/>
        <w:spacing w:before="120" w:beforeLines="50"/>
        <w:ind w:firstLine="420"/>
        <w:jc w:val="center"/>
        <w:rPr>
          <w:rFonts w:ascii="微软雅黑" w:hAnsi="微软雅黑"/>
          <w:color w:val="auto"/>
          <w:szCs w:val="21"/>
          <w:highlight w:val="none"/>
          <w:u w:val="single"/>
        </w:rPr>
      </w:pPr>
      <w:r>
        <w:rPr>
          <w:rFonts w:hint="eastAsia" w:ascii="微软雅黑" w:hAnsi="微软雅黑" w:cs="Arial"/>
          <w:color w:val="auto"/>
          <w:kern w:val="0"/>
          <w:szCs w:val="21"/>
          <w:highlight w:val="none"/>
        </w:rPr>
        <w:t xml:space="preserve"> 法定代表人或</w:t>
      </w:r>
      <w:r>
        <w:rPr>
          <w:rFonts w:hint="eastAsia" w:ascii="微软雅黑" w:hAnsi="微软雅黑"/>
          <w:color w:val="auto"/>
          <w:szCs w:val="21"/>
          <w:highlight w:val="none"/>
        </w:rPr>
        <w:t>被授权人签字（或盖章）：</w:t>
      </w:r>
    </w:p>
    <w:p w14:paraId="54D7D0BA">
      <w:pPr>
        <w:pStyle w:val="122"/>
        <w:ind w:firstLine="420"/>
        <w:jc w:val="center"/>
        <w:rPr>
          <w:rFonts w:ascii="微软雅黑" w:hAnsi="微软雅黑" w:eastAsia="微软雅黑" w:cs="宋体"/>
          <w:color w:val="auto"/>
          <w:sz w:val="21"/>
          <w:szCs w:val="21"/>
          <w:highlight w:val="none"/>
        </w:rPr>
      </w:pPr>
      <w:r>
        <w:rPr>
          <w:rFonts w:hint="eastAsia" w:ascii="微软雅黑" w:hAnsi="微软雅黑" w:eastAsia="微软雅黑" w:cs="宋体"/>
          <w:color w:val="auto"/>
          <w:sz w:val="21"/>
          <w:szCs w:val="21"/>
          <w:highlight w:val="none"/>
        </w:rPr>
        <w:t xml:space="preserve">             供应商名称（公章）：</w:t>
      </w:r>
    </w:p>
    <w:p w14:paraId="766F5060">
      <w:pPr>
        <w:pStyle w:val="122"/>
        <w:ind w:firstLine="420"/>
        <w:jc w:val="center"/>
        <w:rPr>
          <w:rFonts w:ascii="微软雅黑" w:hAnsi="微软雅黑" w:eastAsia="微软雅黑"/>
          <w:color w:val="auto"/>
          <w:sz w:val="21"/>
          <w:szCs w:val="21"/>
          <w:highlight w:val="none"/>
        </w:rPr>
      </w:pPr>
      <w:r>
        <w:rPr>
          <w:rFonts w:hint="eastAsia" w:ascii="微软雅黑" w:hAnsi="微软雅黑" w:eastAsia="微软雅黑"/>
          <w:color w:val="auto"/>
          <w:sz w:val="21"/>
          <w:szCs w:val="21"/>
          <w:highlight w:val="none"/>
        </w:rPr>
        <w:t xml:space="preserve">          日期： 年 月 日</w:t>
      </w:r>
    </w:p>
    <w:p w14:paraId="276B66CA">
      <w:pPr>
        <w:snapToGrid w:val="0"/>
        <w:spacing w:before="120" w:beforeLines="50" w:after="50"/>
        <w:ind w:firstLine="640"/>
        <w:jc w:val="center"/>
        <w:rPr>
          <w:rFonts w:ascii="宋体" w:hAnsi="宋体"/>
          <w:b/>
          <w:color w:val="auto"/>
          <w:sz w:val="32"/>
          <w:szCs w:val="32"/>
          <w:highlight w:val="none"/>
        </w:rPr>
      </w:pPr>
    </w:p>
    <w:p w14:paraId="2D3FECFE">
      <w:pPr>
        <w:snapToGrid w:val="0"/>
        <w:spacing w:before="120" w:beforeLines="50" w:after="50"/>
        <w:ind w:firstLine="640"/>
        <w:jc w:val="center"/>
        <w:rPr>
          <w:rFonts w:ascii="宋体" w:hAnsi="宋体"/>
          <w:b/>
          <w:color w:val="auto"/>
          <w:sz w:val="32"/>
          <w:szCs w:val="32"/>
          <w:highlight w:val="none"/>
        </w:rPr>
        <w:sectPr>
          <w:pgSz w:w="11907" w:h="16840"/>
          <w:pgMar w:top="1276" w:right="1418" w:bottom="1247" w:left="1418" w:header="851" w:footer="992" w:gutter="0"/>
          <w:cols w:space="720" w:num="1"/>
          <w:titlePg/>
          <w:docGrid w:linePitch="312" w:charSpace="0"/>
        </w:sectPr>
      </w:pPr>
    </w:p>
    <w:p w14:paraId="7BC6E539">
      <w:pPr>
        <w:snapToGrid w:val="0"/>
        <w:spacing w:before="120" w:beforeLines="50" w:after="50"/>
        <w:ind w:firstLine="420"/>
        <w:jc w:val="center"/>
        <w:rPr>
          <w:rFonts w:ascii="微软雅黑" w:hAnsi="微软雅黑"/>
          <w:b/>
          <w:color w:val="auto"/>
          <w:szCs w:val="21"/>
          <w:highlight w:val="none"/>
        </w:rPr>
        <w:sectPr>
          <w:type w:val="continuous"/>
          <w:pgSz w:w="11907" w:h="16840"/>
          <w:pgMar w:top="1276" w:right="1418" w:bottom="1247" w:left="1418" w:header="851" w:footer="992" w:gutter="0"/>
          <w:cols w:space="720" w:num="1"/>
          <w:titlePg/>
          <w:docGrid w:linePitch="312" w:charSpace="0"/>
        </w:sectPr>
      </w:pPr>
      <w:bookmarkStart w:id="199" w:name="_Toc8363"/>
    </w:p>
    <w:p w14:paraId="280D23A1">
      <w:pPr>
        <w:snapToGrid w:val="0"/>
        <w:spacing w:before="120" w:beforeLines="50" w:after="50"/>
        <w:ind w:firstLine="420"/>
        <w:jc w:val="center"/>
        <w:outlineLvl w:val="1"/>
        <w:rPr>
          <w:rFonts w:ascii="微软雅黑" w:hAnsi="微软雅黑"/>
          <w:b/>
          <w:color w:val="auto"/>
          <w:szCs w:val="21"/>
          <w:highlight w:val="none"/>
        </w:rPr>
      </w:pPr>
      <w:r>
        <w:rPr>
          <w:rFonts w:hint="eastAsia" w:ascii="微软雅黑" w:hAnsi="微软雅黑"/>
          <w:b/>
          <w:color w:val="auto"/>
          <w:szCs w:val="21"/>
          <w:highlight w:val="none"/>
        </w:rPr>
        <w:t>二、法定代表人授权委托书</w:t>
      </w:r>
      <w:bookmarkEnd w:id="199"/>
    </w:p>
    <w:p w14:paraId="1B1CA5B7">
      <w:pPr>
        <w:snapToGrid w:val="0"/>
        <w:ind w:firstLine="420"/>
        <w:rPr>
          <w:rFonts w:ascii="微软雅黑" w:hAnsi="微软雅黑" w:cs="宋体"/>
          <w:color w:val="auto"/>
          <w:szCs w:val="21"/>
          <w:highlight w:val="none"/>
          <w:u w:val="single"/>
        </w:rPr>
      </w:pPr>
      <w:r>
        <w:rPr>
          <w:rFonts w:hint="eastAsia" w:ascii="微软雅黑" w:hAnsi="微软雅黑" w:cs="宋体"/>
          <w:color w:val="auto"/>
          <w:szCs w:val="21"/>
          <w:highlight w:val="none"/>
          <w:u w:val="single"/>
        </w:rPr>
        <w:t>（采购人）、（采购代理机构）：</w:t>
      </w:r>
    </w:p>
    <w:p w14:paraId="350E293C">
      <w:pPr>
        <w:snapToGrid w:val="0"/>
        <w:spacing w:before="120" w:beforeLines="50" w:after="50"/>
        <w:ind w:firstLine="630" w:firstLineChars="300"/>
        <w:rPr>
          <w:rFonts w:ascii="宋体" w:hAnsi="宋体"/>
          <w:color w:val="auto"/>
          <w:szCs w:val="20"/>
          <w:highlight w:val="none"/>
        </w:rPr>
      </w:pPr>
      <w:r>
        <w:rPr>
          <w:rFonts w:hint="eastAsia" w:ascii="宋体" w:hAnsi="宋体"/>
          <w:color w:val="auto"/>
          <w:highlight w:val="none"/>
        </w:rPr>
        <w:t>我</w:t>
      </w:r>
      <w:r>
        <w:rPr>
          <w:rFonts w:hint="eastAsia" w:ascii="宋体" w:hAnsi="宋体"/>
          <w:color w:val="auto"/>
          <w:highlight w:val="none"/>
          <w:u w:val="single"/>
        </w:rPr>
        <w:t xml:space="preserve">              </w:t>
      </w:r>
      <w:r>
        <w:rPr>
          <w:rFonts w:hint="eastAsia" w:ascii="宋体" w:hAnsi="宋体"/>
          <w:color w:val="auto"/>
          <w:highlight w:val="none"/>
        </w:rPr>
        <w:t>（姓名）系</w:t>
      </w:r>
      <w:r>
        <w:rPr>
          <w:rFonts w:hint="eastAsia" w:ascii="宋体" w:hAnsi="宋体"/>
          <w:color w:val="auto"/>
          <w:highlight w:val="none"/>
          <w:u w:val="single"/>
        </w:rPr>
        <w:t xml:space="preserve">              </w:t>
      </w:r>
      <w:r>
        <w:rPr>
          <w:rFonts w:hint="eastAsia" w:ascii="宋体" w:hAnsi="宋体"/>
          <w:color w:val="auto"/>
          <w:highlight w:val="none"/>
        </w:rPr>
        <w:t>（投标供应商名称）的法定代表人，现授权委托（姓名）以我方的名义参加</w:t>
      </w:r>
      <w:r>
        <w:rPr>
          <w:rFonts w:hint="eastAsia" w:ascii="宋体" w:hAnsi="宋体"/>
          <w:color w:val="auto"/>
          <w:highlight w:val="none"/>
          <w:u w:val="single"/>
        </w:rPr>
        <w:t xml:space="preserve">                项目</w:t>
      </w:r>
      <w:r>
        <w:rPr>
          <w:rFonts w:hint="eastAsia" w:ascii="宋体" w:hAnsi="宋体"/>
          <w:color w:val="auto"/>
          <w:highlight w:val="none"/>
        </w:rPr>
        <w:t>的投标活动，并代表我方全权办理针对上述项目的投标、开标、评标、签约等具体事务和签署相关文件。</w:t>
      </w:r>
    </w:p>
    <w:p w14:paraId="7B50AEC5">
      <w:pPr>
        <w:snapToGrid w:val="0"/>
        <w:spacing w:before="120" w:beforeLines="50" w:after="50"/>
        <w:ind w:firstLine="420"/>
        <w:rPr>
          <w:rFonts w:ascii="宋体" w:hAnsi="宋体"/>
          <w:color w:val="auto"/>
          <w:szCs w:val="20"/>
          <w:highlight w:val="none"/>
        </w:rPr>
      </w:pPr>
      <w:r>
        <w:rPr>
          <w:rFonts w:hint="eastAsia" w:ascii="宋体" w:hAnsi="宋体"/>
          <w:color w:val="auto"/>
          <w:highlight w:val="none"/>
        </w:rPr>
        <w:t>我方对被授权人的签字事项负全部责任。</w:t>
      </w:r>
    </w:p>
    <w:p w14:paraId="614DC2CF">
      <w:pPr>
        <w:snapToGrid w:val="0"/>
        <w:spacing w:before="120" w:beforeLines="50" w:after="50"/>
        <w:ind w:firstLine="420"/>
        <w:rPr>
          <w:rFonts w:ascii="宋体" w:hAnsi="宋体"/>
          <w:color w:val="auto"/>
          <w:szCs w:val="20"/>
          <w:highlight w:val="none"/>
        </w:rPr>
      </w:pPr>
      <w:r>
        <w:rPr>
          <w:rFonts w:hint="eastAsia" w:ascii="宋体" w:hAnsi="宋体"/>
          <w:color w:val="auto"/>
          <w:highlight w:val="none"/>
          <w:u w:val="single"/>
        </w:rPr>
        <w:t>在撤销授权的书面通知以前，本授权书一直有效。</w:t>
      </w:r>
      <w:r>
        <w:rPr>
          <w:rFonts w:hint="eastAsia" w:ascii="宋体" w:hAnsi="宋体"/>
          <w:color w:val="auto"/>
          <w:highlight w:val="none"/>
        </w:rPr>
        <w:t>被授权人在授权书有效期内签署的所有文件不因授权的撤销而失效。</w:t>
      </w:r>
    </w:p>
    <w:p w14:paraId="7F377A27">
      <w:pPr>
        <w:snapToGrid w:val="0"/>
        <w:spacing w:before="120" w:beforeLines="50" w:after="50"/>
        <w:ind w:firstLine="420"/>
        <w:rPr>
          <w:rFonts w:ascii="宋体" w:hAnsi="宋体"/>
          <w:color w:val="auto"/>
          <w:highlight w:val="none"/>
        </w:rPr>
      </w:pPr>
      <w:r>
        <w:rPr>
          <w:rFonts w:hint="eastAsia" w:ascii="宋体" w:hAnsi="宋体"/>
          <w:color w:val="auto"/>
          <w:highlight w:val="none"/>
        </w:rPr>
        <w:t>被授权人无转委托权，特此委托。</w:t>
      </w:r>
    </w:p>
    <w:p w14:paraId="0E562D25">
      <w:pPr>
        <w:snapToGrid w:val="0"/>
        <w:spacing w:before="120" w:beforeLines="50" w:after="50"/>
        <w:ind w:firstLine="420"/>
        <w:rPr>
          <w:rFonts w:ascii="宋体" w:hAnsi="宋体"/>
          <w:color w:val="auto"/>
          <w:highlight w:val="none"/>
        </w:rPr>
      </w:pPr>
      <w:r>
        <w:rPr>
          <w:rFonts w:hint="eastAsia" w:ascii="宋体" w:hAnsi="宋体"/>
          <w:color w:val="auto"/>
          <w:highlight w:val="none"/>
        </w:rPr>
        <w:t>　身份证粘贴处：                   身份证粘贴处：</w:t>
      </w:r>
    </w:p>
    <w:p w14:paraId="1B0EAB67">
      <w:pPr>
        <w:snapToGrid w:val="0"/>
        <w:spacing w:before="120" w:beforeLines="50" w:after="50"/>
        <w:ind w:firstLine="420"/>
        <w:rPr>
          <w:rFonts w:ascii="宋体" w:hAnsi="宋体"/>
          <w:color w:val="auto"/>
          <w:highlight w:val="none"/>
        </w:rPr>
      </w:pPr>
    </w:p>
    <w:p w14:paraId="1CD2426C">
      <w:pPr>
        <w:snapToGrid w:val="0"/>
        <w:spacing w:before="120" w:beforeLines="50" w:after="50"/>
        <w:ind w:firstLine="420"/>
        <w:rPr>
          <w:rFonts w:ascii="宋体" w:hAnsi="宋体"/>
          <w:color w:val="auto"/>
          <w:szCs w:val="21"/>
          <w:highlight w:val="none"/>
          <w:u w:val="single"/>
        </w:rPr>
      </w:pPr>
      <w:r>
        <w:rPr>
          <w:rFonts w:hint="eastAsia" w:ascii="宋体" w:hAnsi="宋体"/>
          <w:color w:val="auto"/>
          <w:szCs w:val="21"/>
          <w:highlight w:val="none"/>
        </w:rPr>
        <w:t>法定代表人签字（或盖章）：          被授权人签字（或盖章）：</w:t>
      </w:r>
    </w:p>
    <w:p w14:paraId="494ADEF5">
      <w:pPr>
        <w:snapToGrid w:val="0"/>
        <w:spacing w:before="120" w:beforeLines="50" w:after="50"/>
        <w:ind w:firstLine="420"/>
        <w:rPr>
          <w:rFonts w:ascii="宋体" w:hAnsi="宋体"/>
          <w:color w:val="auto"/>
          <w:szCs w:val="21"/>
          <w:highlight w:val="none"/>
          <w:u w:val="single"/>
        </w:rPr>
      </w:pPr>
      <w:r>
        <w:rPr>
          <w:rFonts w:hint="eastAsia" w:ascii="宋体" w:hAnsi="宋体"/>
          <w:color w:val="auto"/>
          <w:szCs w:val="21"/>
          <w:highlight w:val="none"/>
        </w:rPr>
        <w:t>职务：                              职务：</w:t>
      </w:r>
    </w:p>
    <w:p w14:paraId="58583FE8">
      <w:pPr>
        <w:snapToGrid w:val="0"/>
        <w:spacing w:before="120" w:beforeLines="50" w:after="50"/>
        <w:ind w:firstLine="420"/>
        <w:rPr>
          <w:rFonts w:hint="eastAsia" w:ascii="宋体" w:hAnsi="宋体"/>
          <w:color w:val="auto"/>
          <w:szCs w:val="21"/>
          <w:highlight w:val="none"/>
        </w:rPr>
      </w:pPr>
      <w:r>
        <w:rPr>
          <w:rFonts w:hint="eastAsia" w:ascii="宋体" w:hAnsi="宋体"/>
          <w:color w:val="auto"/>
          <w:szCs w:val="21"/>
          <w:highlight w:val="none"/>
        </w:rPr>
        <w:t>供应商名称（公章）：               年  月  日</w:t>
      </w:r>
    </w:p>
    <w:p w14:paraId="4C989E7E">
      <w:pPr>
        <w:ind w:firstLine="641"/>
        <w:jc w:val="center"/>
        <w:rPr>
          <w:rFonts w:ascii="仿宋_GB2312" w:hAnsi="仿宋" w:eastAsia="仿宋_GB2312" w:cs="仿宋_GB2312"/>
          <w:b/>
          <w:color w:val="auto"/>
          <w:kern w:val="0"/>
          <w:sz w:val="32"/>
          <w:szCs w:val="32"/>
          <w:highlight w:val="none"/>
        </w:rPr>
      </w:pPr>
    </w:p>
    <w:p w14:paraId="1C18505F">
      <w:pPr>
        <w:snapToGrid w:val="0"/>
        <w:spacing w:before="120" w:beforeLines="50" w:after="50"/>
        <w:ind w:firstLine="643"/>
        <w:jc w:val="center"/>
        <w:rPr>
          <w:rFonts w:ascii="宋体" w:hAnsi="宋体" w:eastAsia="宋体"/>
          <w:b/>
          <w:color w:val="auto"/>
          <w:sz w:val="32"/>
          <w:szCs w:val="32"/>
          <w:highlight w:val="none"/>
        </w:rPr>
        <w:sectPr>
          <w:pgSz w:w="11907" w:h="16840"/>
          <w:pgMar w:top="1276" w:right="1418" w:bottom="1247" w:left="1418" w:header="851" w:footer="992" w:gutter="0"/>
          <w:cols w:space="720" w:num="1"/>
          <w:titlePg/>
          <w:docGrid w:linePitch="312" w:charSpace="0"/>
        </w:sectPr>
      </w:pPr>
    </w:p>
    <w:p w14:paraId="65EC88CF">
      <w:pPr>
        <w:snapToGrid w:val="0"/>
        <w:spacing w:before="120" w:beforeLines="50" w:after="50"/>
        <w:ind w:firstLine="420"/>
        <w:jc w:val="center"/>
        <w:rPr>
          <w:rFonts w:ascii="微软雅黑" w:hAnsi="微软雅黑"/>
          <w:b/>
          <w:color w:val="auto"/>
          <w:szCs w:val="21"/>
          <w:highlight w:val="none"/>
        </w:rPr>
        <w:sectPr>
          <w:type w:val="continuous"/>
          <w:pgSz w:w="11907" w:h="16840"/>
          <w:pgMar w:top="1276" w:right="1418" w:bottom="1247" w:left="1418" w:header="851" w:footer="992" w:gutter="0"/>
          <w:cols w:space="720" w:num="1"/>
          <w:titlePg/>
          <w:docGrid w:linePitch="312" w:charSpace="0"/>
        </w:sectPr>
      </w:pPr>
      <w:bookmarkStart w:id="200" w:name="_Toc11546"/>
    </w:p>
    <w:p w14:paraId="676FC8B0">
      <w:pPr>
        <w:snapToGrid w:val="0"/>
        <w:spacing w:before="120" w:beforeLines="50" w:after="50"/>
        <w:ind w:firstLine="420"/>
        <w:jc w:val="center"/>
        <w:outlineLvl w:val="1"/>
        <w:rPr>
          <w:rFonts w:ascii="微软雅黑" w:hAnsi="微软雅黑"/>
          <w:b/>
          <w:color w:val="auto"/>
          <w:szCs w:val="21"/>
          <w:highlight w:val="none"/>
        </w:rPr>
      </w:pPr>
      <w:r>
        <w:rPr>
          <w:rFonts w:hint="eastAsia" w:ascii="微软雅黑" w:hAnsi="微软雅黑"/>
          <w:b/>
          <w:color w:val="auto"/>
          <w:szCs w:val="21"/>
          <w:highlight w:val="none"/>
        </w:rPr>
        <w:t>三、政府采购活动现场确认声明书</w:t>
      </w:r>
      <w:bookmarkEnd w:id="200"/>
    </w:p>
    <w:p w14:paraId="4672FAA7">
      <w:pPr>
        <w:snapToGrid w:val="0"/>
        <w:spacing w:before="120" w:beforeLines="50" w:after="50"/>
        <w:ind w:firstLine="420"/>
        <w:rPr>
          <w:rFonts w:ascii="微软雅黑" w:hAnsi="微软雅黑"/>
          <w:color w:val="auto"/>
          <w:szCs w:val="21"/>
          <w:highlight w:val="none"/>
        </w:rPr>
      </w:pPr>
      <w:r>
        <w:rPr>
          <w:rFonts w:hint="eastAsia" w:ascii="微软雅黑" w:hAnsi="微软雅黑" w:cs="宋体"/>
          <w:color w:val="auto"/>
          <w:szCs w:val="21"/>
          <w:highlight w:val="none"/>
          <w:u w:val="single"/>
        </w:rPr>
        <w:t>（采购人）、（采购代理机构）：</w:t>
      </w:r>
      <w:r>
        <w:rPr>
          <w:rFonts w:hint="eastAsia" w:ascii="微软雅黑" w:hAnsi="微软雅黑"/>
          <w:color w:val="auto"/>
          <w:szCs w:val="21"/>
          <w:highlight w:val="none"/>
        </w:rPr>
        <w:t>:</w:t>
      </w:r>
    </w:p>
    <w:p w14:paraId="4406B607">
      <w:pPr>
        <w:snapToGrid w:val="0"/>
        <w:spacing w:before="120" w:beforeLines="50" w:after="50"/>
        <w:ind w:firstLine="420"/>
        <w:rPr>
          <w:rFonts w:ascii="微软雅黑" w:hAnsi="微软雅黑"/>
          <w:color w:val="auto"/>
          <w:szCs w:val="21"/>
          <w:highlight w:val="none"/>
        </w:rPr>
      </w:pPr>
      <w:r>
        <w:rPr>
          <w:rFonts w:hint="eastAsia" w:ascii="微软雅黑" w:hAnsi="微软雅黑"/>
          <w:color w:val="auto"/>
          <w:szCs w:val="21"/>
          <w:highlight w:val="none"/>
        </w:rPr>
        <w:t>本人 ____________（授权代表姓名），经由______________________________（单位） ____________ （法定代表人姓名）合法授权参加</w:t>
      </w:r>
      <w:r>
        <w:rPr>
          <w:rFonts w:hint="eastAsia"/>
          <w:color w:val="auto"/>
          <w:highlight w:val="none"/>
          <w:u w:val="single"/>
          <w:lang w:eastAsia="zh-CN"/>
        </w:rPr>
        <w:t>嘉兴南湖学院化工基础实验室采购项目</w:t>
      </w:r>
      <w:r>
        <w:rPr>
          <w:rFonts w:hint="eastAsia" w:ascii="微软雅黑" w:hAnsi="微软雅黑"/>
          <w:color w:val="auto"/>
          <w:szCs w:val="21"/>
          <w:highlight w:val="none"/>
          <w:u w:val="single"/>
        </w:rPr>
        <w:t>（编号：       ）</w:t>
      </w:r>
      <w:r>
        <w:rPr>
          <w:rFonts w:hint="eastAsia" w:ascii="微软雅黑" w:hAnsi="微软雅黑"/>
          <w:color w:val="auto"/>
          <w:szCs w:val="21"/>
          <w:highlight w:val="none"/>
        </w:rPr>
        <w:t>政府采购活动．经与本单位法人代表（负责人）联系确认，现就有关公平竞争事项郑重声明如下:</w:t>
      </w:r>
    </w:p>
    <w:p w14:paraId="508210D2">
      <w:pPr>
        <w:snapToGrid w:val="0"/>
        <w:spacing w:before="120" w:beforeLines="50" w:after="50"/>
        <w:ind w:firstLine="420"/>
        <w:outlineLvl w:val="1"/>
        <w:rPr>
          <w:rFonts w:ascii="微软雅黑" w:hAnsi="微软雅黑"/>
          <w:color w:val="auto"/>
          <w:szCs w:val="21"/>
          <w:highlight w:val="none"/>
        </w:rPr>
      </w:pPr>
      <w:bookmarkStart w:id="201" w:name="_Toc5627"/>
      <w:r>
        <w:rPr>
          <w:rFonts w:hint="eastAsia" w:ascii="微软雅黑" w:hAnsi="微软雅黑"/>
          <w:color w:val="auto"/>
          <w:szCs w:val="21"/>
          <w:highlight w:val="none"/>
        </w:rPr>
        <w:t>一、本单位与采购人之间口不存在利害关系口存在下列利害关系：</w:t>
      </w:r>
      <w:bookmarkEnd w:id="201"/>
    </w:p>
    <w:p w14:paraId="28CC1FCF">
      <w:pPr>
        <w:snapToGrid w:val="0"/>
        <w:spacing w:before="120" w:beforeLines="50" w:after="50" w:line="240" w:lineRule="auto"/>
        <w:ind w:firstLine="420"/>
        <w:rPr>
          <w:rFonts w:ascii="微软雅黑" w:hAnsi="微软雅黑"/>
          <w:color w:val="auto"/>
          <w:szCs w:val="21"/>
          <w:highlight w:val="none"/>
        </w:rPr>
      </w:pPr>
      <w:r>
        <w:rPr>
          <w:rFonts w:hint="eastAsia" w:ascii="微软雅黑" w:hAnsi="微软雅黑"/>
          <w:color w:val="auto"/>
          <w:szCs w:val="21"/>
          <w:highlight w:val="none"/>
        </w:rPr>
        <w:t>A．投资关系 B．行政隶属关系 C．业务指导关系D．其他可能影响采购公正的利害关系（如有，请如实说明）。</w:t>
      </w:r>
    </w:p>
    <w:p w14:paraId="39ED01AB">
      <w:pPr>
        <w:snapToGrid w:val="0"/>
        <w:spacing w:before="120" w:beforeLines="50" w:after="50" w:line="240" w:lineRule="auto"/>
        <w:ind w:firstLine="420"/>
        <w:rPr>
          <w:rFonts w:ascii="微软雅黑" w:hAnsi="微软雅黑"/>
          <w:color w:val="auto"/>
          <w:szCs w:val="21"/>
          <w:highlight w:val="none"/>
        </w:rPr>
      </w:pPr>
      <w:r>
        <w:rPr>
          <w:rFonts w:hint="eastAsia" w:ascii="微软雅黑" w:hAnsi="微软雅黑"/>
          <w:color w:val="auto"/>
          <w:szCs w:val="21"/>
          <w:highlight w:val="none"/>
        </w:rPr>
        <w:t>二、现己清楚知道参加本项目采购活动的其他所有供应商名称，本单位 口与其他所有供应商之间均不存在利害关系 口与______________（供应商名称）之间存在下列利害关系:</w:t>
      </w:r>
    </w:p>
    <w:p w14:paraId="5465E32C">
      <w:pPr>
        <w:snapToGrid w:val="0"/>
        <w:spacing w:before="120" w:beforeLines="50" w:after="50" w:line="240" w:lineRule="auto"/>
        <w:ind w:firstLine="420"/>
        <w:rPr>
          <w:rFonts w:ascii="微软雅黑" w:hAnsi="微软雅黑"/>
          <w:color w:val="auto"/>
          <w:szCs w:val="21"/>
          <w:highlight w:val="none"/>
        </w:rPr>
      </w:pPr>
      <w:r>
        <w:rPr>
          <w:rFonts w:hint="eastAsia" w:ascii="微软雅黑" w:hAnsi="微软雅黑"/>
          <w:color w:val="auto"/>
          <w:szCs w:val="21"/>
          <w:highlight w:val="none"/>
        </w:rPr>
        <w:t>A．法定代表人或负责人或实际控制人是同一人</w:t>
      </w:r>
    </w:p>
    <w:p w14:paraId="63C8F7F5">
      <w:pPr>
        <w:snapToGrid w:val="0"/>
        <w:spacing w:before="120" w:beforeLines="50" w:after="50" w:line="240" w:lineRule="auto"/>
        <w:ind w:firstLine="420"/>
        <w:rPr>
          <w:rFonts w:ascii="微软雅黑" w:hAnsi="微软雅黑"/>
          <w:color w:val="auto"/>
          <w:szCs w:val="21"/>
          <w:highlight w:val="none"/>
        </w:rPr>
      </w:pPr>
      <w:r>
        <w:rPr>
          <w:rFonts w:hint="eastAsia" w:ascii="微软雅黑" w:hAnsi="微软雅黑"/>
          <w:color w:val="auto"/>
          <w:szCs w:val="21"/>
          <w:highlight w:val="none"/>
        </w:rPr>
        <w:t>B．法定代表人或负责人或实际控制人是夫妻关系</w:t>
      </w:r>
    </w:p>
    <w:p w14:paraId="2FDD5E34">
      <w:pPr>
        <w:snapToGrid w:val="0"/>
        <w:spacing w:before="120" w:beforeLines="50" w:after="50" w:line="240" w:lineRule="auto"/>
        <w:ind w:firstLine="420"/>
        <w:rPr>
          <w:rFonts w:ascii="微软雅黑" w:hAnsi="微软雅黑"/>
          <w:color w:val="auto"/>
          <w:szCs w:val="21"/>
          <w:highlight w:val="none"/>
        </w:rPr>
      </w:pPr>
      <w:r>
        <w:rPr>
          <w:rFonts w:hint="eastAsia" w:ascii="微软雅黑" w:hAnsi="微软雅黑"/>
          <w:color w:val="auto"/>
          <w:szCs w:val="21"/>
          <w:highlight w:val="none"/>
        </w:rPr>
        <w:t>C．法定代表人或负责人或实际控制人是直系血亲关系</w:t>
      </w:r>
    </w:p>
    <w:p w14:paraId="5A73AF74">
      <w:pPr>
        <w:snapToGrid w:val="0"/>
        <w:spacing w:before="120" w:beforeLines="50" w:after="50" w:line="240" w:lineRule="auto"/>
        <w:ind w:firstLine="420"/>
        <w:rPr>
          <w:rFonts w:ascii="微软雅黑" w:hAnsi="微软雅黑"/>
          <w:color w:val="auto"/>
          <w:szCs w:val="21"/>
          <w:highlight w:val="none"/>
        </w:rPr>
      </w:pPr>
      <w:r>
        <w:rPr>
          <w:rFonts w:hint="eastAsia" w:ascii="微软雅黑" w:hAnsi="微软雅黑"/>
          <w:color w:val="auto"/>
          <w:szCs w:val="21"/>
          <w:highlight w:val="none"/>
        </w:rPr>
        <w:t>D．法定代表人或负责人或实际控制人存在三代以内旁系血亲关系</w:t>
      </w:r>
    </w:p>
    <w:p w14:paraId="231EE8AF">
      <w:pPr>
        <w:snapToGrid w:val="0"/>
        <w:spacing w:before="120" w:beforeLines="50" w:after="50" w:line="240" w:lineRule="auto"/>
        <w:ind w:firstLine="420"/>
        <w:rPr>
          <w:rFonts w:ascii="微软雅黑" w:hAnsi="微软雅黑"/>
          <w:color w:val="auto"/>
          <w:szCs w:val="21"/>
          <w:highlight w:val="none"/>
        </w:rPr>
      </w:pPr>
      <w:r>
        <w:rPr>
          <w:rFonts w:hint="eastAsia" w:ascii="微软雅黑" w:hAnsi="微软雅黑"/>
          <w:color w:val="auto"/>
          <w:szCs w:val="21"/>
          <w:highlight w:val="none"/>
        </w:rPr>
        <w:t>E．法定代表人或负责人或实际控制人存在近姻亲关系</w:t>
      </w:r>
    </w:p>
    <w:p w14:paraId="73D1387E">
      <w:pPr>
        <w:snapToGrid w:val="0"/>
        <w:spacing w:before="120" w:beforeLines="50" w:after="50" w:line="240" w:lineRule="auto"/>
        <w:ind w:firstLine="420"/>
        <w:rPr>
          <w:rFonts w:ascii="微软雅黑" w:hAnsi="微软雅黑"/>
          <w:color w:val="auto"/>
          <w:szCs w:val="21"/>
          <w:highlight w:val="none"/>
        </w:rPr>
      </w:pPr>
      <w:r>
        <w:rPr>
          <w:rFonts w:hint="eastAsia" w:ascii="微软雅黑" w:hAnsi="微软雅黑"/>
          <w:color w:val="auto"/>
          <w:szCs w:val="21"/>
          <w:highlight w:val="none"/>
        </w:rPr>
        <w:t>F．法定代表人或负责人或实际控制人存在股份控制或实际控制关系</w:t>
      </w:r>
    </w:p>
    <w:p w14:paraId="3C713F72">
      <w:pPr>
        <w:snapToGrid w:val="0"/>
        <w:spacing w:before="120" w:beforeLines="50" w:after="50" w:line="240" w:lineRule="auto"/>
        <w:ind w:firstLine="420"/>
        <w:rPr>
          <w:rFonts w:ascii="微软雅黑" w:hAnsi="微软雅黑"/>
          <w:color w:val="auto"/>
          <w:szCs w:val="21"/>
          <w:highlight w:val="none"/>
        </w:rPr>
      </w:pPr>
      <w:r>
        <w:rPr>
          <w:rFonts w:hint="eastAsia" w:ascii="微软雅黑" w:hAnsi="微软雅黑"/>
          <w:color w:val="auto"/>
          <w:szCs w:val="21"/>
          <w:highlight w:val="none"/>
        </w:rPr>
        <w:t>G．存在共同直接或间接投资设立子公司、联营企业和合营企业情况</w:t>
      </w:r>
    </w:p>
    <w:p w14:paraId="5F9BD40D">
      <w:pPr>
        <w:snapToGrid w:val="0"/>
        <w:spacing w:before="120" w:beforeLines="50" w:after="50" w:line="240" w:lineRule="auto"/>
        <w:ind w:firstLine="420"/>
        <w:rPr>
          <w:rFonts w:ascii="微软雅黑" w:hAnsi="微软雅黑"/>
          <w:color w:val="auto"/>
          <w:szCs w:val="21"/>
          <w:highlight w:val="none"/>
        </w:rPr>
      </w:pPr>
      <w:r>
        <w:rPr>
          <w:rFonts w:hint="eastAsia" w:ascii="微软雅黑" w:hAnsi="微软雅黑"/>
          <w:color w:val="auto"/>
          <w:szCs w:val="21"/>
          <w:highlight w:val="none"/>
        </w:rPr>
        <w:t>H．存在分级代理或代销关系、同一生产制造商关系、管理关系、重要业务（占主营业务收入 50 ％以上）或重要财务往来关系（如融资）等其他实质性控制关系</w:t>
      </w:r>
    </w:p>
    <w:p w14:paraId="7822D62E">
      <w:pPr>
        <w:snapToGrid w:val="0"/>
        <w:spacing w:before="120" w:beforeLines="50" w:after="50" w:line="240" w:lineRule="auto"/>
        <w:ind w:firstLine="420"/>
        <w:rPr>
          <w:rFonts w:ascii="微软雅黑" w:hAnsi="微软雅黑"/>
          <w:color w:val="auto"/>
          <w:szCs w:val="21"/>
          <w:highlight w:val="none"/>
        </w:rPr>
      </w:pPr>
      <w:r>
        <w:rPr>
          <w:rFonts w:hint="eastAsia" w:ascii="微软雅黑" w:hAnsi="微软雅黑"/>
          <w:color w:val="auto"/>
          <w:szCs w:val="21"/>
          <w:highlight w:val="none"/>
        </w:rPr>
        <w:t>I．其他利害关系情况 ________________________________________。</w:t>
      </w:r>
    </w:p>
    <w:p w14:paraId="6B7F8C48">
      <w:pPr>
        <w:snapToGrid w:val="0"/>
        <w:spacing w:before="120" w:beforeLines="50" w:after="50"/>
        <w:ind w:firstLine="420"/>
        <w:outlineLvl w:val="1"/>
        <w:rPr>
          <w:rFonts w:ascii="微软雅黑" w:hAnsi="微软雅黑"/>
          <w:color w:val="auto"/>
          <w:szCs w:val="21"/>
          <w:highlight w:val="none"/>
        </w:rPr>
      </w:pPr>
      <w:bookmarkStart w:id="202" w:name="_Toc11452"/>
      <w:r>
        <w:rPr>
          <w:rFonts w:hint="eastAsia" w:ascii="微软雅黑" w:hAnsi="微软雅黑"/>
          <w:color w:val="auto"/>
          <w:szCs w:val="21"/>
          <w:highlight w:val="none"/>
        </w:rPr>
        <w:t>三、现己清楚知道并严格遵守政府采购法律法规和现场纪律。</w:t>
      </w:r>
      <w:bookmarkEnd w:id="202"/>
    </w:p>
    <w:p w14:paraId="1735A3D0">
      <w:pPr>
        <w:snapToGrid w:val="0"/>
        <w:spacing w:before="120" w:beforeLines="50" w:after="50"/>
        <w:ind w:firstLine="420"/>
        <w:rPr>
          <w:rFonts w:ascii="微软雅黑" w:hAnsi="微软雅黑"/>
          <w:color w:val="auto"/>
          <w:szCs w:val="21"/>
          <w:highlight w:val="none"/>
        </w:rPr>
      </w:pPr>
      <w:r>
        <w:rPr>
          <w:rFonts w:hint="eastAsia" w:ascii="微软雅黑" w:hAnsi="微软雅黑"/>
          <w:color w:val="auto"/>
          <w:szCs w:val="21"/>
          <w:highlight w:val="none"/>
        </w:rPr>
        <w:t>四、我发现 ____________________供应商之间存在或可能存在上述第二条第 ____________项利害关系。</w:t>
      </w:r>
    </w:p>
    <w:p w14:paraId="7FDA2D90">
      <w:pPr>
        <w:snapToGrid w:val="0"/>
        <w:spacing w:before="120" w:beforeLines="50" w:after="50"/>
        <w:ind w:firstLine="420"/>
        <w:jc w:val="right"/>
        <w:rPr>
          <w:rFonts w:ascii="微软雅黑" w:hAnsi="微软雅黑"/>
          <w:color w:val="auto"/>
          <w:szCs w:val="21"/>
          <w:highlight w:val="none"/>
        </w:rPr>
      </w:pPr>
      <w:r>
        <w:rPr>
          <w:rFonts w:hint="eastAsia" w:ascii="微软雅黑" w:hAnsi="微软雅黑"/>
          <w:color w:val="auto"/>
          <w:szCs w:val="21"/>
          <w:highlight w:val="none"/>
        </w:rPr>
        <w:t>（供应商代表签名）:</w:t>
      </w:r>
    </w:p>
    <w:p w14:paraId="7012E6B2">
      <w:pPr>
        <w:snapToGrid w:val="0"/>
        <w:spacing w:before="120" w:beforeLines="50" w:after="50"/>
        <w:ind w:firstLine="420"/>
        <w:jc w:val="right"/>
        <w:rPr>
          <w:rFonts w:ascii="微软雅黑" w:hAnsi="微软雅黑" w:cs="仿宋_GB2312"/>
          <w:b/>
          <w:color w:val="auto"/>
          <w:kern w:val="0"/>
          <w:szCs w:val="21"/>
          <w:highlight w:val="none"/>
        </w:rPr>
      </w:pPr>
      <w:r>
        <w:rPr>
          <w:rFonts w:hint="eastAsia" w:ascii="微软雅黑" w:hAnsi="微软雅黑"/>
          <w:color w:val="auto"/>
          <w:szCs w:val="21"/>
          <w:highlight w:val="none"/>
        </w:rPr>
        <w:t xml:space="preserve">    年  月  日</w:t>
      </w:r>
    </w:p>
    <w:p w14:paraId="20291E65">
      <w:pPr>
        <w:ind w:firstLine="420"/>
        <w:jc w:val="center"/>
        <w:outlineLvl w:val="1"/>
        <w:rPr>
          <w:rFonts w:ascii="微软雅黑" w:hAnsi="微软雅黑" w:cs="仿宋_GB2312"/>
          <w:b/>
          <w:color w:val="auto"/>
          <w:kern w:val="0"/>
          <w:szCs w:val="21"/>
          <w:highlight w:val="none"/>
        </w:rPr>
      </w:pPr>
      <w:bookmarkStart w:id="203" w:name="_Toc16507"/>
      <w:r>
        <w:rPr>
          <w:rFonts w:hint="eastAsia" w:ascii="微软雅黑" w:hAnsi="微软雅黑" w:cs="仿宋_GB2312"/>
          <w:b/>
          <w:color w:val="auto"/>
          <w:kern w:val="0"/>
          <w:szCs w:val="21"/>
          <w:highlight w:val="none"/>
        </w:rPr>
        <w:t>四、符合性审查资料</w:t>
      </w:r>
      <w:bookmarkEnd w:id="203"/>
    </w:p>
    <w:tbl>
      <w:tblPr>
        <w:tblStyle w:val="52"/>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3715"/>
        <w:gridCol w:w="2939"/>
        <w:gridCol w:w="1880"/>
      </w:tblGrid>
      <w:tr w14:paraId="629D30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647FD98A">
            <w:pPr>
              <w:snapToGrid w:val="0"/>
              <w:spacing w:line="240" w:lineRule="auto"/>
              <w:ind w:firstLine="0" w:firstLineChars="0"/>
              <w:jc w:val="center"/>
              <w:rPr>
                <w:rFonts w:ascii="微软雅黑" w:hAnsi="微软雅黑"/>
                <w:b/>
                <w:color w:val="auto"/>
                <w:szCs w:val="21"/>
                <w:highlight w:val="none"/>
              </w:rPr>
            </w:pPr>
            <w:r>
              <w:rPr>
                <w:rFonts w:hint="eastAsia" w:ascii="微软雅黑" w:hAnsi="微软雅黑"/>
                <w:b/>
                <w:color w:val="auto"/>
                <w:szCs w:val="21"/>
                <w:highlight w:val="none"/>
              </w:rPr>
              <w:t>序号</w:t>
            </w:r>
          </w:p>
        </w:tc>
        <w:tc>
          <w:tcPr>
            <w:tcW w:w="3715" w:type="dxa"/>
            <w:vAlign w:val="center"/>
          </w:tcPr>
          <w:p w14:paraId="17C95C9A">
            <w:pPr>
              <w:snapToGrid w:val="0"/>
              <w:spacing w:line="240" w:lineRule="auto"/>
              <w:ind w:firstLine="0" w:firstLineChars="0"/>
              <w:jc w:val="center"/>
              <w:rPr>
                <w:rFonts w:ascii="微软雅黑" w:hAnsi="微软雅黑"/>
                <w:b/>
                <w:color w:val="auto"/>
                <w:szCs w:val="21"/>
                <w:highlight w:val="none"/>
              </w:rPr>
            </w:pPr>
            <w:r>
              <w:rPr>
                <w:rFonts w:hint="eastAsia" w:ascii="微软雅黑" w:hAnsi="微软雅黑"/>
                <w:b/>
                <w:color w:val="auto"/>
                <w:szCs w:val="21"/>
                <w:highlight w:val="none"/>
              </w:rPr>
              <w:t>实质性要求</w:t>
            </w:r>
          </w:p>
        </w:tc>
        <w:tc>
          <w:tcPr>
            <w:tcW w:w="2939" w:type="dxa"/>
            <w:vAlign w:val="center"/>
          </w:tcPr>
          <w:p w14:paraId="22F22EC7">
            <w:pPr>
              <w:snapToGrid w:val="0"/>
              <w:spacing w:line="240" w:lineRule="auto"/>
              <w:ind w:firstLine="0" w:firstLineChars="0"/>
              <w:jc w:val="center"/>
              <w:rPr>
                <w:rFonts w:ascii="微软雅黑" w:hAnsi="微软雅黑"/>
                <w:b/>
                <w:color w:val="auto"/>
                <w:szCs w:val="21"/>
                <w:highlight w:val="none"/>
              </w:rPr>
            </w:pPr>
            <w:r>
              <w:rPr>
                <w:rFonts w:hint="eastAsia" w:ascii="微软雅黑" w:hAnsi="微软雅黑"/>
                <w:b/>
                <w:color w:val="auto"/>
                <w:szCs w:val="21"/>
                <w:highlight w:val="none"/>
              </w:rPr>
              <w:t>需要提供的符合性审查资料</w:t>
            </w:r>
          </w:p>
        </w:tc>
        <w:tc>
          <w:tcPr>
            <w:tcW w:w="1880" w:type="dxa"/>
            <w:vAlign w:val="center"/>
          </w:tcPr>
          <w:p w14:paraId="3FF94FED">
            <w:pPr>
              <w:snapToGrid w:val="0"/>
              <w:spacing w:line="240" w:lineRule="auto"/>
              <w:ind w:firstLine="0" w:firstLineChars="0"/>
              <w:jc w:val="center"/>
              <w:rPr>
                <w:rFonts w:ascii="微软雅黑" w:hAnsi="微软雅黑"/>
                <w:b/>
                <w:color w:val="auto"/>
                <w:szCs w:val="21"/>
                <w:highlight w:val="none"/>
              </w:rPr>
            </w:pPr>
            <w:r>
              <w:rPr>
                <w:rFonts w:hint="eastAsia" w:ascii="微软雅黑" w:hAnsi="微软雅黑"/>
                <w:b/>
                <w:color w:val="auto"/>
                <w:szCs w:val="21"/>
                <w:highlight w:val="none"/>
              </w:rPr>
              <w:t>投标文件中的</w:t>
            </w:r>
          </w:p>
          <w:p w14:paraId="5A7C0373">
            <w:pPr>
              <w:snapToGrid w:val="0"/>
              <w:spacing w:line="240" w:lineRule="auto"/>
              <w:ind w:firstLine="0" w:firstLineChars="0"/>
              <w:jc w:val="center"/>
              <w:rPr>
                <w:rFonts w:ascii="微软雅黑" w:hAnsi="微软雅黑"/>
                <w:b/>
                <w:color w:val="auto"/>
                <w:szCs w:val="21"/>
                <w:highlight w:val="none"/>
              </w:rPr>
            </w:pPr>
            <w:r>
              <w:rPr>
                <w:rFonts w:hint="eastAsia" w:ascii="微软雅黑" w:hAnsi="微软雅黑"/>
                <w:b/>
                <w:color w:val="auto"/>
                <w:szCs w:val="21"/>
                <w:highlight w:val="none"/>
              </w:rPr>
              <w:t>页码位置</w:t>
            </w:r>
          </w:p>
        </w:tc>
      </w:tr>
      <w:tr w14:paraId="1E9874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34C94FE">
            <w:pPr>
              <w:spacing w:line="240" w:lineRule="auto"/>
              <w:ind w:firstLine="0" w:firstLineChars="0"/>
              <w:rPr>
                <w:rFonts w:ascii="微软雅黑" w:hAnsi="微软雅黑"/>
                <w:color w:val="auto"/>
                <w:szCs w:val="21"/>
                <w:highlight w:val="none"/>
              </w:rPr>
            </w:pPr>
            <w:r>
              <w:rPr>
                <w:rFonts w:ascii="微软雅黑" w:hAnsi="微软雅黑"/>
                <w:color w:val="auto"/>
                <w:szCs w:val="21"/>
                <w:highlight w:val="none"/>
              </w:rPr>
              <w:t>1</w:t>
            </w:r>
          </w:p>
        </w:tc>
        <w:tc>
          <w:tcPr>
            <w:tcW w:w="3715" w:type="dxa"/>
          </w:tcPr>
          <w:p w14:paraId="6BFCABCA">
            <w:pPr>
              <w:spacing w:line="240" w:lineRule="auto"/>
              <w:ind w:firstLine="0" w:firstLineChars="0"/>
              <w:rPr>
                <w:rFonts w:ascii="微软雅黑" w:hAnsi="微软雅黑" w:cs="仿宋_GB2312"/>
                <w:color w:val="auto"/>
                <w:szCs w:val="21"/>
                <w:highlight w:val="none"/>
              </w:rPr>
            </w:pPr>
            <w:r>
              <w:rPr>
                <w:rFonts w:hint="eastAsia" w:ascii="微软雅黑" w:hAnsi="微软雅黑" w:cs="仿宋_GB2312"/>
                <w:color w:val="auto"/>
                <w:szCs w:val="21"/>
                <w:highlight w:val="none"/>
              </w:rPr>
              <w:t>投标文件按照招标文件要求签署、盖章。</w:t>
            </w:r>
          </w:p>
        </w:tc>
        <w:tc>
          <w:tcPr>
            <w:tcW w:w="2939" w:type="dxa"/>
            <w:vAlign w:val="center"/>
          </w:tcPr>
          <w:p w14:paraId="57574437">
            <w:pPr>
              <w:spacing w:line="240" w:lineRule="auto"/>
              <w:ind w:firstLine="0" w:firstLineChars="0"/>
              <w:rPr>
                <w:rFonts w:ascii="微软雅黑" w:hAnsi="微软雅黑"/>
                <w:color w:val="auto"/>
                <w:szCs w:val="21"/>
                <w:highlight w:val="none"/>
              </w:rPr>
            </w:pPr>
            <w:r>
              <w:rPr>
                <w:rFonts w:hint="eastAsia" w:ascii="微软雅黑" w:hAnsi="微软雅黑"/>
                <w:color w:val="auto"/>
                <w:szCs w:val="21"/>
                <w:highlight w:val="none"/>
              </w:rPr>
              <w:t>需要使用电子签名或者签字盖章的投标文件的组成部分</w:t>
            </w:r>
          </w:p>
        </w:tc>
        <w:tc>
          <w:tcPr>
            <w:tcW w:w="1880" w:type="dxa"/>
          </w:tcPr>
          <w:p w14:paraId="49E0D81C">
            <w:pPr>
              <w:spacing w:line="240" w:lineRule="auto"/>
              <w:ind w:firstLine="0" w:firstLineChars="0"/>
              <w:rPr>
                <w:rFonts w:ascii="微软雅黑" w:hAnsi="微软雅黑" w:cs="仿宋_GB2312"/>
                <w:color w:val="auto"/>
                <w:szCs w:val="21"/>
                <w:highlight w:val="none"/>
              </w:rPr>
            </w:pPr>
            <w:r>
              <w:rPr>
                <w:rFonts w:hint="eastAsia" w:ascii="微软雅黑" w:hAnsi="微软雅黑" w:cs="仿宋_GB2312"/>
                <w:color w:val="auto"/>
                <w:szCs w:val="21"/>
                <w:highlight w:val="none"/>
              </w:rPr>
              <w:t>见投标文件</w:t>
            </w:r>
          </w:p>
          <w:p w14:paraId="51CF73C0">
            <w:pPr>
              <w:spacing w:line="240" w:lineRule="auto"/>
              <w:ind w:firstLine="0" w:firstLineChars="0"/>
              <w:rPr>
                <w:rFonts w:ascii="微软雅黑" w:hAnsi="微软雅黑"/>
                <w:color w:val="auto"/>
                <w:szCs w:val="21"/>
                <w:highlight w:val="none"/>
              </w:rPr>
            </w:pPr>
            <w:r>
              <w:rPr>
                <w:rFonts w:hint="eastAsia" w:ascii="微软雅黑" w:hAnsi="微软雅黑" w:cs="仿宋_GB2312"/>
                <w:color w:val="auto"/>
                <w:szCs w:val="21"/>
                <w:highlight w:val="none"/>
              </w:rPr>
              <w:t>第</w:t>
            </w:r>
            <w:r>
              <w:rPr>
                <w:rFonts w:ascii="微软雅黑" w:hAnsi="微软雅黑" w:cs="仿宋_GB2312"/>
                <w:color w:val="auto"/>
                <w:szCs w:val="21"/>
                <w:highlight w:val="none"/>
                <w:u w:val="single"/>
              </w:rPr>
              <w:t xml:space="preserve">  </w:t>
            </w:r>
            <w:r>
              <w:rPr>
                <w:rFonts w:hint="eastAsia" w:ascii="微软雅黑" w:hAnsi="微软雅黑" w:cs="仿宋_GB2312"/>
                <w:color w:val="auto"/>
                <w:szCs w:val="21"/>
                <w:highlight w:val="none"/>
              </w:rPr>
              <w:t>页</w:t>
            </w:r>
          </w:p>
        </w:tc>
      </w:tr>
      <w:tr w14:paraId="69517B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9C6A7F4">
            <w:pPr>
              <w:spacing w:line="240" w:lineRule="auto"/>
              <w:ind w:firstLine="0" w:firstLineChars="0"/>
              <w:rPr>
                <w:rFonts w:ascii="微软雅黑" w:hAnsi="微软雅黑"/>
                <w:color w:val="auto"/>
                <w:szCs w:val="21"/>
                <w:highlight w:val="none"/>
              </w:rPr>
            </w:pPr>
            <w:r>
              <w:rPr>
                <w:rFonts w:hint="eastAsia" w:ascii="微软雅黑" w:hAnsi="微软雅黑"/>
                <w:color w:val="auto"/>
                <w:szCs w:val="21"/>
                <w:highlight w:val="none"/>
              </w:rPr>
              <w:t>2</w:t>
            </w:r>
          </w:p>
        </w:tc>
        <w:tc>
          <w:tcPr>
            <w:tcW w:w="3715" w:type="dxa"/>
          </w:tcPr>
          <w:p w14:paraId="35262BA9">
            <w:pPr>
              <w:spacing w:line="240" w:lineRule="auto"/>
              <w:ind w:firstLine="0" w:firstLineChars="0"/>
              <w:rPr>
                <w:rFonts w:ascii="微软雅黑" w:hAnsi="微软雅黑" w:cs="仿宋_GB2312"/>
                <w:color w:val="auto"/>
                <w:szCs w:val="21"/>
                <w:highlight w:val="none"/>
              </w:rPr>
            </w:pPr>
            <w:r>
              <w:rPr>
                <w:rFonts w:hint="eastAsia" w:ascii="微软雅黑" w:hAnsi="微软雅黑"/>
                <w:color w:val="auto"/>
                <w:szCs w:val="21"/>
                <w:highlight w:val="none"/>
              </w:rPr>
              <w:t>投标文件中承诺的投标有效期不少于招标文件中载明的投标有效期。</w:t>
            </w:r>
          </w:p>
        </w:tc>
        <w:tc>
          <w:tcPr>
            <w:tcW w:w="2939" w:type="dxa"/>
            <w:vAlign w:val="center"/>
          </w:tcPr>
          <w:p w14:paraId="1465BB14">
            <w:pPr>
              <w:spacing w:line="240" w:lineRule="auto"/>
              <w:ind w:firstLine="0" w:firstLineChars="0"/>
              <w:rPr>
                <w:rFonts w:ascii="微软雅黑" w:hAnsi="微软雅黑"/>
                <w:color w:val="auto"/>
                <w:szCs w:val="21"/>
                <w:highlight w:val="none"/>
              </w:rPr>
            </w:pPr>
            <w:r>
              <w:rPr>
                <w:rFonts w:hint="eastAsia" w:ascii="微软雅黑" w:hAnsi="微软雅黑"/>
                <w:color w:val="auto"/>
                <w:szCs w:val="21"/>
                <w:highlight w:val="none"/>
              </w:rPr>
              <w:t>投标函</w:t>
            </w:r>
          </w:p>
        </w:tc>
        <w:tc>
          <w:tcPr>
            <w:tcW w:w="1880" w:type="dxa"/>
          </w:tcPr>
          <w:p w14:paraId="1DC6A916">
            <w:pPr>
              <w:spacing w:line="240" w:lineRule="auto"/>
              <w:ind w:firstLine="0" w:firstLineChars="0"/>
              <w:rPr>
                <w:rFonts w:ascii="微软雅黑" w:hAnsi="微软雅黑"/>
                <w:color w:val="auto"/>
                <w:szCs w:val="21"/>
                <w:highlight w:val="none"/>
              </w:rPr>
            </w:pPr>
            <w:r>
              <w:rPr>
                <w:rFonts w:hint="eastAsia" w:ascii="微软雅黑" w:hAnsi="微软雅黑" w:cs="仿宋_GB2312"/>
                <w:color w:val="auto"/>
                <w:szCs w:val="21"/>
                <w:highlight w:val="none"/>
              </w:rPr>
              <w:t>见投标文件第</w:t>
            </w:r>
            <w:r>
              <w:rPr>
                <w:rFonts w:ascii="微软雅黑" w:hAnsi="微软雅黑" w:cs="仿宋_GB2312"/>
                <w:color w:val="auto"/>
                <w:szCs w:val="21"/>
                <w:highlight w:val="none"/>
                <w:u w:val="single"/>
              </w:rPr>
              <w:t xml:space="preserve">  </w:t>
            </w:r>
            <w:r>
              <w:rPr>
                <w:rFonts w:hint="eastAsia" w:ascii="微软雅黑" w:hAnsi="微软雅黑" w:cs="仿宋_GB2312"/>
                <w:color w:val="auto"/>
                <w:szCs w:val="21"/>
                <w:highlight w:val="none"/>
              </w:rPr>
              <w:t>页</w:t>
            </w:r>
          </w:p>
        </w:tc>
      </w:tr>
      <w:tr w14:paraId="61D796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75E95A56">
            <w:pPr>
              <w:spacing w:line="240" w:lineRule="auto"/>
              <w:ind w:firstLine="0" w:firstLineChars="0"/>
              <w:rPr>
                <w:rFonts w:ascii="微软雅黑" w:hAnsi="微软雅黑"/>
                <w:color w:val="auto"/>
                <w:szCs w:val="21"/>
                <w:highlight w:val="none"/>
              </w:rPr>
            </w:pPr>
            <w:r>
              <w:rPr>
                <w:rFonts w:hint="eastAsia" w:ascii="微软雅黑" w:hAnsi="微软雅黑"/>
                <w:color w:val="auto"/>
                <w:szCs w:val="21"/>
                <w:highlight w:val="none"/>
              </w:rPr>
              <w:t>3</w:t>
            </w:r>
          </w:p>
        </w:tc>
        <w:tc>
          <w:tcPr>
            <w:tcW w:w="3715" w:type="dxa"/>
          </w:tcPr>
          <w:p w14:paraId="143B882F">
            <w:pPr>
              <w:spacing w:line="240" w:lineRule="auto"/>
              <w:ind w:firstLine="0" w:firstLineChars="0"/>
              <w:rPr>
                <w:rFonts w:ascii="微软雅黑" w:hAnsi="微软雅黑"/>
                <w:color w:val="auto"/>
                <w:szCs w:val="21"/>
                <w:highlight w:val="none"/>
              </w:rPr>
            </w:pPr>
            <w:r>
              <w:rPr>
                <w:rFonts w:hint="eastAsia" w:ascii="微软雅黑" w:hAnsi="微软雅黑"/>
                <w:color w:val="auto"/>
                <w:szCs w:val="21"/>
                <w:highlight w:val="none"/>
              </w:rPr>
              <w:t>投标文件满足招标文件的其它实质性要求。</w:t>
            </w:r>
          </w:p>
        </w:tc>
        <w:tc>
          <w:tcPr>
            <w:tcW w:w="2939" w:type="dxa"/>
            <w:vAlign w:val="center"/>
          </w:tcPr>
          <w:p w14:paraId="4AE43F20">
            <w:pPr>
              <w:spacing w:line="240" w:lineRule="auto"/>
              <w:ind w:firstLine="0" w:firstLineChars="0"/>
              <w:rPr>
                <w:rFonts w:ascii="微软雅黑" w:hAnsi="微软雅黑"/>
                <w:color w:val="auto"/>
                <w:szCs w:val="21"/>
                <w:highlight w:val="none"/>
              </w:rPr>
            </w:pPr>
            <w:r>
              <w:rPr>
                <w:rFonts w:hint="eastAsia" w:ascii="微软雅黑" w:hAnsi="微软雅黑" w:cs="仿宋_GB2312"/>
                <w:color w:val="auto"/>
                <w:kern w:val="0"/>
                <w:szCs w:val="21"/>
                <w:highlight w:val="none"/>
              </w:rPr>
              <w:t>招标文件其它实质性要求相应的材料（“▲”</w:t>
            </w:r>
            <w:r>
              <w:rPr>
                <w:rFonts w:ascii="微软雅黑" w:hAnsi="微软雅黑" w:cs="仿宋_GB2312"/>
                <w:color w:val="auto"/>
                <w:kern w:val="0"/>
                <w:szCs w:val="21"/>
                <w:highlight w:val="none"/>
              </w:rPr>
              <w:t xml:space="preserve"> </w:t>
            </w:r>
            <w:r>
              <w:rPr>
                <w:rFonts w:hint="eastAsia" w:ascii="微软雅黑" w:hAnsi="微软雅黑" w:cs="仿宋_GB2312"/>
                <w:color w:val="auto"/>
                <w:kern w:val="0"/>
                <w:szCs w:val="21"/>
                <w:highlight w:val="none"/>
              </w:rPr>
              <w:t>系指实质性要求条款，招标文件无其它实质性要求的，无需提供）</w:t>
            </w:r>
          </w:p>
        </w:tc>
        <w:tc>
          <w:tcPr>
            <w:tcW w:w="1880" w:type="dxa"/>
          </w:tcPr>
          <w:p w14:paraId="3156967A">
            <w:pPr>
              <w:spacing w:line="240" w:lineRule="auto"/>
              <w:ind w:firstLine="0" w:firstLineChars="0"/>
              <w:rPr>
                <w:rFonts w:ascii="微软雅黑" w:hAnsi="微软雅黑"/>
                <w:color w:val="auto"/>
                <w:szCs w:val="21"/>
                <w:highlight w:val="none"/>
              </w:rPr>
            </w:pPr>
            <w:r>
              <w:rPr>
                <w:rFonts w:hint="eastAsia" w:ascii="微软雅黑" w:hAnsi="微软雅黑" w:cs="仿宋_GB2312"/>
                <w:color w:val="auto"/>
                <w:szCs w:val="21"/>
                <w:highlight w:val="none"/>
              </w:rPr>
              <w:t>见投标文件第</w:t>
            </w:r>
            <w:r>
              <w:rPr>
                <w:rFonts w:ascii="微软雅黑" w:hAnsi="微软雅黑" w:cs="仿宋_GB2312"/>
                <w:color w:val="auto"/>
                <w:szCs w:val="21"/>
                <w:highlight w:val="none"/>
                <w:u w:val="single"/>
              </w:rPr>
              <w:t xml:space="preserve">  </w:t>
            </w:r>
            <w:r>
              <w:rPr>
                <w:rFonts w:hint="eastAsia" w:ascii="微软雅黑" w:hAnsi="微软雅黑" w:cs="仿宋_GB2312"/>
                <w:color w:val="auto"/>
                <w:szCs w:val="21"/>
                <w:highlight w:val="none"/>
              </w:rPr>
              <w:t>页</w:t>
            </w:r>
          </w:p>
        </w:tc>
      </w:tr>
    </w:tbl>
    <w:p w14:paraId="26BDE6DD">
      <w:pPr>
        <w:snapToGrid w:val="0"/>
        <w:spacing w:before="120" w:beforeLines="50"/>
        <w:ind w:firstLine="420"/>
        <w:jc w:val="center"/>
        <w:rPr>
          <w:rFonts w:ascii="微软雅黑" w:hAnsi="微软雅黑"/>
          <w:color w:val="auto"/>
          <w:szCs w:val="21"/>
          <w:highlight w:val="none"/>
          <w:u w:val="single"/>
        </w:rPr>
      </w:pPr>
      <w:r>
        <w:rPr>
          <w:rFonts w:hint="eastAsia" w:ascii="微软雅黑" w:hAnsi="微软雅黑" w:cs="Arial"/>
          <w:color w:val="auto"/>
          <w:kern w:val="0"/>
          <w:szCs w:val="21"/>
          <w:highlight w:val="none"/>
        </w:rPr>
        <w:t xml:space="preserve"> 法定代表人或</w:t>
      </w:r>
      <w:r>
        <w:rPr>
          <w:rFonts w:hint="eastAsia" w:ascii="微软雅黑" w:hAnsi="微软雅黑"/>
          <w:color w:val="auto"/>
          <w:szCs w:val="21"/>
          <w:highlight w:val="none"/>
        </w:rPr>
        <w:t>被授权人签字（或盖章）：</w:t>
      </w:r>
    </w:p>
    <w:p w14:paraId="5E4E73D7">
      <w:pPr>
        <w:pStyle w:val="122"/>
        <w:ind w:firstLine="420"/>
        <w:jc w:val="center"/>
        <w:rPr>
          <w:rFonts w:ascii="微软雅黑" w:hAnsi="微软雅黑" w:eastAsia="微软雅黑" w:cs="宋体"/>
          <w:color w:val="auto"/>
          <w:sz w:val="21"/>
          <w:szCs w:val="21"/>
          <w:highlight w:val="none"/>
        </w:rPr>
      </w:pPr>
      <w:r>
        <w:rPr>
          <w:rFonts w:hint="eastAsia" w:ascii="微软雅黑" w:hAnsi="微软雅黑" w:eastAsia="微软雅黑" w:cs="宋体"/>
          <w:color w:val="auto"/>
          <w:sz w:val="21"/>
          <w:szCs w:val="21"/>
          <w:highlight w:val="none"/>
        </w:rPr>
        <w:t xml:space="preserve">             供应商名称（公章）：</w:t>
      </w:r>
    </w:p>
    <w:p w14:paraId="02BEEADB">
      <w:pPr>
        <w:pStyle w:val="122"/>
        <w:ind w:firstLine="420"/>
        <w:jc w:val="center"/>
        <w:rPr>
          <w:rFonts w:ascii="微软雅黑" w:hAnsi="微软雅黑" w:eastAsia="微软雅黑"/>
          <w:color w:val="auto"/>
          <w:sz w:val="21"/>
          <w:szCs w:val="21"/>
          <w:highlight w:val="none"/>
        </w:rPr>
      </w:pPr>
      <w:r>
        <w:rPr>
          <w:rFonts w:hint="eastAsia" w:ascii="微软雅黑" w:hAnsi="微软雅黑" w:eastAsia="微软雅黑"/>
          <w:color w:val="auto"/>
          <w:sz w:val="21"/>
          <w:szCs w:val="21"/>
          <w:highlight w:val="none"/>
        </w:rPr>
        <w:t xml:space="preserve">          日期： 年 月 日</w:t>
      </w:r>
    </w:p>
    <w:p w14:paraId="71448EAD">
      <w:pPr>
        <w:ind w:firstLine="641"/>
        <w:jc w:val="both"/>
        <w:rPr>
          <w:rFonts w:ascii="仿宋_GB2312" w:hAnsi="仿宋" w:eastAsia="仿宋_GB2312" w:cs="仿宋_GB2312"/>
          <w:b/>
          <w:color w:val="auto"/>
          <w:kern w:val="0"/>
          <w:sz w:val="32"/>
          <w:szCs w:val="32"/>
          <w:highlight w:val="none"/>
        </w:rPr>
      </w:pPr>
      <w:r>
        <w:rPr>
          <w:rFonts w:ascii="仿宋_GB2312" w:hAnsi="仿宋" w:eastAsia="仿宋_GB2312" w:cs="仿宋_GB2312"/>
          <w:b/>
          <w:color w:val="auto"/>
          <w:kern w:val="0"/>
          <w:sz w:val="32"/>
          <w:szCs w:val="32"/>
          <w:highlight w:val="none"/>
        </w:rPr>
        <w:t xml:space="preserve">            </w:t>
      </w:r>
    </w:p>
    <w:p w14:paraId="1E65F30E">
      <w:pPr>
        <w:ind w:firstLine="641"/>
        <w:jc w:val="center"/>
        <w:rPr>
          <w:rFonts w:ascii="仿宋_GB2312" w:hAnsi="仿宋" w:eastAsia="仿宋_GB2312" w:cs="仿宋_GB2312"/>
          <w:b/>
          <w:color w:val="auto"/>
          <w:kern w:val="0"/>
          <w:sz w:val="32"/>
          <w:szCs w:val="32"/>
          <w:highlight w:val="none"/>
        </w:rPr>
        <w:sectPr>
          <w:pgSz w:w="11907" w:h="16840"/>
          <w:pgMar w:top="1276" w:right="1418" w:bottom="1247" w:left="1418" w:header="851" w:footer="992" w:gutter="0"/>
          <w:cols w:space="720" w:num="1"/>
          <w:titlePg/>
          <w:docGrid w:linePitch="312" w:charSpace="0"/>
        </w:sectPr>
      </w:pPr>
    </w:p>
    <w:p w14:paraId="7762DD2A">
      <w:pPr>
        <w:ind w:firstLine="420"/>
        <w:jc w:val="center"/>
        <w:rPr>
          <w:rFonts w:ascii="微软雅黑" w:hAnsi="微软雅黑" w:cs="仿宋_GB2312"/>
          <w:b/>
          <w:color w:val="auto"/>
          <w:kern w:val="0"/>
          <w:szCs w:val="21"/>
          <w:highlight w:val="none"/>
        </w:rPr>
        <w:sectPr>
          <w:type w:val="continuous"/>
          <w:pgSz w:w="11907" w:h="16840"/>
          <w:pgMar w:top="1276" w:right="1418" w:bottom="1247" w:left="1418" w:header="851" w:footer="992" w:gutter="0"/>
          <w:cols w:space="720" w:num="1"/>
          <w:titlePg/>
          <w:docGrid w:linePitch="312" w:charSpace="0"/>
        </w:sectPr>
      </w:pPr>
      <w:bookmarkStart w:id="204" w:name="_Toc17270"/>
    </w:p>
    <w:p w14:paraId="224B33B4">
      <w:pPr>
        <w:ind w:firstLine="420"/>
        <w:jc w:val="center"/>
        <w:outlineLvl w:val="1"/>
        <w:rPr>
          <w:rFonts w:ascii="微软雅黑" w:hAnsi="微软雅黑" w:cs="仿宋_GB2312"/>
          <w:b/>
          <w:color w:val="auto"/>
          <w:kern w:val="0"/>
          <w:szCs w:val="21"/>
          <w:highlight w:val="none"/>
        </w:rPr>
      </w:pPr>
      <w:r>
        <w:rPr>
          <w:rFonts w:hint="eastAsia" w:ascii="微软雅黑" w:hAnsi="微软雅黑" w:cs="仿宋_GB2312"/>
          <w:b/>
          <w:color w:val="auto"/>
          <w:kern w:val="0"/>
          <w:szCs w:val="21"/>
          <w:highlight w:val="none"/>
        </w:rPr>
        <w:t>五、评分对应表</w:t>
      </w:r>
      <w:bookmarkEnd w:id="204"/>
    </w:p>
    <w:tbl>
      <w:tblPr>
        <w:tblStyle w:val="52"/>
        <w:tblW w:w="9356"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3888"/>
        <w:gridCol w:w="3060"/>
        <w:gridCol w:w="2408"/>
      </w:tblGrid>
      <w:tr w14:paraId="49A344D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trPr>
        <w:tc>
          <w:tcPr>
            <w:tcW w:w="3888" w:type="dxa"/>
            <w:tcBorders>
              <w:top w:val="single" w:color="auto" w:sz="4" w:space="0"/>
              <w:left w:val="single" w:color="auto" w:sz="4" w:space="0"/>
              <w:bottom w:val="single" w:color="auto" w:sz="4" w:space="0"/>
              <w:right w:val="single" w:color="auto" w:sz="4" w:space="0"/>
            </w:tcBorders>
            <w:vAlign w:val="center"/>
          </w:tcPr>
          <w:p w14:paraId="3A0B41E1">
            <w:pPr>
              <w:spacing w:line="240" w:lineRule="auto"/>
              <w:ind w:firstLine="0" w:firstLineChars="0"/>
              <w:jc w:val="center"/>
              <w:rPr>
                <w:rFonts w:ascii="微软雅黑" w:hAnsi="微软雅黑" w:cs="宋体"/>
                <w:color w:val="auto"/>
                <w:szCs w:val="21"/>
                <w:highlight w:val="none"/>
              </w:rPr>
            </w:pPr>
            <w:r>
              <w:rPr>
                <w:rFonts w:hint="eastAsia" w:ascii="微软雅黑" w:hAnsi="微软雅黑" w:cs="宋体"/>
                <w:color w:val="auto"/>
                <w:szCs w:val="21"/>
                <w:highlight w:val="none"/>
              </w:rPr>
              <w:t>评分项目</w:t>
            </w:r>
          </w:p>
        </w:tc>
        <w:tc>
          <w:tcPr>
            <w:tcW w:w="3060" w:type="dxa"/>
            <w:tcBorders>
              <w:top w:val="single" w:color="auto" w:sz="4" w:space="0"/>
              <w:left w:val="single" w:color="auto" w:sz="4" w:space="0"/>
              <w:bottom w:val="single" w:color="auto" w:sz="4" w:space="0"/>
              <w:right w:val="single" w:color="auto" w:sz="4" w:space="0"/>
            </w:tcBorders>
            <w:vAlign w:val="center"/>
          </w:tcPr>
          <w:p w14:paraId="5CEB2523">
            <w:pPr>
              <w:spacing w:line="240" w:lineRule="auto"/>
              <w:ind w:firstLine="0" w:firstLineChars="0"/>
              <w:jc w:val="center"/>
              <w:rPr>
                <w:rFonts w:ascii="微软雅黑" w:hAnsi="微软雅黑" w:cs="宋体"/>
                <w:color w:val="auto"/>
                <w:szCs w:val="21"/>
                <w:highlight w:val="none"/>
              </w:rPr>
            </w:pPr>
            <w:r>
              <w:rPr>
                <w:rFonts w:hint="eastAsia" w:ascii="微软雅黑" w:hAnsi="微软雅黑" w:cs="宋体"/>
                <w:color w:val="auto"/>
                <w:szCs w:val="21"/>
                <w:highlight w:val="none"/>
              </w:rPr>
              <w:t>投标文件对应资料</w:t>
            </w:r>
          </w:p>
        </w:tc>
        <w:tc>
          <w:tcPr>
            <w:tcW w:w="2408" w:type="dxa"/>
            <w:tcBorders>
              <w:top w:val="single" w:color="auto" w:sz="4" w:space="0"/>
              <w:left w:val="single" w:color="auto" w:sz="4" w:space="0"/>
              <w:bottom w:val="single" w:color="auto" w:sz="4" w:space="0"/>
              <w:right w:val="single" w:color="auto" w:sz="4" w:space="0"/>
            </w:tcBorders>
            <w:vAlign w:val="center"/>
          </w:tcPr>
          <w:p w14:paraId="43FC85BC">
            <w:pPr>
              <w:snapToGrid w:val="0"/>
              <w:spacing w:line="240" w:lineRule="auto"/>
              <w:ind w:firstLine="0" w:firstLineChars="0"/>
              <w:jc w:val="center"/>
              <w:rPr>
                <w:rFonts w:ascii="微软雅黑" w:hAnsi="微软雅黑" w:cs="宋体"/>
                <w:color w:val="auto"/>
                <w:szCs w:val="21"/>
                <w:highlight w:val="none"/>
              </w:rPr>
            </w:pPr>
            <w:r>
              <w:rPr>
                <w:rFonts w:hint="eastAsia" w:ascii="微软雅黑" w:hAnsi="微软雅黑" w:cs="宋体"/>
                <w:color w:val="auto"/>
                <w:szCs w:val="21"/>
                <w:highlight w:val="none"/>
              </w:rPr>
              <w:t>投标文件中的页码位置</w:t>
            </w:r>
          </w:p>
        </w:tc>
      </w:tr>
      <w:tr w14:paraId="6350413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14:paraId="17954AF2">
            <w:pPr>
              <w:spacing w:line="240" w:lineRule="auto"/>
              <w:ind w:firstLine="0" w:firstLineChars="0"/>
              <w:jc w:val="center"/>
              <w:rPr>
                <w:rFonts w:ascii="微软雅黑" w:hAnsi="微软雅黑" w:cs="宋体"/>
                <w:color w:val="auto"/>
                <w:szCs w:val="21"/>
                <w:highlight w:val="none"/>
              </w:rPr>
            </w:pPr>
            <w:r>
              <w:rPr>
                <w:rFonts w:hint="eastAsia" w:ascii="微软雅黑" w:hAnsi="微软雅黑" w:cs="宋体"/>
                <w:color w:val="auto"/>
                <w:szCs w:val="21"/>
                <w:highlight w:val="none"/>
              </w:rPr>
              <w:t>对应第四章评分办法及评分标准（报价除外）</w:t>
            </w:r>
          </w:p>
        </w:tc>
        <w:tc>
          <w:tcPr>
            <w:tcW w:w="3060" w:type="dxa"/>
            <w:tcBorders>
              <w:top w:val="single" w:color="auto" w:sz="4" w:space="0"/>
              <w:left w:val="single" w:color="auto" w:sz="4" w:space="0"/>
              <w:bottom w:val="single" w:color="auto" w:sz="4" w:space="0"/>
              <w:right w:val="single" w:color="auto" w:sz="4" w:space="0"/>
            </w:tcBorders>
          </w:tcPr>
          <w:p w14:paraId="5568E108">
            <w:pPr>
              <w:snapToGrid w:val="0"/>
              <w:spacing w:line="240" w:lineRule="auto"/>
              <w:ind w:firstLine="0" w:firstLineChars="0"/>
              <w:rPr>
                <w:rFonts w:ascii="微软雅黑" w:hAnsi="微软雅黑"/>
                <w:color w:val="auto"/>
                <w:szCs w:val="21"/>
                <w:highlight w:val="none"/>
              </w:rPr>
            </w:pPr>
          </w:p>
        </w:tc>
        <w:tc>
          <w:tcPr>
            <w:tcW w:w="2408" w:type="dxa"/>
            <w:tcBorders>
              <w:top w:val="single" w:color="auto" w:sz="4" w:space="0"/>
              <w:left w:val="single" w:color="auto" w:sz="4" w:space="0"/>
              <w:bottom w:val="single" w:color="auto" w:sz="4" w:space="0"/>
              <w:right w:val="single" w:color="auto" w:sz="4" w:space="0"/>
            </w:tcBorders>
          </w:tcPr>
          <w:p w14:paraId="338DD5CF">
            <w:pPr>
              <w:snapToGrid w:val="0"/>
              <w:spacing w:line="240" w:lineRule="auto"/>
              <w:ind w:firstLine="0" w:firstLineChars="0"/>
              <w:rPr>
                <w:rFonts w:ascii="微软雅黑" w:hAnsi="微软雅黑"/>
                <w:color w:val="auto"/>
                <w:szCs w:val="21"/>
                <w:highlight w:val="none"/>
              </w:rPr>
            </w:pPr>
          </w:p>
        </w:tc>
      </w:tr>
      <w:tr w14:paraId="5EEA12C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14:paraId="18E38F3D">
            <w:pPr>
              <w:spacing w:line="240" w:lineRule="auto"/>
              <w:ind w:firstLine="0" w:firstLineChars="0"/>
              <w:jc w:val="center"/>
              <w:rPr>
                <w:rFonts w:ascii="微软雅黑" w:hAnsi="微软雅黑" w:cs="宋体"/>
                <w:color w:val="auto"/>
                <w:szCs w:val="21"/>
                <w:highlight w:val="none"/>
              </w:rPr>
            </w:pPr>
            <w:r>
              <w:rPr>
                <w:rFonts w:hint="eastAsia" w:ascii="微软雅黑" w:hAnsi="微软雅黑" w:cs="宋体"/>
                <w:color w:val="auto"/>
                <w:szCs w:val="21"/>
                <w:highlight w:val="none"/>
              </w:rPr>
              <w:t>……</w:t>
            </w:r>
          </w:p>
        </w:tc>
        <w:tc>
          <w:tcPr>
            <w:tcW w:w="3060" w:type="dxa"/>
            <w:tcBorders>
              <w:top w:val="single" w:color="auto" w:sz="4" w:space="0"/>
              <w:left w:val="single" w:color="auto" w:sz="4" w:space="0"/>
              <w:bottom w:val="single" w:color="auto" w:sz="4" w:space="0"/>
              <w:right w:val="single" w:color="auto" w:sz="4" w:space="0"/>
            </w:tcBorders>
          </w:tcPr>
          <w:p w14:paraId="6CFAD4F9">
            <w:pPr>
              <w:snapToGrid w:val="0"/>
              <w:spacing w:line="240" w:lineRule="auto"/>
              <w:ind w:firstLine="0" w:firstLineChars="0"/>
              <w:rPr>
                <w:rFonts w:ascii="微软雅黑" w:hAnsi="微软雅黑"/>
                <w:color w:val="auto"/>
                <w:szCs w:val="21"/>
                <w:highlight w:val="none"/>
              </w:rPr>
            </w:pPr>
          </w:p>
        </w:tc>
        <w:tc>
          <w:tcPr>
            <w:tcW w:w="2408" w:type="dxa"/>
            <w:tcBorders>
              <w:top w:val="single" w:color="auto" w:sz="4" w:space="0"/>
              <w:left w:val="single" w:color="auto" w:sz="4" w:space="0"/>
              <w:bottom w:val="single" w:color="auto" w:sz="4" w:space="0"/>
              <w:right w:val="single" w:color="auto" w:sz="4" w:space="0"/>
            </w:tcBorders>
          </w:tcPr>
          <w:p w14:paraId="6DC94F0A">
            <w:pPr>
              <w:snapToGrid w:val="0"/>
              <w:spacing w:line="240" w:lineRule="auto"/>
              <w:ind w:firstLine="0" w:firstLineChars="0"/>
              <w:rPr>
                <w:rFonts w:ascii="微软雅黑" w:hAnsi="微软雅黑"/>
                <w:color w:val="auto"/>
                <w:szCs w:val="21"/>
                <w:highlight w:val="none"/>
              </w:rPr>
            </w:pPr>
          </w:p>
        </w:tc>
      </w:tr>
      <w:tr w14:paraId="1C2027A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14:paraId="54DEC4D7">
            <w:pPr>
              <w:snapToGrid w:val="0"/>
              <w:spacing w:line="240" w:lineRule="auto"/>
              <w:ind w:firstLine="0" w:firstLineChars="0"/>
              <w:rPr>
                <w:rFonts w:ascii="微软雅黑" w:hAnsi="微软雅黑"/>
                <w:color w:val="auto"/>
                <w:szCs w:val="21"/>
                <w:highlight w:val="none"/>
              </w:rPr>
            </w:pPr>
          </w:p>
        </w:tc>
        <w:tc>
          <w:tcPr>
            <w:tcW w:w="3060" w:type="dxa"/>
            <w:tcBorders>
              <w:top w:val="single" w:color="auto" w:sz="4" w:space="0"/>
              <w:left w:val="single" w:color="auto" w:sz="4" w:space="0"/>
              <w:bottom w:val="single" w:color="auto" w:sz="4" w:space="0"/>
              <w:right w:val="single" w:color="auto" w:sz="4" w:space="0"/>
            </w:tcBorders>
          </w:tcPr>
          <w:p w14:paraId="01324B91">
            <w:pPr>
              <w:snapToGrid w:val="0"/>
              <w:spacing w:line="240" w:lineRule="auto"/>
              <w:ind w:firstLine="0" w:firstLineChars="0"/>
              <w:rPr>
                <w:rFonts w:ascii="微软雅黑" w:hAnsi="微软雅黑"/>
                <w:color w:val="auto"/>
                <w:szCs w:val="21"/>
                <w:highlight w:val="none"/>
              </w:rPr>
            </w:pPr>
          </w:p>
        </w:tc>
        <w:tc>
          <w:tcPr>
            <w:tcW w:w="2408" w:type="dxa"/>
            <w:tcBorders>
              <w:top w:val="single" w:color="auto" w:sz="4" w:space="0"/>
              <w:left w:val="single" w:color="auto" w:sz="4" w:space="0"/>
              <w:bottom w:val="single" w:color="auto" w:sz="4" w:space="0"/>
              <w:right w:val="single" w:color="auto" w:sz="4" w:space="0"/>
            </w:tcBorders>
          </w:tcPr>
          <w:p w14:paraId="0189BCE4">
            <w:pPr>
              <w:snapToGrid w:val="0"/>
              <w:spacing w:line="240" w:lineRule="auto"/>
              <w:ind w:firstLine="0" w:firstLineChars="0"/>
              <w:rPr>
                <w:rFonts w:ascii="微软雅黑" w:hAnsi="微软雅黑"/>
                <w:color w:val="auto"/>
                <w:szCs w:val="21"/>
                <w:highlight w:val="none"/>
              </w:rPr>
            </w:pPr>
          </w:p>
        </w:tc>
      </w:tr>
      <w:tr w14:paraId="5C2FE32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14:paraId="189F3409">
            <w:pPr>
              <w:snapToGrid w:val="0"/>
              <w:spacing w:line="240" w:lineRule="auto"/>
              <w:ind w:firstLine="0" w:firstLineChars="0"/>
              <w:rPr>
                <w:rFonts w:ascii="微软雅黑" w:hAnsi="微软雅黑"/>
                <w:color w:val="auto"/>
                <w:szCs w:val="21"/>
                <w:highlight w:val="none"/>
              </w:rPr>
            </w:pPr>
          </w:p>
        </w:tc>
        <w:tc>
          <w:tcPr>
            <w:tcW w:w="3060" w:type="dxa"/>
            <w:tcBorders>
              <w:top w:val="single" w:color="auto" w:sz="4" w:space="0"/>
              <w:left w:val="single" w:color="auto" w:sz="4" w:space="0"/>
              <w:bottom w:val="single" w:color="auto" w:sz="4" w:space="0"/>
              <w:right w:val="single" w:color="auto" w:sz="4" w:space="0"/>
            </w:tcBorders>
          </w:tcPr>
          <w:p w14:paraId="2E9C0517">
            <w:pPr>
              <w:snapToGrid w:val="0"/>
              <w:spacing w:line="240" w:lineRule="auto"/>
              <w:ind w:firstLine="0" w:firstLineChars="0"/>
              <w:rPr>
                <w:rFonts w:ascii="微软雅黑" w:hAnsi="微软雅黑"/>
                <w:color w:val="auto"/>
                <w:szCs w:val="21"/>
                <w:highlight w:val="none"/>
              </w:rPr>
            </w:pPr>
          </w:p>
        </w:tc>
        <w:tc>
          <w:tcPr>
            <w:tcW w:w="2408" w:type="dxa"/>
            <w:tcBorders>
              <w:top w:val="single" w:color="auto" w:sz="4" w:space="0"/>
              <w:left w:val="single" w:color="auto" w:sz="4" w:space="0"/>
              <w:bottom w:val="single" w:color="auto" w:sz="4" w:space="0"/>
              <w:right w:val="single" w:color="auto" w:sz="4" w:space="0"/>
            </w:tcBorders>
          </w:tcPr>
          <w:p w14:paraId="327C0DF3">
            <w:pPr>
              <w:snapToGrid w:val="0"/>
              <w:spacing w:line="240" w:lineRule="auto"/>
              <w:ind w:firstLine="0" w:firstLineChars="0"/>
              <w:rPr>
                <w:rFonts w:ascii="微软雅黑" w:hAnsi="微软雅黑"/>
                <w:color w:val="auto"/>
                <w:szCs w:val="21"/>
                <w:highlight w:val="none"/>
              </w:rPr>
            </w:pPr>
          </w:p>
        </w:tc>
      </w:tr>
      <w:tr w14:paraId="05424FE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14:paraId="342A3662">
            <w:pPr>
              <w:snapToGrid w:val="0"/>
              <w:spacing w:line="240" w:lineRule="auto"/>
              <w:ind w:firstLine="0" w:firstLineChars="0"/>
              <w:rPr>
                <w:rFonts w:ascii="微软雅黑" w:hAnsi="微软雅黑"/>
                <w:color w:val="auto"/>
                <w:szCs w:val="21"/>
                <w:highlight w:val="none"/>
              </w:rPr>
            </w:pPr>
          </w:p>
        </w:tc>
        <w:tc>
          <w:tcPr>
            <w:tcW w:w="3060" w:type="dxa"/>
            <w:tcBorders>
              <w:top w:val="single" w:color="auto" w:sz="4" w:space="0"/>
              <w:left w:val="single" w:color="auto" w:sz="4" w:space="0"/>
              <w:bottom w:val="single" w:color="auto" w:sz="4" w:space="0"/>
              <w:right w:val="single" w:color="auto" w:sz="4" w:space="0"/>
            </w:tcBorders>
          </w:tcPr>
          <w:p w14:paraId="52751C47">
            <w:pPr>
              <w:snapToGrid w:val="0"/>
              <w:spacing w:line="240" w:lineRule="auto"/>
              <w:ind w:firstLine="0" w:firstLineChars="0"/>
              <w:rPr>
                <w:rFonts w:ascii="微软雅黑" w:hAnsi="微软雅黑"/>
                <w:color w:val="auto"/>
                <w:szCs w:val="21"/>
                <w:highlight w:val="none"/>
              </w:rPr>
            </w:pPr>
          </w:p>
        </w:tc>
        <w:tc>
          <w:tcPr>
            <w:tcW w:w="2408" w:type="dxa"/>
            <w:tcBorders>
              <w:top w:val="single" w:color="auto" w:sz="4" w:space="0"/>
              <w:left w:val="single" w:color="auto" w:sz="4" w:space="0"/>
              <w:bottom w:val="single" w:color="auto" w:sz="4" w:space="0"/>
              <w:right w:val="single" w:color="auto" w:sz="4" w:space="0"/>
            </w:tcBorders>
          </w:tcPr>
          <w:p w14:paraId="71CA9EFD">
            <w:pPr>
              <w:snapToGrid w:val="0"/>
              <w:spacing w:line="240" w:lineRule="auto"/>
              <w:ind w:firstLine="0" w:firstLineChars="0"/>
              <w:rPr>
                <w:rFonts w:ascii="微软雅黑" w:hAnsi="微软雅黑"/>
                <w:color w:val="auto"/>
                <w:szCs w:val="21"/>
                <w:highlight w:val="none"/>
              </w:rPr>
            </w:pPr>
          </w:p>
        </w:tc>
      </w:tr>
      <w:tr w14:paraId="4FF0DB5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14:paraId="5BFF9A98">
            <w:pPr>
              <w:snapToGrid w:val="0"/>
              <w:spacing w:line="240" w:lineRule="auto"/>
              <w:ind w:firstLine="0" w:firstLineChars="0"/>
              <w:rPr>
                <w:rFonts w:ascii="微软雅黑" w:hAnsi="微软雅黑"/>
                <w:color w:val="auto"/>
                <w:szCs w:val="21"/>
                <w:highlight w:val="none"/>
              </w:rPr>
            </w:pPr>
          </w:p>
        </w:tc>
        <w:tc>
          <w:tcPr>
            <w:tcW w:w="3060" w:type="dxa"/>
            <w:tcBorders>
              <w:top w:val="single" w:color="auto" w:sz="4" w:space="0"/>
              <w:left w:val="single" w:color="auto" w:sz="4" w:space="0"/>
              <w:bottom w:val="single" w:color="auto" w:sz="4" w:space="0"/>
              <w:right w:val="single" w:color="auto" w:sz="4" w:space="0"/>
            </w:tcBorders>
          </w:tcPr>
          <w:p w14:paraId="77DA9EF8">
            <w:pPr>
              <w:snapToGrid w:val="0"/>
              <w:spacing w:line="240" w:lineRule="auto"/>
              <w:ind w:firstLine="0" w:firstLineChars="0"/>
              <w:rPr>
                <w:rFonts w:ascii="微软雅黑" w:hAnsi="微软雅黑"/>
                <w:color w:val="auto"/>
                <w:szCs w:val="21"/>
                <w:highlight w:val="none"/>
              </w:rPr>
            </w:pPr>
          </w:p>
        </w:tc>
        <w:tc>
          <w:tcPr>
            <w:tcW w:w="2408" w:type="dxa"/>
            <w:tcBorders>
              <w:top w:val="single" w:color="auto" w:sz="4" w:space="0"/>
              <w:left w:val="single" w:color="auto" w:sz="4" w:space="0"/>
              <w:bottom w:val="single" w:color="auto" w:sz="4" w:space="0"/>
              <w:right w:val="single" w:color="auto" w:sz="4" w:space="0"/>
            </w:tcBorders>
          </w:tcPr>
          <w:p w14:paraId="19118390">
            <w:pPr>
              <w:snapToGrid w:val="0"/>
              <w:spacing w:line="240" w:lineRule="auto"/>
              <w:ind w:firstLine="0" w:firstLineChars="0"/>
              <w:rPr>
                <w:rFonts w:ascii="微软雅黑" w:hAnsi="微软雅黑"/>
                <w:color w:val="auto"/>
                <w:szCs w:val="21"/>
                <w:highlight w:val="none"/>
              </w:rPr>
            </w:pPr>
          </w:p>
        </w:tc>
      </w:tr>
      <w:tr w14:paraId="4AF6C4A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14:paraId="661B8300">
            <w:pPr>
              <w:snapToGrid w:val="0"/>
              <w:spacing w:line="240" w:lineRule="auto"/>
              <w:ind w:firstLine="0" w:firstLineChars="0"/>
              <w:rPr>
                <w:rFonts w:ascii="微软雅黑" w:hAnsi="微软雅黑"/>
                <w:color w:val="auto"/>
                <w:szCs w:val="21"/>
                <w:highlight w:val="none"/>
              </w:rPr>
            </w:pPr>
          </w:p>
        </w:tc>
        <w:tc>
          <w:tcPr>
            <w:tcW w:w="3060" w:type="dxa"/>
            <w:tcBorders>
              <w:top w:val="single" w:color="auto" w:sz="4" w:space="0"/>
              <w:left w:val="single" w:color="auto" w:sz="4" w:space="0"/>
              <w:bottom w:val="single" w:color="auto" w:sz="4" w:space="0"/>
              <w:right w:val="single" w:color="auto" w:sz="4" w:space="0"/>
            </w:tcBorders>
          </w:tcPr>
          <w:p w14:paraId="487D9481">
            <w:pPr>
              <w:snapToGrid w:val="0"/>
              <w:spacing w:line="240" w:lineRule="auto"/>
              <w:ind w:firstLine="0" w:firstLineChars="0"/>
              <w:rPr>
                <w:rFonts w:ascii="微软雅黑" w:hAnsi="微软雅黑"/>
                <w:color w:val="auto"/>
                <w:szCs w:val="21"/>
                <w:highlight w:val="none"/>
              </w:rPr>
            </w:pPr>
          </w:p>
        </w:tc>
        <w:tc>
          <w:tcPr>
            <w:tcW w:w="2408" w:type="dxa"/>
            <w:tcBorders>
              <w:top w:val="single" w:color="auto" w:sz="4" w:space="0"/>
              <w:left w:val="single" w:color="auto" w:sz="4" w:space="0"/>
              <w:bottom w:val="single" w:color="auto" w:sz="4" w:space="0"/>
              <w:right w:val="single" w:color="auto" w:sz="4" w:space="0"/>
            </w:tcBorders>
          </w:tcPr>
          <w:p w14:paraId="14B6FC39">
            <w:pPr>
              <w:snapToGrid w:val="0"/>
              <w:spacing w:line="240" w:lineRule="auto"/>
              <w:ind w:firstLine="0" w:firstLineChars="0"/>
              <w:rPr>
                <w:rFonts w:ascii="微软雅黑" w:hAnsi="微软雅黑"/>
                <w:color w:val="auto"/>
                <w:szCs w:val="21"/>
                <w:highlight w:val="none"/>
              </w:rPr>
            </w:pPr>
          </w:p>
        </w:tc>
      </w:tr>
      <w:tr w14:paraId="7A0CE6A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14:paraId="77E28850">
            <w:pPr>
              <w:snapToGrid w:val="0"/>
              <w:spacing w:line="240" w:lineRule="auto"/>
              <w:ind w:firstLine="0" w:firstLineChars="0"/>
              <w:rPr>
                <w:rFonts w:ascii="微软雅黑" w:hAnsi="微软雅黑"/>
                <w:color w:val="auto"/>
                <w:szCs w:val="21"/>
                <w:highlight w:val="none"/>
              </w:rPr>
            </w:pPr>
          </w:p>
        </w:tc>
        <w:tc>
          <w:tcPr>
            <w:tcW w:w="3060" w:type="dxa"/>
            <w:tcBorders>
              <w:top w:val="single" w:color="auto" w:sz="4" w:space="0"/>
              <w:left w:val="single" w:color="auto" w:sz="4" w:space="0"/>
              <w:bottom w:val="single" w:color="auto" w:sz="4" w:space="0"/>
              <w:right w:val="single" w:color="auto" w:sz="4" w:space="0"/>
            </w:tcBorders>
          </w:tcPr>
          <w:p w14:paraId="489462DE">
            <w:pPr>
              <w:snapToGrid w:val="0"/>
              <w:spacing w:line="240" w:lineRule="auto"/>
              <w:ind w:firstLine="0" w:firstLineChars="0"/>
              <w:rPr>
                <w:rFonts w:ascii="微软雅黑" w:hAnsi="微软雅黑"/>
                <w:color w:val="auto"/>
                <w:szCs w:val="21"/>
                <w:highlight w:val="none"/>
              </w:rPr>
            </w:pPr>
          </w:p>
        </w:tc>
        <w:tc>
          <w:tcPr>
            <w:tcW w:w="2408" w:type="dxa"/>
            <w:tcBorders>
              <w:top w:val="single" w:color="auto" w:sz="4" w:space="0"/>
              <w:left w:val="single" w:color="auto" w:sz="4" w:space="0"/>
              <w:bottom w:val="single" w:color="auto" w:sz="4" w:space="0"/>
              <w:right w:val="single" w:color="auto" w:sz="4" w:space="0"/>
            </w:tcBorders>
          </w:tcPr>
          <w:p w14:paraId="7FA1B796">
            <w:pPr>
              <w:snapToGrid w:val="0"/>
              <w:spacing w:line="240" w:lineRule="auto"/>
              <w:ind w:firstLine="0" w:firstLineChars="0"/>
              <w:rPr>
                <w:rFonts w:ascii="微软雅黑" w:hAnsi="微软雅黑"/>
                <w:color w:val="auto"/>
                <w:szCs w:val="21"/>
                <w:highlight w:val="none"/>
              </w:rPr>
            </w:pPr>
          </w:p>
        </w:tc>
      </w:tr>
      <w:tr w14:paraId="7B99744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14:paraId="5BF8B97B">
            <w:pPr>
              <w:snapToGrid w:val="0"/>
              <w:spacing w:line="240" w:lineRule="auto"/>
              <w:ind w:firstLine="0" w:firstLineChars="0"/>
              <w:rPr>
                <w:rFonts w:ascii="微软雅黑" w:hAnsi="微软雅黑"/>
                <w:color w:val="auto"/>
                <w:szCs w:val="21"/>
                <w:highlight w:val="none"/>
              </w:rPr>
            </w:pPr>
          </w:p>
        </w:tc>
        <w:tc>
          <w:tcPr>
            <w:tcW w:w="3060" w:type="dxa"/>
            <w:tcBorders>
              <w:top w:val="single" w:color="auto" w:sz="4" w:space="0"/>
              <w:left w:val="single" w:color="auto" w:sz="4" w:space="0"/>
              <w:bottom w:val="single" w:color="auto" w:sz="4" w:space="0"/>
              <w:right w:val="single" w:color="auto" w:sz="4" w:space="0"/>
            </w:tcBorders>
          </w:tcPr>
          <w:p w14:paraId="6FF07B6C">
            <w:pPr>
              <w:snapToGrid w:val="0"/>
              <w:spacing w:line="240" w:lineRule="auto"/>
              <w:ind w:firstLine="0" w:firstLineChars="0"/>
              <w:rPr>
                <w:rFonts w:ascii="微软雅黑" w:hAnsi="微软雅黑"/>
                <w:color w:val="auto"/>
                <w:szCs w:val="21"/>
                <w:highlight w:val="none"/>
              </w:rPr>
            </w:pPr>
          </w:p>
        </w:tc>
        <w:tc>
          <w:tcPr>
            <w:tcW w:w="2408" w:type="dxa"/>
            <w:tcBorders>
              <w:top w:val="single" w:color="auto" w:sz="4" w:space="0"/>
              <w:left w:val="single" w:color="auto" w:sz="4" w:space="0"/>
              <w:bottom w:val="single" w:color="auto" w:sz="4" w:space="0"/>
              <w:right w:val="single" w:color="auto" w:sz="4" w:space="0"/>
            </w:tcBorders>
          </w:tcPr>
          <w:p w14:paraId="77BBD2F8">
            <w:pPr>
              <w:snapToGrid w:val="0"/>
              <w:spacing w:line="240" w:lineRule="auto"/>
              <w:ind w:firstLine="0" w:firstLineChars="0"/>
              <w:rPr>
                <w:rFonts w:ascii="微软雅黑" w:hAnsi="微软雅黑"/>
                <w:color w:val="auto"/>
                <w:szCs w:val="21"/>
                <w:highlight w:val="none"/>
              </w:rPr>
            </w:pPr>
          </w:p>
        </w:tc>
      </w:tr>
    </w:tbl>
    <w:p w14:paraId="490F595B">
      <w:pPr>
        <w:snapToGrid w:val="0"/>
        <w:spacing w:before="120" w:beforeLines="50"/>
        <w:ind w:firstLine="420"/>
        <w:jc w:val="center"/>
        <w:rPr>
          <w:rFonts w:ascii="微软雅黑" w:hAnsi="微软雅黑"/>
          <w:color w:val="auto"/>
          <w:szCs w:val="21"/>
          <w:highlight w:val="none"/>
          <w:u w:val="single"/>
        </w:rPr>
      </w:pPr>
      <w:r>
        <w:rPr>
          <w:rFonts w:hint="eastAsia" w:ascii="微软雅黑" w:hAnsi="微软雅黑" w:cs="Arial"/>
          <w:color w:val="auto"/>
          <w:kern w:val="0"/>
          <w:szCs w:val="21"/>
          <w:highlight w:val="none"/>
        </w:rPr>
        <w:t xml:space="preserve"> 法定代表人或</w:t>
      </w:r>
      <w:r>
        <w:rPr>
          <w:rFonts w:hint="eastAsia" w:ascii="微软雅黑" w:hAnsi="微软雅黑"/>
          <w:color w:val="auto"/>
          <w:szCs w:val="21"/>
          <w:highlight w:val="none"/>
        </w:rPr>
        <w:t>被授权人签字（或盖章）：</w:t>
      </w:r>
    </w:p>
    <w:p w14:paraId="6CE3D87D">
      <w:pPr>
        <w:pStyle w:val="122"/>
        <w:ind w:firstLine="420"/>
        <w:jc w:val="center"/>
        <w:rPr>
          <w:rFonts w:ascii="微软雅黑" w:hAnsi="微软雅黑" w:eastAsia="微软雅黑" w:cs="宋体"/>
          <w:color w:val="auto"/>
          <w:sz w:val="21"/>
          <w:szCs w:val="21"/>
          <w:highlight w:val="none"/>
        </w:rPr>
      </w:pPr>
      <w:r>
        <w:rPr>
          <w:rFonts w:hint="eastAsia" w:ascii="微软雅黑" w:hAnsi="微软雅黑" w:eastAsia="微软雅黑" w:cs="宋体"/>
          <w:color w:val="auto"/>
          <w:sz w:val="21"/>
          <w:szCs w:val="21"/>
          <w:highlight w:val="none"/>
        </w:rPr>
        <w:t xml:space="preserve">             供应商名称（公章）：</w:t>
      </w:r>
    </w:p>
    <w:p w14:paraId="7BF52AD8">
      <w:pPr>
        <w:pStyle w:val="122"/>
        <w:ind w:firstLine="420"/>
        <w:jc w:val="center"/>
        <w:rPr>
          <w:rFonts w:ascii="微软雅黑" w:hAnsi="微软雅黑" w:eastAsia="微软雅黑" w:cs="仿宋_GB2312"/>
          <w:b/>
          <w:color w:val="auto"/>
          <w:kern w:val="0"/>
          <w:sz w:val="21"/>
          <w:szCs w:val="21"/>
          <w:highlight w:val="none"/>
        </w:rPr>
      </w:pPr>
      <w:r>
        <w:rPr>
          <w:rFonts w:hint="eastAsia" w:ascii="微软雅黑" w:hAnsi="微软雅黑" w:eastAsia="微软雅黑"/>
          <w:color w:val="auto"/>
          <w:sz w:val="21"/>
          <w:szCs w:val="21"/>
          <w:highlight w:val="none"/>
        </w:rPr>
        <w:t xml:space="preserve">          日期： 年 月 日</w:t>
      </w:r>
    </w:p>
    <w:p w14:paraId="07798EFE">
      <w:pPr>
        <w:ind w:firstLine="420"/>
        <w:jc w:val="center"/>
        <w:rPr>
          <w:rFonts w:ascii="微软雅黑" w:hAnsi="微软雅黑" w:cs="仿宋_GB2312"/>
          <w:b/>
          <w:color w:val="auto"/>
          <w:kern w:val="0"/>
          <w:szCs w:val="21"/>
          <w:highlight w:val="none"/>
        </w:rPr>
      </w:pPr>
    </w:p>
    <w:p w14:paraId="6DA4F946">
      <w:pPr>
        <w:ind w:firstLine="420"/>
        <w:jc w:val="center"/>
        <w:rPr>
          <w:rFonts w:ascii="微软雅黑" w:hAnsi="微软雅黑" w:cs="仿宋_GB2312"/>
          <w:b/>
          <w:color w:val="auto"/>
          <w:kern w:val="0"/>
          <w:szCs w:val="21"/>
          <w:highlight w:val="none"/>
        </w:rPr>
        <w:sectPr>
          <w:pgSz w:w="11907" w:h="16840"/>
          <w:pgMar w:top="1276" w:right="1418" w:bottom="1247" w:left="1418" w:header="851" w:footer="992" w:gutter="0"/>
          <w:cols w:space="720" w:num="1"/>
          <w:titlePg/>
          <w:docGrid w:linePitch="312" w:charSpace="0"/>
        </w:sectPr>
      </w:pPr>
    </w:p>
    <w:p w14:paraId="07BF0001">
      <w:pPr>
        <w:ind w:firstLine="420"/>
        <w:jc w:val="center"/>
        <w:rPr>
          <w:rFonts w:ascii="微软雅黑" w:hAnsi="微软雅黑" w:cs="仿宋_GB2312"/>
          <w:b/>
          <w:color w:val="auto"/>
          <w:kern w:val="0"/>
          <w:szCs w:val="21"/>
          <w:highlight w:val="none"/>
        </w:rPr>
        <w:sectPr>
          <w:type w:val="continuous"/>
          <w:pgSz w:w="11907" w:h="16840"/>
          <w:pgMar w:top="1276" w:right="1418" w:bottom="1247" w:left="1418" w:header="851" w:footer="992" w:gutter="0"/>
          <w:cols w:space="720" w:num="1"/>
          <w:titlePg/>
          <w:docGrid w:linePitch="312" w:charSpace="0"/>
        </w:sectPr>
      </w:pPr>
      <w:bookmarkStart w:id="205" w:name="_Toc8171"/>
    </w:p>
    <w:p w14:paraId="62C438FF">
      <w:pPr>
        <w:ind w:firstLine="420"/>
        <w:jc w:val="center"/>
        <w:outlineLvl w:val="1"/>
        <w:rPr>
          <w:rFonts w:ascii="微软雅黑" w:hAnsi="微软雅黑"/>
          <w:color w:val="auto"/>
          <w:szCs w:val="21"/>
          <w:highlight w:val="none"/>
        </w:rPr>
      </w:pPr>
      <w:r>
        <w:rPr>
          <w:rFonts w:hint="eastAsia" w:ascii="微软雅黑" w:hAnsi="微软雅黑" w:cs="仿宋_GB2312"/>
          <w:b/>
          <w:color w:val="auto"/>
          <w:kern w:val="0"/>
          <w:szCs w:val="21"/>
          <w:highlight w:val="none"/>
        </w:rPr>
        <w:t>六、评标标准相应的商务技术资料</w:t>
      </w:r>
      <w:bookmarkEnd w:id="205"/>
    </w:p>
    <w:p w14:paraId="1CCB743E">
      <w:pPr>
        <w:widowControl/>
        <w:ind w:firstLine="425" w:firstLineChars="152"/>
        <w:rPr>
          <w:rFonts w:ascii="微软雅黑" w:hAnsi="微软雅黑"/>
          <w:color w:val="auto"/>
          <w:sz w:val="28"/>
          <w:szCs w:val="28"/>
          <w:highlight w:val="none"/>
          <w:shd w:val="pct10" w:color="auto" w:fill="FFFFFF"/>
        </w:rPr>
      </w:pPr>
      <w:r>
        <w:rPr>
          <w:rFonts w:ascii="微软雅黑" w:hAnsi="微软雅黑" w:cs="sans-serif"/>
          <w:color w:val="auto"/>
          <w:kern w:val="0"/>
          <w:sz w:val="28"/>
          <w:szCs w:val="28"/>
          <w:highlight w:val="none"/>
          <w:shd w:val="pct10" w:color="auto" w:fill="FFFFFF"/>
          <w:lang w:bidi="ar"/>
        </w:rPr>
        <w:t>（</w:t>
      </w:r>
      <w:r>
        <w:rPr>
          <w:rFonts w:hint="eastAsia" w:ascii="微软雅黑" w:hAnsi="微软雅黑" w:cs="sans-serif"/>
          <w:color w:val="auto"/>
          <w:kern w:val="0"/>
          <w:sz w:val="28"/>
          <w:szCs w:val="28"/>
          <w:highlight w:val="none"/>
          <w:shd w:val="pct10" w:color="auto" w:fill="FFFFFF"/>
          <w:lang w:bidi="ar"/>
        </w:rPr>
        <w:t>投标人</w:t>
      </w:r>
      <w:r>
        <w:rPr>
          <w:rFonts w:ascii="微软雅黑" w:hAnsi="微软雅黑" w:cs="sans-serif"/>
          <w:color w:val="auto"/>
          <w:kern w:val="0"/>
          <w:sz w:val="28"/>
          <w:szCs w:val="28"/>
          <w:highlight w:val="none"/>
          <w:shd w:val="pct10" w:color="auto" w:fill="FFFFFF"/>
          <w:lang w:bidi="ar"/>
        </w:rPr>
        <w:t>根据采购需求、评标办法及标准要求</w:t>
      </w:r>
      <w:r>
        <w:rPr>
          <w:rFonts w:hint="eastAsia" w:ascii="微软雅黑" w:hAnsi="微软雅黑" w:cs="sans-serif"/>
          <w:color w:val="auto"/>
          <w:kern w:val="0"/>
          <w:sz w:val="28"/>
          <w:szCs w:val="28"/>
          <w:highlight w:val="none"/>
          <w:shd w:val="pct10" w:color="auto" w:fill="FFFFFF"/>
          <w:lang w:bidi="ar"/>
        </w:rPr>
        <w:t>自行选取</w:t>
      </w:r>
      <w:r>
        <w:rPr>
          <w:rFonts w:ascii="微软雅黑" w:hAnsi="微软雅黑" w:cs="sans-serif"/>
          <w:color w:val="auto"/>
          <w:kern w:val="0"/>
          <w:sz w:val="28"/>
          <w:szCs w:val="28"/>
          <w:highlight w:val="none"/>
          <w:shd w:val="pct10" w:color="auto" w:fill="FFFFFF"/>
          <w:lang w:bidi="ar"/>
        </w:rPr>
        <w:t>提供，除以下投标文件格式外相关资料由供应商自拟。）</w:t>
      </w:r>
    </w:p>
    <w:p w14:paraId="44372DB0">
      <w:pPr>
        <w:pStyle w:val="122"/>
        <w:ind w:firstLine="482"/>
        <w:jc w:val="both"/>
        <w:rPr>
          <w:rFonts w:ascii="Times New Roman" w:hAnsi="Times New Roman" w:eastAsia="宋体"/>
          <w:b/>
          <w:color w:val="auto"/>
          <w:sz w:val="24"/>
          <w:szCs w:val="24"/>
          <w:highlight w:val="none"/>
        </w:rPr>
      </w:pPr>
    </w:p>
    <w:p w14:paraId="13E09780">
      <w:pPr>
        <w:pStyle w:val="122"/>
        <w:ind w:firstLine="420"/>
        <w:jc w:val="both"/>
        <w:rPr>
          <w:rFonts w:ascii="微软雅黑" w:hAnsi="微软雅黑" w:eastAsia="微软雅黑"/>
          <w:color w:val="auto"/>
          <w:sz w:val="21"/>
          <w:szCs w:val="21"/>
          <w:highlight w:val="none"/>
        </w:rPr>
      </w:pPr>
      <w:r>
        <w:rPr>
          <w:rFonts w:hint="eastAsia" w:ascii="微软雅黑" w:hAnsi="微软雅黑" w:eastAsia="微软雅黑"/>
          <w:b/>
          <w:color w:val="auto"/>
          <w:sz w:val="21"/>
          <w:szCs w:val="21"/>
          <w:highlight w:val="none"/>
        </w:rPr>
        <w:t>1.同类项目业绩一览表</w:t>
      </w:r>
    </w:p>
    <w:p w14:paraId="2A20C5D2">
      <w:pPr>
        <w:pStyle w:val="122"/>
        <w:ind w:firstLine="420"/>
        <w:jc w:val="center"/>
        <w:rPr>
          <w:rFonts w:ascii="微软雅黑" w:hAnsi="微软雅黑" w:eastAsia="微软雅黑"/>
          <w:b/>
          <w:color w:val="auto"/>
          <w:sz w:val="21"/>
          <w:szCs w:val="21"/>
          <w:highlight w:val="none"/>
        </w:rPr>
      </w:pPr>
      <w:r>
        <w:rPr>
          <w:rFonts w:hint="eastAsia" w:ascii="微软雅黑" w:hAnsi="微软雅黑" w:eastAsia="微软雅黑"/>
          <w:b/>
          <w:color w:val="auto"/>
          <w:sz w:val="21"/>
          <w:szCs w:val="21"/>
          <w:highlight w:val="none"/>
        </w:rPr>
        <w:t>同类项目业绩一览表</w:t>
      </w:r>
    </w:p>
    <w:tbl>
      <w:tblPr>
        <w:tblStyle w:val="52"/>
        <w:tblW w:w="969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3"/>
        <w:gridCol w:w="1578"/>
        <w:gridCol w:w="2003"/>
        <w:gridCol w:w="1798"/>
        <w:gridCol w:w="1291"/>
        <w:gridCol w:w="2193"/>
      </w:tblGrid>
      <w:tr w14:paraId="3BDD4A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4" w:hRule="atLeast"/>
          <w:jc w:val="center"/>
        </w:trPr>
        <w:tc>
          <w:tcPr>
            <w:tcW w:w="833" w:type="dxa"/>
            <w:vAlign w:val="center"/>
          </w:tcPr>
          <w:p w14:paraId="4651C53B">
            <w:pPr>
              <w:spacing w:line="240" w:lineRule="auto"/>
              <w:ind w:firstLine="0" w:firstLineChars="0"/>
              <w:jc w:val="center"/>
              <w:rPr>
                <w:rFonts w:ascii="微软雅黑" w:hAnsi="微软雅黑"/>
                <w:b/>
                <w:color w:val="auto"/>
                <w:szCs w:val="21"/>
                <w:highlight w:val="none"/>
              </w:rPr>
            </w:pPr>
            <w:r>
              <w:rPr>
                <w:rFonts w:hint="eastAsia" w:ascii="微软雅黑" w:hAnsi="微软雅黑"/>
                <w:b/>
                <w:color w:val="auto"/>
                <w:szCs w:val="21"/>
                <w:highlight w:val="none"/>
              </w:rPr>
              <w:t>序号</w:t>
            </w:r>
          </w:p>
        </w:tc>
        <w:tc>
          <w:tcPr>
            <w:tcW w:w="1578" w:type="dxa"/>
            <w:vAlign w:val="center"/>
          </w:tcPr>
          <w:p w14:paraId="4A084E43">
            <w:pPr>
              <w:spacing w:line="240" w:lineRule="auto"/>
              <w:ind w:firstLine="0" w:firstLineChars="0"/>
              <w:jc w:val="center"/>
              <w:rPr>
                <w:rFonts w:ascii="微软雅黑" w:hAnsi="微软雅黑"/>
                <w:b/>
                <w:color w:val="auto"/>
                <w:szCs w:val="21"/>
                <w:highlight w:val="none"/>
              </w:rPr>
            </w:pPr>
            <w:r>
              <w:rPr>
                <w:rFonts w:hint="eastAsia" w:ascii="微软雅黑" w:hAnsi="微软雅黑"/>
                <w:b/>
                <w:color w:val="auto"/>
                <w:szCs w:val="21"/>
                <w:highlight w:val="none"/>
              </w:rPr>
              <w:t>采购人</w:t>
            </w:r>
          </w:p>
          <w:p w14:paraId="3BAF3469">
            <w:pPr>
              <w:spacing w:line="240" w:lineRule="auto"/>
              <w:ind w:firstLine="0" w:firstLineChars="0"/>
              <w:jc w:val="center"/>
              <w:rPr>
                <w:rFonts w:ascii="微软雅黑" w:hAnsi="微软雅黑"/>
                <w:b/>
                <w:color w:val="auto"/>
                <w:szCs w:val="21"/>
                <w:highlight w:val="none"/>
              </w:rPr>
            </w:pPr>
            <w:r>
              <w:rPr>
                <w:rFonts w:hint="eastAsia" w:ascii="微软雅黑" w:hAnsi="微软雅黑"/>
                <w:b/>
                <w:color w:val="auto"/>
                <w:szCs w:val="21"/>
                <w:highlight w:val="none"/>
              </w:rPr>
              <w:t>名  称</w:t>
            </w:r>
          </w:p>
        </w:tc>
        <w:tc>
          <w:tcPr>
            <w:tcW w:w="2003" w:type="dxa"/>
            <w:vAlign w:val="center"/>
          </w:tcPr>
          <w:p w14:paraId="4B7A7257">
            <w:pPr>
              <w:tabs>
                <w:tab w:val="left" w:pos="6252"/>
              </w:tabs>
              <w:spacing w:line="240" w:lineRule="auto"/>
              <w:ind w:firstLine="0" w:firstLineChars="0"/>
              <w:jc w:val="center"/>
              <w:rPr>
                <w:rFonts w:ascii="微软雅黑" w:hAnsi="微软雅黑"/>
                <w:b/>
                <w:color w:val="auto"/>
                <w:szCs w:val="21"/>
                <w:highlight w:val="none"/>
              </w:rPr>
            </w:pPr>
            <w:r>
              <w:rPr>
                <w:rFonts w:hint="eastAsia" w:ascii="微软雅黑" w:hAnsi="微软雅黑"/>
                <w:b/>
                <w:color w:val="auto"/>
                <w:szCs w:val="21"/>
                <w:highlight w:val="none"/>
              </w:rPr>
              <w:t>项目名称</w:t>
            </w:r>
          </w:p>
        </w:tc>
        <w:tc>
          <w:tcPr>
            <w:tcW w:w="1798" w:type="dxa"/>
            <w:vAlign w:val="center"/>
          </w:tcPr>
          <w:p w14:paraId="33815769">
            <w:pPr>
              <w:tabs>
                <w:tab w:val="left" w:pos="6252"/>
              </w:tabs>
              <w:spacing w:line="240" w:lineRule="auto"/>
              <w:ind w:firstLine="0" w:firstLineChars="0"/>
              <w:jc w:val="center"/>
              <w:rPr>
                <w:rFonts w:ascii="微软雅黑" w:hAnsi="微软雅黑"/>
                <w:b/>
                <w:color w:val="auto"/>
                <w:szCs w:val="21"/>
                <w:highlight w:val="none"/>
              </w:rPr>
            </w:pPr>
            <w:r>
              <w:rPr>
                <w:rFonts w:hint="eastAsia" w:ascii="微软雅黑" w:hAnsi="微软雅黑"/>
                <w:b/>
                <w:color w:val="auto"/>
                <w:szCs w:val="21"/>
                <w:highlight w:val="none"/>
              </w:rPr>
              <w:t>项目起止时间</w:t>
            </w:r>
          </w:p>
        </w:tc>
        <w:tc>
          <w:tcPr>
            <w:tcW w:w="1291" w:type="dxa"/>
            <w:vAlign w:val="center"/>
          </w:tcPr>
          <w:p w14:paraId="04032EE4">
            <w:pPr>
              <w:tabs>
                <w:tab w:val="left" w:pos="6252"/>
              </w:tabs>
              <w:spacing w:line="240" w:lineRule="auto"/>
              <w:ind w:firstLine="0" w:firstLineChars="0"/>
              <w:jc w:val="center"/>
              <w:rPr>
                <w:rFonts w:ascii="微软雅黑" w:hAnsi="微软雅黑"/>
                <w:b/>
                <w:color w:val="auto"/>
                <w:szCs w:val="21"/>
                <w:highlight w:val="none"/>
              </w:rPr>
            </w:pPr>
            <w:r>
              <w:rPr>
                <w:rFonts w:hint="eastAsia" w:ascii="微软雅黑" w:hAnsi="微软雅黑"/>
                <w:b/>
                <w:color w:val="auto"/>
                <w:szCs w:val="21"/>
                <w:highlight w:val="none"/>
              </w:rPr>
              <w:t>合同金额</w:t>
            </w:r>
          </w:p>
          <w:p w14:paraId="092A88D8">
            <w:pPr>
              <w:tabs>
                <w:tab w:val="left" w:pos="6252"/>
              </w:tabs>
              <w:spacing w:line="240" w:lineRule="auto"/>
              <w:ind w:firstLine="0" w:firstLineChars="0"/>
              <w:jc w:val="center"/>
              <w:rPr>
                <w:rFonts w:ascii="微软雅黑" w:hAnsi="微软雅黑"/>
                <w:b/>
                <w:color w:val="auto"/>
                <w:szCs w:val="21"/>
                <w:highlight w:val="none"/>
              </w:rPr>
            </w:pPr>
            <w:r>
              <w:rPr>
                <w:rFonts w:hint="eastAsia" w:ascii="微软雅黑" w:hAnsi="微软雅黑"/>
                <w:b/>
                <w:color w:val="auto"/>
                <w:szCs w:val="21"/>
                <w:highlight w:val="none"/>
              </w:rPr>
              <w:t>（万元）</w:t>
            </w:r>
          </w:p>
        </w:tc>
        <w:tc>
          <w:tcPr>
            <w:tcW w:w="2193" w:type="dxa"/>
            <w:vAlign w:val="center"/>
          </w:tcPr>
          <w:p w14:paraId="3FD079CC">
            <w:pPr>
              <w:tabs>
                <w:tab w:val="left" w:pos="6252"/>
              </w:tabs>
              <w:spacing w:line="240" w:lineRule="auto"/>
              <w:ind w:firstLine="0" w:firstLineChars="0"/>
              <w:jc w:val="center"/>
              <w:rPr>
                <w:rFonts w:ascii="微软雅黑" w:hAnsi="微软雅黑"/>
                <w:b/>
                <w:color w:val="auto"/>
                <w:szCs w:val="21"/>
                <w:highlight w:val="none"/>
              </w:rPr>
            </w:pPr>
            <w:r>
              <w:rPr>
                <w:rFonts w:hint="eastAsia" w:ascii="微软雅黑" w:hAnsi="微软雅黑"/>
                <w:b/>
                <w:color w:val="auto"/>
                <w:szCs w:val="21"/>
                <w:highlight w:val="none"/>
              </w:rPr>
              <w:t>采购人联系人及联系电话</w:t>
            </w:r>
          </w:p>
        </w:tc>
      </w:tr>
      <w:tr w14:paraId="7973DA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833" w:type="dxa"/>
            <w:vAlign w:val="center"/>
          </w:tcPr>
          <w:p w14:paraId="338D221A">
            <w:pPr>
              <w:spacing w:line="240" w:lineRule="auto"/>
              <w:ind w:firstLine="0" w:firstLineChars="0"/>
              <w:jc w:val="center"/>
              <w:rPr>
                <w:rFonts w:ascii="微软雅黑" w:hAnsi="微软雅黑"/>
                <w:color w:val="auto"/>
                <w:szCs w:val="21"/>
                <w:highlight w:val="none"/>
              </w:rPr>
            </w:pPr>
            <w:r>
              <w:rPr>
                <w:rFonts w:hint="eastAsia" w:ascii="微软雅黑" w:hAnsi="微软雅黑"/>
                <w:color w:val="auto"/>
                <w:szCs w:val="21"/>
                <w:highlight w:val="none"/>
              </w:rPr>
              <w:t>1</w:t>
            </w:r>
          </w:p>
        </w:tc>
        <w:tc>
          <w:tcPr>
            <w:tcW w:w="1578" w:type="dxa"/>
            <w:vAlign w:val="center"/>
          </w:tcPr>
          <w:p w14:paraId="48620CEC">
            <w:pPr>
              <w:spacing w:line="240" w:lineRule="auto"/>
              <w:ind w:firstLine="0" w:firstLineChars="0"/>
              <w:jc w:val="center"/>
              <w:rPr>
                <w:rFonts w:ascii="微软雅黑" w:hAnsi="微软雅黑"/>
                <w:color w:val="auto"/>
                <w:szCs w:val="21"/>
                <w:highlight w:val="none"/>
              </w:rPr>
            </w:pPr>
          </w:p>
        </w:tc>
        <w:tc>
          <w:tcPr>
            <w:tcW w:w="2003" w:type="dxa"/>
          </w:tcPr>
          <w:p w14:paraId="74968C87">
            <w:pPr>
              <w:spacing w:line="240" w:lineRule="auto"/>
              <w:ind w:firstLine="0" w:firstLineChars="0"/>
              <w:jc w:val="center"/>
              <w:rPr>
                <w:rFonts w:ascii="微软雅黑" w:hAnsi="微软雅黑"/>
                <w:color w:val="auto"/>
                <w:szCs w:val="21"/>
                <w:highlight w:val="none"/>
              </w:rPr>
            </w:pPr>
          </w:p>
        </w:tc>
        <w:tc>
          <w:tcPr>
            <w:tcW w:w="1798" w:type="dxa"/>
          </w:tcPr>
          <w:p w14:paraId="4E9A0C3B">
            <w:pPr>
              <w:spacing w:line="240" w:lineRule="auto"/>
              <w:ind w:firstLine="0" w:firstLineChars="0"/>
              <w:jc w:val="center"/>
              <w:rPr>
                <w:rFonts w:ascii="微软雅黑" w:hAnsi="微软雅黑"/>
                <w:color w:val="auto"/>
                <w:szCs w:val="21"/>
                <w:highlight w:val="none"/>
              </w:rPr>
            </w:pPr>
          </w:p>
        </w:tc>
        <w:tc>
          <w:tcPr>
            <w:tcW w:w="1291" w:type="dxa"/>
            <w:vAlign w:val="center"/>
          </w:tcPr>
          <w:p w14:paraId="06D41093">
            <w:pPr>
              <w:spacing w:line="240" w:lineRule="auto"/>
              <w:ind w:firstLine="0" w:firstLineChars="0"/>
              <w:jc w:val="center"/>
              <w:rPr>
                <w:rFonts w:ascii="微软雅黑" w:hAnsi="微软雅黑"/>
                <w:color w:val="auto"/>
                <w:szCs w:val="21"/>
                <w:highlight w:val="none"/>
              </w:rPr>
            </w:pPr>
          </w:p>
        </w:tc>
        <w:tc>
          <w:tcPr>
            <w:tcW w:w="2193" w:type="dxa"/>
            <w:vAlign w:val="center"/>
          </w:tcPr>
          <w:p w14:paraId="108C826A">
            <w:pPr>
              <w:spacing w:line="240" w:lineRule="auto"/>
              <w:ind w:firstLine="0" w:firstLineChars="0"/>
              <w:jc w:val="center"/>
              <w:rPr>
                <w:rFonts w:ascii="微软雅黑" w:hAnsi="微软雅黑"/>
                <w:color w:val="auto"/>
                <w:szCs w:val="21"/>
                <w:highlight w:val="none"/>
              </w:rPr>
            </w:pPr>
          </w:p>
        </w:tc>
      </w:tr>
      <w:tr w14:paraId="38773C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33" w:type="dxa"/>
            <w:vAlign w:val="center"/>
          </w:tcPr>
          <w:p w14:paraId="6C7FF6E3">
            <w:pPr>
              <w:spacing w:line="240" w:lineRule="auto"/>
              <w:ind w:firstLine="0" w:firstLineChars="0"/>
              <w:jc w:val="center"/>
              <w:rPr>
                <w:rFonts w:ascii="微软雅黑" w:hAnsi="微软雅黑"/>
                <w:color w:val="auto"/>
                <w:szCs w:val="21"/>
                <w:highlight w:val="none"/>
              </w:rPr>
            </w:pPr>
            <w:r>
              <w:rPr>
                <w:rFonts w:hint="eastAsia" w:ascii="微软雅黑" w:hAnsi="微软雅黑"/>
                <w:color w:val="auto"/>
                <w:szCs w:val="21"/>
                <w:highlight w:val="none"/>
              </w:rPr>
              <w:t>2</w:t>
            </w:r>
          </w:p>
        </w:tc>
        <w:tc>
          <w:tcPr>
            <w:tcW w:w="1578" w:type="dxa"/>
            <w:vAlign w:val="center"/>
          </w:tcPr>
          <w:p w14:paraId="042F5316">
            <w:pPr>
              <w:spacing w:line="240" w:lineRule="auto"/>
              <w:ind w:firstLine="0" w:firstLineChars="0"/>
              <w:jc w:val="center"/>
              <w:rPr>
                <w:rFonts w:ascii="微软雅黑" w:hAnsi="微软雅黑"/>
                <w:color w:val="auto"/>
                <w:szCs w:val="21"/>
                <w:highlight w:val="none"/>
              </w:rPr>
            </w:pPr>
          </w:p>
        </w:tc>
        <w:tc>
          <w:tcPr>
            <w:tcW w:w="2003" w:type="dxa"/>
          </w:tcPr>
          <w:p w14:paraId="269326C5">
            <w:pPr>
              <w:spacing w:line="240" w:lineRule="auto"/>
              <w:ind w:firstLine="0" w:firstLineChars="0"/>
              <w:jc w:val="center"/>
              <w:rPr>
                <w:rFonts w:ascii="微软雅黑" w:hAnsi="微软雅黑"/>
                <w:color w:val="auto"/>
                <w:szCs w:val="21"/>
                <w:highlight w:val="none"/>
              </w:rPr>
            </w:pPr>
          </w:p>
        </w:tc>
        <w:tc>
          <w:tcPr>
            <w:tcW w:w="1798" w:type="dxa"/>
          </w:tcPr>
          <w:p w14:paraId="76431ABF">
            <w:pPr>
              <w:spacing w:line="240" w:lineRule="auto"/>
              <w:ind w:firstLine="0" w:firstLineChars="0"/>
              <w:jc w:val="center"/>
              <w:rPr>
                <w:rFonts w:ascii="微软雅黑" w:hAnsi="微软雅黑"/>
                <w:color w:val="auto"/>
                <w:szCs w:val="21"/>
                <w:highlight w:val="none"/>
              </w:rPr>
            </w:pPr>
          </w:p>
        </w:tc>
        <w:tc>
          <w:tcPr>
            <w:tcW w:w="1291" w:type="dxa"/>
            <w:vAlign w:val="center"/>
          </w:tcPr>
          <w:p w14:paraId="076600A9">
            <w:pPr>
              <w:spacing w:line="240" w:lineRule="auto"/>
              <w:ind w:firstLine="0" w:firstLineChars="0"/>
              <w:jc w:val="center"/>
              <w:rPr>
                <w:rFonts w:ascii="微软雅黑" w:hAnsi="微软雅黑"/>
                <w:color w:val="auto"/>
                <w:szCs w:val="21"/>
                <w:highlight w:val="none"/>
              </w:rPr>
            </w:pPr>
          </w:p>
        </w:tc>
        <w:tc>
          <w:tcPr>
            <w:tcW w:w="2193" w:type="dxa"/>
            <w:vAlign w:val="center"/>
          </w:tcPr>
          <w:p w14:paraId="6F33FCD4">
            <w:pPr>
              <w:spacing w:line="240" w:lineRule="auto"/>
              <w:ind w:firstLine="0" w:firstLineChars="0"/>
              <w:jc w:val="center"/>
              <w:rPr>
                <w:rFonts w:ascii="微软雅黑" w:hAnsi="微软雅黑"/>
                <w:color w:val="auto"/>
                <w:szCs w:val="21"/>
                <w:highlight w:val="none"/>
              </w:rPr>
            </w:pPr>
          </w:p>
        </w:tc>
      </w:tr>
      <w:tr w14:paraId="6775F5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jc w:val="center"/>
        </w:trPr>
        <w:tc>
          <w:tcPr>
            <w:tcW w:w="833" w:type="dxa"/>
            <w:vAlign w:val="center"/>
          </w:tcPr>
          <w:p w14:paraId="5146279D">
            <w:pPr>
              <w:spacing w:line="240" w:lineRule="auto"/>
              <w:ind w:firstLine="0" w:firstLineChars="0"/>
              <w:jc w:val="center"/>
              <w:rPr>
                <w:rFonts w:ascii="微软雅黑" w:hAnsi="微软雅黑"/>
                <w:color w:val="auto"/>
                <w:szCs w:val="21"/>
                <w:highlight w:val="none"/>
              </w:rPr>
            </w:pPr>
            <w:r>
              <w:rPr>
                <w:rFonts w:hint="eastAsia" w:ascii="微软雅黑" w:hAnsi="微软雅黑"/>
                <w:color w:val="auto"/>
                <w:szCs w:val="21"/>
                <w:highlight w:val="none"/>
              </w:rPr>
              <w:t>……</w:t>
            </w:r>
          </w:p>
        </w:tc>
        <w:tc>
          <w:tcPr>
            <w:tcW w:w="1578" w:type="dxa"/>
            <w:vAlign w:val="center"/>
          </w:tcPr>
          <w:p w14:paraId="0B6A9ACA">
            <w:pPr>
              <w:spacing w:line="240" w:lineRule="auto"/>
              <w:ind w:firstLine="0" w:firstLineChars="0"/>
              <w:jc w:val="center"/>
              <w:rPr>
                <w:rFonts w:ascii="微软雅黑" w:hAnsi="微软雅黑"/>
                <w:color w:val="auto"/>
                <w:szCs w:val="21"/>
                <w:highlight w:val="none"/>
              </w:rPr>
            </w:pPr>
          </w:p>
        </w:tc>
        <w:tc>
          <w:tcPr>
            <w:tcW w:w="2003" w:type="dxa"/>
          </w:tcPr>
          <w:p w14:paraId="13C0E850">
            <w:pPr>
              <w:spacing w:line="240" w:lineRule="auto"/>
              <w:ind w:firstLine="0" w:firstLineChars="0"/>
              <w:jc w:val="center"/>
              <w:rPr>
                <w:rFonts w:ascii="微软雅黑" w:hAnsi="微软雅黑"/>
                <w:color w:val="auto"/>
                <w:szCs w:val="21"/>
                <w:highlight w:val="none"/>
              </w:rPr>
            </w:pPr>
          </w:p>
        </w:tc>
        <w:tc>
          <w:tcPr>
            <w:tcW w:w="1798" w:type="dxa"/>
          </w:tcPr>
          <w:p w14:paraId="6A9D0FFD">
            <w:pPr>
              <w:spacing w:line="240" w:lineRule="auto"/>
              <w:ind w:firstLine="0" w:firstLineChars="0"/>
              <w:jc w:val="center"/>
              <w:rPr>
                <w:rFonts w:ascii="微软雅黑" w:hAnsi="微软雅黑"/>
                <w:color w:val="auto"/>
                <w:szCs w:val="21"/>
                <w:highlight w:val="none"/>
              </w:rPr>
            </w:pPr>
          </w:p>
        </w:tc>
        <w:tc>
          <w:tcPr>
            <w:tcW w:w="1291" w:type="dxa"/>
            <w:vAlign w:val="center"/>
          </w:tcPr>
          <w:p w14:paraId="267B4F54">
            <w:pPr>
              <w:spacing w:line="240" w:lineRule="auto"/>
              <w:ind w:firstLine="0" w:firstLineChars="0"/>
              <w:jc w:val="center"/>
              <w:rPr>
                <w:rFonts w:ascii="微软雅黑" w:hAnsi="微软雅黑"/>
                <w:color w:val="auto"/>
                <w:szCs w:val="21"/>
                <w:highlight w:val="none"/>
              </w:rPr>
            </w:pPr>
          </w:p>
        </w:tc>
        <w:tc>
          <w:tcPr>
            <w:tcW w:w="2193" w:type="dxa"/>
            <w:vAlign w:val="center"/>
          </w:tcPr>
          <w:p w14:paraId="639F0B00">
            <w:pPr>
              <w:spacing w:line="240" w:lineRule="auto"/>
              <w:ind w:firstLine="0" w:firstLineChars="0"/>
              <w:jc w:val="center"/>
              <w:rPr>
                <w:rFonts w:ascii="微软雅黑" w:hAnsi="微软雅黑"/>
                <w:color w:val="auto"/>
                <w:szCs w:val="21"/>
                <w:highlight w:val="none"/>
              </w:rPr>
            </w:pPr>
          </w:p>
        </w:tc>
      </w:tr>
    </w:tbl>
    <w:p w14:paraId="33620FDC">
      <w:pPr>
        <w:pStyle w:val="122"/>
        <w:ind w:firstLine="420"/>
        <w:jc w:val="center"/>
        <w:rPr>
          <w:rFonts w:ascii="微软雅黑" w:hAnsi="微软雅黑" w:eastAsia="微软雅黑"/>
          <w:b/>
          <w:color w:val="auto"/>
          <w:sz w:val="21"/>
          <w:szCs w:val="21"/>
          <w:highlight w:val="none"/>
        </w:rPr>
      </w:pPr>
    </w:p>
    <w:p w14:paraId="5407327A">
      <w:pPr>
        <w:snapToGrid w:val="0"/>
        <w:spacing w:before="120" w:beforeLines="50" w:line="400" w:lineRule="exact"/>
        <w:ind w:firstLine="420"/>
        <w:rPr>
          <w:rFonts w:ascii="微软雅黑" w:hAnsi="微软雅黑"/>
          <w:b/>
          <w:color w:val="auto"/>
          <w:szCs w:val="21"/>
          <w:highlight w:val="none"/>
        </w:rPr>
      </w:pPr>
      <w:r>
        <w:rPr>
          <w:rFonts w:hint="eastAsia" w:ascii="微软雅黑" w:hAnsi="微软雅黑"/>
          <w:b/>
          <w:color w:val="auto"/>
          <w:szCs w:val="21"/>
          <w:highlight w:val="none"/>
        </w:rPr>
        <w:t>注：</w:t>
      </w:r>
      <w:r>
        <w:rPr>
          <w:rFonts w:hint="eastAsia" w:ascii="微软雅黑" w:hAnsi="微软雅黑"/>
          <w:color w:val="auto"/>
          <w:szCs w:val="21"/>
          <w:highlight w:val="none"/>
        </w:rPr>
        <w:t>须同时合同复印件证明材料加盖公章</w:t>
      </w:r>
    </w:p>
    <w:p w14:paraId="33285E11">
      <w:pPr>
        <w:snapToGrid w:val="0"/>
        <w:spacing w:before="120" w:beforeLines="50"/>
        <w:ind w:firstLine="420"/>
        <w:jc w:val="center"/>
        <w:rPr>
          <w:rFonts w:ascii="微软雅黑" w:hAnsi="微软雅黑"/>
          <w:color w:val="auto"/>
          <w:szCs w:val="21"/>
          <w:highlight w:val="none"/>
          <w:u w:val="single"/>
        </w:rPr>
      </w:pPr>
      <w:r>
        <w:rPr>
          <w:rFonts w:hint="eastAsia" w:ascii="微软雅黑" w:hAnsi="微软雅黑" w:cs="Arial"/>
          <w:color w:val="auto"/>
          <w:kern w:val="0"/>
          <w:szCs w:val="21"/>
          <w:highlight w:val="none"/>
        </w:rPr>
        <w:t xml:space="preserve">              法定代表人或</w:t>
      </w:r>
      <w:r>
        <w:rPr>
          <w:rFonts w:hint="eastAsia" w:ascii="微软雅黑" w:hAnsi="微软雅黑"/>
          <w:color w:val="auto"/>
          <w:szCs w:val="21"/>
          <w:highlight w:val="none"/>
        </w:rPr>
        <w:t>被授权人签字（或盖章）：</w:t>
      </w:r>
    </w:p>
    <w:p w14:paraId="2EAD93A9">
      <w:pPr>
        <w:pStyle w:val="122"/>
        <w:ind w:firstLine="420"/>
        <w:jc w:val="center"/>
        <w:rPr>
          <w:rFonts w:ascii="微软雅黑" w:hAnsi="微软雅黑" w:eastAsia="微软雅黑" w:cs="宋体"/>
          <w:color w:val="auto"/>
          <w:sz w:val="21"/>
          <w:szCs w:val="21"/>
          <w:highlight w:val="none"/>
        </w:rPr>
      </w:pPr>
      <w:r>
        <w:rPr>
          <w:rFonts w:hint="eastAsia" w:ascii="微软雅黑" w:hAnsi="微软雅黑" w:eastAsia="微软雅黑" w:cs="宋体"/>
          <w:color w:val="auto"/>
          <w:sz w:val="21"/>
          <w:szCs w:val="21"/>
          <w:highlight w:val="none"/>
        </w:rPr>
        <w:t xml:space="preserve">             供应商名称（公章）：</w:t>
      </w:r>
    </w:p>
    <w:p w14:paraId="540679EF">
      <w:pPr>
        <w:pStyle w:val="122"/>
        <w:ind w:firstLine="420"/>
        <w:jc w:val="center"/>
        <w:rPr>
          <w:rFonts w:ascii="微软雅黑" w:hAnsi="微软雅黑" w:eastAsia="微软雅黑"/>
          <w:color w:val="auto"/>
          <w:sz w:val="21"/>
          <w:szCs w:val="21"/>
          <w:highlight w:val="none"/>
        </w:rPr>
      </w:pPr>
      <w:r>
        <w:rPr>
          <w:rFonts w:hint="eastAsia" w:ascii="微软雅黑" w:hAnsi="微软雅黑" w:eastAsia="微软雅黑"/>
          <w:color w:val="auto"/>
          <w:sz w:val="21"/>
          <w:szCs w:val="21"/>
          <w:highlight w:val="none"/>
        </w:rPr>
        <w:t xml:space="preserve">          日期： 年 月 日</w:t>
      </w:r>
    </w:p>
    <w:p w14:paraId="1780A0DD">
      <w:pPr>
        <w:snapToGrid w:val="0"/>
        <w:spacing w:before="120" w:beforeLines="50" w:after="50" w:line="400" w:lineRule="exact"/>
        <w:ind w:firstLine="240" w:firstLineChars="100"/>
        <w:rPr>
          <w:color w:val="auto"/>
          <w:sz w:val="24"/>
          <w:highlight w:val="none"/>
        </w:rPr>
      </w:pPr>
    </w:p>
    <w:p w14:paraId="14D434A0">
      <w:pPr>
        <w:rPr>
          <w:b/>
          <w:color w:val="auto"/>
          <w:sz w:val="24"/>
          <w:highlight w:val="none"/>
        </w:rPr>
        <w:sectPr>
          <w:pgSz w:w="11907" w:h="16840"/>
          <w:pgMar w:top="1276" w:right="1418" w:bottom="1247" w:left="1418" w:header="851" w:footer="992" w:gutter="0"/>
          <w:cols w:space="720" w:num="1"/>
          <w:titlePg/>
          <w:docGrid w:linePitch="312" w:charSpace="0"/>
        </w:sectPr>
      </w:pPr>
    </w:p>
    <w:p w14:paraId="116937B8">
      <w:pPr>
        <w:ind w:firstLine="420"/>
        <w:rPr>
          <w:b/>
          <w:color w:val="auto"/>
          <w:szCs w:val="21"/>
          <w:highlight w:val="none"/>
        </w:rPr>
        <w:sectPr>
          <w:type w:val="continuous"/>
          <w:pgSz w:w="11907" w:h="16840"/>
          <w:pgMar w:top="1276" w:right="1418" w:bottom="1247" w:left="1418" w:header="851" w:footer="992" w:gutter="0"/>
          <w:cols w:space="720" w:num="1"/>
          <w:titlePg/>
          <w:docGrid w:linePitch="312" w:charSpace="0"/>
        </w:sectPr>
      </w:pPr>
    </w:p>
    <w:p w14:paraId="0E502D2B">
      <w:pPr>
        <w:ind w:firstLine="420"/>
        <w:rPr>
          <w:b/>
          <w:color w:val="auto"/>
          <w:szCs w:val="21"/>
          <w:highlight w:val="none"/>
        </w:rPr>
      </w:pPr>
      <w:r>
        <w:rPr>
          <w:rFonts w:hint="eastAsia"/>
          <w:b/>
          <w:color w:val="auto"/>
          <w:szCs w:val="21"/>
          <w:highlight w:val="none"/>
        </w:rPr>
        <w:t>2.投标产品</w:t>
      </w:r>
      <w:r>
        <w:rPr>
          <w:b/>
          <w:color w:val="auto"/>
          <w:szCs w:val="21"/>
          <w:highlight w:val="none"/>
        </w:rPr>
        <w:t>详细清单（不含报价）</w:t>
      </w:r>
    </w:p>
    <w:p w14:paraId="34E18464">
      <w:pPr>
        <w:spacing w:line="240" w:lineRule="auto"/>
        <w:ind w:firstLine="0" w:firstLineChars="0"/>
        <w:jc w:val="center"/>
        <w:rPr>
          <w:b/>
          <w:color w:val="auto"/>
          <w:szCs w:val="21"/>
          <w:highlight w:val="none"/>
        </w:rPr>
      </w:pPr>
      <w:r>
        <w:rPr>
          <w:rFonts w:hint="eastAsia"/>
          <w:b/>
          <w:color w:val="auto"/>
          <w:szCs w:val="21"/>
          <w:highlight w:val="none"/>
        </w:rPr>
        <w:t>投标产品</w:t>
      </w:r>
      <w:r>
        <w:rPr>
          <w:b/>
          <w:color w:val="auto"/>
          <w:szCs w:val="21"/>
          <w:highlight w:val="none"/>
        </w:rPr>
        <w:t>详细清单</w:t>
      </w:r>
    </w:p>
    <w:p w14:paraId="4AA0CBE4">
      <w:pPr>
        <w:spacing w:line="240" w:lineRule="auto"/>
        <w:ind w:firstLine="0" w:firstLineChars="0"/>
        <w:rPr>
          <w:rFonts w:ascii="微软雅黑" w:hAnsi="微软雅黑"/>
          <w:color w:val="auto"/>
          <w:szCs w:val="21"/>
          <w:highlight w:val="none"/>
        </w:rPr>
      </w:pPr>
      <w:r>
        <w:rPr>
          <w:rFonts w:ascii="微软雅黑" w:hAnsi="微软雅黑"/>
          <w:color w:val="auto"/>
          <w:szCs w:val="21"/>
          <w:highlight w:val="none"/>
        </w:rPr>
        <w:t>填表说明：详细列明所投项目设备清单，完整配置方案及技术指标，必须明确所投品牌、规格型号。任何含糊不清的表述对评标结果的影响将是供应商的责任，可附具体的介绍图文资料。▲以下内容不得含有报价。</w:t>
      </w:r>
    </w:p>
    <w:tbl>
      <w:tblPr>
        <w:tblStyle w:val="52"/>
        <w:tblW w:w="914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9"/>
        <w:gridCol w:w="1277"/>
        <w:gridCol w:w="708"/>
        <w:gridCol w:w="851"/>
        <w:gridCol w:w="1276"/>
        <w:gridCol w:w="1376"/>
        <w:gridCol w:w="2810"/>
      </w:tblGrid>
      <w:tr w14:paraId="3609D6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jc w:val="center"/>
        </w:trPr>
        <w:tc>
          <w:tcPr>
            <w:tcW w:w="849" w:type="dxa"/>
            <w:vAlign w:val="center"/>
          </w:tcPr>
          <w:p w14:paraId="15BAC252">
            <w:pPr>
              <w:spacing w:line="240" w:lineRule="auto"/>
              <w:ind w:firstLine="0" w:firstLineChars="0"/>
              <w:jc w:val="center"/>
              <w:rPr>
                <w:rFonts w:ascii="微软雅黑" w:hAnsi="微软雅黑"/>
                <w:color w:val="auto"/>
                <w:szCs w:val="21"/>
                <w:highlight w:val="none"/>
              </w:rPr>
            </w:pPr>
            <w:r>
              <w:rPr>
                <w:rFonts w:ascii="微软雅黑" w:hAnsi="微软雅黑"/>
                <w:color w:val="auto"/>
                <w:szCs w:val="21"/>
                <w:highlight w:val="none"/>
              </w:rPr>
              <w:t>序号</w:t>
            </w:r>
          </w:p>
        </w:tc>
        <w:tc>
          <w:tcPr>
            <w:tcW w:w="1277" w:type="dxa"/>
            <w:vAlign w:val="center"/>
          </w:tcPr>
          <w:p w14:paraId="38BD8B1F">
            <w:pPr>
              <w:spacing w:line="240" w:lineRule="auto"/>
              <w:ind w:firstLine="0" w:firstLineChars="0"/>
              <w:jc w:val="center"/>
              <w:rPr>
                <w:rFonts w:ascii="微软雅黑" w:hAnsi="微软雅黑"/>
                <w:color w:val="auto"/>
                <w:szCs w:val="21"/>
                <w:highlight w:val="none"/>
              </w:rPr>
            </w:pPr>
            <w:r>
              <w:rPr>
                <w:rFonts w:ascii="微软雅黑" w:hAnsi="微软雅黑"/>
                <w:color w:val="auto"/>
                <w:szCs w:val="21"/>
                <w:highlight w:val="none"/>
              </w:rPr>
              <w:t>设备名称</w:t>
            </w:r>
          </w:p>
        </w:tc>
        <w:tc>
          <w:tcPr>
            <w:tcW w:w="708" w:type="dxa"/>
            <w:vAlign w:val="center"/>
          </w:tcPr>
          <w:p w14:paraId="5A8EFB1A">
            <w:pPr>
              <w:spacing w:line="240" w:lineRule="auto"/>
              <w:ind w:firstLine="0" w:firstLineChars="0"/>
              <w:jc w:val="center"/>
              <w:rPr>
                <w:rFonts w:ascii="微软雅黑" w:hAnsi="微软雅黑"/>
                <w:color w:val="auto"/>
                <w:szCs w:val="21"/>
                <w:highlight w:val="none"/>
              </w:rPr>
            </w:pPr>
            <w:r>
              <w:rPr>
                <w:rFonts w:ascii="微软雅黑" w:hAnsi="微软雅黑"/>
                <w:color w:val="auto"/>
                <w:szCs w:val="21"/>
                <w:highlight w:val="none"/>
              </w:rPr>
              <w:t>数量</w:t>
            </w:r>
          </w:p>
        </w:tc>
        <w:tc>
          <w:tcPr>
            <w:tcW w:w="851" w:type="dxa"/>
            <w:vAlign w:val="center"/>
          </w:tcPr>
          <w:p w14:paraId="3A44024A">
            <w:pPr>
              <w:spacing w:line="240" w:lineRule="auto"/>
              <w:ind w:firstLine="0" w:firstLineChars="0"/>
              <w:jc w:val="center"/>
              <w:rPr>
                <w:rFonts w:ascii="微软雅黑" w:hAnsi="微软雅黑"/>
                <w:color w:val="auto"/>
                <w:szCs w:val="21"/>
                <w:highlight w:val="none"/>
              </w:rPr>
            </w:pPr>
            <w:r>
              <w:rPr>
                <w:rFonts w:ascii="微软雅黑" w:hAnsi="微软雅黑"/>
                <w:color w:val="auto"/>
                <w:szCs w:val="21"/>
                <w:highlight w:val="none"/>
              </w:rPr>
              <w:t>品牌</w:t>
            </w:r>
          </w:p>
        </w:tc>
        <w:tc>
          <w:tcPr>
            <w:tcW w:w="1276" w:type="dxa"/>
            <w:vAlign w:val="center"/>
          </w:tcPr>
          <w:p w14:paraId="5E18B5A9">
            <w:pPr>
              <w:spacing w:line="240" w:lineRule="auto"/>
              <w:ind w:firstLine="0" w:firstLineChars="0"/>
              <w:jc w:val="center"/>
              <w:rPr>
                <w:rFonts w:ascii="微软雅黑" w:hAnsi="微软雅黑"/>
                <w:color w:val="auto"/>
                <w:szCs w:val="21"/>
                <w:highlight w:val="none"/>
              </w:rPr>
            </w:pPr>
            <w:r>
              <w:rPr>
                <w:rFonts w:ascii="微软雅黑" w:hAnsi="微软雅黑"/>
                <w:color w:val="auto"/>
                <w:szCs w:val="21"/>
                <w:highlight w:val="none"/>
              </w:rPr>
              <w:t>规格型号</w:t>
            </w:r>
          </w:p>
        </w:tc>
        <w:tc>
          <w:tcPr>
            <w:tcW w:w="1376" w:type="dxa"/>
            <w:vAlign w:val="center"/>
          </w:tcPr>
          <w:p w14:paraId="74FDF9FF">
            <w:pPr>
              <w:spacing w:line="240" w:lineRule="auto"/>
              <w:ind w:firstLine="0" w:firstLineChars="0"/>
              <w:jc w:val="center"/>
              <w:rPr>
                <w:rFonts w:ascii="微软雅黑" w:hAnsi="微软雅黑"/>
                <w:color w:val="auto"/>
                <w:szCs w:val="21"/>
                <w:highlight w:val="none"/>
              </w:rPr>
            </w:pPr>
            <w:r>
              <w:rPr>
                <w:rFonts w:ascii="微软雅黑" w:hAnsi="微软雅黑"/>
                <w:color w:val="auto"/>
                <w:szCs w:val="21"/>
                <w:highlight w:val="none"/>
              </w:rPr>
              <w:t>制造商</w:t>
            </w:r>
          </w:p>
        </w:tc>
        <w:tc>
          <w:tcPr>
            <w:tcW w:w="2810" w:type="dxa"/>
          </w:tcPr>
          <w:p w14:paraId="4E6C912A">
            <w:pPr>
              <w:spacing w:line="240" w:lineRule="auto"/>
              <w:ind w:firstLine="0" w:firstLineChars="0"/>
              <w:jc w:val="center"/>
              <w:rPr>
                <w:rFonts w:ascii="微软雅黑" w:hAnsi="微软雅黑"/>
                <w:color w:val="auto"/>
                <w:szCs w:val="21"/>
                <w:highlight w:val="none"/>
              </w:rPr>
            </w:pPr>
            <w:r>
              <w:rPr>
                <w:rFonts w:ascii="微软雅黑" w:hAnsi="微软雅黑"/>
                <w:color w:val="auto"/>
                <w:szCs w:val="21"/>
                <w:highlight w:val="none"/>
              </w:rPr>
              <w:t>制造商是否属于小型企业、微型企业</w:t>
            </w:r>
          </w:p>
        </w:tc>
      </w:tr>
      <w:tr w14:paraId="5FD9E9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jc w:val="center"/>
        </w:trPr>
        <w:tc>
          <w:tcPr>
            <w:tcW w:w="849" w:type="dxa"/>
            <w:vAlign w:val="center"/>
          </w:tcPr>
          <w:p w14:paraId="3285D27A">
            <w:pPr>
              <w:spacing w:line="240" w:lineRule="auto"/>
              <w:ind w:firstLine="0" w:firstLineChars="0"/>
              <w:jc w:val="center"/>
              <w:rPr>
                <w:rFonts w:ascii="微软雅黑" w:hAnsi="微软雅黑"/>
                <w:color w:val="auto"/>
                <w:szCs w:val="21"/>
                <w:highlight w:val="none"/>
              </w:rPr>
            </w:pPr>
            <w:r>
              <w:rPr>
                <w:rFonts w:ascii="微软雅黑" w:hAnsi="微软雅黑"/>
                <w:color w:val="auto"/>
                <w:szCs w:val="21"/>
                <w:highlight w:val="none"/>
              </w:rPr>
              <w:t>1</w:t>
            </w:r>
          </w:p>
        </w:tc>
        <w:tc>
          <w:tcPr>
            <w:tcW w:w="1277" w:type="dxa"/>
            <w:vAlign w:val="center"/>
          </w:tcPr>
          <w:p w14:paraId="52E87081">
            <w:pPr>
              <w:spacing w:line="240" w:lineRule="auto"/>
              <w:ind w:firstLine="0" w:firstLineChars="0"/>
              <w:jc w:val="center"/>
              <w:rPr>
                <w:rFonts w:ascii="微软雅黑" w:hAnsi="微软雅黑"/>
                <w:color w:val="auto"/>
                <w:szCs w:val="21"/>
                <w:highlight w:val="none"/>
              </w:rPr>
            </w:pPr>
          </w:p>
        </w:tc>
        <w:tc>
          <w:tcPr>
            <w:tcW w:w="708" w:type="dxa"/>
            <w:vAlign w:val="center"/>
          </w:tcPr>
          <w:p w14:paraId="3A30EB11">
            <w:pPr>
              <w:spacing w:line="240" w:lineRule="auto"/>
              <w:ind w:firstLine="0" w:firstLineChars="0"/>
              <w:jc w:val="center"/>
              <w:rPr>
                <w:rFonts w:ascii="微软雅黑" w:hAnsi="微软雅黑"/>
                <w:color w:val="auto"/>
                <w:szCs w:val="21"/>
                <w:highlight w:val="none"/>
              </w:rPr>
            </w:pPr>
          </w:p>
        </w:tc>
        <w:tc>
          <w:tcPr>
            <w:tcW w:w="851" w:type="dxa"/>
            <w:vAlign w:val="center"/>
          </w:tcPr>
          <w:p w14:paraId="01B6BBBA">
            <w:pPr>
              <w:spacing w:line="240" w:lineRule="auto"/>
              <w:ind w:firstLine="0" w:firstLineChars="0"/>
              <w:jc w:val="center"/>
              <w:rPr>
                <w:rFonts w:ascii="微软雅黑" w:hAnsi="微软雅黑"/>
                <w:color w:val="auto"/>
                <w:szCs w:val="21"/>
                <w:highlight w:val="none"/>
              </w:rPr>
            </w:pPr>
          </w:p>
        </w:tc>
        <w:tc>
          <w:tcPr>
            <w:tcW w:w="1276" w:type="dxa"/>
            <w:vAlign w:val="center"/>
          </w:tcPr>
          <w:p w14:paraId="5A4C8C29">
            <w:pPr>
              <w:spacing w:line="240" w:lineRule="auto"/>
              <w:ind w:firstLine="0" w:firstLineChars="0"/>
              <w:jc w:val="center"/>
              <w:rPr>
                <w:rFonts w:ascii="微软雅黑" w:hAnsi="微软雅黑"/>
                <w:color w:val="auto"/>
                <w:szCs w:val="21"/>
                <w:highlight w:val="none"/>
              </w:rPr>
            </w:pPr>
          </w:p>
        </w:tc>
        <w:tc>
          <w:tcPr>
            <w:tcW w:w="1376" w:type="dxa"/>
            <w:vAlign w:val="center"/>
          </w:tcPr>
          <w:p w14:paraId="45A9E693">
            <w:pPr>
              <w:spacing w:line="240" w:lineRule="auto"/>
              <w:ind w:firstLine="0" w:firstLineChars="0"/>
              <w:jc w:val="center"/>
              <w:rPr>
                <w:rFonts w:ascii="微软雅黑" w:hAnsi="微软雅黑"/>
                <w:color w:val="auto"/>
                <w:szCs w:val="21"/>
                <w:highlight w:val="none"/>
              </w:rPr>
            </w:pPr>
          </w:p>
        </w:tc>
        <w:tc>
          <w:tcPr>
            <w:tcW w:w="2810" w:type="dxa"/>
          </w:tcPr>
          <w:p w14:paraId="21FF728A">
            <w:pPr>
              <w:spacing w:line="240" w:lineRule="auto"/>
              <w:ind w:firstLine="0" w:firstLineChars="0"/>
              <w:jc w:val="center"/>
              <w:rPr>
                <w:rFonts w:ascii="微软雅黑" w:hAnsi="微软雅黑"/>
                <w:color w:val="auto"/>
                <w:szCs w:val="21"/>
                <w:highlight w:val="none"/>
              </w:rPr>
            </w:pPr>
          </w:p>
        </w:tc>
      </w:tr>
      <w:tr w14:paraId="1FD59A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jc w:val="center"/>
        </w:trPr>
        <w:tc>
          <w:tcPr>
            <w:tcW w:w="849" w:type="dxa"/>
            <w:vAlign w:val="center"/>
          </w:tcPr>
          <w:p w14:paraId="45DFDDBE">
            <w:pPr>
              <w:spacing w:line="240" w:lineRule="auto"/>
              <w:ind w:firstLine="0" w:firstLineChars="0"/>
              <w:jc w:val="center"/>
              <w:rPr>
                <w:rFonts w:ascii="微软雅黑" w:hAnsi="微软雅黑"/>
                <w:color w:val="auto"/>
                <w:szCs w:val="21"/>
                <w:highlight w:val="none"/>
              </w:rPr>
            </w:pPr>
            <w:r>
              <w:rPr>
                <w:rFonts w:ascii="微软雅黑" w:hAnsi="微软雅黑"/>
                <w:color w:val="auto"/>
                <w:szCs w:val="21"/>
                <w:highlight w:val="none"/>
              </w:rPr>
              <w:t>2</w:t>
            </w:r>
          </w:p>
        </w:tc>
        <w:tc>
          <w:tcPr>
            <w:tcW w:w="1277" w:type="dxa"/>
            <w:vAlign w:val="center"/>
          </w:tcPr>
          <w:p w14:paraId="384AA0BC">
            <w:pPr>
              <w:spacing w:line="240" w:lineRule="auto"/>
              <w:ind w:firstLine="0" w:firstLineChars="0"/>
              <w:jc w:val="center"/>
              <w:rPr>
                <w:rFonts w:ascii="微软雅黑" w:hAnsi="微软雅黑"/>
                <w:color w:val="auto"/>
                <w:szCs w:val="21"/>
                <w:highlight w:val="none"/>
              </w:rPr>
            </w:pPr>
          </w:p>
        </w:tc>
        <w:tc>
          <w:tcPr>
            <w:tcW w:w="708" w:type="dxa"/>
            <w:vAlign w:val="center"/>
          </w:tcPr>
          <w:p w14:paraId="2205168E">
            <w:pPr>
              <w:spacing w:line="240" w:lineRule="auto"/>
              <w:ind w:firstLine="0" w:firstLineChars="0"/>
              <w:jc w:val="center"/>
              <w:rPr>
                <w:rFonts w:ascii="微软雅黑" w:hAnsi="微软雅黑"/>
                <w:color w:val="auto"/>
                <w:szCs w:val="21"/>
                <w:highlight w:val="none"/>
              </w:rPr>
            </w:pPr>
          </w:p>
        </w:tc>
        <w:tc>
          <w:tcPr>
            <w:tcW w:w="851" w:type="dxa"/>
            <w:vAlign w:val="center"/>
          </w:tcPr>
          <w:p w14:paraId="383EF94A">
            <w:pPr>
              <w:spacing w:line="240" w:lineRule="auto"/>
              <w:ind w:firstLine="0" w:firstLineChars="0"/>
              <w:jc w:val="center"/>
              <w:rPr>
                <w:rFonts w:ascii="微软雅黑" w:hAnsi="微软雅黑"/>
                <w:color w:val="auto"/>
                <w:szCs w:val="21"/>
                <w:highlight w:val="none"/>
              </w:rPr>
            </w:pPr>
          </w:p>
        </w:tc>
        <w:tc>
          <w:tcPr>
            <w:tcW w:w="1276" w:type="dxa"/>
            <w:vAlign w:val="center"/>
          </w:tcPr>
          <w:p w14:paraId="62EE4C18">
            <w:pPr>
              <w:spacing w:line="240" w:lineRule="auto"/>
              <w:ind w:firstLine="0" w:firstLineChars="0"/>
              <w:jc w:val="center"/>
              <w:rPr>
                <w:rFonts w:ascii="微软雅黑" w:hAnsi="微软雅黑"/>
                <w:color w:val="auto"/>
                <w:szCs w:val="21"/>
                <w:highlight w:val="none"/>
              </w:rPr>
            </w:pPr>
          </w:p>
        </w:tc>
        <w:tc>
          <w:tcPr>
            <w:tcW w:w="1376" w:type="dxa"/>
            <w:vAlign w:val="center"/>
          </w:tcPr>
          <w:p w14:paraId="6AEA281B">
            <w:pPr>
              <w:spacing w:line="240" w:lineRule="auto"/>
              <w:ind w:firstLine="0" w:firstLineChars="0"/>
              <w:jc w:val="center"/>
              <w:rPr>
                <w:rFonts w:ascii="微软雅黑" w:hAnsi="微软雅黑"/>
                <w:color w:val="auto"/>
                <w:szCs w:val="21"/>
                <w:highlight w:val="none"/>
              </w:rPr>
            </w:pPr>
          </w:p>
        </w:tc>
        <w:tc>
          <w:tcPr>
            <w:tcW w:w="2810" w:type="dxa"/>
          </w:tcPr>
          <w:p w14:paraId="34118986">
            <w:pPr>
              <w:spacing w:line="240" w:lineRule="auto"/>
              <w:ind w:firstLine="0" w:firstLineChars="0"/>
              <w:jc w:val="center"/>
              <w:rPr>
                <w:rFonts w:ascii="微软雅黑" w:hAnsi="微软雅黑"/>
                <w:color w:val="auto"/>
                <w:szCs w:val="21"/>
                <w:highlight w:val="none"/>
              </w:rPr>
            </w:pPr>
          </w:p>
        </w:tc>
      </w:tr>
      <w:tr w14:paraId="101F75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jc w:val="center"/>
        </w:trPr>
        <w:tc>
          <w:tcPr>
            <w:tcW w:w="849" w:type="dxa"/>
            <w:vAlign w:val="center"/>
          </w:tcPr>
          <w:p w14:paraId="60A5F168">
            <w:pPr>
              <w:spacing w:line="240" w:lineRule="auto"/>
              <w:ind w:firstLine="0" w:firstLineChars="0"/>
              <w:jc w:val="center"/>
              <w:rPr>
                <w:rFonts w:ascii="微软雅黑" w:hAnsi="微软雅黑"/>
                <w:color w:val="auto"/>
                <w:szCs w:val="21"/>
                <w:highlight w:val="none"/>
              </w:rPr>
            </w:pPr>
            <w:r>
              <w:rPr>
                <w:rFonts w:ascii="微软雅黑" w:hAnsi="微软雅黑"/>
                <w:color w:val="auto"/>
                <w:szCs w:val="21"/>
                <w:highlight w:val="none"/>
              </w:rPr>
              <w:t>3</w:t>
            </w:r>
          </w:p>
        </w:tc>
        <w:tc>
          <w:tcPr>
            <w:tcW w:w="1277" w:type="dxa"/>
            <w:vAlign w:val="center"/>
          </w:tcPr>
          <w:p w14:paraId="592B0529">
            <w:pPr>
              <w:spacing w:line="240" w:lineRule="auto"/>
              <w:ind w:firstLine="0" w:firstLineChars="0"/>
              <w:jc w:val="center"/>
              <w:rPr>
                <w:rFonts w:ascii="微软雅黑" w:hAnsi="微软雅黑"/>
                <w:color w:val="auto"/>
                <w:szCs w:val="21"/>
                <w:highlight w:val="none"/>
              </w:rPr>
            </w:pPr>
          </w:p>
        </w:tc>
        <w:tc>
          <w:tcPr>
            <w:tcW w:w="708" w:type="dxa"/>
            <w:vAlign w:val="center"/>
          </w:tcPr>
          <w:p w14:paraId="6271E2B0">
            <w:pPr>
              <w:spacing w:line="240" w:lineRule="auto"/>
              <w:ind w:firstLine="0" w:firstLineChars="0"/>
              <w:jc w:val="center"/>
              <w:rPr>
                <w:rFonts w:ascii="微软雅黑" w:hAnsi="微软雅黑"/>
                <w:color w:val="auto"/>
                <w:szCs w:val="21"/>
                <w:highlight w:val="none"/>
              </w:rPr>
            </w:pPr>
          </w:p>
        </w:tc>
        <w:tc>
          <w:tcPr>
            <w:tcW w:w="851" w:type="dxa"/>
            <w:vAlign w:val="center"/>
          </w:tcPr>
          <w:p w14:paraId="46127040">
            <w:pPr>
              <w:spacing w:line="240" w:lineRule="auto"/>
              <w:ind w:firstLine="0" w:firstLineChars="0"/>
              <w:jc w:val="center"/>
              <w:rPr>
                <w:rFonts w:ascii="微软雅黑" w:hAnsi="微软雅黑"/>
                <w:color w:val="auto"/>
                <w:szCs w:val="21"/>
                <w:highlight w:val="none"/>
              </w:rPr>
            </w:pPr>
          </w:p>
        </w:tc>
        <w:tc>
          <w:tcPr>
            <w:tcW w:w="1276" w:type="dxa"/>
            <w:vAlign w:val="center"/>
          </w:tcPr>
          <w:p w14:paraId="4C6919D2">
            <w:pPr>
              <w:spacing w:line="240" w:lineRule="auto"/>
              <w:ind w:firstLine="0" w:firstLineChars="0"/>
              <w:jc w:val="center"/>
              <w:rPr>
                <w:rFonts w:ascii="微软雅黑" w:hAnsi="微软雅黑"/>
                <w:color w:val="auto"/>
                <w:szCs w:val="21"/>
                <w:highlight w:val="none"/>
              </w:rPr>
            </w:pPr>
          </w:p>
        </w:tc>
        <w:tc>
          <w:tcPr>
            <w:tcW w:w="1376" w:type="dxa"/>
            <w:vAlign w:val="center"/>
          </w:tcPr>
          <w:p w14:paraId="77106D92">
            <w:pPr>
              <w:spacing w:line="240" w:lineRule="auto"/>
              <w:ind w:firstLine="0" w:firstLineChars="0"/>
              <w:jc w:val="center"/>
              <w:rPr>
                <w:rFonts w:ascii="微软雅黑" w:hAnsi="微软雅黑"/>
                <w:color w:val="auto"/>
                <w:szCs w:val="21"/>
                <w:highlight w:val="none"/>
              </w:rPr>
            </w:pPr>
          </w:p>
        </w:tc>
        <w:tc>
          <w:tcPr>
            <w:tcW w:w="2810" w:type="dxa"/>
          </w:tcPr>
          <w:p w14:paraId="4C48638A">
            <w:pPr>
              <w:spacing w:line="240" w:lineRule="auto"/>
              <w:ind w:firstLine="0" w:firstLineChars="0"/>
              <w:jc w:val="center"/>
              <w:rPr>
                <w:rFonts w:ascii="微软雅黑" w:hAnsi="微软雅黑"/>
                <w:color w:val="auto"/>
                <w:szCs w:val="21"/>
                <w:highlight w:val="none"/>
              </w:rPr>
            </w:pPr>
          </w:p>
        </w:tc>
      </w:tr>
      <w:tr w14:paraId="456621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jc w:val="center"/>
        </w:trPr>
        <w:tc>
          <w:tcPr>
            <w:tcW w:w="849" w:type="dxa"/>
            <w:vAlign w:val="center"/>
          </w:tcPr>
          <w:p w14:paraId="21E6F8AF">
            <w:pPr>
              <w:spacing w:line="240" w:lineRule="auto"/>
              <w:ind w:firstLine="0" w:firstLineChars="0"/>
              <w:jc w:val="center"/>
              <w:rPr>
                <w:rFonts w:ascii="微软雅黑" w:hAnsi="微软雅黑"/>
                <w:color w:val="auto"/>
                <w:szCs w:val="21"/>
                <w:highlight w:val="none"/>
              </w:rPr>
            </w:pPr>
            <w:r>
              <w:rPr>
                <w:rFonts w:ascii="微软雅黑" w:hAnsi="微软雅黑"/>
                <w:color w:val="auto"/>
                <w:szCs w:val="21"/>
                <w:highlight w:val="none"/>
              </w:rPr>
              <w:t>4</w:t>
            </w:r>
          </w:p>
        </w:tc>
        <w:tc>
          <w:tcPr>
            <w:tcW w:w="1277" w:type="dxa"/>
            <w:vAlign w:val="center"/>
          </w:tcPr>
          <w:p w14:paraId="34DF2160">
            <w:pPr>
              <w:spacing w:line="240" w:lineRule="auto"/>
              <w:ind w:firstLine="0" w:firstLineChars="0"/>
              <w:jc w:val="center"/>
              <w:rPr>
                <w:rFonts w:ascii="微软雅黑" w:hAnsi="微软雅黑"/>
                <w:color w:val="auto"/>
                <w:szCs w:val="21"/>
                <w:highlight w:val="none"/>
              </w:rPr>
            </w:pPr>
          </w:p>
        </w:tc>
        <w:tc>
          <w:tcPr>
            <w:tcW w:w="708" w:type="dxa"/>
            <w:vAlign w:val="center"/>
          </w:tcPr>
          <w:p w14:paraId="6F102482">
            <w:pPr>
              <w:spacing w:line="240" w:lineRule="auto"/>
              <w:ind w:firstLine="0" w:firstLineChars="0"/>
              <w:jc w:val="center"/>
              <w:rPr>
                <w:rFonts w:ascii="微软雅黑" w:hAnsi="微软雅黑"/>
                <w:color w:val="auto"/>
                <w:szCs w:val="21"/>
                <w:highlight w:val="none"/>
              </w:rPr>
            </w:pPr>
          </w:p>
        </w:tc>
        <w:tc>
          <w:tcPr>
            <w:tcW w:w="851" w:type="dxa"/>
            <w:vAlign w:val="center"/>
          </w:tcPr>
          <w:p w14:paraId="595577C0">
            <w:pPr>
              <w:spacing w:line="240" w:lineRule="auto"/>
              <w:ind w:firstLine="0" w:firstLineChars="0"/>
              <w:jc w:val="center"/>
              <w:rPr>
                <w:rFonts w:ascii="微软雅黑" w:hAnsi="微软雅黑"/>
                <w:color w:val="auto"/>
                <w:szCs w:val="21"/>
                <w:highlight w:val="none"/>
              </w:rPr>
            </w:pPr>
          </w:p>
        </w:tc>
        <w:tc>
          <w:tcPr>
            <w:tcW w:w="1276" w:type="dxa"/>
            <w:vAlign w:val="center"/>
          </w:tcPr>
          <w:p w14:paraId="3EDFE993">
            <w:pPr>
              <w:spacing w:line="240" w:lineRule="auto"/>
              <w:ind w:firstLine="0" w:firstLineChars="0"/>
              <w:jc w:val="center"/>
              <w:rPr>
                <w:rFonts w:ascii="微软雅黑" w:hAnsi="微软雅黑"/>
                <w:color w:val="auto"/>
                <w:szCs w:val="21"/>
                <w:highlight w:val="none"/>
              </w:rPr>
            </w:pPr>
          </w:p>
        </w:tc>
        <w:tc>
          <w:tcPr>
            <w:tcW w:w="1376" w:type="dxa"/>
            <w:vAlign w:val="center"/>
          </w:tcPr>
          <w:p w14:paraId="2F108AAA">
            <w:pPr>
              <w:spacing w:line="240" w:lineRule="auto"/>
              <w:ind w:firstLine="0" w:firstLineChars="0"/>
              <w:jc w:val="center"/>
              <w:rPr>
                <w:rFonts w:ascii="微软雅黑" w:hAnsi="微软雅黑"/>
                <w:color w:val="auto"/>
                <w:szCs w:val="21"/>
                <w:highlight w:val="none"/>
              </w:rPr>
            </w:pPr>
          </w:p>
        </w:tc>
        <w:tc>
          <w:tcPr>
            <w:tcW w:w="2810" w:type="dxa"/>
          </w:tcPr>
          <w:p w14:paraId="28A46291">
            <w:pPr>
              <w:spacing w:line="240" w:lineRule="auto"/>
              <w:ind w:firstLine="0" w:firstLineChars="0"/>
              <w:jc w:val="center"/>
              <w:rPr>
                <w:rFonts w:ascii="微软雅黑" w:hAnsi="微软雅黑"/>
                <w:color w:val="auto"/>
                <w:szCs w:val="21"/>
                <w:highlight w:val="none"/>
              </w:rPr>
            </w:pPr>
          </w:p>
        </w:tc>
      </w:tr>
      <w:tr w14:paraId="00EA14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jc w:val="center"/>
        </w:trPr>
        <w:tc>
          <w:tcPr>
            <w:tcW w:w="849" w:type="dxa"/>
            <w:vAlign w:val="center"/>
          </w:tcPr>
          <w:p w14:paraId="7A10C6C5">
            <w:pPr>
              <w:spacing w:line="240" w:lineRule="auto"/>
              <w:ind w:firstLine="0" w:firstLineChars="0"/>
              <w:jc w:val="center"/>
              <w:rPr>
                <w:rFonts w:ascii="微软雅黑" w:hAnsi="微软雅黑"/>
                <w:color w:val="auto"/>
                <w:szCs w:val="21"/>
                <w:highlight w:val="none"/>
              </w:rPr>
            </w:pPr>
            <w:r>
              <w:rPr>
                <w:rFonts w:ascii="微软雅黑" w:hAnsi="微软雅黑"/>
                <w:color w:val="auto"/>
                <w:szCs w:val="21"/>
                <w:highlight w:val="none"/>
              </w:rPr>
              <w:t>…</w:t>
            </w:r>
          </w:p>
        </w:tc>
        <w:tc>
          <w:tcPr>
            <w:tcW w:w="1277" w:type="dxa"/>
            <w:vAlign w:val="center"/>
          </w:tcPr>
          <w:p w14:paraId="70A67C15">
            <w:pPr>
              <w:spacing w:line="240" w:lineRule="auto"/>
              <w:ind w:firstLine="0" w:firstLineChars="0"/>
              <w:jc w:val="center"/>
              <w:rPr>
                <w:rFonts w:ascii="微软雅黑" w:hAnsi="微软雅黑"/>
                <w:color w:val="auto"/>
                <w:szCs w:val="21"/>
                <w:highlight w:val="none"/>
              </w:rPr>
            </w:pPr>
          </w:p>
        </w:tc>
        <w:tc>
          <w:tcPr>
            <w:tcW w:w="708" w:type="dxa"/>
            <w:vAlign w:val="center"/>
          </w:tcPr>
          <w:p w14:paraId="3DF33009">
            <w:pPr>
              <w:spacing w:line="240" w:lineRule="auto"/>
              <w:ind w:firstLine="0" w:firstLineChars="0"/>
              <w:jc w:val="center"/>
              <w:rPr>
                <w:rFonts w:ascii="微软雅黑" w:hAnsi="微软雅黑"/>
                <w:color w:val="auto"/>
                <w:szCs w:val="21"/>
                <w:highlight w:val="none"/>
              </w:rPr>
            </w:pPr>
          </w:p>
        </w:tc>
        <w:tc>
          <w:tcPr>
            <w:tcW w:w="851" w:type="dxa"/>
            <w:vAlign w:val="center"/>
          </w:tcPr>
          <w:p w14:paraId="35868D3B">
            <w:pPr>
              <w:spacing w:line="240" w:lineRule="auto"/>
              <w:ind w:firstLine="0" w:firstLineChars="0"/>
              <w:jc w:val="center"/>
              <w:rPr>
                <w:rFonts w:ascii="微软雅黑" w:hAnsi="微软雅黑"/>
                <w:color w:val="auto"/>
                <w:szCs w:val="21"/>
                <w:highlight w:val="none"/>
              </w:rPr>
            </w:pPr>
          </w:p>
        </w:tc>
        <w:tc>
          <w:tcPr>
            <w:tcW w:w="1276" w:type="dxa"/>
            <w:vAlign w:val="center"/>
          </w:tcPr>
          <w:p w14:paraId="05E4E09C">
            <w:pPr>
              <w:spacing w:line="240" w:lineRule="auto"/>
              <w:ind w:firstLine="0" w:firstLineChars="0"/>
              <w:jc w:val="center"/>
              <w:rPr>
                <w:rFonts w:ascii="微软雅黑" w:hAnsi="微软雅黑"/>
                <w:color w:val="auto"/>
                <w:szCs w:val="21"/>
                <w:highlight w:val="none"/>
              </w:rPr>
            </w:pPr>
          </w:p>
        </w:tc>
        <w:tc>
          <w:tcPr>
            <w:tcW w:w="1376" w:type="dxa"/>
            <w:vAlign w:val="center"/>
          </w:tcPr>
          <w:p w14:paraId="388981C9">
            <w:pPr>
              <w:spacing w:line="240" w:lineRule="auto"/>
              <w:ind w:firstLine="0" w:firstLineChars="0"/>
              <w:jc w:val="center"/>
              <w:rPr>
                <w:rFonts w:ascii="微软雅黑" w:hAnsi="微软雅黑"/>
                <w:color w:val="auto"/>
                <w:szCs w:val="21"/>
                <w:highlight w:val="none"/>
              </w:rPr>
            </w:pPr>
            <w:r>
              <w:rPr>
                <w:rFonts w:ascii="微软雅黑" w:hAnsi="微软雅黑"/>
                <w:color w:val="auto"/>
                <w:szCs w:val="21"/>
                <w:highlight w:val="none"/>
              </w:rPr>
              <w:t>…</w:t>
            </w:r>
          </w:p>
        </w:tc>
        <w:tc>
          <w:tcPr>
            <w:tcW w:w="2810" w:type="dxa"/>
          </w:tcPr>
          <w:p w14:paraId="0E44CFF1">
            <w:pPr>
              <w:spacing w:line="240" w:lineRule="auto"/>
              <w:ind w:firstLine="0" w:firstLineChars="0"/>
              <w:jc w:val="center"/>
              <w:rPr>
                <w:rFonts w:ascii="微软雅黑" w:hAnsi="微软雅黑"/>
                <w:color w:val="auto"/>
                <w:szCs w:val="21"/>
                <w:highlight w:val="none"/>
              </w:rPr>
            </w:pPr>
          </w:p>
        </w:tc>
      </w:tr>
    </w:tbl>
    <w:p w14:paraId="2F2D353F">
      <w:pPr>
        <w:spacing w:line="240" w:lineRule="auto"/>
        <w:ind w:firstLine="0" w:firstLineChars="0"/>
        <w:rPr>
          <w:rFonts w:ascii="微软雅黑" w:hAnsi="微软雅黑"/>
          <w:color w:val="auto"/>
          <w:szCs w:val="21"/>
          <w:highlight w:val="none"/>
        </w:rPr>
      </w:pPr>
      <w:r>
        <w:rPr>
          <w:rFonts w:ascii="微软雅黑" w:hAnsi="微软雅黑"/>
          <w:color w:val="auto"/>
          <w:szCs w:val="21"/>
          <w:highlight w:val="none"/>
        </w:rPr>
        <w:t>注：1.请对照采购清单序列编制上表，表格行数不够可自行添加。</w:t>
      </w:r>
    </w:p>
    <w:p w14:paraId="68ACB27E">
      <w:pPr>
        <w:snapToGrid w:val="0"/>
        <w:spacing w:line="240" w:lineRule="auto"/>
        <w:ind w:firstLine="0" w:firstLineChars="0"/>
        <w:jc w:val="center"/>
        <w:rPr>
          <w:rFonts w:ascii="微软雅黑" w:hAnsi="微软雅黑"/>
          <w:color w:val="auto"/>
          <w:szCs w:val="21"/>
          <w:highlight w:val="none"/>
        </w:rPr>
      </w:pPr>
    </w:p>
    <w:p w14:paraId="1BCFD006">
      <w:pPr>
        <w:snapToGrid w:val="0"/>
        <w:spacing w:line="240" w:lineRule="auto"/>
        <w:ind w:firstLine="0" w:firstLineChars="0"/>
        <w:jc w:val="center"/>
        <w:rPr>
          <w:rFonts w:ascii="微软雅黑" w:hAnsi="微软雅黑"/>
          <w:color w:val="auto"/>
          <w:szCs w:val="21"/>
          <w:highlight w:val="none"/>
        </w:rPr>
      </w:pPr>
    </w:p>
    <w:p w14:paraId="367000A9">
      <w:pPr>
        <w:snapToGrid w:val="0"/>
        <w:spacing w:line="240" w:lineRule="auto"/>
        <w:ind w:firstLine="0" w:firstLineChars="0"/>
        <w:jc w:val="center"/>
        <w:rPr>
          <w:rFonts w:ascii="微软雅黑" w:hAnsi="微软雅黑"/>
          <w:color w:val="auto"/>
          <w:szCs w:val="21"/>
          <w:highlight w:val="none"/>
          <w:u w:val="single"/>
        </w:rPr>
      </w:pPr>
      <w:r>
        <w:rPr>
          <w:rFonts w:ascii="微软雅黑" w:hAnsi="微软雅黑"/>
          <w:color w:val="auto"/>
          <w:szCs w:val="21"/>
          <w:highlight w:val="none"/>
        </w:rPr>
        <w:t xml:space="preserve"> </w:t>
      </w:r>
      <w:r>
        <w:rPr>
          <w:rFonts w:hint="eastAsia" w:ascii="微软雅黑" w:hAnsi="微软雅黑" w:cs="Arial"/>
          <w:color w:val="auto"/>
          <w:kern w:val="0"/>
          <w:szCs w:val="21"/>
          <w:highlight w:val="none"/>
        </w:rPr>
        <w:t xml:space="preserve"> 法定代表人或</w:t>
      </w:r>
      <w:r>
        <w:rPr>
          <w:rFonts w:hint="eastAsia" w:ascii="微软雅黑" w:hAnsi="微软雅黑"/>
          <w:color w:val="auto"/>
          <w:szCs w:val="21"/>
          <w:highlight w:val="none"/>
        </w:rPr>
        <w:t>被授权人签字（或盖章）：</w:t>
      </w:r>
    </w:p>
    <w:p w14:paraId="01D61842">
      <w:pPr>
        <w:pStyle w:val="122"/>
        <w:spacing w:line="240" w:lineRule="auto"/>
        <w:ind w:firstLine="0" w:firstLineChars="0"/>
        <w:jc w:val="center"/>
        <w:rPr>
          <w:rFonts w:ascii="微软雅黑" w:hAnsi="微软雅黑" w:eastAsia="微软雅黑" w:cs="宋体"/>
          <w:color w:val="auto"/>
          <w:sz w:val="21"/>
          <w:szCs w:val="21"/>
          <w:highlight w:val="none"/>
        </w:rPr>
      </w:pPr>
      <w:r>
        <w:rPr>
          <w:rFonts w:hint="eastAsia" w:ascii="微软雅黑" w:hAnsi="微软雅黑" w:eastAsia="微软雅黑" w:cs="宋体"/>
          <w:color w:val="auto"/>
          <w:sz w:val="21"/>
          <w:szCs w:val="21"/>
          <w:highlight w:val="none"/>
        </w:rPr>
        <w:t xml:space="preserve">             供应商名称（公章）：</w:t>
      </w:r>
    </w:p>
    <w:p w14:paraId="0D6D4CAF">
      <w:pPr>
        <w:pStyle w:val="122"/>
        <w:spacing w:line="240" w:lineRule="auto"/>
        <w:ind w:firstLine="0" w:firstLineChars="0"/>
        <w:jc w:val="center"/>
        <w:rPr>
          <w:rFonts w:ascii="微软雅黑" w:hAnsi="微软雅黑" w:eastAsia="微软雅黑"/>
          <w:color w:val="auto"/>
          <w:sz w:val="21"/>
          <w:szCs w:val="21"/>
          <w:highlight w:val="none"/>
        </w:rPr>
      </w:pPr>
      <w:r>
        <w:rPr>
          <w:rFonts w:hint="eastAsia" w:ascii="微软雅黑" w:hAnsi="微软雅黑" w:eastAsia="微软雅黑"/>
          <w:color w:val="auto"/>
          <w:sz w:val="21"/>
          <w:szCs w:val="21"/>
          <w:highlight w:val="none"/>
        </w:rPr>
        <w:t xml:space="preserve">          日期： 年 月 日</w:t>
      </w:r>
    </w:p>
    <w:p w14:paraId="35238B9A">
      <w:pPr>
        <w:ind w:firstLine="5160" w:firstLineChars="2150"/>
        <w:rPr>
          <w:color w:val="auto"/>
          <w:sz w:val="24"/>
          <w:highlight w:val="none"/>
        </w:rPr>
      </w:pPr>
    </w:p>
    <w:p w14:paraId="2FAF5C00">
      <w:pPr>
        <w:ind w:firstLine="5160" w:firstLineChars="2150"/>
        <w:rPr>
          <w:color w:val="auto"/>
          <w:sz w:val="24"/>
          <w:highlight w:val="none"/>
        </w:rPr>
      </w:pPr>
    </w:p>
    <w:p w14:paraId="19752DB7">
      <w:pPr>
        <w:ind w:firstLine="482"/>
        <w:rPr>
          <w:rFonts w:eastAsia="宋体"/>
          <w:b/>
          <w:color w:val="auto"/>
          <w:sz w:val="24"/>
          <w:highlight w:val="none"/>
        </w:rPr>
        <w:sectPr>
          <w:pgSz w:w="11907" w:h="16840"/>
          <w:pgMar w:top="1276" w:right="1418" w:bottom="1247" w:left="1418" w:header="851" w:footer="992" w:gutter="0"/>
          <w:cols w:space="720" w:num="1"/>
          <w:titlePg/>
          <w:docGrid w:linePitch="312" w:charSpace="0"/>
        </w:sectPr>
      </w:pPr>
    </w:p>
    <w:p w14:paraId="766429AD">
      <w:pPr>
        <w:ind w:firstLine="482"/>
        <w:rPr>
          <w:rFonts w:eastAsia="宋体"/>
          <w:b/>
          <w:color w:val="auto"/>
          <w:sz w:val="24"/>
          <w:highlight w:val="none"/>
        </w:rPr>
        <w:sectPr>
          <w:type w:val="continuous"/>
          <w:pgSz w:w="11907" w:h="16840"/>
          <w:pgMar w:top="1276" w:right="1418" w:bottom="1247" w:left="1418" w:header="851" w:footer="992" w:gutter="0"/>
          <w:cols w:space="720" w:num="1"/>
          <w:titlePg/>
          <w:docGrid w:linePitch="312" w:charSpace="0"/>
        </w:sectPr>
      </w:pPr>
    </w:p>
    <w:p w14:paraId="047C362F">
      <w:pPr>
        <w:ind w:firstLine="482"/>
        <w:rPr>
          <w:rFonts w:ascii="微软雅黑" w:hAnsi="微软雅黑" w:cs="仿宋_GB2312"/>
          <w:b/>
          <w:color w:val="auto"/>
          <w:kern w:val="0"/>
          <w:szCs w:val="21"/>
          <w:highlight w:val="none"/>
        </w:rPr>
      </w:pPr>
      <w:r>
        <w:rPr>
          <w:rFonts w:hint="eastAsia" w:eastAsia="宋体"/>
          <w:b/>
          <w:color w:val="auto"/>
          <w:sz w:val="24"/>
          <w:highlight w:val="none"/>
        </w:rPr>
        <w:t>3.</w:t>
      </w:r>
      <w:r>
        <w:rPr>
          <w:rFonts w:hint="eastAsia" w:ascii="微软雅黑" w:hAnsi="微软雅黑"/>
          <w:b/>
          <w:color w:val="auto"/>
          <w:szCs w:val="21"/>
          <w:highlight w:val="none"/>
        </w:rPr>
        <w:t>商务响应表格式：</w:t>
      </w:r>
    </w:p>
    <w:p w14:paraId="2C376B03">
      <w:pPr>
        <w:ind w:firstLine="420"/>
        <w:jc w:val="center"/>
        <w:rPr>
          <w:rFonts w:ascii="微软雅黑" w:hAnsi="微软雅黑" w:cs="仿宋_GB2312"/>
          <w:b/>
          <w:color w:val="auto"/>
          <w:kern w:val="0"/>
          <w:szCs w:val="21"/>
          <w:highlight w:val="none"/>
        </w:rPr>
      </w:pPr>
      <w:r>
        <w:rPr>
          <w:rFonts w:hint="eastAsia" w:ascii="微软雅黑" w:hAnsi="微软雅黑" w:cs="仿宋_GB2312"/>
          <w:b/>
          <w:color w:val="auto"/>
          <w:kern w:val="0"/>
          <w:szCs w:val="21"/>
          <w:highlight w:val="none"/>
        </w:rPr>
        <w:t>商务响应表</w:t>
      </w:r>
    </w:p>
    <w:tbl>
      <w:tblPr>
        <w:tblStyle w:val="52"/>
        <w:tblW w:w="9026" w:type="dxa"/>
        <w:tblInd w:w="275"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910"/>
        <w:gridCol w:w="3086"/>
        <w:gridCol w:w="3710"/>
        <w:gridCol w:w="1320"/>
      </w:tblGrid>
      <w:tr w14:paraId="3E82A07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96" w:hRule="atLeast"/>
        </w:trPr>
        <w:tc>
          <w:tcPr>
            <w:tcW w:w="910" w:type="dxa"/>
          </w:tcPr>
          <w:p w14:paraId="651125EF">
            <w:pPr>
              <w:spacing w:line="240" w:lineRule="auto"/>
              <w:ind w:firstLine="0" w:firstLineChars="0"/>
              <w:jc w:val="center"/>
              <w:rPr>
                <w:rFonts w:ascii="微软雅黑" w:hAnsi="微软雅黑"/>
                <w:color w:val="auto"/>
                <w:szCs w:val="21"/>
                <w:highlight w:val="none"/>
              </w:rPr>
            </w:pPr>
            <w:r>
              <w:rPr>
                <w:rFonts w:hint="eastAsia" w:ascii="微软雅黑" w:hAnsi="微软雅黑"/>
                <w:color w:val="auto"/>
                <w:szCs w:val="21"/>
                <w:highlight w:val="none"/>
              </w:rPr>
              <w:t>序号</w:t>
            </w:r>
          </w:p>
        </w:tc>
        <w:tc>
          <w:tcPr>
            <w:tcW w:w="3086" w:type="dxa"/>
          </w:tcPr>
          <w:p w14:paraId="5DE9257A">
            <w:pPr>
              <w:spacing w:line="240" w:lineRule="auto"/>
              <w:ind w:firstLine="0" w:firstLineChars="0"/>
              <w:jc w:val="center"/>
              <w:rPr>
                <w:rFonts w:ascii="微软雅黑" w:hAnsi="微软雅黑"/>
                <w:color w:val="auto"/>
                <w:szCs w:val="21"/>
                <w:highlight w:val="none"/>
              </w:rPr>
            </w:pPr>
            <w:r>
              <w:rPr>
                <w:rFonts w:hint="eastAsia" w:ascii="微软雅黑" w:hAnsi="微软雅黑"/>
                <w:color w:val="auto"/>
                <w:szCs w:val="21"/>
                <w:highlight w:val="none"/>
              </w:rPr>
              <w:t>招标文件的规定</w:t>
            </w:r>
          </w:p>
        </w:tc>
        <w:tc>
          <w:tcPr>
            <w:tcW w:w="3710" w:type="dxa"/>
          </w:tcPr>
          <w:p w14:paraId="544FA97D">
            <w:pPr>
              <w:spacing w:line="240" w:lineRule="auto"/>
              <w:ind w:firstLine="0" w:firstLineChars="0"/>
              <w:jc w:val="center"/>
              <w:rPr>
                <w:rFonts w:ascii="微软雅黑" w:hAnsi="微软雅黑"/>
                <w:color w:val="auto"/>
                <w:szCs w:val="21"/>
                <w:highlight w:val="none"/>
              </w:rPr>
            </w:pPr>
            <w:r>
              <w:rPr>
                <w:rFonts w:hint="eastAsia" w:ascii="微软雅黑" w:hAnsi="微软雅黑"/>
                <w:color w:val="auto"/>
                <w:szCs w:val="21"/>
                <w:highlight w:val="none"/>
              </w:rPr>
              <w:t>投标文件的响应</w:t>
            </w:r>
          </w:p>
        </w:tc>
        <w:tc>
          <w:tcPr>
            <w:tcW w:w="1320" w:type="dxa"/>
          </w:tcPr>
          <w:p w14:paraId="0F25F708">
            <w:pPr>
              <w:spacing w:line="240" w:lineRule="auto"/>
              <w:ind w:firstLine="0" w:firstLineChars="0"/>
              <w:jc w:val="center"/>
              <w:rPr>
                <w:rFonts w:ascii="微软雅黑" w:hAnsi="微软雅黑"/>
                <w:color w:val="auto"/>
                <w:szCs w:val="21"/>
                <w:highlight w:val="none"/>
              </w:rPr>
            </w:pPr>
            <w:r>
              <w:rPr>
                <w:rFonts w:hint="eastAsia" w:ascii="微软雅黑" w:hAnsi="微软雅黑"/>
                <w:color w:val="auto"/>
                <w:szCs w:val="21"/>
                <w:highlight w:val="none"/>
              </w:rPr>
              <w:t>偏离说明</w:t>
            </w:r>
          </w:p>
        </w:tc>
      </w:tr>
      <w:tr w14:paraId="58A048D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96" w:hRule="atLeast"/>
        </w:trPr>
        <w:tc>
          <w:tcPr>
            <w:tcW w:w="910" w:type="dxa"/>
          </w:tcPr>
          <w:p w14:paraId="34537FD4">
            <w:pPr>
              <w:spacing w:line="240" w:lineRule="auto"/>
              <w:ind w:firstLine="0" w:firstLineChars="0"/>
              <w:rPr>
                <w:rFonts w:ascii="微软雅黑" w:hAnsi="微软雅黑"/>
                <w:color w:val="auto"/>
                <w:szCs w:val="21"/>
                <w:highlight w:val="none"/>
              </w:rPr>
            </w:pPr>
          </w:p>
        </w:tc>
        <w:tc>
          <w:tcPr>
            <w:tcW w:w="3086" w:type="dxa"/>
          </w:tcPr>
          <w:p w14:paraId="025BA623">
            <w:pPr>
              <w:spacing w:line="240" w:lineRule="auto"/>
              <w:ind w:firstLine="0" w:firstLineChars="0"/>
              <w:rPr>
                <w:rFonts w:ascii="微软雅黑" w:hAnsi="微软雅黑"/>
                <w:color w:val="auto"/>
                <w:szCs w:val="21"/>
                <w:highlight w:val="none"/>
              </w:rPr>
            </w:pPr>
          </w:p>
        </w:tc>
        <w:tc>
          <w:tcPr>
            <w:tcW w:w="3710" w:type="dxa"/>
          </w:tcPr>
          <w:p w14:paraId="11013016">
            <w:pPr>
              <w:spacing w:line="240" w:lineRule="auto"/>
              <w:ind w:firstLine="0" w:firstLineChars="0"/>
              <w:rPr>
                <w:rFonts w:ascii="微软雅黑" w:hAnsi="微软雅黑"/>
                <w:color w:val="auto"/>
                <w:szCs w:val="21"/>
                <w:highlight w:val="none"/>
              </w:rPr>
            </w:pPr>
          </w:p>
        </w:tc>
        <w:tc>
          <w:tcPr>
            <w:tcW w:w="1320" w:type="dxa"/>
          </w:tcPr>
          <w:p w14:paraId="759E6547">
            <w:pPr>
              <w:spacing w:line="240" w:lineRule="auto"/>
              <w:ind w:firstLine="0" w:firstLineChars="0"/>
              <w:rPr>
                <w:rFonts w:ascii="微软雅黑" w:hAnsi="微软雅黑"/>
                <w:color w:val="auto"/>
                <w:szCs w:val="21"/>
                <w:highlight w:val="none"/>
              </w:rPr>
            </w:pPr>
          </w:p>
        </w:tc>
      </w:tr>
      <w:tr w14:paraId="6272699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3" w:hRule="atLeast"/>
        </w:trPr>
        <w:tc>
          <w:tcPr>
            <w:tcW w:w="910" w:type="dxa"/>
          </w:tcPr>
          <w:p w14:paraId="1817E156">
            <w:pPr>
              <w:spacing w:line="240" w:lineRule="auto"/>
              <w:ind w:firstLine="0" w:firstLineChars="0"/>
              <w:rPr>
                <w:rFonts w:ascii="微软雅黑" w:hAnsi="微软雅黑"/>
                <w:color w:val="auto"/>
                <w:szCs w:val="21"/>
                <w:highlight w:val="none"/>
              </w:rPr>
            </w:pPr>
          </w:p>
        </w:tc>
        <w:tc>
          <w:tcPr>
            <w:tcW w:w="3086" w:type="dxa"/>
          </w:tcPr>
          <w:p w14:paraId="672C69AB">
            <w:pPr>
              <w:spacing w:line="240" w:lineRule="auto"/>
              <w:ind w:firstLine="0" w:firstLineChars="0"/>
              <w:rPr>
                <w:rFonts w:ascii="微软雅黑" w:hAnsi="微软雅黑"/>
                <w:color w:val="auto"/>
                <w:szCs w:val="21"/>
                <w:highlight w:val="none"/>
              </w:rPr>
            </w:pPr>
          </w:p>
        </w:tc>
        <w:tc>
          <w:tcPr>
            <w:tcW w:w="3710" w:type="dxa"/>
          </w:tcPr>
          <w:p w14:paraId="2DDEC5A0">
            <w:pPr>
              <w:spacing w:line="240" w:lineRule="auto"/>
              <w:ind w:firstLine="0" w:firstLineChars="0"/>
              <w:rPr>
                <w:rFonts w:ascii="微软雅黑" w:hAnsi="微软雅黑"/>
                <w:color w:val="auto"/>
                <w:szCs w:val="21"/>
                <w:highlight w:val="none"/>
              </w:rPr>
            </w:pPr>
          </w:p>
        </w:tc>
        <w:tc>
          <w:tcPr>
            <w:tcW w:w="1320" w:type="dxa"/>
          </w:tcPr>
          <w:p w14:paraId="5650524E">
            <w:pPr>
              <w:spacing w:line="240" w:lineRule="auto"/>
              <w:ind w:firstLine="0" w:firstLineChars="0"/>
              <w:rPr>
                <w:rFonts w:ascii="微软雅黑" w:hAnsi="微软雅黑"/>
                <w:color w:val="auto"/>
                <w:szCs w:val="21"/>
                <w:highlight w:val="none"/>
              </w:rPr>
            </w:pPr>
          </w:p>
        </w:tc>
      </w:tr>
      <w:tr w14:paraId="7CDF6DA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96" w:hRule="atLeast"/>
        </w:trPr>
        <w:tc>
          <w:tcPr>
            <w:tcW w:w="910" w:type="dxa"/>
          </w:tcPr>
          <w:p w14:paraId="5A4A2F08">
            <w:pPr>
              <w:spacing w:line="240" w:lineRule="auto"/>
              <w:ind w:firstLine="0" w:firstLineChars="0"/>
              <w:rPr>
                <w:rFonts w:ascii="微软雅黑" w:hAnsi="微软雅黑"/>
                <w:color w:val="auto"/>
                <w:szCs w:val="21"/>
                <w:highlight w:val="none"/>
              </w:rPr>
            </w:pPr>
          </w:p>
        </w:tc>
        <w:tc>
          <w:tcPr>
            <w:tcW w:w="3086" w:type="dxa"/>
          </w:tcPr>
          <w:p w14:paraId="6AFB29EF">
            <w:pPr>
              <w:spacing w:line="240" w:lineRule="auto"/>
              <w:ind w:firstLine="0" w:firstLineChars="0"/>
              <w:rPr>
                <w:rFonts w:ascii="微软雅黑" w:hAnsi="微软雅黑"/>
                <w:color w:val="auto"/>
                <w:szCs w:val="21"/>
                <w:highlight w:val="none"/>
              </w:rPr>
            </w:pPr>
          </w:p>
        </w:tc>
        <w:tc>
          <w:tcPr>
            <w:tcW w:w="3710" w:type="dxa"/>
          </w:tcPr>
          <w:p w14:paraId="4084A278">
            <w:pPr>
              <w:spacing w:line="240" w:lineRule="auto"/>
              <w:ind w:firstLine="0" w:firstLineChars="0"/>
              <w:rPr>
                <w:rFonts w:ascii="微软雅黑" w:hAnsi="微软雅黑"/>
                <w:color w:val="auto"/>
                <w:szCs w:val="21"/>
                <w:highlight w:val="none"/>
              </w:rPr>
            </w:pPr>
          </w:p>
        </w:tc>
        <w:tc>
          <w:tcPr>
            <w:tcW w:w="1320" w:type="dxa"/>
          </w:tcPr>
          <w:p w14:paraId="3B59BE1F">
            <w:pPr>
              <w:spacing w:line="240" w:lineRule="auto"/>
              <w:ind w:firstLine="0" w:firstLineChars="0"/>
              <w:rPr>
                <w:rFonts w:ascii="微软雅黑" w:hAnsi="微软雅黑"/>
                <w:color w:val="auto"/>
                <w:szCs w:val="21"/>
                <w:highlight w:val="none"/>
              </w:rPr>
            </w:pPr>
          </w:p>
        </w:tc>
      </w:tr>
    </w:tbl>
    <w:p w14:paraId="227E5099">
      <w:pPr>
        <w:ind w:firstLine="420"/>
        <w:rPr>
          <w:rFonts w:ascii="微软雅黑" w:hAnsi="微软雅黑"/>
          <w:b/>
          <w:color w:val="auto"/>
          <w:szCs w:val="21"/>
          <w:highlight w:val="none"/>
        </w:rPr>
      </w:pPr>
      <w:r>
        <w:rPr>
          <w:rFonts w:hint="eastAsia" w:ascii="微软雅黑" w:hAnsi="微软雅黑"/>
          <w:b/>
          <w:color w:val="auto"/>
          <w:szCs w:val="21"/>
          <w:highlight w:val="none"/>
        </w:rPr>
        <w:t>注：投标供应商的投标文件（除技术规格部分）与招标文件之规定存在偏离的，应在此表中如实说明。未在上表中说明的，将被认为完全响应招标文件的规定。</w:t>
      </w:r>
    </w:p>
    <w:p w14:paraId="62E6C895">
      <w:pPr>
        <w:snapToGrid w:val="0"/>
        <w:spacing w:before="120" w:beforeLines="50"/>
        <w:ind w:firstLine="420"/>
        <w:jc w:val="center"/>
        <w:rPr>
          <w:rFonts w:ascii="微软雅黑" w:hAnsi="微软雅黑"/>
          <w:color w:val="auto"/>
          <w:szCs w:val="21"/>
          <w:highlight w:val="none"/>
          <w:u w:val="single"/>
        </w:rPr>
      </w:pPr>
      <w:r>
        <w:rPr>
          <w:rFonts w:hint="eastAsia" w:ascii="微软雅黑" w:hAnsi="微软雅黑" w:cs="Arial"/>
          <w:color w:val="auto"/>
          <w:kern w:val="0"/>
          <w:szCs w:val="21"/>
          <w:highlight w:val="none"/>
        </w:rPr>
        <w:t xml:space="preserve"> 法定代表人或</w:t>
      </w:r>
      <w:r>
        <w:rPr>
          <w:rFonts w:hint="eastAsia" w:ascii="微软雅黑" w:hAnsi="微软雅黑"/>
          <w:color w:val="auto"/>
          <w:szCs w:val="21"/>
          <w:highlight w:val="none"/>
        </w:rPr>
        <w:t>被授权人签字（或盖章）：</w:t>
      </w:r>
    </w:p>
    <w:p w14:paraId="4AA9F583">
      <w:pPr>
        <w:pStyle w:val="122"/>
        <w:ind w:firstLine="420"/>
        <w:jc w:val="center"/>
        <w:rPr>
          <w:rFonts w:ascii="微软雅黑" w:hAnsi="微软雅黑" w:eastAsia="微软雅黑" w:cs="宋体"/>
          <w:color w:val="auto"/>
          <w:sz w:val="21"/>
          <w:szCs w:val="21"/>
          <w:highlight w:val="none"/>
        </w:rPr>
      </w:pPr>
      <w:r>
        <w:rPr>
          <w:rFonts w:hint="eastAsia" w:ascii="微软雅黑" w:hAnsi="微软雅黑" w:eastAsia="微软雅黑" w:cs="宋体"/>
          <w:color w:val="auto"/>
          <w:sz w:val="21"/>
          <w:szCs w:val="21"/>
          <w:highlight w:val="none"/>
        </w:rPr>
        <w:t xml:space="preserve">             供应商名称（公章）：</w:t>
      </w:r>
    </w:p>
    <w:p w14:paraId="753C8651">
      <w:pPr>
        <w:pStyle w:val="122"/>
        <w:ind w:firstLine="420"/>
        <w:jc w:val="center"/>
        <w:rPr>
          <w:rFonts w:ascii="微软雅黑" w:hAnsi="微软雅黑" w:eastAsia="微软雅黑"/>
          <w:color w:val="auto"/>
          <w:sz w:val="21"/>
          <w:szCs w:val="21"/>
          <w:highlight w:val="none"/>
        </w:rPr>
      </w:pPr>
      <w:r>
        <w:rPr>
          <w:rFonts w:hint="eastAsia" w:ascii="微软雅黑" w:hAnsi="微软雅黑" w:eastAsia="微软雅黑"/>
          <w:color w:val="auto"/>
          <w:sz w:val="21"/>
          <w:szCs w:val="21"/>
          <w:highlight w:val="none"/>
        </w:rPr>
        <w:t xml:space="preserve">          日期： 年 月 日</w:t>
      </w:r>
    </w:p>
    <w:p w14:paraId="2DF9C890">
      <w:pPr>
        <w:ind w:firstLine="641"/>
        <w:jc w:val="center"/>
        <w:rPr>
          <w:rFonts w:ascii="仿宋_GB2312" w:hAnsi="仿宋" w:eastAsia="仿宋_GB2312" w:cs="仿宋_GB2312"/>
          <w:b/>
          <w:color w:val="auto"/>
          <w:kern w:val="0"/>
          <w:sz w:val="32"/>
          <w:szCs w:val="32"/>
          <w:highlight w:val="none"/>
        </w:rPr>
      </w:pPr>
    </w:p>
    <w:p w14:paraId="62900EF5">
      <w:pPr>
        <w:ind w:firstLine="641"/>
        <w:jc w:val="center"/>
        <w:rPr>
          <w:rFonts w:ascii="仿宋_GB2312" w:hAnsi="仿宋" w:eastAsia="仿宋_GB2312" w:cs="仿宋_GB2312"/>
          <w:b/>
          <w:color w:val="auto"/>
          <w:kern w:val="0"/>
          <w:sz w:val="32"/>
          <w:szCs w:val="32"/>
          <w:highlight w:val="none"/>
        </w:rPr>
      </w:pPr>
    </w:p>
    <w:p w14:paraId="1FD377F0">
      <w:pPr>
        <w:snapToGrid w:val="0"/>
        <w:spacing w:before="50" w:after="120" w:afterLines="50"/>
        <w:rPr>
          <w:b/>
          <w:color w:val="auto"/>
          <w:sz w:val="24"/>
          <w:highlight w:val="none"/>
        </w:rPr>
        <w:sectPr>
          <w:pgSz w:w="11907" w:h="16840"/>
          <w:pgMar w:top="1276" w:right="1418" w:bottom="1247" w:left="1418" w:header="851" w:footer="992" w:gutter="0"/>
          <w:cols w:space="720" w:num="1"/>
          <w:titlePg/>
          <w:docGrid w:linePitch="312" w:charSpace="0"/>
        </w:sectPr>
      </w:pPr>
    </w:p>
    <w:p w14:paraId="16E65871">
      <w:pPr>
        <w:snapToGrid w:val="0"/>
        <w:spacing w:before="50" w:after="120" w:afterLines="50"/>
        <w:ind w:firstLine="420"/>
        <w:rPr>
          <w:rFonts w:ascii="微软雅黑" w:hAnsi="微软雅黑"/>
          <w:b/>
          <w:color w:val="auto"/>
          <w:szCs w:val="21"/>
          <w:highlight w:val="none"/>
        </w:rPr>
        <w:sectPr>
          <w:type w:val="continuous"/>
          <w:pgSz w:w="11907" w:h="16840"/>
          <w:pgMar w:top="1276" w:right="1418" w:bottom="1247" w:left="1418" w:header="851" w:footer="992" w:gutter="0"/>
          <w:cols w:space="720" w:num="1"/>
          <w:titlePg/>
          <w:docGrid w:linePitch="312" w:charSpace="0"/>
        </w:sectPr>
      </w:pPr>
    </w:p>
    <w:p w14:paraId="2DD30EE6">
      <w:pPr>
        <w:snapToGrid w:val="0"/>
        <w:spacing w:before="50" w:after="120" w:afterLines="50"/>
        <w:ind w:firstLine="420"/>
        <w:rPr>
          <w:rFonts w:ascii="微软雅黑" w:hAnsi="微软雅黑"/>
          <w:b/>
          <w:color w:val="auto"/>
          <w:szCs w:val="21"/>
          <w:highlight w:val="none"/>
        </w:rPr>
      </w:pPr>
      <w:r>
        <w:rPr>
          <w:rFonts w:hint="eastAsia" w:ascii="微软雅黑" w:hAnsi="微软雅黑"/>
          <w:b/>
          <w:color w:val="auto"/>
          <w:szCs w:val="21"/>
          <w:highlight w:val="none"/>
        </w:rPr>
        <w:t>4</w:t>
      </w:r>
      <w:r>
        <w:rPr>
          <w:rFonts w:ascii="微软雅黑" w:hAnsi="微软雅黑"/>
          <w:b/>
          <w:color w:val="auto"/>
          <w:szCs w:val="21"/>
          <w:highlight w:val="none"/>
        </w:rPr>
        <w:t>.技术响应表格式：</w:t>
      </w:r>
    </w:p>
    <w:p w14:paraId="14EF521E">
      <w:pPr>
        <w:snapToGrid w:val="0"/>
        <w:spacing w:before="50" w:after="120" w:afterLines="50"/>
        <w:ind w:firstLine="420"/>
        <w:jc w:val="center"/>
        <w:rPr>
          <w:rFonts w:ascii="微软雅黑" w:hAnsi="微软雅黑"/>
          <w:color w:val="auto"/>
          <w:szCs w:val="21"/>
          <w:highlight w:val="none"/>
          <w:u w:val="single"/>
        </w:rPr>
      </w:pPr>
      <w:r>
        <w:rPr>
          <w:rFonts w:ascii="微软雅黑" w:hAnsi="微软雅黑"/>
          <w:b/>
          <w:color w:val="auto"/>
          <w:szCs w:val="21"/>
          <w:highlight w:val="none"/>
        </w:rPr>
        <w:t>技术响应表</w:t>
      </w:r>
    </w:p>
    <w:tbl>
      <w:tblPr>
        <w:tblStyle w:val="52"/>
        <w:tblW w:w="9231"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36"/>
        <w:gridCol w:w="1056"/>
        <w:gridCol w:w="1896"/>
        <w:gridCol w:w="1896"/>
        <w:gridCol w:w="2410"/>
        <w:gridCol w:w="1337"/>
      </w:tblGrid>
      <w:tr w14:paraId="0C97FD8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0" w:hRule="atLeast"/>
        </w:trPr>
        <w:tc>
          <w:tcPr>
            <w:tcW w:w="636" w:type="dxa"/>
            <w:tcBorders>
              <w:top w:val="single" w:color="auto" w:sz="4" w:space="0"/>
              <w:left w:val="single" w:color="auto" w:sz="4" w:space="0"/>
              <w:bottom w:val="single" w:color="auto" w:sz="4" w:space="0"/>
              <w:right w:val="single" w:color="auto" w:sz="4" w:space="0"/>
            </w:tcBorders>
          </w:tcPr>
          <w:p w14:paraId="3C2E0418">
            <w:pPr>
              <w:pStyle w:val="28"/>
              <w:snapToGrid w:val="0"/>
              <w:spacing w:line="240" w:lineRule="auto"/>
              <w:ind w:firstLine="0" w:firstLineChars="0"/>
              <w:jc w:val="center"/>
              <w:outlineLvl w:val="0"/>
              <w:rPr>
                <w:rFonts w:ascii="微软雅黑" w:hAnsi="微软雅黑"/>
                <w:color w:val="auto"/>
                <w:szCs w:val="21"/>
                <w:highlight w:val="none"/>
              </w:rPr>
            </w:pPr>
            <w:bookmarkStart w:id="206" w:name="_Toc164943227"/>
            <w:bookmarkStart w:id="207" w:name="_Toc22128"/>
            <w:bookmarkStart w:id="208" w:name="_Toc20307"/>
            <w:bookmarkStart w:id="209" w:name="_Toc169015150"/>
            <w:bookmarkStart w:id="210" w:name="_Toc465368115"/>
            <w:bookmarkStart w:id="211" w:name="_Toc17952"/>
            <w:r>
              <w:rPr>
                <w:rFonts w:ascii="微软雅黑" w:hAnsi="微软雅黑"/>
                <w:color w:val="auto"/>
                <w:szCs w:val="21"/>
                <w:highlight w:val="none"/>
              </w:rPr>
              <w:t>序号</w:t>
            </w:r>
            <w:bookmarkEnd w:id="206"/>
            <w:bookmarkEnd w:id="207"/>
            <w:bookmarkEnd w:id="208"/>
            <w:bookmarkEnd w:id="209"/>
            <w:bookmarkEnd w:id="210"/>
            <w:bookmarkEnd w:id="211"/>
          </w:p>
        </w:tc>
        <w:tc>
          <w:tcPr>
            <w:tcW w:w="1056" w:type="dxa"/>
            <w:tcBorders>
              <w:top w:val="single" w:color="auto" w:sz="4" w:space="0"/>
              <w:left w:val="single" w:color="auto" w:sz="4" w:space="0"/>
              <w:bottom w:val="single" w:color="auto" w:sz="4" w:space="0"/>
              <w:right w:val="single" w:color="auto" w:sz="4" w:space="0"/>
            </w:tcBorders>
          </w:tcPr>
          <w:p w14:paraId="4C5FD33A">
            <w:pPr>
              <w:pStyle w:val="28"/>
              <w:snapToGrid w:val="0"/>
              <w:spacing w:line="240" w:lineRule="auto"/>
              <w:ind w:firstLine="0" w:firstLineChars="0"/>
              <w:jc w:val="center"/>
              <w:outlineLvl w:val="0"/>
              <w:rPr>
                <w:rFonts w:ascii="微软雅黑" w:hAnsi="微软雅黑"/>
                <w:color w:val="auto"/>
                <w:szCs w:val="21"/>
                <w:highlight w:val="none"/>
              </w:rPr>
            </w:pPr>
            <w:bookmarkStart w:id="212" w:name="_Toc24880"/>
            <w:bookmarkStart w:id="213" w:name="_Toc164943228"/>
            <w:bookmarkStart w:id="214" w:name="_Toc207"/>
            <w:bookmarkStart w:id="215" w:name="_Toc3313"/>
            <w:bookmarkStart w:id="216" w:name="_Toc169015151"/>
            <w:bookmarkStart w:id="217" w:name="_Toc702241305"/>
            <w:r>
              <w:rPr>
                <w:rFonts w:ascii="微软雅黑" w:hAnsi="微软雅黑"/>
                <w:color w:val="auto"/>
                <w:szCs w:val="21"/>
                <w:highlight w:val="none"/>
              </w:rPr>
              <w:t>设备名称</w:t>
            </w:r>
            <w:bookmarkEnd w:id="212"/>
            <w:bookmarkEnd w:id="213"/>
            <w:bookmarkEnd w:id="214"/>
            <w:bookmarkEnd w:id="215"/>
            <w:bookmarkEnd w:id="216"/>
            <w:bookmarkEnd w:id="217"/>
          </w:p>
        </w:tc>
        <w:tc>
          <w:tcPr>
            <w:tcW w:w="1896" w:type="dxa"/>
            <w:tcBorders>
              <w:top w:val="single" w:color="auto" w:sz="4" w:space="0"/>
              <w:left w:val="single" w:color="auto" w:sz="4" w:space="0"/>
              <w:bottom w:val="single" w:color="auto" w:sz="4" w:space="0"/>
              <w:right w:val="single" w:color="auto" w:sz="4" w:space="0"/>
            </w:tcBorders>
          </w:tcPr>
          <w:p w14:paraId="13372EFD">
            <w:pPr>
              <w:pStyle w:val="28"/>
              <w:snapToGrid w:val="0"/>
              <w:spacing w:line="240" w:lineRule="auto"/>
              <w:ind w:firstLine="0" w:firstLineChars="0"/>
              <w:jc w:val="center"/>
              <w:outlineLvl w:val="0"/>
              <w:rPr>
                <w:rFonts w:ascii="微软雅黑" w:hAnsi="微软雅黑"/>
                <w:color w:val="auto"/>
                <w:szCs w:val="21"/>
                <w:highlight w:val="none"/>
              </w:rPr>
            </w:pPr>
            <w:bookmarkStart w:id="218" w:name="_Toc402963128"/>
            <w:bookmarkStart w:id="219" w:name="_Toc377653976"/>
            <w:bookmarkStart w:id="220" w:name="_Toc401570290"/>
            <w:bookmarkStart w:id="221" w:name="_Toc381081903"/>
            <w:bookmarkStart w:id="222" w:name="_Toc377028057"/>
            <w:bookmarkStart w:id="223" w:name="_Toc377028119"/>
            <w:bookmarkStart w:id="224" w:name="_Toc385854110"/>
            <w:bookmarkStart w:id="225" w:name="_Toc382928118"/>
            <w:bookmarkStart w:id="226" w:name="_Toc402963095"/>
            <w:bookmarkStart w:id="227" w:name="_Toc406403001"/>
            <w:bookmarkStart w:id="228" w:name="_Toc401570314"/>
            <w:bookmarkStart w:id="229" w:name="_Toc385854156"/>
            <w:bookmarkStart w:id="230" w:name="_Toc382928236"/>
            <w:bookmarkStart w:id="231" w:name="_Toc406402957"/>
            <w:bookmarkStart w:id="232" w:name="_Toc385854114"/>
            <w:bookmarkStart w:id="233" w:name="_Toc377028061"/>
            <w:bookmarkStart w:id="234" w:name="_Toc377028123"/>
            <w:bookmarkStart w:id="235" w:name="_Toc734611807"/>
            <w:bookmarkStart w:id="236" w:name="_Toc16394"/>
            <w:bookmarkStart w:id="237" w:name="_Toc406402961"/>
            <w:bookmarkStart w:id="238" w:name="_Toc26033"/>
            <w:bookmarkStart w:id="239" w:name="_Toc169015152"/>
            <w:bookmarkStart w:id="240" w:name="_Toc406403005"/>
            <w:bookmarkStart w:id="241" w:name="_Toc402963099"/>
            <w:bookmarkStart w:id="242" w:name="_Toc381081907"/>
            <w:bookmarkStart w:id="243" w:name="_Toc382928122"/>
            <w:bookmarkStart w:id="244" w:name="_Toc382928240"/>
            <w:bookmarkStart w:id="245" w:name="_Toc402963132"/>
            <w:bookmarkStart w:id="246" w:name="_Toc377653980"/>
            <w:bookmarkStart w:id="247" w:name="_Toc401570318"/>
            <w:bookmarkStart w:id="248" w:name="_Toc20078"/>
            <w:bookmarkStart w:id="249" w:name="_Toc164943229"/>
            <w:bookmarkStart w:id="250" w:name="_Toc385854160"/>
            <w:bookmarkStart w:id="251" w:name="_Toc401570294"/>
            <w:r>
              <w:rPr>
                <w:rFonts w:ascii="微软雅黑" w:hAnsi="微软雅黑"/>
                <w:color w:val="auto"/>
                <w:szCs w:val="21"/>
                <w:highlight w:val="none"/>
              </w:rPr>
              <w:t>招标文件要求</w:t>
            </w:r>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r>
              <w:rPr>
                <w:rFonts w:ascii="微软雅黑" w:hAnsi="微软雅黑"/>
                <w:color w:val="auto"/>
                <w:szCs w:val="21"/>
                <w:highlight w:val="none"/>
              </w:rPr>
              <w:t>要求</w:t>
            </w:r>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p>
        </w:tc>
        <w:tc>
          <w:tcPr>
            <w:tcW w:w="1896" w:type="dxa"/>
            <w:tcBorders>
              <w:top w:val="single" w:color="auto" w:sz="4" w:space="0"/>
              <w:left w:val="single" w:color="auto" w:sz="4" w:space="0"/>
              <w:bottom w:val="single" w:color="auto" w:sz="4" w:space="0"/>
              <w:right w:val="single" w:color="auto" w:sz="4" w:space="0"/>
            </w:tcBorders>
          </w:tcPr>
          <w:p w14:paraId="47126E5C">
            <w:pPr>
              <w:pStyle w:val="28"/>
              <w:snapToGrid w:val="0"/>
              <w:spacing w:line="240" w:lineRule="auto"/>
              <w:ind w:firstLine="0" w:firstLineChars="0"/>
              <w:jc w:val="center"/>
              <w:outlineLvl w:val="0"/>
              <w:rPr>
                <w:rFonts w:ascii="微软雅黑" w:hAnsi="微软雅黑"/>
                <w:color w:val="auto"/>
                <w:szCs w:val="21"/>
                <w:highlight w:val="none"/>
              </w:rPr>
            </w:pPr>
            <w:bookmarkStart w:id="252" w:name="_Toc381081904"/>
            <w:bookmarkStart w:id="253" w:name="_Toc382928119"/>
            <w:bookmarkStart w:id="254" w:name="_Toc385854157"/>
            <w:bookmarkStart w:id="255" w:name="_Toc385854111"/>
            <w:bookmarkStart w:id="256" w:name="_Toc377028120"/>
            <w:bookmarkStart w:id="257" w:name="_Toc401570315"/>
            <w:bookmarkStart w:id="258" w:name="_Toc402963129"/>
            <w:bookmarkStart w:id="259" w:name="_Toc406402958"/>
            <w:bookmarkStart w:id="260" w:name="_Toc377028058"/>
            <w:bookmarkStart w:id="261" w:name="_Toc382928237"/>
            <w:bookmarkStart w:id="262" w:name="_Toc406403002"/>
            <w:bookmarkStart w:id="263" w:name="_Toc401570291"/>
            <w:bookmarkStart w:id="264" w:name="_Toc377653977"/>
            <w:bookmarkStart w:id="265" w:name="_Toc402963096"/>
            <w:bookmarkStart w:id="266" w:name="_Toc929162729"/>
            <w:bookmarkStart w:id="267" w:name="_Toc169015153"/>
            <w:bookmarkStart w:id="268" w:name="_Toc18460"/>
            <w:bookmarkStart w:id="269" w:name="_Toc164943230"/>
            <w:bookmarkStart w:id="270" w:name="_Toc20550"/>
            <w:bookmarkStart w:id="271" w:name="_Toc12488"/>
            <w:r>
              <w:rPr>
                <w:rFonts w:ascii="微软雅黑" w:hAnsi="微软雅黑"/>
                <w:color w:val="auto"/>
                <w:szCs w:val="21"/>
                <w:highlight w:val="none"/>
              </w:rPr>
              <w:t>投标文件</w:t>
            </w:r>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r>
              <w:rPr>
                <w:rFonts w:ascii="微软雅黑" w:hAnsi="微软雅黑"/>
                <w:color w:val="auto"/>
                <w:szCs w:val="21"/>
                <w:highlight w:val="none"/>
              </w:rPr>
              <w:t>性能指标</w:t>
            </w:r>
            <w:bookmarkEnd w:id="266"/>
            <w:bookmarkEnd w:id="267"/>
            <w:bookmarkEnd w:id="268"/>
            <w:bookmarkEnd w:id="269"/>
            <w:bookmarkEnd w:id="270"/>
            <w:bookmarkEnd w:id="271"/>
          </w:p>
        </w:tc>
        <w:tc>
          <w:tcPr>
            <w:tcW w:w="2410" w:type="dxa"/>
            <w:tcBorders>
              <w:top w:val="single" w:color="auto" w:sz="4" w:space="0"/>
              <w:left w:val="single" w:color="auto" w:sz="4" w:space="0"/>
              <w:bottom w:val="single" w:color="auto" w:sz="4" w:space="0"/>
              <w:right w:val="single" w:color="auto" w:sz="4" w:space="0"/>
            </w:tcBorders>
          </w:tcPr>
          <w:p w14:paraId="2920A015">
            <w:pPr>
              <w:pStyle w:val="28"/>
              <w:snapToGrid w:val="0"/>
              <w:spacing w:line="240" w:lineRule="auto"/>
              <w:ind w:firstLine="0" w:firstLineChars="0"/>
              <w:jc w:val="center"/>
              <w:outlineLvl w:val="0"/>
              <w:rPr>
                <w:rFonts w:ascii="微软雅黑" w:hAnsi="微软雅黑"/>
                <w:color w:val="auto"/>
                <w:szCs w:val="21"/>
                <w:highlight w:val="none"/>
              </w:rPr>
            </w:pPr>
            <w:bookmarkStart w:id="272" w:name="_Toc381081905"/>
            <w:bookmarkStart w:id="273" w:name="_Toc377653978"/>
            <w:bookmarkStart w:id="274" w:name="_Toc402963130"/>
            <w:bookmarkStart w:id="275" w:name="_Toc406403003"/>
            <w:bookmarkStart w:id="276" w:name="_Toc377028059"/>
            <w:bookmarkStart w:id="277" w:name="_Toc401570292"/>
            <w:bookmarkStart w:id="278" w:name="_Toc382928120"/>
            <w:bookmarkStart w:id="279" w:name="_Toc406402959"/>
            <w:bookmarkStart w:id="280" w:name="_Toc402963097"/>
            <w:bookmarkStart w:id="281" w:name="_Toc385854158"/>
            <w:bookmarkStart w:id="282" w:name="_Toc377028121"/>
            <w:bookmarkStart w:id="283" w:name="_Toc382928238"/>
            <w:bookmarkStart w:id="284" w:name="_Toc401570316"/>
            <w:bookmarkStart w:id="285" w:name="_Toc385854112"/>
            <w:bookmarkStart w:id="286" w:name="_Toc21446"/>
            <w:bookmarkStart w:id="287" w:name="_Toc31934"/>
            <w:bookmarkStart w:id="288" w:name="_Toc23603"/>
            <w:bookmarkStart w:id="289" w:name="_Toc164943231"/>
            <w:bookmarkStart w:id="290" w:name="_Toc961276098"/>
            <w:bookmarkStart w:id="291" w:name="_Toc169015154"/>
            <w:r>
              <w:rPr>
                <w:rFonts w:ascii="微软雅黑" w:hAnsi="微软雅黑"/>
                <w:color w:val="auto"/>
                <w:szCs w:val="21"/>
                <w:highlight w:val="none"/>
              </w:rPr>
              <w:t>偏离情况</w:t>
            </w:r>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r>
              <w:rPr>
                <w:rFonts w:ascii="微软雅黑" w:hAnsi="微软雅黑"/>
                <w:color w:val="auto"/>
                <w:szCs w:val="21"/>
                <w:highlight w:val="none"/>
              </w:rPr>
              <w:t>及证明材料</w:t>
            </w:r>
            <w:bookmarkEnd w:id="286"/>
            <w:bookmarkEnd w:id="287"/>
            <w:bookmarkEnd w:id="288"/>
            <w:bookmarkEnd w:id="289"/>
            <w:bookmarkEnd w:id="290"/>
            <w:bookmarkEnd w:id="291"/>
          </w:p>
        </w:tc>
        <w:tc>
          <w:tcPr>
            <w:tcW w:w="1337" w:type="dxa"/>
            <w:tcBorders>
              <w:top w:val="single" w:color="auto" w:sz="4" w:space="0"/>
              <w:left w:val="single" w:color="auto" w:sz="4" w:space="0"/>
              <w:bottom w:val="single" w:color="auto" w:sz="4" w:space="0"/>
              <w:right w:val="single" w:color="auto" w:sz="4" w:space="0"/>
            </w:tcBorders>
            <w:vAlign w:val="center"/>
          </w:tcPr>
          <w:p w14:paraId="63AA053E">
            <w:pPr>
              <w:widowControl/>
              <w:spacing w:line="240" w:lineRule="auto"/>
              <w:ind w:firstLine="0" w:firstLineChars="0"/>
              <w:jc w:val="center"/>
              <w:rPr>
                <w:rFonts w:ascii="微软雅黑" w:hAnsi="微软雅黑"/>
                <w:color w:val="auto"/>
                <w:szCs w:val="21"/>
                <w:highlight w:val="none"/>
              </w:rPr>
            </w:pPr>
            <w:r>
              <w:rPr>
                <w:rFonts w:ascii="微软雅黑" w:hAnsi="微软雅黑"/>
                <w:color w:val="auto"/>
                <w:szCs w:val="21"/>
                <w:highlight w:val="none"/>
              </w:rPr>
              <w:t>备注</w:t>
            </w:r>
          </w:p>
        </w:tc>
      </w:tr>
      <w:tr w14:paraId="504E818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73" w:hRule="atLeast"/>
        </w:trPr>
        <w:tc>
          <w:tcPr>
            <w:tcW w:w="636" w:type="dxa"/>
            <w:tcBorders>
              <w:top w:val="single" w:color="auto" w:sz="4" w:space="0"/>
              <w:left w:val="single" w:color="auto" w:sz="4" w:space="0"/>
              <w:bottom w:val="single" w:color="auto" w:sz="4" w:space="0"/>
              <w:right w:val="single" w:color="auto" w:sz="4" w:space="0"/>
            </w:tcBorders>
            <w:vAlign w:val="center"/>
          </w:tcPr>
          <w:p w14:paraId="3DE6145C">
            <w:pPr>
              <w:pStyle w:val="28"/>
              <w:snapToGrid w:val="0"/>
              <w:spacing w:line="240" w:lineRule="auto"/>
              <w:ind w:firstLine="0" w:firstLineChars="0"/>
              <w:jc w:val="center"/>
              <w:rPr>
                <w:rFonts w:hint="eastAsia" w:ascii="微软雅黑" w:hAnsi="微软雅黑" w:eastAsia="微软雅黑"/>
                <w:color w:val="auto"/>
                <w:szCs w:val="21"/>
                <w:highlight w:val="none"/>
                <w:lang w:val="en-US" w:eastAsia="zh-CN"/>
              </w:rPr>
            </w:pPr>
            <w:r>
              <w:rPr>
                <w:rFonts w:hint="eastAsia" w:ascii="微软雅黑" w:hAnsi="微软雅黑"/>
                <w:color w:val="auto"/>
                <w:szCs w:val="21"/>
                <w:highlight w:val="none"/>
                <w:lang w:val="en-US" w:eastAsia="zh-CN"/>
              </w:rPr>
              <w:t>1</w:t>
            </w:r>
          </w:p>
        </w:tc>
        <w:tc>
          <w:tcPr>
            <w:tcW w:w="1056" w:type="dxa"/>
            <w:tcBorders>
              <w:top w:val="single" w:color="auto" w:sz="4" w:space="0"/>
              <w:left w:val="single" w:color="auto" w:sz="4" w:space="0"/>
              <w:bottom w:val="single" w:color="auto" w:sz="4" w:space="0"/>
              <w:right w:val="single" w:color="auto" w:sz="4" w:space="0"/>
            </w:tcBorders>
          </w:tcPr>
          <w:p w14:paraId="3EA7F1FA">
            <w:pPr>
              <w:pStyle w:val="28"/>
              <w:snapToGrid w:val="0"/>
              <w:spacing w:line="240" w:lineRule="auto"/>
              <w:ind w:firstLine="0" w:firstLineChars="0"/>
              <w:rPr>
                <w:rFonts w:ascii="微软雅黑" w:hAnsi="微软雅黑"/>
                <w:color w:val="auto"/>
                <w:szCs w:val="21"/>
                <w:highlight w:val="none"/>
              </w:rPr>
            </w:pPr>
          </w:p>
        </w:tc>
        <w:tc>
          <w:tcPr>
            <w:tcW w:w="1896" w:type="dxa"/>
            <w:tcBorders>
              <w:top w:val="single" w:color="auto" w:sz="4" w:space="0"/>
              <w:left w:val="single" w:color="auto" w:sz="4" w:space="0"/>
              <w:bottom w:val="single" w:color="auto" w:sz="4" w:space="0"/>
              <w:right w:val="single" w:color="auto" w:sz="4" w:space="0"/>
            </w:tcBorders>
            <w:vAlign w:val="center"/>
          </w:tcPr>
          <w:p w14:paraId="4BFAD485">
            <w:pPr>
              <w:pStyle w:val="28"/>
              <w:snapToGrid w:val="0"/>
              <w:spacing w:line="240" w:lineRule="auto"/>
              <w:ind w:firstLine="0" w:firstLineChars="0"/>
              <w:rPr>
                <w:rFonts w:ascii="微软雅黑" w:hAnsi="微软雅黑"/>
                <w:color w:val="auto"/>
                <w:szCs w:val="21"/>
                <w:highlight w:val="none"/>
              </w:rPr>
            </w:pPr>
          </w:p>
        </w:tc>
        <w:tc>
          <w:tcPr>
            <w:tcW w:w="1896" w:type="dxa"/>
            <w:tcBorders>
              <w:top w:val="single" w:color="auto" w:sz="4" w:space="0"/>
              <w:left w:val="single" w:color="auto" w:sz="4" w:space="0"/>
              <w:bottom w:val="single" w:color="auto" w:sz="4" w:space="0"/>
              <w:right w:val="single" w:color="auto" w:sz="4" w:space="0"/>
            </w:tcBorders>
          </w:tcPr>
          <w:p w14:paraId="70B7BDD7">
            <w:pPr>
              <w:pStyle w:val="28"/>
              <w:snapToGrid w:val="0"/>
              <w:spacing w:line="240" w:lineRule="auto"/>
              <w:ind w:firstLine="0" w:firstLineChars="0"/>
              <w:rPr>
                <w:rFonts w:ascii="微软雅黑" w:hAnsi="微软雅黑"/>
                <w:color w:val="auto"/>
                <w:szCs w:val="21"/>
                <w:highlight w:val="none"/>
              </w:rPr>
            </w:pPr>
          </w:p>
        </w:tc>
        <w:tc>
          <w:tcPr>
            <w:tcW w:w="2410" w:type="dxa"/>
            <w:tcBorders>
              <w:top w:val="single" w:color="auto" w:sz="4" w:space="0"/>
              <w:left w:val="single" w:color="auto" w:sz="4" w:space="0"/>
              <w:bottom w:val="single" w:color="auto" w:sz="4" w:space="0"/>
              <w:right w:val="single" w:color="auto" w:sz="4" w:space="0"/>
            </w:tcBorders>
          </w:tcPr>
          <w:p w14:paraId="53FAE4E7">
            <w:pPr>
              <w:pStyle w:val="28"/>
              <w:snapToGrid w:val="0"/>
              <w:spacing w:line="240" w:lineRule="auto"/>
              <w:ind w:firstLine="0" w:firstLineChars="0"/>
              <w:rPr>
                <w:rFonts w:ascii="微软雅黑" w:hAnsi="微软雅黑"/>
                <w:color w:val="auto"/>
                <w:szCs w:val="21"/>
                <w:highlight w:val="none"/>
              </w:rPr>
            </w:pPr>
          </w:p>
        </w:tc>
        <w:tc>
          <w:tcPr>
            <w:tcW w:w="1337" w:type="dxa"/>
            <w:tcBorders>
              <w:top w:val="single" w:color="auto" w:sz="4" w:space="0"/>
              <w:left w:val="single" w:color="auto" w:sz="4" w:space="0"/>
              <w:bottom w:val="single" w:color="auto" w:sz="4" w:space="0"/>
              <w:right w:val="single" w:color="auto" w:sz="4" w:space="0"/>
            </w:tcBorders>
          </w:tcPr>
          <w:p w14:paraId="5B2C5F3D">
            <w:pPr>
              <w:pStyle w:val="28"/>
              <w:snapToGrid w:val="0"/>
              <w:spacing w:line="240" w:lineRule="auto"/>
              <w:ind w:firstLine="0" w:firstLineChars="0"/>
              <w:rPr>
                <w:rFonts w:ascii="微软雅黑" w:hAnsi="微软雅黑"/>
                <w:color w:val="auto"/>
                <w:szCs w:val="21"/>
                <w:highlight w:val="none"/>
              </w:rPr>
            </w:pPr>
          </w:p>
        </w:tc>
      </w:tr>
      <w:tr w14:paraId="379D7CD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41" w:hRule="atLeast"/>
        </w:trPr>
        <w:tc>
          <w:tcPr>
            <w:tcW w:w="636" w:type="dxa"/>
            <w:tcBorders>
              <w:top w:val="single" w:color="auto" w:sz="4" w:space="0"/>
              <w:left w:val="single" w:color="auto" w:sz="4" w:space="0"/>
              <w:bottom w:val="single" w:color="auto" w:sz="4" w:space="0"/>
              <w:right w:val="single" w:color="auto" w:sz="4" w:space="0"/>
            </w:tcBorders>
            <w:vAlign w:val="center"/>
          </w:tcPr>
          <w:p w14:paraId="6ECBCDC4">
            <w:pPr>
              <w:widowControl/>
              <w:spacing w:line="240" w:lineRule="auto"/>
              <w:ind w:firstLine="0" w:firstLineChars="0"/>
              <w:jc w:val="center"/>
              <w:rPr>
                <w:rFonts w:hint="eastAsia" w:ascii="微软雅黑" w:hAnsi="微软雅黑" w:eastAsia="微软雅黑"/>
                <w:color w:val="auto"/>
                <w:szCs w:val="21"/>
                <w:highlight w:val="none"/>
                <w:lang w:val="en-US" w:eastAsia="zh-CN"/>
              </w:rPr>
            </w:pPr>
            <w:r>
              <w:rPr>
                <w:rFonts w:hint="eastAsia" w:ascii="微软雅黑" w:hAnsi="微软雅黑"/>
                <w:color w:val="auto"/>
                <w:szCs w:val="21"/>
                <w:highlight w:val="none"/>
                <w:lang w:val="en-US" w:eastAsia="zh-CN"/>
              </w:rPr>
              <w:t>2</w:t>
            </w:r>
          </w:p>
        </w:tc>
        <w:tc>
          <w:tcPr>
            <w:tcW w:w="1056" w:type="dxa"/>
            <w:tcBorders>
              <w:top w:val="single" w:color="auto" w:sz="4" w:space="0"/>
              <w:left w:val="single" w:color="auto" w:sz="4" w:space="0"/>
              <w:bottom w:val="single" w:color="auto" w:sz="4" w:space="0"/>
              <w:right w:val="single" w:color="auto" w:sz="4" w:space="0"/>
            </w:tcBorders>
          </w:tcPr>
          <w:p w14:paraId="1BA1BB1C">
            <w:pPr>
              <w:pStyle w:val="28"/>
              <w:snapToGrid w:val="0"/>
              <w:spacing w:line="240" w:lineRule="auto"/>
              <w:ind w:firstLine="0" w:firstLineChars="0"/>
              <w:rPr>
                <w:rFonts w:ascii="微软雅黑" w:hAnsi="微软雅黑"/>
                <w:color w:val="auto"/>
                <w:szCs w:val="21"/>
                <w:highlight w:val="none"/>
              </w:rPr>
            </w:pPr>
          </w:p>
        </w:tc>
        <w:tc>
          <w:tcPr>
            <w:tcW w:w="1896" w:type="dxa"/>
            <w:tcBorders>
              <w:top w:val="single" w:color="auto" w:sz="4" w:space="0"/>
              <w:left w:val="single" w:color="auto" w:sz="4" w:space="0"/>
              <w:bottom w:val="single" w:color="auto" w:sz="4" w:space="0"/>
              <w:right w:val="single" w:color="auto" w:sz="4" w:space="0"/>
            </w:tcBorders>
            <w:vAlign w:val="center"/>
          </w:tcPr>
          <w:p w14:paraId="2693F205">
            <w:pPr>
              <w:pStyle w:val="28"/>
              <w:snapToGrid w:val="0"/>
              <w:spacing w:line="240" w:lineRule="auto"/>
              <w:ind w:firstLine="0" w:firstLineChars="0"/>
              <w:rPr>
                <w:rFonts w:ascii="微软雅黑" w:hAnsi="微软雅黑"/>
                <w:color w:val="auto"/>
                <w:szCs w:val="21"/>
                <w:highlight w:val="none"/>
              </w:rPr>
            </w:pPr>
          </w:p>
        </w:tc>
        <w:tc>
          <w:tcPr>
            <w:tcW w:w="1896" w:type="dxa"/>
            <w:tcBorders>
              <w:top w:val="single" w:color="auto" w:sz="4" w:space="0"/>
              <w:left w:val="single" w:color="auto" w:sz="4" w:space="0"/>
              <w:bottom w:val="single" w:color="auto" w:sz="4" w:space="0"/>
              <w:right w:val="single" w:color="auto" w:sz="4" w:space="0"/>
            </w:tcBorders>
          </w:tcPr>
          <w:p w14:paraId="14B88349">
            <w:pPr>
              <w:pStyle w:val="28"/>
              <w:snapToGrid w:val="0"/>
              <w:spacing w:line="240" w:lineRule="auto"/>
              <w:ind w:firstLine="0" w:firstLineChars="0"/>
              <w:rPr>
                <w:rFonts w:ascii="微软雅黑" w:hAnsi="微软雅黑"/>
                <w:color w:val="auto"/>
                <w:szCs w:val="21"/>
                <w:highlight w:val="none"/>
              </w:rPr>
            </w:pPr>
          </w:p>
        </w:tc>
        <w:tc>
          <w:tcPr>
            <w:tcW w:w="2410" w:type="dxa"/>
            <w:tcBorders>
              <w:top w:val="single" w:color="auto" w:sz="4" w:space="0"/>
              <w:left w:val="single" w:color="auto" w:sz="4" w:space="0"/>
              <w:bottom w:val="single" w:color="auto" w:sz="4" w:space="0"/>
              <w:right w:val="single" w:color="auto" w:sz="4" w:space="0"/>
            </w:tcBorders>
          </w:tcPr>
          <w:p w14:paraId="0591365B">
            <w:pPr>
              <w:pStyle w:val="28"/>
              <w:snapToGrid w:val="0"/>
              <w:spacing w:line="240" w:lineRule="auto"/>
              <w:ind w:firstLine="0" w:firstLineChars="0"/>
              <w:rPr>
                <w:rFonts w:ascii="微软雅黑" w:hAnsi="微软雅黑"/>
                <w:color w:val="auto"/>
                <w:szCs w:val="21"/>
                <w:highlight w:val="none"/>
              </w:rPr>
            </w:pPr>
          </w:p>
        </w:tc>
        <w:tc>
          <w:tcPr>
            <w:tcW w:w="1337" w:type="dxa"/>
            <w:tcBorders>
              <w:top w:val="single" w:color="auto" w:sz="4" w:space="0"/>
              <w:left w:val="single" w:color="auto" w:sz="4" w:space="0"/>
              <w:bottom w:val="single" w:color="auto" w:sz="4" w:space="0"/>
              <w:right w:val="single" w:color="auto" w:sz="4" w:space="0"/>
            </w:tcBorders>
          </w:tcPr>
          <w:p w14:paraId="2EDEE254">
            <w:pPr>
              <w:pStyle w:val="28"/>
              <w:snapToGrid w:val="0"/>
              <w:spacing w:line="240" w:lineRule="auto"/>
              <w:ind w:firstLine="0" w:firstLineChars="0"/>
              <w:rPr>
                <w:rFonts w:ascii="微软雅黑" w:hAnsi="微软雅黑"/>
                <w:color w:val="auto"/>
                <w:szCs w:val="21"/>
                <w:highlight w:val="none"/>
              </w:rPr>
            </w:pPr>
          </w:p>
        </w:tc>
      </w:tr>
      <w:tr w14:paraId="6F4F6F9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41" w:hRule="atLeast"/>
        </w:trPr>
        <w:tc>
          <w:tcPr>
            <w:tcW w:w="636" w:type="dxa"/>
            <w:tcBorders>
              <w:top w:val="single" w:color="auto" w:sz="4" w:space="0"/>
              <w:left w:val="single" w:color="auto" w:sz="4" w:space="0"/>
              <w:bottom w:val="single" w:color="auto" w:sz="4" w:space="0"/>
              <w:right w:val="single" w:color="auto" w:sz="4" w:space="0"/>
            </w:tcBorders>
            <w:vAlign w:val="center"/>
          </w:tcPr>
          <w:p w14:paraId="2FCC2E03">
            <w:pPr>
              <w:pStyle w:val="28"/>
              <w:snapToGrid w:val="0"/>
              <w:spacing w:line="240" w:lineRule="auto"/>
              <w:ind w:firstLine="0" w:firstLineChars="0"/>
              <w:jc w:val="center"/>
              <w:rPr>
                <w:rFonts w:hint="eastAsia" w:ascii="微软雅黑" w:hAnsi="微软雅黑" w:eastAsia="微软雅黑"/>
                <w:color w:val="auto"/>
                <w:szCs w:val="21"/>
                <w:highlight w:val="none"/>
                <w:lang w:val="en-US" w:eastAsia="zh-CN"/>
              </w:rPr>
            </w:pPr>
            <w:r>
              <w:rPr>
                <w:rFonts w:hint="eastAsia" w:ascii="微软雅黑" w:hAnsi="微软雅黑"/>
                <w:color w:val="auto"/>
                <w:szCs w:val="21"/>
                <w:highlight w:val="none"/>
                <w:lang w:val="en-US" w:eastAsia="zh-CN"/>
              </w:rPr>
              <w:t>3</w:t>
            </w:r>
          </w:p>
        </w:tc>
        <w:tc>
          <w:tcPr>
            <w:tcW w:w="1056" w:type="dxa"/>
            <w:tcBorders>
              <w:top w:val="single" w:color="auto" w:sz="4" w:space="0"/>
              <w:left w:val="single" w:color="auto" w:sz="4" w:space="0"/>
              <w:bottom w:val="single" w:color="auto" w:sz="4" w:space="0"/>
              <w:right w:val="single" w:color="auto" w:sz="4" w:space="0"/>
            </w:tcBorders>
          </w:tcPr>
          <w:p w14:paraId="470DE901">
            <w:pPr>
              <w:pStyle w:val="28"/>
              <w:snapToGrid w:val="0"/>
              <w:spacing w:line="240" w:lineRule="auto"/>
              <w:ind w:firstLine="0" w:firstLineChars="0"/>
              <w:rPr>
                <w:rFonts w:ascii="微软雅黑" w:hAnsi="微软雅黑"/>
                <w:color w:val="auto"/>
                <w:szCs w:val="21"/>
                <w:highlight w:val="none"/>
              </w:rPr>
            </w:pPr>
          </w:p>
        </w:tc>
        <w:tc>
          <w:tcPr>
            <w:tcW w:w="1896" w:type="dxa"/>
            <w:tcBorders>
              <w:top w:val="single" w:color="auto" w:sz="4" w:space="0"/>
              <w:left w:val="single" w:color="auto" w:sz="4" w:space="0"/>
              <w:bottom w:val="single" w:color="auto" w:sz="4" w:space="0"/>
              <w:right w:val="single" w:color="auto" w:sz="4" w:space="0"/>
            </w:tcBorders>
            <w:vAlign w:val="center"/>
          </w:tcPr>
          <w:p w14:paraId="7BB0A2E0">
            <w:pPr>
              <w:pStyle w:val="28"/>
              <w:snapToGrid w:val="0"/>
              <w:spacing w:line="240" w:lineRule="auto"/>
              <w:ind w:firstLine="0" w:firstLineChars="0"/>
              <w:rPr>
                <w:rFonts w:ascii="微软雅黑" w:hAnsi="微软雅黑"/>
                <w:color w:val="auto"/>
                <w:szCs w:val="21"/>
                <w:highlight w:val="none"/>
              </w:rPr>
            </w:pPr>
          </w:p>
        </w:tc>
        <w:tc>
          <w:tcPr>
            <w:tcW w:w="1896" w:type="dxa"/>
            <w:tcBorders>
              <w:top w:val="single" w:color="auto" w:sz="4" w:space="0"/>
              <w:left w:val="single" w:color="auto" w:sz="4" w:space="0"/>
              <w:bottom w:val="single" w:color="auto" w:sz="4" w:space="0"/>
              <w:right w:val="single" w:color="auto" w:sz="4" w:space="0"/>
            </w:tcBorders>
          </w:tcPr>
          <w:p w14:paraId="42657192">
            <w:pPr>
              <w:pStyle w:val="28"/>
              <w:snapToGrid w:val="0"/>
              <w:spacing w:line="240" w:lineRule="auto"/>
              <w:ind w:firstLine="0" w:firstLineChars="0"/>
              <w:rPr>
                <w:rFonts w:ascii="微软雅黑" w:hAnsi="微软雅黑"/>
                <w:color w:val="auto"/>
                <w:szCs w:val="21"/>
                <w:highlight w:val="none"/>
              </w:rPr>
            </w:pPr>
          </w:p>
        </w:tc>
        <w:tc>
          <w:tcPr>
            <w:tcW w:w="2410" w:type="dxa"/>
            <w:tcBorders>
              <w:top w:val="single" w:color="auto" w:sz="4" w:space="0"/>
              <w:left w:val="single" w:color="auto" w:sz="4" w:space="0"/>
              <w:bottom w:val="single" w:color="auto" w:sz="4" w:space="0"/>
              <w:right w:val="single" w:color="auto" w:sz="4" w:space="0"/>
            </w:tcBorders>
          </w:tcPr>
          <w:p w14:paraId="48C2D42B">
            <w:pPr>
              <w:pStyle w:val="28"/>
              <w:snapToGrid w:val="0"/>
              <w:spacing w:line="240" w:lineRule="auto"/>
              <w:ind w:firstLine="0" w:firstLineChars="0"/>
              <w:rPr>
                <w:rFonts w:ascii="微软雅黑" w:hAnsi="微软雅黑"/>
                <w:color w:val="auto"/>
                <w:szCs w:val="21"/>
                <w:highlight w:val="none"/>
              </w:rPr>
            </w:pPr>
          </w:p>
        </w:tc>
        <w:tc>
          <w:tcPr>
            <w:tcW w:w="1337" w:type="dxa"/>
            <w:tcBorders>
              <w:top w:val="single" w:color="auto" w:sz="4" w:space="0"/>
              <w:left w:val="single" w:color="auto" w:sz="4" w:space="0"/>
              <w:bottom w:val="single" w:color="auto" w:sz="4" w:space="0"/>
              <w:right w:val="single" w:color="auto" w:sz="4" w:space="0"/>
            </w:tcBorders>
          </w:tcPr>
          <w:p w14:paraId="75523F33">
            <w:pPr>
              <w:pStyle w:val="28"/>
              <w:snapToGrid w:val="0"/>
              <w:spacing w:line="240" w:lineRule="auto"/>
              <w:ind w:firstLine="0" w:firstLineChars="0"/>
              <w:rPr>
                <w:rFonts w:ascii="微软雅黑" w:hAnsi="微软雅黑"/>
                <w:color w:val="auto"/>
                <w:szCs w:val="21"/>
                <w:highlight w:val="none"/>
              </w:rPr>
            </w:pPr>
          </w:p>
        </w:tc>
      </w:tr>
      <w:tr w14:paraId="30A2464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41" w:hRule="atLeast"/>
        </w:trPr>
        <w:tc>
          <w:tcPr>
            <w:tcW w:w="636" w:type="dxa"/>
            <w:tcBorders>
              <w:top w:val="single" w:color="auto" w:sz="4" w:space="0"/>
              <w:left w:val="single" w:color="auto" w:sz="4" w:space="0"/>
              <w:bottom w:val="single" w:color="auto" w:sz="4" w:space="0"/>
              <w:right w:val="single" w:color="auto" w:sz="4" w:space="0"/>
            </w:tcBorders>
            <w:vAlign w:val="center"/>
          </w:tcPr>
          <w:p w14:paraId="55794C53">
            <w:pPr>
              <w:pStyle w:val="28"/>
              <w:snapToGrid w:val="0"/>
              <w:spacing w:line="240" w:lineRule="auto"/>
              <w:ind w:firstLine="0" w:firstLineChars="0"/>
              <w:jc w:val="center"/>
              <w:rPr>
                <w:rFonts w:hint="default" w:ascii="微软雅黑" w:hAnsi="微软雅黑" w:eastAsia="微软雅黑"/>
                <w:color w:val="auto"/>
                <w:szCs w:val="21"/>
                <w:highlight w:val="none"/>
                <w:lang w:val="en-US" w:eastAsia="zh-CN"/>
              </w:rPr>
            </w:pPr>
            <w:r>
              <w:rPr>
                <w:rFonts w:hint="eastAsia" w:ascii="微软雅黑" w:hAnsi="微软雅黑"/>
                <w:color w:val="auto"/>
                <w:szCs w:val="21"/>
                <w:highlight w:val="none"/>
                <w:lang w:val="en-US" w:eastAsia="zh-CN"/>
              </w:rPr>
              <w:t>......</w:t>
            </w:r>
          </w:p>
        </w:tc>
        <w:tc>
          <w:tcPr>
            <w:tcW w:w="1056" w:type="dxa"/>
            <w:tcBorders>
              <w:top w:val="single" w:color="auto" w:sz="4" w:space="0"/>
              <w:left w:val="single" w:color="auto" w:sz="4" w:space="0"/>
              <w:bottom w:val="single" w:color="auto" w:sz="4" w:space="0"/>
              <w:right w:val="single" w:color="auto" w:sz="4" w:space="0"/>
            </w:tcBorders>
          </w:tcPr>
          <w:p w14:paraId="2971DCDA">
            <w:pPr>
              <w:pStyle w:val="28"/>
              <w:snapToGrid w:val="0"/>
              <w:spacing w:line="240" w:lineRule="auto"/>
              <w:ind w:firstLine="0" w:firstLineChars="0"/>
              <w:rPr>
                <w:rFonts w:ascii="微软雅黑" w:hAnsi="微软雅黑"/>
                <w:color w:val="auto"/>
                <w:szCs w:val="21"/>
                <w:highlight w:val="none"/>
              </w:rPr>
            </w:pPr>
          </w:p>
        </w:tc>
        <w:tc>
          <w:tcPr>
            <w:tcW w:w="1896" w:type="dxa"/>
            <w:tcBorders>
              <w:top w:val="single" w:color="auto" w:sz="4" w:space="0"/>
              <w:left w:val="single" w:color="auto" w:sz="4" w:space="0"/>
              <w:bottom w:val="single" w:color="auto" w:sz="4" w:space="0"/>
              <w:right w:val="single" w:color="auto" w:sz="4" w:space="0"/>
            </w:tcBorders>
            <w:vAlign w:val="center"/>
          </w:tcPr>
          <w:p w14:paraId="103262BA">
            <w:pPr>
              <w:pStyle w:val="28"/>
              <w:snapToGrid w:val="0"/>
              <w:spacing w:line="240" w:lineRule="auto"/>
              <w:ind w:firstLine="0" w:firstLineChars="0"/>
              <w:rPr>
                <w:rFonts w:ascii="微软雅黑" w:hAnsi="微软雅黑"/>
                <w:color w:val="auto"/>
                <w:szCs w:val="21"/>
                <w:highlight w:val="none"/>
              </w:rPr>
            </w:pPr>
          </w:p>
        </w:tc>
        <w:tc>
          <w:tcPr>
            <w:tcW w:w="1896" w:type="dxa"/>
            <w:tcBorders>
              <w:top w:val="single" w:color="auto" w:sz="4" w:space="0"/>
              <w:left w:val="single" w:color="auto" w:sz="4" w:space="0"/>
              <w:bottom w:val="single" w:color="auto" w:sz="4" w:space="0"/>
              <w:right w:val="single" w:color="auto" w:sz="4" w:space="0"/>
            </w:tcBorders>
          </w:tcPr>
          <w:p w14:paraId="780230A4">
            <w:pPr>
              <w:pStyle w:val="28"/>
              <w:snapToGrid w:val="0"/>
              <w:spacing w:line="240" w:lineRule="auto"/>
              <w:ind w:firstLine="0" w:firstLineChars="0"/>
              <w:rPr>
                <w:rFonts w:ascii="微软雅黑" w:hAnsi="微软雅黑"/>
                <w:color w:val="auto"/>
                <w:szCs w:val="21"/>
                <w:highlight w:val="none"/>
              </w:rPr>
            </w:pPr>
          </w:p>
        </w:tc>
        <w:tc>
          <w:tcPr>
            <w:tcW w:w="2410" w:type="dxa"/>
            <w:tcBorders>
              <w:top w:val="single" w:color="auto" w:sz="4" w:space="0"/>
              <w:left w:val="single" w:color="auto" w:sz="4" w:space="0"/>
              <w:bottom w:val="single" w:color="auto" w:sz="4" w:space="0"/>
              <w:right w:val="single" w:color="auto" w:sz="4" w:space="0"/>
            </w:tcBorders>
          </w:tcPr>
          <w:p w14:paraId="0710F0D4">
            <w:pPr>
              <w:pStyle w:val="28"/>
              <w:snapToGrid w:val="0"/>
              <w:spacing w:line="240" w:lineRule="auto"/>
              <w:ind w:firstLine="0" w:firstLineChars="0"/>
              <w:rPr>
                <w:rFonts w:ascii="微软雅黑" w:hAnsi="微软雅黑"/>
                <w:color w:val="auto"/>
                <w:szCs w:val="21"/>
                <w:highlight w:val="none"/>
              </w:rPr>
            </w:pPr>
          </w:p>
        </w:tc>
        <w:tc>
          <w:tcPr>
            <w:tcW w:w="1337" w:type="dxa"/>
            <w:tcBorders>
              <w:top w:val="single" w:color="auto" w:sz="4" w:space="0"/>
              <w:left w:val="single" w:color="auto" w:sz="4" w:space="0"/>
              <w:bottom w:val="single" w:color="auto" w:sz="4" w:space="0"/>
              <w:right w:val="single" w:color="auto" w:sz="4" w:space="0"/>
            </w:tcBorders>
          </w:tcPr>
          <w:p w14:paraId="2FF3A233">
            <w:pPr>
              <w:pStyle w:val="28"/>
              <w:snapToGrid w:val="0"/>
              <w:spacing w:line="240" w:lineRule="auto"/>
              <w:ind w:firstLine="0" w:firstLineChars="0"/>
              <w:rPr>
                <w:rFonts w:ascii="微软雅黑" w:hAnsi="微软雅黑"/>
                <w:color w:val="auto"/>
                <w:szCs w:val="21"/>
                <w:highlight w:val="none"/>
              </w:rPr>
            </w:pPr>
          </w:p>
        </w:tc>
      </w:tr>
    </w:tbl>
    <w:p w14:paraId="5C701EFD">
      <w:pPr>
        <w:pStyle w:val="17"/>
        <w:ind w:firstLine="420"/>
        <w:rPr>
          <w:rFonts w:ascii="微软雅黑" w:hAnsi="微软雅黑"/>
          <w:color w:val="auto"/>
          <w:sz w:val="21"/>
          <w:szCs w:val="21"/>
          <w:highlight w:val="none"/>
        </w:rPr>
      </w:pPr>
      <w:r>
        <w:rPr>
          <w:rFonts w:ascii="微软雅黑" w:hAnsi="微软雅黑"/>
          <w:color w:val="auto"/>
          <w:sz w:val="21"/>
          <w:szCs w:val="21"/>
          <w:highlight w:val="none"/>
        </w:rPr>
        <w:t>注：供应商应根据投标产品的性能指标、对照招标文件要求注明“正偏离”、“负偏离”或“无偏离”。</w:t>
      </w:r>
    </w:p>
    <w:p w14:paraId="5461A507">
      <w:pPr>
        <w:snapToGrid w:val="0"/>
        <w:spacing w:before="120" w:beforeLines="50"/>
        <w:ind w:firstLine="420"/>
        <w:jc w:val="center"/>
        <w:rPr>
          <w:rFonts w:ascii="微软雅黑" w:hAnsi="微软雅黑"/>
          <w:color w:val="auto"/>
          <w:szCs w:val="21"/>
          <w:highlight w:val="none"/>
          <w:u w:val="single"/>
        </w:rPr>
      </w:pPr>
      <w:r>
        <w:rPr>
          <w:rFonts w:hint="eastAsia" w:ascii="微软雅黑" w:hAnsi="微软雅黑" w:cs="Arial"/>
          <w:color w:val="auto"/>
          <w:kern w:val="0"/>
          <w:szCs w:val="21"/>
          <w:highlight w:val="none"/>
        </w:rPr>
        <w:t xml:space="preserve"> 法定代表人或</w:t>
      </w:r>
      <w:r>
        <w:rPr>
          <w:rFonts w:hint="eastAsia" w:ascii="微软雅黑" w:hAnsi="微软雅黑"/>
          <w:color w:val="auto"/>
          <w:szCs w:val="21"/>
          <w:highlight w:val="none"/>
        </w:rPr>
        <w:t>被授权人签字（或盖章）：</w:t>
      </w:r>
    </w:p>
    <w:p w14:paraId="4104E492">
      <w:pPr>
        <w:pStyle w:val="122"/>
        <w:ind w:firstLine="420"/>
        <w:jc w:val="center"/>
        <w:rPr>
          <w:rFonts w:ascii="微软雅黑" w:hAnsi="微软雅黑" w:eastAsia="微软雅黑" w:cs="宋体"/>
          <w:color w:val="auto"/>
          <w:sz w:val="21"/>
          <w:szCs w:val="21"/>
          <w:highlight w:val="none"/>
        </w:rPr>
      </w:pPr>
      <w:r>
        <w:rPr>
          <w:rFonts w:hint="eastAsia" w:ascii="微软雅黑" w:hAnsi="微软雅黑" w:eastAsia="微软雅黑" w:cs="宋体"/>
          <w:color w:val="auto"/>
          <w:sz w:val="21"/>
          <w:szCs w:val="21"/>
          <w:highlight w:val="none"/>
        </w:rPr>
        <w:t xml:space="preserve">             供应商名称（公章）：</w:t>
      </w:r>
    </w:p>
    <w:p w14:paraId="73C18582">
      <w:pPr>
        <w:pStyle w:val="122"/>
        <w:ind w:firstLine="420"/>
        <w:jc w:val="center"/>
        <w:rPr>
          <w:rFonts w:ascii="微软雅黑" w:hAnsi="微软雅黑" w:eastAsia="微软雅黑"/>
          <w:color w:val="auto"/>
          <w:sz w:val="21"/>
          <w:szCs w:val="21"/>
          <w:highlight w:val="none"/>
        </w:rPr>
      </w:pPr>
      <w:r>
        <w:rPr>
          <w:rFonts w:hint="eastAsia" w:ascii="微软雅黑" w:hAnsi="微软雅黑" w:eastAsia="微软雅黑"/>
          <w:color w:val="auto"/>
          <w:sz w:val="21"/>
          <w:szCs w:val="21"/>
          <w:highlight w:val="none"/>
        </w:rPr>
        <w:t xml:space="preserve">          日期： 年 月 日</w:t>
      </w:r>
    </w:p>
    <w:p w14:paraId="622BCF93">
      <w:pPr>
        <w:pStyle w:val="293"/>
        <w:spacing w:line="360" w:lineRule="auto"/>
        <w:ind w:firstLine="482"/>
        <w:rPr>
          <w:rFonts w:ascii="Times New Roman" w:hAnsi="Times New Roman" w:eastAsia="宋体"/>
          <w:b/>
          <w:color w:val="auto"/>
          <w:sz w:val="24"/>
          <w:szCs w:val="24"/>
          <w:highlight w:val="none"/>
        </w:rPr>
      </w:pPr>
    </w:p>
    <w:p w14:paraId="5AFE243A">
      <w:pPr>
        <w:pStyle w:val="293"/>
        <w:spacing w:line="360" w:lineRule="auto"/>
        <w:ind w:firstLine="482"/>
        <w:rPr>
          <w:rFonts w:ascii="Times New Roman" w:hAnsi="Times New Roman" w:eastAsia="宋体"/>
          <w:b/>
          <w:color w:val="auto"/>
          <w:sz w:val="24"/>
          <w:szCs w:val="24"/>
          <w:highlight w:val="none"/>
        </w:rPr>
        <w:sectPr>
          <w:pgSz w:w="11907" w:h="16840"/>
          <w:pgMar w:top="1276" w:right="1418" w:bottom="1247" w:left="1418" w:header="851" w:footer="992" w:gutter="0"/>
          <w:cols w:space="720" w:num="1"/>
          <w:titlePg/>
          <w:docGrid w:linePitch="312" w:charSpace="0"/>
        </w:sectPr>
      </w:pPr>
    </w:p>
    <w:p w14:paraId="72FBB549">
      <w:pPr>
        <w:pStyle w:val="293"/>
        <w:spacing w:line="360" w:lineRule="auto"/>
        <w:ind w:firstLine="482"/>
        <w:rPr>
          <w:rFonts w:ascii="微软雅黑" w:hAnsi="微软雅黑" w:eastAsia="微软雅黑"/>
          <w:b/>
          <w:color w:val="auto"/>
          <w:sz w:val="21"/>
          <w:szCs w:val="21"/>
          <w:highlight w:val="none"/>
        </w:rPr>
        <w:sectPr>
          <w:type w:val="continuous"/>
          <w:pgSz w:w="11907" w:h="16840"/>
          <w:pgMar w:top="1276" w:right="1418" w:bottom="1247" w:left="1418" w:header="851" w:footer="992" w:gutter="0"/>
          <w:cols w:space="720" w:num="1"/>
          <w:titlePg/>
          <w:docGrid w:linePitch="312" w:charSpace="0"/>
        </w:sectPr>
      </w:pPr>
    </w:p>
    <w:p w14:paraId="1833BC28">
      <w:pPr>
        <w:pStyle w:val="293"/>
        <w:spacing w:line="360" w:lineRule="auto"/>
        <w:ind w:firstLine="482"/>
        <w:rPr>
          <w:rFonts w:ascii="微软雅黑" w:hAnsi="微软雅黑" w:eastAsia="微软雅黑"/>
          <w:b/>
          <w:color w:val="auto"/>
          <w:sz w:val="21"/>
          <w:szCs w:val="21"/>
          <w:highlight w:val="none"/>
        </w:rPr>
      </w:pPr>
      <w:r>
        <w:rPr>
          <w:rFonts w:hint="eastAsia" w:ascii="微软雅黑" w:hAnsi="微软雅黑" w:eastAsia="微软雅黑"/>
          <w:b/>
          <w:color w:val="auto"/>
          <w:sz w:val="21"/>
          <w:szCs w:val="21"/>
          <w:highlight w:val="none"/>
        </w:rPr>
        <w:t>5</w:t>
      </w:r>
      <w:r>
        <w:rPr>
          <w:rFonts w:ascii="微软雅黑" w:hAnsi="微软雅黑" w:eastAsia="微软雅黑"/>
          <w:b/>
          <w:color w:val="auto"/>
          <w:sz w:val="21"/>
          <w:szCs w:val="21"/>
          <w:highlight w:val="none"/>
        </w:rPr>
        <w:t>. 项目实施人员一览表</w:t>
      </w:r>
    </w:p>
    <w:p w14:paraId="13C61C35">
      <w:pPr>
        <w:pStyle w:val="28"/>
        <w:adjustRightInd w:val="0"/>
        <w:spacing w:before="120" w:after="120"/>
        <w:ind w:firstLine="420"/>
        <w:jc w:val="center"/>
        <w:textAlignment w:val="baseline"/>
        <w:rPr>
          <w:rFonts w:ascii="微软雅黑" w:hAnsi="微软雅黑"/>
          <w:color w:val="auto"/>
          <w:szCs w:val="21"/>
          <w:highlight w:val="none"/>
        </w:rPr>
      </w:pPr>
      <w:r>
        <w:rPr>
          <w:rFonts w:ascii="微软雅黑" w:hAnsi="微软雅黑"/>
          <w:b/>
          <w:color w:val="auto"/>
          <w:szCs w:val="21"/>
          <w:highlight w:val="none"/>
        </w:rPr>
        <w:t>项目实施人员一览表</w:t>
      </w:r>
    </w:p>
    <w:tbl>
      <w:tblPr>
        <w:tblStyle w:val="52"/>
        <w:tblW w:w="9344"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85"/>
        <w:gridCol w:w="1074"/>
        <w:gridCol w:w="970"/>
        <w:gridCol w:w="709"/>
        <w:gridCol w:w="1254"/>
        <w:gridCol w:w="1454"/>
        <w:gridCol w:w="1134"/>
        <w:gridCol w:w="2164"/>
      </w:tblGrid>
      <w:tr w14:paraId="5DF97D2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trPr>
        <w:tc>
          <w:tcPr>
            <w:tcW w:w="585" w:type="dxa"/>
            <w:tcBorders>
              <w:top w:val="single" w:color="auto" w:sz="4" w:space="0"/>
              <w:left w:val="single" w:color="auto" w:sz="4" w:space="0"/>
              <w:bottom w:val="single" w:color="auto" w:sz="4" w:space="0"/>
              <w:right w:val="single" w:color="auto" w:sz="4" w:space="0"/>
            </w:tcBorders>
            <w:vAlign w:val="center"/>
          </w:tcPr>
          <w:p w14:paraId="3234D048">
            <w:pPr>
              <w:pStyle w:val="33"/>
              <w:spacing w:line="240" w:lineRule="auto"/>
              <w:ind w:firstLine="0" w:firstLineChars="0"/>
              <w:jc w:val="center"/>
              <w:rPr>
                <w:rFonts w:ascii="微软雅黑" w:hAnsi="微软雅黑"/>
                <w:color w:val="auto"/>
                <w:sz w:val="21"/>
                <w:szCs w:val="21"/>
                <w:highlight w:val="none"/>
              </w:rPr>
            </w:pPr>
            <w:r>
              <w:rPr>
                <w:rFonts w:ascii="微软雅黑" w:hAnsi="微软雅黑"/>
                <w:color w:val="auto"/>
                <w:sz w:val="21"/>
                <w:szCs w:val="21"/>
                <w:highlight w:val="none"/>
              </w:rPr>
              <w:t>序号</w:t>
            </w:r>
          </w:p>
        </w:tc>
        <w:tc>
          <w:tcPr>
            <w:tcW w:w="1074" w:type="dxa"/>
            <w:tcBorders>
              <w:top w:val="single" w:color="auto" w:sz="4" w:space="0"/>
              <w:left w:val="single" w:color="auto" w:sz="4" w:space="0"/>
              <w:bottom w:val="single" w:color="auto" w:sz="4" w:space="0"/>
              <w:right w:val="single" w:color="auto" w:sz="4" w:space="0"/>
            </w:tcBorders>
            <w:vAlign w:val="center"/>
          </w:tcPr>
          <w:p w14:paraId="2F272862">
            <w:pPr>
              <w:pStyle w:val="33"/>
              <w:spacing w:line="240" w:lineRule="auto"/>
              <w:ind w:firstLine="0" w:firstLineChars="0"/>
              <w:jc w:val="center"/>
              <w:rPr>
                <w:rFonts w:ascii="微软雅黑" w:hAnsi="微软雅黑"/>
                <w:color w:val="auto"/>
                <w:sz w:val="21"/>
                <w:szCs w:val="21"/>
                <w:highlight w:val="none"/>
              </w:rPr>
            </w:pPr>
            <w:r>
              <w:rPr>
                <w:rFonts w:ascii="微软雅黑" w:hAnsi="微软雅黑"/>
                <w:color w:val="auto"/>
                <w:sz w:val="21"/>
                <w:szCs w:val="21"/>
                <w:highlight w:val="none"/>
              </w:rPr>
              <w:t>项目组所任职务</w:t>
            </w:r>
          </w:p>
        </w:tc>
        <w:tc>
          <w:tcPr>
            <w:tcW w:w="970" w:type="dxa"/>
            <w:tcBorders>
              <w:top w:val="single" w:color="auto" w:sz="4" w:space="0"/>
              <w:left w:val="single" w:color="auto" w:sz="4" w:space="0"/>
              <w:bottom w:val="single" w:color="auto" w:sz="4" w:space="0"/>
              <w:right w:val="single" w:color="auto" w:sz="4" w:space="0"/>
            </w:tcBorders>
            <w:vAlign w:val="center"/>
          </w:tcPr>
          <w:p w14:paraId="0C45035C">
            <w:pPr>
              <w:pStyle w:val="33"/>
              <w:spacing w:line="240" w:lineRule="auto"/>
              <w:ind w:firstLine="0" w:firstLineChars="0"/>
              <w:jc w:val="center"/>
              <w:rPr>
                <w:rFonts w:ascii="微软雅黑" w:hAnsi="微软雅黑"/>
                <w:color w:val="auto"/>
                <w:sz w:val="21"/>
                <w:szCs w:val="21"/>
                <w:highlight w:val="none"/>
              </w:rPr>
            </w:pPr>
            <w:r>
              <w:rPr>
                <w:rFonts w:ascii="微软雅黑" w:hAnsi="微软雅黑"/>
                <w:color w:val="auto"/>
                <w:sz w:val="21"/>
                <w:szCs w:val="21"/>
                <w:highlight w:val="none"/>
              </w:rPr>
              <w:t>姓名</w:t>
            </w:r>
          </w:p>
        </w:tc>
        <w:tc>
          <w:tcPr>
            <w:tcW w:w="709" w:type="dxa"/>
            <w:tcBorders>
              <w:top w:val="single" w:color="auto" w:sz="4" w:space="0"/>
              <w:left w:val="single" w:color="auto" w:sz="4" w:space="0"/>
              <w:bottom w:val="single" w:color="auto" w:sz="4" w:space="0"/>
              <w:right w:val="single" w:color="auto" w:sz="4" w:space="0"/>
            </w:tcBorders>
            <w:vAlign w:val="center"/>
          </w:tcPr>
          <w:p w14:paraId="4E9E8609">
            <w:pPr>
              <w:pStyle w:val="33"/>
              <w:spacing w:line="240" w:lineRule="auto"/>
              <w:ind w:firstLine="0" w:firstLineChars="0"/>
              <w:jc w:val="center"/>
              <w:rPr>
                <w:rFonts w:ascii="微软雅黑" w:hAnsi="微软雅黑"/>
                <w:color w:val="auto"/>
                <w:sz w:val="21"/>
                <w:szCs w:val="21"/>
                <w:highlight w:val="none"/>
              </w:rPr>
            </w:pPr>
            <w:r>
              <w:rPr>
                <w:rFonts w:ascii="微软雅黑" w:hAnsi="微软雅黑"/>
                <w:color w:val="auto"/>
                <w:sz w:val="21"/>
                <w:szCs w:val="21"/>
                <w:highlight w:val="none"/>
              </w:rPr>
              <w:t>职称</w:t>
            </w:r>
          </w:p>
        </w:tc>
        <w:tc>
          <w:tcPr>
            <w:tcW w:w="1254" w:type="dxa"/>
            <w:tcBorders>
              <w:top w:val="single" w:color="auto" w:sz="4" w:space="0"/>
              <w:left w:val="single" w:color="auto" w:sz="4" w:space="0"/>
              <w:bottom w:val="single" w:color="auto" w:sz="4" w:space="0"/>
              <w:right w:val="single" w:color="auto" w:sz="4" w:space="0"/>
            </w:tcBorders>
            <w:vAlign w:val="center"/>
          </w:tcPr>
          <w:p w14:paraId="3288E827">
            <w:pPr>
              <w:pStyle w:val="33"/>
              <w:spacing w:line="240" w:lineRule="auto"/>
              <w:ind w:firstLine="0" w:firstLineChars="0"/>
              <w:jc w:val="center"/>
              <w:rPr>
                <w:rFonts w:ascii="微软雅黑" w:hAnsi="微软雅黑"/>
                <w:color w:val="auto"/>
                <w:sz w:val="21"/>
                <w:szCs w:val="21"/>
                <w:highlight w:val="none"/>
              </w:rPr>
            </w:pPr>
            <w:r>
              <w:rPr>
                <w:rFonts w:ascii="微软雅黑" w:hAnsi="微软雅黑"/>
                <w:color w:val="auto"/>
                <w:sz w:val="21"/>
                <w:szCs w:val="21"/>
                <w:highlight w:val="none"/>
              </w:rPr>
              <w:t>专业技术资格</w:t>
            </w:r>
          </w:p>
        </w:tc>
        <w:tc>
          <w:tcPr>
            <w:tcW w:w="1454" w:type="dxa"/>
            <w:tcBorders>
              <w:top w:val="single" w:color="auto" w:sz="4" w:space="0"/>
              <w:left w:val="single" w:color="auto" w:sz="4" w:space="0"/>
              <w:bottom w:val="single" w:color="auto" w:sz="4" w:space="0"/>
              <w:right w:val="single" w:color="auto" w:sz="4" w:space="0"/>
            </w:tcBorders>
            <w:vAlign w:val="center"/>
          </w:tcPr>
          <w:p w14:paraId="493EF4B0">
            <w:pPr>
              <w:pStyle w:val="33"/>
              <w:spacing w:line="240" w:lineRule="auto"/>
              <w:ind w:firstLine="0" w:firstLineChars="0"/>
              <w:jc w:val="center"/>
              <w:rPr>
                <w:rFonts w:ascii="微软雅黑" w:hAnsi="微软雅黑"/>
                <w:color w:val="auto"/>
                <w:sz w:val="21"/>
                <w:szCs w:val="21"/>
                <w:highlight w:val="none"/>
              </w:rPr>
            </w:pPr>
            <w:r>
              <w:rPr>
                <w:rFonts w:ascii="微软雅黑" w:hAnsi="微软雅黑"/>
                <w:color w:val="auto"/>
                <w:sz w:val="21"/>
                <w:szCs w:val="21"/>
                <w:highlight w:val="none"/>
              </w:rPr>
              <w:t>专业技术资格证书编号</w:t>
            </w:r>
          </w:p>
        </w:tc>
        <w:tc>
          <w:tcPr>
            <w:tcW w:w="1134" w:type="dxa"/>
            <w:tcBorders>
              <w:top w:val="single" w:color="auto" w:sz="4" w:space="0"/>
              <w:left w:val="single" w:color="auto" w:sz="4" w:space="0"/>
              <w:bottom w:val="single" w:color="auto" w:sz="4" w:space="0"/>
              <w:right w:val="single" w:color="auto" w:sz="4" w:space="0"/>
            </w:tcBorders>
            <w:vAlign w:val="center"/>
          </w:tcPr>
          <w:p w14:paraId="0F3DD995">
            <w:pPr>
              <w:pStyle w:val="33"/>
              <w:spacing w:line="240" w:lineRule="auto"/>
              <w:ind w:firstLine="0" w:firstLineChars="0"/>
              <w:jc w:val="center"/>
              <w:rPr>
                <w:rFonts w:ascii="微软雅黑" w:hAnsi="微软雅黑"/>
                <w:color w:val="auto"/>
                <w:sz w:val="21"/>
                <w:szCs w:val="21"/>
                <w:highlight w:val="none"/>
              </w:rPr>
            </w:pPr>
            <w:r>
              <w:rPr>
                <w:rFonts w:ascii="微软雅黑" w:hAnsi="微软雅黑"/>
                <w:color w:val="auto"/>
                <w:sz w:val="21"/>
                <w:szCs w:val="21"/>
                <w:highlight w:val="none"/>
              </w:rPr>
              <w:t>从事本工作时间</w:t>
            </w:r>
          </w:p>
        </w:tc>
        <w:tc>
          <w:tcPr>
            <w:tcW w:w="2164" w:type="dxa"/>
            <w:tcBorders>
              <w:top w:val="single" w:color="auto" w:sz="4" w:space="0"/>
              <w:left w:val="single" w:color="auto" w:sz="4" w:space="0"/>
              <w:bottom w:val="single" w:color="auto" w:sz="4" w:space="0"/>
              <w:right w:val="single" w:color="auto" w:sz="4" w:space="0"/>
            </w:tcBorders>
            <w:vAlign w:val="center"/>
          </w:tcPr>
          <w:p w14:paraId="52D0F435">
            <w:pPr>
              <w:pStyle w:val="33"/>
              <w:spacing w:line="240" w:lineRule="auto"/>
              <w:ind w:firstLine="0" w:firstLineChars="0"/>
              <w:jc w:val="center"/>
              <w:rPr>
                <w:rFonts w:ascii="微软雅黑" w:hAnsi="微软雅黑"/>
                <w:color w:val="auto"/>
                <w:sz w:val="21"/>
                <w:szCs w:val="21"/>
                <w:highlight w:val="none"/>
              </w:rPr>
            </w:pPr>
            <w:r>
              <w:rPr>
                <w:rFonts w:ascii="微软雅黑" w:hAnsi="微软雅黑"/>
                <w:color w:val="auto"/>
                <w:sz w:val="21"/>
                <w:szCs w:val="21"/>
                <w:highlight w:val="none"/>
              </w:rPr>
              <w:t>典型业务</w:t>
            </w:r>
          </w:p>
          <w:p w14:paraId="35356F3E">
            <w:pPr>
              <w:pStyle w:val="33"/>
              <w:spacing w:line="240" w:lineRule="auto"/>
              <w:ind w:firstLine="0" w:firstLineChars="0"/>
              <w:jc w:val="center"/>
              <w:rPr>
                <w:rFonts w:ascii="微软雅黑" w:hAnsi="微软雅黑"/>
                <w:color w:val="auto"/>
                <w:sz w:val="21"/>
                <w:szCs w:val="21"/>
                <w:highlight w:val="none"/>
              </w:rPr>
            </w:pPr>
            <w:r>
              <w:rPr>
                <w:rFonts w:ascii="微软雅黑" w:hAnsi="微软雅黑"/>
                <w:color w:val="auto"/>
                <w:sz w:val="21"/>
                <w:szCs w:val="21"/>
                <w:highlight w:val="none"/>
              </w:rPr>
              <w:t>与技术专长</w:t>
            </w:r>
          </w:p>
        </w:tc>
      </w:tr>
      <w:tr w14:paraId="54A855B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585" w:type="dxa"/>
            <w:tcBorders>
              <w:top w:val="single" w:color="auto" w:sz="4" w:space="0"/>
              <w:left w:val="single" w:color="auto" w:sz="4" w:space="0"/>
              <w:bottom w:val="single" w:color="auto" w:sz="4" w:space="0"/>
              <w:right w:val="single" w:color="auto" w:sz="4" w:space="0"/>
            </w:tcBorders>
            <w:vAlign w:val="center"/>
          </w:tcPr>
          <w:p w14:paraId="47425280">
            <w:pPr>
              <w:pStyle w:val="33"/>
              <w:spacing w:line="240" w:lineRule="auto"/>
              <w:ind w:firstLine="0" w:firstLineChars="0"/>
              <w:jc w:val="center"/>
              <w:rPr>
                <w:rFonts w:ascii="微软雅黑" w:hAnsi="微软雅黑"/>
                <w:color w:val="auto"/>
                <w:sz w:val="21"/>
                <w:szCs w:val="21"/>
                <w:highlight w:val="none"/>
              </w:rPr>
            </w:pPr>
            <w:r>
              <w:rPr>
                <w:rFonts w:ascii="微软雅黑" w:hAnsi="微软雅黑"/>
                <w:color w:val="auto"/>
                <w:sz w:val="21"/>
                <w:szCs w:val="21"/>
                <w:highlight w:val="none"/>
              </w:rPr>
              <w:t>1</w:t>
            </w:r>
          </w:p>
        </w:tc>
        <w:tc>
          <w:tcPr>
            <w:tcW w:w="1074" w:type="dxa"/>
            <w:tcBorders>
              <w:top w:val="single" w:color="auto" w:sz="4" w:space="0"/>
              <w:left w:val="single" w:color="auto" w:sz="4" w:space="0"/>
              <w:bottom w:val="single" w:color="auto" w:sz="4" w:space="0"/>
              <w:right w:val="single" w:color="auto" w:sz="4" w:space="0"/>
            </w:tcBorders>
            <w:vAlign w:val="center"/>
          </w:tcPr>
          <w:p w14:paraId="5663C779">
            <w:pPr>
              <w:pStyle w:val="33"/>
              <w:spacing w:line="240" w:lineRule="auto"/>
              <w:ind w:firstLine="0" w:firstLineChars="0"/>
              <w:jc w:val="center"/>
              <w:rPr>
                <w:rFonts w:ascii="微软雅黑" w:hAnsi="微软雅黑"/>
                <w:color w:val="auto"/>
                <w:sz w:val="21"/>
                <w:szCs w:val="21"/>
                <w:highlight w:val="none"/>
              </w:rPr>
            </w:pPr>
          </w:p>
        </w:tc>
        <w:tc>
          <w:tcPr>
            <w:tcW w:w="970" w:type="dxa"/>
            <w:tcBorders>
              <w:top w:val="single" w:color="auto" w:sz="4" w:space="0"/>
              <w:left w:val="single" w:color="auto" w:sz="4" w:space="0"/>
              <w:bottom w:val="single" w:color="auto" w:sz="4" w:space="0"/>
              <w:right w:val="single" w:color="auto" w:sz="4" w:space="0"/>
            </w:tcBorders>
            <w:vAlign w:val="center"/>
          </w:tcPr>
          <w:p w14:paraId="4CE85807">
            <w:pPr>
              <w:pStyle w:val="33"/>
              <w:spacing w:line="240" w:lineRule="auto"/>
              <w:ind w:firstLine="0" w:firstLineChars="0"/>
              <w:jc w:val="center"/>
              <w:rPr>
                <w:rFonts w:ascii="微软雅黑" w:hAnsi="微软雅黑"/>
                <w:color w:val="auto"/>
                <w:sz w:val="21"/>
                <w:szCs w:val="21"/>
                <w:highlight w:val="none"/>
              </w:rPr>
            </w:pPr>
          </w:p>
        </w:tc>
        <w:tc>
          <w:tcPr>
            <w:tcW w:w="709" w:type="dxa"/>
            <w:tcBorders>
              <w:top w:val="single" w:color="auto" w:sz="4" w:space="0"/>
              <w:left w:val="single" w:color="auto" w:sz="4" w:space="0"/>
              <w:bottom w:val="single" w:color="auto" w:sz="4" w:space="0"/>
              <w:right w:val="single" w:color="auto" w:sz="4" w:space="0"/>
            </w:tcBorders>
            <w:vAlign w:val="center"/>
          </w:tcPr>
          <w:p w14:paraId="0885F40A">
            <w:pPr>
              <w:pStyle w:val="33"/>
              <w:spacing w:line="240" w:lineRule="auto"/>
              <w:ind w:firstLine="0" w:firstLineChars="0"/>
              <w:jc w:val="center"/>
              <w:rPr>
                <w:rFonts w:ascii="微软雅黑" w:hAnsi="微软雅黑"/>
                <w:color w:val="auto"/>
                <w:sz w:val="21"/>
                <w:szCs w:val="21"/>
                <w:highlight w:val="none"/>
              </w:rPr>
            </w:pPr>
          </w:p>
        </w:tc>
        <w:tc>
          <w:tcPr>
            <w:tcW w:w="1254" w:type="dxa"/>
            <w:tcBorders>
              <w:top w:val="single" w:color="auto" w:sz="4" w:space="0"/>
              <w:left w:val="single" w:color="auto" w:sz="4" w:space="0"/>
              <w:bottom w:val="single" w:color="auto" w:sz="4" w:space="0"/>
              <w:right w:val="single" w:color="auto" w:sz="4" w:space="0"/>
            </w:tcBorders>
            <w:vAlign w:val="center"/>
          </w:tcPr>
          <w:p w14:paraId="15EFE1E7">
            <w:pPr>
              <w:pStyle w:val="33"/>
              <w:spacing w:line="240" w:lineRule="auto"/>
              <w:ind w:firstLine="0" w:firstLineChars="0"/>
              <w:jc w:val="center"/>
              <w:rPr>
                <w:rFonts w:ascii="微软雅黑" w:hAnsi="微软雅黑"/>
                <w:color w:val="auto"/>
                <w:sz w:val="21"/>
                <w:szCs w:val="21"/>
                <w:highlight w:val="none"/>
              </w:rPr>
            </w:pPr>
          </w:p>
        </w:tc>
        <w:tc>
          <w:tcPr>
            <w:tcW w:w="1454" w:type="dxa"/>
            <w:tcBorders>
              <w:top w:val="single" w:color="auto" w:sz="4" w:space="0"/>
              <w:left w:val="single" w:color="auto" w:sz="4" w:space="0"/>
              <w:bottom w:val="single" w:color="auto" w:sz="4" w:space="0"/>
              <w:right w:val="single" w:color="auto" w:sz="4" w:space="0"/>
            </w:tcBorders>
          </w:tcPr>
          <w:p w14:paraId="2EBA0C39">
            <w:pPr>
              <w:pStyle w:val="33"/>
              <w:spacing w:line="240" w:lineRule="auto"/>
              <w:ind w:firstLine="0" w:firstLineChars="0"/>
              <w:jc w:val="center"/>
              <w:rPr>
                <w:rFonts w:ascii="微软雅黑" w:hAnsi="微软雅黑"/>
                <w:color w:val="auto"/>
                <w:sz w:val="21"/>
                <w:szCs w:val="21"/>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14:paraId="3273AE1D">
            <w:pPr>
              <w:pStyle w:val="33"/>
              <w:spacing w:line="240" w:lineRule="auto"/>
              <w:ind w:firstLine="0" w:firstLineChars="0"/>
              <w:jc w:val="center"/>
              <w:rPr>
                <w:rFonts w:ascii="微软雅黑" w:hAnsi="微软雅黑"/>
                <w:color w:val="auto"/>
                <w:sz w:val="21"/>
                <w:szCs w:val="21"/>
                <w:highlight w:val="none"/>
              </w:rPr>
            </w:pPr>
          </w:p>
        </w:tc>
        <w:tc>
          <w:tcPr>
            <w:tcW w:w="2164" w:type="dxa"/>
            <w:tcBorders>
              <w:top w:val="single" w:color="auto" w:sz="4" w:space="0"/>
              <w:left w:val="single" w:color="auto" w:sz="4" w:space="0"/>
              <w:bottom w:val="single" w:color="auto" w:sz="4" w:space="0"/>
              <w:right w:val="single" w:color="auto" w:sz="4" w:space="0"/>
            </w:tcBorders>
            <w:vAlign w:val="center"/>
          </w:tcPr>
          <w:p w14:paraId="1AEB6C59">
            <w:pPr>
              <w:pStyle w:val="33"/>
              <w:spacing w:line="240" w:lineRule="auto"/>
              <w:ind w:firstLine="0" w:firstLineChars="0"/>
              <w:jc w:val="center"/>
              <w:rPr>
                <w:rFonts w:ascii="微软雅黑" w:hAnsi="微软雅黑"/>
                <w:color w:val="auto"/>
                <w:sz w:val="21"/>
                <w:szCs w:val="21"/>
                <w:highlight w:val="none"/>
              </w:rPr>
            </w:pPr>
          </w:p>
        </w:tc>
      </w:tr>
      <w:tr w14:paraId="1BD2CF1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585" w:type="dxa"/>
            <w:tcBorders>
              <w:top w:val="single" w:color="auto" w:sz="4" w:space="0"/>
              <w:left w:val="single" w:color="auto" w:sz="4" w:space="0"/>
              <w:bottom w:val="single" w:color="auto" w:sz="4" w:space="0"/>
              <w:right w:val="single" w:color="auto" w:sz="4" w:space="0"/>
            </w:tcBorders>
            <w:vAlign w:val="center"/>
          </w:tcPr>
          <w:p w14:paraId="58EC4C74">
            <w:pPr>
              <w:pStyle w:val="33"/>
              <w:spacing w:line="240" w:lineRule="auto"/>
              <w:ind w:firstLine="0" w:firstLineChars="0"/>
              <w:jc w:val="center"/>
              <w:rPr>
                <w:rFonts w:ascii="微软雅黑" w:hAnsi="微软雅黑"/>
                <w:color w:val="auto"/>
                <w:sz w:val="21"/>
                <w:szCs w:val="21"/>
                <w:highlight w:val="none"/>
              </w:rPr>
            </w:pPr>
            <w:r>
              <w:rPr>
                <w:rFonts w:ascii="微软雅黑" w:hAnsi="微软雅黑"/>
                <w:color w:val="auto"/>
                <w:sz w:val="21"/>
                <w:szCs w:val="21"/>
                <w:highlight w:val="none"/>
              </w:rPr>
              <w:t>2</w:t>
            </w:r>
          </w:p>
        </w:tc>
        <w:tc>
          <w:tcPr>
            <w:tcW w:w="1074" w:type="dxa"/>
            <w:tcBorders>
              <w:top w:val="single" w:color="auto" w:sz="4" w:space="0"/>
              <w:left w:val="single" w:color="auto" w:sz="4" w:space="0"/>
              <w:bottom w:val="single" w:color="auto" w:sz="4" w:space="0"/>
              <w:right w:val="single" w:color="auto" w:sz="4" w:space="0"/>
            </w:tcBorders>
            <w:vAlign w:val="center"/>
          </w:tcPr>
          <w:p w14:paraId="7C3DE038">
            <w:pPr>
              <w:pStyle w:val="33"/>
              <w:spacing w:line="240" w:lineRule="auto"/>
              <w:ind w:firstLine="0" w:firstLineChars="0"/>
              <w:jc w:val="center"/>
              <w:rPr>
                <w:rFonts w:ascii="微软雅黑" w:hAnsi="微软雅黑"/>
                <w:color w:val="auto"/>
                <w:sz w:val="21"/>
                <w:szCs w:val="21"/>
                <w:highlight w:val="none"/>
              </w:rPr>
            </w:pPr>
          </w:p>
        </w:tc>
        <w:tc>
          <w:tcPr>
            <w:tcW w:w="970" w:type="dxa"/>
            <w:tcBorders>
              <w:top w:val="single" w:color="auto" w:sz="4" w:space="0"/>
              <w:left w:val="single" w:color="auto" w:sz="4" w:space="0"/>
              <w:bottom w:val="single" w:color="auto" w:sz="4" w:space="0"/>
              <w:right w:val="single" w:color="auto" w:sz="4" w:space="0"/>
            </w:tcBorders>
            <w:vAlign w:val="center"/>
          </w:tcPr>
          <w:p w14:paraId="6CCFBBA1">
            <w:pPr>
              <w:pStyle w:val="33"/>
              <w:spacing w:line="240" w:lineRule="auto"/>
              <w:ind w:firstLine="0" w:firstLineChars="0"/>
              <w:jc w:val="center"/>
              <w:rPr>
                <w:rFonts w:ascii="微软雅黑" w:hAnsi="微软雅黑"/>
                <w:color w:val="auto"/>
                <w:sz w:val="21"/>
                <w:szCs w:val="21"/>
                <w:highlight w:val="none"/>
              </w:rPr>
            </w:pPr>
          </w:p>
        </w:tc>
        <w:tc>
          <w:tcPr>
            <w:tcW w:w="709" w:type="dxa"/>
            <w:tcBorders>
              <w:top w:val="single" w:color="auto" w:sz="4" w:space="0"/>
              <w:left w:val="single" w:color="auto" w:sz="4" w:space="0"/>
              <w:bottom w:val="single" w:color="auto" w:sz="4" w:space="0"/>
              <w:right w:val="single" w:color="auto" w:sz="4" w:space="0"/>
            </w:tcBorders>
            <w:vAlign w:val="center"/>
          </w:tcPr>
          <w:p w14:paraId="785DEFEB">
            <w:pPr>
              <w:pStyle w:val="33"/>
              <w:spacing w:line="240" w:lineRule="auto"/>
              <w:ind w:firstLine="0" w:firstLineChars="0"/>
              <w:jc w:val="center"/>
              <w:rPr>
                <w:rFonts w:ascii="微软雅黑" w:hAnsi="微软雅黑"/>
                <w:color w:val="auto"/>
                <w:sz w:val="21"/>
                <w:szCs w:val="21"/>
                <w:highlight w:val="none"/>
              </w:rPr>
            </w:pPr>
          </w:p>
        </w:tc>
        <w:tc>
          <w:tcPr>
            <w:tcW w:w="1254" w:type="dxa"/>
            <w:tcBorders>
              <w:top w:val="single" w:color="auto" w:sz="4" w:space="0"/>
              <w:left w:val="single" w:color="auto" w:sz="4" w:space="0"/>
              <w:bottom w:val="single" w:color="auto" w:sz="4" w:space="0"/>
              <w:right w:val="single" w:color="auto" w:sz="4" w:space="0"/>
            </w:tcBorders>
            <w:vAlign w:val="center"/>
          </w:tcPr>
          <w:p w14:paraId="46CA01E2">
            <w:pPr>
              <w:pStyle w:val="33"/>
              <w:spacing w:line="240" w:lineRule="auto"/>
              <w:ind w:firstLine="0" w:firstLineChars="0"/>
              <w:jc w:val="center"/>
              <w:rPr>
                <w:rFonts w:ascii="微软雅黑" w:hAnsi="微软雅黑"/>
                <w:color w:val="auto"/>
                <w:sz w:val="21"/>
                <w:szCs w:val="21"/>
                <w:highlight w:val="none"/>
              </w:rPr>
            </w:pPr>
          </w:p>
        </w:tc>
        <w:tc>
          <w:tcPr>
            <w:tcW w:w="1454" w:type="dxa"/>
            <w:tcBorders>
              <w:top w:val="single" w:color="auto" w:sz="4" w:space="0"/>
              <w:left w:val="single" w:color="auto" w:sz="4" w:space="0"/>
              <w:bottom w:val="single" w:color="auto" w:sz="4" w:space="0"/>
              <w:right w:val="single" w:color="auto" w:sz="4" w:space="0"/>
            </w:tcBorders>
          </w:tcPr>
          <w:p w14:paraId="4EB70A26">
            <w:pPr>
              <w:pStyle w:val="33"/>
              <w:spacing w:line="240" w:lineRule="auto"/>
              <w:ind w:firstLine="0" w:firstLineChars="0"/>
              <w:jc w:val="center"/>
              <w:rPr>
                <w:rFonts w:ascii="微软雅黑" w:hAnsi="微软雅黑"/>
                <w:color w:val="auto"/>
                <w:sz w:val="21"/>
                <w:szCs w:val="21"/>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14:paraId="5F0D45D8">
            <w:pPr>
              <w:pStyle w:val="33"/>
              <w:spacing w:line="240" w:lineRule="auto"/>
              <w:ind w:firstLine="0" w:firstLineChars="0"/>
              <w:jc w:val="center"/>
              <w:rPr>
                <w:rFonts w:ascii="微软雅黑" w:hAnsi="微软雅黑"/>
                <w:color w:val="auto"/>
                <w:sz w:val="21"/>
                <w:szCs w:val="21"/>
                <w:highlight w:val="none"/>
              </w:rPr>
            </w:pPr>
          </w:p>
        </w:tc>
        <w:tc>
          <w:tcPr>
            <w:tcW w:w="2164" w:type="dxa"/>
            <w:tcBorders>
              <w:top w:val="single" w:color="auto" w:sz="4" w:space="0"/>
              <w:left w:val="single" w:color="auto" w:sz="4" w:space="0"/>
              <w:bottom w:val="single" w:color="auto" w:sz="4" w:space="0"/>
              <w:right w:val="single" w:color="auto" w:sz="4" w:space="0"/>
            </w:tcBorders>
            <w:vAlign w:val="center"/>
          </w:tcPr>
          <w:p w14:paraId="1B3D5AD8">
            <w:pPr>
              <w:pStyle w:val="33"/>
              <w:spacing w:line="240" w:lineRule="auto"/>
              <w:ind w:firstLine="0" w:firstLineChars="0"/>
              <w:jc w:val="center"/>
              <w:rPr>
                <w:rFonts w:ascii="微软雅黑" w:hAnsi="微软雅黑"/>
                <w:color w:val="auto"/>
                <w:sz w:val="21"/>
                <w:szCs w:val="21"/>
                <w:highlight w:val="none"/>
              </w:rPr>
            </w:pPr>
          </w:p>
        </w:tc>
      </w:tr>
      <w:tr w14:paraId="4F51B15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585" w:type="dxa"/>
            <w:tcBorders>
              <w:top w:val="single" w:color="auto" w:sz="4" w:space="0"/>
              <w:left w:val="single" w:color="auto" w:sz="4" w:space="0"/>
              <w:bottom w:val="single" w:color="auto" w:sz="4" w:space="0"/>
              <w:right w:val="single" w:color="auto" w:sz="4" w:space="0"/>
            </w:tcBorders>
            <w:vAlign w:val="center"/>
          </w:tcPr>
          <w:p w14:paraId="01603952">
            <w:pPr>
              <w:pStyle w:val="33"/>
              <w:spacing w:line="240" w:lineRule="auto"/>
              <w:ind w:firstLine="0" w:firstLineChars="0"/>
              <w:jc w:val="center"/>
              <w:rPr>
                <w:rFonts w:ascii="微软雅黑" w:hAnsi="微软雅黑"/>
                <w:color w:val="auto"/>
                <w:sz w:val="21"/>
                <w:szCs w:val="21"/>
                <w:highlight w:val="none"/>
              </w:rPr>
            </w:pPr>
            <w:r>
              <w:rPr>
                <w:rFonts w:ascii="微软雅黑" w:hAnsi="微软雅黑"/>
                <w:color w:val="auto"/>
                <w:sz w:val="21"/>
                <w:szCs w:val="21"/>
                <w:highlight w:val="none"/>
              </w:rPr>
              <w:t>3</w:t>
            </w:r>
          </w:p>
        </w:tc>
        <w:tc>
          <w:tcPr>
            <w:tcW w:w="1074" w:type="dxa"/>
            <w:tcBorders>
              <w:top w:val="single" w:color="auto" w:sz="4" w:space="0"/>
              <w:left w:val="single" w:color="auto" w:sz="4" w:space="0"/>
              <w:bottom w:val="single" w:color="auto" w:sz="4" w:space="0"/>
              <w:right w:val="single" w:color="auto" w:sz="4" w:space="0"/>
            </w:tcBorders>
            <w:vAlign w:val="center"/>
          </w:tcPr>
          <w:p w14:paraId="6383B197">
            <w:pPr>
              <w:pStyle w:val="33"/>
              <w:spacing w:line="240" w:lineRule="auto"/>
              <w:ind w:firstLine="0" w:firstLineChars="0"/>
              <w:jc w:val="center"/>
              <w:rPr>
                <w:rFonts w:ascii="微软雅黑" w:hAnsi="微软雅黑"/>
                <w:color w:val="auto"/>
                <w:sz w:val="21"/>
                <w:szCs w:val="21"/>
                <w:highlight w:val="none"/>
              </w:rPr>
            </w:pPr>
          </w:p>
        </w:tc>
        <w:tc>
          <w:tcPr>
            <w:tcW w:w="970" w:type="dxa"/>
            <w:tcBorders>
              <w:top w:val="single" w:color="auto" w:sz="4" w:space="0"/>
              <w:left w:val="single" w:color="auto" w:sz="4" w:space="0"/>
              <w:bottom w:val="single" w:color="auto" w:sz="4" w:space="0"/>
              <w:right w:val="single" w:color="auto" w:sz="4" w:space="0"/>
            </w:tcBorders>
            <w:vAlign w:val="center"/>
          </w:tcPr>
          <w:p w14:paraId="4E40CD8A">
            <w:pPr>
              <w:pStyle w:val="33"/>
              <w:spacing w:line="240" w:lineRule="auto"/>
              <w:ind w:firstLine="0" w:firstLineChars="0"/>
              <w:jc w:val="center"/>
              <w:rPr>
                <w:rFonts w:ascii="微软雅黑" w:hAnsi="微软雅黑"/>
                <w:color w:val="auto"/>
                <w:sz w:val="21"/>
                <w:szCs w:val="21"/>
                <w:highlight w:val="none"/>
              </w:rPr>
            </w:pPr>
          </w:p>
        </w:tc>
        <w:tc>
          <w:tcPr>
            <w:tcW w:w="709" w:type="dxa"/>
            <w:tcBorders>
              <w:top w:val="single" w:color="auto" w:sz="4" w:space="0"/>
              <w:left w:val="single" w:color="auto" w:sz="4" w:space="0"/>
              <w:bottom w:val="single" w:color="auto" w:sz="4" w:space="0"/>
              <w:right w:val="single" w:color="auto" w:sz="4" w:space="0"/>
            </w:tcBorders>
            <w:vAlign w:val="center"/>
          </w:tcPr>
          <w:p w14:paraId="271A0AB7">
            <w:pPr>
              <w:pStyle w:val="33"/>
              <w:spacing w:line="240" w:lineRule="auto"/>
              <w:ind w:firstLine="0" w:firstLineChars="0"/>
              <w:jc w:val="center"/>
              <w:rPr>
                <w:rFonts w:ascii="微软雅黑" w:hAnsi="微软雅黑"/>
                <w:color w:val="auto"/>
                <w:sz w:val="21"/>
                <w:szCs w:val="21"/>
                <w:highlight w:val="none"/>
              </w:rPr>
            </w:pPr>
          </w:p>
        </w:tc>
        <w:tc>
          <w:tcPr>
            <w:tcW w:w="1254" w:type="dxa"/>
            <w:tcBorders>
              <w:top w:val="single" w:color="auto" w:sz="4" w:space="0"/>
              <w:left w:val="single" w:color="auto" w:sz="4" w:space="0"/>
              <w:bottom w:val="single" w:color="auto" w:sz="4" w:space="0"/>
              <w:right w:val="single" w:color="auto" w:sz="4" w:space="0"/>
            </w:tcBorders>
            <w:vAlign w:val="center"/>
          </w:tcPr>
          <w:p w14:paraId="2D19D151">
            <w:pPr>
              <w:pStyle w:val="33"/>
              <w:spacing w:line="240" w:lineRule="auto"/>
              <w:ind w:firstLine="0" w:firstLineChars="0"/>
              <w:jc w:val="center"/>
              <w:rPr>
                <w:rFonts w:ascii="微软雅黑" w:hAnsi="微软雅黑"/>
                <w:color w:val="auto"/>
                <w:sz w:val="21"/>
                <w:szCs w:val="21"/>
                <w:highlight w:val="none"/>
              </w:rPr>
            </w:pPr>
          </w:p>
        </w:tc>
        <w:tc>
          <w:tcPr>
            <w:tcW w:w="1454" w:type="dxa"/>
            <w:tcBorders>
              <w:top w:val="single" w:color="auto" w:sz="4" w:space="0"/>
              <w:left w:val="single" w:color="auto" w:sz="4" w:space="0"/>
              <w:bottom w:val="single" w:color="auto" w:sz="4" w:space="0"/>
              <w:right w:val="single" w:color="auto" w:sz="4" w:space="0"/>
            </w:tcBorders>
          </w:tcPr>
          <w:p w14:paraId="527FEB2A">
            <w:pPr>
              <w:pStyle w:val="33"/>
              <w:spacing w:line="240" w:lineRule="auto"/>
              <w:ind w:firstLine="0" w:firstLineChars="0"/>
              <w:jc w:val="center"/>
              <w:rPr>
                <w:rFonts w:ascii="微软雅黑" w:hAnsi="微软雅黑"/>
                <w:color w:val="auto"/>
                <w:sz w:val="21"/>
                <w:szCs w:val="21"/>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14:paraId="106D82D4">
            <w:pPr>
              <w:pStyle w:val="33"/>
              <w:spacing w:line="240" w:lineRule="auto"/>
              <w:ind w:firstLine="0" w:firstLineChars="0"/>
              <w:jc w:val="center"/>
              <w:rPr>
                <w:rFonts w:ascii="微软雅黑" w:hAnsi="微软雅黑"/>
                <w:color w:val="auto"/>
                <w:sz w:val="21"/>
                <w:szCs w:val="21"/>
                <w:highlight w:val="none"/>
              </w:rPr>
            </w:pPr>
          </w:p>
        </w:tc>
        <w:tc>
          <w:tcPr>
            <w:tcW w:w="2164" w:type="dxa"/>
            <w:tcBorders>
              <w:top w:val="single" w:color="auto" w:sz="4" w:space="0"/>
              <w:left w:val="single" w:color="auto" w:sz="4" w:space="0"/>
              <w:bottom w:val="single" w:color="auto" w:sz="4" w:space="0"/>
              <w:right w:val="single" w:color="auto" w:sz="4" w:space="0"/>
            </w:tcBorders>
            <w:vAlign w:val="center"/>
          </w:tcPr>
          <w:p w14:paraId="5440A6F4">
            <w:pPr>
              <w:pStyle w:val="33"/>
              <w:spacing w:line="240" w:lineRule="auto"/>
              <w:ind w:firstLine="0" w:firstLineChars="0"/>
              <w:jc w:val="center"/>
              <w:rPr>
                <w:rFonts w:ascii="微软雅黑" w:hAnsi="微软雅黑"/>
                <w:color w:val="auto"/>
                <w:sz w:val="21"/>
                <w:szCs w:val="21"/>
                <w:highlight w:val="none"/>
              </w:rPr>
            </w:pPr>
          </w:p>
        </w:tc>
      </w:tr>
      <w:tr w14:paraId="4C896F7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585" w:type="dxa"/>
            <w:tcBorders>
              <w:top w:val="single" w:color="auto" w:sz="4" w:space="0"/>
              <w:left w:val="single" w:color="auto" w:sz="4" w:space="0"/>
              <w:bottom w:val="single" w:color="auto" w:sz="4" w:space="0"/>
              <w:right w:val="single" w:color="auto" w:sz="4" w:space="0"/>
            </w:tcBorders>
            <w:vAlign w:val="center"/>
          </w:tcPr>
          <w:p w14:paraId="0C0E04A5">
            <w:pPr>
              <w:pStyle w:val="33"/>
              <w:spacing w:line="240" w:lineRule="auto"/>
              <w:ind w:firstLine="0" w:firstLineChars="0"/>
              <w:jc w:val="center"/>
              <w:rPr>
                <w:rFonts w:ascii="微软雅黑" w:hAnsi="微软雅黑"/>
                <w:color w:val="auto"/>
                <w:sz w:val="21"/>
                <w:szCs w:val="21"/>
                <w:highlight w:val="none"/>
              </w:rPr>
            </w:pPr>
            <w:r>
              <w:rPr>
                <w:rFonts w:ascii="微软雅黑" w:hAnsi="微软雅黑"/>
                <w:color w:val="auto"/>
                <w:sz w:val="21"/>
                <w:szCs w:val="21"/>
                <w:highlight w:val="none"/>
              </w:rPr>
              <w:t>4</w:t>
            </w:r>
          </w:p>
        </w:tc>
        <w:tc>
          <w:tcPr>
            <w:tcW w:w="1074" w:type="dxa"/>
            <w:tcBorders>
              <w:top w:val="single" w:color="auto" w:sz="4" w:space="0"/>
              <w:left w:val="single" w:color="auto" w:sz="4" w:space="0"/>
              <w:bottom w:val="single" w:color="auto" w:sz="4" w:space="0"/>
              <w:right w:val="single" w:color="auto" w:sz="4" w:space="0"/>
            </w:tcBorders>
            <w:vAlign w:val="center"/>
          </w:tcPr>
          <w:p w14:paraId="10D4E8D7">
            <w:pPr>
              <w:pStyle w:val="33"/>
              <w:spacing w:line="240" w:lineRule="auto"/>
              <w:ind w:firstLine="0" w:firstLineChars="0"/>
              <w:jc w:val="center"/>
              <w:rPr>
                <w:rFonts w:ascii="微软雅黑" w:hAnsi="微软雅黑"/>
                <w:color w:val="auto"/>
                <w:sz w:val="21"/>
                <w:szCs w:val="21"/>
                <w:highlight w:val="none"/>
              </w:rPr>
            </w:pPr>
          </w:p>
        </w:tc>
        <w:tc>
          <w:tcPr>
            <w:tcW w:w="970" w:type="dxa"/>
            <w:tcBorders>
              <w:top w:val="single" w:color="auto" w:sz="4" w:space="0"/>
              <w:left w:val="single" w:color="auto" w:sz="4" w:space="0"/>
              <w:bottom w:val="single" w:color="auto" w:sz="4" w:space="0"/>
              <w:right w:val="single" w:color="auto" w:sz="4" w:space="0"/>
            </w:tcBorders>
            <w:vAlign w:val="center"/>
          </w:tcPr>
          <w:p w14:paraId="52F52ABD">
            <w:pPr>
              <w:pStyle w:val="33"/>
              <w:spacing w:line="240" w:lineRule="auto"/>
              <w:ind w:firstLine="0" w:firstLineChars="0"/>
              <w:jc w:val="center"/>
              <w:rPr>
                <w:rFonts w:ascii="微软雅黑" w:hAnsi="微软雅黑"/>
                <w:color w:val="auto"/>
                <w:sz w:val="21"/>
                <w:szCs w:val="21"/>
                <w:highlight w:val="none"/>
              </w:rPr>
            </w:pPr>
          </w:p>
        </w:tc>
        <w:tc>
          <w:tcPr>
            <w:tcW w:w="709" w:type="dxa"/>
            <w:tcBorders>
              <w:top w:val="single" w:color="auto" w:sz="4" w:space="0"/>
              <w:left w:val="single" w:color="auto" w:sz="4" w:space="0"/>
              <w:bottom w:val="single" w:color="auto" w:sz="4" w:space="0"/>
              <w:right w:val="single" w:color="auto" w:sz="4" w:space="0"/>
            </w:tcBorders>
            <w:vAlign w:val="center"/>
          </w:tcPr>
          <w:p w14:paraId="22757C10">
            <w:pPr>
              <w:pStyle w:val="33"/>
              <w:spacing w:line="240" w:lineRule="auto"/>
              <w:ind w:firstLine="0" w:firstLineChars="0"/>
              <w:jc w:val="center"/>
              <w:rPr>
                <w:rFonts w:ascii="微软雅黑" w:hAnsi="微软雅黑"/>
                <w:color w:val="auto"/>
                <w:sz w:val="21"/>
                <w:szCs w:val="21"/>
                <w:highlight w:val="none"/>
              </w:rPr>
            </w:pPr>
          </w:p>
        </w:tc>
        <w:tc>
          <w:tcPr>
            <w:tcW w:w="1254" w:type="dxa"/>
            <w:tcBorders>
              <w:top w:val="single" w:color="auto" w:sz="4" w:space="0"/>
              <w:left w:val="single" w:color="auto" w:sz="4" w:space="0"/>
              <w:bottom w:val="single" w:color="auto" w:sz="4" w:space="0"/>
              <w:right w:val="single" w:color="auto" w:sz="4" w:space="0"/>
            </w:tcBorders>
            <w:vAlign w:val="center"/>
          </w:tcPr>
          <w:p w14:paraId="10253EC4">
            <w:pPr>
              <w:pStyle w:val="33"/>
              <w:spacing w:line="240" w:lineRule="auto"/>
              <w:ind w:firstLine="0" w:firstLineChars="0"/>
              <w:jc w:val="center"/>
              <w:rPr>
                <w:rFonts w:ascii="微软雅黑" w:hAnsi="微软雅黑"/>
                <w:color w:val="auto"/>
                <w:sz w:val="21"/>
                <w:szCs w:val="21"/>
                <w:highlight w:val="none"/>
              </w:rPr>
            </w:pPr>
          </w:p>
        </w:tc>
        <w:tc>
          <w:tcPr>
            <w:tcW w:w="1454" w:type="dxa"/>
            <w:tcBorders>
              <w:top w:val="single" w:color="auto" w:sz="4" w:space="0"/>
              <w:left w:val="single" w:color="auto" w:sz="4" w:space="0"/>
              <w:bottom w:val="single" w:color="auto" w:sz="4" w:space="0"/>
              <w:right w:val="single" w:color="auto" w:sz="4" w:space="0"/>
            </w:tcBorders>
          </w:tcPr>
          <w:p w14:paraId="7FE5AD95">
            <w:pPr>
              <w:pStyle w:val="33"/>
              <w:spacing w:line="240" w:lineRule="auto"/>
              <w:ind w:firstLine="0" w:firstLineChars="0"/>
              <w:jc w:val="center"/>
              <w:rPr>
                <w:rFonts w:ascii="微软雅黑" w:hAnsi="微软雅黑"/>
                <w:color w:val="auto"/>
                <w:sz w:val="21"/>
                <w:szCs w:val="21"/>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14:paraId="294118CD">
            <w:pPr>
              <w:pStyle w:val="33"/>
              <w:spacing w:line="240" w:lineRule="auto"/>
              <w:ind w:firstLine="0" w:firstLineChars="0"/>
              <w:jc w:val="center"/>
              <w:rPr>
                <w:rFonts w:ascii="微软雅黑" w:hAnsi="微软雅黑"/>
                <w:color w:val="auto"/>
                <w:sz w:val="21"/>
                <w:szCs w:val="21"/>
                <w:highlight w:val="none"/>
              </w:rPr>
            </w:pPr>
          </w:p>
        </w:tc>
        <w:tc>
          <w:tcPr>
            <w:tcW w:w="2164" w:type="dxa"/>
            <w:tcBorders>
              <w:top w:val="single" w:color="auto" w:sz="4" w:space="0"/>
              <w:left w:val="single" w:color="auto" w:sz="4" w:space="0"/>
              <w:bottom w:val="single" w:color="auto" w:sz="4" w:space="0"/>
              <w:right w:val="single" w:color="auto" w:sz="4" w:space="0"/>
            </w:tcBorders>
            <w:vAlign w:val="center"/>
          </w:tcPr>
          <w:p w14:paraId="41614B10">
            <w:pPr>
              <w:pStyle w:val="33"/>
              <w:spacing w:line="240" w:lineRule="auto"/>
              <w:ind w:firstLine="0" w:firstLineChars="0"/>
              <w:jc w:val="center"/>
              <w:rPr>
                <w:rFonts w:ascii="微软雅黑" w:hAnsi="微软雅黑"/>
                <w:color w:val="auto"/>
                <w:sz w:val="21"/>
                <w:szCs w:val="21"/>
                <w:highlight w:val="none"/>
              </w:rPr>
            </w:pPr>
          </w:p>
        </w:tc>
      </w:tr>
      <w:tr w14:paraId="61E27FE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585" w:type="dxa"/>
            <w:tcBorders>
              <w:top w:val="single" w:color="auto" w:sz="4" w:space="0"/>
              <w:left w:val="single" w:color="auto" w:sz="4" w:space="0"/>
              <w:bottom w:val="single" w:color="auto" w:sz="4" w:space="0"/>
              <w:right w:val="single" w:color="auto" w:sz="4" w:space="0"/>
            </w:tcBorders>
            <w:vAlign w:val="center"/>
          </w:tcPr>
          <w:p w14:paraId="4F851898">
            <w:pPr>
              <w:pStyle w:val="33"/>
              <w:spacing w:line="240" w:lineRule="auto"/>
              <w:ind w:firstLine="0" w:firstLineChars="0"/>
              <w:jc w:val="center"/>
              <w:rPr>
                <w:rFonts w:ascii="微软雅黑" w:hAnsi="微软雅黑"/>
                <w:color w:val="auto"/>
                <w:sz w:val="21"/>
                <w:szCs w:val="21"/>
                <w:highlight w:val="none"/>
              </w:rPr>
            </w:pPr>
            <w:r>
              <w:rPr>
                <w:rFonts w:ascii="微软雅黑" w:hAnsi="微软雅黑"/>
                <w:color w:val="auto"/>
                <w:sz w:val="21"/>
                <w:szCs w:val="21"/>
                <w:highlight w:val="none"/>
              </w:rPr>
              <w:t>5</w:t>
            </w:r>
          </w:p>
        </w:tc>
        <w:tc>
          <w:tcPr>
            <w:tcW w:w="1074" w:type="dxa"/>
            <w:tcBorders>
              <w:top w:val="single" w:color="auto" w:sz="4" w:space="0"/>
              <w:left w:val="single" w:color="auto" w:sz="4" w:space="0"/>
              <w:bottom w:val="single" w:color="auto" w:sz="4" w:space="0"/>
              <w:right w:val="single" w:color="auto" w:sz="4" w:space="0"/>
            </w:tcBorders>
            <w:vAlign w:val="center"/>
          </w:tcPr>
          <w:p w14:paraId="400D5131">
            <w:pPr>
              <w:pStyle w:val="33"/>
              <w:spacing w:line="240" w:lineRule="auto"/>
              <w:ind w:firstLine="0" w:firstLineChars="0"/>
              <w:jc w:val="center"/>
              <w:rPr>
                <w:rFonts w:ascii="微软雅黑" w:hAnsi="微软雅黑"/>
                <w:color w:val="auto"/>
                <w:sz w:val="21"/>
                <w:szCs w:val="21"/>
                <w:highlight w:val="none"/>
              </w:rPr>
            </w:pPr>
          </w:p>
        </w:tc>
        <w:tc>
          <w:tcPr>
            <w:tcW w:w="970" w:type="dxa"/>
            <w:tcBorders>
              <w:top w:val="single" w:color="auto" w:sz="4" w:space="0"/>
              <w:left w:val="single" w:color="auto" w:sz="4" w:space="0"/>
              <w:bottom w:val="single" w:color="auto" w:sz="4" w:space="0"/>
              <w:right w:val="single" w:color="auto" w:sz="4" w:space="0"/>
            </w:tcBorders>
            <w:vAlign w:val="center"/>
          </w:tcPr>
          <w:p w14:paraId="59F093B3">
            <w:pPr>
              <w:pStyle w:val="33"/>
              <w:spacing w:line="240" w:lineRule="auto"/>
              <w:ind w:firstLine="0" w:firstLineChars="0"/>
              <w:jc w:val="center"/>
              <w:rPr>
                <w:rFonts w:ascii="微软雅黑" w:hAnsi="微软雅黑"/>
                <w:color w:val="auto"/>
                <w:sz w:val="21"/>
                <w:szCs w:val="21"/>
                <w:highlight w:val="none"/>
              </w:rPr>
            </w:pPr>
          </w:p>
        </w:tc>
        <w:tc>
          <w:tcPr>
            <w:tcW w:w="709" w:type="dxa"/>
            <w:tcBorders>
              <w:top w:val="single" w:color="auto" w:sz="4" w:space="0"/>
              <w:left w:val="single" w:color="auto" w:sz="4" w:space="0"/>
              <w:bottom w:val="single" w:color="auto" w:sz="4" w:space="0"/>
              <w:right w:val="single" w:color="auto" w:sz="4" w:space="0"/>
            </w:tcBorders>
            <w:vAlign w:val="center"/>
          </w:tcPr>
          <w:p w14:paraId="7D5F1E21">
            <w:pPr>
              <w:pStyle w:val="33"/>
              <w:spacing w:line="240" w:lineRule="auto"/>
              <w:ind w:firstLine="0" w:firstLineChars="0"/>
              <w:jc w:val="center"/>
              <w:rPr>
                <w:rFonts w:ascii="微软雅黑" w:hAnsi="微软雅黑"/>
                <w:color w:val="auto"/>
                <w:sz w:val="21"/>
                <w:szCs w:val="21"/>
                <w:highlight w:val="none"/>
              </w:rPr>
            </w:pPr>
          </w:p>
        </w:tc>
        <w:tc>
          <w:tcPr>
            <w:tcW w:w="1254" w:type="dxa"/>
            <w:tcBorders>
              <w:top w:val="single" w:color="auto" w:sz="4" w:space="0"/>
              <w:left w:val="single" w:color="auto" w:sz="4" w:space="0"/>
              <w:bottom w:val="single" w:color="auto" w:sz="4" w:space="0"/>
              <w:right w:val="single" w:color="auto" w:sz="4" w:space="0"/>
            </w:tcBorders>
            <w:vAlign w:val="center"/>
          </w:tcPr>
          <w:p w14:paraId="4513CB9A">
            <w:pPr>
              <w:pStyle w:val="33"/>
              <w:spacing w:line="240" w:lineRule="auto"/>
              <w:ind w:firstLine="0" w:firstLineChars="0"/>
              <w:jc w:val="center"/>
              <w:rPr>
                <w:rFonts w:ascii="微软雅黑" w:hAnsi="微软雅黑"/>
                <w:color w:val="auto"/>
                <w:sz w:val="21"/>
                <w:szCs w:val="21"/>
                <w:highlight w:val="none"/>
              </w:rPr>
            </w:pPr>
          </w:p>
        </w:tc>
        <w:tc>
          <w:tcPr>
            <w:tcW w:w="1454" w:type="dxa"/>
            <w:tcBorders>
              <w:top w:val="single" w:color="auto" w:sz="4" w:space="0"/>
              <w:left w:val="single" w:color="auto" w:sz="4" w:space="0"/>
              <w:bottom w:val="single" w:color="auto" w:sz="4" w:space="0"/>
              <w:right w:val="single" w:color="auto" w:sz="4" w:space="0"/>
            </w:tcBorders>
          </w:tcPr>
          <w:p w14:paraId="2376B747">
            <w:pPr>
              <w:pStyle w:val="33"/>
              <w:spacing w:line="240" w:lineRule="auto"/>
              <w:ind w:firstLine="0" w:firstLineChars="0"/>
              <w:jc w:val="center"/>
              <w:rPr>
                <w:rFonts w:ascii="微软雅黑" w:hAnsi="微软雅黑"/>
                <w:color w:val="auto"/>
                <w:sz w:val="21"/>
                <w:szCs w:val="21"/>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14:paraId="1C61DA97">
            <w:pPr>
              <w:pStyle w:val="33"/>
              <w:spacing w:line="240" w:lineRule="auto"/>
              <w:ind w:firstLine="0" w:firstLineChars="0"/>
              <w:jc w:val="center"/>
              <w:rPr>
                <w:rFonts w:ascii="微软雅黑" w:hAnsi="微软雅黑"/>
                <w:color w:val="auto"/>
                <w:sz w:val="21"/>
                <w:szCs w:val="21"/>
                <w:highlight w:val="none"/>
              </w:rPr>
            </w:pPr>
          </w:p>
        </w:tc>
        <w:tc>
          <w:tcPr>
            <w:tcW w:w="2164" w:type="dxa"/>
            <w:tcBorders>
              <w:top w:val="single" w:color="auto" w:sz="4" w:space="0"/>
              <w:left w:val="single" w:color="auto" w:sz="4" w:space="0"/>
              <w:bottom w:val="single" w:color="auto" w:sz="4" w:space="0"/>
              <w:right w:val="single" w:color="auto" w:sz="4" w:space="0"/>
            </w:tcBorders>
            <w:vAlign w:val="center"/>
          </w:tcPr>
          <w:p w14:paraId="710B8461">
            <w:pPr>
              <w:pStyle w:val="33"/>
              <w:spacing w:line="240" w:lineRule="auto"/>
              <w:ind w:firstLine="0" w:firstLineChars="0"/>
              <w:jc w:val="center"/>
              <w:rPr>
                <w:rFonts w:ascii="微软雅黑" w:hAnsi="微软雅黑"/>
                <w:color w:val="auto"/>
                <w:sz w:val="21"/>
                <w:szCs w:val="21"/>
                <w:highlight w:val="none"/>
              </w:rPr>
            </w:pPr>
          </w:p>
        </w:tc>
      </w:tr>
      <w:tr w14:paraId="352108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585" w:type="dxa"/>
            <w:tcBorders>
              <w:top w:val="single" w:color="auto" w:sz="4" w:space="0"/>
              <w:left w:val="single" w:color="auto" w:sz="4" w:space="0"/>
              <w:bottom w:val="single" w:color="auto" w:sz="4" w:space="0"/>
              <w:right w:val="single" w:color="auto" w:sz="4" w:space="0"/>
            </w:tcBorders>
            <w:vAlign w:val="center"/>
          </w:tcPr>
          <w:p w14:paraId="49520574">
            <w:pPr>
              <w:spacing w:line="240" w:lineRule="auto"/>
              <w:ind w:firstLine="0" w:firstLineChars="0"/>
              <w:rPr>
                <w:rFonts w:ascii="微软雅黑" w:hAnsi="微软雅黑"/>
                <w:color w:val="auto"/>
                <w:szCs w:val="21"/>
                <w:highlight w:val="none"/>
              </w:rPr>
            </w:pPr>
            <w:r>
              <w:rPr>
                <w:rFonts w:ascii="微软雅黑" w:hAnsi="微软雅黑"/>
                <w:color w:val="auto"/>
                <w:szCs w:val="21"/>
                <w:highlight w:val="none"/>
              </w:rPr>
              <w:t>…</w:t>
            </w:r>
          </w:p>
        </w:tc>
        <w:tc>
          <w:tcPr>
            <w:tcW w:w="1074" w:type="dxa"/>
            <w:tcBorders>
              <w:top w:val="single" w:color="auto" w:sz="4" w:space="0"/>
              <w:left w:val="single" w:color="auto" w:sz="4" w:space="0"/>
              <w:bottom w:val="single" w:color="auto" w:sz="4" w:space="0"/>
              <w:right w:val="single" w:color="auto" w:sz="4" w:space="0"/>
            </w:tcBorders>
            <w:vAlign w:val="center"/>
          </w:tcPr>
          <w:p w14:paraId="6AA81DFC">
            <w:pPr>
              <w:spacing w:line="240" w:lineRule="auto"/>
              <w:ind w:firstLine="0" w:firstLineChars="0"/>
              <w:rPr>
                <w:rFonts w:ascii="微软雅黑" w:hAnsi="微软雅黑"/>
                <w:color w:val="auto"/>
                <w:szCs w:val="21"/>
                <w:highlight w:val="none"/>
              </w:rPr>
            </w:pPr>
          </w:p>
        </w:tc>
        <w:tc>
          <w:tcPr>
            <w:tcW w:w="970" w:type="dxa"/>
            <w:tcBorders>
              <w:top w:val="single" w:color="auto" w:sz="4" w:space="0"/>
              <w:left w:val="single" w:color="auto" w:sz="4" w:space="0"/>
              <w:bottom w:val="single" w:color="auto" w:sz="4" w:space="0"/>
              <w:right w:val="single" w:color="auto" w:sz="4" w:space="0"/>
            </w:tcBorders>
            <w:vAlign w:val="center"/>
          </w:tcPr>
          <w:p w14:paraId="4E934D7F">
            <w:pPr>
              <w:spacing w:line="240" w:lineRule="auto"/>
              <w:ind w:firstLine="0" w:firstLineChars="0"/>
              <w:rPr>
                <w:rFonts w:ascii="微软雅黑" w:hAnsi="微软雅黑"/>
                <w:color w:val="auto"/>
                <w:szCs w:val="21"/>
                <w:highlight w:val="none"/>
              </w:rPr>
            </w:pPr>
          </w:p>
        </w:tc>
        <w:tc>
          <w:tcPr>
            <w:tcW w:w="709" w:type="dxa"/>
            <w:tcBorders>
              <w:top w:val="single" w:color="auto" w:sz="4" w:space="0"/>
              <w:left w:val="single" w:color="auto" w:sz="4" w:space="0"/>
              <w:bottom w:val="single" w:color="auto" w:sz="4" w:space="0"/>
              <w:right w:val="single" w:color="auto" w:sz="4" w:space="0"/>
            </w:tcBorders>
            <w:vAlign w:val="center"/>
          </w:tcPr>
          <w:p w14:paraId="0410F222">
            <w:pPr>
              <w:spacing w:line="240" w:lineRule="auto"/>
              <w:ind w:firstLine="0" w:firstLineChars="0"/>
              <w:rPr>
                <w:rFonts w:ascii="微软雅黑" w:hAnsi="微软雅黑"/>
                <w:color w:val="auto"/>
                <w:szCs w:val="21"/>
                <w:highlight w:val="none"/>
              </w:rPr>
            </w:pPr>
          </w:p>
        </w:tc>
        <w:tc>
          <w:tcPr>
            <w:tcW w:w="1254" w:type="dxa"/>
            <w:tcBorders>
              <w:top w:val="single" w:color="auto" w:sz="4" w:space="0"/>
              <w:left w:val="single" w:color="auto" w:sz="4" w:space="0"/>
              <w:bottom w:val="single" w:color="auto" w:sz="4" w:space="0"/>
              <w:right w:val="single" w:color="auto" w:sz="4" w:space="0"/>
            </w:tcBorders>
            <w:vAlign w:val="center"/>
          </w:tcPr>
          <w:p w14:paraId="1925B288">
            <w:pPr>
              <w:spacing w:line="240" w:lineRule="auto"/>
              <w:ind w:firstLine="0" w:firstLineChars="0"/>
              <w:rPr>
                <w:rFonts w:ascii="微软雅黑" w:hAnsi="微软雅黑"/>
                <w:color w:val="auto"/>
                <w:szCs w:val="21"/>
                <w:highlight w:val="none"/>
              </w:rPr>
            </w:pPr>
          </w:p>
        </w:tc>
        <w:tc>
          <w:tcPr>
            <w:tcW w:w="1454" w:type="dxa"/>
            <w:tcBorders>
              <w:top w:val="single" w:color="auto" w:sz="4" w:space="0"/>
              <w:left w:val="single" w:color="auto" w:sz="4" w:space="0"/>
              <w:bottom w:val="single" w:color="auto" w:sz="4" w:space="0"/>
              <w:right w:val="single" w:color="auto" w:sz="4" w:space="0"/>
            </w:tcBorders>
          </w:tcPr>
          <w:p w14:paraId="563EDD60">
            <w:pPr>
              <w:spacing w:line="240" w:lineRule="auto"/>
              <w:ind w:firstLine="0" w:firstLineChars="0"/>
              <w:rPr>
                <w:rFonts w:ascii="微软雅黑" w:hAnsi="微软雅黑"/>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14:paraId="44BFA123">
            <w:pPr>
              <w:spacing w:line="240" w:lineRule="auto"/>
              <w:ind w:firstLine="0" w:firstLineChars="0"/>
              <w:rPr>
                <w:rFonts w:ascii="微软雅黑" w:hAnsi="微软雅黑"/>
                <w:color w:val="auto"/>
                <w:szCs w:val="21"/>
                <w:highlight w:val="none"/>
              </w:rPr>
            </w:pPr>
          </w:p>
        </w:tc>
        <w:tc>
          <w:tcPr>
            <w:tcW w:w="2164" w:type="dxa"/>
            <w:tcBorders>
              <w:top w:val="single" w:color="auto" w:sz="4" w:space="0"/>
              <w:left w:val="single" w:color="auto" w:sz="4" w:space="0"/>
              <w:bottom w:val="single" w:color="auto" w:sz="4" w:space="0"/>
              <w:right w:val="single" w:color="auto" w:sz="4" w:space="0"/>
            </w:tcBorders>
            <w:vAlign w:val="center"/>
          </w:tcPr>
          <w:p w14:paraId="06959FD3">
            <w:pPr>
              <w:spacing w:line="240" w:lineRule="auto"/>
              <w:ind w:firstLine="0" w:firstLineChars="0"/>
              <w:rPr>
                <w:rFonts w:ascii="微软雅黑" w:hAnsi="微软雅黑"/>
                <w:color w:val="auto"/>
                <w:szCs w:val="21"/>
                <w:highlight w:val="none"/>
              </w:rPr>
            </w:pPr>
          </w:p>
        </w:tc>
      </w:tr>
    </w:tbl>
    <w:p w14:paraId="4F517A63">
      <w:pPr>
        <w:ind w:firstLine="420"/>
        <w:rPr>
          <w:rFonts w:ascii="微软雅黑" w:hAnsi="微软雅黑"/>
          <w:b/>
          <w:color w:val="auto"/>
          <w:szCs w:val="21"/>
          <w:highlight w:val="none"/>
        </w:rPr>
      </w:pPr>
      <w:r>
        <w:rPr>
          <w:rFonts w:ascii="微软雅黑" w:hAnsi="微软雅黑"/>
          <w:b/>
          <w:color w:val="auto"/>
          <w:szCs w:val="21"/>
          <w:highlight w:val="none"/>
        </w:rPr>
        <w:t>注：1、“项目实施人员”指投标单位针对该项目的销售、培训、售后服务等完成本项目所配备的人员。</w:t>
      </w:r>
    </w:p>
    <w:p w14:paraId="03D10328">
      <w:pPr>
        <w:ind w:firstLine="840" w:firstLineChars="400"/>
        <w:rPr>
          <w:rFonts w:ascii="微软雅黑" w:hAnsi="微软雅黑"/>
          <w:b/>
          <w:color w:val="auto"/>
          <w:szCs w:val="21"/>
          <w:highlight w:val="none"/>
        </w:rPr>
      </w:pPr>
      <w:r>
        <w:rPr>
          <w:rFonts w:ascii="微软雅黑" w:hAnsi="微软雅黑"/>
          <w:b/>
          <w:color w:val="auto"/>
          <w:szCs w:val="21"/>
          <w:highlight w:val="none"/>
        </w:rPr>
        <w:t>2、附各专业人员简历及相关证明材料复印件；</w:t>
      </w:r>
    </w:p>
    <w:p w14:paraId="0472CB2F">
      <w:pPr>
        <w:ind w:firstLine="840" w:firstLineChars="400"/>
        <w:rPr>
          <w:rFonts w:ascii="微软雅黑" w:hAnsi="微软雅黑"/>
          <w:b/>
          <w:color w:val="auto"/>
          <w:szCs w:val="21"/>
          <w:highlight w:val="none"/>
        </w:rPr>
      </w:pPr>
      <w:r>
        <w:rPr>
          <w:rFonts w:ascii="微软雅黑" w:hAnsi="微软雅黑"/>
          <w:b/>
          <w:color w:val="auto"/>
          <w:szCs w:val="21"/>
          <w:highlight w:val="none"/>
        </w:rPr>
        <w:t>3、表格不够填写可添加。</w:t>
      </w:r>
    </w:p>
    <w:p w14:paraId="42E97FA6">
      <w:pPr>
        <w:snapToGrid w:val="0"/>
        <w:spacing w:before="120" w:beforeLines="50"/>
        <w:ind w:firstLine="420"/>
        <w:jc w:val="center"/>
        <w:rPr>
          <w:rFonts w:ascii="微软雅黑" w:hAnsi="微软雅黑"/>
          <w:color w:val="auto"/>
          <w:szCs w:val="21"/>
          <w:highlight w:val="none"/>
          <w:u w:val="single"/>
        </w:rPr>
      </w:pPr>
      <w:r>
        <w:rPr>
          <w:rFonts w:hint="eastAsia" w:ascii="微软雅黑" w:hAnsi="微软雅黑" w:cs="Arial"/>
          <w:color w:val="auto"/>
          <w:kern w:val="0"/>
          <w:szCs w:val="21"/>
          <w:highlight w:val="none"/>
        </w:rPr>
        <w:t xml:space="preserve"> 法定代表人或</w:t>
      </w:r>
      <w:r>
        <w:rPr>
          <w:rFonts w:hint="eastAsia" w:ascii="微软雅黑" w:hAnsi="微软雅黑"/>
          <w:color w:val="auto"/>
          <w:szCs w:val="21"/>
          <w:highlight w:val="none"/>
        </w:rPr>
        <w:t>被授权人签字（或盖章）：</w:t>
      </w:r>
    </w:p>
    <w:p w14:paraId="12D2D847">
      <w:pPr>
        <w:pStyle w:val="122"/>
        <w:ind w:firstLine="420"/>
        <w:jc w:val="center"/>
        <w:rPr>
          <w:rFonts w:ascii="微软雅黑" w:hAnsi="微软雅黑" w:eastAsia="微软雅黑" w:cs="宋体"/>
          <w:color w:val="auto"/>
          <w:sz w:val="21"/>
          <w:szCs w:val="21"/>
          <w:highlight w:val="none"/>
        </w:rPr>
      </w:pPr>
      <w:r>
        <w:rPr>
          <w:rFonts w:hint="eastAsia" w:ascii="微软雅黑" w:hAnsi="微软雅黑" w:eastAsia="微软雅黑" w:cs="宋体"/>
          <w:color w:val="auto"/>
          <w:sz w:val="21"/>
          <w:szCs w:val="21"/>
          <w:highlight w:val="none"/>
        </w:rPr>
        <w:t xml:space="preserve">             供应商名称（公章）：</w:t>
      </w:r>
    </w:p>
    <w:p w14:paraId="3DBFCE85">
      <w:pPr>
        <w:pStyle w:val="122"/>
        <w:ind w:firstLine="420"/>
        <w:jc w:val="center"/>
        <w:rPr>
          <w:rFonts w:ascii="微软雅黑" w:hAnsi="微软雅黑" w:eastAsia="微软雅黑"/>
          <w:color w:val="auto"/>
          <w:sz w:val="21"/>
          <w:szCs w:val="21"/>
          <w:highlight w:val="none"/>
        </w:rPr>
      </w:pPr>
      <w:r>
        <w:rPr>
          <w:rFonts w:hint="eastAsia" w:ascii="微软雅黑" w:hAnsi="微软雅黑" w:eastAsia="微软雅黑"/>
          <w:color w:val="auto"/>
          <w:sz w:val="21"/>
          <w:szCs w:val="21"/>
          <w:highlight w:val="none"/>
        </w:rPr>
        <w:t xml:space="preserve">          日期： 年 月 日</w:t>
      </w:r>
    </w:p>
    <w:p w14:paraId="3425FB3B">
      <w:pPr>
        <w:pStyle w:val="293"/>
        <w:spacing w:line="360" w:lineRule="auto"/>
        <w:ind w:firstLine="482"/>
        <w:rPr>
          <w:rFonts w:ascii="Times New Roman" w:hAnsi="Times New Roman" w:eastAsia="宋体"/>
          <w:b/>
          <w:color w:val="auto"/>
          <w:sz w:val="24"/>
          <w:szCs w:val="24"/>
          <w:highlight w:val="none"/>
        </w:rPr>
        <w:sectPr>
          <w:pgSz w:w="11907" w:h="16840"/>
          <w:pgMar w:top="1276" w:right="1418" w:bottom="1247" w:left="1418" w:header="851" w:footer="992" w:gutter="0"/>
          <w:cols w:space="720" w:num="1"/>
          <w:titlePg/>
          <w:docGrid w:linePitch="312" w:charSpace="0"/>
        </w:sectPr>
      </w:pPr>
    </w:p>
    <w:p w14:paraId="02DA2EED">
      <w:pPr>
        <w:pStyle w:val="293"/>
        <w:rPr>
          <w:rFonts w:ascii="Times New Roman" w:hAnsi="Times New Roman" w:eastAsia="宋体"/>
          <w:b/>
          <w:color w:val="auto"/>
          <w:sz w:val="24"/>
          <w:szCs w:val="24"/>
          <w:highlight w:val="none"/>
        </w:rPr>
        <w:sectPr>
          <w:type w:val="continuous"/>
          <w:pgSz w:w="11907" w:h="16840"/>
          <w:pgMar w:top="1276" w:right="1418" w:bottom="1247" w:left="1418" w:header="851" w:footer="992" w:gutter="0"/>
          <w:cols w:space="720" w:num="1"/>
          <w:titlePg/>
          <w:docGrid w:linePitch="312" w:charSpace="0"/>
        </w:sectPr>
      </w:pPr>
    </w:p>
    <w:p w14:paraId="42181EE1">
      <w:pPr>
        <w:pStyle w:val="293"/>
        <w:spacing w:line="360" w:lineRule="auto"/>
        <w:ind w:firstLine="482"/>
        <w:rPr>
          <w:rFonts w:ascii="Times New Roman" w:hAnsi="Times New Roman" w:eastAsia="宋体"/>
          <w:b/>
          <w:color w:val="auto"/>
          <w:sz w:val="24"/>
          <w:szCs w:val="24"/>
          <w:highlight w:val="none"/>
        </w:rPr>
        <w:sectPr>
          <w:type w:val="continuous"/>
          <w:pgSz w:w="11907" w:h="16840"/>
          <w:pgMar w:top="1276" w:right="1418" w:bottom="1247" w:left="1418" w:header="851" w:footer="992" w:gutter="0"/>
          <w:cols w:space="720" w:num="1"/>
          <w:titlePg/>
          <w:docGrid w:linePitch="312" w:charSpace="0"/>
        </w:sectPr>
      </w:pPr>
    </w:p>
    <w:p w14:paraId="21608C18">
      <w:pPr>
        <w:pStyle w:val="293"/>
        <w:spacing w:line="360" w:lineRule="auto"/>
        <w:ind w:firstLine="482"/>
        <w:rPr>
          <w:rFonts w:ascii="微软雅黑" w:hAnsi="微软雅黑" w:eastAsia="微软雅黑"/>
          <w:b/>
          <w:color w:val="auto"/>
          <w:sz w:val="21"/>
          <w:szCs w:val="21"/>
          <w:highlight w:val="none"/>
        </w:rPr>
        <w:sectPr>
          <w:type w:val="continuous"/>
          <w:pgSz w:w="11907" w:h="16840"/>
          <w:pgMar w:top="1276" w:right="1418" w:bottom="1247" w:left="1418" w:header="851" w:footer="992" w:gutter="0"/>
          <w:cols w:space="720" w:num="1"/>
          <w:titlePg/>
          <w:docGrid w:linePitch="312" w:charSpace="0"/>
        </w:sectPr>
      </w:pPr>
    </w:p>
    <w:p w14:paraId="797F5F1D">
      <w:pPr>
        <w:pStyle w:val="293"/>
        <w:spacing w:line="360" w:lineRule="auto"/>
        <w:ind w:firstLine="482"/>
        <w:rPr>
          <w:rFonts w:ascii="微软雅黑" w:hAnsi="微软雅黑" w:eastAsia="微软雅黑"/>
          <w:b/>
          <w:color w:val="auto"/>
          <w:sz w:val="21"/>
          <w:szCs w:val="21"/>
          <w:highlight w:val="none"/>
        </w:rPr>
      </w:pPr>
      <w:r>
        <w:rPr>
          <w:rFonts w:hint="eastAsia" w:ascii="微软雅黑" w:hAnsi="微软雅黑" w:eastAsia="微软雅黑"/>
          <w:b/>
          <w:color w:val="auto"/>
          <w:sz w:val="21"/>
          <w:szCs w:val="21"/>
          <w:highlight w:val="none"/>
        </w:rPr>
        <w:t>6.诚信承诺函</w:t>
      </w:r>
    </w:p>
    <w:p w14:paraId="2670D0F3">
      <w:pPr>
        <w:pStyle w:val="5"/>
        <w:overflowPunct w:val="0"/>
        <w:jc w:val="center"/>
        <w:rPr>
          <w:rFonts w:ascii="微软雅黑" w:hAnsi="微软雅黑"/>
          <w:b/>
          <w:color w:val="auto"/>
          <w:szCs w:val="21"/>
          <w:highlight w:val="none"/>
        </w:rPr>
      </w:pPr>
      <w:r>
        <w:rPr>
          <w:rFonts w:hint="eastAsia" w:ascii="微软雅黑" w:hAnsi="微软雅黑"/>
          <w:b/>
          <w:color w:val="auto"/>
          <w:szCs w:val="21"/>
          <w:highlight w:val="none"/>
        </w:rPr>
        <w:t>诚信承诺函</w:t>
      </w:r>
    </w:p>
    <w:p w14:paraId="510CC607">
      <w:pPr>
        <w:ind w:firstLine="420"/>
        <w:rPr>
          <w:rFonts w:ascii="微软雅黑" w:hAnsi="微软雅黑"/>
          <w:color w:val="auto"/>
          <w:szCs w:val="21"/>
          <w:highlight w:val="none"/>
        </w:rPr>
      </w:pPr>
      <w:r>
        <w:rPr>
          <w:rFonts w:hint="eastAsia" w:ascii="微软雅黑" w:hAnsi="微软雅黑"/>
          <w:color w:val="auto"/>
          <w:szCs w:val="21"/>
          <w:highlight w:val="none"/>
        </w:rPr>
        <w:t xml:space="preserve">致 </w:t>
      </w:r>
      <w:r>
        <w:rPr>
          <w:rFonts w:hint="eastAsia" w:ascii="微软雅黑" w:hAnsi="微软雅黑"/>
          <w:color w:val="auto"/>
          <w:szCs w:val="21"/>
          <w:highlight w:val="none"/>
          <w:u w:val="single"/>
        </w:rPr>
        <w:t xml:space="preserve">     </w:t>
      </w:r>
      <w:r>
        <w:rPr>
          <w:rFonts w:hint="eastAsia" w:ascii="微软雅黑" w:hAnsi="微软雅黑"/>
          <w:b/>
          <w:color w:val="auto"/>
          <w:szCs w:val="21"/>
          <w:highlight w:val="none"/>
          <w:u w:val="single"/>
        </w:rPr>
        <w:t xml:space="preserve">（采购人）       </w:t>
      </w:r>
      <w:r>
        <w:rPr>
          <w:rFonts w:hint="eastAsia" w:ascii="微软雅黑" w:hAnsi="微软雅黑"/>
          <w:color w:val="auto"/>
          <w:szCs w:val="21"/>
          <w:highlight w:val="none"/>
        </w:rPr>
        <w:t>：</w:t>
      </w:r>
    </w:p>
    <w:p w14:paraId="7215ECE1">
      <w:pPr>
        <w:ind w:firstLine="420"/>
        <w:rPr>
          <w:rFonts w:ascii="微软雅黑" w:hAnsi="微软雅黑"/>
          <w:color w:val="auto"/>
          <w:szCs w:val="21"/>
          <w:highlight w:val="none"/>
        </w:rPr>
      </w:pPr>
      <w:r>
        <w:rPr>
          <w:rFonts w:hint="eastAsia" w:ascii="微软雅黑" w:hAnsi="微软雅黑"/>
          <w:color w:val="auto"/>
          <w:szCs w:val="21"/>
          <w:highlight w:val="none"/>
        </w:rPr>
        <w:t>我方在参加贵单位的</w:t>
      </w:r>
      <w:r>
        <w:rPr>
          <w:rFonts w:hint="eastAsia" w:ascii="微软雅黑" w:hAnsi="微软雅黑"/>
          <w:color w:val="auto"/>
          <w:szCs w:val="21"/>
          <w:highlight w:val="none"/>
          <w:u w:val="single"/>
        </w:rPr>
        <w:t xml:space="preserve">           政府采购项目</w:t>
      </w:r>
      <w:r>
        <w:rPr>
          <w:rFonts w:hint="eastAsia" w:ascii="微软雅黑" w:hAnsi="微软雅黑"/>
          <w:color w:val="auto"/>
          <w:szCs w:val="21"/>
          <w:highlight w:val="none"/>
        </w:rPr>
        <w:t>的招投标活动中，郑重承诺如下：</w:t>
      </w:r>
    </w:p>
    <w:p w14:paraId="4E2D7AFC">
      <w:pPr>
        <w:ind w:firstLine="420"/>
        <w:rPr>
          <w:rFonts w:ascii="微软雅黑" w:hAnsi="微软雅黑"/>
          <w:color w:val="auto"/>
          <w:szCs w:val="21"/>
          <w:highlight w:val="none"/>
        </w:rPr>
      </w:pPr>
      <w:r>
        <w:rPr>
          <w:rFonts w:hint="eastAsia" w:ascii="微软雅黑" w:hAnsi="微软雅黑"/>
          <w:color w:val="auto"/>
          <w:szCs w:val="21"/>
          <w:highlight w:val="none"/>
        </w:rPr>
        <w:t>1.我方申报的所有资料都是真实、准确、完整的；</w:t>
      </w:r>
    </w:p>
    <w:p w14:paraId="41D3EA24">
      <w:pPr>
        <w:ind w:firstLine="420"/>
        <w:rPr>
          <w:rFonts w:ascii="微软雅黑" w:hAnsi="微软雅黑"/>
          <w:color w:val="auto"/>
          <w:szCs w:val="21"/>
          <w:highlight w:val="none"/>
        </w:rPr>
      </w:pPr>
      <w:r>
        <w:rPr>
          <w:rFonts w:hint="eastAsia" w:ascii="微软雅黑" w:hAnsi="微软雅黑"/>
          <w:color w:val="auto"/>
          <w:szCs w:val="21"/>
          <w:highlight w:val="none"/>
        </w:rPr>
        <w:t>2.我方无资质挂靠情形，保证不参与串标、围标及抬标；</w:t>
      </w:r>
    </w:p>
    <w:p w14:paraId="79CA43B0">
      <w:pPr>
        <w:ind w:firstLine="420"/>
        <w:rPr>
          <w:rFonts w:ascii="微软雅黑" w:hAnsi="微软雅黑"/>
          <w:color w:val="auto"/>
          <w:szCs w:val="21"/>
          <w:highlight w:val="none"/>
        </w:rPr>
      </w:pPr>
      <w:r>
        <w:rPr>
          <w:rFonts w:hint="eastAsia" w:ascii="微软雅黑" w:hAnsi="微软雅黑"/>
          <w:color w:val="auto"/>
          <w:szCs w:val="21"/>
          <w:highlight w:val="none"/>
        </w:rPr>
        <w:t>3.我方未处于被各级行政主管部门做出停止市场行为处罚的期限内；</w:t>
      </w:r>
    </w:p>
    <w:p w14:paraId="5F93A442">
      <w:pPr>
        <w:ind w:firstLine="420"/>
        <w:rPr>
          <w:rFonts w:ascii="微软雅黑" w:hAnsi="微软雅黑"/>
          <w:color w:val="auto"/>
          <w:szCs w:val="21"/>
          <w:highlight w:val="none"/>
        </w:rPr>
      </w:pPr>
      <w:r>
        <w:rPr>
          <w:rFonts w:hint="eastAsia" w:ascii="微软雅黑" w:hAnsi="微软雅黑"/>
          <w:color w:val="auto"/>
          <w:szCs w:val="21"/>
          <w:highlight w:val="none"/>
        </w:rPr>
        <w:t>4.我方参加本项目政府采购活动前3年内在经营活动中没有受到行政处罚、行政处理(含通报)，未被记入不良行为，没有重大违法记录；</w:t>
      </w:r>
    </w:p>
    <w:p w14:paraId="3E11526A">
      <w:pPr>
        <w:ind w:firstLine="420"/>
        <w:rPr>
          <w:rFonts w:ascii="微软雅黑" w:hAnsi="微软雅黑"/>
          <w:color w:val="auto"/>
          <w:szCs w:val="21"/>
          <w:highlight w:val="none"/>
        </w:rPr>
      </w:pPr>
      <w:r>
        <w:rPr>
          <w:rFonts w:hint="eastAsia" w:ascii="微软雅黑" w:hAnsi="微软雅黑"/>
          <w:color w:val="auto"/>
          <w:szCs w:val="21"/>
          <w:highlight w:val="none"/>
        </w:rPr>
        <w:t>5.若我方中标，将严格按照规定及时与采购人签订合同；</w:t>
      </w:r>
    </w:p>
    <w:p w14:paraId="39938F90">
      <w:pPr>
        <w:ind w:firstLine="420"/>
        <w:rPr>
          <w:rFonts w:ascii="微软雅黑" w:hAnsi="微软雅黑"/>
          <w:color w:val="auto"/>
          <w:szCs w:val="21"/>
          <w:highlight w:val="none"/>
        </w:rPr>
      </w:pPr>
      <w:r>
        <w:rPr>
          <w:rFonts w:hint="eastAsia" w:ascii="微软雅黑" w:hAnsi="微软雅黑"/>
          <w:color w:val="auto"/>
          <w:szCs w:val="21"/>
          <w:highlight w:val="none"/>
        </w:rPr>
        <w:t>6.若我方中标，将严格按照招标文件要求及投标文件承诺的报价、质量、工期、投标方案、项目负责人等内容组织实施；</w:t>
      </w:r>
    </w:p>
    <w:p w14:paraId="6CF76618">
      <w:pPr>
        <w:ind w:firstLine="420"/>
        <w:rPr>
          <w:rFonts w:ascii="微软雅黑" w:hAnsi="微软雅黑"/>
          <w:color w:val="auto"/>
          <w:szCs w:val="21"/>
          <w:highlight w:val="none"/>
        </w:rPr>
      </w:pPr>
      <w:r>
        <w:rPr>
          <w:rFonts w:hint="eastAsia" w:ascii="微软雅黑" w:hAnsi="微软雅黑"/>
          <w:color w:val="auto"/>
          <w:szCs w:val="21"/>
          <w:highlight w:val="none"/>
        </w:rPr>
        <w:t>我方若违反上述承诺，隐瞒、提供虚假资料或不按招标文件要求组织实施或参与串标、抬标及围标等行为，被贵方发现或被他人举报查实，无条件接受采购人、行政监管部门作出的取消投标资格、中标资格、解除合同、拒绝后续政府采购投标、不良行为记录等的处罚。对造成的损失，任何法律和经济责任完全由我方负责。</w:t>
      </w:r>
    </w:p>
    <w:p w14:paraId="6A149E4D">
      <w:pPr>
        <w:ind w:firstLine="420"/>
        <w:rPr>
          <w:rFonts w:ascii="微软雅黑" w:hAnsi="微软雅黑"/>
          <w:color w:val="auto"/>
          <w:szCs w:val="21"/>
          <w:highlight w:val="none"/>
        </w:rPr>
      </w:pPr>
      <w:r>
        <w:rPr>
          <w:rFonts w:hint="eastAsia" w:ascii="微软雅黑" w:hAnsi="微软雅黑"/>
          <w:color w:val="auto"/>
          <w:szCs w:val="21"/>
          <w:highlight w:val="none"/>
        </w:rPr>
        <w:t>特此承诺。</w:t>
      </w:r>
    </w:p>
    <w:p w14:paraId="3409EC48">
      <w:pPr>
        <w:wordWrap w:val="0"/>
        <w:snapToGrid w:val="0"/>
        <w:spacing w:before="50" w:after="50"/>
        <w:ind w:firstLine="420"/>
        <w:jc w:val="right"/>
        <w:rPr>
          <w:rFonts w:ascii="微软雅黑" w:hAnsi="微软雅黑"/>
          <w:color w:val="auto"/>
          <w:szCs w:val="21"/>
          <w:highlight w:val="none"/>
        </w:rPr>
      </w:pPr>
      <w:r>
        <w:rPr>
          <w:rFonts w:hint="eastAsia" w:ascii="微软雅黑" w:hAnsi="微软雅黑"/>
          <w:color w:val="auto"/>
          <w:szCs w:val="21"/>
          <w:highlight w:val="none"/>
        </w:rPr>
        <w:t xml:space="preserve">法定代表人或被授权人签字（或盖章）：    </w:t>
      </w:r>
    </w:p>
    <w:p w14:paraId="7BBA46BE">
      <w:pPr>
        <w:snapToGrid w:val="0"/>
        <w:spacing w:before="50" w:after="50"/>
        <w:ind w:firstLine="420"/>
        <w:jc w:val="center"/>
        <w:rPr>
          <w:rFonts w:ascii="微软雅黑" w:hAnsi="微软雅黑"/>
          <w:color w:val="auto"/>
          <w:szCs w:val="21"/>
          <w:highlight w:val="none"/>
        </w:rPr>
      </w:pPr>
      <w:r>
        <w:rPr>
          <w:rFonts w:hint="eastAsia" w:ascii="微软雅黑" w:hAnsi="微软雅黑"/>
          <w:color w:val="auto"/>
          <w:szCs w:val="21"/>
          <w:highlight w:val="none"/>
        </w:rPr>
        <w:t xml:space="preserve">                                     投标供应商（公章）：      　　　　　　　　　　　　　</w:t>
      </w:r>
    </w:p>
    <w:p w14:paraId="3438D6E4">
      <w:pPr>
        <w:spacing w:before="108" w:after="120" w:line="304" w:lineRule="auto"/>
        <w:ind w:right="417" w:firstLine="420"/>
        <w:jc w:val="center"/>
        <w:rPr>
          <w:rFonts w:ascii="微软雅黑" w:hAnsi="微软雅黑"/>
          <w:color w:val="auto"/>
          <w:szCs w:val="21"/>
          <w:highlight w:val="none"/>
        </w:rPr>
      </w:pPr>
      <w:r>
        <w:rPr>
          <w:rFonts w:hint="eastAsia" w:ascii="微软雅黑" w:hAnsi="微软雅黑"/>
          <w:color w:val="auto"/>
          <w:szCs w:val="21"/>
          <w:highlight w:val="none"/>
        </w:rPr>
        <w:t xml:space="preserve">                                          日期：   年  月  日</w:t>
      </w:r>
    </w:p>
    <w:p w14:paraId="57A8A041">
      <w:pPr>
        <w:snapToGrid w:val="0"/>
        <w:ind w:firstLine="420"/>
        <w:jc w:val="center"/>
        <w:rPr>
          <w:rFonts w:ascii="宋体" w:hAnsi="宋体"/>
          <w:b/>
          <w:color w:val="auto"/>
          <w:szCs w:val="21"/>
          <w:highlight w:val="none"/>
        </w:rPr>
        <w:sectPr>
          <w:pgSz w:w="11907" w:h="16840"/>
          <w:pgMar w:top="1276" w:right="1418" w:bottom="1247" w:left="1418" w:header="851" w:footer="992" w:gutter="0"/>
          <w:cols w:space="720" w:num="1"/>
          <w:titlePg/>
          <w:docGrid w:linePitch="312" w:charSpace="0"/>
        </w:sectPr>
      </w:pPr>
    </w:p>
    <w:p w14:paraId="06273531">
      <w:pPr>
        <w:pStyle w:val="3"/>
        <w:ind w:firstLine="420"/>
        <w:jc w:val="center"/>
        <w:rPr>
          <w:rFonts w:ascii="微软雅黑" w:hAnsi="微软雅黑" w:cs="仿宋_GB2312"/>
          <w:color w:val="auto"/>
          <w:szCs w:val="21"/>
          <w:highlight w:val="none"/>
        </w:rPr>
        <w:sectPr>
          <w:headerReference r:id="rId31" w:type="default"/>
          <w:footerReference r:id="rId32" w:type="default"/>
          <w:type w:val="continuous"/>
          <w:pgSz w:w="11907" w:h="16840"/>
          <w:pgMar w:top="1276" w:right="1418" w:bottom="1247" w:left="1418" w:header="851" w:footer="992" w:gutter="0"/>
          <w:cols w:space="720" w:num="1"/>
          <w:titlePg/>
          <w:docGrid w:linePitch="312" w:charSpace="0"/>
        </w:sectPr>
      </w:pPr>
      <w:bookmarkStart w:id="292" w:name="_Toc3189"/>
      <w:bookmarkStart w:id="293" w:name="_Toc169015155"/>
    </w:p>
    <w:p w14:paraId="3C072D6C">
      <w:pPr>
        <w:pStyle w:val="3"/>
        <w:ind w:firstLine="420"/>
        <w:jc w:val="center"/>
        <w:rPr>
          <w:rFonts w:ascii="微软雅黑" w:hAnsi="微软雅黑" w:cs="仿宋_GB2312"/>
          <w:color w:val="auto"/>
          <w:szCs w:val="21"/>
          <w:highlight w:val="none"/>
        </w:rPr>
      </w:pPr>
      <w:r>
        <w:rPr>
          <w:rFonts w:hint="eastAsia" w:ascii="微软雅黑" w:hAnsi="微软雅黑" w:cs="仿宋_GB2312"/>
          <w:color w:val="auto"/>
          <w:szCs w:val="21"/>
          <w:highlight w:val="none"/>
        </w:rPr>
        <w:t>报价文件部分</w:t>
      </w:r>
      <w:bookmarkEnd w:id="292"/>
      <w:bookmarkEnd w:id="293"/>
    </w:p>
    <w:p w14:paraId="7A6654CF">
      <w:pPr>
        <w:ind w:firstLine="420"/>
        <w:jc w:val="center"/>
        <w:outlineLvl w:val="0"/>
        <w:rPr>
          <w:rFonts w:ascii="微软雅黑" w:hAnsi="微软雅黑" w:cs="仿宋_GB2312"/>
          <w:b/>
          <w:color w:val="auto"/>
          <w:kern w:val="0"/>
          <w:szCs w:val="21"/>
          <w:highlight w:val="none"/>
        </w:rPr>
      </w:pPr>
      <w:bookmarkStart w:id="294" w:name="_Toc8651"/>
      <w:bookmarkStart w:id="295" w:name="_Toc4766"/>
      <w:bookmarkStart w:id="296" w:name="_Toc169015156"/>
      <w:bookmarkStart w:id="297" w:name="_Toc164943233"/>
      <w:bookmarkStart w:id="298" w:name="_Toc18846"/>
      <w:r>
        <w:rPr>
          <w:rFonts w:hint="eastAsia" w:ascii="微软雅黑" w:hAnsi="微软雅黑" w:cs="仿宋_GB2312"/>
          <w:b/>
          <w:color w:val="auto"/>
          <w:kern w:val="0"/>
          <w:szCs w:val="21"/>
          <w:highlight w:val="none"/>
        </w:rPr>
        <w:t>目录</w:t>
      </w:r>
      <w:bookmarkEnd w:id="294"/>
      <w:bookmarkEnd w:id="295"/>
      <w:bookmarkEnd w:id="296"/>
      <w:bookmarkEnd w:id="297"/>
      <w:bookmarkEnd w:id="298"/>
    </w:p>
    <w:p w14:paraId="42D07B77">
      <w:pPr>
        <w:snapToGrid w:val="0"/>
        <w:ind w:firstLine="420"/>
        <w:rPr>
          <w:rFonts w:ascii="微软雅黑" w:hAnsi="微软雅黑" w:cs="宋体"/>
          <w:color w:val="auto"/>
          <w:szCs w:val="21"/>
          <w:highlight w:val="none"/>
        </w:rPr>
      </w:pPr>
      <w:r>
        <w:rPr>
          <w:rFonts w:hint="eastAsia" w:ascii="微软雅黑" w:hAnsi="微软雅黑" w:cs="宋体"/>
          <w:color w:val="auto"/>
          <w:szCs w:val="21"/>
          <w:highlight w:val="none"/>
        </w:rPr>
        <w:t>（1）报价明细表………………………………………………………（页码）</w:t>
      </w:r>
    </w:p>
    <w:p w14:paraId="531D5E38">
      <w:pPr>
        <w:snapToGrid w:val="0"/>
        <w:ind w:firstLine="420"/>
        <w:rPr>
          <w:rFonts w:ascii="微软雅黑" w:hAnsi="微软雅黑" w:cs="宋体"/>
          <w:color w:val="auto"/>
          <w:szCs w:val="21"/>
          <w:highlight w:val="none"/>
        </w:rPr>
      </w:pPr>
      <w:r>
        <w:rPr>
          <w:rFonts w:hint="eastAsia" w:ascii="微软雅黑" w:hAnsi="微软雅黑" w:cs="宋体"/>
          <w:color w:val="auto"/>
          <w:szCs w:val="21"/>
          <w:highlight w:val="none"/>
        </w:rPr>
        <w:t>（2）开标一览表（报价表）………………………………………………………（页码）</w:t>
      </w:r>
    </w:p>
    <w:p w14:paraId="2C5186CA">
      <w:pPr>
        <w:pStyle w:val="18"/>
        <w:ind w:firstLine="420"/>
        <w:rPr>
          <w:color w:val="auto"/>
          <w:highlight w:val="none"/>
        </w:rPr>
      </w:pPr>
    </w:p>
    <w:p w14:paraId="4EACC25B">
      <w:pPr>
        <w:snapToGrid w:val="0"/>
        <w:ind w:right="480" w:firstLine="641"/>
        <w:jc w:val="center"/>
        <w:rPr>
          <w:rFonts w:ascii="仿宋_GB2312" w:hAnsi="仿宋" w:eastAsia="仿宋_GB2312" w:cs="仿宋_GB2312"/>
          <w:b/>
          <w:color w:val="auto"/>
          <w:kern w:val="0"/>
          <w:sz w:val="32"/>
          <w:szCs w:val="32"/>
          <w:highlight w:val="none"/>
        </w:rPr>
      </w:pPr>
    </w:p>
    <w:p w14:paraId="54A90821">
      <w:pPr>
        <w:snapToGrid w:val="0"/>
        <w:ind w:right="480" w:firstLine="641"/>
        <w:jc w:val="center"/>
        <w:rPr>
          <w:rFonts w:ascii="仿宋_GB2312" w:hAnsi="仿宋" w:eastAsia="仿宋_GB2312" w:cs="仿宋_GB2312"/>
          <w:b/>
          <w:color w:val="auto"/>
          <w:kern w:val="0"/>
          <w:sz w:val="32"/>
          <w:szCs w:val="32"/>
          <w:highlight w:val="none"/>
        </w:rPr>
      </w:pPr>
    </w:p>
    <w:p w14:paraId="73A9C97B">
      <w:pPr>
        <w:snapToGrid w:val="0"/>
        <w:ind w:right="480" w:firstLine="641"/>
        <w:jc w:val="center"/>
        <w:rPr>
          <w:rFonts w:ascii="仿宋_GB2312" w:hAnsi="仿宋" w:eastAsia="仿宋_GB2312" w:cs="仿宋_GB2312"/>
          <w:b/>
          <w:color w:val="auto"/>
          <w:kern w:val="0"/>
          <w:sz w:val="32"/>
          <w:szCs w:val="32"/>
          <w:highlight w:val="none"/>
        </w:rPr>
      </w:pPr>
    </w:p>
    <w:p w14:paraId="53A35850">
      <w:pPr>
        <w:snapToGrid w:val="0"/>
        <w:ind w:right="480" w:firstLine="641"/>
        <w:jc w:val="center"/>
        <w:rPr>
          <w:rFonts w:ascii="仿宋_GB2312" w:hAnsi="仿宋" w:eastAsia="仿宋_GB2312" w:cs="仿宋_GB2312"/>
          <w:b/>
          <w:color w:val="auto"/>
          <w:kern w:val="0"/>
          <w:sz w:val="32"/>
          <w:szCs w:val="32"/>
          <w:highlight w:val="none"/>
        </w:rPr>
      </w:pPr>
    </w:p>
    <w:p w14:paraId="3C7FCCCE">
      <w:pPr>
        <w:snapToGrid w:val="0"/>
        <w:ind w:right="480" w:firstLine="641"/>
        <w:jc w:val="center"/>
        <w:rPr>
          <w:rFonts w:ascii="仿宋_GB2312" w:hAnsi="仿宋" w:eastAsia="仿宋_GB2312" w:cs="仿宋_GB2312"/>
          <w:b/>
          <w:color w:val="auto"/>
          <w:kern w:val="0"/>
          <w:sz w:val="32"/>
          <w:szCs w:val="32"/>
          <w:highlight w:val="none"/>
        </w:rPr>
      </w:pPr>
    </w:p>
    <w:p w14:paraId="0DE0C937">
      <w:pPr>
        <w:snapToGrid w:val="0"/>
        <w:ind w:right="480" w:firstLine="641"/>
        <w:jc w:val="center"/>
        <w:rPr>
          <w:rFonts w:ascii="仿宋_GB2312" w:hAnsi="仿宋" w:eastAsia="仿宋_GB2312" w:cs="仿宋_GB2312"/>
          <w:b/>
          <w:color w:val="auto"/>
          <w:kern w:val="0"/>
          <w:sz w:val="32"/>
          <w:szCs w:val="32"/>
          <w:highlight w:val="none"/>
        </w:rPr>
      </w:pPr>
    </w:p>
    <w:p w14:paraId="0393F64F">
      <w:pPr>
        <w:snapToGrid w:val="0"/>
        <w:ind w:right="480" w:firstLine="641"/>
        <w:jc w:val="center"/>
        <w:rPr>
          <w:rFonts w:ascii="仿宋_GB2312" w:hAnsi="仿宋" w:eastAsia="仿宋_GB2312" w:cs="仿宋_GB2312"/>
          <w:b/>
          <w:color w:val="auto"/>
          <w:kern w:val="0"/>
          <w:sz w:val="32"/>
          <w:szCs w:val="32"/>
          <w:highlight w:val="none"/>
        </w:rPr>
      </w:pPr>
    </w:p>
    <w:p w14:paraId="5E5CF86F">
      <w:pPr>
        <w:snapToGrid w:val="0"/>
        <w:ind w:right="480" w:firstLine="641"/>
        <w:jc w:val="center"/>
        <w:rPr>
          <w:rFonts w:ascii="仿宋_GB2312" w:hAnsi="仿宋" w:eastAsia="仿宋_GB2312" w:cs="仿宋_GB2312"/>
          <w:b/>
          <w:color w:val="auto"/>
          <w:kern w:val="0"/>
          <w:sz w:val="32"/>
          <w:szCs w:val="32"/>
          <w:highlight w:val="none"/>
        </w:rPr>
      </w:pPr>
    </w:p>
    <w:p w14:paraId="2FB39BF5">
      <w:pPr>
        <w:snapToGrid w:val="0"/>
        <w:ind w:right="480" w:firstLine="641"/>
        <w:jc w:val="center"/>
        <w:rPr>
          <w:rFonts w:ascii="仿宋_GB2312" w:hAnsi="仿宋" w:eastAsia="仿宋_GB2312" w:cs="仿宋_GB2312"/>
          <w:b/>
          <w:color w:val="auto"/>
          <w:kern w:val="0"/>
          <w:sz w:val="32"/>
          <w:szCs w:val="32"/>
          <w:highlight w:val="none"/>
        </w:rPr>
      </w:pPr>
    </w:p>
    <w:p w14:paraId="1872D37C">
      <w:pPr>
        <w:snapToGrid w:val="0"/>
        <w:ind w:right="480" w:firstLine="641"/>
        <w:jc w:val="center"/>
        <w:rPr>
          <w:rFonts w:ascii="仿宋_GB2312" w:hAnsi="仿宋" w:eastAsia="仿宋_GB2312" w:cs="仿宋_GB2312"/>
          <w:b/>
          <w:color w:val="auto"/>
          <w:kern w:val="0"/>
          <w:sz w:val="32"/>
          <w:szCs w:val="32"/>
          <w:highlight w:val="none"/>
        </w:rPr>
      </w:pPr>
    </w:p>
    <w:p w14:paraId="0827E87C">
      <w:pPr>
        <w:snapToGrid w:val="0"/>
        <w:ind w:right="480" w:firstLine="641"/>
        <w:jc w:val="center"/>
        <w:rPr>
          <w:rFonts w:ascii="仿宋_GB2312" w:hAnsi="仿宋" w:eastAsia="仿宋_GB2312" w:cs="仿宋_GB2312"/>
          <w:b/>
          <w:color w:val="auto"/>
          <w:kern w:val="0"/>
          <w:sz w:val="32"/>
          <w:szCs w:val="32"/>
          <w:highlight w:val="none"/>
        </w:rPr>
      </w:pPr>
    </w:p>
    <w:p w14:paraId="5C23AD5E">
      <w:pPr>
        <w:ind w:firstLine="420"/>
        <w:rPr>
          <w:color w:val="auto"/>
          <w:highlight w:val="none"/>
        </w:rPr>
        <w:sectPr>
          <w:pgSz w:w="11907" w:h="16840"/>
          <w:pgMar w:top="1276" w:right="1418" w:bottom="1247" w:left="1418" w:header="851" w:footer="992" w:gutter="0"/>
          <w:cols w:space="720" w:num="1"/>
          <w:titlePg/>
          <w:docGrid w:linePitch="312" w:charSpace="0"/>
        </w:sectPr>
      </w:pPr>
    </w:p>
    <w:p w14:paraId="22D2B4FA">
      <w:pPr>
        <w:pStyle w:val="294"/>
        <w:keepNext w:val="0"/>
        <w:pageBreakBefore w:val="0"/>
        <w:tabs>
          <w:tab w:val="clear" w:pos="720"/>
        </w:tabs>
        <w:snapToGrid w:val="0"/>
        <w:spacing w:before="120" w:after="120"/>
        <w:ind w:firstLine="640"/>
        <w:jc w:val="left"/>
        <w:outlineLvl w:val="9"/>
        <w:rPr>
          <w:rFonts w:ascii="微软雅黑" w:hAnsi="微软雅黑" w:eastAsia="微软雅黑" w:cs="仿宋_GB2312"/>
          <w:color w:val="auto"/>
          <w:kern w:val="2"/>
          <w:sz w:val="21"/>
          <w:szCs w:val="21"/>
          <w:highlight w:val="none"/>
        </w:rPr>
        <w:sectPr>
          <w:footerReference r:id="rId33" w:type="default"/>
          <w:type w:val="continuous"/>
          <w:pgSz w:w="11907" w:h="16840"/>
          <w:pgMar w:top="1474" w:right="1797" w:bottom="1247" w:left="1797" w:header="851" w:footer="992" w:gutter="0"/>
          <w:cols w:space="720" w:num="1"/>
          <w:docGrid w:linePitch="312" w:charSpace="0"/>
        </w:sectPr>
      </w:pPr>
      <w:bookmarkStart w:id="299" w:name="_Toc27753"/>
    </w:p>
    <w:p w14:paraId="6CE87E65">
      <w:pPr>
        <w:pStyle w:val="294"/>
        <w:keepNext w:val="0"/>
        <w:pageBreakBefore w:val="0"/>
        <w:numPr>
          <w:ilvl w:val="0"/>
          <w:numId w:val="53"/>
        </w:numPr>
        <w:tabs>
          <w:tab w:val="clear" w:pos="720"/>
        </w:tabs>
        <w:snapToGrid w:val="0"/>
        <w:spacing w:before="120" w:after="120"/>
        <w:ind w:firstLine="640"/>
        <w:jc w:val="left"/>
        <w:outlineLvl w:val="1"/>
        <w:rPr>
          <w:rFonts w:ascii="微软雅黑" w:hAnsi="微软雅黑" w:eastAsia="微软雅黑" w:cs="仿宋_GB2312"/>
          <w:color w:val="auto"/>
          <w:kern w:val="2"/>
          <w:sz w:val="21"/>
          <w:szCs w:val="21"/>
          <w:highlight w:val="none"/>
        </w:rPr>
        <w:sectPr>
          <w:type w:val="continuous"/>
          <w:pgSz w:w="11907" w:h="16840"/>
          <w:pgMar w:top="1247" w:right="1418" w:bottom="1276" w:left="1418" w:header="851" w:footer="992" w:gutter="0"/>
          <w:cols w:space="720" w:num="1"/>
          <w:titlePg/>
          <w:docGrid w:linePitch="312" w:charSpace="0"/>
        </w:sectPr>
      </w:pPr>
      <w:bookmarkStart w:id="300" w:name="_Toc21716"/>
    </w:p>
    <w:p w14:paraId="2F82263C">
      <w:pPr>
        <w:pStyle w:val="294"/>
        <w:keepNext w:val="0"/>
        <w:pageBreakBefore w:val="0"/>
        <w:numPr>
          <w:ilvl w:val="0"/>
          <w:numId w:val="53"/>
        </w:numPr>
        <w:tabs>
          <w:tab w:val="clear" w:pos="720"/>
        </w:tabs>
        <w:snapToGrid w:val="0"/>
        <w:spacing w:before="120" w:after="120"/>
        <w:ind w:firstLine="640"/>
        <w:jc w:val="left"/>
        <w:outlineLvl w:val="1"/>
        <w:rPr>
          <w:rFonts w:ascii="微软雅黑" w:hAnsi="微软雅黑" w:eastAsia="微软雅黑" w:cs="仿宋_GB2312"/>
          <w:color w:val="auto"/>
          <w:kern w:val="2"/>
          <w:sz w:val="21"/>
          <w:szCs w:val="21"/>
          <w:highlight w:val="none"/>
        </w:rPr>
      </w:pPr>
      <w:r>
        <w:rPr>
          <w:rFonts w:hint="eastAsia" w:ascii="微软雅黑" w:hAnsi="微软雅黑" w:eastAsia="微软雅黑" w:cs="仿宋_GB2312"/>
          <w:color w:val="auto"/>
          <w:kern w:val="2"/>
          <w:sz w:val="21"/>
          <w:szCs w:val="21"/>
          <w:highlight w:val="none"/>
        </w:rPr>
        <w:t>报价明细表（请各投标单位根据采购清单编制，格式自拟，同种产品前后价格应保持一致）</w:t>
      </w:r>
      <w:bookmarkEnd w:id="300"/>
    </w:p>
    <w:p w14:paraId="6A08F4BE">
      <w:pPr>
        <w:pStyle w:val="294"/>
        <w:keepNext w:val="0"/>
        <w:pageBreakBefore w:val="0"/>
        <w:tabs>
          <w:tab w:val="clear" w:pos="720"/>
        </w:tabs>
        <w:snapToGrid w:val="0"/>
        <w:spacing w:before="120" w:after="120"/>
        <w:ind w:firstLine="640"/>
        <w:jc w:val="left"/>
        <w:outlineLvl w:val="1"/>
        <w:rPr>
          <w:rFonts w:hint="eastAsia" w:ascii="微软雅黑" w:hAnsi="微软雅黑" w:eastAsia="微软雅黑" w:cs="仿宋_GB2312"/>
          <w:color w:val="auto"/>
          <w:kern w:val="2"/>
          <w:sz w:val="21"/>
          <w:szCs w:val="21"/>
          <w:highlight w:val="none"/>
          <w:lang w:eastAsia="zh-CN"/>
        </w:rPr>
      </w:pPr>
      <w:bookmarkStart w:id="301" w:name="_Toc4454"/>
      <w:r>
        <w:rPr>
          <w:rFonts w:hint="eastAsia" w:ascii="微软雅黑" w:hAnsi="微软雅黑" w:eastAsia="微软雅黑" w:cs="仿宋_GB2312"/>
          <w:color w:val="auto"/>
          <w:kern w:val="2"/>
          <w:sz w:val="21"/>
          <w:szCs w:val="21"/>
          <w:highlight w:val="none"/>
        </w:rPr>
        <w:t>二、开标一览表</w:t>
      </w:r>
      <w:bookmarkEnd w:id="299"/>
      <w:bookmarkEnd w:id="301"/>
    </w:p>
    <w:p w14:paraId="74A20E03">
      <w:pPr>
        <w:snapToGrid w:val="0"/>
        <w:ind w:firstLine="420"/>
        <w:rPr>
          <w:rFonts w:ascii="微软雅黑" w:hAnsi="微软雅黑"/>
          <w:color w:val="auto"/>
          <w:szCs w:val="21"/>
          <w:highlight w:val="none"/>
        </w:rPr>
      </w:pPr>
      <w:r>
        <w:rPr>
          <w:rFonts w:hint="eastAsia" w:ascii="微软雅黑" w:hAnsi="微软雅黑"/>
          <w:color w:val="auto"/>
          <w:szCs w:val="21"/>
          <w:highlight w:val="none"/>
        </w:rPr>
        <w:t xml:space="preserve">招标编号： </w:t>
      </w:r>
    </w:p>
    <w:p w14:paraId="08008600">
      <w:pPr>
        <w:snapToGrid w:val="0"/>
        <w:ind w:firstLine="420"/>
        <w:rPr>
          <w:rFonts w:ascii="微软雅黑" w:hAnsi="微软雅黑"/>
          <w:color w:val="auto"/>
          <w:szCs w:val="21"/>
          <w:highlight w:val="none"/>
        </w:rPr>
      </w:pPr>
      <w:r>
        <w:rPr>
          <w:rFonts w:hint="eastAsia" w:ascii="微软雅黑" w:hAnsi="微软雅黑"/>
          <w:color w:val="auto"/>
          <w:szCs w:val="21"/>
          <w:highlight w:val="none"/>
        </w:rPr>
        <w:t>投标人名称：</w:t>
      </w:r>
    </w:p>
    <w:tbl>
      <w:tblPr>
        <w:tblStyle w:val="52"/>
        <w:tblW w:w="8837" w:type="dxa"/>
        <w:tblInd w:w="59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591"/>
        <w:gridCol w:w="888"/>
        <w:gridCol w:w="2409"/>
        <w:gridCol w:w="2949"/>
      </w:tblGrid>
      <w:tr w14:paraId="0A82E67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0" w:hRule="atLeast"/>
        </w:trPr>
        <w:tc>
          <w:tcPr>
            <w:tcW w:w="2591" w:type="dxa"/>
            <w:tcBorders>
              <w:top w:val="single" w:color="auto" w:sz="4" w:space="0"/>
              <w:left w:val="single" w:color="auto" w:sz="4" w:space="0"/>
              <w:bottom w:val="single" w:color="auto" w:sz="4" w:space="0"/>
              <w:right w:val="single" w:color="auto" w:sz="4" w:space="0"/>
            </w:tcBorders>
            <w:vAlign w:val="center"/>
          </w:tcPr>
          <w:p w14:paraId="757A6470">
            <w:pPr>
              <w:snapToGrid w:val="0"/>
              <w:ind w:firstLine="0" w:firstLineChars="0"/>
              <w:jc w:val="center"/>
              <w:rPr>
                <w:rFonts w:hint="eastAsia" w:ascii="微软雅黑" w:hAnsi="微软雅黑" w:eastAsia="微软雅黑"/>
                <w:color w:val="auto"/>
                <w:szCs w:val="21"/>
                <w:highlight w:val="none"/>
                <w:lang w:eastAsia="zh-CN"/>
              </w:rPr>
            </w:pPr>
            <w:r>
              <w:rPr>
                <w:rFonts w:hint="eastAsia" w:ascii="微软雅黑" w:hAnsi="微软雅黑"/>
                <w:color w:val="auto"/>
                <w:szCs w:val="21"/>
                <w:highlight w:val="none"/>
                <w:lang w:eastAsia="zh-CN"/>
              </w:rPr>
              <w:t>标项</w:t>
            </w:r>
          </w:p>
        </w:tc>
        <w:tc>
          <w:tcPr>
            <w:tcW w:w="888" w:type="dxa"/>
            <w:tcBorders>
              <w:top w:val="single" w:color="auto" w:sz="4" w:space="0"/>
              <w:left w:val="single" w:color="auto" w:sz="4" w:space="0"/>
              <w:bottom w:val="single" w:color="auto" w:sz="4" w:space="0"/>
              <w:right w:val="single" w:color="auto" w:sz="4" w:space="0"/>
            </w:tcBorders>
            <w:vAlign w:val="center"/>
          </w:tcPr>
          <w:p w14:paraId="736C2308">
            <w:pPr>
              <w:snapToGrid w:val="0"/>
              <w:ind w:firstLine="0" w:firstLineChars="0"/>
              <w:jc w:val="center"/>
              <w:rPr>
                <w:rFonts w:ascii="微软雅黑" w:hAnsi="微软雅黑"/>
                <w:color w:val="auto"/>
                <w:szCs w:val="21"/>
                <w:highlight w:val="none"/>
              </w:rPr>
            </w:pPr>
            <w:r>
              <w:rPr>
                <w:rFonts w:hint="eastAsia" w:ascii="微软雅黑" w:hAnsi="微软雅黑"/>
                <w:color w:val="auto"/>
                <w:szCs w:val="21"/>
                <w:highlight w:val="none"/>
              </w:rPr>
              <w:t>数量</w:t>
            </w:r>
          </w:p>
        </w:tc>
        <w:tc>
          <w:tcPr>
            <w:tcW w:w="2409" w:type="dxa"/>
            <w:tcBorders>
              <w:top w:val="single" w:color="auto" w:sz="4" w:space="0"/>
              <w:left w:val="single" w:color="auto" w:sz="4" w:space="0"/>
              <w:bottom w:val="single" w:color="auto" w:sz="4" w:space="0"/>
              <w:right w:val="single" w:color="auto" w:sz="4" w:space="0"/>
            </w:tcBorders>
            <w:vAlign w:val="center"/>
          </w:tcPr>
          <w:p w14:paraId="1688DDF9">
            <w:pPr>
              <w:snapToGrid w:val="0"/>
              <w:ind w:firstLine="0" w:firstLineChars="0"/>
              <w:jc w:val="center"/>
              <w:rPr>
                <w:rFonts w:ascii="微软雅黑" w:hAnsi="微软雅黑"/>
                <w:color w:val="auto"/>
                <w:szCs w:val="21"/>
                <w:highlight w:val="none"/>
              </w:rPr>
            </w:pPr>
            <w:r>
              <w:rPr>
                <w:rFonts w:hint="eastAsia" w:ascii="微软雅黑" w:hAnsi="微软雅黑"/>
                <w:color w:val="auto"/>
                <w:szCs w:val="21"/>
                <w:highlight w:val="none"/>
              </w:rPr>
              <w:t>单位</w:t>
            </w:r>
          </w:p>
        </w:tc>
        <w:tc>
          <w:tcPr>
            <w:tcW w:w="2949" w:type="dxa"/>
            <w:tcBorders>
              <w:top w:val="single" w:color="auto" w:sz="4" w:space="0"/>
              <w:left w:val="single" w:color="auto" w:sz="4" w:space="0"/>
              <w:bottom w:val="single" w:color="auto" w:sz="4" w:space="0"/>
              <w:right w:val="single" w:color="auto" w:sz="4" w:space="0"/>
            </w:tcBorders>
            <w:vAlign w:val="center"/>
          </w:tcPr>
          <w:p w14:paraId="1BB85ADF">
            <w:pPr>
              <w:snapToGrid w:val="0"/>
              <w:ind w:firstLine="0" w:firstLineChars="0"/>
              <w:jc w:val="center"/>
              <w:rPr>
                <w:rFonts w:ascii="微软雅黑" w:hAnsi="微软雅黑"/>
                <w:color w:val="auto"/>
                <w:szCs w:val="21"/>
                <w:highlight w:val="none"/>
              </w:rPr>
            </w:pPr>
            <w:r>
              <w:rPr>
                <w:rFonts w:hint="eastAsia" w:ascii="微软雅黑" w:hAnsi="微软雅黑"/>
                <w:color w:val="auto"/>
                <w:szCs w:val="21"/>
                <w:highlight w:val="none"/>
              </w:rPr>
              <w:t>投标报价（元）</w:t>
            </w:r>
          </w:p>
        </w:tc>
      </w:tr>
      <w:tr w14:paraId="47AFE1C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83" w:hRule="atLeast"/>
        </w:trPr>
        <w:tc>
          <w:tcPr>
            <w:tcW w:w="2591" w:type="dxa"/>
            <w:tcBorders>
              <w:top w:val="single" w:color="auto" w:sz="4" w:space="0"/>
              <w:left w:val="single" w:color="auto" w:sz="4" w:space="0"/>
              <w:bottom w:val="single" w:color="auto" w:sz="4" w:space="0"/>
              <w:right w:val="single" w:color="auto" w:sz="4" w:space="0"/>
            </w:tcBorders>
            <w:vAlign w:val="center"/>
          </w:tcPr>
          <w:p w14:paraId="5F50B9FB">
            <w:pPr>
              <w:spacing w:line="276" w:lineRule="auto"/>
              <w:ind w:firstLine="0" w:firstLineChars="0"/>
              <w:jc w:val="center"/>
              <w:rPr>
                <w:rFonts w:ascii="微软雅黑" w:hAnsi="微软雅黑"/>
                <w:color w:val="auto"/>
                <w:szCs w:val="21"/>
                <w:highlight w:val="none"/>
              </w:rPr>
            </w:pPr>
            <w:r>
              <w:rPr>
                <w:rFonts w:hint="eastAsia" w:ascii="微软雅黑" w:hAnsi="微软雅黑" w:cs="Arial"/>
                <w:color w:val="auto"/>
                <w:szCs w:val="21"/>
                <w:highlight w:val="none"/>
                <w:lang w:eastAsia="zh-CN"/>
              </w:rPr>
              <w:t>化工基础实验室(一)</w:t>
            </w:r>
          </w:p>
        </w:tc>
        <w:tc>
          <w:tcPr>
            <w:tcW w:w="888" w:type="dxa"/>
            <w:tcBorders>
              <w:top w:val="single" w:color="auto" w:sz="4" w:space="0"/>
              <w:left w:val="single" w:color="auto" w:sz="4" w:space="0"/>
              <w:bottom w:val="single" w:color="auto" w:sz="4" w:space="0"/>
              <w:right w:val="single" w:color="auto" w:sz="4" w:space="0"/>
            </w:tcBorders>
            <w:vAlign w:val="center"/>
          </w:tcPr>
          <w:p w14:paraId="36FBC174">
            <w:pPr>
              <w:snapToGrid w:val="0"/>
              <w:ind w:firstLine="0" w:firstLineChars="0"/>
              <w:jc w:val="center"/>
              <w:rPr>
                <w:rFonts w:ascii="微软雅黑" w:hAnsi="微软雅黑"/>
                <w:color w:val="auto"/>
                <w:szCs w:val="21"/>
                <w:highlight w:val="none"/>
              </w:rPr>
            </w:pPr>
            <w:r>
              <w:rPr>
                <w:rFonts w:ascii="微软雅黑" w:hAnsi="微软雅黑"/>
                <w:color w:val="auto"/>
                <w:szCs w:val="21"/>
                <w:highlight w:val="none"/>
              </w:rPr>
              <w:t>1</w:t>
            </w:r>
          </w:p>
        </w:tc>
        <w:tc>
          <w:tcPr>
            <w:tcW w:w="2409" w:type="dxa"/>
            <w:tcBorders>
              <w:top w:val="single" w:color="auto" w:sz="4" w:space="0"/>
              <w:left w:val="single" w:color="auto" w:sz="4" w:space="0"/>
              <w:bottom w:val="single" w:color="auto" w:sz="4" w:space="0"/>
              <w:right w:val="single" w:color="auto" w:sz="4" w:space="0"/>
            </w:tcBorders>
            <w:vAlign w:val="center"/>
          </w:tcPr>
          <w:p w14:paraId="73394EDD">
            <w:pPr>
              <w:snapToGrid w:val="0"/>
              <w:ind w:firstLine="0" w:firstLineChars="0"/>
              <w:jc w:val="center"/>
              <w:rPr>
                <w:rFonts w:ascii="微软雅黑" w:hAnsi="微软雅黑"/>
                <w:color w:val="auto"/>
                <w:szCs w:val="21"/>
                <w:highlight w:val="none"/>
              </w:rPr>
            </w:pPr>
            <w:r>
              <w:rPr>
                <w:rFonts w:hint="eastAsia" w:ascii="微软雅黑" w:hAnsi="微软雅黑"/>
                <w:color w:val="auto"/>
                <w:szCs w:val="21"/>
                <w:highlight w:val="none"/>
              </w:rPr>
              <w:t>批</w:t>
            </w:r>
          </w:p>
        </w:tc>
        <w:tc>
          <w:tcPr>
            <w:tcW w:w="2949" w:type="dxa"/>
            <w:tcBorders>
              <w:top w:val="single" w:color="auto" w:sz="4" w:space="0"/>
              <w:left w:val="single" w:color="auto" w:sz="4" w:space="0"/>
              <w:bottom w:val="single" w:color="auto" w:sz="4" w:space="0"/>
              <w:right w:val="single" w:color="auto" w:sz="4" w:space="0"/>
            </w:tcBorders>
            <w:vAlign w:val="center"/>
          </w:tcPr>
          <w:p w14:paraId="78935850">
            <w:pPr>
              <w:snapToGrid w:val="0"/>
              <w:ind w:firstLine="0" w:firstLineChars="0"/>
              <w:jc w:val="center"/>
              <w:rPr>
                <w:rFonts w:ascii="微软雅黑" w:hAnsi="微软雅黑"/>
                <w:color w:val="auto"/>
                <w:szCs w:val="21"/>
                <w:highlight w:val="none"/>
              </w:rPr>
            </w:pPr>
          </w:p>
        </w:tc>
      </w:tr>
      <w:tr w14:paraId="594AA79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6" w:hRule="atLeast"/>
        </w:trPr>
        <w:tc>
          <w:tcPr>
            <w:tcW w:w="8837" w:type="dxa"/>
            <w:gridSpan w:val="4"/>
            <w:tcBorders>
              <w:top w:val="single" w:color="auto" w:sz="4" w:space="0"/>
              <w:left w:val="single" w:color="auto" w:sz="4" w:space="0"/>
              <w:bottom w:val="single" w:color="auto" w:sz="4" w:space="0"/>
              <w:right w:val="single" w:color="auto" w:sz="4" w:space="0"/>
            </w:tcBorders>
            <w:vAlign w:val="center"/>
          </w:tcPr>
          <w:p w14:paraId="4175A513">
            <w:pPr>
              <w:snapToGrid w:val="0"/>
              <w:ind w:firstLine="0" w:firstLineChars="0"/>
              <w:rPr>
                <w:rFonts w:ascii="微软雅黑" w:hAnsi="微软雅黑"/>
                <w:color w:val="auto"/>
                <w:szCs w:val="21"/>
                <w:highlight w:val="none"/>
                <w:u w:val="single"/>
              </w:rPr>
            </w:pPr>
            <w:r>
              <w:rPr>
                <w:rFonts w:ascii="微软雅黑" w:hAnsi="微软雅黑"/>
                <w:color w:val="auto"/>
                <w:szCs w:val="21"/>
                <w:highlight w:val="none"/>
              </w:rPr>
              <w:t>合计：大写：                                                  小写：</w:t>
            </w:r>
          </w:p>
        </w:tc>
      </w:tr>
    </w:tbl>
    <w:p w14:paraId="200B1B1A">
      <w:pPr>
        <w:snapToGrid w:val="0"/>
        <w:ind w:firstLine="420"/>
        <w:rPr>
          <w:rFonts w:ascii="微软雅黑" w:hAnsi="微软雅黑"/>
          <w:color w:val="auto"/>
          <w:szCs w:val="21"/>
          <w:highlight w:val="none"/>
        </w:rPr>
      </w:pPr>
    </w:p>
    <w:p w14:paraId="651B7B7A">
      <w:pPr>
        <w:snapToGrid w:val="0"/>
        <w:ind w:firstLine="420"/>
        <w:rPr>
          <w:rFonts w:ascii="微软雅黑" w:hAnsi="微软雅黑"/>
          <w:color w:val="auto"/>
          <w:szCs w:val="21"/>
          <w:highlight w:val="none"/>
        </w:rPr>
      </w:pPr>
      <w:r>
        <w:rPr>
          <w:rFonts w:hint="eastAsia" w:ascii="微软雅黑" w:hAnsi="微软雅黑"/>
          <w:color w:val="auto"/>
          <w:szCs w:val="21"/>
          <w:highlight w:val="none"/>
        </w:rPr>
        <w:t>注</w:t>
      </w:r>
      <w:r>
        <w:rPr>
          <w:rFonts w:ascii="微软雅黑" w:hAnsi="微软雅黑"/>
          <w:color w:val="auto"/>
          <w:szCs w:val="21"/>
          <w:highlight w:val="none"/>
        </w:rPr>
        <w:t>: 1</w:t>
      </w:r>
      <w:r>
        <w:rPr>
          <w:rFonts w:hint="eastAsia" w:ascii="微软雅黑" w:hAnsi="微软雅黑"/>
          <w:color w:val="auto"/>
          <w:szCs w:val="21"/>
          <w:highlight w:val="none"/>
        </w:rPr>
        <w:t>、报价一经涂改，应在涂改处加盖单位公章或者由法定代表人或授权委托人签字或盖章，否则其投标作无效标处理。</w:t>
      </w:r>
    </w:p>
    <w:p w14:paraId="6A5CD8A6">
      <w:pPr>
        <w:ind w:firstLine="420"/>
        <w:rPr>
          <w:rFonts w:ascii="微软雅黑" w:hAnsi="微软雅黑"/>
          <w:color w:val="auto"/>
          <w:szCs w:val="21"/>
          <w:highlight w:val="none"/>
        </w:rPr>
      </w:pPr>
      <w:r>
        <w:rPr>
          <w:rFonts w:hint="eastAsia" w:ascii="微软雅黑" w:hAnsi="微软雅黑" w:cs="微软雅黑"/>
          <w:color w:val="auto"/>
          <w:szCs w:val="21"/>
          <w:highlight w:val="none"/>
        </w:rPr>
        <w:t>▲2、</w:t>
      </w:r>
      <w:r>
        <w:rPr>
          <w:rFonts w:hint="eastAsia" w:ascii="微软雅黑" w:hAnsi="微软雅黑"/>
          <w:color w:val="auto"/>
          <w:szCs w:val="21"/>
          <w:highlight w:val="none"/>
        </w:rPr>
        <w:t>以上报价不得超过上限价，任何超过上限价的报价均导致投标被否决。</w:t>
      </w:r>
    </w:p>
    <w:p w14:paraId="06F056A3">
      <w:pPr>
        <w:pStyle w:val="18"/>
        <w:ind w:firstLine="420"/>
        <w:rPr>
          <w:color w:val="auto"/>
          <w:highlight w:val="none"/>
        </w:rPr>
      </w:pPr>
      <w:r>
        <w:rPr>
          <w:rFonts w:hint="eastAsia"/>
          <w:color w:val="auto"/>
          <w:highlight w:val="none"/>
        </w:rPr>
        <w:t>3、投标总价应与报价明细表金额一致。</w:t>
      </w:r>
    </w:p>
    <w:p w14:paraId="4D386822">
      <w:pPr>
        <w:pStyle w:val="28"/>
        <w:snapToGrid w:val="0"/>
        <w:ind w:firstLine="420"/>
        <w:rPr>
          <w:rFonts w:ascii="微软雅黑" w:hAnsi="微软雅黑"/>
          <w:color w:val="auto"/>
          <w:szCs w:val="21"/>
          <w:highlight w:val="none"/>
        </w:rPr>
      </w:pPr>
    </w:p>
    <w:p w14:paraId="07FFADAE">
      <w:pPr>
        <w:snapToGrid w:val="0"/>
        <w:ind w:firstLine="420"/>
        <w:rPr>
          <w:rFonts w:ascii="微软雅黑" w:hAnsi="微软雅黑"/>
          <w:color w:val="auto"/>
          <w:szCs w:val="21"/>
          <w:highlight w:val="none"/>
        </w:rPr>
      </w:pPr>
    </w:p>
    <w:p w14:paraId="76B6B111">
      <w:pPr>
        <w:snapToGrid w:val="0"/>
        <w:ind w:left="-46" w:leftChars="-22" w:right="-817" w:rightChars="-389" w:firstLine="525" w:firstLineChars="250"/>
        <w:rPr>
          <w:rFonts w:ascii="微软雅黑" w:hAnsi="微软雅黑"/>
          <w:color w:val="auto"/>
          <w:szCs w:val="21"/>
          <w:highlight w:val="none"/>
        </w:rPr>
      </w:pPr>
      <w:r>
        <w:rPr>
          <w:rFonts w:hint="eastAsia" w:ascii="微软雅黑" w:hAnsi="微软雅黑"/>
          <w:color w:val="auto"/>
          <w:szCs w:val="21"/>
          <w:highlight w:val="none"/>
        </w:rPr>
        <w:t>法定代表人或授权代表（签字或盖章）：</w:t>
      </w:r>
    </w:p>
    <w:p w14:paraId="59B3D69B">
      <w:pPr>
        <w:ind w:firstLine="420"/>
        <w:rPr>
          <w:rFonts w:ascii="微软雅黑" w:hAnsi="微软雅黑"/>
          <w:color w:val="auto"/>
          <w:szCs w:val="21"/>
          <w:highlight w:val="none"/>
        </w:rPr>
      </w:pPr>
      <w:r>
        <w:rPr>
          <w:rFonts w:hint="eastAsia" w:ascii="微软雅黑" w:hAnsi="微软雅黑"/>
          <w:color w:val="auto"/>
          <w:szCs w:val="21"/>
          <w:highlight w:val="none"/>
        </w:rPr>
        <w:t>投标人名称（盖章）：</w:t>
      </w:r>
    </w:p>
    <w:p w14:paraId="633CD4D8">
      <w:pPr>
        <w:ind w:firstLine="420"/>
        <w:rPr>
          <w:rFonts w:ascii="微软雅黑" w:hAnsi="微软雅黑"/>
          <w:color w:val="auto"/>
          <w:szCs w:val="21"/>
          <w:highlight w:val="none"/>
        </w:rPr>
      </w:pPr>
      <w:r>
        <w:rPr>
          <w:rFonts w:hint="eastAsia" w:ascii="微软雅黑" w:hAnsi="微软雅黑"/>
          <w:color w:val="auto"/>
          <w:szCs w:val="21"/>
          <w:highlight w:val="none"/>
        </w:rPr>
        <w:t>日期： 年 月 日</w:t>
      </w:r>
    </w:p>
    <w:p w14:paraId="78C68C97">
      <w:pPr>
        <w:snapToGrid w:val="0"/>
        <w:spacing w:line="440" w:lineRule="exact"/>
        <w:ind w:right="480" w:firstLine="420"/>
        <w:jc w:val="center"/>
        <w:rPr>
          <w:rFonts w:ascii="微软雅黑" w:hAnsi="微软雅黑"/>
          <w:color w:val="auto"/>
          <w:szCs w:val="21"/>
          <w:highlight w:val="none"/>
        </w:rPr>
        <w:sectPr>
          <w:pgSz w:w="11907" w:h="16840"/>
          <w:pgMar w:top="1247" w:right="1418" w:bottom="1276" w:left="1418" w:header="851" w:footer="992" w:gutter="0"/>
          <w:cols w:space="720" w:num="1"/>
          <w:titlePg/>
          <w:docGrid w:linePitch="312" w:charSpace="0"/>
        </w:sectPr>
      </w:pPr>
      <w:bookmarkStart w:id="302" w:name="_Toc30054"/>
    </w:p>
    <w:bookmarkEnd w:id="302"/>
    <w:p w14:paraId="1F91FB78">
      <w:pPr>
        <w:snapToGrid w:val="0"/>
        <w:ind w:firstLine="420"/>
        <w:rPr>
          <w:rFonts w:ascii="微软雅黑" w:hAnsi="微软雅黑"/>
          <w:color w:val="auto"/>
          <w:szCs w:val="21"/>
          <w:highlight w:val="none"/>
        </w:rPr>
      </w:pPr>
      <w:r>
        <w:rPr>
          <w:rFonts w:hint="eastAsia" w:ascii="微软雅黑" w:hAnsi="微软雅黑"/>
          <w:color w:val="auto"/>
          <w:szCs w:val="21"/>
          <w:highlight w:val="none"/>
        </w:rPr>
        <w:t xml:space="preserve">招标编号： </w:t>
      </w:r>
    </w:p>
    <w:p w14:paraId="5A1269D1">
      <w:pPr>
        <w:snapToGrid w:val="0"/>
        <w:ind w:firstLine="420"/>
        <w:rPr>
          <w:rFonts w:ascii="微软雅黑" w:hAnsi="微软雅黑"/>
          <w:color w:val="auto"/>
          <w:szCs w:val="21"/>
          <w:highlight w:val="none"/>
        </w:rPr>
      </w:pPr>
      <w:r>
        <w:rPr>
          <w:rFonts w:hint="eastAsia" w:ascii="微软雅黑" w:hAnsi="微软雅黑"/>
          <w:color w:val="auto"/>
          <w:szCs w:val="21"/>
          <w:highlight w:val="none"/>
        </w:rPr>
        <w:t>投标人名称：</w:t>
      </w:r>
    </w:p>
    <w:tbl>
      <w:tblPr>
        <w:tblStyle w:val="52"/>
        <w:tblW w:w="8837" w:type="dxa"/>
        <w:tblInd w:w="59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591"/>
        <w:gridCol w:w="888"/>
        <w:gridCol w:w="2409"/>
        <w:gridCol w:w="2949"/>
      </w:tblGrid>
      <w:tr w14:paraId="4252C6C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0" w:hRule="atLeast"/>
        </w:trPr>
        <w:tc>
          <w:tcPr>
            <w:tcW w:w="2591" w:type="dxa"/>
            <w:tcBorders>
              <w:top w:val="single" w:color="auto" w:sz="4" w:space="0"/>
              <w:left w:val="single" w:color="auto" w:sz="4" w:space="0"/>
              <w:bottom w:val="single" w:color="auto" w:sz="4" w:space="0"/>
              <w:right w:val="single" w:color="auto" w:sz="4" w:space="0"/>
            </w:tcBorders>
            <w:vAlign w:val="center"/>
          </w:tcPr>
          <w:p w14:paraId="0E099F17">
            <w:pPr>
              <w:snapToGrid w:val="0"/>
              <w:ind w:firstLine="0" w:firstLineChars="0"/>
              <w:jc w:val="center"/>
              <w:rPr>
                <w:rFonts w:hint="eastAsia" w:ascii="微软雅黑" w:hAnsi="微软雅黑" w:eastAsia="微软雅黑"/>
                <w:color w:val="auto"/>
                <w:szCs w:val="21"/>
                <w:highlight w:val="none"/>
                <w:lang w:eastAsia="zh-CN"/>
              </w:rPr>
            </w:pPr>
            <w:r>
              <w:rPr>
                <w:rFonts w:hint="eastAsia" w:ascii="微软雅黑" w:hAnsi="微软雅黑"/>
                <w:color w:val="auto"/>
                <w:szCs w:val="21"/>
                <w:highlight w:val="none"/>
                <w:lang w:eastAsia="zh-CN"/>
              </w:rPr>
              <w:t>标项</w:t>
            </w:r>
          </w:p>
        </w:tc>
        <w:tc>
          <w:tcPr>
            <w:tcW w:w="888" w:type="dxa"/>
            <w:tcBorders>
              <w:top w:val="single" w:color="auto" w:sz="4" w:space="0"/>
              <w:left w:val="single" w:color="auto" w:sz="4" w:space="0"/>
              <w:bottom w:val="single" w:color="auto" w:sz="4" w:space="0"/>
              <w:right w:val="single" w:color="auto" w:sz="4" w:space="0"/>
            </w:tcBorders>
            <w:vAlign w:val="center"/>
          </w:tcPr>
          <w:p w14:paraId="17902B02">
            <w:pPr>
              <w:snapToGrid w:val="0"/>
              <w:ind w:firstLine="0" w:firstLineChars="0"/>
              <w:jc w:val="center"/>
              <w:rPr>
                <w:rFonts w:ascii="微软雅黑" w:hAnsi="微软雅黑"/>
                <w:color w:val="auto"/>
                <w:szCs w:val="21"/>
                <w:highlight w:val="none"/>
              </w:rPr>
            </w:pPr>
            <w:r>
              <w:rPr>
                <w:rFonts w:hint="eastAsia" w:ascii="微软雅黑" w:hAnsi="微软雅黑"/>
                <w:color w:val="auto"/>
                <w:szCs w:val="21"/>
                <w:highlight w:val="none"/>
              </w:rPr>
              <w:t>数量</w:t>
            </w:r>
          </w:p>
        </w:tc>
        <w:tc>
          <w:tcPr>
            <w:tcW w:w="2409" w:type="dxa"/>
            <w:tcBorders>
              <w:top w:val="single" w:color="auto" w:sz="4" w:space="0"/>
              <w:left w:val="single" w:color="auto" w:sz="4" w:space="0"/>
              <w:bottom w:val="single" w:color="auto" w:sz="4" w:space="0"/>
              <w:right w:val="single" w:color="auto" w:sz="4" w:space="0"/>
            </w:tcBorders>
            <w:vAlign w:val="center"/>
          </w:tcPr>
          <w:p w14:paraId="4B28A0DD">
            <w:pPr>
              <w:snapToGrid w:val="0"/>
              <w:ind w:firstLine="0" w:firstLineChars="0"/>
              <w:jc w:val="center"/>
              <w:rPr>
                <w:rFonts w:ascii="微软雅黑" w:hAnsi="微软雅黑"/>
                <w:color w:val="auto"/>
                <w:szCs w:val="21"/>
                <w:highlight w:val="none"/>
              </w:rPr>
            </w:pPr>
            <w:r>
              <w:rPr>
                <w:rFonts w:hint="eastAsia" w:ascii="微软雅黑" w:hAnsi="微软雅黑"/>
                <w:color w:val="auto"/>
                <w:szCs w:val="21"/>
                <w:highlight w:val="none"/>
              </w:rPr>
              <w:t>单位</w:t>
            </w:r>
          </w:p>
        </w:tc>
        <w:tc>
          <w:tcPr>
            <w:tcW w:w="2949" w:type="dxa"/>
            <w:tcBorders>
              <w:top w:val="single" w:color="auto" w:sz="4" w:space="0"/>
              <w:left w:val="single" w:color="auto" w:sz="4" w:space="0"/>
              <w:bottom w:val="single" w:color="auto" w:sz="4" w:space="0"/>
              <w:right w:val="single" w:color="auto" w:sz="4" w:space="0"/>
            </w:tcBorders>
            <w:vAlign w:val="center"/>
          </w:tcPr>
          <w:p w14:paraId="40ADA614">
            <w:pPr>
              <w:snapToGrid w:val="0"/>
              <w:ind w:firstLine="0" w:firstLineChars="0"/>
              <w:jc w:val="center"/>
              <w:rPr>
                <w:rFonts w:ascii="微软雅黑" w:hAnsi="微软雅黑"/>
                <w:color w:val="auto"/>
                <w:szCs w:val="21"/>
                <w:highlight w:val="none"/>
              </w:rPr>
            </w:pPr>
            <w:r>
              <w:rPr>
                <w:rFonts w:hint="eastAsia" w:ascii="微软雅黑" w:hAnsi="微软雅黑"/>
                <w:color w:val="auto"/>
                <w:szCs w:val="21"/>
                <w:highlight w:val="none"/>
              </w:rPr>
              <w:t>投标报价（元）</w:t>
            </w:r>
          </w:p>
        </w:tc>
      </w:tr>
      <w:tr w14:paraId="2547DB2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83" w:hRule="atLeast"/>
        </w:trPr>
        <w:tc>
          <w:tcPr>
            <w:tcW w:w="2591" w:type="dxa"/>
            <w:tcBorders>
              <w:top w:val="single" w:color="auto" w:sz="4" w:space="0"/>
              <w:left w:val="single" w:color="auto" w:sz="4" w:space="0"/>
              <w:bottom w:val="single" w:color="auto" w:sz="4" w:space="0"/>
              <w:right w:val="single" w:color="auto" w:sz="4" w:space="0"/>
            </w:tcBorders>
            <w:vAlign w:val="center"/>
          </w:tcPr>
          <w:p w14:paraId="06465FBA">
            <w:pPr>
              <w:spacing w:line="276" w:lineRule="auto"/>
              <w:ind w:firstLine="0" w:firstLineChars="0"/>
              <w:jc w:val="center"/>
              <w:rPr>
                <w:rFonts w:ascii="微软雅黑" w:hAnsi="微软雅黑"/>
                <w:color w:val="auto"/>
                <w:szCs w:val="21"/>
                <w:highlight w:val="none"/>
              </w:rPr>
            </w:pPr>
            <w:r>
              <w:rPr>
                <w:rFonts w:hint="eastAsia" w:ascii="微软雅黑" w:hAnsi="微软雅黑" w:cs="Arial"/>
                <w:color w:val="auto"/>
                <w:szCs w:val="21"/>
                <w:highlight w:val="none"/>
                <w:lang w:eastAsia="zh-CN"/>
              </w:rPr>
              <w:t>化工基础实验室(二)</w:t>
            </w:r>
          </w:p>
        </w:tc>
        <w:tc>
          <w:tcPr>
            <w:tcW w:w="888" w:type="dxa"/>
            <w:tcBorders>
              <w:top w:val="single" w:color="auto" w:sz="4" w:space="0"/>
              <w:left w:val="single" w:color="auto" w:sz="4" w:space="0"/>
              <w:bottom w:val="single" w:color="auto" w:sz="4" w:space="0"/>
              <w:right w:val="single" w:color="auto" w:sz="4" w:space="0"/>
            </w:tcBorders>
            <w:vAlign w:val="center"/>
          </w:tcPr>
          <w:p w14:paraId="3082F85C">
            <w:pPr>
              <w:snapToGrid w:val="0"/>
              <w:ind w:firstLine="0" w:firstLineChars="0"/>
              <w:jc w:val="center"/>
              <w:rPr>
                <w:rFonts w:ascii="微软雅黑" w:hAnsi="微软雅黑"/>
                <w:color w:val="auto"/>
                <w:szCs w:val="21"/>
                <w:highlight w:val="none"/>
              </w:rPr>
            </w:pPr>
            <w:r>
              <w:rPr>
                <w:rFonts w:ascii="微软雅黑" w:hAnsi="微软雅黑"/>
                <w:color w:val="auto"/>
                <w:szCs w:val="21"/>
                <w:highlight w:val="none"/>
              </w:rPr>
              <w:t>1</w:t>
            </w:r>
          </w:p>
        </w:tc>
        <w:tc>
          <w:tcPr>
            <w:tcW w:w="2409" w:type="dxa"/>
            <w:tcBorders>
              <w:top w:val="single" w:color="auto" w:sz="4" w:space="0"/>
              <w:left w:val="single" w:color="auto" w:sz="4" w:space="0"/>
              <w:bottom w:val="single" w:color="auto" w:sz="4" w:space="0"/>
              <w:right w:val="single" w:color="auto" w:sz="4" w:space="0"/>
            </w:tcBorders>
            <w:vAlign w:val="center"/>
          </w:tcPr>
          <w:p w14:paraId="5E8B3B41">
            <w:pPr>
              <w:snapToGrid w:val="0"/>
              <w:ind w:firstLine="0" w:firstLineChars="0"/>
              <w:jc w:val="center"/>
              <w:rPr>
                <w:rFonts w:ascii="微软雅黑" w:hAnsi="微软雅黑"/>
                <w:color w:val="auto"/>
                <w:szCs w:val="21"/>
                <w:highlight w:val="none"/>
              </w:rPr>
            </w:pPr>
            <w:r>
              <w:rPr>
                <w:rFonts w:hint="eastAsia" w:ascii="微软雅黑" w:hAnsi="微软雅黑"/>
                <w:color w:val="auto"/>
                <w:szCs w:val="21"/>
                <w:highlight w:val="none"/>
              </w:rPr>
              <w:t>批</w:t>
            </w:r>
          </w:p>
        </w:tc>
        <w:tc>
          <w:tcPr>
            <w:tcW w:w="2949" w:type="dxa"/>
            <w:tcBorders>
              <w:top w:val="single" w:color="auto" w:sz="4" w:space="0"/>
              <w:left w:val="single" w:color="auto" w:sz="4" w:space="0"/>
              <w:bottom w:val="single" w:color="auto" w:sz="4" w:space="0"/>
              <w:right w:val="single" w:color="auto" w:sz="4" w:space="0"/>
            </w:tcBorders>
            <w:vAlign w:val="center"/>
          </w:tcPr>
          <w:p w14:paraId="404972AF">
            <w:pPr>
              <w:snapToGrid w:val="0"/>
              <w:ind w:firstLine="0" w:firstLineChars="0"/>
              <w:jc w:val="center"/>
              <w:rPr>
                <w:rFonts w:ascii="微软雅黑" w:hAnsi="微软雅黑"/>
                <w:color w:val="auto"/>
                <w:szCs w:val="21"/>
                <w:highlight w:val="none"/>
              </w:rPr>
            </w:pPr>
          </w:p>
        </w:tc>
      </w:tr>
      <w:tr w14:paraId="59E92A7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6" w:hRule="atLeast"/>
        </w:trPr>
        <w:tc>
          <w:tcPr>
            <w:tcW w:w="8837" w:type="dxa"/>
            <w:gridSpan w:val="4"/>
            <w:tcBorders>
              <w:top w:val="single" w:color="auto" w:sz="4" w:space="0"/>
              <w:left w:val="single" w:color="auto" w:sz="4" w:space="0"/>
              <w:bottom w:val="single" w:color="auto" w:sz="4" w:space="0"/>
              <w:right w:val="single" w:color="auto" w:sz="4" w:space="0"/>
            </w:tcBorders>
            <w:vAlign w:val="center"/>
          </w:tcPr>
          <w:p w14:paraId="20178B9A">
            <w:pPr>
              <w:snapToGrid w:val="0"/>
              <w:ind w:firstLine="0" w:firstLineChars="0"/>
              <w:rPr>
                <w:rFonts w:ascii="微软雅黑" w:hAnsi="微软雅黑"/>
                <w:color w:val="auto"/>
                <w:szCs w:val="21"/>
                <w:highlight w:val="none"/>
                <w:u w:val="single"/>
              </w:rPr>
            </w:pPr>
            <w:r>
              <w:rPr>
                <w:rFonts w:ascii="微软雅黑" w:hAnsi="微软雅黑"/>
                <w:color w:val="auto"/>
                <w:szCs w:val="21"/>
                <w:highlight w:val="none"/>
              </w:rPr>
              <w:t>合计：大写：                                                  小写：</w:t>
            </w:r>
          </w:p>
        </w:tc>
      </w:tr>
    </w:tbl>
    <w:p w14:paraId="4339E4AB">
      <w:pPr>
        <w:snapToGrid w:val="0"/>
        <w:ind w:firstLine="420"/>
        <w:rPr>
          <w:rFonts w:ascii="微软雅黑" w:hAnsi="微软雅黑"/>
          <w:color w:val="auto"/>
          <w:szCs w:val="21"/>
          <w:highlight w:val="none"/>
        </w:rPr>
      </w:pPr>
    </w:p>
    <w:p w14:paraId="70BED131">
      <w:pPr>
        <w:snapToGrid w:val="0"/>
        <w:ind w:firstLine="420"/>
        <w:rPr>
          <w:rFonts w:ascii="微软雅黑" w:hAnsi="微软雅黑"/>
          <w:color w:val="auto"/>
          <w:szCs w:val="21"/>
          <w:highlight w:val="none"/>
        </w:rPr>
      </w:pPr>
      <w:r>
        <w:rPr>
          <w:rFonts w:hint="eastAsia" w:ascii="微软雅黑" w:hAnsi="微软雅黑"/>
          <w:color w:val="auto"/>
          <w:szCs w:val="21"/>
          <w:highlight w:val="none"/>
        </w:rPr>
        <w:t>注</w:t>
      </w:r>
      <w:r>
        <w:rPr>
          <w:rFonts w:ascii="微软雅黑" w:hAnsi="微软雅黑"/>
          <w:color w:val="auto"/>
          <w:szCs w:val="21"/>
          <w:highlight w:val="none"/>
        </w:rPr>
        <w:t>: 1</w:t>
      </w:r>
      <w:r>
        <w:rPr>
          <w:rFonts w:hint="eastAsia" w:ascii="微软雅黑" w:hAnsi="微软雅黑"/>
          <w:color w:val="auto"/>
          <w:szCs w:val="21"/>
          <w:highlight w:val="none"/>
        </w:rPr>
        <w:t>、报价一经涂改，应在涂改处加盖单位公章或者由法定代表人或授权委托人签字或盖章，否则其投标作无效标处理。</w:t>
      </w:r>
    </w:p>
    <w:p w14:paraId="535AE42F">
      <w:pPr>
        <w:ind w:firstLine="420"/>
        <w:rPr>
          <w:rFonts w:ascii="微软雅黑" w:hAnsi="微软雅黑"/>
          <w:color w:val="auto"/>
          <w:szCs w:val="21"/>
          <w:highlight w:val="none"/>
        </w:rPr>
      </w:pPr>
      <w:r>
        <w:rPr>
          <w:rFonts w:hint="eastAsia" w:ascii="微软雅黑" w:hAnsi="微软雅黑" w:cs="微软雅黑"/>
          <w:color w:val="auto"/>
          <w:szCs w:val="21"/>
          <w:highlight w:val="none"/>
        </w:rPr>
        <w:t>▲2、</w:t>
      </w:r>
      <w:r>
        <w:rPr>
          <w:rFonts w:hint="eastAsia" w:ascii="微软雅黑" w:hAnsi="微软雅黑"/>
          <w:color w:val="auto"/>
          <w:szCs w:val="21"/>
          <w:highlight w:val="none"/>
        </w:rPr>
        <w:t>以上报价不得超过上限价，任何超过上限价的报价均导致投标被否决。</w:t>
      </w:r>
    </w:p>
    <w:p w14:paraId="380A6634">
      <w:pPr>
        <w:pStyle w:val="18"/>
        <w:ind w:firstLine="420"/>
        <w:rPr>
          <w:color w:val="auto"/>
          <w:highlight w:val="none"/>
        </w:rPr>
      </w:pPr>
      <w:r>
        <w:rPr>
          <w:rFonts w:hint="eastAsia"/>
          <w:color w:val="auto"/>
          <w:highlight w:val="none"/>
        </w:rPr>
        <w:t>3、投标总价应与报价明细表金额一致。</w:t>
      </w:r>
    </w:p>
    <w:p w14:paraId="05F02AF1">
      <w:pPr>
        <w:pStyle w:val="28"/>
        <w:snapToGrid w:val="0"/>
        <w:ind w:firstLine="420"/>
        <w:rPr>
          <w:rFonts w:ascii="微软雅黑" w:hAnsi="微软雅黑"/>
          <w:color w:val="auto"/>
          <w:szCs w:val="21"/>
          <w:highlight w:val="none"/>
        </w:rPr>
      </w:pPr>
    </w:p>
    <w:p w14:paraId="24FEBB5B">
      <w:pPr>
        <w:snapToGrid w:val="0"/>
        <w:ind w:firstLine="420"/>
        <w:rPr>
          <w:rFonts w:ascii="微软雅黑" w:hAnsi="微软雅黑"/>
          <w:color w:val="auto"/>
          <w:szCs w:val="21"/>
          <w:highlight w:val="none"/>
        </w:rPr>
      </w:pPr>
    </w:p>
    <w:p w14:paraId="27264D40">
      <w:pPr>
        <w:snapToGrid w:val="0"/>
        <w:ind w:left="-46" w:leftChars="-22" w:right="-817" w:rightChars="-389" w:firstLine="525" w:firstLineChars="250"/>
        <w:rPr>
          <w:rFonts w:ascii="微软雅黑" w:hAnsi="微软雅黑"/>
          <w:color w:val="auto"/>
          <w:szCs w:val="21"/>
          <w:highlight w:val="none"/>
        </w:rPr>
      </w:pPr>
      <w:r>
        <w:rPr>
          <w:rFonts w:hint="eastAsia" w:ascii="微软雅黑" w:hAnsi="微软雅黑"/>
          <w:color w:val="auto"/>
          <w:szCs w:val="21"/>
          <w:highlight w:val="none"/>
        </w:rPr>
        <w:t>法定代表人或授权代表（签字或盖章）：</w:t>
      </w:r>
    </w:p>
    <w:p w14:paraId="070CF78D">
      <w:pPr>
        <w:ind w:firstLine="420"/>
        <w:rPr>
          <w:rFonts w:ascii="微软雅黑" w:hAnsi="微软雅黑"/>
          <w:color w:val="auto"/>
          <w:szCs w:val="21"/>
          <w:highlight w:val="none"/>
        </w:rPr>
      </w:pPr>
      <w:r>
        <w:rPr>
          <w:rFonts w:hint="eastAsia" w:ascii="微软雅黑" w:hAnsi="微软雅黑"/>
          <w:color w:val="auto"/>
          <w:szCs w:val="21"/>
          <w:highlight w:val="none"/>
        </w:rPr>
        <w:t>投标人名称（盖章）：</w:t>
      </w:r>
    </w:p>
    <w:p w14:paraId="27E82F7C">
      <w:pPr>
        <w:ind w:firstLine="420"/>
        <w:rPr>
          <w:rFonts w:ascii="微软雅黑" w:hAnsi="微软雅黑"/>
          <w:color w:val="auto"/>
          <w:szCs w:val="21"/>
          <w:highlight w:val="none"/>
        </w:rPr>
      </w:pPr>
      <w:r>
        <w:rPr>
          <w:rFonts w:hint="eastAsia" w:ascii="微软雅黑" w:hAnsi="微软雅黑"/>
          <w:color w:val="auto"/>
          <w:szCs w:val="21"/>
          <w:highlight w:val="none"/>
        </w:rPr>
        <w:t>日期： 年 月 日</w:t>
      </w:r>
    </w:p>
    <w:p w14:paraId="791CDB8E">
      <w:pPr>
        <w:snapToGrid w:val="0"/>
        <w:spacing w:line="440" w:lineRule="exact"/>
        <w:ind w:right="480" w:firstLine="420"/>
        <w:jc w:val="center"/>
        <w:rPr>
          <w:rFonts w:ascii="微软雅黑" w:hAnsi="微软雅黑"/>
          <w:color w:val="auto"/>
          <w:szCs w:val="21"/>
          <w:highlight w:val="none"/>
        </w:rPr>
        <w:sectPr>
          <w:pgSz w:w="11907" w:h="16840"/>
          <w:pgMar w:top="1247" w:right="1418" w:bottom="1276" w:left="1418" w:header="851" w:footer="992" w:gutter="0"/>
          <w:cols w:space="720" w:num="1"/>
          <w:titlePg/>
          <w:docGrid w:linePitch="312" w:charSpace="0"/>
        </w:sectPr>
      </w:pPr>
    </w:p>
    <w:p w14:paraId="45170C7E">
      <w:pPr>
        <w:shd w:val="clear" w:color="auto" w:fill="FFFFFF"/>
        <w:spacing w:line="400" w:lineRule="atLeast"/>
        <w:ind w:firstLine="420"/>
        <w:rPr>
          <w:rFonts w:ascii="微软雅黑" w:hAnsi="微软雅黑" w:cs="宋体"/>
          <w:b/>
          <w:color w:val="auto"/>
          <w:szCs w:val="21"/>
          <w:highlight w:val="none"/>
        </w:rPr>
      </w:pPr>
      <w:r>
        <w:rPr>
          <w:rFonts w:hint="eastAsia" w:ascii="微软雅黑" w:hAnsi="微软雅黑" w:cs="宋体"/>
          <w:b/>
          <w:color w:val="auto"/>
          <w:szCs w:val="21"/>
          <w:highlight w:val="none"/>
        </w:rPr>
        <w:t>附</w:t>
      </w:r>
      <w:r>
        <w:rPr>
          <w:rFonts w:ascii="微软雅黑" w:hAnsi="微软雅黑" w:cs="宋体"/>
          <w:b/>
          <w:color w:val="auto"/>
          <w:szCs w:val="21"/>
          <w:highlight w:val="none"/>
        </w:rPr>
        <w:t>件</w:t>
      </w:r>
      <w:r>
        <w:rPr>
          <w:rFonts w:hint="eastAsia" w:ascii="微软雅黑" w:hAnsi="微软雅黑" w:cs="宋体"/>
          <w:b/>
          <w:color w:val="auto"/>
          <w:szCs w:val="21"/>
          <w:highlight w:val="none"/>
          <w:lang w:val="en-US" w:eastAsia="zh-CN"/>
        </w:rPr>
        <w:t>(一)</w:t>
      </w:r>
      <w:r>
        <w:rPr>
          <w:rFonts w:ascii="微软雅黑" w:hAnsi="微软雅黑" w:cs="宋体"/>
          <w:b/>
          <w:color w:val="auto"/>
          <w:szCs w:val="21"/>
          <w:highlight w:val="none"/>
        </w:rPr>
        <w:t>：</w:t>
      </w:r>
    </w:p>
    <w:p w14:paraId="204714D8">
      <w:pPr>
        <w:shd w:val="clear" w:color="auto" w:fill="FFFFFF"/>
        <w:spacing w:line="400" w:lineRule="atLeast"/>
        <w:ind w:firstLine="420"/>
        <w:jc w:val="center"/>
        <w:rPr>
          <w:rFonts w:ascii="微软雅黑" w:hAnsi="微软雅黑" w:cs="宋体"/>
          <w:b/>
          <w:color w:val="auto"/>
          <w:szCs w:val="21"/>
          <w:highlight w:val="none"/>
        </w:rPr>
      </w:pPr>
    </w:p>
    <w:p w14:paraId="61F7587E">
      <w:pPr>
        <w:shd w:val="clear" w:color="auto" w:fill="FFFFFF"/>
        <w:spacing w:line="400" w:lineRule="atLeast"/>
        <w:ind w:firstLine="420"/>
        <w:jc w:val="center"/>
        <w:outlineLvl w:val="0"/>
        <w:rPr>
          <w:rFonts w:ascii="微软雅黑" w:hAnsi="微软雅黑" w:cs="宋体"/>
          <w:bCs/>
          <w:color w:val="auto"/>
          <w:szCs w:val="21"/>
          <w:highlight w:val="none"/>
        </w:rPr>
      </w:pPr>
      <w:bookmarkStart w:id="303" w:name="_Toc13790"/>
      <w:bookmarkStart w:id="304" w:name="_Toc164943235"/>
      <w:bookmarkStart w:id="305" w:name="_Toc6899"/>
      <w:bookmarkStart w:id="306" w:name="_Toc23088"/>
      <w:r>
        <w:rPr>
          <w:rFonts w:hint="eastAsia" w:ascii="微软雅黑" w:hAnsi="微软雅黑" w:cs="宋体"/>
          <w:b/>
          <w:color w:val="auto"/>
          <w:szCs w:val="21"/>
          <w:highlight w:val="none"/>
        </w:rPr>
        <w:t>国家统计局关于印发统计上大中小微型企业划分办法的通知</w:t>
      </w:r>
      <w:bookmarkEnd w:id="303"/>
      <w:bookmarkEnd w:id="304"/>
      <w:bookmarkEnd w:id="305"/>
      <w:bookmarkEnd w:id="306"/>
    </w:p>
    <w:p w14:paraId="690AB230">
      <w:pPr>
        <w:shd w:val="clear" w:color="auto" w:fill="FFFFFF"/>
        <w:spacing w:line="400" w:lineRule="atLeast"/>
        <w:ind w:firstLine="420"/>
        <w:jc w:val="center"/>
        <w:rPr>
          <w:rFonts w:ascii="微软雅黑" w:hAnsi="微软雅黑" w:cs="宋体"/>
          <w:bCs/>
          <w:color w:val="auto"/>
          <w:szCs w:val="21"/>
          <w:highlight w:val="none"/>
        </w:rPr>
      </w:pPr>
      <w:r>
        <w:rPr>
          <w:rFonts w:hint="eastAsia" w:ascii="微软雅黑" w:hAnsi="微软雅黑" w:cs="宋体"/>
          <w:color w:val="auto"/>
          <w:szCs w:val="21"/>
          <w:highlight w:val="none"/>
        </w:rPr>
        <w:t>国统字〔</w:t>
      </w:r>
      <w:r>
        <w:rPr>
          <w:rFonts w:ascii="微软雅黑" w:hAnsi="微软雅黑"/>
          <w:color w:val="auto"/>
          <w:szCs w:val="21"/>
          <w:highlight w:val="none"/>
        </w:rPr>
        <w:t>2011</w:t>
      </w:r>
      <w:r>
        <w:rPr>
          <w:rFonts w:hint="eastAsia" w:ascii="微软雅黑" w:hAnsi="微软雅黑" w:cs="宋体"/>
          <w:color w:val="auto"/>
          <w:szCs w:val="21"/>
          <w:highlight w:val="none"/>
        </w:rPr>
        <w:t>〕</w:t>
      </w:r>
      <w:r>
        <w:rPr>
          <w:rFonts w:ascii="微软雅黑" w:hAnsi="微软雅黑"/>
          <w:color w:val="auto"/>
          <w:szCs w:val="21"/>
          <w:highlight w:val="none"/>
        </w:rPr>
        <w:t>75</w:t>
      </w:r>
      <w:r>
        <w:rPr>
          <w:rFonts w:hint="eastAsia" w:ascii="微软雅黑" w:hAnsi="微软雅黑" w:cs="宋体"/>
          <w:color w:val="auto"/>
          <w:szCs w:val="21"/>
          <w:highlight w:val="none"/>
        </w:rPr>
        <w:t>号</w:t>
      </w:r>
    </w:p>
    <w:p w14:paraId="5A62C22A">
      <w:pPr>
        <w:shd w:val="clear" w:color="auto" w:fill="FFFFFF"/>
        <w:spacing w:line="400" w:lineRule="atLeast"/>
        <w:ind w:firstLine="420"/>
        <w:rPr>
          <w:rFonts w:ascii="微软雅黑" w:hAnsi="微软雅黑" w:cs="宋体"/>
          <w:bCs/>
          <w:color w:val="auto"/>
          <w:szCs w:val="21"/>
          <w:highlight w:val="none"/>
        </w:rPr>
      </w:pPr>
      <w:r>
        <w:rPr>
          <w:rFonts w:ascii="微软雅黑" w:hAnsi="微软雅黑"/>
          <w:color w:val="auto"/>
          <w:szCs w:val="21"/>
          <w:highlight w:val="none"/>
        </w:rPr>
        <w:t> </w:t>
      </w:r>
    </w:p>
    <w:p w14:paraId="19BFA039">
      <w:pPr>
        <w:shd w:val="clear" w:color="auto" w:fill="FFFFFF"/>
        <w:spacing w:line="400" w:lineRule="atLeast"/>
        <w:ind w:firstLine="420"/>
        <w:rPr>
          <w:rFonts w:ascii="微软雅黑" w:hAnsi="微软雅黑" w:cs="宋体"/>
          <w:bCs/>
          <w:color w:val="auto"/>
          <w:szCs w:val="21"/>
          <w:highlight w:val="none"/>
        </w:rPr>
      </w:pPr>
      <w:r>
        <w:rPr>
          <w:rFonts w:hint="eastAsia" w:ascii="微软雅黑" w:hAnsi="微软雅黑" w:cs="宋体"/>
          <w:color w:val="auto"/>
          <w:szCs w:val="21"/>
          <w:highlight w:val="none"/>
        </w:rPr>
        <w:t>各省、自治区、直辖市统计局，新疆生产建设兵团统计局，国家统计局各调查总队，国务院有关部门：</w:t>
      </w:r>
    </w:p>
    <w:p w14:paraId="677271D0">
      <w:pPr>
        <w:shd w:val="clear" w:color="auto" w:fill="FFFFFF"/>
        <w:spacing w:line="400" w:lineRule="atLeast"/>
        <w:ind w:firstLine="420"/>
        <w:rPr>
          <w:rFonts w:ascii="微软雅黑" w:hAnsi="微软雅黑" w:cs="宋体"/>
          <w:bCs/>
          <w:color w:val="auto"/>
          <w:szCs w:val="21"/>
          <w:highlight w:val="none"/>
        </w:rPr>
      </w:pPr>
      <w:r>
        <w:rPr>
          <w:rFonts w:ascii="微软雅黑" w:hAnsi="微软雅黑"/>
          <w:color w:val="auto"/>
          <w:szCs w:val="21"/>
          <w:highlight w:val="none"/>
        </w:rPr>
        <w:t> </w:t>
      </w:r>
    </w:p>
    <w:p w14:paraId="2C8520DD">
      <w:pPr>
        <w:shd w:val="clear" w:color="auto" w:fill="FFFFFF"/>
        <w:spacing w:line="400" w:lineRule="atLeast"/>
        <w:ind w:firstLine="420"/>
        <w:rPr>
          <w:rFonts w:ascii="微软雅黑" w:hAnsi="微软雅黑" w:cs="宋体"/>
          <w:bCs/>
          <w:color w:val="auto"/>
          <w:szCs w:val="21"/>
          <w:highlight w:val="none"/>
        </w:rPr>
      </w:pPr>
      <w:r>
        <w:rPr>
          <w:rFonts w:hint="eastAsia" w:ascii="微软雅黑" w:hAnsi="微软雅黑" w:cs="宋体"/>
          <w:color w:val="auto"/>
          <w:szCs w:val="21"/>
          <w:highlight w:val="none"/>
        </w:rPr>
        <w:t>　　为贯彻落实工业和信息化部、国家统计局、国家发展改革委、财政部《关于印发中小企业划型标准规定的通知》（工信部联企业〔</w:t>
      </w:r>
      <w:r>
        <w:rPr>
          <w:rFonts w:ascii="微软雅黑" w:hAnsi="微软雅黑"/>
          <w:color w:val="auto"/>
          <w:szCs w:val="21"/>
          <w:highlight w:val="none"/>
        </w:rPr>
        <w:t>2011</w:t>
      </w:r>
      <w:r>
        <w:rPr>
          <w:rFonts w:hint="eastAsia" w:ascii="微软雅黑" w:hAnsi="微软雅黑" w:cs="宋体"/>
          <w:color w:val="auto"/>
          <w:szCs w:val="21"/>
          <w:highlight w:val="none"/>
        </w:rPr>
        <w:t>〕</w:t>
      </w:r>
      <w:r>
        <w:rPr>
          <w:rFonts w:ascii="微软雅黑" w:hAnsi="微软雅黑"/>
          <w:color w:val="auto"/>
          <w:szCs w:val="21"/>
          <w:highlight w:val="none"/>
        </w:rPr>
        <w:t>300</w:t>
      </w:r>
      <w:r>
        <w:rPr>
          <w:rFonts w:hint="eastAsia" w:ascii="微软雅黑" w:hAnsi="微软雅黑" w:cs="宋体"/>
          <w:color w:val="auto"/>
          <w:szCs w:val="21"/>
          <w:highlight w:val="none"/>
        </w:rPr>
        <w:t>号），结合统计工作的实际情况，我们制定了《统计上大中小微型企业划分办法》。现印发给你们，请遵照执行。</w:t>
      </w:r>
    </w:p>
    <w:p w14:paraId="0A4A9222">
      <w:pPr>
        <w:shd w:val="clear" w:color="auto" w:fill="FFFFFF"/>
        <w:spacing w:line="400" w:lineRule="atLeast"/>
        <w:ind w:firstLine="420"/>
        <w:rPr>
          <w:rFonts w:ascii="微软雅黑" w:hAnsi="微软雅黑" w:cs="宋体"/>
          <w:bCs/>
          <w:color w:val="auto"/>
          <w:szCs w:val="21"/>
          <w:highlight w:val="none"/>
        </w:rPr>
      </w:pPr>
      <w:r>
        <w:rPr>
          <w:rFonts w:ascii="微软雅黑" w:hAnsi="微软雅黑"/>
          <w:color w:val="auto"/>
          <w:szCs w:val="21"/>
          <w:highlight w:val="none"/>
        </w:rPr>
        <w:t> </w:t>
      </w:r>
    </w:p>
    <w:p w14:paraId="69D4DFA4">
      <w:pPr>
        <w:shd w:val="clear" w:color="auto" w:fill="FFFFFF"/>
        <w:spacing w:line="400" w:lineRule="atLeast"/>
        <w:ind w:firstLine="420"/>
        <w:jc w:val="right"/>
        <w:rPr>
          <w:rFonts w:ascii="微软雅黑" w:hAnsi="微软雅黑" w:cs="宋体"/>
          <w:bCs/>
          <w:color w:val="auto"/>
          <w:szCs w:val="21"/>
          <w:highlight w:val="none"/>
        </w:rPr>
      </w:pPr>
      <w:r>
        <w:rPr>
          <w:rFonts w:hint="eastAsia" w:ascii="微软雅黑" w:hAnsi="微软雅黑" w:cs="宋体"/>
          <w:color w:val="auto"/>
          <w:szCs w:val="21"/>
          <w:highlight w:val="none"/>
        </w:rPr>
        <w:t>　　国家统计局</w:t>
      </w:r>
      <w:r>
        <w:rPr>
          <w:rFonts w:ascii="微软雅黑" w:hAnsi="微软雅黑"/>
          <w:color w:val="auto"/>
          <w:szCs w:val="21"/>
          <w:highlight w:val="none"/>
        </w:rPr>
        <w:t> </w:t>
      </w:r>
    </w:p>
    <w:p w14:paraId="269486BF">
      <w:pPr>
        <w:shd w:val="clear" w:color="auto" w:fill="FFFFFF"/>
        <w:spacing w:line="400" w:lineRule="atLeast"/>
        <w:ind w:firstLine="420"/>
        <w:jc w:val="right"/>
        <w:rPr>
          <w:rFonts w:ascii="微软雅黑" w:hAnsi="微软雅黑" w:cs="宋体"/>
          <w:bCs/>
          <w:color w:val="auto"/>
          <w:szCs w:val="21"/>
          <w:highlight w:val="none"/>
        </w:rPr>
      </w:pPr>
      <w:r>
        <w:rPr>
          <w:rFonts w:hint="eastAsia" w:ascii="微软雅黑" w:hAnsi="微软雅黑" w:cs="宋体"/>
          <w:color w:val="auto"/>
          <w:szCs w:val="21"/>
          <w:highlight w:val="none"/>
        </w:rPr>
        <w:t>　　二〇一一年九月二日</w:t>
      </w:r>
    </w:p>
    <w:p w14:paraId="2B022401">
      <w:pPr>
        <w:shd w:val="clear" w:color="auto" w:fill="FFFFFF"/>
        <w:spacing w:line="400" w:lineRule="atLeast"/>
        <w:ind w:firstLine="420"/>
        <w:rPr>
          <w:rFonts w:ascii="微软雅黑" w:hAnsi="微软雅黑" w:cs="宋体"/>
          <w:bCs/>
          <w:color w:val="auto"/>
          <w:szCs w:val="21"/>
          <w:highlight w:val="none"/>
        </w:rPr>
      </w:pPr>
      <w:r>
        <w:rPr>
          <w:rFonts w:ascii="微软雅黑" w:hAnsi="微软雅黑"/>
          <w:color w:val="auto"/>
          <w:szCs w:val="21"/>
          <w:highlight w:val="none"/>
        </w:rPr>
        <w:t> </w:t>
      </w:r>
    </w:p>
    <w:p w14:paraId="0C2C134F">
      <w:pPr>
        <w:shd w:val="clear" w:color="auto" w:fill="FFFFFF"/>
        <w:spacing w:line="400" w:lineRule="atLeast"/>
        <w:ind w:firstLine="420"/>
        <w:jc w:val="center"/>
        <w:outlineLvl w:val="0"/>
        <w:rPr>
          <w:rFonts w:ascii="微软雅黑" w:hAnsi="微软雅黑" w:cs="宋体"/>
          <w:bCs/>
          <w:color w:val="auto"/>
          <w:szCs w:val="21"/>
          <w:highlight w:val="none"/>
        </w:rPr>
      </w:pPr>
      <w:bookmarkStart w:id="307" w:name="_Toc16901"/>
      <w:bookmarkStart w:id="308" w:name="_Toc28805"/>
      <w:bookmarkStart w:id="309" w:name="_Toc164943236"/>
      <w:bookmarkStart w:id="310" w:name="_Toc23951"/>
      <w:r>
        <w:rPr>
          <w:rFonts w:hint="eastAsia" w:ascii="微软雅黑" w:hAnsi="微软雅黑" w:cs="宋体"/>
          <w:b/>
          <w:color w:val="auto"/>
          <w:szCs w:val="21"/>
          <w:highlight w:val="none"/>
        </w:rPr>
        <w:t>统计上大中小微型企业划分办法</w:t>
      </w:r>
      <w:bookmarkEnd w:id="307"/>
      <w:bookmarkEnd w:id="308"/>
      <w:bookmarkEnd w:id="309"/>
      <w:bookmarkEnd w:id="310"/>
    </w:p>
    <w:p w14:paraId="11ED621E">
      <w:pPr>
        <w:shd w:val="clear" w:color="auto" w:fill="FFFFFF"/>
        <w:spacing w:line="400" w:lineRule="atLeast"/>
        <w:ind w:firstLine="420"/>
        <w:rPr>
          <w:rFonts w:ascii="微软雅黑" w:hAnsi="微软雅黑" w:cs="宋体"/>
          <w:bCs/>
          <w:color w:val="auto"/>
          <w:szCs w:val="21"/>
          <w:highlight w:val="none"/>
        </w:rPr>
      </w:pPr>
      <w:r>
        <w:rPr>
          <w:rFonts w:hint="eastAsia" w:ascii="微软雅黑" w:hAnsi="微软雅黑" w:cs="宋体"/>
          <w:color w:val="auto"/>
          <w:szCs w:val="21"/>
          <w:highlight w:val="none"/>
        </w:rPr>
        <w:t> </w:t>
      </w:r>
    </w:p>
    <w:p w14:paraId="5AD9D703">
      <w:pPr>
        <w:shd w:val="clear" w:color="auto" w:fill="FFFFFF"/>
        <w:spacing w:line="400" w:lineRule="atLeast"/>
        <w:ind w:firstLine="420"/>
        <w:rPr>
          <w:rFonts w:ascii="微软雅黑" w:hAnsi="微软雅黑" w:cs="宋体"/>
          <w:bCs/>
          <w:color w:val="auto"/>
          <w:szCs w:val="21"/>
          <w:highlight w:val="none"/>
        </w:rPr>
      </w:pPr>
      <w:r>
        <w:rPr>
          <w:rFonts w:hint="eastAsia" w:ascii="微软雅黑" w:hAnsi="微软雅黑" w:cs="宋体"/>
          <w:color w:val="auto"/>
          <w:szCs w:val="21"/>
          <w:highlight w:val="none"/>
        </w:rPr>
        <w:t>一、根据工业和信息化部、国家统计局、国家发展改革委、财政部《关于印发中小企业划型标准规定的通知》（工信部联企业〔</w:t>
      </w:r>
      <w:r>
        <w:rPr>
          <w:rFonts w:ascii="微软雅黑" w:hAnsi="微软雅黑"/>
          <w:color w:val="auto"/>
          <w:szCs w:val="21"/>
          <w:highlight w:val="none"/>
        </w:rPr>
        <w:t>2011</w:t>
      </w:r>
      <w:r>
        <w:rPr>
          <w:rFonts w:hint="eastAsia" w:ascii="微软雅黑" w:hAnsi="微软雅黑" w:cs="宋体"/>
          <w:color w:val="auto"/>
          <w:szCs w:val="21"/>
          <w:highlight w:val="none"/>
        </w:rPr>
        <w:t>〕</w:t>
      </w:r>
      <w:r>
        <w:rPr>
          <w:rFonts w:ascii="微软雅黑" w:hAnsi="微软雅黑"/>
          <w:color w:val="auto"/>
          <w:szCs w:val="21"/>
          <w:highlight w:val="none"/>
        </w:rPr>
        <w:t>300</w:t>
      </w:r>
      <w:r>
        <w:rPr>
          <w:rFonts w:hint="eastAsia" w:ascii="微软雅黑" w:hAnsi="微软雅黑" w:cs="宋体"/>
          <w:color w:val="auto"/>
          <w:szCs w:val="21"/>
          <w:highlight w:val="none"/>
        </w:rPr>
        <w:t>号），结合统计工作的实际情况，特制定本办法。</w:t>
      </w:r>
    </w:p>
    <w:p w14:paraId="721A7E2E">
      <w:pPr>
        <w:shd w:val="clear" w:color="auto" w:fill="FFFFFF"/>
        <w:spacing w:line="400" w:lineRule="atLeast"/>
        <w:ind w:firstLine="420"/>
        <w:rPr>
          <w:rFonts w:ascii="微软雅黑" w:hAnsi="微软雅黑" w:cs="宋体"/>
          <w:bCs/>
          <w:color w:val="auto"/>
          <w:szCs w:val="21"/>
          <w:highlight w:val="none"/>
        </w:rPr>
      </w:pPr>
      <w:r>
        <w:rPr>
          <w:rFonts w:ascii="微软雅黑" w:hAnsi="微软雅黑"/>
          <w:color w:val="auto"/>
          <w:szCs w:val="21"/>
          <w:highlight w:val="none"/>
        </w:rPr>
        <w:t> </w:t>
      </w:r>
    </w:p>
    <w:p w14:paraId="7D67A0B8">
      <w:pPr>
        <w:shd w:val="clear" w:color="auto" w:fill="FFFFFF"/>
        <w:spacing w:line="400" w:lineRule="atLeast"/>
        <w:ind w:firstLine="420"/>
        <w:rPr>
          <w:rFonts w:ascii="微软雅黑" w:hAnsi="微软雅黑" w:cs="宋体"/>
          <w:bCs/>
          <w:color w:val="auto"/>
          <w:szCs w:val="21"/>
          <w:highlight w:val="none"/>
        </w:rPr>
      </w:pPr>
      <w:r>
        <w:rPr>
          <w:rFonts w:hint="eastAsia" w:ascii="微软雅黑" w:hAnsi="微软雅黑" w:cs="宋体"/>
          <w:color w:val="auto"/>
          <w:szCs w:val="21"/>
          <w:highlight w:val="none"/>
        </w:rPr>
        <w:t>二、本办法适用对象为在中华人民共和国境内依法设立的各种组织形式的法人企业或单位。个体工商户参照本办法进行划分。</w:t>
      </w:r>
    </w:p>
    <w:p w14:paraId="0B8DB659">
      <w:pPr>
        <w:shd w:val="clear" w:color="auto" w:fill="FFFFFF"/>
        <w:spacing w:line="400" w:lineRule="atLeast"/>
        <w:ind w:firstLine="420"/>
        <w:rPr>
          <w:rFonts w:ascii="微软雅黑" w:hAnsi="微软雅黑" w:cs="宋体"/>
          <w:bCs/>
          <w:color w:val="auto"/>
          <w:szCs w:val="21"/>
          <w:highlight w:val="none"/>
        </w:rPr>
      </w:pPr>
      <w:r>
        <w:rPr>
          <w:rFonts w:ascii="微软雅黑" w:hAnsi="微软雅黑"/>
          <w:color w:val="auto"/>
          <w:szCs w:val="21"/>
          <w:highlight w:val="none"/>
        </w:rPr>
        <w:t> </w:t>
      </w:r>
      <w:r>
        <w:rPr>
          <w:rFonts w:hint="eastAsia" w:ascii="微软雅黑" w:hAnsi="微软雅黑" w:cs="宋体"/>
          <w:color w:val="auto"/>
          <w:szCs w:val="21"/>
          <w:highlight w:val="none"/>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w:t>
      </w:r>
      <w:r>
        <w:rPr>
          <w:rFonts w:ascii="微软雅黑" w:hAnsi="微软雅黑"/>
          <w:color w:val="auto"/>
          <w:szCs w:val="21"/>
          <w:highlight w:val="none"/>
        </w:rPr>
        <w:t>15</w:t>
      </w:r>
      <w:r>
        <w:rPr>
          <w:rFonts w:hint="eastAsia" w:ascii="微软雅黑" w:hAnsi="微软雅黑" w:cs="宋体"/>
          <w:color w:val="auto"/>
          <w:szCs w:val="21"/>
          <w:highlight w:val="none"/>
        </w:rPr>
        <w:t>个行业门类以及社会工作行业大类。</w:t>
      </w:r>
    </w:p>
    <w:p w14:paraId="56991F6A">
      <w:pPr>
        <w:shd w:val="clear" w:color="auto" w:fill="FFFFFF"/>
        <w:spacing w:line="400" w:lineRule="atLeast"/>
        <w:ind w:firstLine="420"/>
        <w:rPr>
          <w:rFonts w:ascii="微软雅黑" w:hAnsi="微软雅黑" w:cs="宋体"/>
          <w:bCs/>
          <w:color w:val="auto"/>
          <w:szCs w:val="21"/>
          <w:highlight w:val="none"/>
        </w:rPr>
      </w:pPr>
      <w:r>
        <w:rPr>
          <w:rFonts w:hint="eastAsia" w:ascii="微软雅黑" w:hAnsi="微软雅黑" w:cs="宋体"/>
          <w:color w:val="auto"/>
          <w:szCs w:val="21"/>
          <w:highlight w:val="none"/>
        </w:rPr>
        <w:t>四、本办法按照行业门类、大类、中类和组合类别，依据从业人员、营业收入、资产总额等指标或替代指标，将我国的企业划分为大型、中型、小型、微型等四种类型。具体划分标准见附表。</w:t>
      </w:r>
    </w:p>
    <w:p w14:paraId="4B57105B">
      <w:pPr>
        <w:shd w:val="clear" w:color="auto" w:fill="FFFFFF"/>
        <w:spacing w:line="400" w:lineRule="atLeast"/>
        <w:ind w:firstLine="420"/>
        <w:rPr>
          <w:rFonts w:ascii="微软雅黑" w:hAnsi="微软雅黑" w:cs="宋体"/>
          <w:bCs/>
          <w:color w:val="auto"/>
          <w:szCs w:val="21"/>
          <w:highlight w:val="none"/>
        </w:rPr>
      </w:pPr>
      <w:r>
        <w:rPr>
          <w:rFonts w:ascii="微软雅黑" w:hAnsi="微软雅黑"/>
          <w:color w:val="auto"/>
          <w:szCs w:val="21"/>
          <w:highlight w:val="none"/>
        </w:rPr>
        <w:t> </w:t>
      </w:r>
      <w:r>
        <w:rPr>
          <w:rFonts w:hint="eastAsia" w:ascii="微软雅黑" w:hAnsi="微软雅黑" w:cs="宋体"/>
          <w:color w:val="auto"/>
          <w:szCs w:val="21"/>
          <w:highlight w:val="none"/>
        </w:rPr>
        <w:t>五、企业划分由政府综合统计部门根据统计年报每年确定一次，定报统计原则上不进行调整。</w:t>
      </w:r>
    </w:p>
    <w:p w14:paraId="661B4DA5">
      <w:pPr>
        <w:shd w:val="clear" w:color="auto" w:fill="FFFFFF"/>
        <w:spacing w:line="400" w:lineRule="atLeast"/>
        <w:ind w:firstLine="420"/>
        <w:rPr>
          <w:rFonts w:ascii="微软雅黑" w:hAnsi="微软雅黑" w:cs="宋体"/>
          <w:bCs/>
          <w:color w:val="auto"/>
          <w:szCs w:val="21"/>
          <w:highlight w:val="none"/>
        </w:rPr>
      </w:pPr>
      <w:r>
        <w:rPr>
          <w:rFonts w:hint="eastAsia" w:ascii="微软雅黑" w:hAnsi="微软雅黑" w:cs="宋体"/>
          <w:color w:val="auto"/>
          <w:szCs w:val="21"/>
          <w:highlight w:val="none"/>
        </w:rPr>
        <w:t>六、本办法自印发之日起执行，国家统计局</w:t>
      </w:r>
      <w:r>
        <w:rPr>
          <w:rFonts w:ascii="微软雅黑" w:hAnsi="微软雅黑"/>
          <w:color w:val="auto"/>
          <w:szCs w:val="21"/>
          <w:highlight w:val="none"/>
        </w:rPr>
        <w:t>2003</w:t>
      </w:r>
      <w:r>
        <w:rPr>
          <w:rFonts w:hint="eastAsia" w:ascii="微软雅黑" w:hAnsi="微软雅黑" w:cs="宋体"/>
          <w:color w:val="auto"/>
          <w:szCs w:val="21"/>
          <w:highlight w:val="none"/>
        </w:rPr>
        <w:t>年印发的《统计上大中小型企业划分办法（暂行）》（国统字〔</w:t>
      </w:r>
      <w:r>
        <w:rPr>
          <w:rFonts w:ascii="微软雅黑" w:hAnsi="微软雅黑"/>
          <w:color w:val="auto"/>
          <w:szCs w:val="21"/>
          <w:highlight w:val="none"/>
        </w:rPr>
        <w:t>2003</w:t>
      </w:r>
      <w:r>
        <w:rPr>
          <w:rFonts w:hint="eastAsia" w:ascii="微软雅黑" w:hAnsi="微软雅黑" w:cs="宋体"/>
          <w:color w:val="auto"/>
          <w:szCs w:val="21"/>
          <w:highlight w:val="none"/>
        </w:rPr>
        <w:t>〕</w:t>
      </w:r>
      <w:r>
        <w:rPr>
          <w:rFonts w:ascii="微软雅黑" w:hAnsi="微软雅黑"/>
          <w:color w:val="auto"/>
          <w:szCs w:val="21"/>
          <w:highlight w:val="none"/>
        </w:rPr>
        <w:t>17</w:t>
      </w:r>
      <w:r>
        <w:rPr>
          <w:rFonts w:hint="eastAsia" w:ascii="微软雅黑" w:hAnsi="微软雅黑" w:cs="宋体"/>
          <w:color w:val="auto"/>
          <w:szCs w:val="21"/>
          <w:highlight w:val="none"/>
        </w:rPr>
        <w:t>号）同时废止。</w:t>
      </w:r>
    </w:p>
    <w:p w14:paraId="407EA3EF">
      <w:pPr>
        <w:shd w:val="clear" w:color="auto" w:fill="FFFFFF"/>
        <w:spacing w:line="400" w:lineRule="atLeast"/>
        <w:ind w:firstLine="482"/>
        <w:rPr>
          <w:rFonts w:ascii="微软雅黑" w:hAnsi="微软雅黑" w:cs="宋体"/>
          <w:bCs/>
          <w:color w:val="auto"/>
          <w:szCs w:val="21"/>
          <w:highlight w:val="none"/>
        </w:rPr>
      </w:pPr>
      <w:r>
        <w:rPr>
          <w:rFonts w:eastAsia="宋体"/>
          <w:b/>
          <w:color w:val="auto"/>
          <w:sz w:val="24"/>
          <w:highlight w:val="none"/>
        </w:rPr>
        <w:t> </w:t>
      </w:r>
      <w:r>
        <w:rPr>
          <w:rFonts w:hint="eastAsia" w:ascii="微软雅黑" w:hAnsi="微软雅黑" w:cs="宋体"/>
          <w:color w:val="auto"/>
          <w:szCs w:val="21"/>
          <w:highlight w:val="none"/>
        </w:rPr>
        <w:t>　　附表：</w:t>
      </w:r>
    </w:p>
    <w:p w14:paraId="5563DE5E">
      <w:pPr>
        <w:shd w:val="clear" w:color="auto" w:fill="FFFFFF"/>
        <w:spacing w:line="400" w:lineRule="atLeast"/>
        <w:ind w:firstLine="420"/>
        <w:rPr>
          <w:rFonts w:ascii="微软雅黑" w:hAnsi="微软雅黑" w:cs="宋体"/>
          <w:bCs/>
          <w:color w:val="auto"/>
          <w:szCs w:val="21"/>
          <w:highlight w:val="none"/>
        </w:rPr>
      </w:pPr>
      <w:r>
        <w:rPr>
          <w:rFonts w:ascii="微软雅黑" w:hAnsi="微软雅黑"/>
          <w:color w:val="auto"/>
          <w:szCs w:val="21"/>
          <w:highlight w:val="none"/>
        </w:rPr>
        <w:t> </w:t>
      </w:r>
      <w:r>
        <w:rPr>
          <w:rFonts w:hint="eastAsia" w:ascii="微软雅黑" w:hAnsi="微软雅黑" w:cs="宋体"/>
          <w:b/>
          <w:color w:val="auto"/>
          <w:szCs w:val="21"/>
          <w:highlight w:val="none"/>
        </w:rPr>
        <w:t>统计上大中小微型企业划分标准</w:t>
      </w:r>
    </w:p>
    <w:tbl>
      <w:tblPr>
        <w:tblStyle w:val="52"/>
        <w:tblW w:w="830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560"/>
        <w:gridCol w:w="1281"/>
        <w:gridCol w:w="758"/>
        <w:gridCol w:w="993"/>
        <w:gridCol w:w="1491"/>
        <w:gridCol w:w="1315"/>
        <w:gridCol w:w="908"/>
      </w:tblGrid>
      <w:tr w14:paraId="4AFC0F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1560" w:type="dxa"/>
            <w:shd w:val="clear" w:color="auto" w:fill="auto"/>
            <w:tcMar>
              <w:top w:w="0" w:type="dxa"/>
              <w:left w:w="108" w:type="dxa"/>
              <w:bottom w:w="0" w:type="dxa"/>
              <w:right w:w="108" w:type="dxa"/>
            </w:tcMar>
            <w:vAlign w:val="center"/>
          </w:tcPr>
          <w:p w14:paraId="73568E1E">
            <w:pPr>
              <w:spacing w:line="240" w:lineRule="auto"/>
              <w:ind w:firstLine="0" w:firstLineChars="0"/>
              <w:jc w:val="center"/>
              <w:rPr>
                <w:rFonts w:ascii="宋体" w:hAnsi="宋体" w:eastAsia="宋体" w:cs="宋体"/>
                <w:bCs/>
                <w:color w:val="auto"/>
                <w:sz w:val="24"/>
                <w:highlight w:val="none"/>
              </w:rPr>
            </w:pPr>
            <w:r>
              <w:rPr>
                <w:rFonts w:eastAsia="宋体"/>
                <w:color w:val="auto"/>
                <w:sz w:val="24"/>
                <w:highlight w:val="none"/>
              </w:rPr>
              <w:t> </w:t>
            </w:r>
            <w:r>
              <w:rPr>
                <w:rFonts w:hint="eastAsia" w:ascii="宋体" w:hAnsi="宋体" w:eastAsia="宋体" w:cs="宋体"/>
                <w:b/>
                <w:color w:val="auto"/>
                <w:sz w:val="18"/>
                <w:szCs w:val="18"/>
                <w:highlight w:val="none"/>
              </w:rPr>
              <w:t>行业名称</w:t>
            </w:r>
          </w:p>
        </w:tc>
        <w:tc>
          <w:tcPr>
            <w:tcW w:w="1281" w:type="dxa"/>
            <w:shd w:val="clear" w:color="auto" w:fill="auto"/>
            <w:tcMar>
              <w:top w:w="0" w:type="dxa"/>
              <w:left w:w="108" w:type="dxa"/>
              <w:bottom w:w="0" w:type="dxa"/>
              <w:right w:w="108" w:type="dxa"/>
            </w:tcMar>
            <w:vAlign w:val="center"/>
          </w:tcPr>
          <w:p w14:paraId="5A970A29">
            <w:pPr>
              <w:spacing w:line="240" w:lineRule="auto"/>
              <w:ind w:firstLine="0" w:firstLineChars="0"/>
              <w:jc w:val="center"/>
              <w:rPr>
                <w:rFonts w:ascii="宋体" w:hAnsi="宋体" w:eastAsia="宋体" w:cs="宋体"/>
                <w:bCs/>
                <w:color w:val="auto"/>
                <w:sz w:val="24"/>
                <w:highlight w:val="none"/>
              </w:rPr>
            </w:pPr>
            <w:r>
              <w:rPr>
                <w:rFonts w:hint="eastAsia" w:ascii="宋体" w:hAnsi="宋体" w:eastAsia="宋体" w:cs="宋体"/>
                <w:b/>
                <w:color w:val="auto"/>
                <w:sz w:val="18"/>
                <w:szCs w:val="18"/>
                <w:highlight w:val="none"/>
              </w:rPr>
              <w:t>指标名称</w:t>
            </w:r>
          </w:p>
        </w:tc>
        <w:tc>
          <w:tcPr>
            <w:tcW w:w="758" w:type="dxa"/>
            <w:shd w:val="clear" w:color="auto" w:fill="auto"/>
            <w:tcMar>
              <w:top w:w="0" w:type="dxa"/>
              <w:left w:w="108" w:type="dxa"/>
              <w:bottom w:w="0" w:type="dxa"/>
              <w:right w:w="108" w:type="dxa"/>
            </w:tcMar>
            <w:vAlign w:val="center"/>
          </w:tcPr>
          <w:p w14:paraId="6F6DAB12">
            <w:pPr>
              <w:spacing w:line="240" w:lineRule="auto"/>
              <w:ind w:firstLine="0" w:firstLineChars="0"/>
              <w:jc w:val="center"/>
              <w:rPr>
                <w:rFonts w:ascii="宋体" w:hAnsi="宋体" w:eastAsia="宋体" w:cs="宋体"/>
                <w:b/>
                <w:color w:val="auto"/>
                <w:sz w:val="18"/>
                <w:szCs w:val="18"/>
                <w:highlight w:val="none"/>
              </w:rPr>
            </w:pPr>
            <w:r>
              <w:rPr>
                <w:rFonts w:hint="eastAsia" w:ascii="宋体" w:hAnsi="宋体" w:eastAsia="宋体" w:cs="宋体"/>
                <w:b/>
                <w:color w:val="auto"/>
                <w:sz w:val="18"/>
                <w:szCs w:val="18"/>
                <w:highlight w:val="none"/>
              </w:rPr>
              <w:t>计量</w:t>
            </w:r>
          </w:p>
          <w:p w14:paraId="5D48CC1F">
            <w:pPr>
              <w:spacing w:line="240" w:lineRule="auto"/>
              <w:ind w:firstLine="0" w:firstLineChars="0"/>
              <w:jc w:val="center"/>
              <w:rPr>
                <w:rFonts w:ascii="宋体" w:hAnsi="宋体" w:eastAsia="宋体" w:cs="宋体"/>
                <w:bCs/>
                <w:color w:val="auto"/>
                <w:sz w:val="24"/>
                <w:highlight w:val="none"/>
              </w:rPr>
            </w:pPr>
            <w:r>
              <w:rPr>
                <w:rFonts w:hint="eastAsia" w:ascii="宋体" w:hAnsi="宋体" w:eastAsia="宋体" w:cs="宋体"/>
                <w:b/>
                <w:color w:val="auto"/>
                <w:sz w:val="18"/>
                <w:szCs w:val="18"/>
                <w:highlight w:val="none"/>
              </w:rPr>
              <w:t>单位</w:t>
            </w:r>
          </w:p>
        </w:tc>
        <w:tc>
          <w:tcPr>
            <w:tcW w:w="993" w:type="dxa"/>
            <w:shd w:val="clear" w:color="auto" w:fill="auto"/>
            <w:tcMar>
              <w:top w:w="0" w:type="dxa"/>
              <w:left w:w="108" w:type="dxa"/>
              <w:bottom w:w="0" w:type="dxa"/>
              <w:right w:w="108" w:type="dxa"/>
            </w:tcMar>
            <w:vAlign w:val="center"/>
          </w:tcPr>
          <w:p w14:paraId="4CCBA165">
            <w:pPr>
              <w:spacing w:line="240" w:lineRule="auto"/>
              <w:ind w:firstLine="0" w:firstLineChars="0"/>
              <w:jc w:val="center"/>
              <w:rPr>
                <w:rFonts w:ascii="宋体" w:hAnsi="宋体" w:eastAsia="宋体" w:cs="宋体"/>
                <w:bCs/>
                <w:color w:val="auto"/>
                <w:sz w:val="24"/>
                <w:highlight w:val="none"/>
              </w:rPr>
            </w:pPr>
            <w:r>
              <w:rPr>
                <w:rFonts w:hint="eastAsia" w:ascii="宋体" w:hAnsi="宋体" w:eastAsia="宋体" w:cs="宋体"/>
                <w:b/>
                <w:color w:val="auto"/>
                <w:sz w:val="18"/>
                <w:szCs w:val="18"/>
                <w:highlight w:val="none"/>
              </w:rPr>
              <w:t>大型</w:t>
            </w:r>
          </w:p>
        </w:tc>
        <w:tc>
          <w:tcPr>
            <w:tcW w:w="1491" w:type="dxa"/>
            <w:shd w:val="clear" w:color="auto" w:fill="auto"/>
            <w:tcMar>
              <w:top w:w="0" w:type="dxa"/>
              <w:left w:w="108" w:type="dxa"/>
              <w:bottom w:w="0" w:type="dxa"/>
              <w:right w:w="108" w:type="dxa"/>
            </w:tcMar>
            <w:vAlign w:val="center"/>
          </w:tcPr>
          <w:p w14:paraId="3AFB7B41">
            <w:pPr>
              <w:spacing w:line="240" w:lineRule="auto"/>
              <w:ind w:firstLine="0" w:firstLineChars="0"/>
              <w:jc w:val="center"/>
              <w:rPr>
                <w:rFonts w:ascii="宋体" w:hAnsi="宋体" w:eastAsia="宋体" w:cs="宋体"/>
                <w:bCs/>
                <w:color w:val="auto"/>
                <w:sz w:val="24"/>
                <w:highlight w:val="none"/>
              </w:rPr>
            </w:pPr>
            <w:r>
              <w:rPr>
                <w:rFonts w:hint="eastAsia" w:ascii="宋体" w:hAnsi="宋体" w:eastAsia="宋体" w:cs="宋体"/>
                <w:b/>
                <w:color w:val="auto"/>
                <w:sz w:val="18"/>
                <w:szCs w:val="18"/>
                <w:highlight w:val="none"/>
              </w:rPr>
              <w:t>中型</w:t>
            </w:r>
          </w:p>
        </w:tc>
        <w:tc>
          <w:tcPr>
            <w:tcW w:w="1315" w:type="dxa"/>
            <w:shd w:val="clear" w:color="auto" w:fill="auto"/>
            <w:tcMar>
              <w:top w:w="0" w:type="dxa"/>
              <w:left w:w="108" w:type="dxa"/>
              <w:bottom w:w="0" w:type="dxa"/>
              <w:right w:w="108" w:type="dxa"/>
            </w:tcMar>
            <w:vAlign w:val="center"/>
          </w:tcPr>
          <w:p w14:paraId="5CB4451A">
            <w:pPr>
              <w:spacing w:line="240" w:lineRule="auto"/>
              <w:ind w:firstLine="0" w:firstLineChars="0"/>
              <w:jc w:val="center"/>
              <w:rPr>
                <w:rFonts w:ascii="宋体" w:hAnsi="宋体" w:eastAsia="宋体" w:cs="宋体"/>
                <w:bCs/>
                <w:color w:val="auto"/>
                <w:sz w:val="24"/>
                <w:highlight w:val="none"/>
              </w:rPr>
            </w:pPr>
            <w:r>
              <w:rPr>
                <w:rFonts w:hint="eastAsia" w:ascii="宋体" w:hAnsi="宋体" w:eastAsia="宋体" w:cs="宋体"/>
                <w:b/>
                <w:color w:val="auto"/>
                <w:sz w:val="18"/>
                <w:szCs w:val="18"/>
                <w:highlight w:val="none"/>
              </w:rPr>
              <w:t>小型</w:t>
            </w:r>
          </w:p>
        </w:tc>
        <w:tc>
          <w:tcPr>
            <w:tcW w:w="908" w:type="dxa"/>
            <w:shd w:val="clear" w:color="auto" w:fill="auto"/>
            <w:tcMar>
              <w:top w:w="0" w:type="dxa"/>
              <w:left w:w="108" w:type="dxa"/>
              <w:bottom w:w="0" w:type="dxa"/>
              <w:right w:w="108" w:type="dxa"/>
            </w:tcMar>
            <w:vAlign w:val="center"/>
          </w:tcPr>
          <w:p w14:paraId="0ACBE425">
            <w:pPr>
              <w:spacing w:line="240" w:lineRule="auto"/>
              <w:ind w:firstLine="0" w:firstLineChars="0"/>
              <w:jc w:val="center"/>
              <w:rPr>
                <w:rFonts w:ascii="宋体" w:hAnsi="宋体" w:eastAsia="宋体" w:cs="宋体"/>
                <w:bCs/>
                <w:color w:val="auto"/>
                <w:sz w:val="24"/>
                <w:highlight w:val="none"/>
              </w:rPr>
            </w:pPr>
            <w:r>
              <w:rPr>
                <w:rFonts w:hint="eastAsia" w:ascii="宋体" w:hAnsi="宋体" w:eastAsia="宋体" w:cs="宋体"/>
                <w:b/>
                <w:color w:val="auto"/>
                <w:sz w:val="18"/>
                <w:szCs w:val="18"/>
                <w:highlight w:val="none"/>
              </w:rPr>
              <w:t>微型</w:t>
            </w:r>
          </w:p>
        </w:tc>
      </w:tr>
      <w:tr w14:paraId="00B80A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shd w:val="clear" w:color="auto" w:fill="auto"/>
            <w:tcMar>
              <w:top w:w="0" w:type="dxa"/>
              <w:left w:w="108" w:type="dxa"/>
              <w:bottom w:w="0" w:type="dxa"/>
              <w:right w:w="108" w:type="dxa"/>
            </w:tcMar>
            <w:vAlign w:val="center"/>
          </w:tcPr>
          <w:p w14:paraId="42FB9837">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农、林、牧、渔业</w:t>
            </w:r>
          </w:p>
        </w:tc>
        <w:tc>
          <w:tcPr>
            <w:tcW w:w="1281" w:type="dxa"/>
            <w:shd w:val="clear" w:color="auto" w:fill="auto"/>
            <w:tcMar>
              <w:top w:w="0" w:type="dxa"/>
              <w:left w:w="108" w:type="dxa"/>
              <w:bottom w:w="0" w:type="dxa"/>
              <w:right w:w="108" w:type="dxa"/>
            </w:tcMar>
            <w:vAlign w:val="center"/>
          </w:tcPr>
          <w:p w14:paraId="490B5AC2">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营业收入(Y)</w:t>
            </w:r>
          </w:p>
        </w:tc>
        <w:tc>
          <w:tcPr>
            <w:tcW w:w="758" w:type="dxa"/>
            <w:shd w:val="clear" w:color="auto" w:fill="auto"/>
            <w:tcMar>
              <w:top w:w="0" w:type="dxa"/>
              <w:left w:w="108" w:type="dxa"/>
              <w:bottom w:w="0" w:type="dxa"/>
              <w:right w:w="108" w:type="dxa"/>
            </w:tcMar>
            <w:vAlign w:val="center"/>
          </w:tcPr>
          <w:p w14:paraId="53A5AA14">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万元</w:t>
            </w:r>
          </w:p>
        </w:tc>
        <w:tc>
          <w:tcPr>
            <w:tcW w:w="993" w:type="dxa"/>
            <w:shd w:val="clear" w:color="auto" w:fill="auto"/>
            <w:tcMar>
              <w:top w:w="0" w:type="dxa"/>
              <w:left w:w="108" w:type="dxa"/>
              <w:bottom w:w="0" w:type="dxa"/>
              <w:right w:w="108" w:type="dxa"/>
            </w:tcMar>
            <w:vAlign w:val="center"/>
          </w:tcPr>
          <w:p w14:paraId="157AA6CC">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Y≥20000</w:t>
            </w:r>
          </w:p>
        </w:tc>
        <w:tc>
          <w:tcPr>
            <w:tcW w:w="1491" w:type="dxa"/>
            <w:shd w:val="clear" w:color="auto" w:fill="auto"/>
            <w:tcMar>
              <w:top w:w="0" w:type="dxa"/>
              <w:left w:w="108" w:type="dxa"/>
              <w:bottom w:w="0" w:type="dxa"/>
              <w:right w:w="108" w:type="dxa"/>
            </w:tcMar>
            <w:vAlign w:val="center"/>
          </w:tcPr>
          <w:p w14:paraId="1D5D984F">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500≤Y＜20000</w:t>
            </w:r>
          </w:p>
        </w:tc>
        <w:tc>
          <w:tcPr>
            <w:tcW w:w="1315" w:type="dxa"/>
            <w:shd w:val="clear" w:color="auto" w:fill="auto"/>
            <w:tcMar>
              <w:top w:w="0" w:type="dxa"/>
              <w:left w:w="108" w:type="dxa"/>
              <w:bottom w:w="0" w:type="dxa"/>
              <w:right w:w="108" w:type="dxa"/>
            </w:tcMar>
            <w:vAlign w:val="center"/>
          </w:tcPr>
          <w:p w14:paraId="2AA8CB05">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50≤Y＜500</w:t>
            </w:r>
          </w:p>
        </w:tc>
        <w:tc>
          <w:tcPr>
            <w:tcW w:w="908" w:type="dxa"/>
            <w:shd w:val="clear" w:color="auto" w:fill="auto"/>
            <w:tcMar>
              <w:top w:w="0" w:type="dxa"/>
              <w:left w:w="108" w:type="dxa"/>
              <w:bottom w:w="0" w:type="dxa"/>
              <w:right w:w="108" w:type="dxa"/>
            </w:tcMar>
            <w:vAlign w:val="center"/>
          </w:tcPr>
          <w:p w14:paraId="28813AC3">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Y＜50</w:t>
            </w:r>
          </w:p>
        </w:tc>
      </w:tr>
      <w:tr w14:paraId="5CBFEA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shd w:val="clear" w:color="auto" w:fill="auto"/>
            <w:tcMar>
              <w:top w:w="0" w:type="dxa"/>
              <w:left w:w="108" w:type="dxa"/>
              <w:bottom w:w="0" w:type="dxa"/>
              <w:right w:w="108" w:type="dxa"/>
            </w:tcMar>
            <w:vAlign w:val="center"/>
          </w:tcPr>
          <w:p w14:paraId="2F702668">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工业 *</w:t>
            </w:r>
          </w:p>
        </w:tc>
        <w:tc>
          <w:tcPr>
            <w:tcW w:w="1281" w:type="dxa"/>
            <w:shd w:val="clear" w:color="auto" w:fill="auto"/>
            <w:tcMar>
              <w:top w:w="0" w:type="dxa"/>
              <w:left w:w="108" w:type="dxa"/>
              <w:bottom w:w="0" w:type="dxa"/>
              <w:right w:w="108" w:type="dxa"/>
            </w:tcMar>
            <w:vAlign w:val="center"/>
          </w:tcPr>
          <w:p w14:paraId="7C7E35FA">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从业人员(X)</w:t>
            </w:r>
          </w:p>
        </w:tc>
        <w:tc>
          <w:tcPr>
            <w:tcW w:w="758" w:type="dxa"/>
            <w:shd w:val="clear" w:color="auto" w:fill="auto"/>
            <w:tcMar>
              <w:top w:w="0" w:type="dxa"/>
              <w:left w:w="108" w:type="dxa"/>
              <w:bottom w:w="0" w:type="dxa"/>
              <w:right w:w="108" w:type="dxa"/>
            </w:tcMar>
            <w:vAlign w:val="center"/>
          </w:tcPr>
          <w:p w14:paraId="10E9A721">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人</w:t>
            </w:r>
          </w:p>
        </w:tc>
        <w:tc>
          <w:tcPr>
            <w:tcW w:w="993" w:type="dxa"/>
            <w:shd w:val="clear" w:color="auto" w:fill="auto"/>
            <w:tcMar>
              <w:top w:w="0" w:type="dxa"/>
              <w:left w:w="108" w:type="dxa"/>
              <w:bottom w:w="0" w:type="dxa"/>
              <w:right w:w="108" w:type="dxa"/>
            </w:tcMar>
            <w:vAlign w:val="center"/>
          </w:tcPr>
          <w:p w14:paraId="6EBD5D0D">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X≥1000</w:t>
            </w:r>
          </w:p>
        </w:tc>
        <w:tc>
          <w:tcPr>
            <w:tcW w:w="1491" w:type="dxa"/>
            <w:shd w:val="clear" w:color="auto" w:fill="auto"/>
            <w:tcMar>
              <w:top w:w="0" w:type="dxa"/>
              <w:left w:w="108" w:type="dxa"/>
              <w:bottom w:w="0" w:type="dxa"/>
              <w:right w:w="108" w:type="dxa"/>
            </w:tcMar>
            <w:vAlign w:val="center"/>
          </w:tcPr>
          <w:p w14:paraId="71A7A12C">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300≤X＜1000</w:t>
            </w:r>
          </w:p>
        </w:tc>
        <w:tc>
          <w:tcPr>
            <w:tcW w:w="1315" w:type="dxa"/>
            <w:shd w:val="clear" w:color="auto" w:fill="auto"/>
            <w:tcMar>
              <w:top w:w="0" w:type="dxa"/>
              <w:left w:w="108" w:type="dxa"/>
              <w:bottom w:w="0" w:type="dxa"/>
              <w:right w:w="108" w:type="dxa"/>
            </w:tcMar>
            <w:vAlign w:val="center"/>
          </w:tcPr>
          <w:p w14:paraId="46DF1317">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20≤X＜300</w:t>
            </w:r>
          </w:p>
        </w:tc>
        <w:tc>
          <w:tcPr>
            <w:tcW w:w="908" w:type="dxa"/>
            <w:shd w:val="clear" w:color="auto" w:fill="auto"/>
            <w:tcMar>
              <w:top w:w="0" w:type="dxa"/>
              <w:left w:w="108" w:type="dxa"/>
              <w:bottom w:w="0" w:type="dxa"/>
              <w:right w:w="108" w:type="dxa"/>
            </w:tcMar>
            <w:vAlign w:val="center"/>
          </w:tcPr>
          <w:p w14:paraId="76EC27CD">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X＜20</w:t>
            </w:r>
          </w:p>
        </w:tc>
      </w:tr>
      <w:tr w14:paraId="72635F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vAlign w:val="center"/>
          </w:tcPr>
          <w:p w14:paraId="4993C9E7">
            <w:pPr>
              <w:spacing w:line="240" w:lineRule="auto"/>
              <w:ind w:firstLine="0" w:firstLineChars="0"/>
              <w:rPr>
                <w:rFonts w:ascii="宋体" w:hAnsi="宋体" w:eastAsia="宋体" w:cs="宋体"/>
                <w:bCs/>
                <w:color w:val="auto"/>
                <w:sz w:val="24"/>
                <w:highlight w:val="none"/>
              </w:rPr>
            </w:pPr>
          </w:p>
        </w:tc>
        <w:tc>
          <w:tcPr>
            <w:tcW w:w="1281" w:type="dxa"/>
            <w:shd w:val="clear" w:color="auto" w:fill="auto"/>
            <w:tcMar>
              <w:top w:w="0" w:type="dxa"/>
              <w:left w:w="108" w:type="dxa"/>
              <w:bottom w:w="0" w:type="dxa"/>
              <w:right w:w="108" w:type="dxa"/>
            </w:tcMar>
            <w:vAlign w:val="center"/>
          </w:tcPr>
          <w:p w14:paraId="45B56C7F">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营业收入(Y)</w:t>
            </w:r>
          </w:p>
        </w:tc>
        <w:tc>
          <w:tcPr>
            <w:tcW w:w="758" w:type="dxa"/>
            <w:shd w:val="clear" w:color="auto" w:fill="auto"/>
            <w:tcMar>
              <w:top w:w="0" w:type="dxa"/>
              <w:left w:w="108" w:type="dxa"/>
              <w:bottom w:w="0" w:type="dxa"/>
              <w:right w:w="108" w:type="dxa"/>
            </w:tcMar>
            <w:vAlign w:val="center"/>
          </w:tcPr>
          <w:p w14:paraId="5C102C36">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万元</w:t>
            </w:r>
          </w:p>
        </w:tc>
        <w:tc>
          <w:tcPr>
            <w:tcW w:w="993" w:type="dxa"/>
            <w:shd w:val="clear" w:color="auto" w:fill="auto"/>
            <w:tcMar>
              <w:top w:w="0" w:type="dxa"/>
              <w:left w:w="108" w:type="dxa"/>
              <w:bottom w:w="0" w:type="dxa"/>
              <w:right w:w="108" w:type="dxa"/>
            </w:tcMar>
            <w:vAlign w:val="center"/>
          </w:tcPr>
          <w:p w14:paraId="737CF8EB">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Y≥40000</w:t>
            </w:r>
          </w:p>
        </w:tc>
        <w:tc>
          <w:tcPr>
            <w:tcW w:w="1491" w:type="dxa"/>
            <w:shd w:val="clear" w:color="auto" w:fill="auto"/>
            <w:tcMar>
              <w:top w:w="0" w:type="dxa"/>
              <w:left w:w="108" w:type="dxa"/>
              <w:bottom w:w="0" w:type="dxa"/>
              <w:right w:w="108" w:type="dxa"/>
            </w:tcMar>
            <w:vAlign w:val="center"/>
          </w:tcPr>
          <w:p w14:paraId="1C663F64">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2000≤Y＜40000</w:t>
            </w:r>
          </w:p>
        </w:tc>
        <w:tc>
          <w:tcPr>
            <w:tcW w:w="1315" w:type="dxa"/>
            <w:shd w:val="clear" w:color="auto" w:fill="auto"/>
            <w:tcMar>
              <w:top w:w="0" w:type="dxa"/>
              <w:left w:w="108" w:type="dxa"/>
              <w:bottom w:w="0" w:type="dxa"/>
              <w:right w:w="108" w:type="dxa"/>
            </w:tcMar>
            <w:vAlign w:val="center"/>
          </w:tcPr>
          <w:p w14:paraId="199AA816">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300≤Y＜2000</w:t>
            </w:r>
          </w:p>
        </w:tc>
        <w:tc>
          <w:tcPr>
            <w:tcW w:w="908" w:type="dxa"/>
            <w:shd w:val="clear" w:color="auto" w:fill="auto"/>
            <w:tcMar>
              <w:top w:w="0" w:type="dxa"/>
              <w:left w:w="108" w:type="dxa"/>
              <w:bottom w:w="0" w:type="dxa"/>
              <w:right w:w="108" w:type="dxa"/>
            </w:tcMar>
            <w:vAlign w:val="center"/>
          </w:tcPr>
          <w:p w14:paraId="5D2F15C7">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Y＜300</w:t>
            </w:r>
          </w:p>
        </w:tc>
      </w:tr>
      <w:tr w14:paraId="02F619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shd w:val="clear" w:color="auto" w:fill="auto"/>
            <w:tcMar>
              <w:top w:w="0" w:type="dxa"/>
              <w:left w:w="108" w:type="dxa"/>
              <w:bottom w:w="0" w:type="dxa"/>
              <w:right w:w="108" w:type="dxa"/>
            </w:tcMar>
            <w:vAlign w:val="center"/>
          </w:tcPr>
          <w:p w14:paraId="69560335">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建筑业</w:t>
            </w:r>
          </w:p>
        </w:tc>
        <w:tc>
          <w:tcPr>
            <w:tcW w:w="1281" w:type="dxa"/>
            <w:shd w:val="clear" w:color="auto" w:fill="auto"/>
            <w:tcMar>
              <w:top w:w="0" w:type="dxa"/>
              <w:left w:w="108" w:type="dxa"/>
              <w:bottom w:w="0" w:type="dxa"/>
              <w:right w:w="108" w:type="dxa"/>
            </w:tcMar>
            <w:vAlign w:val="center"/>
          </w:tcPr>
          <w:p w14:paraId="23C5F7AD">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营业收入(Y)</w:t>
            </w:r>
          </w:p>
        </w:tc>
        <w:tc>
          <w:tcPr>
            <w:tcW w:w="758" w:type="dxa"/>
            <w:shd w:val="clear" w:color="auto" w:fill="auto"/>
            <w:tcMar>
              <w:top w:w="0" w:type="dxa"/>
              <w:left w:w="108" w:type="dxa"/>
              <w:bottom w:w="0" w:type="dxa"/>
              <w:right w:w="108" w:type="dxa"/>
            </w:tcMar>
            <w:vAlign w:val="center"/>
          </w:tcPr>
          <w:p w14:paraId="7CBB5F24">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万元</w:t>
            </w:r>
          </w:p>
        </w:tc>
        <w:tc>
          <w:tcPr>
            <w:tcW w:w="993" w:type="dxa"/>
            <w:shd w:val="clear" w:color="auto" w:fill="auto"/>
            <w:tcMar>
              <w:top w:w="0" w:type="dxa"/>
              <w:left w:w="108" w:type="dxa"/>
              <w:bottom w:w="0" w:type="dxa"/>
              <w:right w:w="108" w:type="dxa"/>
            </w:tcMar>
            <w:vAlign w:val="center"/>
          </w:tcPr>
          <w:p w14:paraId="3B3DEA3B">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Y≥80000</w:t>
            </w:r>
          </w:p>
        </w:tc>
        <w:tc>
          <w:tcPr>
            <w:tcW w:w="1491" w:type="dxa"/>
            <w:shd w:val="clear" w:color="auto" w:fill="auto"/>
            <w:tcMar>
              <w:top w:w="0" w:type="dxa"/>
              <w:left w:w="108" w:type="dxa"/>
              <w:bottom w:w="0" w:type="dxa"/>
              <w:right w:w="108" w:type="dxa"/>
            </w:tcMar>
            <w:vAlign w:val="center"/>
          </w:tcPr>
          <w:p w14:paraId="514FA08A">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6000≤Y＜80000</w:t>
            </w:r>
          </w:p>
        </w:tc>
        <w:tc>
          <w:tcPr>
            <w:tcW w:w="1315" w:type="dxa"/>
            <w:shd w:val="clear" w:color="auto" w:fill="auto"/>
            <w:tcMar>
              <w:top w:w="0" w:type="dxa"/>
              <w:left w:w="108" w:type="dxa"/>
              <w:bottom w:w="0" w:type="dxa"/>
              <w:right w:w="108" w:type="dxa"/>
            </w:tcMar>
            <w:vAlign w:val="center"/>
          </w:tcPr>
          <w:p w14:paraId="76CEB66E">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300≤Y＜6000</w:t>
            </w:r>
          </w:p>
        </w:tc>
        <w:tc>
          <w:tcPr>
            <w:tcW w:w="908" w:type="dxa"/>
            <w:shd w:val="clear" w:color="auto" w:fill="auto"/>
            <w:tcMar>
              <w:top w:w="0" w:type="dxa"/>
              <w:left w:w="108" w:type="dxa"/>
              <w:bottom w:w="0" w:type="dxa"/>
              <w:right w:w="108" w:type="dxa"/>
            </w:tcMar>
            <w:vAlign w:val="center"/>
          </w:tcPr>
          <w:p w14:paraId="7339942B">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Y＜300</w:t>
            </w:r>
          </w:p>
        </w:tc>
      </w:tr>
      <w:tr w14:paraId="3F7474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vAlign w:val="center"/>
          </w:tcPr>
          <w:p w14:paraId="3637628B">
            <w:pPr>
              <w:spacing w:line="240" w:lineRule="auto"/>
              <w:ind w:firstLine="0" w:firstLineChars="0"/>
              <w:rPr>
                <w:rFonts w:ascii="宋体" w:hAnsi="宋体" w:eastAsia="宋体" w:cs="宋体"/>
                <w:bCs/>
                <w:color w:val="auto"/>
                <w:sz w:val="24"/>
                <w:highlight w:val="none"/>
              </w:rPr>
            </w:pPr>
          </w:p>
        </w:tc>
        <w:tc>
          <w:tcPr>
            <w:tcW w:w="1281" w:type="dxa"/>
            <w:shd w:val="clear" w:color="auto" w:fill="auto"/>
            <w:tcMar>
              <w:top w:w="0" w:type="dxa"/>
              <w:left w:w="108" w:type="dxa"/>
              <w:bottom w:w="0" w:type="dxa"/>
              <w:right w:w="108" w:type="dxa"/>
            </w:tcMar>
            <w:vAlign w:val="center"/>
          </w:tcPr>
          <w:p w14:paraId="05CC47F7">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资产总额(Z)</w:t>
            </w:r>
          </w:p>
        </w:tc>
        <w:tc>
          <w:tcPr>
            <w:tcW w:w="758" w:type="dxa"/>
            <w:shd w:val="clear" w:color="auto" w:fill="auto"/>
            <w:tcMar>
              <w:top w:w="0" w:type="dxa"/>
              <w:left w:w="108" w:type="dxa"/>
              <w:bottom w:w="0" w:type="dxa"/>
              <w:right w:w="108" w:type="dxa"/>
            </w:tcMar>
            <w:vAlign w:val="center"/>
          </w:tcPr>
          <w:p w14:paraId="08F19491">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万元</w:t>
            </w:r>
          </w:p>
        </w:tc>
        <w:tc>
          <w:tcPr>
            <w:tcW w:w="993" w:type="dxa"/>
            <w:shd w:val="clear" w:color="auto" w:fill="auto"/>
            <w:tcMar>
              <w:top w:w="0" w:type="dxa"/>
              <w:left w:w="108" w:type="dxa"/>
              <w:bottom w:w="0" w:type="dxa"/>
              <w:right w:w="108" w:type="dxa"/>
            </w:tcMar>
            <w:vAlign w:val="center"/>
          </w:tcPr>
          <w:p w14:paraId="36DD3D3E">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Z≥80000</w:t>
            </w:r>
          </w:p>
        </w:tc>
        <w:tc>
          <w:tcPr>
            <w:tcW w:w="1491" w:type="dxa"/>
            <w:shd w:val="clear" w:color="auto" w:fill="auto"/>
            <w:tcMar>
              <w:top w:w="0" w:type="dxa"/>
              <w:left w:w="108" w:type="dxa"/>
              <w:bottom w:w="0" w:type="dxa"/>
              <w:right w:w="108" w:type="dxa"/>
            </w:tcMar>
            <w:vAlign w:val="center"/>
          </w:tcPr>
          <w:p w14:paraId="608340B3">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5000≤Z＜80000</w:t>
            </w:r>
          </w:p>
        </w:tc>
        <w:tc>
          <w:tcPr>
            <w:tcW w:w="1315" w:type="dxa"/>
            <w:shd w:val="clear" w:color="auto" w:fill="auto"/>
            <w:tcMar>
              <w:top w:w="0" w:type="dxa"/>
              <w:left w:w="108" w:type="dxa"/>
              <w:bottom w:w="0" w:type="dxa"/>
              <w:right w:w="108" w:type="dxa"/>
            </w:tcMar>
            <w:vAlign w:val="center"/>
          </w:tcPr>
          <w:p w14:paraId="2655F051">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300≤Z＜5000</w:t>
            </w:r>
          </w:p>
        </w:tc>
        <w:tc>
          <w:tcPr>
            <w:tcW w:w="908" w:type="dxa"/>
            <w:shd w:val="clear" w:color="auto" w:fill="auto"/>
            <w:tcMar>
              <w:top w:w="0" w:type="dxa"/>
              <w:left w:w="108" w:type="dxa"/>
              <w:bottom w:w="0" w:type="dxa"/>
              <w:right w:w="108" w:type="dxa"/>
            </w:tcMar>
            <w:vAlign w:val="center"/>
          </w:tcPr>
          <w:p w14:paraId="49F10C5F">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Z＜300</w:t>
            </w:r>
          </w:p>
        </w:tc>
      </w:tr>
      <w:tr w14:paraId="4F2E2C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shd w:val="clear" w:color="auto" w:fill="auto"/>
            <w:tcMar>
              <w:top w:w="0" w:type="dxa"/>
              <w:left w:w="108" w:type="dxa"/>
              <w:bottom w:w="0" w:type="dxa"/>
              <w:right w:w="108" w:type="dxa"/>
            </w:tcMar>
            <w:vAlign w:val="center"/>
          </w:tcPr>
          <w:p w14:paraId="7198B543">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批发业</w:t>
            </w:r>
          </w:p>
        </w:tc>
        <w:tc>
          <w:tcPr>
            <w:tcW w:w="1281" w:type="dxa"/>
            <w:shd w:val="clear" w:color="auto" w:fill="auto"/>
            <w:tcMar>
              <w:top w:w="0" w:type="dxa"/>
              <w:left w:w="108" w:type="dxa"/>
              <w:bottom w:w="0" w:type="dxa"/>
              <w:right w:w="108" w:type="dxa"/>
            </w:tcMar>
            <w:vAlign w:val="center"/>
          </w:tcPr>
          <w:p w14:paraId="0A6EB4EB">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从业人员(X)</w:t>
            </w:r>
          </w:p>
        </w:tc>
        <w:tc>
          <w:tcPr>
            <w:tcW w:w="758" w:type="dxa"/>
            <w:shd w:val="clear" w:color="auto" w:fill="auto"/>
            <w:tcMar>
              <w:top w:w="0" w:type="dxa"/>
              <w:left w:w="108" w:type="dxa"/>
              <w:bottom w:w="0" w:type="dxa"/>
              <w:right w:w="108" w:type="dxa"/>
            </w:tcMar>
            <w:vAlign w:val="center"/>
          </w:tcPr>
          <w:p w14:paraId="541F4C4C">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人</w:t>
            </w:r>
          </w:p>
        </w:tc>
        <w:tc>
          <w:tcPr>
            <w:tcW w:w="993" w:type="dxa"/>
            <w:shd w:val="clear" w:color="auto" w:fill="auto"/>
            <w:tcMar>
              <w:top w:w="0" w:type="dxa"/>
              <w:left w:w="108" w:type="dxa"/>
              <w:bottom w:w="0" w:type="dxa"/>
              <w:right w:w="108" w:type="dxa"/>
            </w:tcMar>
            <w:vAlign w:val="center"/>
          </w:tcPr>
          <w:p w14:paraId="4FBEF0E6">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X≥200</w:t>
            </w:r>
          </w:p>
        </w:tc>
        <w:tc>
          <w:tcPr>
            <w:tcW w:w="1491" w:type="dxa"/>
            <w:shd w:val="clear" w:color="auto" w:fill="auto"/>
            <w:tcMar>
              <w:top w:w="0" w:type="dxa"/>
              <w:left w:w="108" w:type="dxa"/>
              <w:bottom w:w="0" w:type="dxa"/>
              <w:right w:w="108" w:type="dxa"/>
            </w:tcMar>
            <w:vAlign w:val="center"/>
          </w:tcPr>
          <w:p w14:paraId="6B2C99F8">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20≤X＜200</w:t>
            </w:r>
          </w:p>
        </w:tc>
        <w:tc>
          <w:tcPr>
            <w:tcW w:w="1315" w:type="dxa"/>
            <w:shd w:val="clear" w:color="auto" w:fill="auto"/>
            <w:tcMar>
              <w:top w:w="0" w:type="dxa"/>
              <w:left w:w="108" w:type="dxa"/>
              <w:bottom w:w="0" w:type="dxa"/>
              <w:right w:w="108" w:type="dxa"/>
            </w:tcMar>
            <w:vAlign w:val="center"/>
          </w:tcPr>
          <w:p w14:paraId="291BA6F2">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5≤X＜20</w:t>
            </w:r>
          </w:p>
        </w:tc>
        <w:tc>
          <w:tcPr>
            <w:tcW w:w="908" w:type="dxa"/>
            <w:shd w:val="clear" w:color="auto" w:fill="auto"/>
            <w:tcMar>
              <w:top w:w="0" w:type="dxa"/>
              <w:left w:w="108" w:type="dxa"/>
              <w:bottom w:w="0" w:type="dxa"/>
              <w:right w:w="108" w:type="dxa"/>
            </w:tcMar>
            <w:vAlign w:val="center"/>
          </w:tcPr>
          <w:p w14:paraId="24E06277">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X＜5</w:t>
            </w:r>
          </w:p>
        </w:tc>
      </w:tr>
      <w:tr w14:paraId="6A87E8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vAlign w:val="center"/>
          </w:tcPr>
          <w:p w14:paraId="397A59F8">
            <w:pPr>
              <w:spacing w:line="240" w:lineRule="auto"/>
              <w:ind w:firstLine="0" w:firstLineChars="0"/>
              <w:rPr>
                <w:rFonts w:ascii="宋体" w:hAnsi="宋体" w:eastAsia="宋体" w:cs="宋体"/>
                <w:bCs/>
                <w:color w:val="auto"/>
                <w:sz w:val="24"/>
                <w:highlight w:val="none"/>
              </w:rPr>
            </w:pPr>
          </w:p>
        </w:tc>
        <w:tc>
          <w:tcPr>
            <w:tcW w:w="1281" w:type="dxa"/>
            <w:shd w:val="clear" w:color="auto" w:fill="auto"/>
            <w:tcMar>
              <w:top w:w="0" w:type="dxa"/>
              <w:left w:w="108" w:type="dxa"/>
              <w:bottom w:w="0" w:type="dxa"/>
              <w:right w:w="108" w:type="dxa"/>
            </w:tcMar>
            <w:vAlign w:val="center"/>
          </w:tcPr>
          <w:p w14:paraId="25DA453B">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营业收入(Y)</w:t>
            </w:r>
          </w:p>
        </w:tc>
        <w:tc>
          <w:tcPr>
            <w:tcW w:w="758" w:type="dxa"/>
            <w:shd w:val="clear" w:color="auto" w:fill="auto"/>
            <w:tcMar>
              <w:top w:w="0" w:type="dxa"/>
              <w:left w:w="108" w:type="dxa"/>
              <w:bottom w:w="0" w:type="dxa"/>
              <w:right w:w="108" w:type="dxa"/>
            </w:tcMar>
            <w:vAlign w:val="center"/>
          </w:tcPr>
          <w:p w14:paraId="419E9C82">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万元</w:t>
            </w:r>
          </w:p>
        </w:tc>
        <w:tc>
          <w:tcPr>
            <w:tcW w:w="993" w:type="dxa"/>
            <w:shd w:val="clear" w:color="auto" w:fill="auto"/>
            <w:tcMar>
              <w:top w:w="0" w:type="dxa"/>
              <w:left w:w="108" w:type="dxa"/>
              <w:bottom w:w="0" w:type="dxa"/>
              <w:right w:w="108" w:type="dxa"/>
            </w:tcMar>
            <w:vAlign w:val="center"/>
          </w:tcPr>
          <w:p w14:paraId="7CE70A47">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Y≥40000</w:t>
            </w:r>
          </w:p>
        </w:tc>
        <w:tc>
          <w:tcPr>
            <w:tcW w:w="1491" w:type="dxa"/>
            <w:shd w:val="clear" w:color="auto" w:fill="auto"/>
            <w:tcMar>
              <w:top w:w="0" w:type="dxa"/>
              <w:left w:w="108" w:type="dxa"/>
              <w:bottom w:w="0" w:type="dxa"/>
              <w:right w:w="108" w:type="dxa"/>
            </w:tcMar>
            <w:vAlign w:val="center"/>
          </w:tcPr>
          <w:p w14:paraId="46824AF1">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5000≤Y＜40000</w:t>
            </w:r>
          </w:p>
        </w:tc>
        <w:tc>
          <w:tcPr>
            <w:tcW w:w="1315" w:type="dxa"/>
            <w:shd w:val="clear" w:color="auto" w:fill="auto"/>
            <w:tcMar>
              <w:top w:w="0" w:type="dxa"/>
              <w:left w:w="108" w:type="dxa"/>
              <w:bottom w:w="0" w:type="dxa"/>
              <w:right w:w="108" w:type="dxa"/>
            </w:tcMar>
            <w:vAlign w:val="center"/>
          </w:tcPr>
          <w:p w14:paraId="0F81D0DA">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1000≤Y＜5000</w:t>
            </w:r>
          </w:p>
        </w:tc>
        <w:tc>
          <w:tcPr>
            <w:tcW w:w="908" w:type="dxa"/>
            <w:shd w:val="clear" w:color="auto" w:fill="auto"/>
            <w:tcMar>
              <w:top w:w="0" w:type="dxa"/>
              <w:left w:w="108" w:type="dxa"/>
              <w:bottom w:w="0" w:type="dxa"/>
              <w:right w:w="108" w:type="dxa"/>
            </w:tcMar>
            <w:vAlign w:val="center"/>
          </w:tcPr>
          <w:p w14:paraId="0235F1BF">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Y＜1000</w:t>
            </w:r>
          </w:p>
        </w:tc>
      </w:tr>
      <w:tr w14:paraId="14B935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shd w:val="clear" w:color="auto" w:fill="auto"/>
            <w:tcMar>
              <w:top w:w="0" w:type="dxa"/>
              <w:left w:w="108" w:type="dxa"/>
              <w:bottom w:w="0" w:type="dxa"/>
              <w:right w:w="108" w:type="dxa"/>
            </w:tcMar>
            <w:vAlign w:val="center"/>
          </w:tcPr>
          <w:p w14:paraId="7AFCE370">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零售业</w:t>
            </w:r>
          </w:p>
        </w:tc>
        <w:tc>
          <w:tcPr>
            <w:tcW w:w="1281" w:type="dxa"/>
            <w:shd w:val="clear" w:color="auto" w:fill="auto"/>
            <w:tcMar>
              <w:top w:w="0" w:type="dxa"/>
              <w:left w:w="108" w:type="dxa"/>
              <w:bottom w:w="0" w:type="dxa"/>
              <w:right w:w="108" w:type="dxa"/>
            </w:tcMar>
            <w:vAlign w:val="center"/>
          </w:tcPr>
          <w:p w14:paraId="52AE3446">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从业人员(X)</w:t>
            </w:r>
          </w:p>
        </w:tc>
        <w:tc>
          <w:tcPr>
            <w:tcW w:w="758" w:type="dxa"/>
            <w:shd w:val="clear" w:color="auto" w:fill="auto"/>
            <w:tcMar>
              <w:top w:w="0" w:type="dxa"/>
              <w:left w:w="108" w:type="dxa"/>
              <w:bottom w:w="0" w:type="dxa"/>
              <w:right w:w="108" w:type="dxa"/>
            </w:tcMar>
            <w:vAlign w:val="center"/>
          </w:tcPr>
          <w:p w14:paraId="0018538D">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人</w:t>
            </w:r>
          </w:p>
        </w:tc>
        <w:tc>
          <w:tcPr>
            <w:tcW w:w="993" w:type="dxa"/>
            <w:shd w:val="clear" w:color="auto" w:fill="auto"/>
            <w:tcMar>
              <w:top w:w="0" w:type="dxa"/>
              <w:left w:w="108" w:type="dxa"/>
              <w:bottom w:w="0" w:type="dxa"/>
              <w:right w:w="108" w:type="dxa"/>
            </w:tcMar>
            <w:vAlign w:val="center"/>
          </w:tcPr>
          <w:p w14:paraId="4049EDD6">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X≥300</w:t>
            </w:r>
          </w:p>
        </w:tc>
        <w:tc>
          <w:tcPr>
            <w:tcW w:w="1491" w:type="dxa"/>
            <w:shd w:val="clear" w:color="auto" w:fill="auto"/>
            <w:tcMar>
              <w:top w:w="0" w:type="dxa"/>
              <w:left w:w="108" w:type="dxa"/>
              <w:bottom w:w="0" w:type="dxa"/>
              <w:right w:w="108" w:type="dxa"/>
            </w:tcMar>
            <w:vAlign w:val="center"/>
          </w:tcPr>
          <w:p w14:paraId="6F360BA0">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50≤X＜300</w:t>
            </w:r>
          </w:p>
        </w:tc>
        <w:tc>
          <w:tcPr>
            <w:tcW w:w="1315" w:type="dxa"/>
            <w:shd w:val="clear" w:color="auto" w:fill="auto"/>
            <w:tcMar>
              <w:top w:w="0" w:type="dxa"/>
              <w:left w:w="108" w:type="dxa"/>
              <w:bottom w:w="0" w:type="dxa"/>
              <w:right w:w="108" w:type="dxa"/>
            </w:tcMar>
            <w:vAlign w:val="center"/>
          </w:tcPr>
          <w:p w14:paraId="0768DB49">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10≤X＜50</w:t>
            </w:r>
          </w:p>
        </w:tc>
        <w:tc>
          <w:tcPr>
            <w:tcW w:w="908" w:type="dxa"/>
            <w:shd w:val="clear" w:color="auto" w:fill="auto"/>
            <w:tcMar>
              <w:top w:w="0" w:type="dxa"/>
              <w:left w:w="108" w:type="dxa"/>
              <w:bottom w:w="0" w:type="dxa"/>
              <w:right w:w="108" w:type="dxa"/>
            </w:tcMar>
            <w:vAlign w:val="center"/>
          </w:tcPr>
          <w:p w14:paraId="5CB13132">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X＜10</w:t>
            </w:r>
          </w:p>
        </w:tc>
      </w:tr>
      <w:tr w14:paraId="6FCBE1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vAlign w:val="center"/>
          </w:tcPr>
          <w:p w14:paraId="2042ECB7">
            <w:pPr>
              <w:spacing w:line="240" w:lineRule="auto"/>
              <w:ind w:firstLine="0" w:firstLineChars="0"/>
              <w:rPr>
                <w:rFonts w:ascii="宋体" w:hAnsi="宋体" w:eastAsia="宋体" w:cs="宋体"/>
                <w:bCs/>
                <w:color w:val="auto"/>
                <w:sz w:val="24"/>
                <w:highlight w:val="none"/>
              </w:rPr>
            </w:pPr>
          </w:p>
        </w:tc>
        <w:tc>
          <w:tcPr>
            <w:tcW w:w="1281" w:type="dxa"/>
            <w:shd w:val="clear" w:color="auto" w:fill="auto"/>
            <w:tcMar>
              <w:top w:w="0" w:type="dxa"/>
              <w:left w:w="108" w:type="dxa"/>
              <w:bottom w:w="0" w:type="dxa"/>
              <w:right w:w="108" w:type="dxa"/>
            </w:tcMar>
            <w:vAlign w:val="center"/>
          </w:tcPr>
          <w:p w14:paraId="427FEDB7">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营业收入(Y)</w:t>
            </w:r>
          </w:p>
        </w:tc>
        <w:tc>
          <w:tcPr>
            <w:tcW w:w="758" w:type="dxa"/>
            <w:shd w:val="clear" w:color="auto" w:fill="auto"/>
            <w:tcMar>
              <w:top w:w="0" w:type="dxa"/>
              <w:left w:w="108" w:type="dxa"/>
              <w:bottom w:w="0" w:type="dxa"/>
              <w:right w:w="108" w:type="dxa"/>
            </w:tcMar>
            <w:vAlign w:val="center"/>
          </w:tcPr>
          <w:p w14:paraId="40CF5907">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万元</w:t>
            </w:r>
          </w:p>
        </w:tc>
        <w:tc>
          <w:tcPr>
            <w:tcW w:w="993" w:type="dxa"/>
            <w:shd w:val="clear" w:color="auto" w:fill="auto"/>
            <w:tcMar>
              <w:top w:w="0" w:type="dxa"/>
              <w:left w:w="108" w:type="dxa"/>
              <w:bottom w:w="0" w:type="dxa"/>
              <w:right w:w="108" w:type="dxa"/>
            </w:tcMar>
            <w:vAlign w:val="center"/>
          </w:tcPr>
          <w:p w14:paraId="6D972952">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Y≥20000</w:t>
            </w:r>
          </w:p>
        </w:tc>
        <w:tc>
          <w:tcPr>
            <w:tcW w:w="1491" w:type="dxa"/>
            <w:shd w:val="clear" w:color="auto" w:fill="auto"/>
            <w:tcMar>
              <w:top w:w="0" w:type="dxa"/>
              <w:left w:w="108" w:type="dxa"/>
              <w:bottom w:w="0" w:type="dxa"/>
              <w:right w:w="108" w:type="dxa"/>
            </w:tcMar>
            <w:vAlign w:val="center"/>
          </w:tcPr>
          <w:p w14:paraId="5B192F71">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500≤Y＜20000</w:t>
            </w:r>
          </w:p>
        </w:tc>
        <w:tc>
          <w:tcPr>
            <w:tcW w:w="1315" w:type="dxa"/>
            <w:shd w:val="clear" w:color="auto" w:fill="auto"/>
            <w:tcMar>
              <w:top w:w="0" w:type="dxa"/>
              <w:left w:w="108" w:type="dxa"/>
              <w:bottom w:w="0" w:type="dxa"/>
              <w:right w:w="108" w:type="dxa"/>
            </w:tcMar>
            <w:vAlign w:val="center"/>
          </w:tcPr>
          <w:p w14:paraId="703DD73E">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100≤Y＜500</w:t>
            </w:r>
          </w:p>
        </w:tc>
        <w:tc>
          <w:tcPr>
            <w:tcW w:w="908" w:type="dxa"/>
            <w:shd w:val="clear" w:color="auto" w:fill="auto"/>
            <w:tcMar>
              <w:top w:w="0" w:type="dxa"/>
              <w:left w:w="108" w:type="dxa"/>
              <w:bottom w:w="0" w:type="dxa"/>
              <w:right w:w="108" w:type="dxa"/>
            </w:tcMar>
            <w:vAlign w:val="center"/>
          </w:tcPr>
          <w:p w14:paraId="0F775385">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Y＜100</w:t>
            </w:r>
          </w:p>
        </w:tc>
      </w:tr>
      <w:tr w14:paraId="693C1C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shd w:val="clear" w:color="auto" w:fill="auto"/>
            <w:tcMar>
              <w:top w:w="0" w:type="dxa"/>
              <w:left w:w="108" w:type="dxa"/>
              <w:bottom w:w="0" w:type="dxa"/>
              <w:right w:w="108" w:type="dxa"/>
            </w:tcMar>
            <w:vAlign w:val="center"/>
          </w:tcPr>
          <w:p w14:paraId="7B9D3A7A">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交通运输业 *</w:t>
            </w:r>
          </w:p>
        </w:tc>
        <w:tc>
          <w:tcPr>
            <w:tcW w:w="1281" w:type="dxa"/>
            <w:shd w:val="clear" w:color="auto" w:fill="auto"/>
            <w:tcMar>
              <w:top w:w="0" w:type="dxa"/>
              <w:left w:w="108" w:type="dxa"/>
              <w:bottom w:w="0" w:type="dxa"/>
              <w:right w:w="108" w:type="dxa"/>
            </w:tcMar>
            <w:vAlign w:val="center"/>
          </w:tcPr>
          <w:p w14:paraId="59D9671C">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从业人员(X)</w:t>
            </w:r>
          </w:p>
        </w:tc>
        <w:tc>
          <w:tcPr>
            <w:tcW w:w="758" w:type="dxa"/>
            <w:shd w:val="clear" w:color="auto" w:fill="auto"/>
            <w:tcMar>
              <w:top w:w="0" w:type="dxa"/>
              <w:left w:w="108" w:type="dxa"/>
              <w:bottom w:w="0" w:type="dxa"/>
              <w:right w:w="108" w:type="dxa"/>
            </w:tcMar>
            <w:vAlign w:val="center"/>
          </w:tcPr>
          <w:p w14:paraId="045582B4">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人</w:t>
            </w:r>
          </w:p>
        </w:tc>
        <w:tc>
          <w:tcPr>
            <w:tcW w:w="993" w:type="dxa"/>
            <w:shd w:val="clear" w:color="auto" w:fill="auto"/>
            <w:tcMar>
              <w:top w:w="0" w:type="dxa"/>
              <w:left w:w="108" w:type="dxa"/>
              <w:bottom w:w="0" w:type="dxa"/>
              <w:right w:w="108" w:type="dxa"/>
            </w:tcMar>
            <w:vAlign w:val="center"/>
          </w:tcPr>
          <w:p w14:paraId="5F83EB96">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X≥1000</w:t>
            </w:r>
          </w:p>
        </w:tc>
        <w:tc>
          <w:tcPr>
            <w:tcW w:w="1491" w:type="dxa"/>
            <w:shd w:val="clear" w:color="auto" w:fill="auto"/>
            <w:tcMar>
              <w:top w:w="0" w:type="dxa"/>
              <w:left w:w="108" w:type="dxa"/>
              <w:bottom w:w="0" w:type="dxa"/>
              <w:right w:w="108" w:type="dxa"/>
            </w:tcMar>
            <w:vAlign w:val="center"/>
          </w:tcPr>
          <w:p w14:paraId="62F1BC2C">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300≤X＜1000</w:t>
            </w:r>
          </w:p>
        </w:tc>
        <w:tc>
          <w:tcPr>
            <w:tcW w:w="1315" w:type="dxa"/>
            <w:shd w:val="clear" w:color="auto" w:fill="auto"/>
            <w:tcMar>
              <w:top w:w="0" w:type="dxa"/>
              <w:left w:w="108" w:type="dxa"/>
              <w:bottom w:w="0" w:type="dxa"/>
              <w:right w:w="108" w:type="dxa"/>
            </w:tcMar>
            <w:vAlign w:val="center"/>
          </w:tcPr>
          <w:p w14:paraId="6ECCC64A">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20≤X＜300</w:t>
            </w:r>
          </w:p>
        </w:tc>
        <w:tc>
          <w:tcPr>
            <w:tcW w:w="908" w:type="dxa"/>
            <w:shd w:val="clear" w:color="auto" w:fill="auto"/>
            <w:tcMar>
              <w:top w:w="0" w:type="dxa"/>
              <w:left w:w="108" w:type="dxa"/>
              <w:bottom w:w="0" w:type="dxa"/>
              <w:right w:w="108" w:type="dxa"/>
            </w:tcMar>
            <w:vAlign w:val="center"/>
          </w:tcPr>
          <w:p w14:paraId="40DFEAB6">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X＜20</w:t>
            </w:r>
          </w:p>
        </w:tc>
      </w:tr>
      <w:tr w14:paraId="73A872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vAlign w:val="center"/>
          </w:tcPr>
          <w:p w14:paraId="42150F81">
            <w:pPr>
              <w:spacing w:line="240" w:lineRule="auto"/>
              <w:ind w:firstLine="0" w:firstLineChars="0"/>
              <w:rPr>
                <w:rFonts w:ascii="宋体" w:hAnsi="宋体" w:eastAsia="宋体" w:cs="宋体"/>
                <w:bCs/>
                <w:color w:val="auto"/>
                <w:sz w:val="24"/>
                <w:highlight w:val="none"/>
              </w:rPr>
            </w:pPr>
          </w:p>
        </w:tc>
        <w:tc>
          <w:tcPr>
            <w:tcW w:w="1281" w:type="dxa"/>
            <w:shd w:val="clear" w:color="auto" w:fill="auto"/>
            <w:tcMar>
              <w:top w:w="0" w:type="dxa"/>
              <w:left w:w="108" w:type="dxa"/>
              <w:bottom w:w="0" w:type="dxa"/>
              <w:right w:w="108" w:type="dxa"/>
            </w:tcMar>
            <w:vAlign w:val="center"/>
          </w:tcPr>
          <w:p w14:paraId="3D00A78C">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营业收入(Y)</w:t>
            </w:r>
          </w:p>
        </w:tc>
        <w:tc>
          <w:tcPr>
            <w:tcW w:w="758" w:type="dxa"/>
            <w:shd w:val="clear" w:color="auto" w:fill="auto"/>
            <w:tcMar>
              <w:top w:w="0" w:type="dxa"/>
              <w:left w:w="108" w:type="dxa"/>
              <w:bottom w:w="0" w:type="dxa"/>
              <w:right w:w="108" w:type="dxa"/>
            </w:tcMar>
            <w:vAlign w:val="center"/>
          </w:tcPr>
          <w:p w14:paraId="5D287DF9">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万元</w:t>
            </w:r>
          </w:p>
        </w:tc>
        <w:tc>
          <w:tcPr>
            <w:tcW w:w="993" w:type="dxa"/>
            <w:shd w:val="clear" w:color="auto" w:fill="auto"/>
            <w:tcMar>
              <w:top w:w="0" w:type="dxa"/>
              <w:left w:w="108" w:type="dxa"/>
              <w:bottom w:w="0" w:type="dxa"/>
              <w:right w:w="108" w:type="dxa"/>
            </w:tcMar>
            <w:vAlign w:val="center"/>
          </w:tcPr>
          <w:p w14:paraId="7575AAAC">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Y≥30000</w:t>
            </w:r>
          </w:p>
        </w:tc>
        <w:tc>
          <w:tcPr>
            <w:tcW w:w="1491" w:type="dxa"/>
            <w:shd w:val="clear" w:color="auto" w:fill="auto"/>
            <w:tcMar>
              <w:top w:w="0" w:type="dxa"/>
              <w:left w:w="108" w:type="dxa"/>
              <w:bottom w:w="0" w:type="dxa"/>
              <w:right w:w="108" w:type="dxa"/>
            </w:tcMar>
            <w:vAlign w:val="center"/>
          </w:tcPr>
          <w:p w14:paraId="3E2173EF">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3000≤Y＜30000</w:t>
            </w:r>
          </w:p>
        </w:tc>
        <w:tc>
          <w:tcPr>
            <w:tcW w:w="1315" w:type="dxa"/>
            <w:shd w:val="clear" w:color="auto" w:fill="auto"/>
            <w:tcMar>
              <w:top w:w="0" w:type="dxa"/>
              <w:left w:w="108" w:type="dxa"/>
              <w:bottom w:w="0" w:type="dxa"/>
              <w:right w:w="108" w:type="dxa"/>
            </w:tcMar>
            <w:vAlign w:val="center"/>
          </w:tcPr>
          <w:p w14:paraId="24695D96">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200≤Y＜3000</w:t>
            </w:r>
          </w:p>
        </w:tc>
        <w:tc>
          <w:tcPr>
            <w:tcW w:w="908" w:type="dxa"/>
            <w:shd w:val="clear" w:color="auto" w:fill="auto"/>
            <w:tcMar>
              <w:top w:w="0" w:type="dxa"/>
              <w:left w:w="108" w:type="dxa"/>
              <w:bottom w:w="0" w:type="dxa"/>
              <w:right w:w="108" w:type="dxa"/>
            </w:tcMar>
            <w:vAlign w:val="center"/>
          </w:tcPr>
          <w:p w14:paraId="7937FB16">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Y＜200</w:t>
            </w:r>
          </w:p>
        </w:tc>
      </w:tr>
      <w:tr w14:paraId="221A86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shd w:val="clear" w:color="auto" w:fill="auto"/>
            <w:tcMar>
              <w:top w:w="0" w:type="dxa"/>
              <w:left w:w="108" w:type="dxa"/>
              <w:bottom w:w="0" w:type="dxa"/>
              <w:right w:w="108" w:type="dxa"/>
            </w:tcMar>
            <w:vAlign w:val="center"/>
          </w:tcPr>
          <w:p w14:paraId="20434DA8">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仓储业</w:t>
            </w:r>
          </w:p>
        </w:tc>
        <w:tc>
          <w:tcPr>
            <w:tcW w:w="1281" w:type="dxa"/>
            <w:shd w:val="clear" w:color="auto" w:fill="auto"/>
            <w:tcMar>
              <w:top w:w="0" w:type="dxa"/>
              <w:left w:w="108" w:type="dxa"/>
              <w:bottom w:w="0" w:type="dxa"/>
              <w:right w:w="108" w:type="dxa"/>
            </w:tcMar>
            <w:vAlign w:val="center"/>
          </w:tcPr>
          <w:p w14:paraId="5106E98A">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从业人员(X)</w:t>
            </w:r>
          </w:p>
        </w:tc>
        <w:tc>
          <w:tcPr>
            <w:tcW w:w="758" w:type="dxa"/>
            <w:shd w:val="clear" w:color="auto" w:fill="auto"/>
            <w:tcMar>
              <w:top w:w="0" w:type="dxa"/>
              <w:left w:w="108" w:type="dxa"/>
              <w:bottom w:w="0" w:type="dxa"/>
              <w:right w:w="108" w:type="dxa"/>
            </w:tcMar>
            <w:vAlign w:val="center"/>
          </w:tcPr>
          <w:p w14:paraId="113A463A">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人</w:t>
            </w:r>
          </w:p>
        </w:tc>
        <w:tc>
          <w:tcPr>
            <w:tcW w:w="993" w:type="dxa"/>
            <w:shd w:val="clear" w:color="auto" w:fill="auto"/>
            <w:tcMar>
              <w:top w:w="0" w:type="dxa"/>
              <w:left w:w="108" w:type="dxa"/>
              <w:bottom w:w="0" w:type="dxa"/>
              <w:right w:w="108" w:type="dxa"/>
            </w:tcMar>
            <w:vAlign w:val="center"/>
          </w:tcPr>
          <w:p w14:paraId="03A4D28D">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X≥200</w:t>
            </w:r>
          </w:p>
        </w:tc>
        <w:tc>
          <w:tcPr>
            <w:tcW w:w="1491" w:type="dxa"/>
            <w:shd w:val="clear" w:color="auto" w:fill="auto"/>
            <w:tcMar>
              <w:top w:w="0" w:type="dxa"/>
              <w:left w:w="108" w:type="dxa"/>
              <w:bottom w:w="0" w:type="dxa"/>
              <w:right w:w="108" w:type="dxa"/>
            </w:tcMar>
            <w:vAlign w:val="center"/>
          </w:tcPr>
          <w:p w14:paraId="652E1687">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100≤X＜200</w:t>
            </w:r>
          </w:p>
        </w:tc>
        <w:tc>
          <w:tcPr>
            <w:tcW w:w="1315" w:type="dxa"/>
            <w:shd w:val="clear" w:color="auto" w:fill="auto"/>
            <w:tcMar>
              <w:top w:w="0" w:type="dxa"/>
              <w:left w:w="108" w:type="dxa"/>
              <w:bottom w:w="0" w:type="dxa"/>
              <w:right w:w="108" w:type="dxa"/>
            </w:tcMar>
            <w:vAlign w:val="center"/>
          </w:tcPr>
          <w:p w14:paraId="342338CC">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20≤X＜100</w:t>
            </w:r>
          </w:p>
        </w:tc>
        <w:tc>
          <w:tcPr>
            <w:tcW w:w="908" w:type="dxa"/>
            <w:shd w:val="clear" w:color="auto" w:fill="auto"/>
            <w:tcMar>
              <w:top w:w="0" w:type="dxa"/>
              <w:left w:w="108" w:type="dxa"/>
              <w:bottom w:w="0" w:type="dxa"/>
              <w:right w:w="108" w:type="dxa"/>
            </w:tcMar>
            <w:vAlign w:val="center"/>
          </w:tcPr>
          <w:p w14:paraId="4646B856">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X＜20</w:t>
            </w:r>
          </w:p>
        </w:tc>
      </w:tr>
      <w:tr w14:paraId="004D29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vAlign w:val="center"/>
          </w:tcPr>
          <w:p w14:paraId="6EB9B09D">
            <w:pPr>
              <w:spacing w:line="240" w:lineRule="auto"/>
              <w:ind w:firstLine="0" w:firstLineChars="0"/>
              <w:rPr>
                <w:rFonts w:ascii="宋体" w:hAnsi="宋体" w:eastAsia="宋体" w:cs="宋体"/>
                <w:bCs/>
                <w:color w:val="auto"/>
                <w:sz w:val="24"/>
                <w:highlight w:val="none"/>
              </w:rPr>
            </w:pPr>
          </w:p>
        </w:tc>
        <w:tc>
          <w:tcPr>
            <w:tcW w:w="1281" w:type="dxa"/>
            <w:shd w:val="clear" w:color="auto" w:fill="auto"/>
            <w:tcMar>
              <w:top w:w="0" w:type="dxa"/>
              <w:left w:w="108" w:type="dxa"/>
              <w:bottom w:w="0" w:type="dxa"/>
              <w:right w:w="108" w:type="dxa"/>
            </w:tcMar>
            <w:vAlign w:val="center"/>
          </w:tcPr>
          <w:p w14:paraId="64B957EA">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营业收入(Y)</w:t>
            </w:r>
          </w:p>
        </w:tc>
        <w:tc>
          <w:tcPr>
            <w:tcW w:w="758" w:type="dxa"/>
            <w:shd w:val="clear" w:color="auto" w:fill="auto"/>
            <w:tcMar>
              <w:top w:w="0" w:type="dxa"/>
              <w:left w:w="108" w:type="dxa"/>
              <w:bottom w:w="0" w:type="dxa"/>
              <w:right w:w="108" w:type="dxa"/>
            </w:tcMar>
            <w:vAlign w:val="center"/>
          </w:tcPr>
          <w:p w14:paraId="356EA6F7">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万元</w:t>
            </w:r>
          </w:p>
        </w:tc>
        <w:tc>
          <w:tcPr>
            <w:tcW w:w="993" w:type="dxa"/>
            <w:shd w:val="clear" w:color="auto" w:fill="auto"/>
            <w:tcMar>
              <w:top w:w="0" w:type="dxa"/>
              <w:left w:w="108" w:type="dxa"/>
              <w:bottom w:w="0" w:type="dxa"/>
              <w:right w:w="108" w:type="dxa"/>
            </w:tcMar>
            <w:vAlign w:val="center"/>
          </w:tcPr>
          <w:p w14:paraId="71082E57">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Y≥30000</w:t>
            </w:r>
          </w:p>
        </w:tc>
        <w:tc>
          <w:tcPr>
            <w:tcW w:w="1491" w:type="dxa"/>
            <w:shd w:val="clear" w:color="auto" w:fill="auto"/>
            <w:tcMar>
              <w:top w:w="0" w:type="dxa"/>
              <w:left w:w="108" w:type="dxa"/>
              <w:bottom w:w="0" w:type="dxa"/>
              <w:right w:w="108" w:type="dxa"/>
            </w:tcMar>
            <w:vAlign w:val="center"/>
          </w:tcPr>
          <w:p w14:paraId="61E6ACED">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1000≤Y＜30000</w:t>
            </w:r>
          </w:p>
        </w:tc>
        <w:tc>
          <w:tcPr>
            <w:tcW w:w="1315" w:type="dxa"/>
            <w:shd w:val="clear" w:color="auto" w:fill="auto"/>
            <w:tcMar>
              <w:top w:w="0" w:type="dxa"/>
              <w:left w:w="108" w:type="dxa"/>
              <w:bottom w:w="0" w:type="dxa"/>
              <w:right w:w="108" w:type="dxa"/>
            </w:tcMar>
            <w:vAlign w:val="center"/>
          </w:tcPr>
          <w:p w14:paraId="6984DA89">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100≤Y＜1000</w:t>
            </w:r>
          </w:p>
        </w:tc>
        <w:tc>
          <w:tcPr>
            <w:tcW w:w="908" w:type="dxa"/>
            <w:shd w:val="clear" w:color="auto" w:fill="auto"/>
            <w:tcMar>
              <w:top w:w="0" w:type="dxa"/>
              <w:left w:w="108" w:type="dxa"/>
              <w:bottom w:w="0" w:type="dxa"/>
              <w:right w:w="108" w:type="dxa"/>
            </w:tcMar>
            <w:vAlign w:val="center"/>
          </w:tcPr>
          <w:p w14:paraId="28C09CD4">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Y＜100</w:t>
            </w:r>
          </w:p>
        </w:tc>
      </w:tr>
      <w:tr w14:paraId="3F18C4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shd w:val="clear" w:color="auto" w:fill="auto"/>
            <w:tcMar>
              <w:top w:w="0" w:type="dxa"/>
              <w:left w:w="108" w:type="dxa"/>
              <w:bottom w:w="0" w:type="dxa"/>
              <w:right w:w="108" w:type="dxa"/>
            </w:tcMar>
            <w:vAlign w:val="center"/>
          </w:tcPr>
          <w:p w14:paraId="2B3B7EE9">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邮政业</w:t>
            </w:r>
          </w:p>
        </w:tc>
        <w:tc>
          <w:tcPr>
            <w:tcW w:w="1281" w:type="dxa"/>
            <w:shd w:val="clear" w:color="auto" w:fill="auto"/>
            <w:tcMar>
              <w:top w:w="0" w:type="dxa"/>
              <w:left w:w="108" w:type="dxa"/>
              <w:bottom w:w="0" w:type="dxa"/>
              <w:right w:w="108" w:type="dxa"/>
            </w:tcMar>
            <w:vAlign w:val="center"/>
          </w:tcPr>
          <w:p w14:paraId="24808697">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从业人员(X)</w:t>
            </w:r>
          </w:p>
        </w:tc>
        <w:tc>
          <w:tcPr>
            <w:tcW w:w="758" w:type="dxa"/>
            <w:shd w:val="clear" w:color="auto" w:fill="auto"/>
            <w:tcMar>
              <w:top w:w="0" w:type="dxa"/>
              <w:left w:w="108" w:type="dxa"/>
              <w:bottom w:w="0" w:type="dxa"/>
              <w:right w:w="108" w:type="dxa"/>
            </w:tcMar>
            <w:vAlign w:val="center"/>
          </w:tcPr>
          <w:p w14:paraId="71B81DD4">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人</w:t>
            </w:r>
          </w:p>
        </w:tc>
        <w:tc>
          <w:tcPr>
            <w:tcW w:w="993" w:type="dxa"/>
            <w:shd w:val="clear" w:color="auto" w:fill="auto"/>
            <w:tcMar>
              <w:top w:w="0" w:type="dxa"/>
              <w:left w:w="108" w:type="dxa"/>
              <w:bottom w:w="0" w:type="dxa"/>
              <w:right w:w="108" w:type="dxa"/>
            </w:tcMar>
            <w:vAlign w:val="center"/>
          </w:tcPr>
          <w:p w14:paraId="3F5D3917">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X≥1000</w:t>
            </w:r>
          </w:p>
        </w:tc>
        <w:tc>
          <w:tcPr>
            <w:tcW w:w="1491" w:type="dxa"/>
            <w:shd w:val="clear" w:color="auto" w:fill="auto"/>
            <w:tcMar>
              <w:top w:w="0" w:type="dxa"/>
              <w:left w:w="108" w:type="dxa"/>
              <w:bottom w:w="0" w:type="dxa"/>
              <w:right w:w="108" w:type="dxa"/>
            </w:tcMar>
            <w:vAlign w:val="center"/>
          </w:tcPr>
          <w:p w14:paraId="7663F08F">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300≤X＜1000</w:t>
            </w:r>
          </w:p>
        </w:tc>
        <w:tc>
          <w:tcPr>
            <w:tcW w:w="1315" w:type="dxa"/>
            <w:shd w:val="clear" w:color="auto" w:fill="auto"/>
            <w:tcMar>
              <w:top w:w="0" w:type="dxa"/>
              <w:left w:w="108" w:type="dxa"/>
              <w:bottom w:w="0" w:type="dxa"/>
              <w:right w:w="108" w:type="dxa"/>
            </w:tcMar>
            <w:vAlign w:val="center"/>
          </w:tcPr>
          <w:p w14:paraId="7310898B">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20≤X＜300</w:t>
            </w:r>
          </w:p>
        </w:tc>
        <w:tc>
          <w:tcPr>
            <w:tcW w:w="908" w:type="dxa"/>
            <w:shd w:val="clear" w:color="auto" w:fill="auto"/>
            <w:tcMar>
              <w:top w:w="0" w:type="dxa"/>
              <w:left w:w="108" w:type="dxa"/>
              <w:bottom w:w="0" w:type="dxa"/>
              <w:right w:w="108" w:type="dxa"/>
            </w:tcMar>
            <w:vAlign w:val="center"/>
          </w:tcPr>
          <w:p w14:paraId="5C799367">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X＜20</w:t>
            </w:r>
          </w:p>
        </w:tc>
      </w:tr>
      <w:tr w14:paraId="757C4A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vAlign w:val="center"/>
          </w:tcPr>
          <w:p w14:paraId="343C8279">
            <w:pPr>
              <w:spacing w:line="240" w:lineRule="auto"/>
              <w:ind w:firstLine="0" w:firstLineChars="0"/>
              <w:rPr>
                <w:rFonts w:ascii="宋体" w:hAnsi="宋体" w:eastAsia="宋体" w:cs="宋体"/>
                <w:bCs/>
                <w:color w:val="auto"/>
                <w:sz w:val="24"/>
                <w:highlight w:val="none"/>
              </w:rPr>
            </w:pPr>
          </w:p>
        </w:tc>
        <w:tc>
          <w:tcPr>
            <w:tcW w:w="1281" w:type="dxa"/>
            <w:shd w:val="clear" w:color="auto" w:fill="auto"/>
            <w:tcMar>
              <w:top w:w="0" w:type="dxa"/>
              <w:left w:w="108" w:type="dxa"/>
              <w:bottom w:w="0" w:type="dxa"/>
              <w:right w:w="108" w:type="dxa"/>
            </w:tcMar>
            <w:vAlign w:val="center"/>
          </w:tcPr>
          <w:p w14:paraId="10662CF5">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营业收入(Y)</w:t>
            </w:r>
          </w:p>
        </w:tc>
        <w:tc>
          <w:tcPr>
            <w:tcW w:w="758" w:type="dxa"/>
            <w:shd w:val="clear" w:color="auto" w:fill="auto"/>
            <w:tcMar>
              <w:top w:w="0" w:type="dxa"/>
              <w:left w:w="108" w:type="dxa"/>
              <w:bottom w:w="0" w:type="dxa"/>
              <w:right w:w="108" w:type="dxa"/>
            </w:tcMar>
            <w:vAlign w:val="center"/>
          </w:tcPr>
          <w:p w14:paraId="3AD7740B">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万元</w:t>
            </w:r>
          </w:p>
        </w:tc>
        <w:tc>
          <w:tcPr>
            <w:tcW w:w="993" w:type="dxa"/>
            <w:shd w:val="clear" w:color="auto" w:fill="auto"/>
            <w:tcMar>
              <w:top w:w="0" w:type="dxa"/>
              <w:left w:w="108" w:type="dxa"/>
              <w:bottom w:w="0" w:type="dxa"/>
              <w:right w:w="108" w:type="dxa"/>
            </w:tcMar>
            <w:vAlign w:val="center"/>
          </w:tcPr>
          <w:p w14:paraId="768B96F2">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Y≥30000</w:t>
            </w:r>
          </w:p>
        </w:tc>
        <w:tc>
          <w:tcPr>
            <w:tcW w:w="1491" w:type="dxa"/>
            <w:shd w:val="clear" w:color="auto" w:fill="auto"/>
            <w:tcMar>
              <w:top w:w="0" w:type="dxa"/>
              <w:left w:w="108" w:type="dxa"/>
              <w:bottom w:w="0" w:type="dxa"/>
              <w:right w:w="108" w:type="dxa"/>
            </w:tcMar>
            <w:vAlign w:val="center"/>
          </w:tcPr>
          <w:p w14:paraId="642AB0A8">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2000≤Y＜30000</w:t>
            </w:r>
          </w:p>
        </w:tc>
        <w:tc>
          <w:tcPr>
            <w:tcW w:w="1315" w:type="dxa"/>
            <w:shd w:val="clear" w:color="auto" w:fill="auto"/>
            <w:tcMar>
              <w:top w:w="0" w:type="dxa"/>
              <w:left w:w="108" w:type="dxa"/>
              <w:bottom w:w="0" w:type="dxa"/>
              <w:right w:w="108" w:type="dxa"/>
            </w:tcMar>
            <w:vAlign w:val="center"/>
          </w:tcPr>
          <w:p w14:paraId="54C808DA">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100≤Y＜2000</w:t>
            </w:r>
          </w:p>
        </w:tc>
        <w:tc>
          <w:tcPr>
            <w:tcW w:w="908" w:type="dxa"/>
            <w:shd w:val="clear" w:color="auto" w:fill="auto"/>
            <w:tcMar>
              <w:top w:w="0" w:type="dxa"/>
              <w:left w:w="108" w:type="dxa"/>
              <w:bottom w:w="0" w:type="dxa"/>
              <w:right w:w="108" w:type="dxa"/>
            </w:tcMar>
            <w:vAlign w:val="center"/>
          </w:tcPr>
          <w:p w14:paraId="19087BA6">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Y＜100</w:t>
            </w:r>
          </w:p>
        </w:tc>
      </w:tr>
      <w:tr w14:paraId="32D4FA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shd w:val="clear" w:color="auto" w:fill="auto"/>
            <w:tcMar>
              <w:top w:w="0" w:type="dxa"/>
              <w:left w:w="108" w:type="dxa"/>
              <w:bottom w:w="0" w:type="dxa"/>
              <w:right w:w="108" w:type="dxa"/>
            </w:tcMar>
            <w:vAlign w:val="center"/>
          </w:tcPr>
          <w:p w14:paraId="3C4B769F">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住宿业</w:t>
            </w:r>
          </w:p>
        </w:tc>
        <w:tc>
          <w:tcPr>
            <w:tcW w:w="1281" w:type="dxa"/>
            <w:shd w:val="clear" w:color="auto" w:fill="auto"/>
            <w:tcMar>
              <w:top w:w="0" w:type="dxa"/>
              <w:left w:w="108" w:type="dxa"/>
              <w:bottom w:w="0" w:type="dxa"/>
              <w:right w:w="108" w:type="dxa"/>
            </w:tcMar>
            <w:vAlign w:val="center"/>
          </w:tcPr>
          <w:p w14:paraId="36127C51">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从业人员(X)</w:t>
            </w:r>
          </w:p>
        </w:tc>
        <w:tc>
          <w:tcPr>
            <w:tcW w:w="758" w:type="dxa"/>
            <w:shd w:val="clear" w:color="auto" w:fill="auto"/>
            <w:tcMar>
              <w:top w:w="0" w:type="dxa"/>
              <w:left w:w="108" w:type="dxa"/>
              <w:bottom w:w="0" w:type="dxa"/>
              <w:right w:w="108" w:type="dxa"/>
            </w:tcMar>
            <w:vAlign w:val="center"/>
          </w:tcPr>
          <w:p w14:paraId="7E37FEFF">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人</w:t>
            </w:r>
          </w:p>
        </w:tc>
        <w:tc>
          <w:tcPr>
            <w:tcW w:w="993" w:type="dxa"/>
            <w:shd w:val="clear" w:color="auto" w:fill="auto"/>
            <w:tcMar>
              <w:top w:w="0" w:type="dxa"/>
              <w:left w:w="108" w:type="dxa"/>
              <w:bottom w:w="0" w:type="dxa"/>
              <w:right w:w="108" w:type="dxa"/>
            </w:tcMar>
            <w:vAlign w:val="center"/>
          </w:tcPr>
          <w:p w14:paraId="453E7918">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X≥300</w:t>
            </w:r>
          </w:p>
        </w:tc>
        <w:tc>
          <w:tcPr>
            <w:tcW w:w="1491" w:type="dxa"/>
            <w:shd w:val="clear" w:color="auto" w:fill="auto"/>
            <w:tcMar>
              <w:top w:w="0" w:type="dxa"/>
              <w:left w:w="108" w:type="dxa"/>
              <w:bottom w:w="0" w:type="dxa"/>
              <w:right w:w="108" w:type="dxa"/>
            </w:tcMar>
            <w:vAlign w:val="center"/>
          </w:tcPr>
          <w:p w14:paraId="08B85C52">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100≤X＜300</w:t>
            </w:r>
          </w:p>
        </w:tc>
        <w:tc>
          <w:tcPr>
            <w:tcW w:w="1315" w:type="dxa"/>
            <w:shd w:val="clear" w:color="auto" w:fill="auto"/>
            <w:tcMar>
              <w:top w:w="0" w:type="dxa"/>
              <w:left w:w="108" w:type="dxa"/>
              <w:bottom w:w="0" w:type="dxa"/>
              <w:right w:w="108" w:type="dxa"/>
            </w:tcMar>
            <w:vAlign w:val="center"/>
          </w:tcPr>
          <w:p w14:paraId="23BA7E06">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10≤X＜100</w:t>
            </w:r>
          </w:p>
        </w:tc>
        <w:tc>
          <w:tcPr>
            <w:tcW w:w="908" w:type="dxa"/>
            <w:shd w:val="clear" w:color="auto" w:fill="auto"/>
            <w:tcMar>
              <w:top w:w="0" w:type="dxa"/>
              <w:left w:w="108" w:type="dxa"/>
              <w:bottom w:w="0" w:type="dxa"/>
              <w:right w:w="108" w:type="dxa"/>
            </w:tcMar>
            <w:vAlign w:val="center"/>
          </w:tcPr>
          <w:p w14:paraId="4481638D">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X＜10</w:t>
            </w:r>
          </w:p>
        </w:tc>
      </w:tr>
      <w:tr w14:paraId="038BF2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vAlign w:val="center"/>
          </w:tcPr>
          <w:p w14:paraId="2FAD3219">
            <w:pPr>
              <w:spacing w:line="240" w:lineRule="auto"/>
              <w:ind w:firstLine="0" w:firstLineChars="0"/>
              <w:rPr>
                <w:rFonts w:ascii="宋体" w:hAnsi="宋体" w:eastAsia="宋体" w:cs="宋体"/>
                <w:bCs/>
                <w:color w:val="auto"/>
                <w:sz w:val="24"/>
                <w:highlight w:val="none"/>
              </w:rPr>
            </w:pPr>
          </w:p>
        </w:tc>
        <w:tc>
          <w:tcPr>
            <w:tcW w:w="1281" w:type="dxa"/>
            <w:shd w:val="clear" w:color="auto" w:fill="auto"/>
            <w:tcMar>
              <w:top w:w="0" w:type="dxa"/>
              <w:left w:w="108" w:type="dxa"/>
              <w:bottom w:w="0" w:type="dxa"/>
              <w:right w:w="108" w:type="dxa"/>
            </w:tcMar>
            <w:vAlign w:val="center"/>
          </w:tcPr>
          <w:p w14:paraId="2267A46D">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营业收入(Y)</w:t>
            </w:r>
          </w:p>
        </w:tc>
        <w:tc>
          <w:tcPr>
            <w:tcW w:w="758" w:type="dxa"/>
            <w:shd w:val="clear" w:color="auto" w:fill="auto"/>
            <w:tcMar>
              <w:top w:w="0" w:type="dxa"/>
              <w:left w:w="108" w:type="dxa"/>
              <w:bottom w:w="0" w:type="dxa"/>
              <w:right w:w="108" w:type="dxa"/>
            </w:tcMar>
            <w:vAlign w:val="center"/>
          </w:tcPr>
          <w:p w14:paraId="7D1BBE0A">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万元</w:t>
            </w:r>
          </w:p>
        </w:tc>
        <w:tc>
          <w:tcPr>
            <w:tcW w:w="993" w:type="dxa"/>
            <w:shd w:val="clear" w:color="auto" w:fill="auto"/>
            <w:tcMar>
              <w:top w:w="0" w:type="dxa"/>
              <w:left w:w="108" w:type="dxa"/>
              <w:bottom w:w="0" w:type="dxa"/>
              <w:right w:w="108" w:type="dxa"/>
            </w:tcMar>
            <w:vAlign w:val="center"/>
          </w:tcPr>
          <w:p w14:paraId="2C567AAC">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Y≥10000</w:t>
            </w:r>
          </w:p>
        </w:tc>
        <w:tc>
          <w:tcPr>
            <w:tcW w:w="1491" w:type="dxa"/>
            <w:shd w:val="clear" w:color="auto" w:fill="auto"/>
            <w:tcMar>
              <w:top w:w="0" w:type="dxa"/>
              <w:left w:w="108" w:type="dxa"/>
              <w:bottom w:w="0" w:type="dxa"/>
              <w:right w:w="108" w:type="dxa"/>
            </w:tcMar>
            <w:vAlign w:val="center"/>
          </w:tcPr>
          <w:p w14:paraId="0CACE7D6">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2000≤Y＜10000</w:t>
            </w:r>
          </w:p>
        </w:tc>
        <w:tc>
          <w:tcPr>
            <w:tcW w:w="1315" w:type="dxa"/>
            <w:shd w:val="clear" w:color="auto" w:fill="auto"/>
            <w:tcMar>
              <w:top w:w="0" w:type="dxa"/>
              <w:left w:w="108" w:type="dxa"/>
              <w:bottom w:w="0" w:type="dxa"/>
              <w:right w:w="108" w:type="dxa"/>
            </w:tcMar>
            <w:vAlign w:val="center"/>
          </w:tcPr>
          <w:p w14:paraId="6046BDEE">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100≤Y＜2000</w:t>
            </w:r>
          </w:p>
        </w:tc>
        <w:tc>
          <w:tcPr>
            <w:tcW w:w="908" w:type="dxa"/>
            <w:shd w:val="clear" w:color="auto" w:fill="auto"/>
            <w:tcMar>
              <w:top w:w="0" w:type="dxa"/>
              <w:left w:w="108" w:type="dxa"/>
              <w:bottom w:w="0" w:type="dxa"/>
              <w:right w:w="108" w:type="dxa"/>
            </w:tcMar>
            <w:vAlign w:val="center"/>
          </w:tcPr>
          <w:p w14:paraId="14F12E5A">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Y＜100</w:t>
            </w:r>
          </w:p>
        </w:tc>
      </w:tr>
      <w:tr w14:paraId="21DB59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shd w:val="clear" w:color="auto" w:fill="auto"/>
            <w:tcMar>
              <w:top w:w="0" w:type="dxa"/>
              <w:left w:w="108" w:type="dxa"/>
              <w:bottom w:w="0" w:type="dxa"/>
              <w:right w:w="108" w:type="dxa"/>
            </w:tcMar>
            <w:vAlign w:val="center"/>
          </w:tcPr>
          <w:p w14:paraId="2AEFC1CD">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餐饮业</w:t>
            </w:r>
          </w:p>
        </w:tc>
        <w:tc>
          <w:tcPr>
            <w:tcW w:w="1281" w:type="dxa"/>
            <w:shd w:val="clear" w:color="auto" w:fill="auto"/>
            <w:tcMar>
              <w:top w:w="0" w:type="dxa"/>
              <w:left w:w="108" w:type="dxa"/>
              <w:bottom w:w="0" w:type="dxa"/>
              <w:right w:w="108" w:type="dxa"/>
            </w:tcMar>
            <w:vAlign w:val="center"/>
          </w:tcPr>
          <w:p w14:paraId="4AEAA8F1">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从业人员(X)</w:t>
            </w:r>
          </w:p>
        </w:tc>
        <w:tc>
          <w:tcPr>
            <w:tcW w:w="758" w:type="dxa"/>
            <w:shd w:val="clear" w:color="auto" w:fill="auto"/>
            <w:tcMar>
              <w:top w:w="0" w:type="dxa"/>
              <w:left w:w="108" w:type="dxa"/>
              <w:bottom w:w="0" w:type="dxa"/>
              <w:right w:w="108" w:type="dxa"/>
            </w:tcMar>
            <w:vAlign w:val="center"/>
          </w:tcPr>
          <w:p w14:paraId="27600CBB">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人</w:t>
            </w:r>
          </w:p>
        </w:tc>
        <w:tc>
          <w:tcPr>
            <w:tcW w:w="993" w:type="dxa"/>
            <w:shd w:val="clear" w:color="auto" w:fill="auto"/>
            <w:tcMar>
              <w:top w:w="0" w:type="dxa"/>
              <w:left w:w="108" w:type="dxa"/>
              <w:bottom w:w="0" w:type="dxa"/>
              <w:right w:w="108" w:type="dxa"/>
            </w:tcMar>
            <w:vAlign w:val="center"/>
          </w:tcPr>
          <w:p w14:paraId="2AD519FB">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X≥300</w:t>
            </w:r>
          </w:p>
        </w:tc>
        <w:tc>
          <w:tcPr>
            <w:tcW w:w="1491" w:type="dxa"/>
            <w:shd w:val="clear" w:color="auto" w:fill="auto"/>
            <w:tcMar>
              <w:top w:w="0" w:type="dxa"/>
              <w:left w:w="108" w:type="dxa"/>
              <w:bottom w:w="0" w:type="dxa"/>
              <w:right w:w="108" w:type="dxa"/>
            </w:tcMar>
            <w:vAlign w:val="center"/>
          </w:tcPr>
          <w:p w14:paraId="4C5286ED">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100≤X＜300</w:t>
            </w:r>
          </w:p>
        </w:tc>
        <w:tc>
          <w:tcPr>
            <w:tcW w:w="1315" w:type="dxa"/>
            <w:shd w:val="clear" w:color="auto" w:fill="auto"/>
            <w:tcMar>
              <w:top w:w="0" w:type="dxa"/>
              <w:left w:w="108" w:type="dxa"/>
              <w:bottom w:w="0" w:type="dxa"/>
              <w:right w:w="108" w:type="dxa"/>
            </w:tcMar>
            <w:vAlign w:val="center"/>
          </w:tcPr>
          <w:p w14:paraId="150F1CA6">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10≤X＜100</w:t>
            </w:r>
          </w:p>
        </w:tc>
        <w:tc>
          <w:tcPr>
            <w:tcW w:w="908" w:type="dxa"/>
            <w:shd w:val="clear" w:color="auto" w:fill="auto"/>
            <w:tcMar>
              <w:top w:w="0" w:type="dxa"/>
              <w:left w:w="108" w:type="dxa"/>
              <w:bottom w:w="0" w:type="dxa"/>
              <w:right w:w="108" w:type="dxa"/>
            </w:tcMar>
            <w:vAlign w:val="center"/>
          </w:tcPr>
          <w:p w14:paraId="7FCACB04">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X＜10</w:t>
            </w:r>
          </w:p>
        </w:tc>
      </w:tr>
      <w:tr w14:paraId="252B0E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vAlign w:val="center"/>
          </w:tcPr>
          <w:p w14:paraId="7715D480">
            <w:pPr>
              <w:spacing w:line="240" w:lineRule="auto"/>
              <w:ind w:firstLine="0" w:firstLineChars="0"/>
              <w:rPr>
                <w:rFonts w:ascii="宋体" w:hAnsi="宋体" w:eastAsia="宋体" w:cs="宋体"/>
                <w:bCs/>
                <w:color w:val="auto"/>
                <w:sz w:val="24"/>
                <w:highlight w:val="none"/>
              </w:rPr>
            </w:pPr>
          </w:p>
        </w:tc>
        <w:tc>
          <w:tcPr>
            <w:tcW w:w="1281" w:type="dxa"/>
            <w:shd w:val="clear" w:color="auto" w:fill="auto"/>
            <w:tcMar>
              <w:top w:w="0" w:type="dxa"/>
              <w:left w:w="108" w:type="dxa"/>
              <w:bottom w:w="0" w:type="dxa"/>
              <w:right w:w="108" w:type="dxa"/>
            </w:tcMar>
            <w:vAlign w:val="center"/>
          </w:tcPr>
          <w:p w14:paraId="1B8638ED">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营业收入(Y)</w:t>
            </w:r>
          </w:p>
        </w:tc>
        <w:tc>
          <w:tcPr>
            <w:tcW w:w="758" w:type="dxa"/>
            <w:shd w:val="clear" w:color="auto" w:fill="auto"/>
            <w:tcMar>
              <w:top w:w="0" w:type="dxa"/>
              <w:left w:w="108" w:type="dxa"/>
              <w:bottom w:w="0" w:type="dxa"/>
              <w:right w:w="108" w:type="dxa"/>
            </w:tcMar>
            <w:vAlign w:val="center"/>
          </w:tcPr>
          <w:p w14:paraId="07428A7B">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万元</w:t>
            </w:r>
          </w:p>
        </w:tc>
        <w:tc>
          <w:tcPr>
            <w:tcW w:w="993" w:type="dxa"/>
            <w:shd w:val="clear" w:color="auto" w:fill="auto"/>
            <w:tcMar>
              <w:top w:w="0" w:type="dxa"/>
              <w:left w:w="108" w:type="dxa"/>
              <w:bottom w:w="0" w:type="dxa"/>
              <w:right w:w="108" w:type="dxa"/>
            </w:tcMar>
            <w:vAlign w:val="center"/>
          </w:tcPr>
          <w:p w14:paraId="1EC754DF">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Y≥10000</w:t>
            </w:r>
          </w:p>
        </w:tc>
        <w:tc>
          <w:tcPr>
            <w:tcW w:w="1491" w:type="dxa"/>
            <w:shd w:val="clear" w:color="auto" w:fill="auto"/>
            <w:tcMar>
              <w:top w:w="0" w:type="dxa"/>
              <w:left w:w="108" w:type="dxa"/>
              <w:bottom w:w="0" w:type="dxa"/>
              <w:right w:w="108" w:type="dxa"/>
            </w:tcMar>
            <w:vAlign w:val="center"/>
          </w:tcPr>
          <w:p w14:paraId="600FADBA">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2000≤Y＜10000</w:t>
            </w:r>
          </w:p>
        </w:tc>
        <w:tc>
          <w:tcPr>
            <w:tcW w:w="1315" w:type="dxa"/>
            <w:shd w:val="clear" w:color="auto" w:fill="auto"/>
            <w:tcMar>
              <w:top w:w="0" w:type="dxa"/>
              <w:left w:w="108" w:type="dxa"/>
              <w:bottom w:w="0" w:type="dxa"/>
              <w:right w:w="108" w:type="dxa"/>
            </w:tcMar>
            <w:vAlign w:val="center"/>
          </w:tcPr>
          <w:p w14:paraId="548893AF">
            <w:pPr>
              <w:spacing w:line="240" w:lineRule="auto"/>
              <w:ind w:firstLine="0" w:firstLineChars="0"/>
              <w:jc w:val="center"/>
              <w:rPr>
                <w:rFonts w:ascii="宋体" w:hAnsi="宋体" w:eastAsia="宋体" w:cs="宋体"/>
                <w:bCs/>
                <w:color w:val="auto"/>
                <w:sz w:val="24"/>
                <w:highlight w:val="none"/>
              </w:rPr>
            </w:pPr>
            <w:r>
              <w:rPr>
                <w:rFonts w:hint="eastAsia" w:ascii="宋体" w:hAnsi="宋体" w:eastAsia="宋体" w:cs="宋体"/>
                <w:color w:val="auto"/>
                <w:sz w:val="18"/>
                <w:szCs w:val="18"/>
                <w:highlight w:val="none"/>
              </w:rPr>
              <w:t> 100≤Y＜2000</w:t>
            </w:r>
          </w:p>
        </w:tc>
        <w:tc>
          <w:tcPr>
            <w:tcW w:w="908" w:type="dxa"/>
            <w:shd w:val="clear" w:color="auto" w:fill="auto"/>
            <w:tcMar>
              <w:top w:w="0" w:type="dxa"/>
              <w:left w:w="108" w:type="dxa"/>
              <w:bottom w:w="0" w:type="dxa"/>
              <w:right w:w="108" w:type="dxa"/>
            </w:tcMar>
            <w:vAlign w:val="center"/>
          </w:tcPr>
          <w:p w14:paraId="1696759F">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Y＜100</w:t>
            </w:r>
          </w:p>
        </w:tc>
      </w:tr>
      <w:tr w14:paraId="4361EC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shd w:val="clear" w:color="auto" w:fill="auto"/>
            <w:tcMar>
              <w:top w:w="0" w:type="dxa"/>
              <w:left w:w="108" w:type="dxa"/>
              <w:bottom w:w="0" w:type="dxa"/>
              <w:right w:w="108" w:type="dxa"/>
            </w:tcMar>
            <w:vAlign w:val="center"/>
          </w:tcPr>
          <w:p w14:paraId="7FD67318">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信息传输业 *</w:t>
            </w:r>
          </w:p>
        </w:tc>
        <w:tc>
          <w:tcPr>
            <w:tcW w:w="1281" w:type="dxa"/>
            <w:shd w:val="clear" w:color="auto" w:fill="auto"/>
            <w:tcMar>
              <w:top w:w="0" w:type="dxa"/>
              <w:left w:w="108" w:type="dxa"/>
              <w:bottom w:w="0" w:type="dxa"/>
              <w:right w:w="108" w:type="dxa"/>
            </w:tcMar>
            <w:vAlign w:val="center"/>
          </w:tcPr>
          <w:p w14:paraId="610A62B1">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从业人员(X)</w:t>
            </w:r>
          </w:p>
        </w:tc>
        <w:tc>
          <w:tcPr>
            <w:tcW w:w="758" w:type="dxa"/>
            <w:shd w:val="clear" w:color="auto" w:fill="auto"/>
            <w:tcMar>
              <w:top w:w="0" w:type="dxa"/>
              <w:left w:w="108" w:type="dxa"/>
              <w:bottom w:w="0" w:type="dxa"/>
              <w:right w:w="108" w:type="dxa"/>
            </w:tcMar>
            <w:vAlign w:val="center"/>
          </w:tcPr>
          <w:p w14:paraId="66790D9E">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人</w:t>
            </w:r>
          </w:p>
        </w:tc>
        <w:tc>
          <w:tcPr>
            <w:tcW w:w="993" w:type="dxa"/>
            <w:shd w:val="clear" w:color="auto" w:fill="auto"/>
            <w:tcMar>
              <w:top w:w="0" w:type="dxa"/>
              <w:left w:w="108" w:type="dxa"/>
              <w:bottom w:w="0" w:type="dxa"/>
              <w:right w:w="108" w:type="dxa"/>
            </w:tcMar>
            <w:vAlign w:val="center"/>
          </w:tcPr>
          <w:p w14:paraId="4D0C6720">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X≥2000</w:t>
            </w:r>
          </w:p>
        </w:tc>
        <w:tc>
          <w:tcPr>
            <w:tcW w:w="1491" w:type="dxa"/>
            <w:shd w:val="clear" w:color="auto" w:fill="auto"/>
            <w:tcMar>
              <w:top w:w="0" w:type="dxa"/>
              <w:left w:w="108" w:type="dxa"/>
              <w:bottom w:w="0" w:type="dxa"/>
              <w:right w:w="108" w:type="dxa"/>
            </w:tcMar>
            <w:vAlign w:val="center"/>
          </w:tcPr>
          <w:p w14:paraId="6FDD12B6">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100≤X＜2000</w:t>
            </w:r>
          </w:p>
        </w:tc>
        <w:tc>
          <w:tcPr>
            <w:tcW w:w="1315" w:type="dxa"/>
            <w:shd w:val="clear" w:color="auto" w:fill="auto"/>
            <w:tcMar>
              <w:top w:w="0" w:type="dxa"/>
              <w:left w:w="108" w:type="dxa"/>
              <w:bottom w:w="0" w:type="dxa"/>
              <w:right w:w="108" w:type="dxa"/>
            </w:tcMar>
            <w:vAlign w:val="center"/>
          </w:tcPr>
          <w:p w14:paraId="0F23B307">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10≤X＜100</w:t>
            </w:r>
          </w:p>
        </w:tc>
        <w:tc>
          <w:tcPr>
            <w:tcW w:w="908" w:type="dxa"/>
            <w:shd w:val="clear" w:color="auto" w:fill="auto"/>
            <w:tcMar>
              <w:top w:w="0" w:type="dxa"/>
              <w:left w:w="108" w:type="dxa"/>
              <w:bottom w:w="0" w:type="dxa"/>
              <w:right w:w="108" w:type="dxa"/>
            </w:tcMar>
            <w:vAlign w:val="center"/>
          </w:tcPr>
          <w:p w14:paraId="6797BE06">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X＜10</w:t>
            </w:r>
          </w:p>
        </w:tc>
      </w:tr>
      <w:tr w14:paraId="0054A1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vAlign w:val="center"/>
          </w:tcPr>
          <w:p w14:paraId="1EA7DDEC">
            <w:pPr>
              <w:spacing w:line="240" w:lineRule="auto"/>
              <w:ind w:firstLine="0" w:firstLineChars="0"/>
              <w:rPr>
                <w:rFonts w:ascii="宋体" w:hAnsi="宋体" w:eastAsia="宋体" w:cs="宋体"/>
                <w:bCs/>
                <w:color w:val="auto"/>
                <w:sz w:val="24"/>
                <w:highlight w:val="none"/>
              </w:rPr>
            </w:pPr>
          </w:p>
        </w:tc>
        <w:tc>
          <w:tcPr>
            <w:tcW w:w="1281" w:type="dxa"/>
            <w:shd w:val="clear" w:color="auto" w:fill="auto"/>
            <w:tcMar>
              <w:top w:w="0" w:type="dxa"/>
              <w:left w:w="108" w:type="dxa"/>
              <w:bottom w:w="0" w:type="dxa"/>
              <w:right w:w="108" w:type="dxa"/>
            </w:tcMar>
            <w:vAlign w:val="center"/>
          </w:tcPr>
          <w:p w14:paraId="28F96E5E">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营业收入(Y)</w:t>
            </w:r>
          </w:p>
        </w:tc>
        <w:tc>
          <w:tcPr>
            <w:tcW w:w="758" w:type="dxa"/>
            <w:shd w:val="clear" w:color="auto" w:fill="auto"/>
            <w:tcMar>
              <w:top w:w="0" w:type="dxa"/>
              <w:left w:w="108" w:type="dxa"/>
              <w:bottom w:w="0" w:type="dxa"/>
              <w:right w:w="108" w:type="dxa"/>
            </w:tcMar>
            <w:vAlign w:val="center"/>
          </w:tcPr>
          <w:p w14:paraId="040BD881">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万元</w:t>
            </w:r>
          </w:p>
        </w:tc>
        <w:tc>
          <w:tcPr>
            <w:tcW w:w="993" w:type="dxa"/>
            <w:shd w:val="clear" w:color="auto" w:fill="auto"/>
            <w:tcMar>
              <w:top w:w="0" w:type="dxa"/>
              <w:left w:w="108" w:type="dxa"/>
              <w:bottom w:w="0" w:type="dxa"/>
              <w:right w:w="108" w:type="dxa"/>
            </w:tcMar>
            <w:vAlign w:val="center"/>
          </w:tcPr>
          <w:p w14:paraId="557D83DC">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Y≥100000</w:t>
            </w:r>
          </w:p>
        </w:tc>
        <w:tc>
          <w:tcPr>
            <w:tcW w:w="1491" w:type="dxa"/>
            <w:shd w:val="clear" w:color="auto" w:fill="auto"/>
            <w:tcMar>
              <w:top w:w="0" w:type="dxa"/>
              <w:left w:w="108" w:type="dxa"/>
              <w:bottom w:w="0" w:type="dxa"/>
              <w:right w:w="108" w:type="dxa"/>
            </w:tcMar>
            <w:vAlign w:val="center"/>
          </w:tcPr>
          <w:p w14:paraId="4B387533">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1000≤Y＜100000</w:t>
            </w:r>
          </w:p>
        </w:tc>
        <w:tc>
          <w:tcPr>
            <w:tcW w:w="1315" w:type="dxa"/>
            <w:shd w:val="clear" w:color="auto" w:fill="auto"/>
            <w:tcMar>
              <w:top w:w="0" w:type="dxa"/>
              <w:left w:w="108" w:type="dxa"/>
              <w:bottom w:w="0" w:type="dxa"/>
              <w:right w:w="108" w:type="dxa"/>
            </w:tcMar>
            <w:vAlign w:val="center"/>
          </w:tcPr>
          <w:p w14:paraId="4FF4FD0B">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100≤Y＜1000</w:t>
            </w:r>
          </w:p>
        </w:tc>
        <w:tc>
          <w:tcPr>
            <w:tcW w:w="908" w:type="dxa"/>
            <w:shd w:val="clear" w:color="auto" w:fill="auto"/>
            <w:tcMar>
              <w:top w:w="0" w:type="dxa"/>
              <w:left w:w="108" w:type="dxa"/>
              <w:bottom w:w="0" w:type="dxa"/>
              <w:right w:w="108" w:type="dxa"/>
            </w:tcMar>
            <w:vAlign w:val="center"/>
          </w:tcPr>
          <w:p w14:paraId="049C6ED5">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Y＜100</w:t>
            </w:r>
          </w:p>
        </w:tc>
      </w:tr>
      <w:tr w14:paraId="1C6949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560" w:type="dxa"/>
            <w:vMerge w:val="restart"/>
            <w:shd w:val="clear" w:color="auto" w:fill="auto"/>
            <w:tcMar>
              <w:top w:w="0" w:type="dxa"/>
              <w:left w:w="108" w:type="dxa"/>
              <w:bottom w:w="0" w:type="dxa"/>
              <w:right w:w="108" w:type="dxa"/>
            </w:tcMar>
            <w:vAlign w:val="center"/>
          </w:tcPr>
          <w:p w14:paraId="49B3F226">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pacing w:val="-12"/>
                <w:sz w:val="18"/>
                <w:szCs w:val="18"/>
                <w:highlight w:val="none"/>
              </w:rPr>
              <w:t>软件和信息技术服</w:t>
            </w:r>
            <w:r>
              <w:rPr>
                <w:rFonts w:hint="eastAsia" w:ascii="宋体" w:hAnsi="宋体" w:eastAsia="宋体" w:cs="宋体"/>
                <w:color w:val="auto"/>
                <w:sz w:val="18"/>
                <w:szCs w:val="18"/>
                <w:highlight w:val="none"/>
              </w:rPr>
              <w:t>务业</w:t>
            </w:r>
          </w:p>
        </w:tc>
        <w:tc>
          <w:tcPr>
            <w:tcW w:w="1281" w:type="dxa"/>
            <w:shd w:val="clear" w:color="auto" w:fill="auto"/>
            <w:tcMar>
              <w:top w:w="0" w:type="dxa"/>
              <w:left w:w="108" w:type="dxa"/>
              <w:bottom w:w="0" w:type="dxa"/>
              <w:right w:w="108" w:type="dxa"/>
            </w:tcMar>
            <w:vAlign w:val="center"/>
          </w:tcPr>
          <w:p w14:paraId="175D8801">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从业人员(X)</w:t>
            </w:r>
          </w:p>
        </w:tc>
        <w:tc>
          <w:tcPr>
            <w:tcW w:w="758" w:type="dxa"/>
            <w:shd w:val="clear" w:color="auto" w:fill="auto"/>
            <w:tcMar>
              <w:top w:w="0" w:type="dxa"/>
              <w:left w:w="108" w:type="dxa"/>
              <w:bottom w:w="0" w:type="dxa"/>
              <w:right w:w="108" w:type="dxa"/>
            </w:tcMar>
            <w:vAlign w:val="center"/>
          </w:tcPr>
          <w:p w14:paraId="7A375B50">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人</w:t>
            </w:r>
          </w:p>
        </w:tc>
        <w:tc>
          <w:tcPr>
            <w:tcW w:w="993" w:type="dxa"/>
            <w:shd w:val="clear" w:color="auto" w:fill="auto"/>
            <w:tcMar>
              <w:top w:w="0" w:type="dxa"/>
              <w:left w:w="108" w:type="dxa"/>
              <w:bottom w:w="0" w:type="dxa"/>
              <w:right w:w="108" w:type="dxa"/>
            </w:tcMar>
            <w:vAlign w:val="center"/>
          </w:tcPr>
          <w:p w14:paraId="38B6FACF">
            <w:pPr>
              <w:spacing w:line="240" w:lineRule="auto"/>
              <w:ind w:firstLine="0" w:firstLineChars="0"/>
              <w:jc w:val="center"/>
              <w:rPr>
                <w:rFonts w:ascii="宋体" w:hAnsi="宋体" w:eastAsia="宋体" w:cs="宋体"/>
                <w:bCs/>
                <w:color w:val="auto"/>
                <w:sz w:val="24"/>
                <w:highlight w:val="none"/>
              </w:rPr>
            </w:pPr>
            <w:r>
              <w:rPr>
                <w:rFonts w:hint="eastAsia" w:ascii="宋体" w:hAnsi="宋体" w:eastAsia="宋体" w:cs="宋体"/>
                <w:color w:val="auto"/>
                <w:sz w:val="18"/>
                <w:szCs w:val="18"/>
                <w:highlight w:val="none"/>
              </w:rPr>
              <w:t>X≥300</w:t>
            </w:r>
          </w:p>
        </w:tc>
        <w:tc>
          <w:tcPr>
            <w:tcW w:w="1491" w:type="dxa"/>
            <w:shd w:val="clear" w:color="auto" w:fill="auto"/>
            <w:tcMar>
              <w:top w:w="0" w:type="dxa"/>
              <w:left w:w="108" w:type="dxa"/>
              <w:bottom w:w="0" w:type="dxa"/>
              <w:right w:w="108" w:type="dxa"/>
            </w:tcMar>
            <w:vAlign w:val="center"/>
          </w:tcPr>
          <w:p w14:paraId="5EC09CA8">
            <w:pPr>
              <w:spacing w:line="240" w:lineRule="auto"/>
              <w:ind w:firstLine="0" w:firstLineChars="0"/>
              <w:jc w:val="center"/>
              <w:rPr>
                <w:rFonts w:ascii="宋体" w:hAnsi="宋体" w:eastAsia="宋体" w:cs="宋体"/>
                <w:bCs/>
                <w:color w:val="auto"/>
                <w:sz w:val="24"/>
                <w:highlight w:val="none"/>
              </w:rPr>
            </w:pPr>
            <w:r>
              <w:rPr>
                <w:rFonts w:hint="eastAsia" w:ascii="宋体" w:hAnsi="宋体" w:eastAsia="宋体" w:cs="宋体"/>
                <w:color w:val="auto"/>
                <w:sz w:val="18"/>
                <w:szCs w:val="18"/>
                <w:highlight w:val="none"/>
              </w:rPr>
              <w:t>100≤X＜300</w:t>
            </w:r>
          </w:p>
        </w:tc>
        <w:tc>
          <w:tcPr>
            <w:tcW w:w="1315" w:type="dxa"/>
            <w:shd w:val="clear" w:color="auto" w:fill="auto"/>
            <w:tcMar>
              <w:top w:w="0" w:type="dxa"/>
              <w:left w:w="108" w:type="dxa"/>
              <w:bottom w:w="0" w:type="dxa"/>
              <w:right w:w="108" w:type="dxa"/>
            </w:tcMar>
            <w:vAlign w:val="center"/>
          </w:tcPr>
          <w:p w14:paraId="1E46C17C">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10≤X＜100</w:t>
            </w:r>
          </w:p>
        </w:tc>
        <w:tc>
          <w:tcPr>
            <w:tcW w:w="908" w:type="dxa"/>
            <w:shd w:val="clear" w:color="auto" w:fill="auto"/>
            <w:tcMar>
              <w:top w:w="0" w:type="dxa"/>
              <w:left w:w="108" w:type="dxa"/>
              <w:bottom w:w="0" w:type="dxa"/>
              <w:right w:w="108" w:type="dxa"/>
            </w:tcMar>
            <w:vAlign w:val="center"/>
          </w:tcPr>
          <w:p w14:paraId="1B796D78">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X＜10</w:t>
            </w:r>
          </w:p>
        </w:tc>
      </w:tr>
      <w:tr w14:paraId="4B3A6B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560" w:type="dxa"/>
            <w:vMerge w:val="continue"/>
            <w:vAlign w:val="center"/>
          </w:tcPr>
          <w:p w14:paraId="0E3B0980">
            <w:pPr>
              <w:spacing w:line="240" w:lineRule="auto"/>
              <w:ind w:firstLine="0" w:firstLineChars="0"/>
              <w:rPr>
                <w:rFonts w:ascii="宋体" w:hAnsi="宋体" w:eastAsia="宋体" w:cs="宋体"/>
                <w:bCs/>
                <w:color w:val="auto"/>
                <w:sz w:val="24"/>
                <w:highlight w:val="none"/>
              </w:rPr>
            </w:pPr>
          </w:p>
        </w:tc>
        <w:tc>
          <w:tcPr>
            <w:tcW w:w="1281" w:type="dxa"/>
            <w:shd w:val="clear" w:color="auto" w:fill="auto"/>
            <w:tcMar>
              <w:top w:w="0" w:type="dxa"/>
              <w:left w:w="108" w:type="dxa"/>
              <w:bottom w:w="0" w:type="dxa"/>
              <w:right w:w="108" w:type="dxa"/>
            </w:tcMar>
            <w:vAlign w:val="center"/>
          </w:tcPr>
          <w:p w14:paraId="09E81CB7">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营业收入(Y)</w:t>
            </w:r>
          </w:p>
        </w:tc>
        <w:tc>
          <w:tcPr>
            <w:tcW w:w="758" w:type="dxa"/>
            <w:shd w:val="clear" w:color="auto" w:fill="auto"/>
            <w:tcMar>
              <w:top w:w="0" w:type="dxa"/>
              <w:left w:w="108" w:type="dxa"/>
              <w:bottom w:w="0" w:type="dxa"/>
              <w:right w:w="108" w:type="dxa"/>
            </w:tcMar>
            <w:vAlign w:val="center"/>
          </w:tcPr>
          <w:p w14:paraId="28A24836">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万元</w:t>
            </w:r>
          </w:p>
        </w:tc>
        <w:tc>
          <w:tcPr>
            <w:tcW w:w="993" w:type="dxa"/>
            <w:shd w:val="clear" w:color="auto" w:fill="auto"/>
            <w:tcMar>
              <w:top w:w="0" w:type="dxa"/>
              <w:left w:w="108" w:type="dxa"/>
              <w:bottom w:w="0" w:type="dxa"/>
              <w:right w:w="108" w:type="dxa"/>
            </w:tcMar>
            <w:vAlign w:val="center"/>
          </w:tcPr>
          <w:p w14:paraId="74B90E24">
            <w:pPr>
              <w:spacing w:line="240" w:lineRule="auto"/>
              <w:ind w:firstLine="0" w:firstLineChars="0"/>
              <w:jc w:val="center"/>
              <w:rPr>
                <w:rFonts w:ascii="宋体" w:hAnsi="宋体" w:eastAsia="宋体" w:cs="宋体"/>
                <w:bCs/>
                <w:color w:val="auto"/>
                <w:sz w:val="24"/>
                <w:highlight w:val="none"/>
              </w:rPr>
            </w:pPr>
            <w:r>
              <w:rPr>
                <w:rFonts w:hint="eastAsia" w:ascii="宋体" w:hAnsi="宋体" w:eastAsia="宋体" w:cs="宋体"/>
                <w:color w:val="auto"/>
                <w:sz w:val="18"/>
                <w:szCs w:val="18"/>
                <w:highlight w:val="none"/>
              </w:rPr>
              <w:t>Y≥10000</w:t>
            </w:r>
          </w:p>
        </w:tc>
        <w:tc>
          <w:tcPr>
            <w:tcW w:w="1491" w:type="dxa"/>
            <w:shd w:val="clear" w:color="auto" w:fill="auto"/>
            <w:tcMar>
              <w:top w:w="0" w:type="dxa"/>
              <w:left w:w="108" w:type="dxa"/>
              <w:bottom w:w="0" w:type="dxa"/>
              <w:right w:w="108" w:type="dxa"/>
            </w:tcMar>
            <w:vAlign w:val="center"/>
          </w:tcPr>
          <w:p w14:paraId="7A6062B3">
            <w:pPr>
              <w:spacing w:line="240" w:lineRule="auto"/>
              <w:ind w:firstLine="0" w:firstLineChars="0"/>
              <w:jc w:val="center"/>
              <w:rPr>
                <w:rFonts w:ascii="宋体" w:hAnsi="宋体" w:eastAsia="宋体" w:cs="宋体"/>
                <w:bCs/>
                <w:color w:val="auto"/>
                <w:sz w:val="24"/>
                <w:highlight w:val="none"/>
              </w:rPr>
            </w:pPr>
            <w:r>
              <w:rPr>
                <w:rFonts w:hint="eastAsia" w:ascii="宋体" w:hAnsi="宋体" w:eastAsia="宋体" w:cs="宋体"/>
                <w:color w:val="auto"/>
                <w:sz w:val="18"/>
                <w:szCs w:val="18"/>
                <w:highlight w:val="none"/>
              </w:rPr>
              <w:t>1000≤Y＜10000</w:t>
            </w:r>
          </w:p>
        </w:tc>
        <w:tc>
          <w:tcPr>
            <w:tcW w:w="1315" w:type="dxa"/>
            <w:shd w:val="clear" w:color="auto" w:fill="auto"/>
            <w:tcMar>
              <w:top w:w="0" w:type="dxa"/>
              <w:left w:w="108" w:type="dxa"/>
              <w:bottom w:w="0" w:type="dxa"/>
              <w:right w:w="108" w:type="dxa"/>
            </w:tcMar>
            <w:vAlign w:val="center"/>
          </w:tcPr>
          <w:p w14:paraId="5EB77552">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50≤Y＜1000</w:t>
            </w:r>
          </w:p>
        </w:tc>
        <w:tc>
          <w:tcPr>
            <w:tcW w:w="908" w:type="dxa"/>
            <w:shd w:val="clear" w:color="auto" w:fill="auto"/>
            <w:tcMar>
              <w:top w:w="0" w:type="dxa"/>
              <w:left w:w="108" w:type="dxa"/>
              <w:bottom w:w="0" w:type="dxa"/>
              <w:right w:w="108" w:type="dxa"/>
            </w:tcMar>
            <w:vAlign w:val="center"/>
          </w:tcPr>
          <w:p w14:paraId="3F1CB437">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Y＜50</w:t>
            </w:r>
          </w:p>
        </w:tc>
      </w:tr>
      <w:tr w14:paraId="7664BC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560" w:type="dxa"/>
            <w:vMerge w:val="restart"/>
            <w:shd w:val="clear" w:color="auto" w:fill="auto"/>
            <w:tcMar>
              <w:top w:w="0" w:type="dxa"/>
              <w:left w:w="108" w:type="dxa"/>
              <w:bottom w:w="0" w:type="dxa"/>
              <w:right w:w="108" w:type="dxa"/>
            </w:tcMar>
            <w:vAlign w:val="center"/>
          </w:tcPr>
          <w:p w14:paraId="1B31B58B">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房地产开发经营</w:t>
            </w:r>
          </w:p>
        </w:tc>
        <w:tc>
          <w:tcPr>
            <w:tcW w:w="1281" w:type="dxa"/>
            <w:shd w:val="clear" w:color="auto" w:fill="auto"/>
            <w:tcMar>
              <w:top w:w="0" w:type="dxa"/>
              <w:left w:w="108" w:type="dxa"/>
              <w:bottom w:w="0" w:type="dxa"/>
              <w:right w:w="108" w:type="dxa"/>
            </w:tcMar>
            <w:vAlign w:val="center"/>
          </w:tcPr>
          <w:p w14:paraId="5D0E64EB">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营业收入(Y)</w:t>
            </w:r>
          </w:p>
        </w:tc>
        <w:tc>
          <w:tcPr>
            <w:tcW w:w="758" w:type="dxa"/>
            <w:shd w:val="clear" w:color="auto" w:fill="auto"/>
            <w:tcMar>
              <w:top w:w="0" w:type="dxa"/>
              <w:left w:w="108" w:type="dxa"/>
              <w:bottom w:w="0" w:type="dxa"/>
              <w:right w:w="108" w:type="dxa"/>
            </w:tcMar>
            <w:vAlign w:val="center"/>
          </w:tcPr>
          <w:p w14:paraId="0C4279E5">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万元</w:t>
            </w:r>
          </w:p>
        </w:tc>
        <w:tc>
          <w:tcPr>
            <w:tcW w:w="993" w:type="dxa"/>
            <w:shd w:val="clear" w:color="auto" w:fill="auto"/>
            <w:tcMar>
              <w:top w:w="0" w:type="dxa"/>
              <w:left w:w="108" w:type="dxa"/>
              <w:bottom w:w="0" w:type="dxa"/>
              <w:right w:w="108" w:type="dxa"/>
            </w:tcMar>
            <w:vAlign w:val="center"/>
          </w:tcPr>
          <w:p w14:paraId="6D4AF698">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Y≥200000</w:t>
            </w:r>
          </w:p>
        </w:tc>
        <w:tc>
          <w:tcPr>
            <w:tcW w:w="1491" w:type="dxa"/>
            <w:shd w:val="clear" w:color="auto" w:fill="auto"/>
            <w:tcMar>
              <w:top w:w="0" w:type="dxa"/>
              <w:left w:w="108" w:type="dxa"/>
              <w:bottom w:w="0" w:type="dxa"/>
              <w:right w:w="108" w:type="dxa"/>
            </w:tcMar>
            <w:vAlign w:val="center"/>
          </w:tcPr>
          <w:p w14:paraId="6FE30C18">
            <w:pPr>
              <w:spacing w:line="240" w:lineRule="auto"/>
              <w:ind w:firstLine="0" w:firstLineChars="0"/>
              <w:jc w:val="center"/>
              <w:rPr>
                <w:rFonts w:ascii="宋体" w:hAnsi="宋体" w:eastAsia="宋体" w:cs="宋体"/>
                <w:bCs/>
                <w:color w:val="auto"/>
                <w:sz w:val="24"/>
                <w:highlight w:val="none"/>
              </w:rPr>
            </w:pPr>
            <w:r>
              <w:rPr>
                <w:rFonts w:hint="eastAsia" w:ascii="宋体" w:hAnsi="宋体" w:eastAsia="宋体" w:cs="宋体"/>
                <w:color w:val="auto"/>
                <w:sz w:val="18"/>
                <w:szCs w:val="18"/>
                <w:highlight w:val="none"/>
              </w:rPr>
              <w:t> 1000≤Y＜200000</w:t>
            </w:r>
          </w:p>
        </w:tc>
        <w:tc>
          <w:tcPr>
            <w:tcW w:w="1315" w:type="dxa"/>
            <w:shd w:val="clear" w:color="auto" w:fill="auto"/>
            <w:tcMar>
              <w:top w:w="0" w:type="dxa"/>
              <w:left w:w="108" w:type="dxa"/>
              <w:bottom w:w="0" w:type="dxa"/>
              <w:right w:w="108" w:type="dxa"/>
            </w:tcMar>
            <w:vAlign w:val="center"/>
          </w:tcPr>
          <w:p w14:paraId="7453DDB1">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100≤Y＜1000</w:t>
            </w:r>
          </w:p>
        </w:tc>
        <w:tc>
          <w:tcPr>
            <w:tcW w:w="908" w:type="dxa"/>
            <w:shd w:val="clear" w:color="auto" w:fill="auto"/>
            <w:tcMar>
              <w:top w:w="0" w:type="dxa"/>
              <w:left w:w="108" w:type="dxa"/>
              <w:bottom w:w="0" w:type="dxa"/>
              <w:right w:w="108" w:type="dxa"/>
            </w:tcMar>
            <w:vAlign w:val="center"/>
          </w:tcPr>
          <w:p w14:paraId="506CBB92">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Y＜100</w:t>
            </w:r>
          </w:p>
        </w:tc>
      </w:tr>
      <w:tr w14:paraId="394D6C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560" w:type="dxa"/>
            <w:vMerge w:val="continue"/>
            <w:vAlign w:val="center"/>
          </w:tcPr>
          <w:p w14:paraId="118D8F1E">
            <w:pPr>
              <w:spacing w:line="240" w:lineRule="auto"/>
              <w:ind w:firstLine="0" w:firstLineChars="0"/>
              <w:rPr>
                <w:rFonts w:ascii="宋体" w:hAnsi="宋体" w:eastAsia="宋体" w:cs="宋体"/>
                <w:bCs/>
                <w:color w:val="auto"/>
                <w:sz w:val="24"/>
                <w:highlight w:val="none"/>
              </w:rPr>
            </w:pPr>
          </w:p>
        </w:tc>
        <w:tc>
          <w:tcPr>
            <w:tcW w:w="1281" w:type="dxa"/>
            <w:shd w:val="clear" w:color="auto" w:fill="auto"/>
            <w:tcMar>
              <w:top w:w="0" w:type="dxa"/>
              <w:left w:w="108" w:type="dxa"/>
              <w:bottom w:w="0" w:type="dxa"/>
              <w:right w:w="108" w:type="dxa"/>
            </w:tcMar>
            <w:vAlign w:val="center"/>
          </w:tcPr>
          <w:p w14:paraId="7EB82512">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资产总额(Z)</w:t>
            </w:r>
          </w:p>
        </w:tc>
        <w:tc>
          <w:tcPr>
            <w:tcW w:w="758" w:type="dxa"/>
            <w:shd w:val="clear" w:color="auto" w:fill="auto"/>
            <w:tcMar>
              <w:top w:w="0" w:type="dxa"/>
              <w:left w:w="108" w:type="dxa"/>
              <w:bottom w:w="0" w:type="dxa"/>
              <w:right w:w="108" w:type="dxa"/>
            </w:tcMar>
            <w:vAlign w:val="center"/>
          </w:tcPr>
          <w:p w14:paraId="79732610">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万元</w:t>
            </w:r>
          </w:p>
        </w:tc>
        <w:tc>
          <w:tcPr>
            <w:tcW w:w="993" w:type="dxa"/>
            <w:shd w:val="clear" w:color="auto" w:fill="auto"/>
            <w:tcMar>
              <w:top w:w="0" w:type="dxa"/>
              <w:left w:w="108" w:type="dxa"/>
              <w:bottom w:w="0" w:type="dxa"/>
              <w:right w:w="108" w:type="dxa"/>
            </w:tcMar>
            <w:vAlign w:val="center"/>
          </w:tcPr>
          <w:p w14:paraId="51881DD6">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Z≥10000</w:t>
            </w:r>
          </w:p>
        </w:tc>
        <w:tc>
          <w:tcPr>
            <w:tcW w:w="1491" w:type="dxa"/>
            <w:shd w:val="clear" w:color="auto" w:fill="auto"/>
            <w:tcMar>
              <w:top w:w="0" w:type="dxa"/>
              <w:left w:w="108" w:type="dxa"/>
              <w:bottom w:w="0" w:type="dxa"/>
              <w:right w:w="108" w:type="dxa"/>
            </w:tcMar>
            <w:vAlign w:val="center"/>
          </w:tcPr>
          <w:p w14:paraId="6DED757A">
            <w:pPr>
              <w:spacing w:line="240" w:lineRule="auto"/>
              <w:ind w:firstLine="0" w:firstLineChars="0"/>
              <w:jc w:val="center"/>
              <w:rPr>
                <w:rFonts w:ascii="宋体" w:hAnsi="宋体" w:eastAsia="宋体" w:cs="宋体"/>
                <w:bCs/>
                <w:color w:val="auto"/>
                <w:sz w:val="24"/>
                <w:highlight w:val="none"/>
              </w:rPr>
            </w:pPr>
            <w:r>
              <w:rPr>
                <w:rFonts w:hint="eastAsia" w:ascii="宋体" w:hAnsi="宋体" w:eastAsia="宋体" w:cs="宋体"/>
                <w:color w:val="auto"/>
                <w:sz w:val="18"/>
                <w:szCs w:val="18"/>
                <w:highlight w:val="none"/>
              </w:rPr>
              <w:t>5000≤Z＜10000</w:t>
            </w:r>
          </w:p>
        </w:tc>
        <w:tc>
          <w:tcPr>
            <w:tcW w:w="1315" w:type="dxa"/>
            <w:shd w:val="clear" w:color="auto" w:fill="auto"/>
            <w:tcMar>
              <w:top w:w="0" w:type="dxa"/>
              <w:left w:w="108" w:type="dxa"/>
              <w:bottom w:w="0" w:type="dxa"/>
              <w:right w:w="108" w:type="dxa"/>
            </w:tcMar>
            <w:vAlign w:val="center"/>
          </w:tcPr>
          <w:p w14:paraId="49C0C840">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2000≤Z＜5000  </w:t>
            </w:r>
          </w:p>
        </w:tc>
        <w:tc>
          <w:tcPr>
            <w:tcW w:w="908" w:type="dxa"/>
            <w:shd w:val="clear" w:color="auto" w:fill="auto"/>
            <w:tcMar>
              <w:top w:w="0" w:type="dxa"/>
              <w:left w:w="108" w:type="dxa"/>
              <w:bottom w:w="0" w:type="dxa"/>
              <w:right w:w="108" w:type="dxa"/>
            </w:tcMar>
            <w:vAlign w:val="center"/>
          </w:tcPr>
          <w:p w14:paraId="03CF0DB4">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Z＜2000</w:t>
            </w:r>
          </w:p>
        </w:tc>
      </w:tr>
      <w:tr w14:paraId="36C713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560" w:type="dxa"/>
            <w:vMerge w:val="restart"/>
            <w:shd w:val="clear" w:color="auto" w:fill="auto"/>
            <w:tcMar>
              <w:top w:w="0" w:type="dxa"/>
              <w:left w:w="108" w:type="dxa"/>
              <w:bottom w:w="0" w:type="dxa"/>
              <w:right w:w="108" w:type="dxa"/>
            </w:tcMar>
            <w:vAlign w:val="center"/>
          </w:tcPr>
          <w:p w14:paraId="6A4F5B8D">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物业管理</w:t>
            </w:r>
          </w:p>
        </w:tc>
        <w:tc>
          <w:tcPr>
            <w:tcW w:w="1281" w:type="dxa"/>
            <w:shd w:val="clear" w:color="auto" w:fill="auto"/>
            <w:tcMar>
              <w:top w:w="0" w:type="dxa"/>
              <w:left w:w="108" w:type="dxa"/>
              <w:bottom w:w="0" w:type="dxa"/>
              <w:right w:w="108" w:type="dxa"/>
            </w:tcMar>
            <w:vAlign w:val="center"/>
          </w:tcPr>
          <w:p w14:paraId="0178123C">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从业人员(X)</w:t>
            </w:r>
          </w:p>
        </w:tc>
        <w:tc>
          <w:tcPr>
            <w:tcW w:w="758" w:type="dxa"/>
            <w:shd w:val="clear" w:color="auto" w:fill="auto"/>
            <w:tcMar>
              <w:top w:w="0" w:type="dxa"/>
              <w:left w:w="108" w:type="dxa"/>
              <w:bottom w:w="0" w:type="dxa"/>
              <w:right w:w="108" w:type="dxa"/>
            </w:tcMar>
            <w:vAlign w:val="center"/>
          </w:tcPr>
          <w:p w14:paraId="76602B63">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人</w:t>
            </w:r>
          </w:p>
        </w:tc>
        <w:tc>
          <w:tcPr>
            <w:tcW w:w="993" w:type="dxa"/>
            <w:shd w:val="clear" w:color="auto" w:fill="auto"/>
            <w:tcMar>
              <w:top w:w="0" w:type="dxa"/>
              <w:left w:w="108" w:type="dxa"/>
              <w:bottom w:w="0" w:type="dxa"/>
              <w:right w:w="108" w:type="dxa"/>
            </w:tcMar>
            <w:vAlign w:val="center"/>
          </w:tcPr>
          <w:p w14:paraId="626D5985">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X≥1000</w:t>
            </w:r>
          </w:p>
        </w:tc>
        <w:tc>
          <w:tcPr>
            <w:tcW w:w="1491" w:type="dxa"/>
            <w:shd w:val="clear" w:color="auto" w:fill="auto"/>
            <w:tcMar>
              <w:top w:w="0" w:type="dxa"/>
              <w:left w:w="108" w:type="dxa"/>
              <w:bottom w:w="0" w:type="dxa"/>
              <w:right w:w="108" w:type="dxa"/>
            </w:tcMar>
            <w:vAlign w:val="center"/>
          </w:tcPr>
          <w:p w14:paraId="18101F8E">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300≤X＜1000</w:t>
            </w:r>
          </w:p>
        </w:tc>
        <w:tc>
          <w:tcPr>
            <w:tcW w:w="1315" w:type="dxa"/>
            <w:shd w:val="clear" w:color="auto" w:fill="auto"/>
            <w:tcMar>
              <w:top w:w="0" w:type="dxa"/>
              <w:left w:w="108" w:type="dxa"/>
              <w:bottom w:w="0" w:type="dxa"/>
              <w:right w:w="108" w:type="dxa"/>
            </w:tcMar>
            <w:vAlign w:val="center"/>
          </w:tcPr>
          <w:p w14:paraId="3D975511">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100≤X＜300</w:t>
            </w:r>
          </w:p>
        </w:tc>
        <w:tc>
          <w:tcPr>
            <w:tcW w:w="908" w:type="dxa"/>
            <w:shd w:val="clear" w:color="auto" w:fill="auto"/>
            <w:tcMar>
              <w:top w:w="0" w:type="dxa"/>
              <w:left w:w="108" w:type="dxa"/>
              <w:bottom w:w="0" w:type="dxa"/>
              <w:right w:w="108" w:type="dxa"/>
            </w:tcMar>
            <w:vAlign w:val="center"/>
          </w:tcPr>
          <w:p w14:paraId="71A735C7">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X＜100</w:t>
            </w:r>
          </w:p>
        </w:tc>
      </w:tr>
      <w:tr w14:paraId="024983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560" w:type="dxa"/>
            <w:vMerge w:val="continue"/>
            <w:vAlign w:val="center"/>
          </w:tcPr>
          <w:p w14:paraId="0E52202A">
            <w:pPr>
              <w:spacing w:line="240" w:lineRule="auto"/>
              <w:ind w:firstLine="0" w:firstLineChars="0"/>
              <w:rPr>
                <w:rFonts w:ascii="宋体" w:hAnsi="宋体" w:eastAsia="宋体" w:cs="宋体"/>
                <w:bCs/>
                <w:color w:val="auto"/>
                <w:sz w:val="24"/>
                <w:highlight w:val="none"/>
              </w:rPr>
            </w:pPr>
          </w:p>
        </w:tc>
        <w:tc>
          <w:tcPr>
            <w:tcW w:w="1281" w:type="dxa"/>
            <w:shd w:val="clear" w:color="auto" w:fill="auto"/>
            <w:tcMar>
              <w:top w:w="0" w:type="dxa"/>
              <w:left w:w="108" w:type="dxa"/>
              <w:bottom w:w="0" w:type="dxa"/>
              <w:right w:w="108" w:type="dxa"/>
            </w:tcMar>
            <w:vAlign w:val="center"/>
          </w:tcPr>
          <w:p w14:paraId="7FA8B00A">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营业收入(Y)</w:t>
            </w:r>
          </w:p>
        </w:tc>
        <w:tc>
          <w:tcPr>
            <w:tcW w:w="758" w:type="dxa"/>
            <w:shd w:val="clear" w:color="auto" w:fill="auto"/>
            <w:tcMar>
              <w:top w:w="0" w:type="dxa"/>
              <w:left w:w="108" w:type="dxa"/>
              <w:bottom w:w="0" w:type="dxa"/>
              <w:right w:w="108" w:type="dxa"/>
            </w:tcMar>
            <w:vAlign w:val="center"/>
          </w:tcPr>
          <w:p w14:paraId="05766619">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万元</w:t>
            </w:r>
          </w:p>
        </w:tc>
        <w:tc>
          <w:tcPr>
            <w:tcW w:w="993" w:type="dxa"/>
            <w:shd w:val="clear" w:color="auto" w:fill="auto"/>
            <w:tcMar>
              <w:top w:w="0" w:type="dxa"/>
              <w:left w:w="108" w:type="dxa"/>
              <w:bottom w:w="0" w:type="dxa"/>
              <w:right w:w="108" w:type="dxa"/>
            </w:tcMar>
            <w:vAlign w:val="center"/>
          </w:tcPr>
          <w:p w14:paraId="2A37874E">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Y≥5000</w:t>
            </w:r>
          </w:p>
        </w:tc>
        <w:tc>
          <w:tcPr>
            <w:tcW w:w="1491" w:type="dxa"/>
            <w:shd w:val="clear" w:color="auto" w:fill="auto"/>
            <w:tcMar>
              <w:top w:w="0" w:type="dxa"/>
              <w:left w:w="108" w:type="dxa"/>
              <w:bottom w:w="0" w:type="dxa"/>
              <w:right w:w="108" w:type="dxa"/>
            </w:tcMar>
            <w:vAlign w:val="center"/>
          </w:tcPr>
          <w:p w14:paraId="2F4E73FC">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1000≤Y＜5000</w:t>
            </w:r>
          </w:p>
        </w:tc>
        <w:tc>
          <w:tcPr>
            <w:tcW w:w="1315" w:type="dxa"/>
            <w:shd w:val="clear" w:color="auto" w:fill="auto"/>
            <w:tcMar>
              <w:top w:w="0" w:type="dxa"/>
              <w:left w:w="108" w:type="dxa"/>
              <w:bottom w:w="0" w:type="dxa"/>
              <w:right w:w="108" w:type="dxa"/>
            </w:tcMar>
            <w:vAlign w:val="center"/>
          </w:tcPr>
          <w:p w14:paraId="6FC44A4F">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500≤Y＜1000</w:t>
            </w:r>
          </w:p>
        </w:tc>
        <w:tc>
          <w:tcPr>
            <w:tcW w:w="908" w:type="dxa"/>
            <w:shd w:val="clear" w:color="auto" w:fill="auto"/>
            <w:tcMar>
              <w:top w:w="0" w:type="dxa"/>
              <w:left w:w="108" w:type="dxa"/>
              <w:bottom w:w="0" w:type="dxa"/>
              <w:right w:w="108" w:type="dxa"/>
            </w:tcMar>
            <w:vAlign w:val="center"/>
          </w:tcPr>
          <w:p w14:paraId="5863A8A4">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Y＜500</w:t>
            </w:r>
          </w:p>
        </w:tc>
      </w:tr>
      <w:tr w14:paraId="271AC3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560" w:type="dxa"/>
            <w:vMerge w:val="restart"/>
            <w:shd w:val="clear" w:color="auto" w:fill="auto"/>
            <w:tcMar>
              <w:top w:w="0" w:type="dxa"/>
              <w:left w:w="108" w:type="dxa"/>
              <w:bottom w:w="0" w:type="dxa"/>
              <w:right w:w="108" w:type="dxa"/>
            </w:tcMar>
            <w:vAlign w:val="center"/>
          </w:tcPr>
          <w:p w14:paraId="595242B6">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租赁和商务服务业</w:t>
            </w:r>
          </w:p>
        </w:tc>
        <w:tc>
          <w:tcPr>
            <w:tcW w:w="1281" w:type="dxa"/>
            <w:shd w:val="clear" w:color="auto" w:fill="auto"/>
            <w:tcMar>
              <w:top w:w="0" w:type="dxa"/>
              <w:left w:w="108" w:type="dxa"/>
              <w:bottom w:w="0" w:type="dxa"/>
              <w:right w:w="108" w:type="dxa"/>
            </w:tcMar>
            <w:vAlign w:val="center"/>
          </w:tcPr>
          <w:p w14:paraId="43D627E5">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从业人员(X)</w:t>
            </w:r>
          </w:p>
        </w:tc>
        <w:tc>
          <w:tcPr>
            <w:tcW w:w="758" w:type="dxa"/>
            <w:shd w:val="clear" w:color="auto" w:fill="auto"/>
            <w:tcMar>
              <w:top w:w="0" w:type="dxa"/>
              <w:left w:w="108" w:type="dxa"/>
              <w:bottom w:w="0" w:type="dxa"/>
              <w:right w:w="108" w:type="dxa"/>
            </w:tcMar>
            <w:vAlign w:val="center"/>
          </w:tcPr>
          <w:p w14:paraId="09C55CA1">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人</w:t>
            </w:r>
          </w:p>
        </w:tc>
        <w:tc>
          <w:tcPr>
            <w:tcW w:w="993" w:type="dxa"/>
            <w:shd w:val="clear" w:color="auto" w:fill="auto"/>
            <w:tcMar>
              <w:top w:w="0" w:type="dxa"/>
              <w:left w:w="108" w:type="dxa"/>
              <w:bottom w:w="0" w:type="dxa"/>
              <w:right w:w="108" w:type="dxa"/>
            </w:tcMar>
            <w:vAlign w:val="center"/>
          </w:tcPr>
          <w:p w14:paraId="737F3732">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X≥300</w:t>
            </w:r>
          </w:p>
        </w:tc>
        <w:tc>
          <w:tcPr>
            <w:tcW w:w="1491" w:type="dxa"/>
            <w:shd w:val="clear" w:color="auto" w:fill="auto"/>
            <w:tcMar>
              <w:top w:w="0" w:type="dxa"/>
              <w:left w:w="108" w:type="dxa"/>
              <w:bottom w:w="0" w:type="dxa"/>
              <w:right w:w="108" w:type="dxa"/>
            </w:tcMar>
            <w:vAlign w:val="center"/>
          </w:tcPr>
          <w:p w14:paraId="72756788">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100≤X＜300</w:t>
            </w:r>
          </w:p>
        </w:tc>
        <w:tc>
          <w:tcPr>
            <w:tcW w:w="1315" w:type="dxa"/>
            <w:shd w:val="clear" w:color="auto" w:fill="auto"/>
            <w:tcMar>
              <w:top w:w="0" w:type="dxa"/>
              <w:left w:w="108" w:type="dxa"/>
              <w:bottom w:w="0" w:type="dxa"/>
              <w:right w:w="108" w:type="dxa"/>
            </w:tcMar>
            <w:vAlign w:val="center"/>
          </w:tcPr>
          <w:p w14:paraId="1D11BBAD">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10≤X＜100</w:t>
            </w:r>
          </w:p>
        </w:tc>
        <w:tc>
          <w:tcPr>
            <w:tcW w:w="908" w:type="dxa"/>
            <w:shd w:val="clear" w:color="auto" w:fill="auto"/>
            <w:tcMar>
              <w:top w:w="0" w:type="dxa"/>
              <w:left w:w="108" w:type="dxa"/>
              <w:bottom w:w="0" w:type="dxa"/>
              <w:right w:w="108" w:type="dxa"/>
            </w:tcMar>
            <w:vAlign w:val="center"/>
          </w:tcPr>
          <w:p w14:paraId="4C59ABA5">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X＜10</w:t>
            </w:r>
          </w:p>
        </w:tc>
      </w:tr>
      <w:tr w14:paraId="374F83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560" w:type="dxa"/>
            <w:vMerge w:val="continue"/>
            <w:vAlign w:val="center"/>
          </w:tcPr>
          <w:p w14:paraId="48DBB6B6">
            <w:pPr>
              <w:spacing w:line="240" w:lineRule="auto"/>
              <w:ind w:firstLine="0" w:firstLineChars="0"/>
              <w:rPr>
                <w:rFonts w:ascii="宋体" w:hAnsi="宋体" w:eastAsia="宋体" w:cs="宋体"/>
                <w:bCs/>
                <w:color w:val="auto"/>
                <w:sz w:val="24"/>
                <w:highlight w:val="none"/>
              </w:rPr>
            </w:pPr>
          </w:p>
        </w:tc>
        <w:tc>
          <w:tcPr>
            <w:tcW w:w="1281" w:type="dxa"/>
            <w:shd w:val="clear" w:color="auto" w:fill="auto"/>
            <w:tcMar>
              <w:top w:w="0" w:type="dxa"/>
              <w:left w:w="108" w:type="dxa"/>
              <w:bottom w:w="0" w:type="dxa"/>
              <w:right w:w="108" w:type="dxa"/>
            </w:tcMar>
            <w:vAlign w:val="center"/>
          </w:tcPr>
          <w:p w14:paraId="2FFD4CDE">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资产总额(Z)</w:t>
            </w:r>
          </w:p>
        </w:tc>
        <w:tc>
          <w:tcPr>
            <w:tcW w:w="758" w:type="dxa"/>
            <w:shd w:val="clear" w:color="auto" w:fill="auto"/>
            <w:tcMar>
              <w:top w:w="0" w:type="dxa"/>
              <w:left w:w="108" w:type="dxa"/>
              <w:bottom w:w="0" w:type="dxa"/>
              <w:right w:w="108" w:type="dxa"/>
            </w:tcMar>
            <w:vAlign w:val="center"/>
          </w:tcPr>
          <w:p w14:paraId="237AB7F1">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万元</w:t>
            </w:r>
          </w:p>
        </w:tc>
        <w:tc>
          <w:tcPr>
            <w:tcW w:w="993" w:type="dxa"/>
            <w:shd w:val="clear" w:color="auto" w:fill="auto"/>
            <w:tcMar>
              <w:top w:w="0" w:type="dxa"/>
              <w:left w:w="108" w:type="dxa"/>
              <w:bottom w:w="0" w:type="dxa"/>
              <w:right w:w="108" w:type="dxa"/>
            </w:tcMar>
            <w:vAlign w:val="center"/>
          </w:tcPr>
          <w:p w14:paraId="35EF637B">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Z≥120000</w:t>
            </w:r>
          </w:p>
        </w:tc>
        <w:tc>
          <w:tcPr>
            <w:tcW w:w="1491" w:type="dxa"/>
            <w:shd w:val="clear" w:color="auto" w:fill="auto"/>
            <w:tcMar>
              <w:top w:w="0" w:type="dxa"/>
              <w:left w:w="108" w:type="dxa"/>
              <w:bottom w:w="0" w:type="dxa"/>
              <w:right w:w="108" w:type="dxa"/>
            </w:tcMar>
            <w:vAlign w:val="center"/>
          </w:tcPr>
          <w:p w14:paraId="3BC831BD">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8000≤Z＜120000</w:t>
            </w:r>
          </w:p>
        </w:tc>
        <w:tc>
          <w:tcPr>
            <w:tcW w:w="1315" w:type="dxa"/>
            <w:shd w:val="clear" w:color="auto" w:fill="auto"/>
            <w:tcMar>
              <w:top w:w="0" w:type="dxa"/>
              <w:left w:w="108" w:type="dxa"/>
              <w:bottom w:w="0" w:type="dxa"/>
              <w:right w:w="108" w:type="dxa"/>
            </w:tcMar>
            <w:vAlign w:val="center"/>
          </w:tcPr>
          <w:p w14:paraId="0A28E127">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100≤Z＜8000</w:t>
            </w:r>
          </w:p>
        </w:tc>
        <w:tc>
          <w:tcPr>
            <w:tcW w:w="908" w:type="dxa"/>
            <w:shd w:val="clear" w:color="auto" w:fill="auto"/>
            <w:tcMar>
              <w:top w:w="0" w:type="dxa"/>
              <w:left w:w="108" w:type="dxa"/>
              <w:bottom w:w="0" w:type="dxa"/>
              <w:right w:w="108" w:type="dxa"/>
            </w:tcMar>
            <w:vAlign w:val="center"/>
          </w:tcPr>
          <w:p w14:paraId="5D523F34">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Z＜100</w:t>
            </w:r>
          </w:p>
        </w:tc>
      </w:tr>
      <w:tr w14:paraId="4F7887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shd w:val="clear" w:color="auto" w:fill="auto"/>
            <w:tcMar>
              <w:top w:w="0" w:type="dxa"/>
              <w:left w:w="108" w:type="dxa"/>
              <w:bottom w:w="0" w:type="dxa"/>
              <w:right w:w="108" w:type="dxa"/>
            </w:tcMar>
            <w:vAlign w:val="center"/>
          </w:tcPr>
          <w:p w14:paraId="00844935">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其他未列明行业 *</w:t>
            </w:r>
          </w:p>
        </w:tc>
        <w:tc>
          <w:tcPr>
            <w:tcW w:w="1281" w:type="dxa"/>
            <w:shd w:val="clear" w:color="auto" w:fill="auto"/>
            <w:tcMar>
              <w:top w:w="0" w:type="dxa"/>
              <w:left w:w="108" w:type="dxa"/>
              <w:bottom w:w="0" w:type="dxa"/>
              <w:right w:w="108" w:type="dxa"/>
            </w:tcMar>
            <w:vAlign w:val="center"/>
          </w:tcPr>
          <w:p w14:paraId="6DF91546">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从业人员(X)</w:t>
            </w:r>
          </w:p>
        </w:tc>
        <w:tc>
          <w:tcPr>
            <w:tcW w:w="758" w:type="dxa"/>
            <w:shd w:val="clear" w:color="auto" w:fill="auto"/>
            <w:tcMar>
              <w:top w:w="0" w:type="dxa"/>
              <w:left w:w="108" w:type="dxa"/>
              <w:bottom w:w="0" w:type="dxa"/>
              <w:right w:w="108" w:type="dxa"/>
            </w:tcMar>
            <w:vAlign w:val="center"/>
          </w:tcPr>
          <w:p w14:paraId="07B1FFEB">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人</w:t>
            </w:r>
          </w:p>
        </w:tc>
        <w:tc>
          <w:tcPr>
            <w:tcW w:w="993" w:type="dxa"/>
            <w:shd w:val="clear" w:color="auto" w:fill="auto"/>
            <w:tcMar>
              <w:top w:w="0" w:type="dxa"/>
              <w:left w:w="108" w:type="dxa"/>
              <w:bottom w:w="0" w:type="dxa"/>
              <w:right w:w="108" w:type="dxa"/>
            </w:tcMar>
            <w:vAlign w:val="center"/>
          </w:tcPr>
          <w:p w14:paraId="52B37F29">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X≥300</w:t>
            </w:r>
          </w:p>
        </w:tc>
        <w:tc>
          <w:tcPr>
            <w:tcW w:w="1491" w:type="dxa"/>
            <w:shd w:val="clear" w:color="auto" w:fill="auto"/>
            <w:tcMar>
              <w:top w:w="0" w:type="dxa"/>
              <w:left w:w="108" w:type="dxa"/>
              <w:bottom w:w="0" w:type="dxa"/>
              <w:right w:w="108" w:type="dxa"/>
            </w:tcMar>
            <w:vAlign w:val="center"/>
          </w:tcPr>
          <w:p w14:paraId="4B2228DA">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100≤X＜300</w:t>
            </w:r>
          </w:p>
        </w:tc>
        <w:tc>
          <w:tcPr>
            <w:tcW w:w="1315" w:type="dxa"/>
            <w:shd w:val="clear" w:color="auto" w:fill="auto"/>
            <w:tcMar>
              <w:top w:w="0" w:type="dxa"/>
              <w:left w:w="108" w:type="dxa"/>
              <w:bottom w:w="0" w:type="dxa"/>
              <w:right w:w="108" w:type="dxa"/>
            </w:tcMar>
            <w:vAlign w:val="center"/>
          </w:tcPr>
          <w:p w14:paraId="78860EAE">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10≤X＜100</w:t>
            </w:r>
          </w:p>
        </w:tc>
        <w:tc>
          <w:tcPr>
            <w:tcW w:w="908" w:type="dxa"/>
            <w:shd w:val="clear" w:color="auto" w:fill="auto"/>
            <w:tcMar>
              <w:top w:w="0" w:type="dxa"/>
              <w:left w:w="108" w:type="dxa"/>
              <w:bottom w:w="0" w:type="dxa"/>
              <w:right w:w="108" w:type="dxa"/>
            </w:tcMar>
            <w:vAlign w:val="center"/>
          </w:tcPr>
          <w:p w14:paraId="49EE2119">
            <w:pPr>
              <w:spacing w:line="240" w:lineRule="auto"/>
              <w:ind w:firstLine="0" w:firstLineChars="0"/>
              <w:rPr>
                <w:rFonts w:ascii="宋体" w:hAnsi="宋体" w:eastAsia="宋体" w:cs="宋体"/>
                <w:bCs/>
                <w:color w:val="auto"/>
                <w:sz w:val="24"/>
                <w:highlight w:val="none"/>
              </w:rPr>
            </w:pPr>
            <w:r>
              <w:rPr>
                <w:rFonts w:hint="eastAsia" w:ascii="宋体" w:hAnsi="宋体" w:eastAsia="宋体" w:cs="宋体"/>
                <w:color w:val="auto"/>
                <w:sz w:val="18"/>
                <w:szCs w:val="18"/>
                <w:highlight w:val="none"/>
              </w:rPr>
              <w:t>X＜10</w:t>
            </w:r>
          </w:p>
        </w:tc>
      </w:tr>
    </w:tbl>
    <w:p w14:paraId="5DF4693C">
      <w:pPr>
        <w:shd w:val="clear" w:color="auto" w:fill="FFFFFF"/>
        <w:spacing w:line="400" w:lineRule="exact"/>
        <w:ind w:firstLine="0" w:firstLineChars="0"/>
        <w:rPr>
          <w:rFonts w:ascii="微软雅黑" w:hAnsi="微软雅黑" w:cs="宋体"/>
          <w:bCs/>
          <w:color w:val="auto"/>
          <w:szCs w:val="21"/>
          <w:highlight w:val="none"/>
        </w:rPr>
      </w:pPr>
      <w:r>
        <w:rPr>
          <w:rFonts w:hint="eastAsia" w:ascii="宋体" w:hAnsi="宋体" w:eastAsia="宋体" w:cs="宋体"/>
          <w:color w:val="auto"/>
          <w:sz w:val="18"/>
          <w:szCs w:val="18"/>
          <w:highlight w:val="none"/>
        </w:rPr>
        <w:t> </w:t>
      </w:r>
      <w:r>
        <w:rPr>
          <w:rFonts w:hint="eastAsia" w:ascii="宋体" w:hAnsi="宋体" w:eastAsia="宋体" w:cs="宋体"/>
          <w:color w:val="auto"/>
          <w:spacing w:val="8"/>
          <w:sz w:val="24"/>
          <w:highlight w:val="none"/>
        </w:rPr>
        <w:t>　</w:t>
      </w:r>
      <w:r>
        <w:rPr>
          <w:rFonts w:hint="eastAsia" w:ascii="微软雅黑" w:hAnsi="微软雅黑" w:cs="宋体"/>
          <w:color w:val="auto"/>
          <w:spacing w:val="8"/>
          <w:szCs w:val="21"/>
          <w:highlight w:val="none"/>
        </w:rPr>
        <w:t>　说明：</w:t>
      </w:r>
    </w:p>
    <w:p w14:paraId="0476142B">
      <w:pPr>
        <w:shd w:val="clear" w:color="auto" w:fill="FFFFFF"/>
        <w:spacing w:line="400" w:lineRule="exact"/>
        <w:ind w:firstLine="0" w:firstLineChars="0"/>
        <w:rPr>
          <w:rFonts w:ascii="微软雅黑" w:hAnsi="微软雅黑" w:cs="宋体"/>
          <w:bCs/>
          <w:color w:val="auto"/>
          <w:szCs w:val="21"/>
          <w:highlight w:val="none"/>
        </w:rPr>
      </w:pPr>
      <w:r>
        <w:rPr>
          <w:rFonts w:ascii="微软雅黑" w:hAnsi="微软雅黑"/>
          <w:color w:val="auto"/>
          <w:spacing w:val="8"/>
          <w:szCs w:val="21"/>
          <w:highlight w:val="none"/>
        </w:rPr>
        <w:t> </w:t>
      </w:r>
      <w:r>
        <w:rPr>
          <w:rFonts w:hint="eastAsia" w:ascii="微软雅黑" w:hAnsi="微软雅黑" w:cs="宋体"/>
          <w:color w:val="auto"/>
          <w:spacing w:val="8"/>
          <w:szCs w:val="21"/>
          <w:highlight w:val="none"/>
        </w:rPr>
        <w:t>　　</w:t>
      </w:r>
      <w:r>
        <w:rPr>
          <w:rFonts w:ascii="微软雅黑" w:hAnsi="微软雅黑"/>
          <w:color w:val="auto"/>
          <w:spacing w:val="8"/>
          <w:szCs w:val="21"/>
          <w:highlight w:val="none"/>
        </w:rPr>
        <w:t>1.</w:t>
      </w:r>
      <w:r>
        <w:rPr>
          <w:rFonts w:hint="eastAsia" w:ascii="微软雅黑" w:hAnsi="微软雅黑" w:cs="宋体"/>
          <w:color w:val="auto"/>
          <w:spacing w:val="8"/>
          <w:szCs w:val="21"/>
          <w:highlight w:val="none"/>
        </w:rPr>
        <w:t>大型、中型和小型企业须同时满足所列指标的下限，否则下划一档；微型企业只须满足所列指标中的一项即可。</w:t>
      </w:r>
    </w:p>
    <w:p w14:paraId="40F06247">
      <w:pPr>
        <w:shd w:val="clear" w:color="auto" w:fill="FFFFFF"/>
        <w:spacing w:line="400" w:lineRule="exact"/>
        <w:ind w:firstLine="0" w:firstLineChars="0"/>
        <w:rPr>
          <w:rFonts w:ascii="微软雅黑" w:hAnsi="微软雅黑" w:cs="宋体"/>
          <w:bCs/>
          <w:color w:val="auto"/>
          <w:szCs w:val="21"/>
          <w:highlight w:val="none"/>
        </w:rPr>
      </w:pPr>
      <w:r>
        <w:rPr>
          <w:rFonts w:ascii="微软雅黑" w:hAnsi="微软雅黑"/>
          <w:color w:val="auto"/>
          <w:spacing w:val="8"/>
          <w:szCs w:val="21"/>
          <w:highlight w:val="none"/>
        </w:rPr>
        <w:t> </w:t>
      </w:r>
      <w:r>
        <w:rPr>
          <w:rFonts w:hint="eastAsia" w:ascii="微软雅黑" w:hAnsi="微软雅黑" w:cs="宋体"/>
          <w:color w:val="auto"/>
          <w:spacing w:val="8"/>
          <w:szCs w:val="21"/>
          <w:highlight w:val="none"/>
        </w:rPr>
        <w:t>　　</w:t>
      </w:r>
      <w:r>
        <w:rPr>
          <w:rFonts w:ascii="微软雅黑" w:hAnsi="微软雅黑"/>
          <w:color w:val="auto"/>
          <w:spacing w:val="8"/>
          <w:szCs w:val="21"/>
          <w:highlight w:val="none"/>
        </w:rPr>
        <w:t>2.</w:t>
      </w:r>
      <w:r>
        <w:rPr>
          <w:rFonts w:hint="eastAsia" w:ascii="微软雅黑" w:hAnsi="微软雅黑" w:cs="宋体"/>
          <w:color w:val="auto"/>
          <w:spacing w:val="8"/>
          <w:szCs w:val="21"/>
          <w:highlight w:val="none"/>
        </w:rPr>
        <w:t>附表中各行业的范围以《国民经济行业分类》（</w:t>
      </w:r>
      <w:r>
        <w:rPr>
          <w:rFonts w:ascii="微软雅黑" w:hAnsi="微软雅黑"/>
          <w:color w:val="auto"/>
          <w:spacing w:val="8"/>
          <w:szCs w:val="21"/>
          <w:highlight w:val="none"/>
        </w:rPr>
        <w:t>GB/T4754-2011</w:t>
      </w:r>
      <w:r>
        <w:rPr>
          <w:rFonts w:hint="eastAsia" w:ascii="微软雅黑" w:hAnsi="微软雅黑" w:cs="宋体"/>
          <w:color w:val="auto"/>
          <w:spacing w:val="8"/>
          <w:szCs w:val="21"/>
          <w:highlight w:val="none"/>
        </w:rPr>
        <w:t>）为准。带</w:t>
      </w:r>
      <w:r>
        <w:rPr>
          <w:rFonts w:ascii="微软雅黑" w:hAnsi="微软雅黑"/>
          <w:color w:val="auto"/>
          <w:spacing w:val="8"/>
          <w:szCs w:val="21"/>
          <w:highlight w:val="none"/>
        </w:rPr>
        <w:t>*</w:t>
      </w:r>
      <w:r>
        <w:rPr>
          <w:rFonts w:hint="eastAsia" w:ascii="微软雅黑" w:hAnsi="微软雅黑" w:cs="宋体"/>
          <w:color w:val="auto"/>
          <w:spacing w:val="8"/>
          <w:szCs w:val="21"/>
          <w:highlight w:val="none"/>
        </w:rPr>
        <w:t>的项为行业组合类别，其中，工业包括采矿业，制造业，电力、热力、燃气及水生产和供应业；交通运输业包括道路运输业，水上运输业，航空运输业，管道运输业，装卸搬运和运输代理业，不包括铁路运输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w:t>
      </w:r>
    </w:p>
    <w:p w14:paraId="60F72185">
      <w:pPr>
        <w:shd w:val="clear" w:color="auto" w:fill="FFFFFF"/>
        <w:spacing w:line="400" w:lineRule="exact"/>
        <w:ind w:firstLine="0" w:firstLineChars="0"/>
        <w:rPr>
          <w:rFonts w:ascii="微软雅黑" w:hAnsi="微软雅黑" w:cs="宋体"/>
          <w:color w:val="auto"/>
          <w:spacing w:val="8"/>
          <w:szCs w:val="21"/>
          <w:highlight w:val="none"/>
        </w:rPr>
      </w:pPr>
      <w:r>
        <w:rPr>
          <w:rFonts w:ascii="微软雅黑" w:hAnsi="微软雅黑"/>
          <w:color w:val="auto"/>
          <w:spacing w:val="8"/>
          <w:szCs w:val="21"/>
          <w:highlight w:val="none"/>
        </w:rPr>
        <w:t> </w:t>
      </w:r>
      <w:r>
        <w:rPr>
          <w:rFonts w:hint="eastAsia" w:ascii="微软雅黑" w:hAnsi="微软雅黑" w:cs="宋体"/>
          <w:color w:val="auto"/>
          <w:spacing w:val="8"/>
          <w:szCs w:val="21"/>
          <w:highlight w:val="none"/>
        </w:rPr>
        <w:t>　　</w:t>
      </w:r>
      <w:r>
        <w:rPr>
          <w:rFonts w:ascii="微软雅黑" w:hAnsi="微软雅黑"/>
          <w:color w:val="auto"/>
          <w:spacing w:val="8"/>
          <w:szCs w:val="21"/>
          <w:highlight w:val="none"/>
        </w:rPr>
        <w:t>3.</w:t>
      </w:r>
      <w:r>
        <w:rPr>
          <w:rFonts w:hint="eastAsia" w:ascii="微软雅黑" w:hAnsi="微软雅黑" w:cs="宋体"/>
          <w:color w:val="auto"/>
          <w:spacing w:val="8"/>
          <w:szCs w:val="21"/>
          <w:highlight w:val="none"/>
        </w:rPr>
        <w:t>企业划分指标以现行统计制度为准。（</w:t>
      </w:r>
      <w:r>
        <w:rPr>
          <w:rFonts w:ascii="微软雅黑" w:hAnsi="微软雅黑"/>
          <w:color w:val="auto"/>
          <w:spacing w:val="8"/>
          <w:szCs w:val="21"/>
          <w:highlight w:val="none"/>
        </w:rPr>
        <w:t>1</w:t>
      </w:r>
      <w:r>
        <w:rPr>
          <w:rFonts w:hint="eastAsia" w:ascii="微软雅黑" w:hAnsi="微软雅黑" w:cs="宋体"/>
          <w:color w:val="auto"/>
          <w:spacing w:val="8"/>
          <w:szCs w:val="21"/>
          <w:highlight w:val="none"/>
        </w:rPr>
        <w:t>）从业人员，是指期末从业人员数，没有期末从业人员数的，采用全年平均人员数代替。（</w:t>
      </w:r>
      <w:r>
        <w:rPr>
          <w:rFonts w:ascii="微软雅黑" w:hAnsi="微软雅黑"/>
          <w:color w:val="auto"/>
          <w:spacing w:val="8"/>
          <w:szCs w:val="21"/>
          <w:highlight w:val="none"/>
        </w:rPr>
        <w:t>2</w:t>
      </w:r>
      <w:r>
        <w:rPr>
          <w:rFonts w:hint="eastAsia" w:ascii="微软雅黑" w:hAnsi="微软雅黑" w:cs="宋体"/>
          <w:color w:val="auto"/>
          <w:spacing w:val="8"/>
          <w:szCs w:val="21"/>
          <w:highlight w:val="none"/>
        </w:rPr>
        <w:t>）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r>
        <w:rPr>
          <w:rFonts w:ascii="微软雅黑" w:hAnsi="微软雅黑"/>
          <w:color w:val="auto"/>
          <w:spacing w:val="8"/>
          <w:szCs w:val="21"/>
          <w:highlight w:val="none"/>
        </w:rPr>
        <w:t>3</w:t>
      </w:r>
      <w:r>
        <w:rPr>
          <w:rFonts w:hint="eastAsia" w:ascii="微软雅黑" w:hAnsi="微软雅黑" w:cs="宋体"/>
          <w:color w:val="auto"/>
          <w:spacing w:val="8"/>
          <w:szCs w:val="21"/>
          <w:highlight w:val="none"/>
        </w:rPr>
        <w:t>）资产总额，采用资产总计代替。</w:t>
      </w:r>
    </w:p>
    <w:p w14:paraId="21BDF8C3">
      <w:pPr>
        <w:pStyle w:val="49"/>
        <w:ind w:firstLine="640"/>
        <w:outlineLvl w:val="9"/>
        <w:rPr>
          <w:color w:val="auto"/>
          <w:highlight w:val="none"/>
        </w:rPr>
        <w:sectPr>
          <w:pgSz w:w="11907" w:h="16840"/>
          <w:pgMar w:top="1474" w:right="1797" w:bottom="1247" w:left="1797" w:header="851" w:footer="992" w:gutter="0"/>
          <w:cols w:space="720" w:num="1"/>
          <w:docGrid w:linePitch="312" w:charSpace="0"/>
        </w:sectPr>
      </w:pPr>
    </w:p>
    <w:p w14:paraId="2E7F3611">
      <w:pPr>
        <w:pStyle w:val="3"/>
        <w:pageBreakBefore w:val="0"/>
        <w:kinsoku/>
        <w:wordWrap/>
        <w:overflowPunct/>
        <w:bidi w:val="0"/>
        <w:snapToGrid w:val="0"/>
        <w:spacing w:line="300" w:lineRule="auto"/>
        <w:ind w:left="0" w:leftChars="0" w:right="0" w:firstLine="420"/>
        <w:rPr>
          <w:rFonts w:hint="default" w:ascii="Calibri" w:hAnsi="Calibri" w:cs="Calibri"/>
          <w:color w:val="auto"/>
          <w:highlight w:val="none"/>
        </w:rPr>
      </w:pPr>
      <w:r>
        <w:rPr>
          <w:rFonts w:hint="eastAsia" w:ascii="Calibri" w:hAnsi="Calibri" w:cs="Calibri"/>
          <w:color w:val="auto"/>
          <w:highlight w:val="none"/>
          <w:lang w:val="en-US" w:eastAsia="zh-CN"/>
        </w:rPr>
        <w:t>附件(二）、</w:t>
      </w:r>
      <w:r>
        <w:rPr>
          <w:rFonts w:hint="default" w:ascii="Calibri" w:hAnsi="Calibri" w:cs="Calibri"/>
          <w:color w:val="auto"/>
          <w:highlight w:val="none"/>
        </w:rPr>
        <w:t>节能环保产品政策</w:t>
      </w:r>
    </w:p>
    <w:p w14:paraId="761998C2">
      <w:pPr>
        <w:pageBreakBefore w:val="0"/>
        <w:kinsoku/>
        <w:wordWrap/>
        <w:overflowPunct/>
        <w:bidi w:val="0"/>
        <w:snapToGrid w:val="0"/>
        <w:spacing w:line="300" w:lineRule="auto"/>
        <w:ind w:left="0" w:leftChars="0" w:right="0"/>
        <w:jc w:val="center"/>
        <w:rPr>
          <w:rFonts w:hint="default" w:ascii="Calibri" w:hAnsi="Calibri" w:eastAsia="黑体" w:cs="Calibri"/>
          <w:bCs/>
          <w:color w:val="auto"/>
          <w:spacing w:val="6"/>
          <w:sz w:val="28"/>
          <w:szCs w:val="28"/>
          <w:highlight w:val="none"/>
        </w:rPr>
      </w:pPr>
      <w:r>
        <w:rPr>
          <w:rFonts w:hint="default" w:ascii="Calibri" w:hAnsi="Calibri" w:eastAsia="黑体" w:cs="Calibri"/>
          <w:bCs/>
          <w:color w:val="auto"/>
          <w:spacing w:val="6"/>
          <w:sz w:val="28"/>
          <w:szCs w:val="28"/>
          <w:highlight w:val="none"/>
        </w:rPr>
        <w:t>关于调整优化节能产品、环境标志产品政府采购执行机制的通知</w:t>
      </w:r>
    </w:p>
    <w:p w14:paraId="227E2B8C">
      <w:pPr>
        <w:pageBreakBefore w:val="0"/>
        <w:kinsoku/>
        <w:wordWrap/>
        <w:overflowPunct/>
        <w:bidi w:val="0"/>
        <w:snapToGrid w:val="0"/>
        <w:spacing w:line="300" w:lineRule="auto"/>
        <w:ind w:left="0" w:leftChars="0" w:right="0"/>
        <w:jc w:val="center"/>
        <w:rPr>
          <w:rFonts w:hint="default" w:ascii="Calibri" w:hAnsi="Calibri" w:cs="Calibri"/>
          <w:color w:val="auto"/>
          <w:highlight w:val="none"/>
        </w:rPr>
      </w:pPr>
      <w:r>
        <w:rPr>
          <w:rFonts w:hint="default" w:ascii="Calibri" w:hAnsi="Calibri" w:cs="Calibri"/>
          <w:color w:val="auto"/>
          <w:highlight w:val="none"/>
        </w:rPr>
        <w:t>财库〔2019〕9号</w:t>
      </w:r>
    </w:p>
    <w:p w14:paraId="7F6017F4">
      <w:pPr>
        <w:pageBreakBefore w:val="0"/>
        <w:kinsoku/>
        <w:wordWrap/>
        <w:overflowPunct/>
        <w:bidi w:val="0"/>
        <w:snapToGrid w:val="0"/>
        <w:spacing w:line="300" w:lineRule="auto"/>
        <w:ind w:left="0" w:leftChars="0" w:right="0"/>
        <w:rPr>
          <w:rFonts w:hint="default" w:ascii="Calibri" w:hAnsi="Calibri" w:cs="Calibri"/>
          <w:color w:val="auto"/>
          <w:highlight w:val="none"/>
        </w:rPr>
      </w:pPr>
      <w:r>
        <w:rPr>
          <w:rFonts w:hint="default" w:ascii="Calibri" w:hAnsi="Calibri" w:cs="Calibri"/>
          <w:color w:val="auto"/>
          <w:highlight w:val="none"/>
        </w:rPr>
        <w:t>有关中央预算单位，各省、自治区、直辖市、计划单列市财政厅（局）、发展改革委（经信委、工信委、工信厅、经信局）、环境保护厅（局）、市场监管部门，新疆生产建设兵团财政局、发展改革委、工信委、环保局、市场监管局：</w:t>
      </w:r>
    </w:p>
    <w:p w14:paraId="1D7C7F33">
      <w:pPr>
        <w:pageBreakBefore w:val="0"/>
        <w:kinsoku/>
        <w:wordWrap/>
        <w:overflowPunct/>
        <w:bidi w:val="0"/>
        <w:snapToGrid w:val="0"/>
        <w:spacing w:line="300" w:lineRule="auto"/>
        <w:ind w:left="0" w:leftChars="0" w:right="0" w:firstLine="420" w:firstLineChars="200"/>
        <w:rPr>
          <w:rFonts w:hint="default" w:ascii="Calibri" w:hAnsi="Calibri" w:cs="Calibri"/>
          <w:color w:val="auto"/>
          <w:highlight w:val="none"/>
        </w:rPr>
      </w:pPr>
      <w:r>
        <w:rPr>
          <w:rFonts w:hint="default" w:ascii="Calibri" w:hAnsi="Calibri" w:cs="Calibri"/>
          <w:color w:val="auto"/>
          <w:highlight w:val="none"/>
        </w:rPr>
        <w:t>为落实</w:t>
      </w:r>
      <w:r>
        <w:rPr>
          <w:rFonts w:hint="default" w:ascii="Calibri" w:hAnsi="Calibri" w:cs="Calibri"/>
          <w:color w:val="auto"/>
          <w:highlight w:val="none"/>
          <w:lang w:eastAsia="zh-CN"/>
        </w:rPr>
        <w:t>“</w:t>
      </w:r>
      <w:r>
        <w:rPr>
          <w:rFonts w:hint="default" w:ascii="Calibri" w:hAnsi="Calibri" w:cs="Calibri"/>
          <w:color w:val="auto"/>
          <w:highlight w:val="none"/>
        </w:rPr>
        <w:t>放管服</w:t>
      </w:r>
      <w:r>
        <w:rPr>
          <w:rFonts w:hint="default" w:ascii="Calibri" w:hAnsi="Calibri" w:cs="Calibri"/>
          <w:color w:val="auto"/>
          <w:highlight w:val="none"/>
          <w:lang w:eastAsia="zh-CN"/>
        </w:rPr>
        <w:t>”</w:t>
      </w:r>
      <w:r>
        <w:rPr>
          <w:rFonts w:hint="default" w:ascii="Calibri" w:hAnsi="Calibri" w:cs="Calibri"/>
          <w:color w:val="auto"/>
          <w:highlight w:val="none"/>
        </w:rPr>
        <w:t>改革要求，完善政府绿色采购政策，简化节能（节水）产品、环境标志产品政府采购执行机制，优化供应商参与政府采购活动的市场环境，现就节能产品、环境标志产品政府采购有关事项通知如下：</w:t>
      </w:r>
    </w:p>
    <w:p w14:paraId="3D46BEF5">
      <w:pPr>
        <w:pageBreakBefore w:val="0"/>
        <w:kinsoku/>
        <w:wordWrap/>
        <w:overflowPunct/>
        <w:bidi w:val="0"/>
        <w:snapToGrid w:val="0"/>
        <w:spacing w:line="300" w:lineRule="auto"/>
        <w:ind w:left="0" w:leftChars="0" w:right="0" w:firstLine="420" w:firstLineChars="200"/>
        <w:rPr>
          <w:rFonts w:hint="default" w:ascii="Calibri" w:hAnsi="Calibri" w:cs="Calibri"/>
          <w:color w:val="auto"/>
          <w:highlight w:val="none"/>
        </w:rPr>
      </w:pPr>
      <w:r>
        <w:rPr>
          <w:rFonts w:hint="default" w:ascii="Calibri" w:hAnsi="Calibri" w:cs="Calibri"/>
          <w:color w:val="auto"/>
          <w:highlight w:val="none"/>
        </w:rPr>
        <w:t>一、对政府采购节能产品、环境标志产品实施品目清单管理。财政部、发展改革委、生态环境部等部门根据产品节能环保性能、技术水平和市场成熟程度等因素，确定实施政府优先采购和强制采购的产品类别及所依据的相关标准规范，以品目清单的形式发布并适时调整。不再发布</w:t>
      </w:r>
      <w:r>
        <w:rPr>
          <w:rFonts w:hint="default" w:ascii="Calibri" w:hAnsi="Calibri" w:cs="Calibri"/>
          <w:color w:val="auto"/>
          <w:highlight w:val="none"/>
          <w:lang w:eastAsia="zh-CN"/>
        </w:rPr>
        <w:t>“</w:t>
      </w:r>
      <w:r>
        <w:rPr>
          <w:rFonts w:hint="default" w:ascii="Calibri" w:hAnsi="Calibri" w:cs="Calibri"/>
          <w:color w:val="auto"/>
          <w:highlight w:val="none"/>
        </w:rPr>
        <w:t>节能产品政府采购清单</w:t>
      </w:r>
      <w:r>
        <w:rPr>
          <w:rFonts w:hint="default" w:ascii="Calibri" w:hAnsi="Calibri" w:cs="Calibri"/>
          <w:color w:val="auto"/>
          <w:highlight w:val="none"/>
          <w:lang w:eastAsia="zh-CN"/>
        </w:rPr>
        <w:t>”</w:t>
      </w:r>
      <w:r>
        <w:rPr>
          <w:rFonts w:hint="default" w:ascii="Calibri" w:hAnsi="Calibri" w:cs="Calibri"/>
          <w:color w:val="auto"/>
          <w:highlight w:val="none"/>
        </w:rPr>
        <w:t>和</w:t>
      </w:r>
      <w:r>
        <w:rPr>
          <w:rFonts w:hint="default" w:ascii="Calibri" w:hAnsi="Calibri" w:cs="Calibri"/>
          <w:color w:val="auto"/>
          <w:highlight w:val="none"/>
          <w:lang w:eastAsia="zh-CN"/>
        </w:rPr>
        <w:t>“</w:t>
      </w:r>
      <w:r>
        <w:rPr>
          <w:rFonts w:hint="default" w:ascii="Calibri" w:hAnsi="Calibri" w:cs="Calibri"/>
          <w:color w:val="auto"/>
          <w:highlight w:val="none"/>
        </w:rPr>
        <w:t>环境标志产品政府采购清单</w:t>
      </w:r>
      <w:r>
        <w:rPr>
          <w:rFonts w:hint="default" w:ascii="Calibri" w:hAnsi="Calibri" w:cs="Calibri"/>
          <w:color w:val="auto"/>
          <w:highlight w:val="none"/>
          <w:lang w:eastAsia="zh-CN"/>
        </w:rPr>
        <w:t>”</w:t>
      </w:r>
      <w:r>
        <w:rPr>
          <w:rFonts w:hint="default" w:ascii="Calibri" w:hAnsi="Calibri" w:cs="Calibri"/>
          <w:color w:val="auto"/>
          <w:highlight w:val="none"/>
        </w:rPr>
        <w:t>。</w:t>
      </w:r>
    </w:p>
    <w:p w14:paraId="402A36F2">
      <w:pPr>
        <w:pageBreakBefore w:val="0"/>
        <w:kinsoku/>
        <w:wordWrap/>
        <w:overflowPunct/>
        <w:bidi w:val="0"/>
        <w:snapToGrid w:val="0"/>
        <w:spacing w:line="300" w:lineRule="auto"/>
        <w:ind w:left="0" w:leftChars="0" w:right="0" w:firstLine="420" w:firstLineChars="200"/>
        <w:rPr>
          <w:rFonts w:hint="default" w:ascii="Calibri" w:hAnsi="Calibri" w:cs="Calibri"/>
          <w:color w:val="auto"/>
          <w:highlight w:val="none"/>
        </w:rPr>
      </w:pPr>
      <w:r>
        <w:rPr>
          <w:rFonts w:hint="default" w:ascii="Calibri" w:hAnsi="Calibri" w:cs="Calibri"/>
          <w:color w:val="auto"/>
          <w:highlight w:val="none"/>
        </w:rPr>
        <w:t>二、依据品目清单和认证证书实施政府优先采购和强制采购。采购人拟采购的产品属于品目清单范围的，采购人及其委托的采购代理机构应当依据国家确定的认证机构出具的、处于有效期之内的节能产品、环境标志产品认证证书，对获得证书的产品实施政府优先采购或强制采购。</w:t>
      </w:r>
    </w:p>
    <w:p w14:paraId="6E1035EB">
      <w:pPr>
        <w:pageBreakBefore w:val="0"/>
        <w:kinsoku/>
        <w:wordWrap/>
        <w:overflowPunct/>
        <w:bidi w:val="0"/>
        <w:snapToGrid w:val="0"/>
        <w:spacing w:line="300" w:lineRule="auto"/>
        <w:ind w:left="0" w:leftChars="0" w:right="0" w:firstLine="420" w:firstLineChars="200"/>
        <w:rPr>
          <w:rFonts w:hint="default" w:ascii="Calibri" w:hAnsi="Calibri" w:cs="Calibri"/>
          <w:color w:val="auto"/>
          <w:highlight w:val="none"/>
        </w:rPr>
      </w:pPr>
      <w:r>
        <w:rPr>
          <w:rFonts w:hint="default" w:ascii="Calibri" w:hAnsi="Calibri" w:cs="Calibri"/>
          <w:color w:val="auto"/>
          <w:highlight w:val="none"/>
        </w:rPr>
        <w:t>三、逐步扩大节能产品、环境标志产品认证机构范围。根据认证机构发展状况，市场监管总局商有关部门按照试点先行、逐步放开、有序竞争的原则，逐步增加实施节能产品、环境标志产品认证的机构。加强对相关认证市场监管力度，推行</w:t>
      </w:r>
      <w:r>
        <w:rPr>
          <w:rFonts w:hint="default" w:ascii="Calibri" w:hAnsi="Calibri" w:cs="Calibri"/>
          <w:color w:val="auto"/>
          <w:highlight w:val="none"/>
          <w:lang w:eastAsia="zh-CN"/>
        </w:rPr>
        <w:t>“</w:t>
      </w:r>
      <w:r>
        <w:rPr>
          <w:rFonts w:hint="default" w:ascii="Calibri" w:hAnsi="Calibri" w:cs="Calibri"/>
          <w:color w:val="auto"/>
          <w:highlight w:val="none"/>
        </w:rPr>
        <w:t>双随机、一公开</w:t>
      </w:r>
      <w:r>
        <w:rPr>
          <w:rFonts w:hint="default" w:ascii="Calibri" w:hAnsi="Calibri" w:cs="Calibri"/>
          <w:color w:val="auto"/>
          <w:highlight w:val="none"/>
          <w:lang w:eastAsia="zh-CN"/>
        </w:rPr>
        <w:t>”</w:t>
      </w:r>
      <w:r>
        <w:rPr>
          <w:rFonts w:hint="default" w:ascii="Calibri" w:hAnsi="Calibri" w:cs="Calibri"/>
          <w:color w:val="auto"/>
          <w:highlight w:val="none"/>
        </w:rPr>
        <w:t>监管，建立认证机构信用监管机制，严厉打击认证违法行为。</w:t>
      </w:r>
    </w:p>
    <w:p w14:paraId="23E9C71B">
      <w:pPr>
        <w:pageBreakBefore w:val="0"/>
        <w:kinsoku/>
        <w:wordWrap/>
        <w:overflowPunct/>
        <w:bidi w:val="0"/>
        <w:snapToGrid w:val="0"/>
        <w:spacing w:line="300" w:lineRule="auto"/>
        <w:ind w:left="0" w:leftChars="0" w:right="0" w:firstLine="420" w:firstLineChars="200"/>
        <w:rPr>
          <w:rFonts w:hint="default" w:ascii="Calibri" w:hAnsi="Calibri" w:cs="Calibri"/>
          <w:color w:val="auto"/>
          <w:highlight w:val="none"/>
        </w:rPr>
      </w:pPr>
      <w:r>
        <w:rPr>
          <w:rFonts w:hint="default" w:ascii="Calibri" w:hAnsi="Calibri" w:cs="Calibri"/>
          <w:color w:val="auto"/>
          <w:highlight w:val="none"/>
        </w:rPr>
        <w:t>四、发布认证机构和获证产品信息。市场监管总局组织建立节能产品、环境标志产品认证结果信息发布平台，公布相关认证机构和获证产品信息。节能产品、环境标志产品认证机构应当建立健全数据共享机制，及时向认证结果信息发布平台提供相关信息。中国政府采购网（www.ccgp.gov.cn）建立与认证结果信息发布平台的链接，方便采购人和采购代理机构查询、了解认证机构和获证产品相关情况。</w:t>
      </w:r>
    </w:p>
    <w:p w14:paraId="42FACAE5">
      <w:pPr>
        <w:pageBreakBefore w:val="0"/>
        <w:kinsoku/>
        <w:wordWrap/>
        <w:overflowPunct/>
        <w:bidi w:val="0"/>
        <w:snapToGrid w:val="0"/>
        <w:spacing w:line="300" w:lineRule="auto"/>
        <w:ind w:left="0" w:leftChars="0" w:right="0" w:firstLine="420" w:firstLineChars="200"/>
        <w:rPr>
          <w:rFonts w:hint="default" w:ascii="Calibri" w:hAnsi="Calibri" w:cs="Calibri"/>
          <w:color w:val="auto"/>
          <w:highlight w:val="none"/>
        </w:rPr>
      </w:pPr>
      <w:r>
        <w:rPr>
          <w:rFonts w:hint="default" w:ascii="Calibri" w:hAnsi="Calibri" w:cs="Calibri"/>
          <w:color w:val="auto"/>
          <w:highlight w:val="none"/>
        </w:rPr>
        <w:t>五、加大政府绿色采购力度。对于已列入品目清单的产品类别，采购人可在采购需求中提出更高的节约资源和保护环境要求，对符合条件的获证产品给予优先待遇。对于未列入品目清单的产品类别，鼓励采购人综合考虑节能、节水、环保、循环、低碳、再生、有机等因素，参考相关国家标准、行业标准或团体标准，在采购需求中提出相关绿色采购要求，促进绿色产品推广应用。</w:t>
      </w:r>
    </w:p>
    <w:p w14:paraId="42B4ABFD">
      <w:pPr>
        <w:pageBreakBefore w:val="0"/>
        <w:kinsoku/>
        <w:wordWrap/>
        <w:overflowPunct/>
        <w:bidi w:val="0"/>
        <w:snapToGrid w:val="0"/>
        <w:spacing w:line="300" w:lineRule="auto"/>
        <w:ind w:left="0" w:leftChars="0" w:right="0" w:firstLine="420" w:firstLineChars="200"/>
        <w:rPr>
          <w:rFonts w:hint="default" w:ascii="Calibri" w:hAnsi="Calibri" w:cs="Calibri"/>
          <w:color w:val="auto"/>
          <w:highlight w:val="none"/>
        </w:rPr>
      </w:pPr>
      <w:r>
        <w:rPr>
          <w:rFonts w:hint="default" w:ascii="Calibri" w:hAnsi="Calibri" w:cs="Calibri"/>
          <w:color w:val="auto"/>
          <w:highlight w:val="none"/>
        </w:rPr>
        <w:t>六、本通知自2019年4月1日起执行。《财政部 生态环境部关于调整公布第二十二期环境标志产品政府采购清单的通知》（财库〔2018〕70号）和《财政部 国家发展改革委关于调整公布第二十四期节能产品政府采购清单的通知》（财库〔2018〕73号）同时停止执行。</w:t>
      </w:r>
    </w:p>
    <w:p w14:paraId="68AC9F9B">
      <w:pPr>
        <w:pageBreakBefore w:val="0"/>
        <w:kinsoku/>
        <w:wordWrap/>
        <w:overflowPunct/>
        <w:bidi w:val="0"/>
        <w:snapToGrid w:val="0"/>
        <w:spacing w:line="300" w:lineRule="auto"/>
        <w:ind w:left="0" w:leftChars="0" w:right="0"/>
        <w:jc w:val="right"/>
        <w:rPr>
          <w:rFonts w:hint="default" w:ascii="Calibri" w:hAnsi="Calibri" w:cs="Calibri"/>
          <w:color w:val="auto"/>
          <w:highlight w:val="none"/>
        </w:rPr>
      </w:pPr>
      <w:r>
        <w:rPr>
          <w:rFonts w:hint="default" w:ascii="Calibri" w:hAnsi="Calibri" w:cs="Calibri"/>
          <w:color w:val="auto"/>
          <w:highlight w:val="none"/>
        </w:rPr>
        <w:t>财政部 发展改革委 生态环境部 市场监管总局</w:t>
      </w:r>
    </w:p>
    <w:p w14:paraId="7AD4DBB0">
      <w:pPr>
        <w:pageBreakBefore w:val="0"/>
        <w:kinsoku/>
        <w:wordWrap/>
        <w:overflowPunct/>
        <w:bidi w:val="0"/>
        <w:snapToGrid w:val="0"/>
        <w:spacing w:line="300" w:lineRule="auto"/>
        <w:ind w:left="0" w:leftChars="0" w:right="0"/>
        <w:jc w:val="right"/>
        <w:rPr>
          <w:rFonts w:hint="default" w:ascii="Calibri" w:hAnsi="Calibri" w:cs="Calibri"/>
          <w:color w:val="auto"/>
          <w:highlight w:val="none"/>
        </w:rPr>
      </w:pPr>
      <w:r>
        <w:rPr>
          <w:rFonts w:hint="default" w:ascii="Calibri" w:hAnsi="Calibri" w:cs="Calibri"/>
          <w:color w:val="auto"/>
          <w:highlight w:val="none"/>
        </w:rPr>
        <w:t>2019年2月1日</w:t>
      </w:r>
    </w:p>
    <w:p w14:paraId="2BC611C6">
      <w:pPr>
        <w:pageBreakBefore w:val="0"/>
        <w:kinsoku/>
        <w:wordWrap/>
        <w:overflowPunct/>
        <w:bidi w:val="0"/>
        <w:snapToGrid w:val="0"/>
        <w:spacing w:line="300" w:lineRule="auto"/>
        <w:ind w:left="0" w:leftChars="0" w:right="0"/>
        <w:jc w:val="center"/>
        <w:rPr>
          <w:rFonts w:hint="default" w:ascii="Calibri" w:hAnsi="Calibri" w:eastAsia="黑体" w:cs="Calibri"/>
          <w:color w:val="auto"/>
          <w:sz w:val="28"/>
          <w:szCs w:val="36"/>
          <w:highlight w:val="none"/>
        </w:rPr>
      </w:pPr>
    </w:p>
    <w:p w14:paraId="511F44F6">
      <w:pPr>
        <w:pageBreakBefore w:val="0"/>
        <w:kinsoku/>
        <w:wordWrap/>
        <w:overflowPunct/>
        <w:bidi w:val="0"/>
        <w:snapToGrid w:val="0"/>
        <w:spacing w:line="300" w:lineRule="auto"/>
        <w:ind w:left="0" w:leftChars="0" w:right="0"/>
        <w:rPr>
          <w:rFonts w:hint="default" w:ascii="Calibri" w:hAnsi="Calibri" w:eastAsia="黑体" w:cs="Calibri"/>
          <w:color w:val="auto"/>
          <w:sz w:val="28"/>
          <w:szCs w:val="36"/>
          <w:highlight w:val="none"/>
        </w:rPr>
      </w:pPr>
      <w:r>
        <w:rPr>
          <w:rFonts w:hint="default" w:ascii="Calibri" w:hAnsi="Calibri" w:eastAsia="黑体" w:cs="Calibri"/>
          <w:color w:val="auto"/>
          <w:sz w:val="28"/>
          <w:szCs w:val="36"/>
          <w:highlight w:val="none"/>
        </w:rPr>
        <w:br w:type="page"/>
      </w:r>
    </w:p>
    <w:p w14:paraId="1DBD59BE">
      <w:pPr>
        <w:pageBreakBefore w:val="0"/>
        <w:kinsoku/>
        <w:wordWrap/>
        <w:overflowPunct/>
        <w:bidi w:val="0"/>
        <w:snapToGrid w:val="0"/>
        <w:spacing w:line="300" w:lineRule="auto"/>
        <w:ind w:left="0" w:leftChars="0" w:right="0"/>
        <w:jc w:val="center"/>
        <w:rPr>
          <w:rFonts w:hint="default" w:ascii="Calibri" w:hAnsi="Calibri" w:eastAsia="黑体" w:cs="Calibri"/>
          <w:bCs/>
          <w:color w:val="auto"/>
          <w:spacing w:val="6"/>
          <w:sz w:val="28"/>
          <w:szCs w:val="28"/>
          <w:highlight w:val="none"/>
        </w:rPr>
      </w:pPr>
      <w:r>
        <w:rPr>
          <w:rFonts w:hint="default" w:ascii="Calibri" w:hAnsi="Calibri" w:eastAsia="黑体" w:cs="Calibri"/>
          <w:bCs/>
          <w:color w:val="auto"/>
          <w:spacing w:val="6"/>
          <w:sz w:val="28"/>
          <w:szCs w:val="28"/>
          <w:highlight w:val="none"/>
        </w:rPr>
        <w:t>关于印发节能产品政府采购品目清单的通知</w:t>
      </w:r>
    </w:p>
    <w:p w14:paraId="0F1F2D2B">
      <w:pPr>
        <w:pageBreakBefore w:val="0"/>
        <w:kinsoku/>
        <w:wordWrap/>
        <w:overflowPunct/>
        <w:bidi w:val="0"/>
        <w:snapToGrid w:val="0"/>
        <w:spacing w:line="300" w:lineRule="auto"/>
        <w:ind w:left="0" w:leftChars="0" w:right="0"/>
        <w:jc w:val="center"/>
        <w:rPr>
          <w:rFonts w:hint="default" w:ascii="Calibri" w:hAnsi="Calibri" w:cs="Calibri"/>
          <w:color w:val="auto"/>
          <w:highlight w:val="none"/>
        </w:rPr>
      </w:pPr>
      <w:r>
        <w:rPr>
          <w:rFonts w:hint="default" w:ascii="Calibri" w:hAnsi="Calibri" w:cs="Calibri"/>
          <w:color w:val="auto"/>
          <w:highlight w:val="none"/>
        </w:rPr>
        <w:t>财库〔2019〕19号</w:t>
      </w:r>
    </w:p>
    <w:p w14:paraId="0F354E12">
      <w:pPr>
        <w:pageBreakBefore w:val="0"/>
        <w:kinsoku/>
        <w:wordWrap/>
        <w:overflowPunct/>
        <w:bidi w:val="0"/>
        <w:snapToGrid w:val="0"/>
        <w:spacing w:line="300" w:lineRule="auto"/>
        <w:ind w:left="0" w:leftChars="0" w:right="0"/>
        <w:rPr>
          <w:rFonts w:hint="default" w:ascii="Calibri" w:hAnsi="Calibri" w:cs="Calibri"/>
          <w:color w:val="auto"/>
          <w:highlight w:val="none"/>
        </w:rPr>
      </w:pPr>
      <w:r>
        <w:rPr>
          <w:rFonts w:hint="default" w:ascii="Calibri" w:hAnsi="Calibri" w:cs="Calibri"/>
          <w:color w:val="auto"/>
          <w:highlight w:val="none"/>
        </w:rPr>
        <w:t>有关中央预算单位，各省、自治区、直辖市、计划单列市财政厅（局）、发展改革委（经信委、工信委、工信厅、经信局），新疆生产建设兵团财政局、发展改革委：</w:t>
      </w:r>
    </w:p>
    <w:p w14:paraId="5E05C39E">
      <w:pPr>
        <w:pageBreakBefore w:val="0"/>
        <w:kinsoku/>
        <w:wordWrap/>
        <w:overflowPunct/>
        <w:bidi w:val="0"/>
        <w:snapToGrid w:val="0"/>
        <w:spacing w:line="300" w:lineRule="auto"/>
        <w:ind w:left="0" w:leftChars="0" w:right="0" w:firstLine="420" w:firstLineChars="200"/>
        <w:rPr>
          <w:rFonts w:hint="default" w:ascii="Calibri" w:hAnsi="Calibri" w:cs="Calibri"/>
          <w:color w:val="auto"/>
          <w:highlight w:val="none"/>
        </w:rPr>
      </w:pPr>
      <w:r>
        <w:rPr>
          <w:rFonts w:hint="default" w:ascii="Calibri" w:hAnsi="Calibri" w:cs="Calibri"/>
          <w:color w:val="auto"/>
          <w:highlight w:val="none"/>
        </w:rPr>
        <w:t>根据《财政部 发展改革委 生态环境部 市场监管总局关于调整优化节能产品 环境标志产品政府采购执行机制的通知》（财库〔2019〕9号），我们研究制定节能产品政府采购品目清单，现印发给你们，请遵照执行。</w:t>
      </w:r>
    </w:p>
    <w:p w14:paraId="2EBC266D">
      <w:pPr>
        <w:pageBreakBefore w:val="0"/>
        <w:kinsoku/>
        <w:wordWrap/>
        <w:overflowPunct/>
        <w:bidi w:val="0"/>
        <w:snapToGrid w:val="0"/>
        <w:spacing w:line="300" w:lineRule="auto"/>
        <w:ind w:left="0" w:leftChars="0" w:right="0" w:firstLine="420" w:firstLineChars="200"/>
        <w:rPr>
          <w:rFonts w:hint="default" w:ascii="Calibri" w:hAnsi="Calibri" w:cs="Calibri"/>
          <w:color w:val="auto"/>
          <w:highlight w:val="none"/>
        </w:rPr>
      </w:pPr>
      <w:r>
        <w:rPr>
          <w:rFonts w:hint="default" w:ascii="Calibri" w:hAnsi="Calibri" w:cs="Calibri"/>
          <w:color w:val="auto"/>
          <w:highlight w:val="none"/>
        </w:rPr>
        <w:t xml:space="preserve">附件：节能产品政府采购品目清单 </w:t>
      </w:r>
    </w:p>
    <w:p w14:paraId="603BDFAC">
      <w:pPr>
        <w:pageBreakBefore w:val="0"/>
        <w:kinsoku/>
        <w:wordWrap/>
        <w:overflowPunct/>
        <w:bidi w:val="0"/>
        <w:snapToGrid w:val="0"/>
        <w:spacing w:line="300" w:lineRule="auto"/>
        <w:ind w:left="0" w:leftChars="0" w:right="0"/>
        <w:jc w:val="right"/>
        <w:rPr>
          <w:rFonts w:hint="default" w:ascii="Calibri" w:hAnsi="Calibri" w:cs="Calibri"/>
          <w:color w:val="auto"/>
          <w:highlight w:val="none"/>
        </w:rPr>
      </w:pPr>
      <w:r>
        <w:rPr>
          <w:rFonts w:hint="default" w:ascii="Calibri" w:hAnsi="Calibri" w:cs="Calibri"/>
          <w:color w:val="auto"/>
          <w:highlight w:val="none"/>
        </w:rPr>
        <w:t>财政部  发展改革委</w:t>
      </w:r>
    </w:p>
    <w:p w14:paraId="0E50B7F2">
      <w:pPr>
        <w:pageBreakBefore w:val="0"/>
        <w:kinsoku/>
        <w:wordWrap/>
        <w:overflowPunct/>
        <w:bidi w:val="0"/>
        <w:snapToGrid w:val="0"/>
        <w:spacing w:line="300" w:lineRule="auto"/>
        <w:ind w:left="0" w:leftChars="0" w:right="0"/>
        <w:jc w:val="right"/>
        <w:rPr>
          <w:rFonts w:hint="default" w:ascii="Calibri" w:hAnsi="Calibri" w:cs="Calibri"/>
          <w:color w:val="auto"/>
          <w:highlight w:val="none"/>
        </w:rPr>
      </w:pPr>
      <w:r>
        <w:rPr>
          <w:rFonts w:hint="default" w:ascii="Calibri" w:hAnsi="Calibri" w:cs="Calibri"/>
          <w:color w:val="auto"/>
          <w:highlight w:val="none"/>
        </w:rPr>
        <w:t>2019年4月2日</w:t>
      </w:r>
    </w:p>
    <w:p w14:paraId="4ADEE77A">
      <w:pPr>
        <w:pageBreakBefore w:val="0"/>
        <w:kinsoku/>
        <w:wordWrap/>
        <w:overflowPunct/>
        <w:bidi w:val="0"/>
        <w:snapToGrid w:val="0"/>
        <w:spacing w:line="300" w:lineRule="auto"/>
        <w:ind w:left="0" w:leftChars="0" w:right="0"/>
        <w:rPr>
          <w:rFonts w:hint="default" w:ascii="Calibri" w:hAnsi="Calibri" w:cs="Calibri"/>
          <w:color w:val="auto"/>
          <w:highlight w:val="none"/>
        </w:rPr>
      </w:pPr>
      <w:r>
        <w:rPr>
          <w:rFonts w:hint="default" w:ascii="Calibri" w:hAnsi="Calibri" w:cs="Calibri"/>
          <w:color w:val="auto"/>
          <w:highlight w:val="none"/>
        </w:rPr>
        <w:t>附件：</w:t>
      </w:r>
    </w:p>
    <w:p w14:paraId="37E84826">
      <w:pPr>
        <w:pageBreakBefore w:val="0"/>
        <w:kinsoku/>
        <w:wordWrap/>
        <w:overflowPunct/>
        <w:bidi w:val="0"/>
        <w:snapToGrid w:val="0"/>
        <w:spacing w:line="300" w:lineRule="auto"/>
        <w:ind w:left="0" w:leftChars="0" w:right="0"/>
        <w:jc w:val="center"/>
        <w:rPr>
          <w:rFonts w:hint="default" w:ascii="Calibri" w:hAnsi="Calibri" w:cs="Calibri"/>
          <w:b/>
          <w:bCs/>
          <w:color w:val="auto"/>
          <w:sz w:val="28"/>
          <w:szCs w:val="36"/>
          <w:highlight w:val="none"/>
        </w:rPr>
      </w:pPr>
      <w:r>
        <w:rPr>
          <w:rFonts w:hint="default" w:ascii="Calibri" w:hAnsi="Calibri" w:cs="Calibri"/>
          <w:b/>
          <w:bCs/>
          <w:color w:val="auto"/>
          <w:sz w:val="28"/>
          <w:szCs w:val="36"/>
          <w:highlight w:val="none"/>
        </w:rPr>
        <w:t>节能产品政府采购品目清单</w:t>
      </w:r>
    </w:p>
    <w:tbl>
      <w:tblPr>
        <w:tblStyle w:val="308"/>
        <w:tblW w:w="5001" w:type="pct"/>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57" w:type="dxa"/>
          <w:bottom w:w="0" w:type="dxa"/>
          <w:right w:w="57" w:type="dxa"/>
        </w:tblCellMar>
      </w:tblPr>
      <w:tblGrid>
        <w:gridCol w:w="578"/>
        <w:gridCol w:w="1165"/>
        <w:gridCol w:w="1800"/>
        <w:gridCol w:w="1915"/>
        <w:gridCol w:w="2971"/>
      </w:tblGrid>
      <w:tr w14:paraId="19C873C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tcMar>
              <w:top w:w="57" w:type="dxa"/>
              <w:left w:w="57" w:type="dxa"/>
              <w:bottom w:w="57" w:type="dxa"/>
              <w:right w:w="57" w:type="dxa"/>
            </w:tcMar>
            <w:vAlign w:val="center"/>
          </w:tcPr>
          <w:p w14:paraId="616B1DB7">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品目序号</w:t>
            </w:r>
          </w:p>
        </w:tc>
        <w:tc>
          <w:tcPr>
            <w:tcW w:w="5385" w:type="dxa"/>
            <w:gridSpan w:val="3"/>
            <w:tcMar>
              <w:top w:w="57" w:type="dxa"/>
              <w:left w:w="57" w:type="dxa"/>
              <w:bottom w:w="57" w:type="dxa"/>
              <w:right w:w="57" w:type="dxa"/>
            </w:tcMar>
            <w:vAlign w:val="center"/>
          </w:tcPr>
          <w:p w14:paraId="0A8DA2C6">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名称</w:t>
            </w:r>
          </w:p>
        </w:tc>
        <w:tc>
          <w:tcPr>
            <w:tcW w:w="3278" w:type="dxa"/>
            <w:tcMar>
              <w:top w:w="57" w:type="dxa"/>
              <w:left w:w="57" w:type="dxa"/>
              <w:bottom w:w="57" w:type="dxa"/>
              <w:right w:w="57" w:type="dxa"/>
            </w:tcMar>
            <w:vAlign w:val="center"/>
          </w:tcPr>
          <w:p w14:paraId="1588BBFD">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依据的标准</w:t>
            </w:r>
          </w:p>
        </w:tc>
      </w:tr>
      <w:tr w14:paraId="7996EAB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restart"/>
            <w:tcBorders>
              <w:bottom w:val="nil"/>
            </w:tcBorders>
            <w:tcMar>
              <w:top w:w="57" w:type="dxa"/>
              <w:left w:w="57" w:type="dxa"/>
              <w:bottom w:w="57" w:type="dxa"/>
              <w:right w:w="57" w:type="dxa"/>
            </w:tcMar>
            <w:vAlign w:val="center"/>
          </w:tcPr>
          <w:p w14:paraId="32CD705A">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1</w:t>
            </w:r>
          </w:p>
        </w:tc>
        <w:tc>
          <w:tcPr>
            <w:tcW w:w="1286" w:type="dxa"/>
            <w:vMerge w:val="restart"/>
            <w:tcBorders>
              <w:bottom w:val="nil"/>
            </w:tcBorders>
            <w:tcMar>
              <w:top w:w="57" w:type="dxa"/>
              <w:left w:w="57" w:type="dxa"/>
              <w:bottom w:w="57" w:type="dxa"/>
              <w:right w:w="57" w:type="dxa"/>
            </w:tcMar>
            <w:vAlign w:val="center"/>
          </w:tcPr>
          <w:p w14:paraId="7B24B2BB">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A020101计算机设备</w:t>
            </w:r>
          </w:p>
        </w:tc>
        <w:tc>
          <w:tcPr>
            <w:tcW w:w="1986" w:type="dxa"/>
            <w:tcMar>
              <w:top w:w="57" w:type="dxa"/>
              <w:left w:w="57" w:type="dxa"/>
              <w:bottom w:w="57" w:type="dxa"/>
              <w:right w:w="57" w:type="dxa"/>
            </w:tcMar>
            <w:vAlign w:val="center"/>
          </w:tcPr>
          <w:p w14:paraId="3D1548E6">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★A02010104台式计算机</w:t>
            </w:r>
          </w:p>
        </w:tc>
        <w:tc>
          <w:tcPr>
            <w:tcW w:w="2113" w:type="dxa"/>
            <w:tcMar>
              <w:top w:w="57" w:type="dxa"/>
              <w:left w:w="57" w:type="dxa"/>
              <w:bottom w:w="57" w:type="dxa"/>
              <w:right w:w="57" w:type="dxa"/>
            </w:tcMar>
            <w:vAlign w:val="center"/>
          </w:tcPr>
          <w:p w14:paraId="793E9917">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3278" w:type="dxa"/>
            <w:tcMar>
              <w:top w:w="57" w:type="dxa"/>
              <w:left w:w="57" w:type="dxa"/>
              <w:bottom w:w="57" w:type="dxa"/>
              <w:right w:w="57" w:type="dxa"/>
            </w:tcMar>
            <w:vAlign w:val="center"/>
          </w:tcPr>
          <w:p w14:paraId="6EDED55F">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《微型计算机能效限定值及能效等级》(GB28380)</w:t>
            </w:r>
          </w:p>
        </w:tc>
      </w:tr>
      <w:tr w14:paraId="0E9D983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Borders>
              <w:top w:val="nil"/>
              <w:bottom w:val="nil"/>
            </w:tcBorders>
            <w:tcMar>
              <w:top w:w="57" w:type="dxa"/>
              <w:left w:w="57" w:type="dxa"/>
              <w:bottom w:w="57" w:type="dxa"/>
              <w:right w:w="57" w:type="dxa"/>
            </w:tcMar>
            <w:vAlign w:val="center"/>
          </w:tcPr>
          <w:p w14:paraId="352674CC">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1286" w:type="dxa"/>
            <w:vMerge w:val="continue"/>
            <w:tcBorders>
              <w:top w:val="nil"/>
              <w:bottom w:val="nil"/>
            </w:tcBorders>
            <w:tcMar>
              <w:top w:w="57" w:type="dxa"/>
              <w:left w:w="57" w:type="dxa"/>
              <w:bottom w:w="57" w:type="dxa"/>
              <w:right w:w="57" w:type="dxa"/>
            </w:tcMar>
            <w:vAlign w:val="center"/>
          </w:tcPr>
          <w:p w14:paraId="191F6D71">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1986" w:type="dxa"/>
            <w:tcMar>
              <w:top w:w="57" w:type="dxa"/>
              <w:left w:w="57" w:type="dxa"/>
              <w:bottom w:w="57" w:type="dxa"/>
              <w:right w:w="57" w:type="dxa"/>
            </w:tcMar>
            <w:vAlign w:val="center"/>
          </w:tcPr>
          <w:p w14:paraId="671691D5">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★A02010105便携式计算机</w:t>
            </w:r>
          </w:p>
        </w:tc>
        <w:tc>
          <w:tcPr>
            <w:tcW w:w="2113" w:type="dxa"/>
            <w:tcMar>
              <w:top w:w="57" w:type="dxa"/>
              <w:left w:w="57" w:type="dxa"/>
              <w:bottom w:w="57" w:type="dxa"/>
              <w:right w:w="57" w:type="dxa"/>
            </w:tcMar>
            <w:vAlign w:val="center"/>
          </w:tcPr>
          <w:p w14:paraId="2817FE6F">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3278" w:type="dxa"/>
            <w:tcMar>
              <w:top w:w="57" w:type="dxa"/>
              <w:left w:w="57" w:type="dxa"/>
              <w:bottom w:w="57" w:type="dxa"/>
              <w:right w:w="57" w:type="dxa"/>
            </w:tcMar>
            <w:vAlign w:val="center"/>
          </w:tcPr>
          <w:p w14:paraId="56462CF3">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《微型计算机能效限定值及能效等级》(GB28380)</w:t>
            </w:r>
          </w:p>
        </w:tc>
      </w:tr>
      <w:tr w14:paraId="0F323B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Borders>
              <w:top w:val="nil"/>
            </w:tcBorders>
            <w:tcMar>
              <w:top w:w="57" w:type="dxa"/>
              <w:left w:w="57" w:type="dxa"/>
              <w:bottom w:w="57" w:type="dxa"/>
              <w:right w:w="57" w:type="dxa"/>
            </w:tcMar>
            <w:vAlign w:val="center"/>
          </w:tcPr>
          <w:p w14:paraId="3BE2D70B">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1286" w:type="dxa"/>
            <w:vMerge w:val="continue"/>
            <w:tcBorders>
              <w:top w:val="nil"/>
            </w:tcBorders>
            <w:tcMar>
              <w:top w:w="57" w:type="dxa"/>
              <w:left w:w="57" w:type="dxa"/>
              <w:bottom w:w="57" w:type="dxa"/>
              <w:right w:w="57" w:type="dxa"/>
            </w:tcMar>
            <w:vAlign w:val="center"/>
          </w:tcPr>
          <w:p w14:paraId="3CE90B8B">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1986" w:type="dxa"/>
            <w:tcMar>
              <w:top w:w="57" w:type="dxa"/>
              <w:left w:w="57" w:type="dxa"/>
              <w:bottom w:w="57" w:type="dxa"/>
              <w:right w:w="57" w:type="dxa"/>
            </w:tcMar>
            <w:vAlign w:val="center"/>
          </w:tcPr>
          <w:p w14:paraId="08208D32">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★A02010107平板式微型计算机</w:t>
            </w:r>
          </w:p>
        </w:tc>
        <w:tc>
          <w:tcPr>
            <w:tcW w:w="2113" w:type="dxa"/>
            <w:tcMar>
              <w:top w:w="57" w:type="dxa"/>
              <w:left w:w="57" w:type="dxa"/>
              <w:bottom w:w="57" w:type="dxa"/>
              <w:right w:w="57" w:type="dxa"/>
            </w:tcMar>
            <w:vAlign w:val="center"/>
          </w:tcPr>
          <w:p w14:paraId="51A8F1B8">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3278" w:type="dxa"/>
            <w:tcMar>
              <w:top w:w="57" w:type="dxa"/>
              <w:left w:w="57" w:type="dxa"/>
              <w:bottom w:w="57" w:type="dxa"/>
              <w:right w:w="57" w:type="dxa"/>
            </w:tcMar>
            <w:vAlign w:val="center"/>
          </w:tcPr>
          <w:p w14:paraId="495C5886">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《微型计算机能效限定值及能效等级》(GB28380)</w:t>
            </w:r>
          </w:p>
        </w:tc>
      </w:tr>
      <w:tr w14:paraId="77DB0A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restart"/>
            <w:tcBorders>
              <w:bottom w:val="nil"/>
            </w:tcBorders>
            <w:tcMar>
              <w:top w:w="57" w:type="dxa"/>
              <w:left w:w="57" w:type="dxa"/>
              <w:bottom w:w="57" w:type="dxa"/>
              <w:right w:w="57" w:type="dxa"/>
            </w:tcMar>
            <w:vAlign w:val="center"/>
          </w:tcPr>
          <w:p w14:paraId="00EF1CFD">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2</w:t>
            </w:r>
          </w:p>
        </w:tc>
        <w:tc>
          <w:tcPr>
            <w:tcW w:w="1286" w:type="dxa"/>
            <w:vMerge w:val="restart"/>
            <w:tcBorders>
              <w:bottom w:val="nil"/>
            </w:tcBorders>
            <w:tcMar>
              <w:top w:w="57" w:type="dxa"/>
              <w:left w:w="57" w:type="dxa"/>
              <w:bottom w:w="57" w:type="dxa"/>
              <w:right w:w="57" w:type="dxa"/>
            </w:tcMar>
            <w:vAlign w:val="center"/>
          </w:tcPr>
          <w:p w14:paraId="0367D5A3">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A020106输入输出设备</w:t>
            </w:r>
          </w:p>
        </w:tc>
        <w:tc>
          <w:tcPr>
            <w:tcW w:w="1986" w:type="dxa"/>
            <w:vMerge w:val="restart"/>
            <w:tcBorders>
              <w:bottom w:val="nil"/>
            </w:tcBorders>
            <w:tcMar>
              <w:top w:w="57" w:type="dxa"/>
              <w:left w:w="57" w:type="dxa"/>
              <w:bottom w:w="57" w:type="dxa"/>
              <w:right w:w="57" w:type="dxa"/>
            </w:tcMar>
            <w:vAlign w:val="center"/>
          </w:tcPr>
          <w:p w14:paraId="30D1FFD7">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A02010601打印设备</w:t>
            </w:r>
          </w:p>
        </w:tc>
        <w:tc>
          <w:tcPr>
            <w:tcW w:w="2113" w:type="dxa"/>
            <w:tcMar>
              <w:top w:w="57" w:type="dxa"/>
              <w:left w:w="57" w:type="dxa"/>
              <w:bottom w:w="57" w:type="dxa"/>
              <w:right w:w="57" w:type="dxa"/>
            </w:tcMar>
            <w:vAlign w:val="center"/>
          </w:tcPr>
          <w:p w14:paraId="3D1EA3E7">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A0201060101喷墨打印机</w:t>
            </w:r>
          </w:p>
        </w:tc>
        <w:tc>
          <w:tcPr>
            <w:tcW w:w="3278" w:type="dxa"/>
            <w:tcMar>
              <w:top w:w="57" w:type="dxa"/>
              <w:left w:w="57" w:type="dxa"/>
              <w:bottom w:w="57" w:type="dxa"/>
              <w:right w:w="57" w:type="dxa"/>
            </w:tcMar>
            <w:vAlign w:val="center"/>
          </w:tcPr>
          <w:p w14:paraId="12865CB5">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《复印机、打印机和传真机能效限定值及能效等级》(GB21521)</w:t>
            </w:r>
          </w:p>
        </w:tc>
      </w:tr>
      <w:tr w14:paraId="658A2FE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Borders>
              <w:top w:val="nil"/>
              <w:bottom w:val="nil"/>
            </w:tcBorders>
            <w:tcMar>
              <w:top w:w="57" w:type="dxa"/>
              <w:left w:w="57" w:type="dxa"/>
              <w:bottom w:w="57" w:type="dxa"/>
              <w:right w:w="57" w:type="dxa"/>
            </w:tcMar>
            <w:vAlign w:val="center"/>
          </w:tcPr>
          <w:p w14:paraId="604F398E">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1286" w:type="dxa"/>
            <w:vMerge w:val="continue"/>
            <w:tcBorders>
              <w:top w:val="nil"/>
              <w:bottom w:val="nil"/>
            </w:tcBorders>
            <w:tcMar>
              <w:top w:w="57" w:type="dxa"/>
              <w:left w:w="57" w:type="dxa"/>
              <w:bottom w:w="57" w:type="dxa"/>
              <w:right w:w="57" w:type="dxa"/>
            </w:tcMar>
            <w:vAlign w:val="center"/>
          </w:tcPr>
          <w:p w14:paraId="27EDC8C8">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1986" w:type="dxa"/>
            <w:vMerge w:val="continue"/>
            <w:tcBorders>
              <w:top w:val="nil"/>
              <w:bottom w:val="nil"/>
            </w:tcBorders>
            <w:tcMar>
              <w:top w:w="57" w:type="dxa"/>
              <w:left w:w="57" w:type="dxa"/>
              <w:bottom w:w="57" w:type="dxa"/>
              <w:right w:w="57" w:type="dxa"/>
            </w:tcMar>
            <w:vAlign w:val="center"/>
          </w:tcPr>
          <w:p w14:paraId="58A471FF">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2113" w:type="dxa"/>
            <w:tcMar>
              <w:top w:w="57" w:type="dxa"/>
              <w:left w:w="57" w:type="dxa"/>
              <w:bottom w:w="57" w:type="dxa"/>
              <w:right w:w="57" w:type="dxa"/>
            </w:tcMar>
            <w:vAlign w:val="center"/>
          </w:tcPr>
          <w:p w14:paraId="1D6674B5">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★A0201060102激光打印机</w:t>
            </w:r>
          </w:p>
        </w:tc>
        <w:tc>
          <w:tcPr>
            <w:tcW w:w="3278" w:type="dxa"/>
            <w:tcMar>
              <w:top w:w="57" w:type="dxa"/>
              <w:left w:w="57" w:type="dxa"/>
              <w:bottom w:w="57" w:type="dxa"/>
              <w:right w:w="57" w:type="dxa"/>
            </w:tcMar>
            <w:vAlign w:val="center"/>
          </w:tcPr>
          <w:p w14:paraId="2DE1A651">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《复印机、打印机和传真机能效限定值及能效等级》(GB21521)</w:t>
            </w:r>
          </w:p>
        </w:tc>
      </w:tr>
      <w:tr w14:paraId="6EE7BC0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Borders>
              <w:top w:val="nil"/>
              <w:bottom w:val="nil"/>
            </w:tcBorders>
            <w:tcMar>
              <w:top w:w="57" w:type="dxa"/>
              <w:left w:w="57" w:type="dxa"/>
              <w:bottom w:w="57" w:type="dxa"/>
              <w:right w:w="57" w:type="dxa"/>
            </w:tcMar>
            <w:vAlign w:val="center"/>
          </w:tcPr>
          <w:p w14:paraId="3B6C0AD0">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1286" w:type="dxa"/>
            <w:vMerge w:val="continue"/>
            <w:tcBorders>
              <w:top w:val="nil"/>
              <w:bottom w:val="nil"/>
            </w:tcBorders>
            <w:tcMar>
              <w:top w:w="57" w:type="dxa"/>
              <w:left w:w="57" w:type="dxa"/>
              <w:bottom w:w="57" w:type="dxa"/>
              <w:right w:w="57" w:type="dxa"/>
            </w:tcMar>
            <w:vAlign w:val="center"/>
          </w:tcPr>
          <w:p w14:paraId="45066A74">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1986" w:type="dxa"/>
            <w:vMerge w:val="continue"/>
            <w:tcBorders>
              <w:top w:val="nil"/>
            </w:tcBorders>
            <w:tcMar>
              <w:top w:w="57" w:type="dxa"/>
              <w:left w:w="57" w:type="dxa"/>
              <w:bottom w:w="57" w:type="dxa"/>
              <w:right w:w="57" w:type="dxa"/>
            </w:tcMar>
            <w:vAlign w:val="center"/>
          </w:tcPr>
          <w:p w14:paraId="384FE465">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2113" w:type="dxa"/>
            <w:tcMar>
              <w:top w:w="57" w:type="dxa"/>
              <w:left w:w="57" w:type="dxa"/>
              <w:bottom w:w="57" w:type="dxa"/>
              <w:right w:w="57" w:type="dxa"/>
            </w:tcMar>
            <w:vAlign w:val="center"/>
          </w:tcPr>
          <w:p w14:paraId="708629C8">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★A0201060104针式打印机</w:t>
            </w:r>
          </w:p>
        </w:tc>
        <w:tc>
          <w:tcPr>
            <w:tcW w:w="3278" w:type="dxa"/>
            <w:tcMar>
              <w:top w:w="57" w:type="dxa"/>
              <w:left w:w="57" w:type="dxa"/>
              <w:bottom w:w="57" w:type="dxa"/>
              <w:right w:w="57" w:type="dxa"/>
            </w:tcMar>
            <w:vAlign w:val="center"/>
          </w:tcPr>
          <w:p w14:paraId="0F3C18AE">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《复印机、打印机和传真机能效限定值及能效等级》(GB21521)</w:t>
            </w:r>
          </w:p>
        </w:tc>
      </w:tr>
      <w:tr w14:paraId="2A96649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Borders>
              <w:top w:val="nil"/>
              <w:bottom w:val="nil"/>
            </w:tcBorders>
            <w:tcMar>
              <w:top w:w="57" w:type="dxa"/>
              <w:left w:w="57" w:type="dxa"/>
              <w:bottom w:w="57" w:type="dxa"/>
              <w:right w:w="57" w:type="dxa"/>
            </w:tcMar>
            <w:vAlign w:val="center"/>
          </w:tcPr>
          <w:p w14:paraId="73C4BE5D">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1286" w:type="dxa"/>
            <w:vMerge w:val="continue"/>
            <w:tcBorders>
              <w:top w:val="nil"/>
              <w:bottom w:val="nil"/>
            </w:tcBorders>
            <w:tcMar>
              <w:top w:w="57" w:type="dxa"/>
              <w:left w:w="57" w:type="dxa"/>
              <w:bottom w:w="57" w:type="dxa"/>
              <w:right w:w="57" w:type="dxa"/>
            </w:tcMar>
            <w:vAlign w:val="center"/>
          </w:tcPr>
          <w:p w14:paraId="186BCC2E">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1986" w:type="dxa"/>
            <w:tcMar>
              <w:top w:w="57" w:type="dxa"/>
              <w:left w:w="57" w:type="dxa"/>
              <w:bottom w:w="57" w:type="dxa"/>
              <w:right w:w="57" w:type="dxa"/>
            </w:tcMar>
            <w:vAlign w:val="center"/>
          </w:tcPr>
          <w:p w14:paraId="2565D9E4">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A02010604显示设备</w:t>
            </w:r>
          </w:p>
        </w:tc>
        <w:tc>
          <w:tcPr>
            <w:tcW w:w="2113" w:type="dxa"/>
            <w:tcMar>
              <w:top w:w="57" w:type="dxa"/>
              <w:left w:w="57" w:type="dxa"/>
              <w:bottom w:w="57" w:type="dxa"/>
              <w:right w:w="57" w:type="dxa"/>
            </w:tcMar>
            <w:vAlign w:val="center"/>
          </w:tcPr>
          <w:p w14:paraId="40430905">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★A0201060401液晶显示器</w:t>
            </w:r>
          </w:p>
        </w:tc>
        <w:tc>
          <w:tcPr>
            <w:tcW w:w="3278" w:type="dxa"/>
            <w:tcMar>
              <w:top w:w="57" w:type="dxa"/>
              <w:left w:w="57" w:type="dxa"/>
              <w:bottom w:w="57" w:type="dxa"/>
              <w:right w:w="57" w:type="dxa"/>
            </w:tcMar>
            <w:vAlign w:val="center"/>
          </w:tcPr>
          <w:p w14:paraId="4B66B7F5">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《计算机显示器能效限定值及能效等级》(GB21520)</w:t>
            </w:r>
          </w:p>
        </w:tc>
      </w:tr>
      <w:tr w14:paraId="48E1A93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Borders>
              <w:top w:val="nil"/>
            </w:tcBorders>
            <w:tcMar>
              <w:top w:w="57" w:type="dxa"/>
              <w:left w:w="57" w:type="dxa"/>
              <w:bottom w:w="57" w:type="dxa"/>
              <w:right w:w="57" w:type="dxa"/>
            </w:tcMar>
            <w:vAlign w:val="center"/>
          </w:tcPr>
          <w:p w14:paraId="52EF2D09">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1286" w:type="dxa"/>
            <w:vMerge w:val="continue"/>
            <w:tcBorders>
              <w:top w:val="nil"/>
            </w:tcBorders>
            <w:tcMar>
              <w:top w:w="57" w:type="dxa"/>
              <w:left w:w="57" w:type="dxa"/>
              <w:bottom w:w="57" w:type="dxa"/>
              <w:right w:w="57" w:type="dxa"/>
            </w:tcMar>
            <w:vAlign w:val="center"/>
          </w:tcPr>
          <w:p w14:paraId="7944FE88">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1986" w:type="dxa"/>
            <w:tcMar>
              <w:top w:w="57" w:type="dxa"/>
              <w:left w:w="57" w:type="dxa"/>
              <w:bottom w:w="57" w:type="dxa"/>
              <w:right w:w="57" w:type="dxa"/>
            </w:tcMar>
            <w:vAlign w:val="center"/>
          </w:tcPr>
          <w:p w14:paraId="297D3FCC">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A02010609图形图像输入设备</w:t>
            </w:r>
          </w:p>
        </w:tc>
        <w:tc>
          <w:tcPr>
            <w:tcW w:w="2113" w:type="dxa"/>
            <w:tcMar>
              <w:top w:w="57" w:type="dxa"/>
              <w:left w:w="57" w:type="dxa"/>
              <w:bottom w:w="57" w:type="dxa"/>
              <w:right w:w="57" w:type="dxa"/>
            </w:tcMar>
            <w:vAlign w:val="center"/>
          </w:tcPr>
          <w:p w14:paraId="080F30D8">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A0201060901扫描仪</w:t>
            </w:r>
          </w:p>
        </w:tc>
        <w:tc>
          <w:tcPr>
            <w:tcW w:w="3278" w:type="dxa"/>
            <w:tcMar>
              <w:top w:w="57" w:type="dxa"/>
              <w:left w:w="57" w:type="dxa"/>
              <w:bottom w:w="57" w:type="dxa"/>
              <w:right w:w="57" w:type="dxa"/>
            </w:tcMar>
            <w:vAlign w:val="center"/>
          </w:tcPr>
          <w:p w14:paraId="1F184B35">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参照《复印机、打印机和传真机能效限定值及能效等级》（GB21521）中打印速度为15页/分的针式打印机相关要求</w:t>
            </w:r>
          </w:p>
        </w:tc>
      </w:tr>
      <w:tr w14:paraId="0B40641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tcMar>
              <w:top w:w="57" w:type="dxa"/>
              <w:left w:w="57" w:type="dxa"/>
              <w:bottom w:w="57" w:type="dxa"/>
              <w:right w:w="57" w:type="dxa"/>
            </w:tcMar>
            <w:vAlign w:val="center"/>
          </w:tcPr>
          <w:p w14:paraId="410B6AA6">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3</w:t>
            </w:r>
          </w:p>
        </w:tc>
        <w:tc>
          <w:tcPr>
            <w:tcW w:w="1286" w:type="dxa"/>
            <w:tcMar>
              <w:top w:w="57" w:type="dxa"/>
              <w:left w:w="57" w:type="dxa"/>
              <w:bottom w:w="57" w:type="dxa"/>
              <w:right w:w="57" w:type="dxa"/>
            </w:tcMar>
            <w:vAlign w:val="center"/>
          </w:tcPr>
          <w:p w14:paraId="509C11E2">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A020202投影仪</w:t>
            </w:r>
          </w:p>
        </w:tc>
        <w:tc>
          <w:tcPr>
            <w:tcW w:w="1986" w:type="dxa"/>
            <w:tcMar>
              <w:top w:w="57" w:type="dxa"/>
              <w:left w:w="57" w:type="dxa"/>
              <w:bottom w:w="57" w:type="dxa"/>
              <w:right w:w="57" w:type="dxa"/>
            </w:tcMar>
            <w:vAlign w:val="center"/>
          </w:tcPr>
          <w:p w14:paraId="6FC0EB7B">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2113" w:type="dxa"/>
            <w:tcMar>
              <w:top w:w="57" w:type="dxa"/>
              <w:left w:w="57" w:type="dxa"/>
              <w:bottom w:w="57" w:type="dxa"/>
              <w:right w:w="57" w:type="dxa"/>
            </w:tcMar>
            <w:vAlign w:val="center"/>
          </w:tcPr>
          <w:p w14:paraId="0D390C27">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3278" w:type="dxa"/>
            <w:tcMar>
              <w:top w:w="57" w:type="dxa"/>
              <w:left w:w="57" w:type="dxa"/>
              <w:bottom w:w="57" w:type="dxa"/>
              <w:right w:w="57" w:type="dxa"/>
            </w:tcMar>
            <w:vAlign w:val="center"/>
          </w:tcPr>
          <w:p w14:paraId="7BB70088">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《投影机能效限定值及能效等级》(GB32028)</w:t>
            </w:r>
          </w:p>
        </w:tc>
      </w:tr>
      <w:tr w14:paraId="4679F2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tcMar>
              <w:top w:w="57" w:type="dxa"/>
              <w:left w:w="57" w:type="dxa"/>
              <w:bottom w:w="57" w:type="dxa"/>
              <w:right w:w="57" w:type="dxa"/>
            </w:tcMar>
            <w:vAlign w:val="center"/>
          </w:tcPr>
          <w:p w14:paraId="1D75E6C3">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4</w:t>
            </w:r>
          </w:p>
        </w:tc>
        <w:tc>
          <w:tcPr>
            <w:tcW w:w="1286" w:type="dxa"/>
            <w:tcMar>
              <w:top w:w="57" w:type="dxa"/>
              <w:left w:w="57" w:type="dxa"/>
              <w:bottom w:w="57" w:type="dxa"/>
              <w:right w:w="57" w:type="dxa"/>
            </w:tcMar>
            <w:vAlign w:val="center"/>
          </w:tcPr>
          <w:p w14:paraId="1F7B6DA5">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A020204多功能一体机</w:t>
            </w:r>
          </w:p>
        </w:tc>
        <w:tc>
          <w:tcPr>
            <w:tcW w:w="1986" w:type="dxa"/>
            <w:tcMar>
              <w:top w:w="57" w:type="dxa"/>
              <w:left w:w="57" w:type="dxa"/>
              <w:bottom w:w="57" w:type="dxa"/>
              <w:right w:w="57" w:type="dxa"/>
            </w:tcMar>
            <w:vAlign w:val="center"/>
          </w:tcPr>
          <w:p w14:paraId="4FD54209">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2113" w:type="dxa"/>
            <w:tcMar>
              <w:top w:w="57" w:type="dxa"/>
              <w:left w:w="57" w:type="dxa"/>
              <w:bottom w:w="57" w:type="dxa"/>
              <w:right w:w="57" w:type="dxa"/>
            </w:tcMar>
            <w:vAlign w:val="center"/>
          </w:tcPr>
          <w:p w14:paraId="5C70ACCB">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3278" w:type="dxa"/>
            <w:tcMar>
              <w:top w:w="57" w:type="dxa"/>
              <w:left w:w="57" w:type="dxa"/>
              <w:bottom w:w="57" w:type="dxa"/>
              <w:right w:w="57" w:type="dxa"/>
            </w:tcMar>
            <w:vAlign w:val="center"/>
          </w:tcPr>
          <w:p w14:paraId="0487B906">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《复印机、打印机和传真机能效限定值及能效等级》(GB21521)</w:t>
            </w:r>
          </w:p>
        </w:tc>
      </w:tr>
      <w:tr w14:paraId="0E2F18E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tcMar>
              <w:top w:w="57" w:type="dxa"/>
              <w:left w:w="57" w:type="dxa"/>
              <w:bottom w:w="57" w:type="dxa"/>
              <w:right w:w="57" w:type="dxa"/>
            </w:tcMar>
            <w:vAlign w:val="center"/>
          </w:tcPr>
          <w:p w14:paraId="306C4FF2">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5</w:t>
            </w:r>
          </w:p>
        </w:tc>
        <w:tc>
          <w:tcPr>
            <w:tcW w:w="1286" w:type="dxa"/>
            <w:tcMar>
              <w:top w:w="57" w:type="dxa"/>
              <w:left w:w="57" w:type="dxa"/>
              <w:bottom w:w="57" w:type="dxa"/>
              <w:right w:w="57" w:type="dxa"/>
            </w:tcMar>
            <w:vAlign w:val="center"/>
          </w:tcPr>
          <w:p w14:paraId="2E96993E">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A020519泵</w:t>
            </w:r>
          </w:p>
        </w:tc>
        <w:tc>
          <w:tcPr>
            <w:tcW w:w="1986" w:type="dxa"/>
            <w:tcMar>
              <w:top w:w="57" w:type="dxa"/>
              <w:left w:w="57" w:type="dxa"/>
              <w:bottom w:w="57" w:type="dxa"/>
              <w:right w:w="57" w:type="dxa"/>
            </w:tcMar>
            <w:vAlign w:val="center"/>
          </w:tcPr>
          <w:p w14:paraId="11A77190">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A02051901离心泵</w:t>
            </w:r>
          </w:p>
        </w:tc>
        <w:tc>
          <w:tcPr>
            <w:tcW w:w="2113" w:type="dxa"/>
            <w:tcMar>
              <w:top w:w="57" w:type="dxa"/>
              <w:left w:w="57" w:type="dxa"/>
              <w:bottom w:w="57" w:type="dxa"/>
              <w:right w:w="57" w:type="dxa"/>
            </w:tcMar>
            <w:vAlign w:val="center"/>
          </w:tcPr>
          <w:p w14:paraId="2D4441D6">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3278" w:type="dxa"/>
            <w:tcMar>
              <w:top w:w="57" w:type="dxa"/>
              <w:left w:w="57" w:type="dxa"/>
              <w:bottom w:w="57" w:type="dxa"/>
              <w:right w:w="57" w:type="dxa"/>
            </w:tcMar>
            <w:vAlign w:val="center"/>
          </w:tcPr>
          <w:p w14:paraId="4559FCD2">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《清水离心泵能效限定值及节能评价值》(GB19762)</w:t>
            </w:r>
          </w:p>
        </w:tc>
      </w:tr>
      <w:tr w14:paraId="61853B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restart"/>
            <w:tcMar>
              <w:top w:w="57" w:type="dxa"/>
              <w:left w:w="57" w:type="dxa"/>
              <w:bottom w:w="57" w:type="dxa"/>
              <w:right w:w="57" w:type="dxa"/>
            </w:tcMar>
            <w:vAlign w:val="center"/>
          </w:tcPr>
          <w:p w14:paraId="3DAEEFB4">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6</w:t>
            </w:r>
          </w:p>
        </w:tc>
        <w:tc>
          <w:tcPr>
            <w:tcW w:w="1286" w:type="dxa"/>
            <w:vMerge w:val="restart"/>
            <w:tcMar>
              <w:top w:w="57" w:type="dxa"/>
              <w:left w:w="57" w:type="dxa"/>
              <w:bottom w:w="57" w:type="dxa"/>
              <w:right w:w="57" w:type="dxa"/>
            </w:tcMar>
            <w:vAlign w:val="center"/>
          </w:tcPr>
          <w:p w14:paraId="0CCE9345">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A020523制冷空调设备</w:t>
            </w:r>
          </w:p>
        </w:tc>
        <w:tc>
          <w:tcPr>
            <w:tcW w:w="1986" w:type="dxa"/>
            <w:vMerge w:val="restart"/>
            <w:tcMar>
              <w:top w:w="57" w:type="dxa"/>
              <w:left w:w="57" w:type="dxa"/>
              <w:bottom w:w="57" w:type="dxa"/>
              <w:right w:w="57" w:type="dxa"/>
            </w:tcMar>
            <w:vAlign w:val="center"/>
          </w:tcPr>
          <w:p w14:paraId="6ECB2A68">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★A02052301制冷压缩机</w:t>
            </w:r>
          </w:p>
        </w:tc>
        <w:tc>
          <w:tcPr>
            <w:tcW w:w="2113" w:type="dxa"/>
            <w:tcMar>
              <w:top w:w="57" w:type="dxa"/>
              <w:left w:w="57" w:type="dxa"/>
              <w:bottom w:w="57" w:type="dxa"/>
              <w:right w:w="57" w:type="dxa"/>
            </w:tcMar>
            <w:vAlign w:val="center"/>
          </w:tcPr>
          <w:p w14:paraId="0AEB0D1D">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冷水机组</w:t>
            </w:r>
          </w:p>
        </w:tc>
        <w:tc>
          <w:tcPr>
            <w:tcW w:w="3278" w:type="dxa"/>
            <w:tcMar>
              <w:top w:w="57" w:type="dxa"/>
              <w:left w:w="57" w:type="dxa"/>
              <w:bottom w:w="57" w:type="dxa"/>
              <w:right w:w="57" w:type="dxa"/>
            </w:tcMar>
            <w:vAlign w:val="center"/>
          </w:tcPr>
          <w:p w14:paraId="3497F3B7">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《冷水机组能效限定值及能效等级》(GB19577)，《低环境温度空气源热泵（冷水）机组能效限定值及能效等级》(GB37480)</w:t>
            </w:r>
          </w:p>
        </w:tc>
      </w:tr>
      <w:tr w14:paraId="055E069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Mar>
              <w:top w:w="57" w:type="dxa"/>
              <w:left w:w="57" w:type="dxa"/>
              <w:bottom w:w="57" w:type="dxa"/>
              <w:right w:w="57" w:type="dxa"/>
            </w:tcMar>
            <w:vAlign w:val="center"/>
          </w:tcPr>
          <w:p w14:paraId="3F7645F6">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1286" w:type="dxa"/>
            <w:vMerge w:val="continue"/>
            <w:tcMar>
              <w:top w:w="57" w:type="dxa"/>
              <w:left w:w="57" w:type="dxa"/>
              <w:bottom w:w="57" w:type="dxa"/>
              <w:right w:w="57" w:type="dxa"/>
            </w:tcMar>
            <w:vAlign w:val="center"/>
          </w:tcPr>
          <w:p w14:paraId="2E25DF7F">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1986" w:type="dxa"/>
            <w:vMerge w:val="continue"/>
            <w:tcMar>
              <w:top w:w="57" w:type="dxa"/>
              <w:left w:w="57" w:type="dxa"/>
              <w:bottom w:w="57" w:type="dxa"/>
              <w:right w:w="57" w:type="dxa"/>
            </w:tcMar>
            <w:vAlign w:val="center"/>
          </w:tcPr>
          <w:p w14:paraId="7112A94B">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2113" w:type="dxa"/>
            <w:tcMar>
              <w:top w:w="57" w:type="dxa"/>
              <w:left w:w="57" w:type="dxa"/>
              <w:bottom w:w="57" w:type="dxa"/>
              <w:right w:w="57" w:type="dxa"/>
            </w:tcMar>
            <w:vAlign w:val="center"/>
          </w:tcPr>
          <w:p w14:paraId="18CE674E">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水源热泵机组</w:t>
            </w:r>
          </w:p>
        </w:tc>
        <w:tc>
          <w:tcPr>
            <w:tcW w:w="3278" w:type="dxa"/>
            <w:tcMar>
              <w:top w:w="57" w:type="dxa"/>
              <w:left w:w="57" w:type="dxa"/>
              <w:bottom w:w="57" w:type="dxa"/>
              <w:right w:w="57" w:type="dxa"/>
            </w:tcMar>
            <w:vAlign w:val="center"/>
          </w:tcPr>
          <w:p w14:paraId="03F0EFD7">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《水（地）源热泵机组能效限定值及能效等级》(GB30721)</w:t>
            </w:r>
          </w:p>
        </w:tc>
      </w:tr>
      <w:tr w14:paraId="5E5C1B5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Mar>
              <w:top w:w="57" w:type="dxa"/>
              <w:left w:w="57" w:type="dxa"/>
              <w:bottom w:w="57" w:type="dxa"/>
              <w:right w:w="57" w:type="dxa"/>
            </w:tcMar>
            <w:vAlign w:val="center"/>
          </w:tcPr>
          <w:p w14:paraId="43709FFF">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1286" w:type="dxa"/>
            <w:vMerge w:val="continue"/>
            <w:tcMar>
              <w:top w:w="57" w:type="dxa"/>
              <w:left w:w="57" w:type="dxa"/>
              <w:bottom w:w="57" w:type="dxa"/>
              <w:right w:w="57" w:type="dxa"/>
            </w:tcMar>
            <w:vAlign w:val="center"/>
          </w:tcPr>
          <w:p w14:paraId="76942EA9">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1986" w:type="dxa"/>
            <w:vMerge w:val="continue"/>
            <w:tcMar>
              <w:top w:w="57" w:type="dxa"/>
              <w:left w:w="57" w:type="dxa"/>
              <w:bottom w:w="57" w:type="dxa"/>
              <w:right w:w="57" w:type="dxa"/>
            </w:tcMar>
            <w:vAlign w:val="center"/>
          </w:tcPr>
          <w:p w14:paraId="1A5EE383">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2113" w:type="dxa"/>
            <w:tcMar>
              <w:top w:w="57" w:type="dxa"/>
              <w:left w:w="57" w:type="dxa"/>
              <w:bottom w:w="57" w:type="dxa"/>
              <w:right w:w="57" w:type="dxa"/>
            </w:tcMar>
            <w:vAlign w:val="center"/>
          </w:tcPr>
          <w:p w14:paraId="04FFFCA8">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溴化锂吸收式冷水机组</w:t>
            </w:r>
          </w:p>
        </w:tc>
        <w:tc>
          <w:tcPr>
            <w:tcW w:w="3278" w:type="dxa"/>
            <w:tcMar>
              <w:top w:w="57" w:type="dxa"/>
              <w:left w:w="57" w:type="dxa"/>
              <w:bottom w:w="57" w:type="dxa"/>
              <w:right w:w="57" w:type="dxa"/>
            </w:tcMar>
            <w:vAlign w:val="center"/>
          </w:tcPr>
          <w:p w14:paraId="2EB42AB6">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《溴化锂吸收式冷水机组能效限定值及能效等级》(GB29540)</w:t>
            </w:r>
          </w:p>
        </w:tc>
      </w:tr>
      <w:tr w14:paraId="525E5FC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Mar>
              <w:top w:w="57" w:type="dxa"/>
              <w:left w:w="57" w:type="dxa"/>
              <w:bottom w:w="57" w:type="dxa"/>
              <w:right w:w="57" w:type="dxa"/>
            </w:tcMar>
            <w:vAlign w:val="center"/>
          </w:tcPr>
          <w:p w14:paraId="3A802188">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1286" w:type="dxa"/>
            <w:vMerge w:val="continue"/>
            <w:tcMar>
              <w:top w:w="57" w:type="dxa"/>
              <w:left w:w="57" w:type="dxa"/>
              <w:bottom w:w="57" w:type="dxa"/>
              <w:right w:w="57" w:type="dxa"/>
            </w:tcMar>
            <w:vAlign w:val="center"/>
          </w:tcPr>
          <w:p w14:paraId="709CEF3A">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1986" w:type="dxa"/>
            <w:vMerge w:val="restart"/>
            <w:tcMar>
              <w:top w:w="57" w:type="dxa"/>
              <w:left w:w="57" w:type="dxa"/>
              <w:bottom w:w="57" w:type="dxa"/>
              <w:right w:w="57" w:type="dxa"/>
            </w:tcMar>
            <w:vAlign w:val="center"/>
          </w:tcPr>
          <w:p w14:paraId="6399F22D">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★A02052305空调机组</w:t>
            </w:r>
          </w:p>
        </w:tc>
        <w:tc>
          <w:tcPr>
            <w:tcW w:w="2113" w:type="dxa"/>
            <w:tcMar>
              <w:top w:w="57" w:type="dxa"/>
              <w:left w:w="57" w:type="dxa"/>
              <w:bottom w:w="57" w:type="dxa"/>
              <w:right w:w="57" w:type="dxa"/>
            </w:tcMar>
            <w:vAlign w:val="center"/>
          </w:tcPr>
          <w:p w14:paraId="3E941A89">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多联式空调（热泵）机组（制冷量＞14000W）</w:t>
            </w:r>
          </w:p>
        </w:tc>
        <w:tc>
          <w:tcPr>
            <w:tcW w:w="3278" w:type="dxa"/>
            <w:tcMar>
              <w:top w:w="57" w:type="dxa"/>
              <w:left w:w="57" w:type="dxa"/>
              <w:bottom w:w="57" w:type="dxa"/>
              <w:right w:w="57" w:type="dxa"/>
            </w:tcMar>
            <w:vAlign w:val="center"/>
          </w:tcPr>
          <w:p w14:paraId="3D4CDC01">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《多联式空调（热泵）机组能效限定值及能源效率等级》(GB21454)</w:t>
            </w:r>
          </w:p>
        </w:tc>
      </w:tr>
      <w:tr w14:paraId="706FA56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Mar>
              <w:top w:w="57" w:type="dxa"/>
              <w:left w:w="57" w:type="dxa"/>
              <w:bottom w:w="57" w:type="dxa"/>
              <w:right w:w="57" w:type="dxa"/>
            </w:tcMar>
            <w:vAlign w:val="center"/>
          </w:tcPr>
          <w:p w14:paraId="41A4207E">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1286" w:type="dxa"/>
            <w:vMerge w:val="continue"/>
            <w:tcMar>
              <w:top w:w="57" w:type="dxa"/>
              <w:left w:w="57" w:type="dxa"/>
              <w:bottom w:w="57" w:type="dxa"/>
              <w:right w:w="57" w:type="dxa"/>
            </w:tcMar>
            <w:vAlign w:val="center"/>
          </w:tcPr>
          <w:p w14:paraId="17C9506C">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1986" w:type="dxa"/>
            <w:vMerge w:val="continue"/>
            <w:tcMar>
              <w:top w:w="57" w:type="dxa"/>
              <w:left w:w="57" w:type="dxa"/>
              <w:bottom w:w="57" w:type="dxa"/>
              <w:right w:w="57" w:type="dxa"/>
            </w:tcMar>
            <w:vAlign w:val="center"/>
          </w:tcPr>
          <w:p w14:paraId="042E0959">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2113" w:type="dxa"/>
            <w:tcMar>
              <w:top w:w="57" w:type="dxa"/>
              <w:left w:w="57" w:type="dxa"/>
              <w:bottom w:w="57" w:type="dxa"/>
              <w:right w:w="57" w:type="dxa"/>
            </w:tcMar>
            <w:vAlign w:val="center"/>
          </w:tcPr>
          <w:p w14:paraId="5F8998A1">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单元式空气调节机（制冷量＞14000W）</w:t>
            </w:r>
          </w:p>
        </w:tc>
        <w:tc>
          <w:tcPr>
            <w:tcW w:w="3278" w:type="dxa"/>
            <w:tcMar>
              <w:top w:w="57" w:type="dxa"/>
              <w:left w:w="57" w:type="dxa"/>
              <w:bottom w:w="57" w:type="dxa"/>
              <w:right w:w="57" w:type="dxa"/>
            </w:tcMar>
            <w:vAlign w:val="center"/>
          </w:tcPr>
          <w:p w14:paraId="25EB3F95">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《单元式空气调节机能效限定值及能效等级》(GB19576)《风管送风式空调机组能效限定值及能效等级》(GB37479)</w:t>
            </w:r>
          </w:p>
        </w:tc>
      </w:tr>
      <w:tr w14:paraId="68388A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Mar>
              <w:top w:w="57" w:type="dxa"/>
              <w:left w:w="57" w:type="dxa"/>
              <w:bottom w:w="57" w:type="dxa"/>
              <w:right w:w="57" w:type="dxa"/>
            </w:tcMar>
            <w:vAlign w:val="center"/>
          </w:tcPr>
          <w:p w14:paraId="59795102">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1286" w:type="dxa"/>
            <w:vMerge w:val="continue"/>
            <w:tcMar>
              <w:top w:w="57" w:type="dxa"/>
              <w:left w:w="57" w:type="dxa"/>
              <w:bottom w:w="57" w:type="dxa"/>
              <w:right w:w="57" w:type="dxa"/>
            </w:tcMar>
            <w:vAlign w:val="center"/>
          </w:tcPr>
          <w:p w14:paraId="28D10310">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1986" w:type="dxa"/>
            <w:tcMar>
              <w:top w:w="57" w:type="dxa"/>
              <w:left w:w="57" w:type="dxa"/>
              <w:bottom w:w="57" w:type="dxa"/>
              <w:right w:w="57" w:type="dxa"/>
            </w:tcMar>
            <w:vAlign w:val="center"/>
          </w:tcPr>
          <w:p w14:paraId="35D7DBEE">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★A02052309专用制冷、空调设备</w:t>
            </w:r>
          </w:p>
        </w:tc>
        <w:tc>
          <w:tcPr>
            <w:tcW w:w="2113" w:type="dxa"/>
            <w:tcMar>
              <w:top w:w="57" w:type="dxa"/>
              <w:left w:w="57" w:type="dxa"/>
              <w:bottom w:w="57" w:type="dxa"/>
              <w:right w:w="57" w:type="dxa"/>
            </w:tcMar>
            <w:vAlign w:val="center"/>
          </w:tcPr>
          <w:p w14:paraId="72B6AD2E">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机房空调</w:t>
            </w:r>
          </w:p>
        </w:tc>
        <w:tc>
          <w:tcPr>
            <w:tcW w:w="3278" w:type="dxa"/>
            <w:tcMar>
              <w:top w:w="57" w:type="dxa"/>
              <w:left w:w="57" w:type="dxa"/>
              <w:bottom w:w="57" w:type="dxa"/>
              <w:right w:w="57" w:type="dxa"/>
            </w:tcMar>
            <w:vAlign w:val="center"/>
          </w:tcPr>
          <w:p w14:paraId="6758C800">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《单元式空气调节机能效限定值及能效等级》(GB19576)</w:t>
            </w:r>
          </w:p>
        </w:tc>
      </w:tr>
      <w:tr w14:paraId="7A8BE8C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Mar>
              <w:top w:w="57" w:type="dxa"/>
              <w:left w:w="57" w:type="dxa"/>
              <w:bottom w:w="57" w:type="dxa"/>
              <w:right w:w="57" w:type="dxa"/>
            </w:tcMar>
            <w:vAlign w:val="center"/>
          </w:tcPr>
          <w:p w14:paraId="17D2C58D">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1286" w:type="dxa"/>
            <w:vMerge w:val="continue"/>
            <w:tcMar>
              <w:top w:w="57" w:type="dxa"/>
              <w:left w:w="57" w:type="dxa"/>
              <w:bottom w:w="57" w:type="dxa"/>
              <w:right w:w="57" w:type="dxa"/>
            </w:tcMar>
            <w:vAlign w:val="center"/>
          </w:tcPr>
          <w:p w14:paraId="17186E0B">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1986" w:type="dxa"/>
            <w:tcMar>
              <w:top w:w="57" w:type="dxa"/>
              <w:left w:w="57" w:type="dxa"/>
              <w:bottom w:w="57" w:type="dxa"/>
              <w:right w:w="57" w:type="dxa"/>
            </w:tcMar>
            <w:vAlign w:val="center"/>
          </w:tcPr>
          <w:p w14:paraId="79B6D752">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A02052399其他制冷空调设备</w:t>
            </w:r>
          </w:p>
        </w:tc>
        <w:tc>
          <w:tcPr>
            <w:tcW w:w="2113" w:type="dxa"/>
            <w:tcMar>
              <w:top w:w="57" w:type="dxa"/>
              <w:left w:w="57" w:type="dxa"/>
              <w:bottom w:w="57" w:type="dxa"/>
              <w:right w:w="57" w:type="dxa"/>
            </w:tcMar>
            <w:vAlign w:val="center"/>
          </w:tcPr>
          <w:p w14:paraId="2F04E517">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冷却塔</w:t>
            </w:r>
          </w:p>
        </w:tc>
        <w:tc>
          <w:tcPr>
            <w:tcW w:w="3278" w:type="dxa"/>
            <w:tcMar>
              <w:top w:w="57" w:type="dxa"/>
              <w:left w:w="57" w:type="dxa"/>
              <w:bottom w:w="57" w:type="dxa"/>
              <w:right w:w="57" w:type="dxa"/>
            </w:tcMar>
            <w:vAlign w:val="center"/>
          </w:tcPr>
          <w:p w14:paraId="2EF702AC">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《机械通风冷却塔第1部分：中小型开式冷却塔》(GB/T7190.1)；《机械通风冷却塔第2部分：大型开式冷却塔》(GB/T7190.2)</w:t>
            </w:r>
          </w:p>
        </w:tc>
      </w:tr>
      <w:tr w14:paraId="321A7CD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tcMar>
              <w:top w:w="57" w:type="dxa"/>
              <w:left w:w="57" w:type="dxa"/>
              <w:bottom w:w="57" w:type="dxa"/>
              <w:right w:w="57" w:type="dxa"/>
            </w:tcMar>
            <w:vAlign w:val="center"/>
          </w:tcPr>
          <w:p w14:paraId="339262B2">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7</w:t>
            </w:r>
          </w:p>
        </w:tc>
        <w:tc>
          <w:tcPr>
            <w:tcW w:w="1286" w:type="dxa"/>
            <w:tcMar>
              <w:top w:w="57" w:type="dxa"/>
              <w:left w:w="57" w:type="dxa"/>
              <w:bottom w:w="57" w:type="dxa"/>
              <w:right w:w="57" w:type="dxa"/>
            </w:tcMar>
            <w:vAlign w:val="center"/>
          </w:tcPr>
          <w:p w14:paraId="14CD3E60">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A020601电机</w:t>
            </w:r>
          </w:p>
        </w:tc>
        <w:tc>
          <w:tcPr>
            <w:tcW w:w="1986" w:type="dxa"/>
            <w:tcMar>
              <w:top w:w="57" w:type="dxa"/>
              <w:left w:w="57" w:type="dxa"/>
              <w:bottom w:w="57" w:type="dxa"/>
              <w:right w:w="57" w:type="dxa"/>
            </w:tcMar>
            <w:vAlign w:val="center"/>
          </w:tcPr>
          <w:p w14:paraId="70958D36">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2113" w:type="dxa"/>
            <w:tcMar>
              <w:top w:w="57" w:type="dxa"/>
              <w:left w:w="57" w:type="dxa"/>
              <w:bottom w:w="57" w:type="dxa"/>
              <w:right w:w="57" w:type="dxa"/>
            </w:tcMar>
            <w:vAlign w:val="center"/>
          </w:tcPr>
          <w:p w14:paraId="68613999">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3278" w:type="dxa"/>
            <w:tcMar>
              <w:top w:w="57" w:type="dxa"/>
              <w:left w:w="57" w:type="dxa"/>
              <w:bottom w:w="57" w:type="dxa"/>
              <w:right w:w="57" w:type="dxa"/>
            </w:tcMar>
            <w:vAlign w:val="center"/>
          </w:tcPr>
          <w:p w14:paraId="7C5714DC">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《中小型三相异步电动机能效限定值及能效等级》(GB18613)</w:t>
            </w:r>
          </w:p>
        </w:tc>
      </w:tr>
      <w:tr w14:paraId="630BCA5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tcMar>
              <w:top w:w="57" w:type="dxa"/>
              <w:left w:w="57" w:type="dxa"/>
              <w:bottom w:w="57" w:type="dxa"/>
              <w:right w:w="57" w:type="dxa"/>
            </w:tcMar>
            <w:vAlign w:val="center"/>
          </w:tcPr>
          <w:p w14:paraId="2AC2762A">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8</w:t>
            </w:r>
          </w:p>
        </w:tc>
        <w:tc>
          <w:tcPr>
            <w:tcW w:w="1286" w:type="dxa"/>
            <w:tcMar>
              <w:top w:w="57" w:type="dxa"/>
              <w:left w:w="57" w:type="dxa"/>
              <w:bottom w:w="57" w:type="dxa"/>
              <w:right w:w="57" w:type="dxa"/>
            </w:tcMar>
            <w:vAlign w:val="center"/>
          </w:tcPr>
          <w:p w14:paraId="19267F25">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A020602变压器</w:t>
            </w:r>
          </w:p>
        </w:tc>
        <w:tc>
          <w:tcPr>
            <w:tcW w:w="1986" w:type="dxa"/>
            <w:tcMar>
              <w:top w:w="57" w:type="dxa"/>
              <w:left w:w="57" w:type="dxa"/>
              <w:bottom w:w="57" w:type="dxa"/>
              <w:right w:w="57" w:type="dxa"/>
            </w:tcMar>
            <w:vAlign w:val="center"/>
          </w:tcPr>
          <w:p w14:paraId="53A87F94">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配电变压器</w:t>
            </w:r>
          </w:p>
        </w:tc>
        <w:tc>
          <w:tcPr>
            <w:tcW w:w="2113" w:type="dxa"/>
            <w:tcMar>
              <w:top w:w="57" w:type="dxa"/>
              <w:left w:w="57" w:type="dxa"/>
              <w:bottom w:w="57" w:type="dxa"/>
              <w:right w:w="57" w:type="dxa"/>
            </w:tcMar>
            <w:vAlign w:val="center"/>
          </w:tcPr>
          <w:p w14:paraId="401A60E6">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3278" w:type="dxa"/>
            <w:tcMar>
              <w:top w:w="57" w:type="dxa"/>
              <w:left w:w="57" w:type="dxa"/>
              <w:bottom w:w="57" w:type="dxa"/>
              <w:right w:w="57" w:type="dxa"/>
            </w:tcMar>
            <w:vAlign w:val="center"/>
          </w:tcPr>
          <w:p w14:paraId="7ABF8077">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《三相配电变压器能效限定值及能效等级》(GB20052)</w:t>
            </w:r>
          </w:p>
        </w:tc>
      </w:tr>
      <w:tr w14:paraId="5E54B4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tcMar>
              <w:top w:w="57" w:type="dxa"/>
              <w:left w:w="57" w:type="dxa"/>
              <w:bottom w:w="57" w:type="dxa"/>
              <w:right w:w="57" w:type="dxa"/>
            </w:tcMar>
            <w:vAlign w:val="center"/>
          </w:tcPr>
          <w:p w14:paraId="400EDC2D">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9</w:t>
            </w:r>
          </w:p>
        </w:tc>
        <w:tc>
          <w:tcPr>
            <w:tcW w:w="1286" w:type="dxa"/>
            <w:tcMar>
              <w:top w:w="57" w:type="dxa"/>
              <w:left w:w="57" w:type="dxa"/>
              <w:bottom w:w="57" w:type="dxa"/>
              <w:right w:w="57" w:type="dxa"/>
            </w:tcMar>
            <w:vAlign w:val="center"/>
          </w:tcPr>
          <w:p w14:paraId="3CEB48FA">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★A020609镇流器</w:t>
            </w:r>
          </w:p>
        </w:tc>
        <w:tc>
          <w:tcPr>
            <w:tcW w:w="1986" w:type="dxa"/>
            <w:tcMar>
              <w:top w:w="57" w:type="dxa"/>
              <w:left w:w="57" w:type="dxa"/>
              <w:bottom w:w="57" w:type="dxa"/>
              <w:right w:w="57" w:type="dxa"/>
            </w:tcMar>
            <w:vAlign w:val="center"/>
          </w:tcPr>
          <w:p w14:paraId="7880196A">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管型荧光灯镇流器</w:t>
            </w:r>
          </w:p>
        </w:tc>
        <w:tc>
          <w:tcPr>
            <w:tcW w:w="2113" w:type="dxa"/>
            <w:tcMar>
              <w:top w:w="57" w:type="dxa"/>
              <w:left w:w="57" w:type="dxa"/>
              <w:bottom w:w="57" w:type="dxa"/>
              <w:right w:w="57" w:type="dxa"/>
            </w:tcMar>
            <w:vAlign w:val="center"/>
          </w:tcPr>
          <w:p w14:paraId="29B93847">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3278" w:type="dxa"/>
            <w:tcMar>
              <w:top w:w="57" w:type="dxa"/>
              <w:left w:w="57" w:type="dxa"/>
              <w:bottom w:w="57" w:type="dxa"/>
              <w:right w:w="57" w:type="dxa"/>
            </w:tcMar>
            <w:vAlign w:val="center"/>
          </w:tcPr>
          <w:p w14:paraId="717175E9">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《管形荧光灯镇流器能效限定值及能效等级》(GB17896)</w:t>
            </w:r>
          </w:p>
        </w:tc>
      </w:tr>
      <w:tr w14:paraId="70ABC4B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restart"/>
            <w:tcMar>
              <w:top w:w="57" w:type="dxa"/>
              <w:left w:w="57" w:type="dxa"/>
              <w:bottom w:w="57" w:type="dxa"/>
              <w:right w:w="57" w:type="dxa"/>
            </w:tcMar>
            <w:vAlign w:val="center"/>
          </w:tcPr>
          <w:p w14:paraId="7829F5A2">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10</w:t>
            </w:r>
          </w:p>
        </w:tc>
        <w:tc>
          <w:tcPr>
            <w:tcW w:w="1286" w:type="dxa"/>
            <w:vMerge w:val="restart"/>
            <w:tcMar>
              <w:top w:w="57" w:type="dxa"/>
              <w:left w:w="57" w:type="dxa"/>
              <w:bottom w:w="57" w:type="dxa"/>
              <w:right w:w="57" w:type="dxa"/>
            </w:tcMar>
            <w:vAlign w:val="center"/>
          </w:tcPr>
          <w:p w14:paraId="7BD0D8EE">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A020618生活用电器</w:t>
            </w:r>
          </w:p>
        </w:tc>
        <w:tc>
          <w:tcPr>
            <w:tcW w:w="1986" w:type="dxa"/>
            <w:tcMar>
              <w:top w:w="57" w:type="dxa"/>
              <w:left w:w="57" w:type="dxa"/>
              <w:bottom w:w="57" w:type="dxa"/>
              <w:right w:w="57" w:type="dxa"/>
            </w:tcMar>
            <w:vAlign w:val="center"/>
          </w:tcPr>
          <w:p w14:paraId="410B4E56">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A0206180101电冰箱</w:t>
            </w:r>
          </w:p>
        </w:tc>
        <w:tc>
          <w:tcPr>
            <w:tcW w:w="2113" w:type="dxa"/>
            <w:tcMar>
              <w:top w:w="57" w:type="dxa"/>
              <w:left w:w="57" w:type="dxa"/>
              <w:bottom w:w="57" w:type="dxa"/>
              <w:right w:w="57" w:type="dxa"/>
            </w:tcMar>
            <w:vAlign w:val="center"/>
          </w:tcPr>
          <w:p w14:paraId="7AB932DC">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3278" w:type="dxa"/>
            <w:tcMar>
              <w:top w:w="57" w:type="dxa"/>
              <w:left w:w="57" w:type="dxa"/>
              <w:bottom w:w="57" w:type="dxa"/>
              <w:right w:w="57" w:type="dxa"/>
            </w:tcMar>
            <w:vAlign w:val="center"/>
          </w:tcPr>
          <w:p w14:paraId="66485091">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《家用电冰箱耗电量限定值及能效等级》(GB12021.2)</w:t>
            </w:r>
          </w:p>
        </w:tc>
      </w:tr>
      <w:tr w14:paraId="1F0057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Mar>
              <w:top w:w="57" w:type="dxa"/>
              <w:left w:w="57" w:type="dxa"/>
              <w:bottom w:w="57" w:type="dxa"/>
              <w:right w:w="57" w:type="dxa"/>
            </w:tcMar>
            <w:vAlign w:val="center"/>
          </w:tcPr>
          <w:p w14:paraId="5FC69A96">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1286" w:type="dxa"/>
            <w:vMerge w:val="continue"/>
            <w:tcMar>
              <w:top w:w="57" w:type="dxa"/>
              <w:left w:w="57" w:type="dxa"/>
              <w:bottom w:w="57" w:type="dxa"/>
              <w:right w:w="57" w:type="dxa"/>
            </w:tcMar>
            <w:vAlign w:val="center"/>
          </w:tcPr>
          <w:p w14:paraId="6A576AB3">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1986" w:type="dxa"/>
            <w:vMerge w:val="restart"/>
            <w:tcMar>
              <w:top w:w="57" w:type="dxa"/>
              <w:left w:w="57" w:type="dxa"/>
              <w:bottom w:w="57" w:type="dxa"/>
              <w:right w:w="57" w:type="dxa"/>
            </w:tcMar>
            <w:vAlign w:val="center"/>
          </w:tcPr>
          <w:p w14:paraId="00C9E8B9">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★A0206180203空调机</w:t>
            </w:r>
          </w:p>
        </w:tc>
        <w:tc>
          <w:tcPr>
            <w:tcW w:w="2113" w:type="dxa"/>
            <w:tcMar>
              <w:top w:w="57" w:type="dxa"/>
              <w:left w:w="57" w:type="dxa"/>
              <w:bottom w:w="57" w:type="dxa"/>
              <w:right w:w="57" w:type="dxa"/>
            </w:tcMar>
            <w:vAlign w:val="center"/>
          </w:tcPr>
          <w:p w14:paraId="55E6C483">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房间空气调节器</w:t>
            </w:r>
          </w:p>
        </w:tc>
        <w:tc>
          <w:tcPr>
            <w:tcW w:w="3278" w:type="dxa"/>
            <w:tcMar>
              <w:top w:w="57" w:type="dxa"/>
              <w:left w:w="57" w:type="dxa"/>
              <w:bottom w:w="57" w:type="dxa"/>
              <w:right w:w="57" w:type="dxa"/>
            </w:tcMar>
            <w:vAlign w:val="center"/>
          </w:tcPr>
          <w:p w14:paraId="46D0B4FE">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《转速可控型房间空气调节器能效限定值及能效等级》(GB21455-2013)，待2019年修订发布后，按《房间空气调节器能效限定值及能效等级》（GB21455-2019）实施。</w:t>
            </w:r>
          </w:p>
        </w:tc>
      </w:tr>
      <w:tr w14:paraId="096B6E4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Mar>
              <w:top w:w="57" w:type="dxa"/>
              <w:left w:w="57" w:type="dxa"/>
              <w:bottom w:w="57" w:type="dxa"/>
              <w:right w:w="57" w:type="dxa"/>
            </w:tcMar>
            <w:vAlign w:val="center"/>
          </w:tcPr>
          <w:p w14:paraId="4CA960CA">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1286" w:type="dxa"/>
            <w:vMerge w:val="continue"/>
            <w:tcMar>
              <w:top w:w="57" w:type="dxa"/>
              <w:left w:w="57" w:type="dxa"/>
              <w:bottom w:w="57" w:type="dxa"/>
              <w:right w:w="57" w:type="dxa"/>
            </w:tcMar>
            <w:vAlign w:val="center"/>
          </w:tcPr>
          <w:p w14:paraId="378D60D3">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1986" w:type="dxa"/>
            <w:vMerge w:val="continue"/>
            <w:tcMar>
              <w:top w:w="57" w:type="dxa"/>
              <w:left w:w="57" w:type="dxa"/>
              <w:bottom w:w="57" w:type="dxa"/>
              <w:right w:w="57" w:type="dxa"/>
            </w:tcMar>
            <w:vAlign w:val="center"/>
          </w:tcPr>
          <w:p w14:paraId="7DD62570">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2113" w:type="dxa"/>
            <w:tcMar>
              <w:top w:w="57" w:type="dxa"/>
              <w:left w:w="57" w:type="dxa"/>
              <w:bottom w:w="57" w:type="dxa"/>
              <w:right w:w="57" w:type="dxa"/>
            </w:tcMar>
            <w:vAlign w:val="center"/>
          </w:tcPr>
          <w:p w14:paraId="415B713E">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多联式空调（热泵）机组（制冷量≤14000W）</w:t>
            </w:r>
          </w:p>
        </w:tc>
        <w:tc>
          <w:tcPr>
            <w:tcW w:w="3278" w:type="dxa"/>
            <w:tcMar>
              <w:top w:w="57" w:type="dxa"/>
              <w:left w:w="57" w:type="dxa"/>
              <w:bottom w:w="57" w:type="dxa"/>
              <w:right w:w="57" w:type="dxa"/>
            </w:tcMar>
            <w:vAlign w:val="center"/>
          </w:tcPr>
          <w:p w14:paraId="722FE1B8">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《多联式空调（热泵）机组能效限定值及能源效率等级》(GB21454)</w:t>
            </w:r>
          </w:p>
        </w:tc>
      </w:tr>
      <w:tr w14:paraId="200F564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Mar>
              <w:top w:w="57" w:type="dxa"/>
              <w:left w:w="57" w:type="dxa"/>
              <w:bottom w:w="57" w:type="dxa"/>
              <w:right w:w="57" w:type="dxa"/>
            </w:tcMar>
            <w:vAlign w:val="center"/>
          </w:tcPr>
          <w:p w14:paraId="5FE28FF2">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1286" w:type="dxa"/>
            <w:vMerge w:val="continue"/>
            <w:tcMar>
              <w:top w:w="57" w:type="dxa"/>
              <w:left w:w="57" w:type="dxa"/>
              <w:bottom w:w="57" w:type="dxa"/>
              <w:right w:w="57" w:type="dxa"/>
            </w:tcMar>
            <w:vAlign w:val="center"/>
          </w:tcPr>
          <w:p w14:paraId="5FD9B04E">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1986" w:type="dxa"/>
            <w:vMerge w:val="continue"/>
            <w:tcMar>
              <w:top w:w="57" w:type="dxa"/>
              <w:left w:w="57" w:type="dxa"/>
              <w:bottom w:w="57" w:type="dxa"/>
              <w:right w:w="57" w:type="dxa"/>
            </w:tcMar>
            <w:vAlign w:val="center"/>
          </w:tcPr>
          <w:p w14:paraId="16C7212E">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2113" w:type="dxa"/>
            <w:tcMar>
              <w:top w:w="57" w:type="dxa"/>
              <w:left w:w="57" w:type="dxa"/>
              <w:bottom w:w="57" w:type="dxa"/>
              <w:right w:w="57" w:type="dxa"/>
            </w:tcMar>
            <w:vAlign w:val="center"/>
          </w:tcPr>
          <w:p w14:paraId="6EF91546">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单元式空气调节机（制冷量≤14000W）</w:t>
            </w:r>
          </w:p>
        </w:tc>
        <w:tc>
          <w:tcPr>
            <w:tcW w:w="3278" w:type="dxa"/>
            <w:tcMar>
              <w:top w:w="57" w:type="dxa"/>
              <w:left w:w="57" w:type="dxa"/>
              <w:bottom w:w="57" w:type="dxa"/>
              <w:right w:w="57" w:type="dxa"/>
            </w:tcMar>
            <w:vAlign w:val="center"/>
          </w:tcPr>
          <w:p w14:paraId="3DFC3C4E">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《单元式空气调节机能效限定值及能源效率等级》(GB19576)《风管送风式空调机组能效限定值及能效等级》(GB37479)</w:t>
            </w:r>
          </w:p>
        </w:tc>
      </w:tr>
      <w:tr w14:paraId="41A11FD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Mar>
              <w:top w:w="57" w:type="dxa"/>
              <w:left w:w="57" w:type="dxa"/>
              <w:bottom w:w="57" w:type="dxa"/>
              <w:right w:w="57" w:type="dxa"/>
            </w:tcMar>
            <w:vAlign w:val="center"/>
          </w:tcPr>
          <w:p w14:paraId="4CB02EEC">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1286" w:type="dxa"/>
            <w:vMerge w:val="continue"/>
            <w:tcMar>
              <w:top w:w="57" w:type="dxa"/>
              <w:left w:w="57" w:type="dxa"/>
              <w:bottom w:w="57" w:type="dxa"/>
              <w:right w:w="57" w:type="dxa"/>
            </w:tcMar>
            <w:vAlign w:val="center"/>
          </w:tcPr>
          <w:p w14:paraId="5D0ABACC">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1986" w:type="dxa"/>
            <w:tcMar>
              <w:top w:w="57" w:type="dxa"/>
              <w:left w:w="57" w:type="dxa"/>
              <w:bottom w:w="57" w:type="dxa"/>
              <w:right w:w="57" w:type="dxa"/>
            </w:tcMar>
            <w:vAlign w:val="center"/>
          </w:tcPr>
          <w:p w14:paraId="0361A0B0">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A0206180301洗衣机</w:t>
            </w:r>
          </w:p>
        </w:tc>
        <w:tc>
          <w:tcPr>
            <w:tcW w:w="2113" w:type="dxa"/>
            <w:tcMar>
              <w:top w:w="57" w:type="dxa"/>
              <w:left w:w="57" w:type="dxa"/>
              <w:bottom w:w="57" w:type="dxa"/>
              <w:right w:w="57" w:type="dxa"/>
            </w:tcMar>
            <w:vAlign w:val="center"/>
          </w:tcPr>
          <w:p w14:paraId="61F1DB72">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3278" w:type="dxa"/>
            <w:tcMar>
              <w:top w:w="57" w:type="dxa"/>
              <w:left w:w="57" w:type="dxa"/>
              <w:bottom w:w="57" w:type="dxa"/>
              <w:right w:w="57" w:type="dxa"/>
            </w:tcMar>
            <w:vAlign w:val="center"/>
          </w:tcPr>
          <w:p w14:paraId="50F215CD">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《电动洗衣机能效水效限定值及等级》(GB12021.4)</w:t>
            </w:r>
          </w:p>
        </w:tc>
      </w:tr>
      <w:tr w14:paraId="73F5D9E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Mar>
              <w:top w:w="57" w:type="dxa"/>
              <w:left w:w="57" w:type="dxa"/>
              <w:bottom w:w="57" w:type="dxa"/>
              <w:right w:w="57" w:type="dxa"/>
            </w:tcMar>
            <w:vAlign w:val="center"/>
          </w:tcPr>
          <w:p w14:paraId="4964D271">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1286" w:type="dxa"/>
            <w:vMerge w:val="continue"/>
            <w:tcMar>
              <w:top w:w="57" w:type="dxa"/>
              <w:left w:w="57" w:type="dxa"/>
              <w:bottom w:w="57" w:type="dxa"/>
              <w:right w:w="57" w:type="dxa"/>
            </w:tcMar>
            <w:vAlign w:val="center"/>
          </w:tcPr>
          <w:p w14:paraId="0F40F22B">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1986" w:type="dxa"/>
            <w:vMerge w:val="restart"/>
            <w:tcMar>
              <w:top w:w="57" w:type="dxa"/>
              <w:left w:w="57" w:type="dxa"/>
              <w:bottom w:w="57" w:type="dxa"/>
              <w:right w:w="57" w:type="dxa"/>
            </w:tcMar>
            <w:vAlign w:val="center"/>
          </w:tcPr>
          <w:p w14:paraId="63127A1A">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A02061808热水器</w:t>
            </w:r>
          </w:p>
        </w:tc>
        <w:tc>
          <w:tcPr>
            <w:tcW w:w="2113" w:type="dxa"/>
            <w:tcMar>
              <w:top w:w="57" w:type="dxa"/>
              <w:left w:w="57" w:type="dxa"/>
              <w:bottom w:w="57" w:type="dxa"/>
              <w:right w:w="57" w:type="dxa"/>
            </w:tcMar>
            <w:vAlign w:val="center"/>
          </w:tcPr>
          <w:p w14:paraId="58545561">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★电热水器</w:t>
            </w:r>
          </w:p>
        </w:tc>
        <w:tc>
          <w:tcPr>
            <w:tcW w:w="3278" w:type="dxa"/>
            <w:tcMar>
              <w:top w:w="57" w:type="dxa"/>
              <w:left w:w="57" w:type="dxa"/>
              <w:bottom w:w="57" w:type="dxa"/>
              <w:right w:w="57" w:type="dxa"/>
            </w:tcMar>
            <w:vAlign w:val="center"/>
          </w:tcPr>
          <w:p w14:paraId="726A40C2">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《储水式电热水器能效限定值及能效等级》(GB21519)</w:t>
            </w:r>
          </w:p>
        </w:tc>
      </w:tr>
      <w:tr w14:paraId="707AB40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Mar>
              <w:top w:w="57" w:type="dxa"/>
              <w:left w:w="57" w:type="dxa"/>
              <w:bottom w:w="57" w:type="dxa"/>
              <w:right w:w="57" w:type="dxa"/>
            </w:tcMar>
            <w:vAlign w:val="center"/>
          </w:tcPr>
          <w:p w14:paraId="4DF0EE6C">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1286" w:type="dxa"/>
            <w:vMerge w:val="continue"/>
            <w:tcMar>
              <w:top w:w="57" w:type="dxa"/>
              <w:left w:w="57" w:type="dxa"/>
              <w:bottom w:w="57" w:type="dxa"/>
              <w:right w:w="57" w:type="dxa"/>
            </w:tcMar>
            <w:vAlign w:val="center"/>
          </w:tcPr>
          <w:p w14:paraId="0761EC2A">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1986" w:type="dxa"/>
            <w:vMerge w:val="continue"/>
            <w:tcMar>
              <w:top w:w="57" w:type="dxa"/>
              <w:left w:w="57" w:type="dxa"/>
              <w:bottom w:w="57" w:type="dxa"/>
              <w:right w:w="57" w:type="dxa"/>
            </w:tcMar>
            <w:vAlign w:val="center"/>
          </w:tcPr>
          <w:p w14:paraId="5CBD50A8">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2113" w:type="dxa"/>
            <w:tcMar>
              <w:top w:w="57" w:type="dxa"/>
              <w:left w:w="57" w:type="dxa"/>
              <w:bottom w:w="57" w:type="dxa"/>
              <w:right w:w="57" w:type="dxa"/>
            </w:tcMar>
            <w:vAlign w:val="center"/>
          </w:tcPr>
          <w:p w14:paraId="3FBB6A37">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燃气热水器</w:t>
            </w:r>
          </w:p>
        </w:tc>
        <w:tc>
          <w:tcPr>
            <w:tcW w:w="3278" w:type="dxa"/>
            <w:tcMar>
              <w:top w:w="57" w:type="dxa"/>
              <w:left w:w="57" w:type="dxa"/>
              <w:bottom w:w="57" w:type="dxa"/>
              <w:right w:w="57" w:type="dxa"/>
            </w:tcMar>
            <w:vAlign w:val="center"/>
          </w:tcPr>
          <w:p w14:paraId="43909CBA">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《家用燃气快速热水器和燃气采暖热水炉能效限定值及能效等级》(GB20665)</w:t>
            </w:r>
          </w:p>
        </w:tc>
      </w:tr>
      <w:tr w14:paraId="2BCDDB6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Mar>
              <w:top w:w="57" w:type="dxa"/>
              <w:left w:w="57" w:type="dxa"/>
              <w:bottom w:w="57" w:type="dxa"/>
              <w:right w:w="57" w:type="dxa"/>
            </w:tcMar>
            <w:vAlign w:val="center"/>
          </w:tcPr>
          <w:p w14:paraId="78EA7DD6">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1286" w:type="dxa"/>
            <w:vMerge w:val="continue"/>
            <w:tcMar>
              <w:top w:w="57" w:type="dxa"/>
              <w:left w:w="57" w:type="dxa"/>
              <w:bottom w:w="57" w:type="dxa"/>
              <w:right w:w="57" w:type="dxa"/>
            </w:tcMar>
            <w:vAlign w:val="center"/>
          </w:tcPr>
          <w:p w14:paraId="7F7ED6CA">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1986" w:type="dxa"/>
            <w:vMerge w:val="continue"/>
            <w:tcMar>
              <w:top w:w="57" w:type="dxa"/>
              <w:left w:w="57" w:type="dxa"/>
              <w:bottom w:w="57" w:type="dxa"/>
              <w:right w:w="57" w:type="dxa"/>
            </w:tcMar>
            <w:vAlign w:val="center"/>
          </w:tcPr>
          <w:p w14:paraId="58BDE208">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2113" w:type="dxa"/>
            <w:tcMar>
              <w:top w:w="57" w:type="dxa"/>
              <w:left w:w="57" w:type="dxa"/>
              <w:bottom w:w="57" w:type="dxa"/>
              <w:right w:w="57" w:type="dxa"/>
            </w:tcMar>
            <w:vAlign w:val="center"/>
          </w:tcPr>
          <w:p w14:paraId="414C050D">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热泵热水器</w:t>
            </w:r>
          </w:p>
        </w:tc>
        <w:tc>
          <w:tcPr>
            <w:tcW w:w="3278" w:type="dxa"/>
            <w:tcMar>
              <w:top w:w="57" w:type="dxa"/>
              <w:left w:w="57" w:type="dxa"/>
              <w:bottom w:w="57" w:type="dxa"/>
              <w:right w:w="57" w:type="dxa"/>
            </w:tcMar>
            <w:vAlign w:val="center"/>
          </w:tcPr>
          <w:p w14:paraId="2671C1AD">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《热泵热水机（器）能效限定值及能效等级》(GB29541)</w:t>
            </w:r>
          </w:p>
        </w:tc>
      </w:tr>
      <w:tr w14:paraId="3263014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Mar>
              <w:top w:w="57" w:type="dxa"/>
              <w:left w:w="57" w:type="dxa"/>
              <w:bottom w:w="57" w:type="dxa"/>
              <w:right w:w="57" w:type="dxa"/>
            </w:tcMar>
            <w:vAlign w:val="center"/>
          </w:tcPr>
          <w:p w14:paraId="2862FB8F">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1286" w:type="dxa"/>
            <w:vMerge w:val="continue"/>
            <w:tcMar>
              <w:top w:w="57" w:type="dxa"/>
              <w:left w:w="57" w:type="dxa"/>
              <w:bottom w:w="57" w:type="dxa"/>
              <w:right w:w="57" w:type="dxa"/>
            </w:tcMar>
            <w:vAlign w:val="center"/>
          </w:tcPr>
          <w:p w14:paraId="6B42566F">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1986" w:type="dxa"/>
            <w:vMerge w:val="continue"/>
            <w:tcMar>
              <w:top w:w="57" w:type="dxa"/>
              <w:left w:w="57" w:type="dxa"/>
              <w:bottom w:w="57" w:type="dxa"/>
              <w:right w:w="57" w:type="dxa"/>
            </w:tcMar>
            <w:vAlign w:val="center"/>
          </w:tcPr>
          <w:p w14:paraId="65DCDA23">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2113" w:type="dxa"/>
            <w:tcMar>
              <w:top w:w="57" w:type="dxa"/>
              <w:left w:w="57" w:type="dxa"/>
              <w:bottom w:w="57" w:type="dxa"/>
              <w:right w:w="57" w:type="dxa"/>
            </w:tcMar>
            <w:vAlign w:val="center"/>
          </w:tcPr>
          <w:p w14:paraId="1FDE05CF">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太阳能热水系统</w:t>
            </w:r>
          </w:p>
        </w:tc>
        <w:tc>
          <w:tcPr>
            <w:tcW w:w="3278" w:type="dxa"/>
            <w:tcMar>
              <w:top w:w="57" w:type="dxa"/>
              <w:left w:w="57" w:type="dxa"/>
              <w:bottom w:w="57" w:type="dxa"/>
              <w:right w:w="57" w:type="dxa"/>
            </w:tcMar>
            <w:vAlign w:val="center"/>
          </w:tcPr>
          <w:p w14:paraId="7F1D3917">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《家用太阳能热水系统能效限定值及能效等级》(GB26969)</w:t>
            </w:r>
          </w:p>
        </w:tc>
      </w:tr>
      <w:tr w14:paraId="19CD1E5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restart"/>
            <w:tcMar>
              <w:top w:w="57" w:type="dxa"/>
              <w:left w:w="57" w:type="dxa"/>
              <w:bottom w:w="57" w:type="dxa"/>
              <w:right w:w="57" w:type="dxa"/>
            </w:tcMar>
            <w:vAlign w:val="center"/>
          </w:tcPr>
          <w:p w14:paraId="7E6B9107">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11</w:t>
            </w:r>
          </w:p>
        </w:tc>
        <w:tc>
          <w:tcPr>
            <w:tcW w:w="1286" w:type="dxa"/>
            <w:vMerge w:val="restart"/>
            <w:tcMar>
              <w:top w:w="57" w:type="dxa"/>
              <w:left w:w="57" w:type="dxa"/>
              <w:bottom w:w="57" w:type="dxa"/>
              <w:right w:w="57" w:type="dxa"/>
            </w:tcMar>
            <w:vAlign w:val="center"/>
          </w:tcPr>
          <w:p w14:paraId="43AE9111">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A020619照明设备</w:t>
            </w:r>
          </w:p>
        </w:tc>
        <w:tc>
          <w:tcPr>
            <w:tcW w:w="1986" w:type="dxa"/>
            <w:tcMar>
              <w:top w:w="57" w:type="dxa"/>
              <w:left w:w="57" w:type="dxa"/>
              <w:bottom w:w="57" w:type="dxa"/>
              <w:right w:w="57" w:type="dxa"/>
            </w:tcMar>
            <w:vAlign w:val="center"/>
          </w:tcPr>
          <w:p w14:paraId="213694D2">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★普通照明用双端荧光灯</w:t>
            </w:r>
          </w:p>
        </w:tc>
        <w:tc>
          <w:tcPr>
            <w:tcW w:w="2113" w:type="dxa"/>
            <w:tcMar>
              <w:top w:w="57" w:type="dxa"/>
              <w:left w:w="57" w:type="dxa"/>
              <w:bottom w:w="57" w:type="dxa"/>
              <w:right w:w="57" w:type="dxa"/>
            </w:tcMar>
            <w:vAlign w:val="center"/>
          </w:tcPr>
          <w:p w14:paraId="6F76C5EC">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3278" w:type="dxa"/>
            <w:tcMar>
              <w:top w:w="57" w:type="dxa"/>
              <w:left w:w="57" w:type="dxa"/>
              <w:bottom w:w="57" w:type="dxa"/>
              <w:right w:w="57" w:type="dxa"/>
            </w:tcMar>
            <w:vAlign w:val="center"/>
          </w:tcPr>
          <w:p w14:paraId="55E8DBE0">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《普通照明用双端荧光灯能效限定值及能效等级》(GB19043)</w:t>
            </w:r>
          </w:p>
        </w:tc>
      </w:tr>
      <w:tr w14:paraId="269310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Mar>
              <w:top w:w="57" w:type="dxa"/>
              <w:left w:w="57" w:type="dxa"/>
              <w:bottom w:w="57" w:type="dxa"/>
              <w:right w:w="57" w:type="dxa"/>
            </w:tcMar>
            <w:vAlign w:val="center"/>
          </w:tcPr>
          <w:p w14:paraId="30A51624">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1286" w:type="dxa"/>
            <w:vMerge w:val="continue"/>
            <w:tcMar>
              <w:top w:w="57" w:type="dxa"/>
              <w:left w:w="57" w:type="dxa"/>
              <w:bottom w:w="57" w:type="dxa"/>
              <w:right w:w="57" w:type="dxa"/>
            </w:tcMar>
            <w:vAlign w:val="center"/>
          </w:tcPr>
          <w:p w14:paraId="6979640C">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1986" w:type="dxa"/>
            <w:tcMar>
              <w:top w:w="57" w:type="dxa"/>
              <w:left w:w="57" w:type="dxa"/>
              <w:bottom w:w="57" w:type="dxa"/>
              <w:right w:w="57" w:type="dxa"/>
            </w:tcMar>
            <w:vAlign w:val="center"/>
          </w:tcPr>
          <w:p w14:paraId="132E0054">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LED道路/隧道照明产品</w:t>
            </w:r>
          </w:p>
        </w:tc>
        <w:tc>
          <w:tcPr>
            <w:tcW w:w="2113" w:type="dxa"/>
            <w:tcMar>
              <w:top w:w="57" w:type="dxa"/>
              <w:left w:w="57" w:type="dxa"/>
              <w:bottom w:w="57" w:type="dxa"/>
              <w:right w:w="57" w:type="dxa"/>
            </w:tcMar>
            <w:vAlign w:val="center"/>
          </w:tcPr>
          <w:p w14:paraId="4A0315F5">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3278" w:type="dxa"/>
            <w:tcMar>
              <w:top w:w="57" w:type="dxa"/>
              <w:left w:w="57" w:type="dxa"/>
              <w:bottom w:w="57" w:type="dxa"/>
              <w:right w:w="57" w:type="dxa"/>
            </w:tcMar>
            <w:vAlign w:val="center"/>
          </w:tcPr>
          <w:p w14:paraId="511C78A4">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《道路和隧道照明用LED灯具能效限定值及能效等级》(GB37478)</w:t>
            </w:r>
          </w:p>
        </w:tc>
      </w:tr>
      <w:tr w14:paraId="0475F62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Mar>
              <w:top w:w="57" w:type="dxa"/>
              <w:left w:w="57" w:type="dxa"/>
              <w:bottom w:w="57" w:type="dxa"/>
              <w:right w:w="57" w:type="dxa"/>
            </w:tcMar>
            <w:vAlign w:val="center"/>
          </w:tcPr>
          <w:p w14:paraId="234EB5E4">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1286" w:type="dxa"/>
            <w:vMerge w:val="continue"/>
            <w:tcMar>
              <w:top w:w="57" w:type="dxa"/>
              <w:left w:w="57" w:type="dxa"/>
              <w:bottom w:w="57" w:type="dxa"/>
              <w:right w:w="57" w:type="dxa"/>
            </w:tcMar>
            <w:vAlign w:val="center"/>
          </w:tcPr>
          <w:p w14:paraId="54A5ECCB">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1986" w:type="dxa"/>
            <w:tcMar>
              <w:top w:w="57" w:type="dxa"/>
              <w:left w:w="57" w:type="dxa"/>
              <w:bottom w:w="57" w:type="dxa"/>
              <w:right w:w="57" w:type="dxa"/>
            </w:tcMar>
            <w:vAlign w:val="center"/>
          </w:tcPr>
          <w:p w14:paraId="626C1A59">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LED筒灯</w:t>
            </w:r>
          </w:p>
        </w:tc>
        <w:tc>
          <w:tcPr>
            <w:tcW w:w="2113" w:type="dxa"/>
            <w:tcMar>
              <w:top w:w="57" w:type="dxa"/>
              <w:left w:w="57" w:type="dxa"/>
              <w:bottom w:w="57" w:type="dxa"/>
              <w:right w:w="57" w:type="dxa"/>
            </w:tcMar>
            <w:vAlign w:val="center"/>
          </w:tcPr>
          <w:p w14:paraId="6654929D">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3278" w:type="dxa"/>
            <w:tcMar>
              <w:top w:w="57" w:type="dxa"/>
              <w:left w:w="57" w:type="dxa"/>
              <w:bottom w:w="57" w:type="dxa"/>
              <w:right w:w="57" w:type="dxa"/>
            </w:tcMar>
            <w:vAlign w:val="center"/>
          </w:tcPr>
          <w:p w14:paraId="7E31408A">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《室内照明用LED产品能效限定值及能效等级》(GB30255)</w:t>
            </w:r>
          </w:p>
        </w:tc>
      </w:tr>
      <w:tr w14:paraId="6DBFC3D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Mar>
              <w:top w:w="57" w:type="dxa"/>
              <w:left w:w="57" w:type="dxa"/>
              <w:bottom w:w="57" w:type="dxa"/>
              <w:right w:w="57" w:type="dxa"/>
            </w:tcMar>
            <w:vAlign w:val="center"/>
          </w:tcPr>
          <w:p w14:paraId="04530B4C">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1286" w:type="dxa"/>
            <w:vMerge w:val="continue"/>
            <w:tcMar>
              <w:top w:w="57" w:type="dxa"/>
              <w:left w:w="57" w:type="dxa"/>
              <w:bottom w:w="57" w:type="dxa"/>
              <w:right w:w="57" w:type="dxa"/>
            </w:tcMar>
            <w:vAlign w:val="center"/>
          </w:tcPr>
          <w:p w14:paraId="24DB2C95">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1986" w:type="dxa"/>
            <w:tcMar>
              <w:top w:w="57" w:type="dxa"/>
              <w:left w:w="57" w:type="dxa"/>
              <w:bottom w:w="57" w:type="dxa"/>
              <w:right w:w="57" w:type="dxa"/>
            </w:tcMar>
            <w:vAlign w:val="center"/>
          </w:tcPr>
          <w:p w14:paraId="62E42EEB">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普通照明用非定向自镇流LED灯</w:t>
            </w:r>
          </w:p>
        </w:tc>
        <w:tc>
          <w:tcPr>
            <w:tcW w:w="2113" w:type="dxa"/>
            <w:tcMar>
              <w:top w:w="57" w:type="dxa"/>
              <w:left w:w="57" w:type="dxa"/>
              <w:bottom w:w="57" w:type="dxa"/>
              <w:right w:w="57" w:type="dxa"/>
            </w:tcMar>
            <w:vAlign w:val="center"/>
          </w:tcPr>
          <w:p w14:paraId="184AA769">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3278" w:type="dxa"/>
            <w:tcMar>
              <w:top w:w="57" w:type="dxa"/>
              <w:left w:w="57" w:type="dxa"/>
              <w:bottom w:w="57" w:type="dxa"/>
              <w:right w:w="57" w:type="dxa"/>
            </w:tcMar>
            <w:vAlign w:val="center"/>
          </w:tcPr>
          <w:p w14:paraId="25FAA3CE">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《室内照明用LED产品能效限定值及能效等级》(GB30255)</w:t>
            </w:r>
          </w:p>
        </w:tc>
      </w:tr>
      <w:tr w14:paraId="01D6AD7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tcMar>
              <w:top w:w="57" w:type="dxa"/>
              <w:left w:w="57" w:type="dxa"/>
              <w:bottom w:w="57" w:type="dxa"/>
              <w:right w:w="57" w:type="dxa"/>
            </w:tcMar>
            <w:vAlign w:val="center"/>
          </w:tcPr>
          <w:p w14:paraId="4A163DE5">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12</w:t>
            </w:r>
          </w:p>
        </w:tc>
        <w:tc>
          <w:tcPr>
            <w:tcW w:w="1286" w:type="dxa"/>
            <w:tcMar>
              <w:top w:w="57" w:type="dxa"/>
              <w:left w:w="57" w:type="dxa"/>
              <w:bottom w:w="57" w:type="dxa"/>
              <w:right w:w="57" w:type="dxa"/>
            </w:tcMar>
            <w:vAlign w:val="center"/>
          </w:tcPr>
          <w:p w14:paraId="5785C23C">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★A020910电视设备</w:t>
            </w:r>
          </w:p>
        </w:tc>
        <w:tc>
          <w:tcPr>
            <w:tcW w:w="1986" w:type="dxa"/>
            <w:tcMar>
              <w:top w:w="57" w:type="dxa"/>
              <w:left w:w="57" w:type="dxa"/>
              <w:bottom w:w="57" w:type="dxa"/>
              <w:right w:w="57" w:type="dxa"/>
            </w:tcMar>
            <w:vAlign w:val="center"/>
          </w:tcPr>
          <w:p w14:paraId="36599342">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A02091001普通电视设备（电视机）</w:t>
            </w:r>
          </w:p>
        </w:tc>
        <w:tc>
          <w:tcPr>
            <w:tcW w:w="2113" w:type="dxa"/>
            <w:tcMar>
              <w:top w:w="57" w:type="dxa"/>
              <w:left w:w="57" w:type="dxa"/>
              <w:bottom w:w="57" w:type="dxa"/>
              <w:right w:w="57" w:type="dxa"/>
            </w:tcMar>
            <w:vAlign w:val="center"/>
          </w:tcPr>
          <w:p w14:paraId="15A14A9A">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3278" w:type="dxa"/>
            <w:tcMar>
              <w:top w:w="57" w:type="dxa"/>
              <w:left w:w="57" w:type="dxa"/>
              <w:bottom w:w="57" w:type="dxa"/>
              <w:right w:w="57" w:type="dxa"/>
            </w:tcMar>
            <w:vAlign w:val="center"/>
          </w:tcPr>
          <w:p w14:paraId="1AD3EA02">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《平板电视能效限定值及能效等级》(GB24850)</w:t>
            </w:r>
          </w:p>
        </w:tc>
      </w:tr>
      <w:tr w14:paraId="4E60AEB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tcMar>
              <w:top w:w="57" w:type="dxa"/>
              <w:left w:w="57" w:type="dxa"/>
              <w:bottom w:w="57" w:type="dxa"/>
              <w:right w:w="57" w:type="dxa"/>
            </w:tcMar>
            <w:vAlign w:val="center"/>
          </w:tcPr>
          <w:p w14:paraId="4D5F2D5E">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13</w:t>
            </w:r>
          </w:p>
        </w:tc>
        <w:tc>
          <w:tcPr>
            <w:tcW w:w="1286" w:type="dxa"/>
            <w:tcMar>
              <w:top w:w="57" w:type="dxa"/>
              <w:left w:w="57" w:type="dxa"/>
              <w:bottom w:w="57" w:type="dxa"/>
              <w:right w:w="57" w:type="dxa"/>
            </w:tcMar>
            <w:vAlign w:val="center"/>
          </w:tcPr>
          <w:p w14:paraId="2DB8E06E">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★A020911视频设备</w:t>
            </w:r>
          </w:p>
        </w:tc>
        <w:tc>
          <w:tcPr>
            <w:tcW w:w="1986" w:type="dxa"/>
            <w:tcMar>
              <w:top w:w="57" w:type="dxa"/>
              <w:left w:w="57" w:type="dxa"/>
              <w:bottom w:w="57" w:type="dxa"/>
              <w:right w:w="57" w:type="dxa"/>
            </w:tcMar>
            <w:vAlign w:val="center"/>
          </w:tcPr>
          <w:p w14:paraId="60602785">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A02091107视频监控设备</w:t>
            </w:r>
          </w:p>
        </w:tc>
        <w:tc>
          <w:tcPr>
            <w:tcW w:w="2113" w:type="dxa"/>
            <w:tcMar>
              <w:top w:w="57" w:type="dxa"/>
              <w:left w:w="57" w:type="dxa"/>
              <w:bottom w:w="57" w:type="dxa"/>
              <w:right w:w="57" w:type="dxa"/>
            </w:tcMar>
            <w:vAlign w:val="center"/>
          </w:tcPr>
          <w:p w14:paraId="1061560F">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监视器</w:t>
            </w:r>
          </w:p>
        </w:tc>
        <w:tc>
          <w:tcPr>
            <w:tcW w:w="3278" w:type="dxa"/>
            <w:tcMar>
              <w:top w:w="57" w:type="dxa"/>
              <w:left w:w="57" w:type="dxa"/>
              <w:bottom w:w="57" w:type="dxa"/>
              <w:right w:w="57" w:type="dxa"/>
            </w:tcMar>
            <w:vAlign w:val="center"/>
          </w:tcPr>
          <w:p w14:paraId="076F7824">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以射频信号为主要信号输入的监视器应符合《平板电视能效限定值及能效等级》(GB24850)，以数字信号为主要信号输入的监视器应符合《计算机显示器能效限定值及能效等级》(GB21520)</w:t>
            </w:r>
          </w:p>
        </w:tc>
      </w:tr>
      <w:tr w14:paraId="08375D7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tcMar>
              <w:top w:w="57" w:type="dxa"/>
              <w:left w:w="57" w:type="dxa"/>
              <w:bottom w:w="57" w:type="dxa"/>
              <w:right w:w="57" w:type="dxa"/>
            </w:tcMar>
            <w:vAlign w:val="center"/>
          </w:tcPr>
          <w:p w14:paraId="17B3B78A">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14</w:t>
            </w:r>
          </w:p>
        </w:tc>
        <w:tc>
          <w:tcPr>
            <w:tcW w:w="1286" w:type="dxa"/>
            <w:tcMar>
              <w:top w:w="57" w:type="dxa"/>
              <w:left w:w="57" w:type="dxa"/>
              <w:bottom w:w="57" w:type="dxa"/>
              <w:right w:w="57" w:type="dxa"/>
            </w:tcMar>
            <w:vAlign w:val="center"/>
          </w:tcPr>
          <w:p w14:paraId="327BEC6E">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A031210饮食炊事机械</w:t>
            </w:r>
          </w:p>
        </w:tc>
        <w:tc>
          <w:tcPr>
            <w:tcW w:w="1986" w:type="dxa"/>
            <w:tcMar>
              <w:top w:w="57" w:type="dxa"/>
              <w:left w:w="57" w:type="dxa"/>
              <w:bottom w:w="57" w:type="dxa"/>
              <w:right w:w="57" w:type="dxa"/>
            </w:tcMar>
            <w:vAlign w:val="center"/>
          </w:tcPr>
          <w:p w14:paraId="60F40BE9">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商用燃气灶具</w:t>
            </w:r>
          </w:p>
        </w:tc>
        <w:tc>
          <w:tcPr>
            <w:tcW w:w="2113" w:type="dxa"/>
            <w:tcMar>
              <w:top w:w="57" w:type="dxa"/>
              <w:left w:w="57" w:type="dxa"/>
              <w:bottom w:w="57" w:type="dxa"/>
              <w:right w:w="57" w:type="dxa"/>
            </w:tcMar>
            <w:vAlign w:val="center"/>
          </w:tcPr>
          <w:p w14:paraId="6B9BA67F">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3278" w:type="dxa"/>
            <w:tcMar>
              <w:top w:w="57" w:type="dxa"/>
              <w:left w:w="57" w:type="dxa"/>
              <w:bottom w:w="57" w:type="dxa"/>
              <w:right w:w="57" w:type="dxa"/>
            </w:tcMar>
            <w:vAlign w:val="center"/>
          </w:tcPr>
          <w:p w14:paraId="321E2C22">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《商用燃气灶具能效限定值及能效等级》(GB30531)</w:t>
            </w:r>
          </w:p>
        </w:tc>
      </w:tr>
      <w:tr w14:paraId="0060777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restart"/>
            <w:tcMar>
              <w:top w:w="57" w:type="dxa"/>
              <w:left w:w="57" w:type="dxa"/>
              <w:bottom w:w="57" w:type="dxa"/>
              <w:right w:w="57" w:type="dxa"/>
            </w:tcMar>
            <w:vAlign w:val="center"/>
          </w:tcPr>
          <w:p w14:paraId="374549FB">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15</w:t>
            </w:r>
          </w:p>
        </w:tc>
        <w:tc>
          <w:tcPr>
            <w:tcW w:w="1286" w:type="dxa"/>
            <w:vMerge w:val="restart"/>
            <w:tcMar>
              <w:top w:w="57" w:type="dxa"/>
              <w:left w:w="57" w:type="dxa"/>
              <w:bottom w:w="57" w:type="dxa"/>
              <w:right w:w="57" w:type="dxa"/>
            </w:tcMar>
            <w:vAlign w:val="center"/>
          </w:tcPr>
          <w:p w14:paraId="39ABEB4F">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★A060805便器</w:t>
            </w:r>
          </w:p>
        </w:tc>
        <w:tc>
          <w:tcPr>
            <w:tcW w:w="1986" w:type="dxa"/>
            <w:tcMar>
              <w:top w:w="57" w:type="dxa"/>
              <w:left w:w="57" w:type="dxa"/>
              <w:bottom w:w="57" w:type="dxa"/>
              <w:right w:w="57" w:type="dxa"/>
            </w:tcMar>
            <w:vAlign w:val="center"/>
          </w:tcPr>
          <w:p w14:paraId="695B2F68">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坐便器</w:t>
            </w:r>
          </w:p>
        </w:tc>
        <w:tc>
          <w:tcPr>
            <w:tcW w:w="2113" w:type="dxa"/>
            <w:tcMar>
              <w:top w:w="57" w:type="dxa"/>
              <w:left w:w="57" w:type="dxa"/>
              <w:bottom w:w="57" w:type="dxa"/>
              <w:right w:w="57" w:type="dxa"/>
            </w:tcMar>
            <w:vAlign w:val="center"/>
          </w:tcPr>
          <w:p w14:paraId="402AB27F">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3278" w:type="dxa"/>
            <w:tcMar>
              <w:top w:w="57" w:type="dxa"/>
              <w:left w:w="57" w:type="dxa"/>
              <w:bottom w:w="57" w:type="dxa"/>
              <w:right w:w="57" w:type="dxa"/>
            </w:tcMar>
            <w:vAlign w:val="center"/>
          </w:tcPr>
          <w:p w14:paraId="79FB6CD9">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《坐便器水效限定值及水效等级》(GB25502)</w:t>
            </w:r>
          </w:p>
        </w:tc>
      </w:tr>
      <w:tr w14:paraId="0D3F73C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Mar>
              <w:top w:w="57" w:type="dxa"/>
              <w:left w:w="57" w:type="dxa"/>
              <w:bottom w:w="57" w:type="dxa"/>
              <w:right w:w="57" w:type="dxa"/>
            </w:tcMar>
            <w:vAlign w:val="center"/>
          </w:tcPr>
          <w:p w14:paraId="515458C0">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1286" w:type="dxa"/>
            <w:vMerge w:val="continue"/>
            <w:tcMar>
              <w:top w:w="57" w:type="dxa"/>
              <w:left w:w="57" w:type="dxa"/>
              <w:bottom w:w="57" w:type="dxa"/>
              <w:right w:w="57" w:type="dxa"/>
            </w:tcMar>
            <w:vAlign w:val="center"/>
          </w:tcPr>
          <w:p w14:paraId="28F9F551">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1986" w:type="dxa"/>
            <w:tcMar>
              <w:top w:w="57" w:type="dxa"/>
              <w:left w:w="57" w:type="dxa"/>
              <w:bottom w:w="57" w:type="dxa"/>
              <w:right w:w="57" w:type="dxa"/>
            </w:tcMar>
            <w:vAlign w:val="center"/>
          </w:tcPr>
          <w:p w14:paraId="75A6A752">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蹲便器</w:t>
            </w:r>
          </w:p>
        </w:tc>
        <w:tc>
          <w:tcPr>
            <w:tcW w:w="2113" w:type="dxa"/>
            <w:tcMar>
              <w:top w:w="57" w:type="dxa"/>
              <w:left w:w="57" w:type="dxa"/>
              <w:bottom w:w="57" w:type="dxa"/>
              <w:right w:w="57" w:type="dxa"/>
            </w:tcMar>
            <w:vAlign w:val="center"/>
          </w:tcPr>
          <w:p w14:paraId="2BF6CE5B">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3278" w:type="dxa"/>
            <w:tcMar>
              <w:top w:w="57" w:type="dxa"/>
              <w:left w:w="57" w:type="dxa"/>
              <w:bottom w:w="57" w:type="dxa"/>
              <w:right w:w="57" w:type="dxa"/>
            </w:tcMar>
            <w:vAlign w:val="center"/>
          </w:tcPr>
          <w:p w14:paraId="30AFB94B">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《蹲便器用水效率限定值及用水效率等级》(GB30717)</w:t>
            </w:r>
          </w:p>
        </w:tc>
      </w:tr>
      <w:tr w14:paraId="2EF9445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Mar>
              <w:top w:w="57" w:type="dxa"/>
              <w:left w:w="57" w:type="dxa"/>
              <w:bottom w:w="57" w:type="dxa"/>
              <w:right w:w="57" w:type="dxa"/>
            </w:tcMar>
            <w:vAlign w:val="center"/>
          </w:tcPr>
          <w:p w14:paraId="1D39B060">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1286" w:type="dxa"/>
            <w:vMerge w:val="continue"/>
            <w:tcMar>
              <w:top w:w="57" w:type="dxa"/>
              <w:left w:w="57" w:type="dxa"/>
              <w:bottom w:w="57" w:type="dxa"/>
              <w:right w:w="57" w:type="dxa"/>
            </w:tcMar>
            <w:vAlign w:val="center"/>
          </w:tcPr>
          <w:p w14:paraId="7880FA3A">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1986" w:type="dxa"/>
            <w:tcMar>
              <w:top w:w="57" w:type="dxa"/>
              <w:left w:w="57" w:type="dxa"/>
              <w:bottom w:w="57" w:type="dxa"/>
              <w:right w:w="57" w:type="dxa"/>
            </w:tcMar>
            <w:vAlign w:val="center"/>
          </w:tcPr>
          <w:p w14:paraId="55D32FF2">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小便器</w:t>
            </w:r>
          </w:p>
        </w:tc>
        <w:tc>
          <w:tcPr>
            <w:tcW w:w="2113" w:type="dxa"/>
            <w:tcMar>
              <w:top w:w="57" w:type="dxa"/>
              <w:left w:w="57" w:type="dxa"/>
              <w:bottom w:w="57" w:type="dxa"/>
              <w:right w:w="57" w:type="dxa"/>
            </w:tcMar>
            <w:vAlign w:val="center"/>
          </w:tcPr>
          <w:p w14:paraId="02E04A79">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3278" w:type="dxa"/>
            <w:tcMar>
              <w:top w:w="57" w:type="dxa"/>
              <w:left w:w="57" w:type="dxa"/>
              <w:bottom w:w="57" w:type="dxa"/>
              <w:right w:w="57" w:type="dxa"/>
            </w:tcMar>
            <w:vAlign w:val="center"/>
          </w:tcPr>
          <w:p w14:paraId="76E70CB6">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《小便器用水效率限定值及用水效率等级》(GB28377)</w:t>
            </w:r>
          </w:p>
        </w:tc>
      </w:tr>
      <w:tr w14:paraId="2643A1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tcMar>
              <w:top w:w="57" w:type="dxa"/>
              <w:left w:w="57" w:type="dxa"/>
              <w:bottom w:w="57" w:type="dxa"/>
              <w:right w:w="57" w:type="dxa"/>
            </w:tcMar>
            <w:vAlign w:val="center"/>
          </w:tcPr>
          <w:p w14:paraId="1E456AD1">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16</w:t>
            </w:r>
          </w:p>
        </w:tc>
        <w:tc>
          <w:tcPr>
            <w:tcW w:w="1286" w:type="dxa"/>
            <w:tcMar>
              <w:top w:w="57" w:type="dxa"/>
              <w:left w:w="57" w:type="dxa"/>
              <w:bottom w:w="57" w:type="dxa"/>
              <w:right w:w="57" w:type="dxa"/>
            </w:tcMar>
            <w:vAlign w:val="center"/>
          </w:tcPr>
          <w:p w14:paraId="342923CF">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★A060806水嘴</w:t>
            </w:r>
          </w:p>
        </w:tc>
        <w:tc>
          <w:tcPr>
            <w:tcW w:w="1986" w:type="dxa"/>
            <w:tcMar>
              <w:top w:w="57" w:type="dxa"/>
              <w:left w:w="57" w:type="dxa"/>
              <w:bottom w:w="57" w:type="dxa"/>
              <w:right w:w="57" w:type="dxa"/>
            </w:tcMar>
            <w:vAlign w:val="center"/>
          </w:tcPr>
          <w:p w14:paraId="45ECE88B">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2113" w:type="dxa"/>
            <w:tcMar>
              <w:top w:w="57" w:type="dxa"/>
              <w:left w:w="57" w:type="dxa"/>
              <w:bottom w:w="57" w:type="dxa"/>
              <w:right w:w="57" w:type="dxa"/>
            </w:tcMar>
            <w:vAlign w:val="center"/>
          </w:tcPr>
          <w:p w14:paraId="49338496">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3278" w:type="dxa"/>
            <w:tcMar>
              <w:top w:w="57" w:type="dxa"/>
              <w:left w:w="57" w:type="dxa"/>
              <w:bottom w:w="57" w:type="dxa"/>
              <w:right w:w="57" w:type="dxa"/>
            </w:tcMar>
            <w:vAlign w:val="center"/>
          </w:tcPr>
          <w:p w14:paraId="20153C37">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《水嘴用水效率限定值及用水效率等级》(GB25501)</w:t>
            </w:r>
          </w:p>
        </w:tc>
      </w:tr>
      <w:tr w14:paraId="29804D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tcMar>
              <w:top w:w="57" w:type="dxa"/>
              <w:left w:w="57" w:type="dxa"/>
              <w:bottom w:w="57" w:type="dxa"/>
              <w:right w:w="57" w:type="dxa"/>
            </w:tcMar>
            <w:vAlign w:val="center"/>
          </w:tcPr>
          <w:p w14:paraId="72EF596E">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17</w:t>
            </w:r>
          </w:p>
        </w:tc>
        <w:tc>
          <w:tcPr>
            <w:tcW w:w="1286" w:type="dxa"/>
            <w:tcMar>
              <w:top w:w="57" w:type="dxa"/>
              <w:left w:w="57" w:type="dxa"/>
              <w:bottom w:w="57" w:type="dxa"/>
              <w:right w:w="57" w:type="dxa"/>
            </w:tcMar>
            <w:vAlign w:val="center"/>
          </w:tcPr>
          <w:p w14:paraId="66EF0C1E">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A060807便器冲洗阀</w:t>
            </w:r>
          </w:p>
        </w:tc>
        <w:tc>
          <w:tcPr>
            <w:tcW w:w="1986" w:type="dxa"/>
            <w:tcMar>
              <w:top w:w="57" w:type="dxa"/>
              <w:left w:w="57" w:type="dxa"/>
              <w:bottom w:w="57" w:type="dxa"/>
              <w:right w:w="57" w:type="dxa"/>
            </w:tcMar>
            <w:vAlign w:val="center"/>
          </w:tcPr>
          <w:p w14:paraId="0EC1D0CB">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2113" w:type="dxa"/>
            <w:tcMar>
              <w:top w:w="57" w:type="dxa"/>
              <w:left w:w="57" w:type="dxa"/>
              <w:bottom w:w="57" w:type="dxa"/>
              <w:right w:w="57" w:type="dxa"/>
            </w:tcMar>
            <w:vAlign w:val="center"/>
          </w:tcPr>
          <w:p w14:paraId="221B3470">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3278" w:type="dxa"/>
            <w:tcMar>
              <w:top w:w="57" w:type="dxa"/>
              <w:left w:w="57" w:type="dxa"/>
              <w:bottom w:w="57" w:type="dxa"/>
              <w:right w:w="57" w:type="dxa"/>
            </w:tcMar>
            <w:vAlign w:val="center"/>
          </w:tcPr>
          <w:p w14:paraId="3CBA9921">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《便器冲洗阀用水效率限定值及用水效率等级》(GB28379)</w:t>
            </w:r>
          </w:p>
        </w:tc>
      </w:tr>
      <w:tr w14:paraId="5564B9D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tcMar>
              <w:top w:w="57" w:type="dxa"/>
              <w:left w:w="57" w:type="dxa"/>
              <w:bottom w:w="57" w:type="dxa"/>
              <w:right w:w="57" w:type="dxa"/>
            </w:tcMar>
            <w:vAlign w:val="center"/>
          </w:tcPr>
          <w:p w14:paraId="6CFBD63A">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18</w:t>
            </w:r>
          </w:p>
        </w:tc>
        <w:tc>
          <w:tcPr>
            <w:tcW w:w="1286" w:type="dxa"/>
            <w:tcMar>
              <w:top w:w="57" w:type="dxa"/>
              <w:left w:w="57" w:type="dxa"/>
              <w:bottom w:w="57" w:type="dxa"/>
              <w:right w:w="57" w:type="dxa"/>
            </w:tcMar>
            <w:vAlign w:val="center"/>
          </w:tcPr>
          <w:p w14:paraId="4023B58F">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A060810淋浴器</w:t>
            </w:r>
          </w:p>
        </w:tc>
        <w:tc>
          <w:tcPr>
            <w:tcW w:w="1986" w:type="dxa"/>
            <w:tcMar>
              <w:top w:w="57" w:type="dxa"/>
              <w:left w:w="57" w:type="dxa"/>
              <w:bottom w:w="57" w:type="dxa"/>
              <w:right w:w="57" w:type="dxa"/>
            </w:tcMar>
            <w:vAlign w:val="center"/>
          </w:tcPr>
          <w:p w14:paraId="2D5B74C8">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2113" w:type="dxa"/>
            <w:tcMar>
              <w:top w:w="57" w:type="dxa"/>
              <w:left w:w="57" w:type="dxa"/>
              <w:bottom w:w="57" w:type="dxa"/>
              <w:right w:w="57" w:type="dxa"/>
            </w:tcMar>
            <w:vAlign w:val="center"/>
          </w:tcPr>
          <w:p w14:paraId="549C8E83">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p>
        </w:tc>
        <w:tc>
          <w:tcPr>
            <w:tcW w:w="3278" w:type="dxa"/>
            <w:tcMar>
              <w:top w:w="57" w:type="dxa"/>
              <w:left w:w="57" w:type="dxa"/>
              <w:bottom w:w="57" w:type="dxa"/>
              <w:right w:w="57" w:type="dxa"/>
            </w:tcMar>
            <w:vAlign w:val="center"/>
          </w:tcPr>
          <w:p w14:paraId="778F78AE">
            <w:pPr>
              <w:pageBreakBefore w:val="0"/>
              <w:kinsoku/>
              <w:wordWrap/>
              <w:overflowPunct/>
              <w:autoSpaceDE w:val="0"/>
              <w:autoSpaceDN w:val="0"/>
              <w:bidi w:val="0"/>
              <w:snapToGrid w:val="0"/>
              <w:spacing w:line="300" w:lineRule="auto"/>
              <w:ind w:left="0" w:leftChars="0" w:right="0"/>
              <w:rPr>
                <w:rFonts w:hint="default" w:ascii="Calibri" w:hAnsi="Calibri" w:cs="Calibri"/>
                <w:color w:val="auto"/>
                <w:highlight w:val="none"/>
                <w:lang w:eastAsia="en-US"/>
              </w:rPr>
            </w:pPr>
            <w:r>
              <w:rPr>
                <w:rFonts w:hint="default" w:ascii="Calibri" w:hAnsi="Calibri" w:cs="Calibri"/>
                <w:color w:val="auto"/>
                <w:highlight w:val="none"/>
                <w:lang w:eastAsia="en-US"/>
              </w:rPr>
              <w:t>《淋浴器用水效率限定值及用水效率等级》(GB28378)</w:t>
            </w:r>
          </w:p>
        </w:tc>
      </w:tr>
    </w:tbl>
    <w:p w14:paraId="49C2E6D7">
      <w:pPr>
        <w:pageBreakBefore w:val="0"/>
        <w:kinsoku/>
        <w:wordWrap/>
        <w:overflowPunct/>
        <w:bidi w:val="0"/>
        <w:snapToGrid w:val="0"/>
        <w:spacing w:line="300" w:lineRule="auto"/>
        <w:ind w:left="0" w:leftChars="0" w:right="0" w:firstLine="420" w:firstLineChars="200"/>
        <w:rPr>
          <w:rFonts w:hint="default" w:ascii="Calibri" w:hAnsi="Calibri" w:cs="Calibri"/>
          <w:color w:val="auto"/>
          <w:highlight w:val="none"/>
        </w:rPr>
      </w:pPr>
      <w:r>
        <w:rPr>
          <w:rFonts w:hint="default" w:ascii="Calibri" w:hAnsi="Calibri" w:cs="Calibri"/>
          <w:color w:val="auto"/>
          <w:highlight w:val="none"/>
        </w:rPr>
        <w:t>注：</w:t>
      </w:r>
    </w:p>
    <w:p w14:paraId="10C8CA83">
      <w:pPr>
        <w:pageBreakBefore w:val="0"/>
        <w:kinsoku/>
        <w:wordWrap/>
        <w:overflowPunct/>
        <w:bidi w:val="0"/>
        <w:snapToGrid w:val="0"/>
        <w:spacing w:line="300" w:lineRule="auto"/>
        <w:ind w:left="0" w:leftChars="0" w:right="0" w:firstLine="420" w:firstLineChars="200"/>
        <w:rPr>
          <w:rFonts w:hint="default" w:ascii="Calibri" w:hAnsi="Calibri" w:cs="Calibri"/>
          <w:color w:val="auto"/>
          <w:highlight w:val="none"/>
        </w:rPr>
      </w:pPr>
      <w:r>
        <w:rPr>
          <w:rFonts w:hint="default" w:ascii="Calibri" w:hAnsi="Calibri" w:cs="Calibri"/>
          <w:color w:val="auto"/>
          <w:highlight w:val="none"/>
        </w:rPr>
        <w:t>1.节能产品认证应依据相关国家标准的最新版本，依据国家标准中二级能效（水效）指标。</w:t>
      </w:r>
    </w:p>
    <w:p w14:paraId="2B3FDB88">
      <w:pPr>
        <w:pageBreakBefore w:val="0"/>
        <w:kinsoku/>
        <w:wordWrap/>
        <w:overflowPunct/>
        <w:bidi w:val="0"/>
        <w:snapToGrid w:val="0"/>
        <w:spacing w:line="300" w:lineRule="auto"/>
        <w:ind w:left="0" w:leftChars="0" w:right="0"/>
        <w:jc w:val="left"/>
        <w:rPr>
          <w:rFonts w:hint="default" w:ascii="Calibri" w:hAnsi="Calibri" w:cs="Calibri"/>
          <w:color w:val="auto"/>
          <w:highlight w:val="none"/>
        </w:rPr>
      </w:pPr>
      <w:r>
        <w:rPr>
          <w:rFonts w:hint="default" w:ascii="Calibri" w:hAnsi="Calibri" w:cs="Calibri"/>
          <w:color w:val="auto"/>
          <w:highlight w:val="none"/>
        </w:rPr>
        <w:t>2.上述产品中认证标准发生变更的，依据原认证标准获得的、仍在有效期内的认证证书可使用至2019年6月1日。3.以</w:t>
      </w:r>
      <w:r>
        <w:rPr>
          <w:rFonts w:hint="default" w:ascii="Calibri" w:hAnsi="Calibri" w:cs="Calibri"/>
          <w:color w:val="auto"/>
          <w:highlight w:val="none"/>
          <w:lang w:eastAsia="zh-CN"/>
        </w:rPr>
        <w:t>“</w:t>
      </w:r>
      <w:r>
        <w:rPr>
          <w:rFonts w:hint="default" w:ascii="Calibri" w:hAnsi="Calibri" w:cs="Calibri"/>
          <w:color w:val="auto"/>
          <w:highlight w:val="none"/>
        </w:rPr>
        <w:t>★</w:t>
      </w:r>
      <w:r>
        <w:rPr>
          <w:rFonts w:hint="default" w:ascii="Calibri" w:hAnsi="Calibri" w:cs="Calibri"/>
          <w:color w:val="auto"/>
          <w:highlight w:val="none"/>
          <w:lang w:eastAsia="zh-CN"/>
        </w:rPr>
        <w:t>”</w:t>
      </w:r>
      <w:r>
        <w:rPr>
          <w:rFonts w:hint="default" w:ascii="Calibri" w:hAnsi="Calibri" w:cs="Calibri"/>
          <w:color w:val="auto"/>
          <w:highlight w:val="none"/>
        </w:rPr>
        <w:t>标注的为政府强制采购产品。</w:t>
      </w:r>
    </w:p>
    <w:p w14:paraId="3928C370">
      <w:pPr>
        <w:pageBreakBefore w:val="0"/>
        <w:kinsoku/>
        <w:wordWrap/>
        <w:overflowPunct/>
        <w:bidi w:val="0"/>
        <w:snapToGrid w:val="0"/>
        <w:spacing w:line="300" w:lineRule="auto"/>
        <w:ind w:left="0" w:leftChars="0" w:right="0"/>
        <w:rPr>
          <w:rFonts w:hint="default" w:ascii="Calibri" w:hAnsi="Calibri" w:cs="Calibri"/>
          <w:color w:val="auto"/>
          <w:highlight w:val="none"/>
        </w:rPr>
      </w:pPr>
      <w:r>
        <w:rPr>
          <w:rFonts w:hint="default" w:ascii="Calibri" w:hAnsi="Calibri" w:cs="Calibri"/>
          <w:color w:val="auto"/>
          <w:highlight w:val="none"/>
        </w:rPr>
        <w:br w:type="page"/>
      </w:r>
    </w:p>
    <w:p w14:paraId="728A16AE">
      <w:pPr>
        <w:pageBreakBefore w:val="0"/>
        <w:kinsoku/>
        <w:wordWrap/>
        <w:overflowPunct/>
        <w:bidi w:val="0"/>
        <w:snapToGrid w:val="0"/>
        <w:spacing w:line="300" w:lineRule="auto"/>
        <w:ind w:left="0" w:leftChars="0" w:right="0"/>
        <w:jc w:val="center"/>
        <w:rPr>
          <w:rFonts w:hint="default" w:ascii="Calibri" w:hAnsi="Calibri" w:eastAsia="黑体" w:cs="Calibri"/>
          <w:bCs/>
          <w:color w:val="auto"/>
          <w:spacing w:val="6"/>
          <w:sz w:val="28"/>
          <w:szCs w:val="28"/>
          <w:highlight w:val="none"/>
        </w:rPr>
      </w:pPr>
      <w:r>
        <w:rPr>
          <w:rFonts w:hint="default" w:ascii="Calibri" w:hAnsi="Calibri" w:eastAsia="黑体" w:cs="Calibri"/>
          <w:bCs/>
          <w:color w:val="auto"/>
          <w:spacing w:val="6"/>
          <w:sz w:val="28"/>
          <w:szCs w:val="28"/>
          <w:highlight w:val="none"/>
        </w:rPr>
        <w:t>关于印发环境标志产品政府采购品目清单的通知</w:t>
      </w:r>
    </w:p>
    <w:p w14:paraId="5353AC43">
      <w:pPr>
        <w:pageBreakBefore w:val="0"/>
        <w:kinsoku/>
        <w:wordWrap/>
        <w:overflowPunct/>
        <w:bidi w:val="0"/>
        <w:snapToGrid w:val="0"/>
        <w:spacing w:line="300" w:lineRule="auto"/>
        <w:ind w:left="0" w:leftChars="0" w:right="0"/>
        <w:jc w:val="center"/>
        <w:rPr>
          <w:rFonts w:hint="default" w:ascii="Calibri" w:hAnsi="Calibri" w:eastAsia="宋体" w:cs="Calibri"/>
          <w:color w:val="auto"/>
          <w:highlight w:val="none"/>
        </w:rPr>
      </w:pPr>
      <w:r>
        <w:rPr>
          <w:rFonts w:hint="default" w:ascii="Calibri" w:hAnsi="Calibri" w:eastAsia="宋体" w:cs="Calibri"/>
          <w:color w:val="auto"/>
          <w:highlight w:val="none"/>
        </w:rPr>
        <w:t>财库〔2019〕18号</w:t>
      </w:r>
    </w:p>
    <w:p w14:paraId="5675DB48">
      <w:pPr>
        <w:pageBreakBefore w:val="0"/>
        <w:kinsoku/>
        <w:wordWrap/>
        <w:overflowPunct/>
        <w:bidi w:val="0"/>
        <w:snapToGrid w:val="0"/>
        <w:spacing w:line="300" w:lineRule="auto"/>
        <w:ind w:left="0" w:leftChars="0" w:right="0"/>
        <w:rPr>
          <w:rFonts w:hint="default" w:ascii="Calibri" w:hAnsi="Calibri" w:cs="Calibri"/>
          <w:color w:val="auto"/>
          <w:sz w:val="21"/>
          <w:szCs w:val="21"/>
          <w:highlight w:val="none"/>
        </w:rPr>
      </w:pPr>
      <w:r>
        <w:rPr>
          <w:rFonts w:hint="default" w:ascii="Calibri" w:hAnsi="Calibri" w:cs="Calibri"/>
          <w:color w:val="auto"/>
          <w:sz w:val="21"/>
          <w:szCs w:val="21"/>
          <w:highlight w:val="none"/>
        </w:rPr>
        <w:t>有关中央预算单位，各省、自治区、直辖市、计划单列市财政厅（局）、生态环境厅（局），新疆生产建设兵团财政局、环境保护局：</w:t>
      </w:r>
    </w:p>
    <w:p w14:paraId="7E1300F7">
      <w:pPr>
        <w:pageBreakBefore w:val="0"/>
        <w:kinsoku/>
        <w:wordWrap/>
        <w:overflowPunct/>
        <w:bidi w:val="0"/>
        <w:snapToGrid w:val="0"/>
        <w:spacing w:line="300" w:lineRule="auto"/>
        <w:ind w:left="0" w:leftChars="0" w:right="0" w:firstLine="420" w:firstLineChars="200"/>
        <w:rPr>
          <w:rFonts w:hint="default" w:ascii="Calibri" w:hAnsi="Calibri" w:cs="Calibri"/>
          <w:color w:val="auto"/>
          <w:sz w:val="21"/>
          <w:szCs w:val="21"/>
          <w:highlight w:val="none"/>
        </w:rPr>
      </w:pPr>
      <w:r>
        <w:rPr>
          <w:rFonts w:hint="default" w:ascii="Calibri" w:hAnsi="Calibri" w:cs="Calibri"/>
          <w:color w:val="auto"/>
          <w:sz w:val="21"/>
          <w:szCs w:val="21"/>
          <w:highlight w:val="none"/>
        </w:rPr>
        <w:t>根据《财政部发展改革委生态环境部市场监管总局关于调整优化节能产品环境标志产品政府采购执行机制的通知》（财库〔2019〕9号），我们研究制定了环境标志产品政府采购品目清单，现印发给你们，请遵照执行。</w:t>
      </w:r>
    </w:p>
    <w:p w14:paraId="5EDBFA2F">
      <w:pPr>
        <w:pageBreakBefore w:val="0"/>
        <w:kinsoku/>
        <w:wordWrap/>
        <w:overflowPunct/>
        <w:bidi w:val="0"/>
        <w:snapToGrid w:val="0"/>
        <w:spacing w:line="300" w:lineRule="auto"/>
        <w:ind w:left="0" w:leftChars="0" w:right="0" w:firstLine="420" w:firstLineChars="200"/>
        <w:rPr>
          <w:rFonts w:hint="default" w:ascii="Calibri" w:hAnsi="Calibri" w:cs="Calibri"/>
          <w:color w:val="auto"/>
          <w:sz w:val="21"/>
          <w:szCs w:val="21"/>
          <w:highlight w:val="none"/>
        </w:rPr>
      </w:pPr>
      <w:r>
        <w:rPr>
          <w:rFonts w:hint="default" w:ascii="Calibri" w:hAnsi="Calibri" w:cs="Calibri"/>
          <w:color w:val="auto"/>
          <w:sz w:val="21"/>
          <w:szCs w:val="21"/>
          <w:highlight w:val="none"/>
        </w:rPr>
        <w:t>附件：环境标志产品政府采购品目清单</w:t>
      </w:r>
    </w:p>
    <w:p w14:paraId="2A77E949">
      <w:pPr>
        <w:pageBreakBefore w:val="0"/>
        <w:kinsoku/>
        <w:wordWrap/>
        <w:overflowPunct/>
        <w:bidi w:val="0"/>
        <w:snapToGrid w:val="0"/>
        <w:spacing w:line="300" w:lineRule="auto"/>
        <w:ind w:left="0" w:leftChars="0" w:right="0"/>
        <w:jc w:val="right"/>
        <w:rPr>
          <w:rFonts w:hint="default" w:ascii="Calibri" w:hAnsi="Calibri" w:cs="Calibri"/>
          <w:color w:val="auto"/>
          <w:sz w:val="21"/>
          <w:szCs w:val="21"/>
          <w:highlight w:val="none"/>
        </w:rPr>
      </w:pPr>
      <w:r>
        <w:rPr>
          <w:rFonts w:hint="default" w:ascii="Calibri" w:hAnsi="Calibri" w:cs="Calibri"/>
          <w:color w:val="auto"/>
          <w:sz w:val="21"/>
          <w:szCs w:val="21"/>
          <w:highlight w:val="none"/>
        </w:rPr>
        <w:t>财政部生态环境部</w:t>
      </w:r>
    </w:p>
    <w:p w14:paraId="5363E414">
      <w:pPr>
        <w:pageBreakBefore w:val="0"/>
        <w:kinsoku/>
        <w:wordWrap/>
        <w:overflowPunct/>
        <w:bidi w:val="0"/>
        <w:snapToGrid w:val="0"/>
        <w:spacing w:line="300" w:lineRule="auto"/>
        <w:ind w:left="0" w:leftChars="0" w:right="0"/>
        <w:jc w:val="right"/>
        <w:rPr>
          <w:rFonts w:hint="default" w:ascii="Calibri" w:hAnsi="Calibri" w:cs="Calibri"/>
          <w:color w:val="auto"/>
          <w:sz w:val="21"/>
          <w:szCs w:val="21"/>
          <w:highlight w:val="none"/>
        </w:rPr>
      </w:pPr>
      <w:r>
        <w:rPr>
          <w:rFonts w:hint="default" w:ascii="Calibri" w:hAnsi="Calibri" w:cs="Calibri"/>
          <w:color w:val="auto"/>
          <w:sz w:val="21"/>
          <w:szCs w:val="21"/>
          <w:highlight w:val="none"/>
        </w:rPr>
        <w:t>2019年3月29日</w:t>
      </w:r>
    </w:p>
    <w:p w14:paraId="3EBFF179">
      <w:pPr>
        <w:pageBreakBefore w:val="0"/>
        <w:kinsoku/>
        <w:wordWrap/>
        <w:overflowPunct/>
        <w:bidi w:val="0"/>
        <w:snapToGrid w:val="0"/>
        <w:spacing w:line="300" w:lineRule="auto"/>
        <w:ind w:left="0" w:leftChars="0" w:right="0"/>
        <w:rPr>
          <w:rFonts w:hint="default" w:ascii="Calibri" w:hAnsi="Calibri" w:cs="Calibri"/>
          <w:color w:val="auto"/>
          <w:sz w:val="21"/>
          <w:szCs w:val="21"/>
          <w:highlight w:val="none"/>
        </w:rPr>
      </w:pPr>
      <w:r>
        <w:rPr>
          <w:rFonts w:hint="default" w:ascii="Calibri" w:hAnsi="Calibri" w:cs="Calibri"/>
          <w:color w:val="auto"/>
          <w:sz w:val="21"/>
          <w:szCs w:val="21"/>
          <w:highlight w:val="none"/>
        </w:rPr>
        <w:t>附件</w:t>
      </w:r>
    </w:p>
    <w:p w14:paraId="65C066F9">
      <w:pPr>
        <w:pageBreakBefore w:val="0"/>
        <w:kinsoku/>
        <w:wordWrap/>
        <w:overflowPunct/>
        <w:bidi w:val="0"/>
        <w:snapToGrid w:val="0"/>
        <w:spacing w:line="300" w:lineRule="auto"/>
        <w:ind w:left="0" w:leftChars="0" w:right="0"/>
        <w:jc w:val="center"/>
        <w:rPr>
          <w:rFonts w:hint="default" w:ascii="Calibri" w:hAnsi="Calibri" w:eastAsia="黑体" w:cs="Calibri"/>
          <w:color w:val="auto"/>
          <w:sz w:val="28"/>
          <w:szCs w:val="36"/>
          <w:highlight w:val="none"/>
        </w:rPr>
      </w:pPr>
      <w:r>
        <w:rPr>
          <w:rFonts w:hint="default" w:ascii="Calibri" w:hAnsi="Calibri" w:eastAsia="黑体" w:cs="Calibri"/>
          <w:color w:val="auto"/>
          <w:sz w:val="28"/>
          <w:szCs w:val="36"/>
          <w:highlight w:val="none"/>
        </w:rPr>
        <w:t>环境标志产品政府采购品目清单</w:t>
      </w:r>
    </w:p>
    <w:tbl>
      <w:tblPr>
        <w:tblStyle w:val="308"/>
        <w:tblW w:w="5000" w:type="pct"/>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532"/>
        <w:gridCol w:w="1181"/>
        <w:gridCol w:w="2536"/>
        <w:gridCol w:w="1427"/>
        <w:gridCol w:w="2853"/>
      </w:tblGrid>
      <w:tr w14:paraId="00EC0C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tcMar>
              <w:top w:w="0" w:type="dxa"/>
              <w:left w:w="108" w:type="dxa"/>
              <w:bottom w:w="0" w:type="dxa"/>
              <w:right w:w="108" w:type="dxa"/>
            </w:tcMar>
            <w:vAlign w:val="center"/>
          </w:tcPr>
          <w:p w14:paraId="16CBAE8F">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jc w:val="left"/>
              <w:textAlignment w:val="auto"/>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品目序号</w:t>
            </w:r>
          </w:p>
        </w:tc>
        <w:tc>
          <w:tcPr>
            <w:tcW w:w="5144" w:type="dxa"/>
            <w:gridSpan w:val="3"/>
            <w:tcMar>
              <w:top w:w="0" w:type="dxa"/>
              <w:left w:w="108" w:type="dxa"/>
              <w:bottom w:w="0" w:type="dxa"/>
              <w:right w:w="108" w:type="dxa"/>
            </w:tcMar>
            <w:vAlign w:val="center"/>
          </w:tcPr>
          <w:p w14:paraId="08EE4DEA">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jc w:val="left"/>
              <w:textAlignment w:val="auto"/>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名称</w:t>
            </w:r>
          </w:p>
        </w:tc>
        <w:tc>
          <w:tcPr>
            <w:tcW w:w="2853" w:type="dxa"/>
            <w:tcMar>
              <w:top w:w="0" w:type="dxa"/>
              <w:left w:w="108" w:type="dxa"/>
              <w:bottom w:w="0" w:type="dxa"/>
              <w:right w:w="108" w:type="dxa"/>
            </w:tcMar>
            <w:vAlign w:val="center"/>
          </w:tcPr>
          <w:p w14:paraId="36B4773D">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jc w:val="left"/>
              <w:textAlignment w:val="auto"/>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依据的标准</w:t>
            </w:r>
          </w:p>
        </w:tc>
      </w:tr>
      <w:tr w14:paraId="17D9D5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vMerge w:val="restart"/>
            <w:tcMar>
              <w:top w:w="0" w:type="dxa"/>
              <w:left w:w="108" w:type="dxa"/>
              <w:bottom w:w="0" w:type="dxa"/>
              <w:right w:w="108" w:type="dxa"/>
            </w:tcMar>
            <w:vAlign w:val="center"/>
          </w:tcPr>
          <w:p w14:paraId="1AC3C4E1">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1</w:t>
            </w:r>
          </w:p>
        </w:tc>
        <w:tc>
          <w:tcPr>
            <w:tcW w:w="1181" w:type="dxa"/>
            <w:vMerge w:val="restart"/>
            <w:tcMar>
              <w:top w:w="0" w:type="dxa"/>
              <w:left w:w="108" w:type="dxa"/>
              <w:bottom w:w="0" w:type="dxa"/>
              <w:right w:w="108" w:type="dxa"/>
            </w:tcMar>
            <w:vAlign w:val="center"/>
          </w:tcPr>
          <w:p w14:paraId="6F4D8C5C">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A</w:t>
            </w:r>
            <w:r>
              <w:rPr>
                <w:rFonts w:hint="default" w:ascii="Calibri" w:hAnsi="Calibri" w:cs="Calibri"/>
                <w:color w:val="auto"/>
                <w:spacing w:val="11"/>
                <w:sz w:val="18"/>
                <w:szCs w:val="18"/>
                <w:highlight w:val="none"/>
                <w:lang w:eastAsia="en-US"/>
              </w:rPr>
              <w:t>0</w:t>
            </w:r>
            <w:r>
              <w:rPr>
                <w:rFonts w:hint="default" w:ascii="Calibri" w:hAnsi="Calibri" w:cs="Calibri"/>
                <w:color w:val="auto"/>
                <w:spacing w:val="6"/>
                <w:sz w:val="18"/>
                <w:szCs w:val="18"/>
                <w:highlight w:val="none"/>
                <w:lang w:eastAsia="en-US"/>
              </w:rPr>
              <w:t>20101计算机</w:t>
            </w:r>
            <w:r>
              <w:rPr>
                <w:rFonts w:hint="default" w:ascii="Calibri" w:hAnsi="Calibri" w:cs="Calibri"/>
                <w:color w:val="auto"/>
                <w:spacing w:val="-3"/>
                <w:sz w:val="18"/>
                <w:szCs w:val="18"/>
                <w:highlight w:val="none"/>
                <w:lang w:eastAsia="en-US"/>
              </w:rPr>
              <w:t>设</w:t>
            </w:r>
            <w:r>
              <w:rPr>
                <w:rFonts w:hint="default" w:ascii="Calibri" w:hAnsi="Calibri" w:cs="Calibri"/>
                <w:color w:val="auto"/>
                <w:spacing w:val="-2"/>
                <w:sz w:val="18"/>
                <w:szCs w:val="18"/>
                <w:highlight w:val="none"/>
                <w:lang w:eastAsia="en-US"/>
              </w:rPr>
              <w:t>备</w:t>
            </w:r>
          </w:p>
        </w:tc>
        <w:tc>
          <w:tcPr>
            <w:tcW w:w="2536" w:type="dxa"/>
            <w:tcMar>
              <w:top w:w="0" w:type="dxa"/>
              <w:left w:w="108" w:type="dxa"/>
              <w:bottom w:w="0" w:type="dxa"/>
              <w:right w:w="108" w:type="dxa"/>
            </w:tcMar>
            <w:vAlign w:val="center"/>
          </w:tcPr>
          <w:p w14:paraId="19B60E18">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lang w:eastAsia="en-US"/>
              </w:rPr>
            </w:pPr>
            <w:r>
              <w:rPr>
                <w:rFonts w:hint="default" w:ascii="Calibri" w:hAnsi="Calibri" w:cs="Calibri"/>
                <w:color w:val="auto"/>
                <w:spacing w:val="-3"/>
                <w:sz w:val="18"/>
                <w:szCs w:val="18"/>
                <w:highlight w:val="none"/>
                <w:lang w:eastAsia="en-US"/>
              </w:rPr>
              <w:t>A</w:t>
            </w:r>
            <w:r>
              <w:rPr>
                <w:rFonts w:hint="default" w:ascii="Calibri" w:hAnsi="Calibri" w:cs="Calibri"/>
                <w:color w:val="auto"/>
                <w:spacing w:val="-6"/>
                <w:sz w:val="18"/>
                <w:szCs w:val="18"/>
                <w:highlight w:val="none"/>
                <w:lang w:eastAsia="en-US"/>
              </w:rPr>
              <w:t>0</w:t>
            </w:r>
            <w:r>
              <w:rPr>
                <w:rFonts w:hint="default" w:ascii="Calibri" w:hAnsi="Calibri" w:cs="Calibri"/>
                <w:color w:val="auto"/>
                <w:spacing w:val="-4"/>
                <w:sz w:val="18"/>
                <w:szCs w:val="18"/>
                <w:highlight w:val="none"/>
                <w:lang w:eastAsia="en-US"/>
              </w:rPr>
              <w:t>2</w:t>
            </w:r>
            <w:r>
              <w:rPr>
                <w:rFonts w:hint="default" w:ascii="Calibri" w:hAnsi="Calibri" w:cs="Calibri"/>
                <w:color w:val="auto"/>
                <w:spacing w:val="-3"/>
                <w:sz w:val="18"/>
                <w:szCs w:val="18"/>
                <w:highlight w:val="none"/>
                <w:lang w:eastAsia="en-US"/>
              </w:rPr>
              <w:t>010103服务器</w:t>
            </w:r>
          </w:p>
        </w:tc>
        <w:tc>
          <w:tcPr>
            <w:tcW w:w="1427" w:type="dxa"/>
            <w:tcMar>
              <w:top w:w="0" w:type="dxa"/>
              <w:left w:w="108" w:type="dxa"/>
              <w:bottom w:w="0" w:type="dxa"/>
              <w:right w:w="108" w:type="dxa"/>
            </w:tcMar>
            <w:vAlign w:val="center"/>
          </w:tcPr>
          <w:p w14:paraId="331E0A02">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highlight w:val="none"/>
                <w:lang w:eastAsia="en-US"/>
              </w:rPr>
            </w:pPr>
          </w:p>
        </w:tc>
        <w:tc>
          <w:tcPr>
            <w:tcW w:w="2853" w:type="dxa"/>
            <w:tcMar>
              <w:top w:w="0" w:type="dxa"/>
              <w:left w:w="108" w:type="dxa"/>
              <w:bottom w:w="0" w:type="dxa"/>
              <w:right w:w="108" w:type="dxa"/>
            </w:tcMar>
            <w:vAlign w:val="center"/>
          </w:tcPr>
          <w:p w14:paraId="3D9DCBA1">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lang w:eastAsia="en-US"/>
              </w:rPr>
            </w:pPr>
            <w:r>
              <w:rPr>
                <w:rFonts w:hint="default" w:ascii="Calibri" w:hAnsi="Calibri" w:cs="Calibri"/>
                <w:color w:val="auto"/>
                <w:spacing w:val="-3"/>
                <w:sz w:val="18"/>
                <w:szCs w:val="18"/>
                <w:highlight w:val="none"/>
                <w:lang w:eastAsia="en-US"/>
              </w:rPr>
              <w:t>HJ</w:t>
            </w:r>
            <w:r>
              <w:rPr>
                <w:rFonts w:hint="default" w:ascii="Calibri" w:hAnsi="Calibri" w:cs="Calibri"/>
                <w:color w:val="auto"/>
                <w:spacing w:val="-6"/>
                <w:sz w:val="18"/>
                <w:szCs w:val="18"/>
                <w:highlight w:val="none"/>
                <w:lang w:eastAsia="en-US"/>
              </w:rPr>
              <w:t>2</w:t>
            </w:r>
            <w:r>
              <w:rPr>
                <w:rFonts w:hint="default" w:ascii="Calibri" w:hAnsi="Calibri" w:cs="Calibri"/>
                <w:color w:val="auto"/>
                <w:spacing w:val="-5"/>
                <w:sz w:val="18"/>
                <w:szCs w:val="18"/>
                <w:highlight w:val="none"/>
                <w:lang w:eastAsia="en-US"/>
              </w:rPr>
              <w:t>5</w:t>
            </w:r>
            <w:r>
              <w:rPr>
                <w:rFonts w:hint="default" w:ascii="Calibri" w:hAnsi="Calibri" w:cs="Calibri"/>
                <w:color w:val="auto"/>
                <w:spacing w:val="-3"/>
                <w:sz w:val="18"/>
                <w:szCs w:val="18"/>
                <w:highlight w:val="none"/>
                <w:lang w:eastAsia="en-US"/>
              </w:rPr>
              <w:t>07网络服务器</w:t>
            </w:r>
          </w:p>
        </w:tc>
      </w:tr>
      <w:tr w14:paraId="73BF02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vMerge w:val="continue"/>
            <w:tcMar>
              <w:top w:w="0" w:type="dxa"/>
              <w:left w:w="108" w:type="dxa"/>
              <w:bottom w:w="0" w:type="dxa"/>
              <w:right w:w="108" w:type="dxa"/>
            </w:tcMar>
            <w:vAlign w:val="center"/>
          </w:tcPr>
          <w:p w14:paraId="6850F995">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highlight w:val="none"/>
                <w:lang w:eastAsia="en-US"/>
              </w:rPr>
            </w:pPr>
          </w:p>
        </w:tc>
        <w:tc>
          <w:tcPr>
            <w:tcW w:w="1181" w:type="dxa"/>
            <w:vMerge w:val="continue"/>
            <w:tcMar>
              <w:top w:w="0" w:type="dxa"/>
              <w:left w:w="108" w:type="dxa"/>
              <w:bottom w:w="0" w:type="dxa"/>
              <w:right w:w="108" w:type="dxa"/>
            </w:tcMar>
            <w:vAlign w:val="center"/>
          </w:tcPr>
          <w:p w14:paraId="2EEC7BC7">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highlight w:val="none"/>
                <w:lang w:eastAsia="en-US"/>
              </w:rPr>
            </w:pPr>
          </w:p>
        </w:tc>
        <w:tc>
          <w:tcPr>
            <w:tcW w:w="2536" w:type="dxa"/>
            <w:tcMar>
              <w:top w:w="0" w:type="dxa"/>
              <w:left w:w="108" w:type="dxa"/>
              <w:bottom w:w="0" w:type="dxa"/>
              <w:right w:w="108" w:type="dxa"/>
            </w:tcMar>
            <w:vAlign w:val="center"/>
          </w:tcPr>
          <w:p w14:paraId="2A7D7822">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lang w:eastAsia="en-US"/>
              </w:rPr>
            </w:pPr>
            <w:r>
              <w:rPr>
                <w:rFonts w:hint="default" w:ascii="Calibri" w:hAnsi="Calibri" w:cs="Calibri"/>
                <w:color w:val="auto"/>
                <w:spacing w:val="-2"/>
                <w:sz w:val="18"/>
                <w:szCs w:val="18"/>
                <w:highlight w:val="none"/>
                <w:lang w:eastAsia="en-US"/>
              </w:rPr>
              <w:t>A</w:t>
            </w:r>
            <w:r>
              <w:rPr>
                <w:rFonts w:hint="default" w:ascii="Calibri" w:hAnsi="Calibri" w:cs="Calibri"/>
                <w:color w:val="auto"/>
                <w:spacing w:val="-4"/>
                <w:sz w:val="18"/>
                <w:szCs w:val="18"/>
                <w:highlight w:val="none"/>
                <w:lang w:eastAsia="en-US"/>
              </w:rPr>
              <w:t>02010</w:t>
            </w:r>
            <w:r>
              <w:rPr>
                <w:rFonts w:hint="default" w:ascii="Calibri" w:hAnsi="Calibri" w:cs="Calibri"/>
                <w:color w:val="auto"/>
                <w:spacing w:val="-3"/>
                <w:sz w:val="18"/>
                <w:szCs w:val="18"/>
                <w:highlight w:val="none"/>
                <w:lang w:eastAsia="en-US"/>
              </w:rPr>
              <w:t>1</w:t>
            </w:r>
            <w:r>
              <w:rPr>
                <w:rFonts w:hint="default" w:ascii="Calibri" w:hAnsi="Calibri" w:cs="Calibri"/>
                <w:color w:val="auto"/>
                <w:spacing w:val="-2"/>
                <w:sz w:val="18"/>
                <w:szCs w:val="18"/>
                <w:highlight w:val="none"/>
                <w:lang w:eastAsia="en-US"/>
              </w:rPr>
              <w:t>04台式计算机</w:t>
            </w:r>
          </w:p>
        </w:tc>
        <w:tc>
          <w:tcPr>
            <w:tcW w:w="1427" w:type="dxa"/>
            <w:tcMar>
              <w:top w:w="0" w:type="dxa"/>
              <w:left w:w="108" w:type="dxa"/>
              <w:bottom w:w="0" w:type="dxa"/>
              <w:right w:w="108" w:type="dxa"/>
            </w:tcMar>
            <w:vAlign w:val="center"/>
          </w:tcPr>
          <w:p w14:paraId="0038066B">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highlight w:val="none"/>
                <w:lang w:eastAsia="en-US"/>
              </w:rPr>
            </w:pPr>
          </w:p>
        </w:tc>
        <w:tc>
          <w:tcPr>
            <w:tcW w:w="2853" w:type="dxa"/>
            <w:tcMar>
              <w:top w:w="0" w:type="dxa"/>
              <w:left w:w="108" w:type="dxa"/>
              <w:bottom w:w="0" w:type="dxa"/>
              <w:right w:w="108" w:type="dxa"/>
            </w:tcMar>
            <w:vAlign w:val="center"/>
          </w:tcPr>
          <w:p w14:paraId="0A4FD79A">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lang w:eastAsia="en-US"/>
              </w:rPr>
            </w:pPr>
            <w:r>
              <w:rPr>
                <w:rFonts w:hint="default" w:ascii="Calibri" w:hAnsi="Calibri" w:cs="Calibri"/>
                <w:color w:val="auto"/>
                <w:spacing w:val="-2"/>
                <w:sz w:val="18"/>
                <w:szCs w:val="18"/>
                <w:highlight w:val="none"/>
                <w:lang w:eastAsia="en-US"/>
              </w:rPr>
              <w:t>HJ</w:t>
            </w:r>
            <w:r>
              <w:rPr>
                <w:rFonts w:hint="default" w:ascii="Calibri" w:hAnsi="Calibri" w:cs="Calibri"/>
                <w:color w:val="auto"/>
                <w:spacing w:val="-4"/>
                <w:sz w:val="18"/>
                <w:szCs w:val="18"/>
                <w:highlight w:val="none"/>
                <w:lang w:eastAsia="en-US"/>
              </w:rPr>
              <w:t>2536</w:t>
            </w:r>
            <w:r>
              <w:rPr>
                <w:rFonts w:hint="default" w:ascii="Calibri" w:hAnsi="Calibri" w:cs="Calibri"/>
                <w:color w:val="auto"/>
                <w:spacing w:val="-2"/>
                <w:sz w:val="18"/>
                <w:szCs w:val="18"/>
                <w:highlight w:val="none"/>
                <w:lang w:eastAsia="en-US"/>
              </w:rPr>
              <w:t>微型计算机、显示器</w:t>
            </w:r>
          </w:p>
        </w:tc>
      </w:tr>
      <w:tr w14:paraId="1F5A60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vMerge w:val="continue"/>
            <w:tcMar>
              <w:top w:w="0" w:type="dxa"/>
              <w:left w:w="108" w:type="dxa"/>
              <w:bottom w:w="0" w:type="dxa"/>
              <w:right w:w="108" w:type="dxa"/>
            </w:tcMar>
            <w:vAlign w:val="center"/>
          </w:tcPr>
          <w:p w14:paraId="1D126596">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highlight w:val="none"/>
                <w:lang w:eastAsia="en-US"/>
              </w:rPr>
            </w:pPr>
          </w:p>
        </w:tc>
        <w:tc>
          <w:tcPr>
            <w:tcW w:w="1181" w:type="dxa"/>
            <w:vMerge w:val="continue"/>
            <w:tcMar>
              <w:top w:w="0" w:type="dxa"/>
              <w:left w:w="108" w:type="dxa"/>
              <w:bottom w:w="0" w:type="dxa"/>
              <w:right w:w="108" w:type="dxa"/>
            </w:tcMar>
            <w:vAlign w:val="center"/>
          </w:tcPr>
          <w:p w14:paraId="3E0CDB49">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highlight w:val="none"/>
                <w:lang w:eastAsia="en-US"/>
              </w:rPr>
            </w:pPr>
          </w:p>
        </w:tc>
        <w:tc>
          <w:tcPr>
            <w:tcW w:w="2536" w:type="dxa"/>
            <w:tcMar>
              <w:top w:w="0" w:type="dxa"/>
              <w:left w:w="108" w:type="dxa"/>
              <w:bottom w:w="0" w:type="dxa"/>
              <w:right w:w="108" w:type="dxa"/>
            </w:tcMar>
            <w:vAlign w:val="center"/>
          </w:tcPr>
          <w:p w14:paraId="77860A69">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lang w:eastAsia="en-US"/>
              </w:rPr>
            </w:pPr>
            <w:r>
              <w:rPr>
                <w:rFonts w:hint="default" w:ascii="Calibri" w:hAnsi="Calibri" w:cs="Calibri"/>
                <w:color w:val="auto"/>
                <w:spacing w:val="-2"/>
                <w:sz w:val="18"/>
                <w:szCs w:val="18"/>
                <w:highlight w:val="none"/>
                <w:lang w:eastAsia="en-US"/>
              </w:rPr>
              <w:t>A</w:t>
            </w:r>
            <w:r>
              <w:rPr>
                <w:rFonts w:hint="default" w:ascii="Calibri" w:hAnsi="Calibri" w:cs="Calibri"/>
                <w:color w:val="auto"/>
                <w:spacing w:val="-4"/>
                <w:sz w:val="18"/>
                <w:szCs w:val="18"/>
                <w:highlight w:val="none"/>
                <w:lang w:eastAsia="en-US"/>
              </w:rPr>
              <w:t>020101</w:t>
            </w:r>
            <w:r>
              <w:rPr>
                <w:rFonts w:hint="default" w:ascii="Calibri" w:hAnsi="Calibri" w:cs="Calibri"/>
                <w:color w:val="auto"/>
                <w:spacing w:val="-2"/>
                <w:sz w:val="18"/>
                <w:szCs w:val="18"/>
                <w:highlight w:val="none"/>
                <w:lang w:eastAsia="en-US"/>
              </w:rPr>
              <w:t>05便携式计算机</w:t>
            </w:r>
          </w:p>
        </w:tc>
        <w:tc>
          <w:tcPr>
            <w:tcW w:w="1427" w:type="dxa"/>
            <w:tcMar>
              <w:top w:w="0" w:type="dxa"/>
              <w:left w:w="108" w:type="dxa"/>
              <w:bottom w:w="0" w:type="dxa"/>
              <w:right w:w="108" w:type="dxa"/>
            </w:tcMar>
            <w:vAlign w:val="center"/>
          </w:tcPr>
          <w:p w14:paraId="4C8E8A8B">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highlight w:val="none"/>
                <w:lang w:eastAsia="en-US"/>
              </w:rPr>
            </w:pPr>
          </w:p>
        </w:tc>
        <w:tc>
          <w:tcPr>
            <w:tcW w:w="2853" w:type="dxa"/>
            <w:tcMar>
              <w:top w:w="0" w:type="dxa"/>
              <w:left w:w="108" w:type="dxa"/>
              <w:bottom w:w="0" w:type="dxa"/>
              <w:right w:w="108" w:type="dxa"/>
            </w:tcMar>
            <w:vAlign w:val="center"/>
          </w:tcPr>
          <w:p w14:paraId="64DE7FFF">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lang w:eastAsia="en-US"/>
              </w:rPr>
            </w:pPr>
            <w:r>
              <w:rPr>
                <w:rFonts w:hint="default" w:ascii="Calibri" w:hAnsi="Calibri" w:cs="Calibri"/>
                <w:color w:val="auto"/>
                <w:spacing w:val="-2"/>
                <w:sz w:val="18"/>
                <w:szCs w:val="18"/>
                <w:highlight w:val="none"/>
                <w:lang w:eastAsia="en-US"/>
              </w:rPr>
              <w:t>HJ</w:t>
            </w:r>
            <w:r>
              <w:rPr>
                <w:rFonts w:hint="default" w:ascii="Calibri" w:hAnsi="Calibri" w:cs="Calibri"/>
                <w:color w:val="auto"/>
                <w:spacing w:val="-4"/>
                <w:sz w:val="18"/>
                <w:szCs w:val="18"/>
                <w:highlight w:val="none"/>
                <w:lang w:eastAsia="en-US"/>
              </w:rPr>
              <w:t>2536</w:t>
            </w:r>
            <w:r>
              <w:rPr>
                <w:rFonts w:hint="default" w:ascii="Calibri" w:hAnsi="Calibri" w:cs="Calibri"/>
                <w:color w:val="auto"/>
                <w:spacing w:val="-2"/>
                <w:sz w:val="18"/>
                <w:szCs w:val="18"/>
                <w:highlight w:val="none"/>
                <w:lang w:eastAsia="en-US"/>
              </w:rPr>
              <w:t>微型计算机、显示器</w:t>
            </w:r>
          </w:p>
        </w:tc>
      </w:tr>
      <w:tr w14:paraId="5A6299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vMerge w:val="continue"/>
            <w:tcMar>
              <w:top w:w="0" w:type="dxa"/>
              <w:left w:w="108" w:type="dxa"/>
              <w:bottom w:w="0" w:type="dxa"/>
              <w:right w:w="108" w:type="dxa"/>
            </w:tcMar>
            <w:vAlign w:val="center"/>
          </w:tcPr>
          <w:p w14:paraId="34673E9C">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highlight w:val="none"/>
                <w:lang w:eastAsia="en-US"/>
              </w:rPr>
            </w:pPr>
          </w:p>
        </w:tc>
        <w:tc>
          <w:tcPr>
            <w:tcW w:w="1181" w:type="dxa"/>
            <w:vMerge w:val="continue"/>
            <w:tcMar>
              <w:top w:w="0" w:type="dxa"/>
              <w:left w:w="108" w:type="dxa"/>
              <w:bottom w:w="0" w:type="dxa"/>
              <w:right w:w="108" w:type="dxa"/>
            </w:tcMar>
            <w:vAlign w:val="center"/>
          </w:tcPr>
          <w:p w14:paraId="7B721D1B">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highlight w:val="none"/>
                <w:lang w:eastAsia="en-US"/>
              </w:rPr>
            </w:pPr>
          </w:p>
        </w:tc>
        <w:tc>
          <w:tcPr>
            <w:tcW w:w="2536" w:type="dxa"/>
            <w:tcMar>
              <w:top w:w="0" w:type="dxa"/>
              <w:left w:w="108" w:type="dxa"/>
              <w:bottom w:w="0" w:type="dxa"/>
              <w:right w:w="108" w:type="dxa"/>
            </w:tcMar>
            <w:vAlign w:val="center"/>
          </w:tcPr>
          <w:p w14:paraId="004E657B">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lang w:eastAsia="en-US"/>
              </w:rPr>
            </w:pPr>
            <w:r>
              <w:rPr>
                <w:rFonts w:hint="default" w:ascii="Calibri" w:hAnsi="Calibri" w:cs="Calibri"/>
                <w:color w:val="auto"/>
                <w:spacing w:val="-2"/>
                <w:sz w:val="18"/>
                <w:szCs w:val="18"/>
                <w:highlight w:val="none"/>
                <w:lang w:eastAsia="en-US"/>
              </w:rPr>
              <w:t>A</w:t>
            </w:r>
            <w:r>
              <w:rPr>
                <w:rFonts w:hint="default" w:ascii="Calibri" w:hAnsi="Calibri" w:cs="Calibri"/>
                <w:color w:val="auto"/>
                <w:spacing w:val="-4"/>
                <w:sz w:val="18"/>
                <w:szCs w:val="18"/>
                <w:highlight w:val="none"/>
                <w:lang w:eastAsia="en-US"/>
              </w:rPr>
              <w:t>0201</w:t>
            </w:r>
            <w:r>
              <w:rPr>
                <w:rFonts w:hint="default" w:ascii="Calibri" w:hAnsi="Calibri" w:cs="Calibri"/>
                <w:color w:val="auto"/>
                <w:spacing w:val="-2"/>
                <w:sz w:val="18"/>
                <w:szCs w:val="18"/>
                <w:highlight w:val="none"/>
                <w:lang w:eastAsia="en-US"/>
              </w:rPr>
              <w:t>0107平板式微型计算机</w:t>
            </w:r>
          </w:p>
        </w:tc>
        <w:tc>
          <w:tcPr>
            <w:tcW w:w="1427" w:type="dxa"/>
            <w:tcMar>
              <w:top w:w="0" w:type="dxa"/>
              <w:left w:w="108" w:type="dxa"/>
              <w:bottom w:w="0" w:type="dxa"/>
              <w:right w:w="108" w:type="dxa"/>
            </w:tcMar>
            <w:vAlign w:val="center"/>
          </w:tcPr>
          <w:p w14:paraId="294ECB96">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highlight w:val="none"/>
                <w:lang w:eastAsia="en-US"/>
              </w:rPr>
            </w:pPr>
          </w:p>
        </w:tc>
        <w:tc>
          <w:tcPr>
            <w:tcW w:w="2853" w:type="dxa"/>
            <w:tcMar>
              <w:top w:w="0" w:type="dxa"/>
              <w:left w:w="108" w:type="dxa"/>
              <w:bottom w:w="0" w:type="dxa"/>
              <w:right w:w="108" w:type="dxa"/>
            </w:tcMar>
            <w:vAlign w:val="center"/>
          </w:tcPr>
          <w:p w14:paraId="036A1894">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lang w:eastAsia="en-US"/>
              </w:rPr>
            </w:pPr>
            <w:r>
              <w:rPr>
                <w:rFonts w:hint="default" w:ascii="Calibri" w:hAnsi="Calibri" w:cs="Calibri"/>
                <w:color w:val="auto"/>
                <w:spacing w:val="-2"/>
                <w:sz w:val="18"/>
                <w:szCs w:val="18"/>
                <w:highlight w:val="none"/>
                <w:lang w:eastAsia="en-US"/>
              </w:rPr>
              <w:t>HJ</w:t>
            </w:r>
            <w:r>
              <w:rPr>
                <w:rFonts w:hint="default" w:ascii="Calibri" w:hAnsi="Calibri" w:cs="Calibri"/>
                <w:color w:val="auto"/>
                <w:spacing w:val="-4"/>
                <w:sz w:val="18"/>
                <w:szCs w:val="18"/>
                <w:highlight w:val="none"/>
                <w:lang w:eastAsia="en-US"/>
              </w:rPr>
              <w:t>2536</w:t>
            </w:r>
            <w:r>
              <w:rPr>
                <w:rFonts w:hint="default" w:ascii="Calibri" w:hAnsi="Calibri" w:cs="Calibri"/>
                <w:color w:val="auto"/>
                <w:spacing w:val="-2"/>
                <w:sz w:val="18"/>
                <w:szCs w:val="18"/>
                <w:highlight w:val="none"/>
                <w:lang w:eastAsia="en-US"/>
              </w:rPr>
              <w:t>微型计算机、显示器</w:t>
            </w:r>
          </w:p>
        </w:tc>
      </w:tr>
      <w:tr w14:paraId="683102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vMerge w:val="continue"/>
            <w:tcMar>
              <w:top w:w="0" w:type="dxa"/>
              <w:left w:w="108" w:type="dxa"/>
              <w:bottom w:w="0" w:type="dxa"/>
              <w:right w:w="108" w:type="dxa"/>
            </w:tcMar>
            <w:vAlign w:val="center"/>
          </w:tcPr>
          <w:p w14:paraId="2F356025">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highlight w:val="none"/>
                <w:lang w:eastAsia="en-US"/>
              </w:rPr>
            </w:pPr>
          </w:p>
        </w:tc>
        <w:tc>
          <w:tcPr>
            <w:tcW w:w="1181" w:type="dxa"/>
            <w:vMerge w:val="continue"/>
            <w:tcMar>
              <w:top w:w="0" w:type="dxa"/>
              <w:left w:w="108" w:type="dxa"/>
              <w:bottom w:w="0" w:type="dxa"/>
              <w:right w:w="108" w:type="dxa"/>
            </w:tcMar>
            <w:vAlign w:val="center"/>
          </w:tcPr>
          <w:p w14:paraId="5C2E7688">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highlight w:val="none"/>
                <w:lang w:eastAsia="en-US"/>
              </w:rPr>
            </w:pPr>
          </w:p>
        </w:tc>
        <w:tc>
          <w:tcPr>
            <w:tcW w:w="2536" w:type="dxa"/>
            <w:tcMar>
              <w:top w:w="0" w:type="dxa"/>
              <w:left w:w="108" w:type="dxa"/>
              <w:bottom w:w="0" w:type="dxa"/>
              <w:right w:w="108" w:type="dxa"/>
            </w:tcMar>
            <w:vAlign w:val="center"/>
          </w:tcPr>
          <w:p w14:paraId="6F5F25AC">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A</w:t>
            </w:r>
            <w:r>
              <w:rPr>
                <w:rFonts w:hint="default" w:ascii="Calibri" w:hAnsi="Calibri" w:cs="Calibri"/>
                <w:color w:val="auto"/>
                <w:spacing w:val="1"/>
                <w:sz w:val="18"/>
                <w:szCs w:val="18"/>
                <w:highlight w:val="none"/>
                <w:lang w:eastAsia="en-US"/>
              </w:rPr>
              <w:t>02010</w:t>
            </w:r>
            <w:r>
              <w:rPr>
                <w:rFonts w:hint="default" w:ascii="Calibri" w:hAnsi="Calibri" w:cs="Calibri"/>
                <w:color w:val="auto"/>
                <w:sz w:val="18"/>
                <w:szCs w:val="18"/>
                <w:highlight w:val="none"/>
                <w:lang w:eastAsia="en-US"/>
              </w:rPr>
              <w:t>108网络计算机</w:t>
            </w:r>
          </w:p>
        </w:tc>
        <w:tc>
          <w:tcPr>
            <w:tcW w:w="1427" w:type="dxa"/>
            <w:tcMar>
              <w:top w:w="0" w:type="dxa"/>
              <w:left w:w="108" w:type="dxa"/>
              <w:bottom w:w="0" w:type="dxa"/>
              <w:right w:w="108" w:type="dxa"/>
            </w:tcMar>
            <w:vAlign w:val="center"/>
          </w:tcPr>
          <w:p w14:paraId="1A3A1D42">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highlight w:val="none"/>
                <w:lang w:eastAsia="en-US"/>
              </w:rPr>
            </w:pPr>
          </w:p>
        </w:tc>
        <w:tc>
          <w:tcPr>
            <w:tcW w:w="2853" w:type="dxa"/>
            <w:tcMar>
              <w:top w:w="0" w:type="dxa"/>
              <w:left w:w="108" w:type="dxa"/>
              <w:bottom w:w="0" w:type="dxa"/>
              <w:right w:w="108" w:type="dxa"/>
            </w:tcMar>
            <w:vAlign w:val="center"/>
          </w:tcPr>
          <w:p w14:paraId="667947E0">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lang w:eastAsia="en-US"/>
              </w:rPr>
            </w:pPr>
            <w:r>
              <w:rPr>
                <w:rFonts w:hint="default" w:ascii="Calibri" w:hAnsi="Calibri" w:cs="Calibri"/>
                <w:color w:val="auto"/>
                <w:spacing w:val="-2"/>
                <w:sz w:val="18"/>
                <w:szCs w:val="18"/>
                <w:highlight w:val="none"/>
                <w:lang w:eastAsia="en-US"/>
              </w:rPr>
              <w:t>HJ</w:t>
            </w:r>
            <w:r>
              <w:rPr>
                <w:rFonts w:hint="default" w:ascii="Calibri" w:hAnsi="Calibri" w:cs="Calibri"/>
                <w:color w:val="auto"/>
                <w:spacing w:val="-4"/>
                <w:sz w:val="18"/>
                <w:szCs w:val="18"/>
                <w:highlight w:val="none"/>
                <w:lang w:eastAsia="en-US"/>
              </w:rPr>
              <w:t>2536</w:t>
            </w:r>
            <w:r>
              <w:rPr>
                <w:rFonts w:hint="default" w:ascii="Calibri" w:hAnsi="Calibri" w:cs="Calibri"/>
                <w:color w:val="auto"/>
                <w:spacing w:val="-2"/>
                <w:sz w:val="18"/>
                <w:szCs w:val="18"/>
                <w:highlight w:val="none"/>
                <w:lang w:eastAsia="en-US"/>
              </w:rPr>
              <w:t>微型计算机、显示器</w:t>
            </w:r>
          </w:p>
        </w:tc>
      </w:tr>
      <w:tr w14:paraId="494D95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vMerge w:val="continue"/>
            <w:tcMar>
              <w:top w:w="0" w:type="dxa"/>
              <w:left w:w="108" w:type="dxa"/>
              <w:bottom w:w="0" w:type="dxa"/>
              <w:right w:w="108" w:type="dxa"/>
            </w:tcMar>
            <w:vAlign w:val="center"/>
          </w:tcPr>
          <w:p w14:paraId="01E52ECB">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highlight w:val="none"/>
                <w:lang w:eastAsia="en-US"/>
              </w:rPr>
            </w:pPr>
          </w:p>
        </w:tc>
        <w:tc>
          <w:tcPr>
            <w:tcW w:w="1181" w:type="dxa"/>
            <w:vMerge w:val="continue"/>
            <w:tcMar>
              <w:top w:w="0" w:type="dxa"/>
              <w:left w:w="108" w:type="dxa"/>
              <w:bottom w:w="0" w:type="dxa"/>
              <w:right w:w="108" w:type="dxa"/>
            </w:tcMar>
            <w:vAlign w:val="center"/>
          </w:tcPr>
          <w:p w14:paraId="0D457984">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highlight w:val="none"/>
                <w:lang w:eastAsia="en-US"/>
              </w:rPr>
            </w:pPr>
          </w:p>
        </w:tc>
        <w:tc>
          <w:tcPr>
            <w:tcW w:w="2536" w:type="dxa"/>
            <w:tcMar>
              <w:top w:w="0" w:type="dxa"/>
              <w:left w:w="108" w:type="dxa"/>
              <w:bottom w:w="0" w:type="dxa"/>
              <w:right w:w="108" w:type="dxa"/>
            </w:tcMar>
            <w:vAlign w:val="center"/>
          </w:tcPr>
          <w:p w14:paraId="2EF4D741">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A</w:t>
            </w:r>
            <w:r>
              <w:rPr>
                <w:rFonts w:hint="default" w:ascii="Calibri" w:hAnsi="Calibri" w:cs="Calibri"/>
                <w:color w:val="auto"/>
                <w:spacing w:val="1"/>
                <w:sz w:val="18"/>
                <w:szCs w:val="18"/>
                <w:highlight w:val="none"/>
                <w:lang w:eastAsia="en-US"/>
              </w:rPr>
              <w:t>02</w:t>
            </w:r>
            <w:r>
              <w:rPr>
                <w:rFonts w:hint="default" w:ascii="Calibri" w:hAnsi="Calibri" w:cs="Calibri"/>
                <w:color w:val="auto"/>
                <w:sz w:val="18"/>
                <w:szCs w:val="18"/>
                <w:highlight w:val="none"/>
                <w:lang w:eastAsia="en-US"/>
              </w:rPr>
              <w:t>010109计算机工作站</w:t>
            </w:r>
          </w:p>
        </w:tc>
        <w:tc>
          <w:tcPr>
            <w:tcW w:w="1427" w:type="dxa"/>
            <w:tcMar>
              <w:top w:w="0" w:type="dxa"/>
              <w:left w:w="108" w:type="dxa"/>
              <w:bottom w:w="0" w:type="dxa"/>
              <w:right w:w="108" w:type="dxa"/>
            </w:tcMar>
            <w:vAlign w:val="center"/>
          </w:tcPr>
          <w:p w14:paraId="291138ED">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highlight w:val="none"/>
                <w:lang w:eastAsia="en-US"/>
              </w:rPr>
            </w:pPr>
          </w:p>
        </w:tc>
        <w:tc>
          <w:tcPr>
            <w:tcW w:w="2853" w:type="dxa"/>
            <w:tcMar>
              <w:top w:w="0" w:type="dxa"/>
              <w:left w:w="108" w:type="dxa"/>
              <w:bottom w:w="0" w:type="dxa"/>
              <w:right w:w="108" w:type="dxa"/>
            </w:tcMar>
            <w:vAlign w:val="center"/>
          </w:tcPr>
          <w:p w14:paraId="0AAC88D7">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lang w:eastAsia="en-US"/>
              </w:rPr>
            </w:pPr>
            <w:r>
              <w:rPr>
                <w:rFonts w:hint="default" w:ascii="Calibri" w:hAnsi="Calibri" w:cs="Calibri"/>
                <w:color w:val="auto"/>
                <w:spacing w:val="-2"/>
                <w:sz w:val="18"/>
                <w:szCs w:val="18"/>
                <w:highlight w:val="none"/>
                <w:lang w:eastAsia="en-US"/>
              </w:rPr>
              <w:t>HJ</w:t>
            </w:r>
            <w:r>
              <w:rPr>
                <w:rFonts w:hint="default" w:ascii="Calibri" w:hAnsi="Calibri" w:cs="Calibri"/>
                <w:color w:val="auto"/>
                <w:spacing w:val="-4"/>
                <w:sz w:val="18"/>
                <w:szCs w:val="18"/>
                <w:highlight w:val="none"/>
                <w:lang w:eastAsia="en-US"/>
              </w:rPr>
              <w:t>2536</w:t>
            </w:r>
            <w:r>
              <w:rPr>
                <w:rFonts w:hint="default" w:ascii="Calibri" w:hAnsi="Calibri" w:cs="Calibri"/>
                <w:color w:val="auto"/>
                <w:spacing w:val="-2"/>
                <w:sz w:val="18"/>
                <w:szCs w:val="18"/>
                <w:highlight w:val="none"/>
                <w:lang w:eastAsia="en-US"/>
              </w:rPr>
              <w:t>微型计算机、显示器</w:t>
            </w:r>
          </w:p>
        </w:tc>
      </w:tr>
      <w:tr w14:paraId="5FBABB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vMerge w:val="continue"/>
            <w:tcMar>
              <w:top w:w="0" w:type="dxa"/>
              <w:left w:w="108" w:type="dxa"/>
              <w:bottom w:w="0" w:type="dxa"/>
              <w:right w:w="108" w:type="dxa"/>
            </w:tcMar>
            <w:vAlign w:val="center"/>
          </w:tcPr>
          <w:p w14:paraId="25443F21">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highlight w:val="none"/>
                <w:lang w:eastAsia="en-US"/>
              </w:rPr>
            </w:pPr>
          </w:p>
        </w:tc>
        <w:tc>
          <w:tcPr>
            <w:tcW w:w="1181" w:type="dxa"/>
            <w:vMerge w:val="continue"/>
            <w:tcMar>
              <w:top w:w="0" w:type="dxa"/>
              <w:left w:w="108" w:type="dxa"/>
              <w:bottom w:w="0" w:type="dxa"/>
              <w:right w:w="108" w:type="dxa"/>
            </w:tcMar>
            <w:vAlign w:val="center"/>
          </w:tcPr>
          <w:p w14:paraId="69FEEF4F">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highlight w:val="none"/>
                <w:lang w:eastAsia="en-US"/>
              </w:rPr>
            </w:pPr>
          </w:p>
        </w:tc>
        <w:tc>
          <w:tcPr>
            <w:tcW w:w="2536" w:type="dxa"/>
            <w:tcMar>
              <w:top w:w="0" w:type="dxa"/>
              <w:left w:w="108" w:type="dxa"/>
              <w:bottom w:w="0" w:type="dxa"/>
              <w:right w:w="108" w:type="dxa"/>
            </w:tcMar>
            <w:vAlign w:val="center"/>
          </w:tcPr>
          <w:p w14:paraId="66DDDD50">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lang w:eastAsia="en-US"/>
              </w:rPr>
            </w:pPr>
            <w:r>
              <w:rPr>
                <w:rFonts w:hint="default" w:ascii="Calibri" w:hAnsi="Calibri" w:cs="Calibri"/>
                <w:color w:val="auto"/>
                <w:spacing w:val="-2"/>
                <w:sz w:val="18"/>
                <w:szCs w:val="18"/>
                <w:highlight w:val="none"/>
                <w:lang w:eastAsia="en-US"/>
              </w:rPr>
              <w:t>A</w:t>
            </w:r>
            <w:r>
              <w:rPr>
                <w:rFonts w:hint="default" w:ascii="Calibri" w:hAnsi="Calibri" w:cs="Calibri"/>
                <w:color w:val="auto"/>
                <w:spacing w:val="-4"/>
                <w:sz w:val="18"/>
                <w:szCs w:val="18"/>
                <w:highlight w:val="none"/>
                <w:lang w:eastAsia="en-US"/>
              </w:rPr>
              <w:t>02010</w:t>
            </w:r>
            <w:r>
              <w:rPr>
                <w:rFonts w:hint="default" w:ascii="Calibri" w:hAnsi="Calibri" w:cs="Calibri"/>
                <w:color w:val="auto"/>
                <w:spacing w:val="-2"/>
                <w:sz w:val="18"/>
                <w:szCs w:val="18"/>
                <w:highlight w:val="none"/>
                <w:lang w:eastAsia="en-US"/>
              </w:rPr>
              <w:t>199其他计算机设备</w:t>
            </w:r>
          </w:p>
        </w:tc>
        <w:tc>
          <w:tcPr>
            <w:tcW w:w="1427" w:type="dxa"/>
            <w:tcMar>
              <w:top w:w="0" w:type="dxa"/>
              <w:left w:w="108" w:type="dxa"/>
              <w:bottom w:w="0" w:type="dxa"/>
              <w:right w:w="108" w:type="dxa"/>
            </w:tcMar>
            <w:vAlign w:val="center"/>
          </w:tcPr>
          <w:p w14:paraId="178BE68F">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highlight w:val="none"/>
                <w:lang w:eastAsia="en-US"/>
              </w:rPr>
            </w:pPr>
          </w:p>
        </w:tc>
        <w:tc>
          <w:tcPr>
            <w:tcW w:w="2853" w:type="dxa"/>
            <w:tcMar>
              <w:top w:w="0" w:type="dxa"/>
              <w:left w:w="108" w:type="dxa"/>
              <w:bottom w:w="0" w:type="dxa"/>
              <w:right w:w="108" w:type="dxa"/>
            </w:tcMar>
            <w:vAlign w:val="center"/>
          </w:tcPr>
          <w:p w14:paraId="1939FE27">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lang w:eastAsia="en-US"/>
              </w:rPr>
            </w:pPr>
            <w:r>
              <w:rPr>
                <w:rFonts w:hint="default" w:ascii="Calibri" w:hAnsi="Calibri" w:cs="Calibri"/>
                <w:color w:val="auto"/>
                <w:spacing w:val="-2"/>
                <w:sz w:val="18"/>
                <w:szCs w:val="18"/>
                <w:highlight w:val="none"/>
                <w:lang w:eastAsia="en-US"/>
              </w:rPr>
              <w:t>HJ</w:t>
            </w:r>
            <w:r>
              <w:rPr>
                <w:rFonts w:hint="default" w:ascii="Calibri" w:hAnsi="Calibri" w:cs="Calibri"/>
                <w:color w:val="auto"/>
                <w:spacing w:val="-4"/>
                <w:sz w:val="18"/>
                <w:szCs w:val="18"/>
                <w:highlight w:val="none"/>
                <w:lang w:eastAsia="en-US"/>
              </w:rPr>
              <w:t>2536</w:t>
            </w:r>
            <w:r>
              <w:rPr>
                <w:rFonts w:hint="default" w:ascii="Calibri" w:hAnsi="Calibri" w:cs="Calibri"/>
                <w:color w:val="auto"/>
                <w:spacing w:val="-2"/>
                <w:sz w:val="18"/>
                <w:szCs w:val="18"/>
                <w:highlight w:val="none"/>
                <w:lang w:eastAsia="en-US"/>
              </w:rPr>
              <w:t>微型计算机、显示器</w:t>
            </w:r>
          </w:p>
        </w:tc>
      </w:tr>
      <w:tr w14:paraId="7F5008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vMerge w:val="restart"/>
            <w:tcMar>
              <w:top w:w="0" w:type="dxa"/>
              <w:left w:w="108" w:type="dxa"/>
              <w:bottom w:w="0" w:type="dxa"/>
              <w:right w:w="108" w:type="dxa"/>
            </w:tcMar>
            <w:vAlign w:val="center"/>
          </w:tcPr>
          <w:p w14:paraId="6609C13D">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2</w:t>
            </w:r>
          </w:p>
        </w:tc>
        <w:tc>
          <w:tcPr>
            <w:tcW w:w="1181" w:type="dxa"/>
            <w:vMerge w:val="restart"/>
            <w:tcMar>
              <w:top w:w="0" w:type="dxa"/>
              <w:left w:w="108" w:type="dxa"/>
              <w:bottom w:w="0" w:type="dxa"/>
              <w:right w:w="108" w:type="dxa"/>
            </w:tcMar>
            <w:vAlign w:val="center"/>
          </w:tcPr>
          <w:p w14:paraId="451B971C">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A</w:t>
            </w:r>
            <w:r>
              <w:rPr>
                <w:rFonts w:hint="default" w:ascii="Calibri" w:hAnsi="Calibri" w:cs="Calibri"/>
                <w:color w:val="auto"/>
                <w:spacing w:val="11"/>
                <w:sz w:val="18"/>
                <w:szCs w:val="18"/>
                <w:highlight w:val="none"/>
                <w:lang w:eastAsia="en-US"/>
              </w:rPr>
              <w:t>0</w:t>
            </w:r>
            <w:r>
              <w:rPr>
                <w:rFonts w:hint="default" w:ascii="Calibri" w:hAnsi="Calibri" w:cs="Calibri"/>
                <w:color w:val="auto"/>
                <w:spacing w:val="6"/>
                <w:sz w:val="18"/>
                <w:szCs w:val="18"/>
                <w:highlight w:val="none"/>
                <w:lang w:eastAsia="en-US"/>
              </w:rPr>
              <w:t>20106输入输</w:t>
            </w:r>
            <w:r>
              <w:rPr>
                <w:rFonts w:hint="default" w:ascii="Calibri" w:hAnsi="Calibri" w:cs="Calibri"/>
                <w:color w:val="auto"/>
                <w:spacing w:val="-5"/>
                <w:sz w:val="18"/>
                <w:szCs w:val="18"/>
                <w:highlight w:val="none"/>
                <w:lang w:eastAsia="en-US"/>
              </w:rPr>
              <w:t>出设备</w:t>
            </w:r>
          </w:p>
        </w:tc>
        <w:tc>
          <w:tcPr>
            <w:tcW w:w="2536" w:type="dxa"/>
            <w:vMerge w:val="restart"/>
            <w:tcMar>
              <w:top w:w="0" w:type="dxa"/>
              <w:left w:w="108" w:type="dxa"/>
              <w:bottom w:w="0" w:type="dxa"/>
              <w:right w:w="108" w:type="dxa"/>
            </w:tcMar>
            <w:vAlign w:val="center"/>
          </w:tcPr>
          <w:p w14:paraId="327418EA">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lang w:eastAsia="en-US"/>
              </w:rPr>
            </w:pPr>
            <w:r>
              <w:rPr>
                <w:rFonts w:hint="default" w:ascii="Calibri" w:hAnsi="Calibri" w:cs="Calibri"/>
                <w:color w:val="auto"/>
                <w:spacing w:val="-3"/>
                <w:sz w:val="18"/>
                <w:szCs w:val="18"/>
                <w:highlight w:val="none"/>
                <w:lang w:eastAsia="en-US"/>
              </w:rPr>
              <w:t>A</w:t>
            </w:r>
            <w:r>
              <w:rPr>
                <w:rFonts w:hint="default" w:ascii="Calibri" w:hAnsi="Calibri" w:cs="Calibri"/>
                <w:color w:val="auto"/>
                <w:spacing w:val="-4"/>
                <w:sz w:val="18"/>
                <w:szCs w:val="18"/>
                <w:highlight w:val="none"/>
                <w:lang w:eastAsia="en-US"/>
              </w:rPr>
              <w:t>0</w:t>
            </w:r>
            <w:r>
              <w:rPr>
                <w:rFonts w:hint="default" w:ascii="Calibri" w:hAnsi="Calibri" w:cs="Calibri"/>
                <w:color w:val="auto"/>
                <w:spacing w:val="-3"/>
                <w:sz w:val="18"/>
                <w:szCs w:val="18"/>
                <w:highlight w:val="none"/>
                <w:lang w:eastAsia="en-US"/>
              </w:rPr>
              <w:t>2010601打印设备</w:t>
            </w:r>
          </w:p>
        </w:tc>
        <w:tc>
          <w:tcPr>
            <w:tcW w:w="1427" w:type="dxa"/>
            <w:tcMar>
              <w:top w:w="0" w:type="dxa"/>
              <w:left w:w="108" w:type="dxa"/>
              <w:bottom w:w="0" w:type="dxa"/>
              <w:right w:w="108" w:type="dxa"/>
            </w:tcMar>
            <w:vAlign w:val="center"/>
          </w:tcPr>
          <w:p w14:paraId="1E16C06A">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A</w:t>
            </w:r>
            <w:r>
              <w:rPr>
                <w:rFonts w:hint="default" w:ascii="Calibri" w:hAnsi="Calibri" w:cs="Calibri"/>
                <w:color w:val="auto"/>
                <w:spacing w:val="1"/>
                <w:sz w:val="18"/>
                <w:szCs w:val="18"/>
                <w:highlight w:val="none"/>
                <w:lang w:eastAsia="en-US"/>
              </w:rPr>
              <w:t>020</w:t>
            </w:r>
            <w:r>
              <w:rPr>
                <w:rFonts w:hint="default" w:ascii="Calibri" w:hAnsi="Calibri" w:cs="Calibri"/>
                <w:color w:val="auto"/>
                <w:sz w:val="18"/>
                <w:szCs w:val="18"/>
                <w:highlight w:val="none"/>
                <w:lang w:eastAsia="en-US"/>
              </w:rPr>
              <w:t>1060101喷墨打印机</w:t>
            </w:r>
          </w:p>
        </w:tc>
        <w:tc>
          <w:tcPr>
            <w:tcW w:w="2853" w:type="dxa"/>
            <w:tcMar>
              <w:top w:w="0" w:type="dxa"/>
              <w:left w:w="108" w:type="dxa"/>
              <w:bottom w:w="0" w:type="dxa"/>
              <w:right w:w="108" w:type="dxa"/>
            </w:tcMar>
            <w:vAlign w:val="center"/>
          </w:tcPr>
          <w:p w14:paraId="77F70592">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lang w:eastAsia="en-US"/>
              </w:rPr>
            </w:pPr>
            <w:r>
              <w:rPr>
                <w:rFonts w:hint="default" w:ascii="Calibri" w:hAnsi="Calibri" w:cs="Calibri"/>
                <w:color w:val="auto"/>
                <w:spacing w:val="-2"/>
                <w:sz w:val="18"/>
                <w:szCs w:val="18"/>
                <w:highlight w:val="none"/>
                <w:lang w:eastAsia="en-US"/>
              </w:rPr>
              <w:t>HJ</w:t>
            </w:r>
            <w:r>
              <w:rPr>
                <w:rFonts w:hint="default" w:ascii="Calibri" w:hAnsi="Calibri" w:cs="Calibri"/>
                <w:color w:val="auto"/>
                <w:spacing w:val="-4"/>
                <w:sz w:val="18"/>
                <w:szCs w:val="18"/>
                <w:highlight w:val="none"/>
                <w:lang w:eastAsia="en-US"/>
              </w:rPr>
              <w:t>25</w:t>
            </w:r>
            <w:r>
              <w:rPr>
                <w:rFonts w:hint="default" w:ascii="Calibri" w:hAnsi="Calibri" w:cs="Calibri"/>
                <w:color w:val="auto"/>
                <w:spacing w:val="-3"/>
                <w:sz w:val="18"/>
                <w:szCs w:val="18"/>
                <w:highlight w:val="none"/>
                <w:lang w:eastAsia="en-US"/>
              </w:rPr>
              <w:t>1</w:t>
            </w:r>
            <w:r>
              <w:rPr>
                <w:rFonts w:hint="default" w:ascii="Calibri" w:hAnsi="Calibri" w:cs="Calibri"/>
                <w:color w:val="auto"/>
                <w:spacing w:val="-2"/>
                <w:sz w:val="18"/>
                <w:szCs w:val="18"/>
                <w:highlight w:val="none"/>
                <w:lang w:eastAsia="en-US"/>
              </w:rPr>
              <w:t>2打印机、传真机及多功能一体机</w:t>
            </w:r>
          </w:p>
        </w:tc>
      </w:tr>
      <w:tr w14:paraId="0CFEAC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vMerge w:val="continue"/>
            <w:tcMar>
              <w:top w:w="0" w:type="dxa"/>
              <w:left w:w="108" w:type="dxa"/>
              <w:bottom w:w="0" w:type="dxa"/>
              <w:right w:w="108" w:type="dxa"/>
            </w:tcMar>
            <w:vAlign w:val="center"/>
          </w:tcPr>
          <w:p w14:paraId="3C1A916E">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highlight w:val="none"/>
                <w:lang w:eastAsia="en-US"/>
              </w:rPr>
            </w:pPr>
          </w:p>
        </w:tc>
        <w:tc>
          <w:tcPr>
            <w:tcW w:w="1181" w:type="dxa"/>
            <w:vMerge w:val="continue"/>
            <w:tcMar>
              <w:top w:w="0" w:type="dxa"/>
              <w:left w:w="108" w:type="dxa"/>
              <w:bottom w:w="0" w:type="dxa"/>
              <w:right w:w="108" w:type="dxa"/>
            </w:tcMar>
            <w:vAlign w:val="center"/>
          </w:tcPr>
          <w:p w14:paraId="419303C9">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highlight w:val="none"/>
                <w:lang w:eastAsia="en-US"/>
              </w:rPr>
            </w:pPr>
          </w:p>
        </w:tc>
        <w:tc>
          <w:tcPr>
            <w:tcW w:w="2536" w:type="dxa"/>
            <w:vMerge w:val="continue"/>
            <w:tcMar>
              <w:top w:w="0" w:type="dxa"/>
              <w:left w:w="108" w:type="dxa"/>
              <w:bottom w:w="0" w:type="dxa"/>
              <w:right w:w="108" w:type="dxa"/>
            </w:tcMar>
            <w:vAlign w:val="center"/>
          </w:tcPr>
          <w:p w14:paraId="2538ACF0">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highlight w:val="none"/>
                <w:lang w:eastAsia="en-US"/>
              </w:rPr>
            </w:pPr>
          </w:p>
        </w:tc>
        <w:tc>
          <w:tcPr>
            <w:tcW w:w="1427" w:type="dxa"/>
            <w:tcMar>
              <w:top w:w="0" w:type="dxa"/>
              <w:left w:w="108" w:type="dxa"/>
              <w:bottom w:w="0" w:type="dxa"/>
              <w:right w:w="108" w:type="dxa"/>
            </w:tcMar>
            <w:vAlign w:val="center"/>
          </w:tcPr>
          <w:p w14:paraId="189AA3E9">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A</w:t>
            </w:r>
            <w:r>
              <w:rPr>
                <w:rFonts w:hint="default" w:ascii="Calibri" w:hAnsi="Calibri" w:cs="Calibri"/>
                <w:color w:val="auto"/>
                <w:spacing w:val="1"/>
                <w:sz w:val="18"/>
                <w:szCs w:val="18"/>
                <w:highlight w:val="none"/>
                <w:lang w:eastAsia="en-US"/>
              </w:rPr>
              <w:t>02</w:t>
            </w:r>
            <w:r>
              <w:rPr>
                <w:rFonts w:hint="default" w:ascii="Calibri" w:hAnsi="Calibri" w:cs="Calibri"/>
                <w:color w:val="auto"/>
                <w:sz w:val="18"/>
                <w:szCs w:val="18"/>
                <w:highlight w:val="none"/>
                <w:lang w:eastAsia="en-US"/>
              </w:rPr>
              <w:t>01060102激光打印机</w:t>
            </w:r>
          </w:p>
        </w:tc>
        <w:tc>
          <w:tcPr>
            <w:tcW w:w="2853" w:type="dxa"/>
            <w:tcMar>
              <w:top w:w="0" w:type="dxa"/>
              <w:left w:w="108" w:type="dxa"/>
              <w:bottom w:w="0" w:type="dxa"/>
              <w:right w:w="108" w:type="dxa"/>
            </w:tcMar>
            <w:vAlign w:val="center"/>
          </w:tcPr>
          <w:p w14:paraId="6E9F650A">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lang w:eastAsia="en-US"/>
              </w:rPr>
            </w:pPr>
            <w:r>
              <w:rPr>
                <w:rFonts w:hint="default" w:ascii="Calibri" w:hAnsi="Calibri" w:cs="Calibri"/>
                <w:color w:val="auto"/>
                <w:spacing w:val="-2"/>
                <w:sz w:val="18"/>
                <w:szCs w:val="18"/>
                <w:highlight w:val="none"/>
                <w:lang w:eastAsia="en-US"/>
              </w:rPr>
              <w:t>HJ</w:t>
            </w:r>
            <w:r>
              <w:rPr>
                <w:rFonts w:hint="default" w:ascii="Calibri" w:hAnsi="Calibri" w:cs="Calibri"/>
                <w:color w:val="auto"/>
                <w:spacing w:val="-4"/>
                <w:sz w:val="18"/>
                <w:szCs w:val="18"/>
                <w:highlight w:val="none"/>
                <w:lang w:eastAsia="en-US"/>
              </w:rPr>
              <w:t>25</w:t>
            </w:r>
            <w:r>
              <w:rPr>
                <w:rFonts w:hint="default" w:ascii="Calibri" w:hAnsi="Calibri" w:cs="Calibri"/>
                <w:color w:val="auto"/>
                <w:spacing w:val="-3"/>
                <w:sz w:val="18"/>
                <w:szCs w:val="18"/>
                <w:highlight w:val="none"/>
                <w:lang w:eastAsia="en-US"/>
              </w:rPr>
              <w:t>1</w:t>
            </w:r>
            <w:r>
              <w:rPr>
                <w:rFonts w:hint="default" w:ascii="Calibri" w:hAnsi="Calibri" w:cs="Calibri"/>
                <w:color w:val="auto"/>
                <w:spacing w:val="-2"/>
                <w:sz w:val="18"/>
                <w:szCs w:val="18"/>
                <w:highlight w:val="none"/>
                <w:lang w:eastAsia="en-US"/>
              </w:rPr>
              <w:t>2打印机、传真机及多功能一体机</w:t>
            </w:r>
          </w:p>
        </w:tc>
      </w:tr>
      <w:tr w14:paraId="1D43B1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vMerge w:val="continue"/>
            <w:tcMar>
              <w:top w:w="0" w:type="dxa"/>
              <w:left w:w="108" w:type="dxa"/>
              <w:bottom w:w="0" w:type="dxa"/>
              <w:right w:w="108" w:type="dxa"/>
            </w:tcMar>
            <w:vAlign w:val="center"/>
          </w:tcPr>
          <w:p w14:paraId="03EDC472">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highlight w:val="none"/>
                <w:lang w:eastAsia="en-US"/>
              </w:rPr>
            </w:pPr>
          </w:p>
        </w:tc>
        <w:tc>
          <w:tcPr>
            <w:tcW w:w="1181" w:type="dxa"/>
            <w:vMerge w:val="continue"/>
            <w:tcMar>
              <w:top w:w="0" w:type="dxa"/>
              <w:left w:w="108" w:type="dxa"/>
              <w:bottom w:w="0" w:type="dxa"/>
              <w:right w:w="108" w:type="dxa"/>
            </w:tcMar>
            <w:vAlign w:val="center"/>
          </w:tcPr>
          <w:p w14:paraId="0D185EFC">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highlight w:val="none"/>
                <w:lang w:eastAsia="en-US"/>
              </w:rPr>
            </w:pPr>
          </w:p>
        </w:tc>
        <w:tc>
          <w:tcPr>
            <w:tcW w:w="2536" w:type="dxa"/>
            <w:vMerge w:val="continue"/>
            <w:tcMar>
              <w:top w:w="0" w:type="dxa"/>
              <w:left w:w="108" w:type="dxa"/>
              <w:bottom w:w="0" w:type="dxa"/>
              <w:right w:w="108" w:type="dxa"/>
            </w:tcMar>
            <w:vAlign w:val="center"/>
          </w:tcPr>
          <w:p w14:paraId="4C092067">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highlight w:val="none"/>
                <w:lang w:eastAsia="en-US"/>
              </w:rPr>
            </w:pPr>
          </w:p>
        </w:tc>
        <w:tc>
          <w:tcPr>
            <w:tcW w:w="1427" w:type="dxa"/>
            <w:tcMar>
              <w:top w:w="0" w:type="dxa"/>
              <w:left w:w="108" w:type="dxa"/>
              <w:bottom w:w="0" w:type="dxa"/>
              <w:right w:w="108" w:type="dxa"/>
            </w:tcMar>
            <w:vAlign w:val="center"/>
          </w:tcPr>
          <w:p w14:paraId="6D868A61">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A</w:t>
            </w:r>
            <w:r>
              <w:rPr>
                <w:rFonts w:hint="default" w:ascii="Calibri" w:hAnsi="Calibri" w:cs="Calibri"/>
                <w:color w:val="auto"/>
                <w:spacing w:val="1"/>
                <w:sz w:val="18"/>
                <w:szCs w:val="18"/>
                <w:highlight w:val="none"/>
                <w:lang w:eastAsia="en-US"/>
              </w:rPr>
              <w:t>020</w:t>
            </w:r>
            <w:r>
              <w:rPr>
                <w:rFonts w:hint="default" w:ascii="Calibri" w:hAnsi="Calibri" w:cs="Calibri"/>
                <w:color w:val="auto"/>
                <w:sz w:val="18"/>
                <w:szCs w:val="18"/>
                <w:highlight w:val="none"/>
                <w:lang w:eastAsia="en-US"/>
              </w:rPr>
              <w:t>1060103热式打印机</w:t>
            </w:r>
          </w:p>
        </w:tc>
        <w:tc>
          <w:tcPr>
            <w:tcW w:w="2853" w:type="dxa"/>
            <w:tcMar>
              <w:top w:w="0" w:type="dxa"/>
              <w:left w:w="108" w:type="dxa"/>
              <w:bottom w:w="0" w:type="dxa"/>
              <w:right w:w="108" w:type="dxa"/>
            </w:tcMar>
            <w:vAlign w:val="center"/>
          </w:tcPr>
          <w:p w14:paraId="3EF0A694">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lang w:eastAsia="en-US"/>
              </w:rPr>
            </w:pPr>
            <w:r>
              <w:rPr>
                <w:rFonts w:hint="default" w:ascii="Calibri" w:hAnsi="Calibri" w:cs="Calibri"/>
                <w:color w:val="auto"/>
                <w:spacing w:val="-2"/>
                <w:sz w:val="18"/>
                <w:szCs w:val="18"/>
                <w:highlight w:val="none"/>
                <w:lang w:eastAsia="en-US"/>
              </w:rPr>
              <w:t>HJ</w:t>
            </w:r>
            <w:r>
              <w:rPr>
                <w:rFonts w:hint="default" w:ascii="Calibri" w:hAnsi="Calibri" w:cs="Calibri"/>
                <w:color w:val="auto"/>
                <w:spacing w:val="-4"/>
                <w:sz w:val="18"/>
                <w:szCs w:val="18"/>
                <w:highlight w:val="none"/>
                <w:lang w:eastAsia="en-US"/>
              </w:rPr>
              <w:t>25</w:t>
            </w:r>
            <w:r>
              <w:rPr>
                <w:rFonts w:hint="default" w:ascii="Calibri" w:hAnsi="Calibri" w:cs="Calibri"/>
                <w:color w:val="auto"/>
                <w:spacing w:val="-3"/>
                <w:sz w:val="18"/>
                <w:szCs w:val="18"/>
                <w:highlight w:val="none"/>
                <w:lang w:eastAsia="en-US"/>
              </w:rPr>
              <w:t>1</w:t>
            </w:r>
            <w:r>
              <w:rPr>
                <w:rFonts w:hint="default" w:ascii="Calibri" w:hAnsi="Calibri" w:cs="Calibri"/>
                <w:color w:val="auto"/>
                <w:spacing w:val="-2"/>
                <w:sz w:val="18"/>
                <w:szCs w:val="18"/>
                <w:highlight w:val="none"/>
                <w:lang w:eastAsia="en-US"/>
              </w:rPr>
              <w:t>2打印机、传真机及多功能一体机</w:t>
            </w:r>
          </w:p>
        </w:tc>
      </w:tr>
      <w:tr w14:paraId="08262E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vMerge w:val="continue"/>
            <w:tcMar>
              <w:top w:w="0" w:type="dxa"/>
              <w:left w:w="108" w:type="dxa"/>
              <w:bottom w:w="0" w:type="dxa"/>
              <w:right w:w="108" w:type="dxa"/>
            </w:tcMar>
            <w:vAlign w:val="center"/>
          </w:tcPr>
          <w:p w14:paraId="17EB58BB">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highlight w:val="none"/>
                <w:lang w:eastAsia="en-US"/>
              </w:rPr>
            </w:pPr>
          </w:p>
        </w:tc>
        <w:tc>
          <w:tcPr>
            <w:tcW w:w="1181" w:type="dxa"/>
            <w:vMerge w:val="continue"/>
            <w:tcMar>
              <w:top w:w="0" w:type="dxa"/>
              <w:left w:w="108" w:type="dxa"/>
              <w:bottom w:w="0" w:type="dxa"/>
              <w:right w:w="108" w:type="dxa"/>
            </w:tcMar>
            <w:vAlign w:val="center"/>
          </w:tcPr>
          <w:p w14:paraId="722E5149">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highlight w:val="none"/>
                <w:lang w:eastAsia="en-US"/>
              </w:rPr>
            </w:pPr>
          </w:p>
        </w:tc>
        <w:tc>
          <w:tcPr>
            <w:tcW w:w="2536" w:type="dxa"/>
            <w:vMerge w:val="continue"/>
            <w:tcMar>
              <w:top w:w="0" w:type="dxa"/>
              <w:left w:w="108" w:type="dxa"/>
              <w:bottom w:w="0" w:type="dxa"/>
              <w:right w:w="108" w:type="dxa"/>
            </w:tcMar>
            <w:vAlign w:val="center"/>
          </w:tcPr>
          <w:p w14:paraId="4033B591">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highlight w:val="none"/>
                <w:lang w:eastAsia="en-US"/>
              </w:rPr>
            </w:pPr>
          </w:p>
        </w:tc>
        <w:tc>
          <w:tcPr>
            <w:tcW w:w="1427" w:type="dxa"/>
            <w:tcMar>
              <w:top w:w="0" w:type="dxa"/>
              <w:left w:w="108" w:type="dxa"/>
              <w:bottom w:w="0" w:type="dxa"/>
              <w:right w:w="108" w:type="dxa"/>
            </w:tcMar>
            <w:vAlign w:val="center"/>
          </w:tcPr>
          <w:p w14:paraId="40891139">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A</w:t>
            </w:r>
            <w:r>
              <w:rPr>
                <w:rFonts w:hint="default" w:ascii="Calibri" w:hAnsi="Calibri" w:cs="Calibri"/>
                <w:color w:val="auto"/>
                <w:spacing w:val="1"/>
                <w:sz w:val="18"/>
                <w:szCs w:val="18"/>
                <w:highlight w:val="none"/>
                <w:lang w:eastAsia="en-US"/>
              </w:rPr>
              <w:t>02</w:t>
            </w:r>
            <w:r>
              <w:rPr>
                <w:rFonts w:hint="default" w:ascii="Calibri" w:hAnsi="Calibri" w:cs="Calibri"/>
                <w:color w:val="auto"/>
                <w:sz w:val="18"/>
                <w:szCs w:val="18"/>
                <w:highlight w:val="none"/>
                <w:lang w:eastAsia="en-US"/>
              </w:rPr>
              <w:t>01060104针式打印机</w:t>
            </w:r>
          </w:p>
        </w:tc>
        <w:tc>
          <w:tcPr>
            <w:tcW w:w="2853" w:type="dxa"/>
            <w:tcMar>
              <w:top w:w="0" w:type="dxa"/>
              <w:left w:w="108" w:type="dxa"/>
              <w:bottom w:w="0" w:type="dxa"/>
              <w:right w:w="108" w:type="dxa"/>
            </w:tcMar>
            <w:vAlign w:val="center"/>
          </w:tcPr>
          <w:p w14:paraId="3757B8D2">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lang w:eastAsia="en-US"/>
              </w:rPr>
            </w:pPr>
            <w:r>
              <w:rPr>
                <w:rFonts w:hint="default" w:ascii="Calibri" w:hAnsi="Calibri" w:cs="Calibri"/>
                <w:color w:val="auto"/>
                <w:spacing w:val="-2"/>
                <w:sz w:val="18"/>
                <w:szCs w:val="18"/>
                <w:highlight w:val="none"/>
                <w:lang w:eastAsia="en-US"/>
              </w:rPr>
              <w:t>HJ</w:t>
            </w:r>
            <w:r>
              <w:rPr>
                <w:rFonts w:hint="default" w:ascii="Calibri" w:hAnsi="Calibri" w:cs="Calibri"/>
                <w:color w:val="auto"/>
                <w:spacing w:val="-4"/>
                <w:sz w:val="18"/>
                <w:szCs w:val="18"/>
                <w:highlight w:val="none"/>
                <w:lang w:eastAsia="en-US"/>
              </w:rPr>
              <w:t>25</w:t>
            </w:r>
            <w:r>
              <w:rPr>
                <w:rFonts w:hint="default" w:ascii="Calibri" w:hAnsi="Calibri" w:cs="Calibri"/>
                <w:color w:val="auto"/>
                <w:spacing w:val="-3"/>
                <w:sz w:val="18"/>
                <w:szCs w:val="18"/>
                <w:highlight w:val="none"/>
                <w:lang w:eastAsia="en-US"/>
              </w:rPr>
              <w:t>1</w:t>
            </w:r>
            <w:r>
              <w:rPr>
                <w:rFonts w:hint="default" w:ascii="Calibri" w:hAnsi="Calibri" w:cs="Calibri"/>
                <w:color w:val="auto"/>
                <w:spacing w:val="-2"/>
                <w:sz w:val="18"/>
                <w:szCs w:val="18"/>
                <w:highlight w:val="none"/>
                <w:lang w:eastAsia="en-US"/>
              </w:rPr>
              <w:t>2打印机、传真机及多功能一体机</w:t>
            </w:r>
          </w:p>
        </w:tc>
      </w:tr>
      <w:tr w14:paraId="5B8BD7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vMerge w:val="continue"/>
            <w:tcMar>
              <w:top w:w="0" w:type="dxa"/>
              <w:left w:w="108" w:type="dxa"/>
              <w:bottom w:w="0" w:type="dxa"/>
              <w:right w:w="108" w:type="dxa"/>
            </w:tcMar>
            <w:vAlign w:val="center"/>
          </w:tcPr>
          <w:p w14:paraId="1B9FD1EB">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highlight w:val="none"/>
                <w:lang w:eastAsia="en-US"/>
              </w:rPr>
            </w:pPr>
          </w:p>
        </w:tc>
        <w:tc>
          <w:tcPr>
            <w:tcW w:w="1181" w:type="dxa"/>
            <w:vMerge w:val="continue"/>
            <w:tcMar>
              <w:top w:w="0" w:type="dxa"/>
              <w:left w:w="108" w:type="dxa"/>
              <w:bottom w:w="0" w:type="dxa"/>
              <w:right w:w="108" w:type="dxa"/>
            </w:tcMar>
            <w:vAlign w:val="center"/>
          </w:tcPr>
          <w:p w14:paraId="498651D2">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highlight w:val="none"/>
                <w:lang w:eastAsia="en-US"/>
              </w:rPr>
            </w:pPr>
          </w:p>
        </w:tc>
        <w:tc>
          <w:tcPr>
            <w:tcW w:w="2536" w:type="dxa"/>
            <w:vMerge w:val="restart"/>
            <w:tcMar>
              <w:top w:w="0" w:type="dxa"/>
              <w:left w:w="108" w:type="dxa"/>
              <w:bottom w:w="0" w:type="dxa"/>
              <w:right w:w="108" w:type="dxa"/>
            </w:tcMar>
            <w:vAlign w:val="center"/>
          </w:tcPr>
          <w:p w14:paraId="4ADE76F4">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A</w:t>
            </w:r>
            <w:r>
              <w:rPr>
                <w:rFonts w:hint="default" w:ascii="Calibri" w:hAnsi="Calibri" w:cs="Calibri"/>
                <w:color w:val="auto"/>
                <w:spacing w:val="1"/>
                <w:sz w:val="18"/>
                <w:szCs w:val="18"/>
                <w:highlight w:val="none"/>
                <w:lang w:eastAsia="en-US"/>
              </w:rPr>
              <w:t>020</w:t>
            </w:r>
            <w:r>
              <w:rPr>
                <w:rFonts w:hint="default" w:ascii="Calibri" w:hAnsi="Calibri" w:cs="Calibri"/>
                <w:color w:val="auto"/>
                <w:sz w:val="18"/>
                <w:szCs w:val="18"/>
                <w:highlight w:val="none"/>
                <w:lang w:eastAsia="en-US"/>
              </w:rPr>
              <w:t>10604显示设备</w:t>
            </w:r>
          </w:p>
        </w:tc>
        <w:tc>
          <w:tcPr>
            <w:tcW w:w="1427" w:type="dxa"/>
            <w:tcMar>
              <w:top w:w="0" w:type="dxa"/>
              <w:left w:w="108" w:type="dxa"/>
              <w:bottom w:w="0" w:type="dxa"/>
              <w:right w:w="108" w:type="dxa"/>
            </w:tcMar>
            <w:vAlign w:val="center"/>
          </w:tcPr>
          <w:p w14:paraId="50AED71C">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A</w:t>
            </w:r>
            <w:r>
              <w:rPr>
                <w:rFonts w:hint="default" w:ascii="Calibri" w:hAnsi="Calibri" w:cs="Calibri"/>
                <w:color w:val="auto"/>
                <w:spacing w:val="1"/>
                <w:sz w:val="18"/>
                <w:szCs w:val="18"/>
                <w:highlight w:val="none"/>
                <w:lang w:eastAsia="en-US"/>
              </w:rPr>
              <w:t>02</w:t>
            </w:r>
            <w:r>
              <w:rPr>
                <w:rFonts w:hint="default" w:ascii="Calibri" w:hAnsi="Calibri" w:cs="Calibri"/>
                <w:color w:val="auto"/>
                <w:sz w:val="18"/>
                <w:szCs w:val="18"/>
                <w:highlight w:val="none"/>
                <w:lang w:eastAsia="en-US"/>
              </w:rPr>
              <w:t>01060401液晶显示器</w:t>
            </w:r>
          </w:p>
        </w:tc>
        <w:tc>
          <w:tcPr>
            <w:tcW w:w="2853" w:type="dxa"/>
            <w:tcMar>
              <w:top w:w="0" w:type="dxa"/>
              <w:left w:w="108" w:type="dxa"/>
              <w:bottom w:w="0" w:type="dxa"/>
              <w:right w:w="108" w:type="dxa"/>
            </w:tcMar>
            <w:vAlign w:val="center"/>
          </w:tcPr>
          <w:p w14:paraId="53CBC903">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lang w:eastAsia="en-US"/>
              </w:rPr>
            </w:pPr>
            <w:r>
              <w:rPr>
                <w:rFonts w:hint="default" w:ascii="Calibri" w:hAnsi="Calibri" w:cs="Calibri"/>
                <w:color w:val="auto"/>
                <w:spacing w:val="-2"/>
                <w:sz w:val="18"/>
                <w:szCs w:val="18"/>
                <w:highlight w:val="none"/>
                <w:lang w:eastAsia="en-US"/>
              </w:rPr>
              <w:t>HJ</w:t>
            </w:r>
            <w:r>
              <w:rPr>
                <w:rFonts w:hint="default" w:ascii="Calibri" w:hAnsi="Calibri" w:cs="Calibri"/>
                <w:color w:val="auto"/>
                <w:spacing w:val="-4"/>
                <w:sz w:val="18"/>
                <w:szCs w:val="18"/>
                <w:highlight w:val="none"/>
                <w:lang w:eastAsia="en-US"/>
              </w:rPr>
              <w:t>2536</w:t>
            </w:r>
            <w:r>
              <w:rPr>
                <w:rFonts w:hint="default" w:ascii="Calibri" w:hAnsi="Calibri" w:cs="Calibri"/>
                <w:color w:val="auto"/>
                <w:spacing w:val="-2"/>
                <w:sz w:val="18"/>
                <w:szCs w:val="18"/>
                <w:highlight w:val="none"/>
                <w:lang w:eastAsia="en-US"/>
              </w:rPr>
              <w:t>微型计算机、显示器</w:t>
            </w:r>
          </w:p>
        </w:tc>
      </w:tr>
      <w:tr w14:paraId="3A5794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vMerge w:val="continue"/>
            <w:tcMar>
              <w:top w:w="0" w:type="dxa"/>
              <w:left w:w="108" w:type="dxa"/>
              <w:bottom w:w="0" w:type="dxa"/>
              <w:right w:w="108" w:type="dxa"/>
            </w:tcMar>
            <w:vAlign w:val="center"/>
          </w:tcPr>
          <w:p w14:paraId="013565F0">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highlight w:val="none"/>
                <w:lang w:eastAsia="en-US"/>
              </w:rPr>
            </w:pPr>
          </w:p>
        </w:tc>
        <w:tc>
          <w:tcPr>
            <w:tcW w:w="1181" w:type="dxa"/>
            <w:vMerge w:val="continue"/>
            <w:tcMar>
              <w:top w:w="0" w:type="dxa"/>
              <w:left w:w="108" w:type="dxa"/>
              <w:bottom w:w="0" w:type="dxa"/>
              <w:right w:w="108" w:type="dxa"/>
            </w:tcMar>
            <w:vAlign w:val="center"/>
          </w:tcPr>
          <w:p w14:paraId="71F1905F">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highlight w:val="none"/>
                <w:lang w:eastAsia="en-US"/>
              </w:rPr>
            </w:pPr>
          </w:p>
        </w:tc>
        <w:tc>
          <w:tcPr>
            <w:tcW w:w="2536" w:type="dxa"/>
            <w:vMerge w:val="continue"/>
            <w:tcMar>
              <w:top w:w="0" w:type="dxa"/>
              <w:left w:w="108" w:type="dxa"/>
              <w:bottom w:w="0" w:type="dxa"/>
              <w:right w:w="108" w:type="dxa"/>
            </w:tcMar>
            <w:vAlign w:val="center"/>
          </w:tcPr>
          <w:p w14:paraId="7DEB8EEC">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highlight w:val="none"/>
                <w:lang w:eastAsia="en-US"/>
              </w:rPr>
            </w:pPr>
          </w:p>
        </w:tc>
        <w:tc>
          <w:tcPr>
            <w:tcW w:w="1427" w:type="dxa"/>
            <w:tcMar>
              <w:top w:w="0" w:type="dxa"/>
              <w:left w:w="108" w:type="dxa"/>
              <w:bottom w:w="0" w:type="dxa"/>
              <w:right w:w="108" w:type="dxa"/>
            </w:tcMar>
            <w:vAlign w:val="center"/>
          </w:tcPr>
          <w:p w14:paraId="2B9C4DF0">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A</w:t>
            </w:r>
            <w:r>
              <w:rPr>
                <w:rFonts w:hint="default" w:ascii="Calibri" w:hAnsi="Calibri" w:cs="Calibri"/>
                <w:color w:val="auto"/>
                <w:spacing w:val="1"/>
                <w:sz w:val="18"/>
                <w:szCs w:val="18"/>
                <w:highlight w:val="none"/>
                <w:lang w:eastAsia="en-US"/>
              </w:rPr>
              <w:t>02</w:t>
            </w:r>
            <w:r>
              <w:rPr>
                <w:rFonts w:hint="default" w:ascii="Calibri" w:hAnsi="Calibri" w:cs="Calibri"/>
                <w:color w:val="auto"/>
                <w:sz w:val="18"/>
                <w:szCs w:val="18"/>
                <w:highlight w:val="none"/>
                <w:lang w:eastAsia="en-US"/>
              </w:rPr>
              <w:t>01060499其他显示器</w:t>
            </w:r>
          </w:p>
        </w:tc>
        <w:tc>
          <w:tcPr>
            <w:tcW w:w="2853" w:type="dxa"/>
            <w:tcMar>
              <w:top w:w="0" w:type="dxa"/>
              <w:left w:w="108" w:type="dxa"/>
              <w:bottom w:w="0" w:type="dxa"/>
              <w:right w:w="108" w:type="dxa"/>
            </w:tcMar>
            <w:vAlign w:val="center"/>
          </w:tcPr>
          <w:p w14:paraId="2B8C6C49">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lang w:eastAsia="en-US"/>
              </w:rPr>
            </w:pPr>
            <w:r>
              <w:rPr>
                <w:rFonts w:hint="default" w:ascii="Calibri" w:hAnsi="Calibri" w:cs="Calibri"/>
                <w:color w:val="auto"/>
                <w:spacing w:val="-2"/>
                <w:sz w:val="18"/>
                <w:szCs w:val="18"/>
                <w:highlight w:val="none"/>
                <w:lang w:eastAsia="en-US"/>
              </w:rPr>
              <w:t>HJ</w:t>
            </w:r>
            <w:r>
              <w:rPr>
                <w:rFonts w:hint="default" w:ascii="Calibri" w:hAnsi="Calibri" w:cs="Calibri"/>
                <w:color w:val="auto"/>
                <w:spacing w:val="-4"/>
                <w:sz w:val="18"/>
                <w:szCs w:val="18"/>
                <w:highlight w:val="none"/>
                <w:lang w:eastAsia="en-US"/>
              </w:rPr>
              <w:t>2536</w:t>
            </w:r>
            <w:r>
              <w:rPr>
                <w:rFonts w:hint="default" w:ascii="Calibri" w:hAnsi="Calibri" w:cs="Calibri"/>
                <w:color w:val="auto"/>
                <w:spacing w:val="-2"/>
                <w:sz w:val="18"/>
                <w:szCs w:val="18"/>
                <w:highlight w:val="none"/>
                <w:lang w:eastAsia="en-US"/>
              </w:rPr>
              <w:t>微型计算机、显示器</w:t>
            </w:r>
          </w:p>
        </w:tc>
      </w:tr>
      <w:tr w14:paraId="1F6ED8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vMerge w:val="continue"/>
            <w:tcMar>
              <w:top w:w="0" w:type="dxa"/>
              <w:left w:w="108" w:type="dxa"/>
              <w:bottom w:w="0" w:type="dxa"/>
              <w:right w:w="108" w:type="dxa"/>
            </w:tcMar>
            <w:vAlign w:val="center"/>
          </w:tcPr>
          <w:p w14:paraId="06F6DD6D">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highlight w:val="none"/>
                <w:lang w:eastAsia="en-US"/>
              </w:rPr>
            </w:pPr>
          </w:p>
        </w:tc>
        <w:tc>
          <w:tcPr>
            <w:tcW w:w="1181" w:type="dxa"/>
            <w:vMerge w:val="continue"/>
            <w:tcMar>
              <w:top w:w="0" w:type="dxa"/>
              <w:left w:w="108" w:type="dxa"/>
              <w:bottom w:w="0" w:type="dxa"/>
              <w:right w:w="108" w:type="dxa"/>
            </w:tcMar>
            <w:vAlign w:val="center"/>
          </w:tcPr>
          <w:p w14:paraId="333CA3DD">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highlight w:val="none"/>
                <w:lang w:eastAsia="en-US"/>
              </w:rPr>
            </w:pPr>
          </w:p>
        </w:tc>
        <w:tc>
          <w:tcPr>
            <w:tcW w:w="2536" w:type="dxa"/>
            <w:tcMar>
              <w:top w:w="0" w:type="dxa"/>
              <w:left w:w="108" w:type="dxa"/>
              <w:bottom w:w="0" w:type="dxa"/>
              <w:right w:w="108" w:type="dxa"/>
            </w:tcMar>
            <w:vAlign w:val="center"/>
          </w:tcPr>
          <w:p w14:paraId="42B87142">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lang w:eastAsia="en-US"/>
              </w:rPr>
            </w:pPr>
            <w:r>
              <w:rPr>
                <w:rFonts w:hint="default" w:ascii="Calibri" w:hAnsi="Calibri" w:cs="Calibri"/>
                <w:color w:val="auto"/>
                <w:spacing w:val="-2"/>
                <w:sz w:val="18"/>
                <w:szCs w:val="18"/>
                <w:highlight w:val="none"/>
                <w:lang w:eastAsia="en-US"/>
              </w:rPr>
              <w:t>A</w:t>
            </w:r>
            <w:r>
              <w:rPr>
                <w:rFonts w:hint="default" w:ascii="Calibri" w:hAnsi="Calibri" w:cs="Calibri"/>
                <w:color w:val="auto"/>
                <w:spacing w:val="-4"/>
                <w:sz w:val="18"/>
                <w:szCs w:val="18"/>
                <w:highlight w:val="none"/>
                <w:lang w:eastAsia="en-US"/>
              </w:rPr>
              <w:t>020</w:t>
            </w:r>
            <w:r>
              <w:rPr>
                <w:rFonts w:hint="default" w:ascii="Calibri" w:hAnsi="Calibri" w:cs="Calibri"/>
                <w:color w:val="auto"/>
                <w:spacing w:val="-2"/>
                <w:sz w:val="18"/>
                <w:szCs w:val="18"/>
                <w:highlight w:val="none"/>
                <w:lang w:eastAsia="en-US"/>
              </w:rPr>
              <w:t>10609图形图像输入设备</w:t>
            </w:r>
          </w:p>
        </w:tc>
        <w:tc>
          <w:tcPr>
            <w:tcW w:w="1427" w:type="dxa"/>
            <w:tcMar>
              <w:top w:w="0" w:type="dxa"/>
              <w:left w:w="108" w:type="dxa"/>
              <w:bottom w:w="0" w:type="dxa"/>
              <w:right w:w="108" w:type="dxa"/>
            </w:tcMar>
            <w:vAlign w:val="center"/>
          </w:tcPr>
          <w:p w14:paraId="6860708B">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A</w:t>
            </w:r>
            <w:r>
              <w:rPr>
                <w:rFonts w:hint="default" w:ascii="Calibri" w:hAnsi="Calibri" w:cs="Calibri"/>
                <w:color w:val="auto"/>
                <w:spacing w:val="1"/>
                <w:sz w:val="18"/>
                <w:szCs w:val="18"/>
                <w:highlight w:val="none"/>
                <w:lang w:eastAsia="en-US"/>
              </w:rPr>
              <w:t>020</w:t>
            </w:r>
            <w:r>
              <w:rPr>
                <w:rFonts w:hint="default" w:ascii="Calibri" w:hAnsi="Calibri" w:cs="Calibri"/>
                <w:color w:val="auto"/>
                <w:sz w:val="18"/>
                <w:szCs w:val="18"/>
                <w:highlight w:val="none"/>
                <w:lang w:eastAsia="en-US"/>
              </w:rPr>
              <w:t>1060901扫描仪</w:t>
            </w:r>
          </w:p>
        </w:tc>
        <w:tc>
          <w:tcPr>
            <w:tcW w:w="2853" w:type="dxa"/>
            <w:tcMar>
              <w:top w:w="0" w:type="dxa"/>
              <w:left w:w="108" w:type="dxa"/>
              <w:bottom w:w="0" w:type="dxa"/>
              <w:right w:w="108" w:type="dxa"/>
            </w:tcMar>
            <w:vAlign w:val="center"/>
          </w:tcPr>
          <w:p w14:paraId="31A43DFB">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lang w:eastAsia="en-US"/>
              </w:rPr>
            </w:pPr>
            <w:r>
              <w:rPr>
                <w:rFonts w:hint="default" w:ascii="Calibri" w:hAnsi="Calibri" w:cs="Calibri"/>
                <w:color w:val="auto"/>
                <w:spacing w:val="-4"/>
                <w:sz w:val="18"/>
                <w:szCs w:val="18"/>
                <w:highlight w:val="none"/>
                <w:lang w:eastAsia="en-US"/>
              </w:rPr>
              <w:t>HJ</w:t>
            </w:r>
            <w:r>
              <w:rPr>
                <w:rFonts w:hint="default" w:ascii="Calibri" w:hAnsi="Calibri" w:cs="Calibri"/>
                <w:color w:val="auto"/>
                <w:spacing w:val="-6"/>
                <w:sz w:val="18"/>
                <w:szCs w:val="18"/>
                <w:highlight w:val="none"/>
                <w:lang w:eastAsia="en-US"/>
              </w:rPr>
              <w:t>2</w:t>
            </w:r>
            <w:r>
              <w:rPr>
                <w:rFonts w:hint="default" w:ascii="Calibri" w:hAnsi="Calibri" w:cs="Calibri"/>
                <w:color w:val="auto"/>
                <w:spacing w:val="-4"/>
                <w:sz w:val="18"/>
                <w:szCs w:val="18"/>
                <w:highlight w:val="none"/>
                <w:lang w:eastAsia="en-US"/>
              </w:rPr>
              <w:t>517扫描仪</w:t>
            </w:r>
          </w:p>
        </w:tc>
      </w:tr>
      <w:tr w14:paraId="30B542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tcMar>
              <w:top w:w="0" w:type="dxa"/>
              <w:left w:w="108" w:type="dxa"/>
              <w:bottom w:w="0" w:type="dxa"/>
              <w:right w:w="108" w:type="dxa"/>
            </w:tcMar>
            <w:vAlign w:val="center"/>
          </w:tcPr>
          <w:p w14:paraId="45558977">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3</w:t>
            </w:r>
          </w:p>
        </w:tc>
        <w:tc>
          <w:tcPr>
            <w:tcW w:w="1181" w:type="dxa"/>
            <w:tcMar>
              <w:top w:w="0" w:type="dxa"/>
              <w:left w:w="108" w:type="dxa"/>
              <w:bottom w:w="0" w:type="dxa"/>
              <w:right w:w="108" w:type="dxa"/>
            </w:tcMar>
            <w:vAlign w:val="center"/>
          </w:tcPr>
          <w:p w14:paraId="74C2D923">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lang w:eastAsia="en-US"/>
              </w:rPr>
            </w:pPr>
            <w:r>
              <w:rPr>
                <w:rFonts w:hint="default" w:ascii="Calibri" w:hAnsi="Calibri" w:cs="Calibri"/>
                <w:color w:val="auto"/>
                <w:spacing w:val="-3"/>
                <w:sz w:val="18"/>
                <w:szCs w:val="18"/>
                <w:highlight w:val="none"/>
                <w:lang w:eastAsia="en-US"/>
              </w:rPr>
              <w:t>A</w:t>
            </w:r>
            <w:r>
              <w:rPr>
                <w:rFonts w:hint="default" w:ascii="Calibri" w:hAnsi="Calibri" w:cs="Calibri"/>
                <w:color w:val="auto"/>
                <w:spacing w:val="-6"/>
                <w:sz w:val="18"/>
                <w:szCs w:val="18"/>
                <w:highlight w:val="none"/>
                <w:lang w:eastAsia="en-US"/>
              </w:rPr>
              <w:t>020</w:t>
            </w:r>
            <w:r>
              <w:rPr>
                <w:rFonts w:hint="default" w:ascii="Calibri" w:hAnsi="Calibri" w:cs="Calibri"/>
                <w:color w:val="auto"/>
                <w:spacing w:val="-3"/>
                <w:sz w:val="18"/>
                <w:szCs w:val="18"/>
                <w:highlight w:val="none"/>
                <w:lang w:eastAsia="en-US"/>
              </w:rPr>
              <w:t>202投影仪</w:t>
            </w:r>
          </w:p>
        </w:tc>
        <w:tc>
          <w:tcPr>
            <w:tcW w:w="2536" w:type="dxa"/>
            <w:tcMar>
              <w:top w:w="0" w:type="dxa"/>
              <w:left w:w="108" w:type="dxa"/>
              <w:bottom w:w="0" w:type="dxa"/>
              <w:right w:w="108" w:type="dxa"/>
            </w:tcMar>
            <w:vAlign w:val="center"/>
          </w:tcPr>
          <w:p w14:paraId="254F3392">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highlight w:val="none"/>
                <w:lang w:eastAsia="en-US"/>
              </w:rPr>
            </w:pPr>
          </w:p>
        </w:tc>
        <w:tc>
          <w:tcPr>
            <w:tcW w:w="1427" w:type="dxa"/>
            <w:tcMar>
              <w:top w:w="0" w:type="dxa"/>
              <w:left w:w="108" w:type="dxa"/>
              <w:bottom w:w="0" w:type="dxa"/>
              <w:right w:w="108" w:type="dxa"/>
            </w:tcMar>
            <w:vAlign w:val="center"/>
          </w:tcPr>
          <w:p w14:paraId="39082A78">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highlight w:val="none"/>
                <w:lang w:eastAsia="en-US"/>
              </w:rPr>
            </w:pPr>
          </w:p>
        </w:tc>
        <w:tc>
          <w:tcPr>
            <w:tcW w:w="2853" w:type="dxa"/>
            <w:tcMar>
              <w:top w:w="0" w:type="dxa"/>
              <w:left w:w="108" w:type="dxa"/>
              <w:bottom w:w="0" w:type="dxa"/>
              <w:right w:w="108" w:type="dxa"/>
            </w:tcMar>
            <w:vAlign w:val="center"/>
          </w:tcPr>
          <w:p w14:paraId="57ED3759">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lang w:eastAsia="en-US"/>
              </w:rPr>
            </w:pPr>
            <w:r>
              <w:rPr>
                <w:rFonts w:hint="default" w:ascii="Calibri" w:hAnsi="Calibri" w:cs="Calibri"/>
                <w:color w:val="auto"/>
                <w:spacing w:val="-4"/>
                <w:sz w:val="18"/>
                <w:szCs w:val="18"/>
                <w:highlight w:val="none"/>
                <w:lang w:eastAsia="en-US"/>
              </w:rPr>
              <w:t>HJ</w:t>
            </w:r>
            <w:r>
              <w:rPr>
                <w:rFonts w:hint="default" w:ascii="Calibri" w:hAnsi="Calibri" w:cs="Calibri"/>
                <w:color w:val="auto"/>
                <w:spacing w:val="-6"/>
                <w:sz w:val="18"/>
                <w:szCs w:val="18"/>
                <w:highlight w:val="none"/>
                <w:lang w:eastAsia="en-US"/>
              </w:rPr>
              <w:t>2</w:t>
            </w:r>
            <w:r>
              <w:rPr>
                <w:rFonts w:hint="default" w:ascii="Calibri" w:hAnsi="Calibri" w:cs="Calibri"/>
                <w:color w:val="auto"/>
                <w:spacing w:val="-4"/>
                <w:sz w:val="18"/>
                <w:szCs w:val="18"/>
                <w:highlight w:val="none"/>
                <w:lang w:eastAsia="en-US"/>
              </w:rPr>
              <w:t>516投影仪</w:t>
            </w:r>
          </w:p>
        </w:tc>
      </w:tr>
      <w:tr w14:paraId="1D2B8A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tcMar>
              <w:top w:w="0" w:type="dxa"/>
              <w:left w:w="108" w:type="dxa"/>
              <w:bottom w:w="0" w:type="dxa"/>
              <w:right w:w="108" w:type="dxa"/>
            </w:tcMar>
            <w:vAlign w:val="center"/>
          </w:tcPr>
          <w:p w14:paraId="6F3A69BB">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4</w:t>
            </w:r>
          </w:p>
        </w:tc>
        <w:tc>
          <w:tcPr>
            <w:tcW w:w="1181" w:type="dxa"/>
            <w:tcMar>
              <w:top w:w="0" w:type="dxa"/>
              <w:left w:w="108" w:type="dxa"/>
              <w:bottom w:w="0" w:type="dxa"/>
              <w:right w:w="108" w:type="dxa"/>
            </w:tcMar>
            <w:vAlign w:val="center"/>
          </w:tcPr>
          <w:p w14:paraId="5A8D9765">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lang w:eastAsia="en-US"/>
              </w:rPr>
            </w:pPr>
            <w:r>
              <w:rPr>
                <w:rFonts w:hint="default" w:ascii="Calibri" w:hAnsi="Calibri" w:cs="Calibri"/>
                <w:color w:val="auto"/>
                <w:spacing w:val="-3"/>
                <w:sz w:val="18"/>
                <w:szCs w:val="18"/>
                <w:highlight w:val="none"/>
                <w:lang w:eastAsia="en-US"/>
              </w:rPr>
              <w:t>A</w:t>
            </w:r>
            <w:r>
              <w:rPr>
                <w:rFonts w:hint="default" w:ascii="Calibri" w:hAnsi="Calibri" w:cs="Calibri"/>
                <w:color w:val="auto"/>
                <w:spacing w:val="-6"/>
                <w:sz w:val="18"/>
                <w:szCs w:val="18"/>
                <w:highlight w:val="none"/>
                <w:lang w:eastAsia="en-US"/>
              </w:rPr>
              <w:t>02</w:t>
            </w:r>
            <w:r>
              <w:rPr>
                <w:rFonts w:hint="default" w:ascii="Calibri" w:hAnsi="Calibri" w:cs="Calibri"/>
                <w:color w:val="auto"/>
                <w:spacing w:val="-5"/>
                <w:sz w:val="18"/>
                <w:szCs w:val="18"/>
                <w:highlight w:val="none"/>
                <w:lang w:eastAsia="en-US"/>
              </w:rPr>
              <w:t>0</w:t>
            </w:r>
            <w:r>
              <w:rPr>
                <w:rFonts w:hint="default" w:ascii="Calibri" w:hAnsi="Calibri" w:cs="Calibri"/>
                <w:color w:val="auto"/>
                <w:spacing w:val="-3"/>
                <w:sz w:val="18"/>
                <w:szCs w:val="18"/>
                <w:highlight w:val="none"/>
                <w:lang w:eastAsia="en-US"/>
              </w:rPr>
              <w:t>201复印机</w:t>
            </w:r>
          </w:p>
        </w:tc>
        <w:tc>
          <w:tcPr>
            <w:tcW w:w="2536" w:type="dxa"/>
            <w:tcMar>
              <w:top w:w="0" w:type="dxa"/>
              <w:left w:w="108" w:type="dxa"/>
              <w:bottom w:w="0" w:type="dxa"/>
              <w:right w:w="108" w:type="dxa"/>
            </w:tcMar>
            <w:vAlign w:val="center"/>
          </w:tcPr>
          <w:p w14:paraId="50DCE15B">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highlight w:val="none"/>
                <w:lang w:eastAsia="en-US"/>
              </w:rPr>
            </w:pPr>
          </w:p>
        </w:tc>
        <w:tc>
          <w:tcPr>
            <w:tcW w:w="1427" w:type="dxa"/>
            <w:tcMar>
              <w:top w:w="0" w:type="dxa"/>
              <w:left w:w="108" w:type="dxa"/>
              <w:bottom w:w="0" w:type="dxa"/>
              <w:right w:w="108" w:type="dxa"/>
            </w:tcMar>
            <w:vAlign w:val="center"/>
          </w:tcPr>
          <w:p w14:paraId="307EDFDB">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highlight w:val="none"/>
                <w:lang w:eastAsia="en-US"/>
              </w:rPr>
            </w:pPr>
          </w:p>
        </w:tc>
        <w:tc>
          <w:tcPr>
            <w:tcW w:w="2853" w:type="dxa"/>
            <w:tcMar>
              <w:top w:w="0" w:type="dxa"/>
              <w:left w:w="108" w:type="dxa"/>
              <w:bottom w:w="0" w:type="dxa"/>
              <w:right w:w="108" w:type="dxa"/>
            </w:tcMar>
            <w:vAlign w:val="center"/>
          </w:tcPr>
          <w:p w14:paraId="4DCE94A1">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HJ</w:t>
            </w:r>
            <w:r>
              <w:rPr>
                <w:rFonts w:hint="default" w:ascii="Calibri" w:hAnsi="Calibri" w:cs="Calibri"/>
                <w:color w:val="auto"/>
                <w:spacing w:val="1"/>
                <w:sz w:val="18"/>
                <w:szCs w:val="18"/>
                <w:highlight w:val="none"/>
                <w:lang w:eastAsia="en-US"/>
              </w:rPr>
              <w:t>42</w:t>
            </w:r>
            <w:r>
              <w:rPr>
                <w:rFonts w:hint="default" w:ascii="Calibri" w:hAnsi="Calibri" w:cs="Calibri"/>
                <w:color w:val="auto"/>
                <w:sz w:val="18"/>
                <w:szCs w:val="18"/>
                <w:highlight w:val="none"/>
                <w:lang w:eastAsia="en-US"/>
              </w:rPr>
              <w:t>4数字式复印(包括多功能)设备</w:t>
            </w:r>
          </w:p>
        </w:tc>
      </w:tr>
      <w:tr w14:paraId="4C7605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tcMar>
              <w:top w:w="0" w:type="dxa"/>
              <w:left w:w="108" w:type="dxa"/>
              <w:bottom w:w="0" w:type="dxa"/>
              <w:right w:w="108" w:type="dxa"/>
            </w:tcMar>
            <w:vAlign w:val="center"/>
          </w:tcPr>
          <w:p w14:paraId="61810D05">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5</w:t>
            </w:r>
          </w:p>
        </w:tc>
        <w:tc>
          <w:tcPr>
            <w:tcW w:w="1181" w:type="dxa"/>
            <w:tcMar>
              <w:top w:w="0" w:type="dxa"/>
              <w:left w:w="108" w:type="dxa"/>
              <w:bottom w:w="0" w:type="dxa"/>
              <w:right w:w="108" w:type="dxa"/>
            </w:tcMar>
            <w:vAlign w:val="center"/>
          </w:tcPr>
          <w:p w14:paraId="382B035E">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A</w:t>
            </w:r>
            <w:r>
              <w:rPr>
                <w:rFonts w:hint="default" w:ascii="Calibri" w:hAnsi="Calibri" w:cs="Calibri"/>
                <w:color w:val="auto"/>
                <w:spacing w:val="11"/>
                <w:sz w:val="18"/>
                <w:szCs w:val="18"/>
                <w:highlight w:val="none"/>
                <w:lang w:eastAsia="en-US"/>
              </w:rPr>
              <w:t>0</w:t>
            </w:r>
            <w:r>
              <w:rPr>
                <w:rFonts w:hint="default" w:ascii="Calibri" w:hAnsi="Calibri" w:cs="Calibri"/>
                <w:color w:val="auto"/>
                <w:spacing w:val="6"/>
                <w:sz w:val="18"/>
                <w:szCs w:val="18"/>
                <w:highlight w:val="none"/>
                <w:lang w:eastAsia="en-US"/>
              </w:rPr>
              <w:t>20204多功能</w:t>
            </w:r>
            <w:r>
              <w:rPr>
                <w:rFonts w:hint="default" w:ascii="Calibri" w:hAnsi="Calibri" w:cs="Calibri"/>
                <w:color w:val="auto"/>
                <w:spacing w:val="-3"/>
                <w:sz w:val="18"/>
                <w:szCs w:val="18"/>
                <w:highlight w:val="none"/>
                <w:lang w:eastAsia="en-US"/>
              </w:rPr>
              <w:t>一</w:t>
            </w:r>
            <w:r>
              <w:rPr>
                <w:rFonts w:hint="default" w:ascii="Calibri" w:hAnsi="Calibri" w:cs="Calibri"/>
                <w:color w:val="auto"/>
                <w:spacing w:val="-2"/>
                <w:sz w:val="18"/>
                <w:szCs w:val="18"/>
                <w:highlight w:val="none"/>
                <w:lang w:eastAsia="en-US"/>
              </w:rPr>
              <w:t>体机</w:t>
            </w:r>
          </w:p>
        </w:tc>
        <w:tc>
          <w:tcPr>
            <w:tcW w:w="2536" w:type="dxa"/>
            <w:tcMar>
              <w:top w:w="0" w:type="dxa"/>
              <w:left w:w="108" w:type="dxa"/>
              <w:bottom w:w="0" w:type="dxa"/>
              <w:right w:w="108" w:type="dxa"/>
            </w:tcMar>
            <w:vAlign w:val="center"/>
          </w:tcPr>
          <w:p w14:paraId="0292DEFC">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highlight w:val="none"/>
                <w:lang w:eastAsia="en-US"/>
              </w:rPr>
            </w:pPr>
          </w:p>
        </w:tc>
        <w:tc>
          <w:tcPr>
            <w:tcW w:w="1427" w:type="dxa"/>
            <w:tcMar>
              <w:top w:w="0" w:type="dxa"/>
              <w:left w:w="108" w:type="dxa"/>
              <w:bottom w:w="0" w:type="dxa"/>
              <w:right w:w="108" w:type="dxa"/>
            </w:tcMar>
            <w:vAlign w:val="center"/>
          </w:tcPr>
          <w:p w14:paraId="24097299">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highlight w:val="none"/>
                <w:lang w:eastAsia="en-US"/>
              </w:rPr>
            </w:pPr>
          </w:p>
        </w:tc>
        <w:tc>
          <w:tcPr>
            <w:tcW w:w="2853" w:type="dxa"/>
            <w:tcMar>
              <w:top w:w="0" w:type="dxa"/>
              <w:left w:w="108" w:type="dxa"/>
              <w:bottom w:w="0" w:type="dxa"/>
              <w:right w:w="108" w:type="dxa"/>
            </w:tcMar>
            <w:vAlign w:val="center"/>
          </w:tcPr>
          <w:p w14:paraId="39008F95">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HJ</w:t>
            </w:r>
            <w:r>
              <w:rPr>
                <w:rFonts w:hint="default" w:ascii="Calibri" w:hAnsi="Calibri" w:cs="Calibri"/>
                <w:color w:val="auto"/>
                <w:spacing w:val="1"/>
                <w:sz w:val="18"/>
                <w:szCs w:val="18"/>
                <w:highlight w:val="none"/>
                <w:lang w:eastAsia="en-US"/>
              </w:rPr>
              <w:t>42</w:t>
            </w:r>
            <w:r>
              <w:rPr>
                <w:rFonts w:hint="default" w:ascii="Calibri" w:hAnsi="Calibri" w:cs="Calibri"/>
                <w:color w:val="auto"/>
                <w:sz w:val="18"/>
                <w:szCs w:val="18"/>
                <w:highlight w:val="none"/>
                <w:lang w:eastAsia="en-US"/>
              </w:rPr>
              <w:t>4数字式复印(包括多功能)设备</w:t>
            </w:r>
          </w:p>
        </w:tc>
      </w:tr>
      <w:tr w14:paraId="2F5D73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tcMar>
              <w:top w:w="0" w:type="dxa"/>
              <w:left w:w="108" w:type="dxa"/>
              <w:bottom w:w="0" w:type="dxa"/>
              <w:right w:w="108" w:type="dxa"/>
            </w:tcMar>
            <w:vAlign w:val="center"/>
          </w:tcPr>
          <w:p w14:paraId="110C2D94">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6</w:t>
            </w:r>
          </w:p>
        </w:tc>
        <w:tc>
          <w:tcPr>
            <w:tcW w:w="1181" w:type="dxa"/>
            <w:tcMar>
              <w:top w:w="0" w:type="dxa"/>
              <w:left w:w="108" w:type="dxa"/>
              <w:bottom w:w="0" w:type="dxa"/>
              <w:right w:w="108" w:type="dxa"/>
            </w:tcMar>
            <w:vAlign w:val="center"/>
          </w:tcPr>
          <w:p w14:paraId="2F139332">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lang w:eastAsia="en-US"/>
              </w:rPr>
            </w:pPr>
            <w:r>
              <w:rPr>
                <w:rFonts w:hint="default" w:ascii="Calibri" w:hAnsi="Calibri" w:cs="Calibri"/>
                <w:color w:val="auto"/>
                <w:spacing w:val="-2"/>
                <w:sz w:val="18"/>
                <w:szCs w:val="18"/>
                <w:highlight w:val="none"/>
                <w:lang w:eastAsia="en-US"/>
              </w:rPr>
              <w:t>A</w:t>
            </w:r>
            <w:r>
              <w:rPr>
                <w:rFonts w:hint="default" w:ascii="Calibri" w:hAnsi="Calibri" w:cs="Calibri"/>
                <w:color w:val="auto"/>
                <w:spacing w:val="-3"/>
                <w:sz w:val="18"/>
                <w:szCs w:val="18"/>
                <w:highlight w:val="none"/>
                <w:lang w:eastAsia="en-US"/>
              </w:rPr>
              <w:t>0</w:t>
            </w:r>
            <w:r>
              <w:rPr>
                <w:rFonts w:hint="default" w:ascii="Calibri" w:hAnsi="Calibri" w:cs="Calibri"/>
                <w:color w:val="auto"/>
                <w:spacing w:val="-2"/>
                <w:sz w:val="18"/>
                <w:szCs w:val="18"/>
                <w:highlight w:val="none"/>
                <w:lang w:eastAsia="en-US"/>
              </w:rPr>
              <w:t>20210文印设</w:t>
            </w:r>
            <w:r>
              <w:rPr>
                <w:rFonts w:hint="default" w:ascii="Calibri" w:hAnsi="Calibri" w:cs="Calibri"/>
                <w:color w:val="auto"/>
                <w:sz w:val="18"/>
                <w:szCs w:val="18"/>
                <w:highlight w:val="none"/>
                <w:lang w:eastAsia="en-US"/>
              </w:rPr>
              <w:t>备</w:t>
            </w:r>
          </w:p>
        </w:tc>
        <w:tc>
          <w:tcPr>
            <w:tcW w:w="2536" w:type="dxa"/>
            <w:tcMar>
              <w:top w:w="0" w:type="dxa"/>
              <w:left w:w="108" w:type="dxa"/>
              <w:bottom w:w="0" w:type="dxa"/>
              <w:right w:w="108" w:type="dxa"/>
            </w:tcMar>
            <w:vAlign w:val="center"/>
          </w:tcPr>
          <w:p w14:paraId="67516619">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A</w:t>
            </w:r>
            <w:r>
              <w:rPr>
                <w:rFonts w:hint="default" w:ascii="Calibri" w:hAnsi="Calibri" w:cs="Calibri"/>
                <w:color w:val="auto"/>
                <w:spacing w:val="1"/>
                <w:sz w:val="18"/>
                <w:szCs w:val="18"/>
                <w:highlight w:val="none"/>
                <w:lang w:eastAsia="en-US"/>
              </w:rPr>
              <w:t>02</w:t>
            </w:r>
            <w:r>
              <w:rPr>
                <w:rFonts w:hint="default" w:ascii="Calibri" w:hAnsi="Calibri" w:cs="Calibri"/>
                <w:color w:val="auto"/>
                <w:sz w:val="18"/>
                <w:szCs w:val="18"/>
                <w:highlight w:val="none"/>
                <w:lang w:eastAsia="en-US"/>
              </w:rPr>
              <w:t>021001速印机</w:t>
            </w:r>
          </w:p>
        </w:tc>
        <w:tc>
          <w:tcPr>
            <w:tcW w:w="1427" w:type="dxa"/>
            <w:tcMar>
              <w:top w:w="0" w:type="dxa"/>
              <w:left w:w="108" w:type="dxa"/>
              <w:bottom w:w="0" w:type="dxa"/>
              <w:right w:w="108" w:type="dxa"/>
            </w:tcMar>
            <w:vAlign w:val="center"/>
          </w:tcPr>
          <w:p w14:paraId="131E2D7B">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highlight w:val="none"/>
                <w:lang w:eastAsia="en-US"/>
              </w:rPr>
            </w:pPr>
          </w:p>
        </w:tc>
        <w:tc>
          <w:tcPr>
            <w:tcW w:w="2853" w:type="dxa"/>
            <w:tcMar>
              <w:top w:w="0" w:type="dxa"/>
              <w:left w:w="108" w:type="dxa"/>
              <w:bottom w:w="0" w:type="dxa"/>
              <w:right w:w="108" w:type="dxa"/>
            </w:tcMar>
            <w:vAlign w:val="center"/>
          </w:tcPr>
          <w:p w14:paraId="1B961BE5">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HJ472数字式一体化速印机</w:t>
            </w:r>
          </w:p>
        </w:tc>
      </w:tr>
      <w:tr w14:paraId="7647E3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tcMar>
              <w:top w:w="0" w:type="dxa"/>
              <w:left w:w="108" w:type="dxa"/>
              <w:bottom w:w="0" w:type="dxa"/>
              <w:right w:w="108" w:type="dxa"/>
            </w:tcMar>
            <w:vAlign w:val="center"/>
          </w:tcPr>
          <w:p w14:paraId="0C88D217">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7</w:t>
            </w:r>
          </w:p>
        </w:tc>
        <w:tc>
          <w:tcPr>
            <w:tcW w:w="1181" w:type="dxa"/>
            <w:tcMar>
              <w:top w:w="0" w:type="dxa"/>
              <w:left w:w="108" w:type="dxa"/>
              <w:bottom w:w="0" w:type="dxa"/>
              <w:right w:w="108" w:type="dxa"/>
            </w:tcMar>
            <w:vAlign w:val="center"/>
          </w:tcPr>
          <w:p w14:paraId="7838CCDC">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A</w:t>
            </w:r>
            <w:r>
              <w:rPr>
                <w:rFonts w:hint="default" w:ascii="Calibri" w:hAnsi="Calibri" w:cs="Calibri"/>
                <w:color w:val="auto"/>
                <w:spacing w:val="11"/>
                <w:sz w:val="18"/>
                <w:szCs w:val="18"/>
                <w:highlight w:val="none"/>
                <w:lang w:eastAsia="en-US"/>
              </w:rPr>
              <w:t>0</w:t>
            </w:r>
            <w:r>
              <w:rPr>
                <w:rFonts w:hint="default" w:ascii="Calibri" w:hAnsi="Calibri" w:cs="Calibri"/>
                <w:color w:val="auto"/>
                <w:spacing w:val="6"/>
                <w:sz w:val="18"/>
                <w:szCs w:val="18"/>
                <w:highlight w:val="none"/>
                <w:lang w:eastAsia="en-US"/>
              </w:rPr>
              <w:t>20301载货汽</w:t>
            </w:r>
            <w:r>
              <w:rPr>
                <w:rFonts w:hint="default" w:ascii="Calibri" w:hAnsi="Calibri" w:cs="Calibri"/>
                <w:color w:val="auto"/>
                <w:spacing w:val="-5"/>
                <w:sz w:val="18"/>
                <w:szCs w:val="18"/>
                <w:highlight w:val="none"/>
                <w:lang w:eastAsia="en-US"/>
              </w:rPr>
              <w:t>车(含自卸汽车)</w:t>
            </w:r>
          </w:p>
        </w:tc>
        <w:tc>
          <w:tcPr>
            <w:tcW w:w="2536" w:type="dxa"/>
            <w:tcMar>
              <w:top w:w="0" w:type="dxa"/>
              <w:left w:w="108" w:type="dxa"/>
              <w:bottom w:w="0" w:type="dxa"/>
              <w:right w:w="108" w:type="dxa"/>
            </w:tcMar>
            <w:vAlign w:val="center"/>
          </w:tcPr>
          <w:p w14:paraId="46F1E100">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highlight w:val="none"/>
                <w:lang w:eastAsia="en-US"/>
              </w:rPr>
            </w:pPr>
          </w:p>
        </w:tc>
        <w:tc>
          <w:tcPr>
            <w:tcW w:w="1427" w:type="dxa"/>
            <w:tcMar>
              <w:top w:w="0" w:type="dxa"/>
              <w:left w:w="108" w:type="dxa"/>
              <w:bottom w:w="0" w:type="dxa"/>
              <w:right w:w="108" w:type="dxa"/>
            </w:tcMar>
            <w:vAlign w:val="center"/>
          </w:tcPr>
          <w:p w14:paraId="5DBC40B2">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highlight w:val="none"/>
                <w:lang w:eastAsia="en-US"/>
              </w:rPr>
            </w:pPr>
          </w:p>
        </w:tc>
        <w:tc>
          <w:tcPr>
            <w:tcW w:w="2853" w:type="dxa"/>
            <w:tcMar>
              <w:top w:w="0" w:type="dxa"/>
              <w:left w:w="108" w:type="dxa"/>
              <w:bottom w:w="0" w:type="dxa"/>
              <w:right w:w="108" w:type="dxa"/>
            </w:tcMar>
            <w:vAlign w:val="center"/>
          </w:tcPr>
          <w:p w14:paraId="0A811B70">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lang w:eastAsia="en-US"/>
              </w:rPr>
            </w:pPr>
            <w:r>
              <w:rPr>
                <w:rFonts w:hint="default" w:ascii="Calibri" w:hAnsi="Calibri" w:cs="Calibri"/>
                <w:color w:val="auto"/>
                <w:spacing w:val="-4"/>
                <w:sz w:val="18"/>
                <w:szCs w:val="18"/>
                <w:highlight w:val="none"/>
                <w:lang w:eastAsia="en-US"/>
              </w:rPr>
              <w:t>HJ2532轻型汽车</w:t>
            </w:r>
          </w:p>
        </w:tc>
      </w:tr>
      <w:tr w14:paraId="58C327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vMerge w:val="restart"/>
            <w:tcMar>
              <w:top w:w="0" w:type="dxa"/>
              <w:left w:w="108" w:type="dxa"/>
              <w:bottom w:w="0" w:type="dxa"/>
              <w:right w:w="108" w:type="dxa"/>
            </w:tcMar>
            <w:vAlign w:val="center"/>
          </w:tcPr>
          <w:p w14:paraId="4A2C80B9">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8</w:t>
            </w:r>
          </w:p>
        </w:tc>
        <w:tc>
          <w:tcPr>
            <w:tcW w:w="1181" w:type="dxa"/>
            <w:vMerge w:val="restart"/>
            <w:tcMar>
              <w:top w:w="0" w:type="dxa"/>
              <w:left w:w="108" w:type="dxa"/>
              <w:bottom w:w="0" w:type="dxa"/>
              <w:right w:w="108" w:type="dxa"/>
            </w:tcMar>
            <w:vAlign w:val="center"/>
          </w:tcPr>
          <w:p w14:paraId="4FFC7883">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A</w:t>
            </w:r>
            <w:r>
              <w:rPr>
                <w:rFonts w:hint="default" w:ascii="Calibri" w:hAnsi="Calibri" w:cs="Calibri"/>
                <w:color w:val="auto"/>
                <w:spacing w:val="11"/>
                <w:sz w:val="18"/>
                <w:szCs w:val="18"/>
                <w:highlight w:val="none"/>
                <w:lang w:eastAsia="en-US"/>
              </w:rPr>
              <w:t>0</w:t>
            </w:r>
            <w:r>
              <w:rPr>
                <w:rFonts w:hint="default" w:ascii="Calibri" w:hAnsi="Calibri" w:cs="Calibri"/>
                <w:color w:val="auto"/>
                <w:spacing w:val="6"/>
                <w:sz w:val="18"/>
                <w:szCs w:val="18"/>
                <w:highlight w:val="none"/>
                <w:lang w:eastAsia="en-US"/>
              </w:rPr>
              <w:t>20305乘用车</w:t>
            </w:r>
            <w:r>
              <w:rPr>
                <w:rFonts w:hint="default" w:ascii="Calibri" w:hAnsi="Calibri" w:cs="Calibri"/>
                <w:color w:val="auto"/>
                <w:spacing w:val="21"/>
                <w:sz w:val="18"/>
                <w:szCs w:val="18"/>
                <w:highlight w:val="none"/>
                <w:lang w:eastAsia="en-US"/>
              </w:rPr>
              <w:t>(</w:t>
            </w:r>
            <w:r>
              <w:rPr>
                <w:rFonts w:hint="default" w:ascii="Calibri" w:hAnsi="Calibri" w:cs="Calibri"/>
                <w:color w:val="auto"/>
                <w:spacing w:val="19"/>
                <w:sz w:val="18"/>
                <w:szCs w:val="18"/>
                <w:highlight w:val="none"/>
                <w:lang w:eastAsia="en-US"/>
              </w:rPr>
              <w:t>轿车)</w:t>
            </w:r>
          </w:p>
        </w:tc>
        <w:tc>
          <w:tcPr>
            <w:tcW w:w="2536" w:type="dxa"/>
            <w:tcMar>
              <w:top w:w="0" w:type="dxa"/>
              <w:left w:w="108" w:type="dxa"/>
              <w:bottom w:w="0" w:type="dxa"/>
              <w:right w:w="108" w:type="dxa"/>
            </w:tcMar>
            <w:vAlign w:val="center"/>
          </w:tcPr>
          <w:p w14:paraId="06AC735A">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A</w:t>
            </w:r>
            <w:r>
              <w:rPr>
                <w:rFonts w:hint="default" w:ascii="Calibri" w:hAnsi="Calibri" w:cs="Calibri"/>
                <w:color w:val="auto"/>
                <w:spacing w:val="1"/>
                <w:sz w:val="18"/>
                <w:szCs w:val="18"/>
                <w:highlight w:val="none"/>
                <w:lang w:eastAsia="en-US"/>
              </w:rPr>
              <w:t>0203</w:t>
            </w:r>
            <w:r>
              <w:rPr>
                <w:rFonts w:hint="default" w:ascii="Calibri" w:hAnsi="Calibri" w:cs="Calibri"/>
                <w:color w:val="auto"/>
                <w:sz w:val="18"/>
                <w:szCs w:val="18"/>
                <w:highlight w:val="none"/>
                <w:lang w:eastAsia="en-US"/>
              </w:rPr>
              <w:t>0501轿车</w:t>
            </w:r>
          </w:p>
        </w:tc>
        <w:tc>
          <w:tcPr>
            <w:tcW w:w="1427" w:type="dxa"/>
            <w:tcMar>
              <w:top w:w="0" w:type="dxa"/>
              <w:left w:w="108" w:type="dxa"/>
              <w:bottom w:w="0" w:type="dxa"/>
              <w:right w:w="108" w:type="dxa"/>
            </w:tcMar>
            <w:vAlign w:val="center"/>
          </w:tcPr>
          <w:p w14:paraId="293D52E4">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highlight w:val="none"/>
                <w:lang w:eastAsia="en-US"/>
              </w:rPr>
            </w:pPr>
          </w:p>
        </w:tc>
        <w:tc>
          <w:tcPr>
            <w:tcW w:w="2853" w:type="dxa"/>
            <w:tcMar>
              <w:top w:w="0" w:type="dxa"/>
              <w:left w:w="108" w:type="dxa"/>
              <w:bottom w:w="0" w:type="dxa"/>
              <w:right w:w="108" w:type="dxa"/>
            </w:tcMar>
            <w:vAlign w:val="center"/>
          </w:tcPr>
          <w:p w14:paraId="14E6EE36">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lang w:eastAsia="en-US"/>
              </w:rPr>
            </w:pPr>
            <w:r>
              <w:rPr>
                <w:rFonts w:hint="default" w:ascii="Calibri" w:hAnsi="Calibri" w:cs="Calibri"/>
                <w:color w:val="auto"/>
                <w:spacing w:val="-4"/>
                <w:sz w:val="18"/>
                <w:szCs w:val="18"/>
                <w:highlight w:val="none"/>
                <w:lang w:eastAsia="en-US"/>
              </w:rPr>
              <w:t>HJ2532轻型汽车</w:t>
            </w:r>
          </w:p>
        </w:tc>
      </w:tr>
      <w:tr w14:paraId="01A865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vMerge w:val="continue"/>
            <w:tcMar>
              <w:top w:w="0" w:type="dxa"/>
              <w:left w:w="108" w:type="dxa"/>
              <w:bottom w:w="0" w:type="dxa"/>
              <w:right w:w="108" w:type="dxa"/>
            </w:tcMar>
            <w:vAlign w:val="center"/>
          </w:tcPr>
          <w:p w14:paraId="3E4E269F">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highlight w:val="none"/>
                <w:lang w:eastAsia="en-US"/>
              </w:rPr>
            </w:pPr>
          </w:p>
        </w:tc>
        <w:tc>
          <w:tcPr>
            <w:tcW w:w="1181" w:type="dxa"/>
            <w:vMerge w:val="continue"/>
            <w:tcMar>
              <w:top w:w="0" w:type="dxa"/>
              <w:left w:w="108" w:type="dxa"/>
              <w:bottom w:w="0" w:type="dxa"/>
              <w:right w:w="108" w:type="dxa"/>
            </w:tcMar>
            <w:vAlign w:val="center"/>
          </w:tcPr>
          <w:p w14:paraId="0EA074D9">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highlight w:val="none"/>
                <w:lang w:eastAsia="en-US"/>
              </w:rPr>
            </w:pPr>
          </w:p>
        </w:tc>
        <w:tc>
          <w:tcPr>
            <w:tcW w:w="2536" w:type="dxa"/>
            <w:tcMar>
              <w:top w:w="0" w:type="dxa"/>
              <w:left w:w="108" w:type="dxa"/>
              <w:bottom w:w="0" w:type="dxa"/>
              <w:right w:w="108" w:type="dxa"/>
            </w:tcMar>
            <w:vAlign w:val="center"/>
          </w:tcPr>
          <w:p w14:paraId="519FB723">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lang w:eastAsia="en-US"/>
              </w:rPr>
            </w:pPr>
            <w:r>
              <w:rPr>
                <w:rFonts w:hint="default" w:ascii="Calibri" w:hAnsi="Calibri" w:cs="Calibri"/>
                <w:color w:val="auto"/>
                <w:spacing w:val="-2"/>
                <w:sz w:val="18"/>
                <w:szCs w:val="18"/>
                <w:highlight w:val="none"/>
                <w:lang w:eastAsia="en-US"/>
              </w:rPr>
              <w:t>A</w:t>
            </w:r>
            <w:r>
              <w:rPr>
                <w:rFonts w:hint="default" w:ascii="Calibri" w:hAnsi="Calibri" w:cs="Calibri"/>
                <w:color w:val="auto"/>
                <w:spacing w:val="-4"/>
                <w:sz w:val="18"/>
                <w:szCs w:val="18"/>
                <w:highlight w:val="none"/>
                <w:lang w:eastAsia="en-US"/>
              </w:rPr>
              <w:t>02</w:t>
            </w:r>
            <w:r>
              <w:rPr>
                <w:rFonts w:hint="default" w:ascii="Calibri" w:hAnsi="Calibri" w:cs="Calibri"/>
                <w:color w:val="auto"/>
                <w:spacing w:val="-3"/>
                <w:sz w:val="18"/>
                <w:szCs w:val="18"/>
                <w:highlight w:val="none"/>
                <w:lang w:eastAsia="en-US"/>
              </w:rPr>
              <w:t>0</w:t>
            </w:r>
            <w:r>
              <w:rPr>
                <w:rFonts w:hint="default" w:ascii="Calibri" w:hAnsi="Calibri" w:cs="Calibri"/>
                <w:color w:val="auto"/>
                <w:spacing w:val="-2"/>
                <w:sz w:val="18"/>
                <w:szCs w:val="18"/>
                <w:highlight w:val="none"/>
                <w:lang w:eastAsia="en-US"/>
              </w:rPr>
              <w:t>30599其他乘用车(轿车)</w:t>
            </w:r>
          </w:p>
        </w:tc>
        <w:tc>
          <w:tcPr>
            <w:tcW w:w="1427" w:type="dxa"/>
            <w:tcMar>
              <w:top w:w="0" w:type="dxa"/>
              <w:left w:w="108" w:type="dxa"/>
              <w:bottom w:w="0" w:type="dxa"/>
              <w:right w:w="108" w:type="dxa"/>
            </w:tcMar>
            <w:vAlign w:val="center"/>
          </w:tcPr>
          <w:p w14:paraId="452373F4">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highlight w:val="none"/>
                <w:lang w:eastAsia="en-US"/>
              </w:rPr>
            </w:pPr>
          </w:p>
        </w:tc>
        <w:tc>
          <w:tcPr>
            <w:tcW w:w="2853" w:type="dxa"/>
            <w:tcMar>
              <w:top w:w="0" w:type="dxa"/>
              <w:left w:w="108" w:type="dxa"/>
              <w:bottom w:w="0" w:type="dxa"/>
              <w:right w:w="108" w:type="dxa"/>
            </w:tcMar>
            <w:vAlign w:val="center"/>
          </w:tcPr>
          <w:p w14:paraId="25D5AF2D">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lang w:eastAsia="en-US"/>
              </w:rPr>
            </w:pPr>
            <w:r>
              <w:rPr>
                <w:rFonts w:hint="default" w:ascii="Calibri" w:hAnsi="Calibri" w:cs="Calibri"/>
                <w:color w:val="auto"/>
                <w:spacing w:val="-4"/>
                <w:sz w:val="18"/>
                <w:szCs w:val="18"/>
                <w:highlight w:val="none"/>
                <w:lang w:eastAsia="en-US"/>
              </w:rPr>
              <w:t>HJ2532轻型汽车</w:t>
            </w:r>
          </w:p>
        </w:tc>
      </w:tr>
      <w:tr w14:paraId="68C154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tcMar>
              <w:top w:w="0" w:type="dxa"/>
              <w:left w:w="108" w:type="dxa"/>
              <w:bottom w:w="0" w:type="dxa"/>
              <w:right w:w="108" w:type="dxa"/>
            </w:tcMar>
            <w:vAlign w:val="center"/>
          </w:tcPr>
          <w:p w14:paraId="579283DC">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9</w:t>
            </w:r>
          </w:p>
        </w:tc>
        <w:tc>
          <w:tcPr>
            <w:tcW w:w="1181" w:type="dxa"/>
            <w:tcMar>
              <w:top w:w="0" w:type="dxa"/>
              <w:left w:w="108" w:type="dxa"/>
              <w:bottom w:w="0" w:type="dxa"/>
              <w:right w:w="108" w:type="dxa"/>
            </w:tcMar>
            <w:vAlign w:val="center"/>
          </w:tcPr>
          <w:p w14:paraId="37C33ED7">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lang w:eastAsia="en-US"/>
              </w:rPr>
            </w:pPr>
            <w:r>
              <w:rPr>
                <w:rFonts w:hint="default" w:ascii="Calibri" w:hAnsi="Calibri" w:cs="Calibri"/>
                <w:color w:val="auto"/>
                <w:spacing w:val="-4"/>
                <w:sz w:val="18"/>
                <w:szCs w:val="18"/>
                <w:highlight w:val="none"/>
                <w:lang w:eastAsia="en-US"/>
              </w:rPr>
              <w:t>A</w:t>
            </w:r>
            <w:r>
              <w:rPr>
                <w:rFonts w:hint="default" w:ascii="Calibri" w:hAnsi="Calibri" w:cs="Calibri"/>
                <w:color w:val="auto"/>
                <w:spacing w:val="-5"/>
                <w:sz w:val="18"/>
                <w:szCs w:val="18"/>
                <w:highlight w:val="none"/>
                <w:lang w:eastAsia="en-US"/>
              </w:rPr>
              <w:t>0</w:t>
            </w:r>
            <w:r>
              <w:rPr>
                <w:rFonts w:hint="default" w:ascii="Calibri" w:hAnsi="Calibri" w:cs="Calibri"/>
                <w:color w:val="auto"/>
                <w:spacing w:val="-4"/>
                <w:sz w:val="18"/>
                <w:szCs w:val="18"/>
                <w:highlight w:val="none"/>
                <w:lang w:eastAsia="en-US"/>
              </w:rPr>
              <w:t>20306客车</w:t>
            </w:r>
          </w:p>
        </w:tc>
        <w:tc>
          <w:tcPr>
            <w:tcW w:w="2536" w:type="dxa"/>
            <w:tcMar>
              <w:top w:w="0" w:type="dxa"/>
              <w:left w:w="108" w:type="dxa"/>
              <w:bottom w:w="0" w:type="dxa"/>
              <w:right w:w="108" w:type="dxa"/>
            </w:tcMar>
            <w:vAlign w:val="center"/>
          </w:tcPr>
          <w:p w14:paraId="073A4641">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lang w:eastAsia="en-US"/>
              </w:rPr>
            </w:pPr>
            <w:r>
              <w:rPr>
                <w:rFonts w:hint="default" w:ascii="Calibri" w:hAnsi="Calibri" w:cs="Calibri"/>
                <w:color w:val="auto"/>
                <w:spacing w:val="-3"/>
                <w:sz w:val="18"/>
                <w:szCs w:val="18"/>
                <w:highlight w:val="none"/>
                <w:lang w:eastAsia="en-US"/>
              </w:rPr>
              <w:t>A02030601小型客车</w:t>
            </w:r>
          </w:p>
        </w:tc>
        <w:tc>
          <w:tcPr>
            <w:tcW w:w="1427" w:type="dxa"/>
            <w:tcMar>
              <w:top w:w="0" w:type="dxa"/>
              <w:left w:w="108" w:type="dxa"/>
              <w:bottom w:w="0" w:type="dxa"/>
              <w:right w:w="108" w:type="dxa"/>
            </w:tcMar>
            <w:vAlign w:val="center"/>
          </w:tcPr>
          <w:p w14:paraId="4154964A">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highlight w:val="none"/>
                <w:lang w:eastAsia="en-US"/>
              </w:rPr>
            </w:pPr>
          </w:p>
        </w:tc>
        <w:tc>
          <w:tcPr>
            <w:tcW w:w="2853" w:type="dxa"/>
            <w:tcMar>
              <w:top w:w="0" w:type="dxa"/>
              <w:left w:w="108" w:type="dxa"/>
              <w:bottom w:w="0" w:type="dxa"/>
              <w:right w:w="108" w:type="dxa"/>
            </w:tcMar>
            <w:vAlign w:val="center"/>
          </w:tcPr>
          <w:p w14:paraId="0B48B64E">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lang w:eastAsia="en-US"/>
              </w:rPr>
            </w:pPr>
            <w:r>
              <w:rPr>
                <w:rFonts w:hint="default" w:ascii="Calibri" w:hAnsi="Calibri" w:cs="Calibri"/>
                <w:color w:val="auto"/>
                <w:spacing w:val="-4"/>
                <w:sz w:val="18"/>
                <w:szCs w:val="18"/>
                <w:highlight w:val="none"/>
                <w:lang w:eastAsia="en-US"/>
              </w:rPr>
              <w:t>HJ2532轻型汽车</w:t>
            </w:r>
          </w:p>
        </w:tc>
      </w:tr>
      <w:tr w14:paraId="74997B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tcMar>
              <w:top w:w="0" w:type="dxa"/>
              <w:left w:w="108" w:type="dxa"/>
              <w:bottom w:w="0" w:type="dxa"/>
              <w:right w:w="108" w:type="dxa"/>
            </w:tcMar>
            <w:vAlign w:val="center"/>
          </w:tcPr>
          <w:p w14:paraId="416D57B2">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lang w:eastAsia="en-US"/>
              </w:rPr>
            </w:pPr>
            <w:r>
              <w:rPr>
                <w:rFonts w:hint="default" w:ascii="Calibri" w:hAnsi="Calibri" w:cs="Calibri"/>
                <w:color w:val="auto"/>
                <w:spacing w:val="-11"/>
                <w:sz w:val="18"/>
                <w:szCs w:val="18"/>
                <w:highlight w:val="none"/>
                <w:lang w:eastAsia="en-US"/>
              </w:rPr>
              <w:t>1</w:t>
            </w:r>
            <w:r>
              <w:rPr>
                <w:rFonts w:hint="default" w:ascii="Calibri" w:hAnsi="Calibri" w:cs="Calibri"/>
                <w:color w:val="auto"/>
                <w:spacing w:val="-9"/>
                <w:sz w:val="18"/>
                <w:szCs w:val="18"/>
                <w:highlight w:val="none"/>
                <w:lang w:eastAsia="en-US"/>
              </w:rPr>
              <w:t>0</w:t>
            </w:r>
          </w:p>
        </w:tc>
        <w:tc>
          <w:tcPr>
            <w:tcW w:w="1181" w:type="dxa"/>
            <w:tcMar>
              <w:top w:w="0" w:type="dxa"/>
              <w:left w:w="108" w:type="dxa"/>
              <w:bottom w:w="0" w:type="dxa"/>
              <w:right w:w="108" w:type="dxa"/>
            </w:tcMar>
            <w:vAlign w:val="center"/>
          </w:tcPr>
          <w:p w14:paraId="63B37C96">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A</w:t>
            </w:r>
            <w:r>
              <w:rPr>
                <w:rFonts w:hint="default" w:ascii="Calibri" w:hAnsi="Calibri" w:cs="Calibri"/>
                <w:color w:val="auto"/>
                <w:spacing w:val="11"/>
                <w:sz w:val="18"/>
                <w:szCs w:val="18"/>
                <w:highlight w:val="none"/>
                <w:lang w:eastAsia="en-US"/>
              </w:rPr>
              <w:t>0</w:t>
            </w:r>
            <w:r>
              <w:rPr>
                <w:rFonts w:hint="default" w:ascii="Calibri" w:hAnsi="Calibri" w:cs="Calibri"/>
                <w:color w:val="auto"/>
                <w:spacing w:val="6"/>
                <w:sz w:val="18"/>
                <w:szCs w:val="18"/>
                <w:highlight w:val="none"/>
                <w:lang w:eastAsia="en-US"/>
              </w:rPr>
              <w:t>20307专用车</w:t>
            </w:r>
            <w:r>
              <w:rPr>
                <w:rFonts w:hint="default" w:ascii="Calibri" w:hAnsi="Calibri" w:cs="Calibri"/>
                <w:color w:val="auto"/>
                <w:sz w:val="18"/>
                <w:szCs w:val="18"/>
                <w:highlight w:val="none"/>
                <w:lang w:eastAsia="en-US"/>
              </w:rPr>
              <w:t>辆</w:t>
            </w:r>
          </w:p>
        </w:tc>
        <w:tc>
          <w:tcPr>
            <w:tcW w:w="2536" w:type="dxa"/>
            <w:tcMar>
              <w:top w:w="0" w:type="dxa"/>
              <w:left w:w="108" w:type="dxa"/>
              <w:bottom w:w="0" w:type="dxa"/>
              <w:right w:w="108" w:type="dxa"/>
            </w:tcMar>
            <w:vAlign w:val="center"/>
          </w:tcPr>
          <w:p w14:paraId="34E3450E">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lang w:eastAsia="en-US"/>
              </w:rPr>
            </w:pPr>
            <w:r>
              <w:rPr>
                <w:rFonts w:hint="default" w:ascii="Calibri" w:hAnsi="Calibri" w:cs="Calibri"/>
                <w:color w:val="auto"/>
                <w:spacing w:val="-2"/>
                <w:sz w:val="18"/>
                <w:szCs w:val="18"/>
                <w:highlight w:val="none"/>
                <w:lang w:eastAsia="en-US"/>
              </w:rPr>
              <w:t>A</w:t>
            </w:r>
            <w:r>
              <w:rPr>
                <w:rFonts w:hint="default" w:ascii="Calibri" w:hAnsi="Calibri" w:cs="Calibri"/>
                <w:color w:val="auto"/>
                <w:spacing w:val="-4"/>
                <w:sz w:val="18"/>
                <w:szCs w:val="18"/>
                <w:highlight w:val="none"/>
                <w:lang w:eastAsia="en-US"/>
              </w:rPr>
              <w:t>020307</w:t>
            </w:r>
            <w:r>
              <w:rPr>
                <w:rFonts w:hint="default" w:ascii="Calibri" w:hAnsi="Calibri" w:cs="Calibri"/>
                <w:color w:val="auto"/>
                <w:spacing w:val="-2"/>
                <w:sz w:val="18"/>
                <w:szCs w:val="18"/>
                <w:highlight w:val="none"/>
                <w:lang w:eastAsia="en-US"/>
              </w:rPr>
              <w:t>99其他专用汽车</w:t>
            </w:r>
          </w:p>
        </w:tc>
        <w:tc>
          <w:tcPr>
            <w:tcW w:w="1427" w:type="dxa"/>
            <w:tcMar>
              <w:top w:w="0" w:type="dxa"/>
              <w:left w:w="108" w:type="dxa"/>
              <w:bottom w:w="0" w:type="dxa"/>
              <w:right w:w="108" w:type="dxa"/>
            </w:tcMar>
            <w:vAlign w:val="center"/>
          </w:tcPr>
          <w:p w14:paraId="0A08103C">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highlight w:val="none"/>
                <w:lang w:eastAsia="en-US"/>
              </w:rPr>
            </w:pPr>
          </w:p>
        </w:tc>
        <w:tc>
          <w:tcPr>
            <w:tcW w:w="2853" w:type="dxa"/>
            <w:tcMar>
              <w:top w:w="0" w:type="dxa"/>
              <w:left w:w="108" w:type="dxa"/>
              <w:bottom w:w="0" w:type="dxa"/>
              <w:right w:w="108" w:type="dxa"/>
            </w:tcMar>
            <w:vAlign w:val="center"/>
          </w:tcPr>
          <w:p w14:paraId="15E296DB">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lang w:eastAsia="en-US"/>
              </w:rPr>
            </w:pPr>
            <w:r>
              <w:rPr>
                <w:rFonts w:hint="default" w:ascii="Calibri" w:hAnsi="Calibri" w:cs="Calibri"/>
                <w:color w:val="auto"/>
                <w:spacing w:val="-4"/>
                <w:sz w:val="18"/>
                <w:szCs w:val="18"/>
                <w:highlight w:val="none"/>
                <w:lang w:eastAsia="en-US"/>
              </w:rPr>
              <w:t>HJ2532轻型汽车</w:t>
            </w:r>
          </w:p>
        </w:tc>
      </w:tr>
      <w:tr w14:paraId="10A5FA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vMerge w:val="restart"/>
            <w:tcMar>
              <w:top w:w="0" w:type="dxa"/>
              <w:left w:w="108" w:type="dxa"/>
              <w:bottom w:w="0" w:type="dxa"/>
              <w:right w:w="108" w:type="dxa"/>
            </w:tcMar>
            <w:vAlign w:val="center"/>
          </w:tcPr>
          <w:p w14:paraId="38AE646B">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11</w:t>
            </w:r>
          </w:p>
        </w:tc>
        <w:tc>
          <w:tcPr>
            <w:tcW w:w="1181" w:type="dxa"/>
            <w:vMerge w:val="restart"/>
            <w:tcMar>
              <w:top w:w="0" w:type="dxa"/>
              <w:left w:w="108" w:type="dxa"/>
              <w:bottom w:w="0" w:type="dxa"/>
              <w:right w:w="108" w:type="dxa"/>
            </w:tcMar>
            <w:vAlign w:val="center"/>
          </w:tcPr>
          <w:p w14:paraId="451D8ADC">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A020523制冷空调设备</w:t>
            </w:r>
          </w:p>
        </w:tc>
        <w:tc>
          <w:tcPr>
            <w:tcW w:w="2536" w:type="dxa"/>
            <w:tcMar>
              <w:top w:w="0" w:type="dxa"/>
              <w:left w:w="108" w:type="dxa"/>
              <w:bottom w:w="0" w:type="dxa"/>
              <w:right w:w="108" w:type="dxa"/>
            </w:tcMar>
            <w:vAlign w:val="center"/>
          </w:tcPr>
          <w:p w14:paraId="7E4BB23F">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A02052301制冷压缩机</w:t>
            </w:r>
          </w:p>
        </w:tc>
        <w:tc>
          <w:tcPr>
            <w:tcW w:w="1427" w:type="dxa"/>
            <w:tcMar>
              <w:top w:w="0" w:type="dxa"/>
              <w:left w:w="108" w:type="dxa"/>
              <w:bottom w:w="0" w:type="dxa"/>
              <w:right w:w="108" w:type="dxa"/>
            </w:tcMar>
            <w:vAlign w:val="center"/>
          </w:tcPr>
          <w:p w14:paraId="209468AD">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853" w:type="dxa"/>
            <w:tcMar>
              <w:top w:w="0" w:type="dxa"/>
              <w:left w:w="108" w:type="dxa"/>
              <w:bottom w:w="0" w:type="dxa"/>
              <w:right w:w="108" w:type="dxa"/>
            </w:tcMar>
            <w:vAlign w:val="center"/>
          </w:tcPr>
          <w:p w14:paraId="1D5DD3C3">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HJ2531工商用制冷设备</w:t>
            </w:r>
          </w:p>
        </w:tc>
      </w:tr>
      <w:tr w14:paraId="407A87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vMerge w:val="continue"/>
            <w:tcMar>
              <w:top w:w="0" w:type="dxa"/>
              <w:left w:w="108" w:type="dxa"/>
              <w:bottom w:w="0" w:type="dxa"/>
              <w:right w:w="108" w:type="dxa"/>
            </w:tcMar>
            <w:vAlign w:val="center"/>
          </w:tcPr>
          <w:p w14:paraId="2F333883">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1181" w:type="dxa"/>
            <w:vMerge w:val="continue"/>
            <w:tcMar>
              <w:top w:w="0" w:type="dxa"/>
              <w:left w:w="108" w:type="dxa"/>
              <w:bottom w:w="0" w:type="dxa"/>
              <w:right w:w="108" w:type="dxa"/>
            </w:tcMar>
            <w:vAlign w:val="center"/>
          </w:tcPr>
          <w:p w14:paraId="4EE48D24">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536" w:type="dxa"/>
            <w:tcMar>
              <w:top w:w="0" w:type="dxa"/>
              <w:left w:w="108" w:type="dxa"/>
              <w:bottom w:w="0" w:type="dxa"/>
              <w:right w:w="108" w:type="dxa"/>
            </w:tcMar>
            <w:vAlign w:val="center"/>
          </w:tcPr>
          <w:p w14:paraId="6BA64E95">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A02052305空调机组</w:t>
            </w:r>
          </w:p>
        </w:tc>
        <w:tc>
          <w:tcPr>
            <w:tcW w:w="1427" w:type="dxa"/>
            <w:tcMar>
              <w:top w:w="0" w:type="dxa"/>
              <w:left w:w="108" w:type="dxa"/>
              <w:bottom w:w="0" w:type="dxa"/>
              <w:right w:w="108" w:type="dxa"/>
            </w:tcMar>
            <w:vAlign w:val="center"/>
          </w:tcPr>
          <w:p w14:paraId="2BFCAECF">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853" w:type="dxa"/>
            <w:tcMar>
              <w:top w:w="0" w:type="dxa"/>
              <w:left w:w="108" w:type="dxa"/>
              <w:bottom w:w="0" w:type="dxa"/>
              <w:right w:w="108" w:type="dxa"/>
            </w:tcMar>
            <w:vAlign w:val="center"/>
          </w:tcPr>
          <w:p w14:paraId="5CC900F1">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HJ2531工商用制冷设备</w:t>
            </w:r>
          </w:p>
        </w:tc>
      </w:tr>
      <w:tr w14:paraId="48F4C9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vMerge w:val="continue"/>
            <w:tcMar>
              <w:top w:w="0" w:type="dxa"/>
              <w:left w:w="108" w:type="dxa"/>
              <w:bottom w:w="0" w:type="dxa"/>
              <w:right w:w="108" w:type="dxa"/>
            </w:tcMar>
            <w:vAlign w:val="center"/>
          </w:tcPr>
          <w:p w14:paraId="291E1438">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1181" w:type="dxa"/>
            <w:vMerge w:val="continue"/>
            <w:tcMar>
              <w:top w:w="0" w:type="dxa"/>
              <w:left w:w="108" w:type="dxa"/>
              <w:bottom w:w="0" w:type="dxa"/>
              <w:right w:w="108" w:type="dxa"/>
            </w:tcMar>
            <w:vAlign w:val="center"/>
          </w:tcPr>
          <w:p w14:paraId="5767EB0A">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536" w:type="dxa"/>
            <w:tcMar>
              <w:top w:w="0" w:type="dxa"/>
              <w:left w:w="108" w:type="dxa"/>
              <w:bottom w:w="0" w:type="dxa"/>
              <w:right w:w="108" w:type="dxa"/>
            </w:tcMar>
            <w:vAlign w:val="center"/>
          </w:tcPr>
          <w:p w14:paraId="58257FC9">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A02052309专用制冷、空调设备</w:t>
            </w:r>
          </w:p>
        </w:tc>
        <w:tc>
          <w:tcPr>
            <w:tcW w:w="1427" w:type="dxa"/>
            <w:tcMar>
              <w:top w:w="0" w:type="dxa"/>
              <w:left w:w="108" w:type="dxa"/>
              <w:bottom w:w="0" w:type="dxa"/>
              <w:right w:w="108" w:type="dxa"/>
            </w:tcMar>
            <w:vAlign w:val="center"/>
          </w:tcPr>
          <w:p w14:paraId="03F410E0">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853" w:type="dxa"/>
            <w:tcMar>
              <w:top w:w="0" w:type="dxa"/>
              <w:left w:w="108" w:type="dxa"/>
              <w:bottom w:w="0" w:type="dxa"/>
              <w:right w:w="108" w:type="dxa"/>
            </w:tcMar>
            <w:vAlign w:val="center"/>
          </w:tcPr>
          <w:p w14:paraId="215A8D11">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HJ2531工商用制冷设备</w:t>
            </w:r>
          </w:p>
        </w:tc>
      </w:tr>
      <w:tr w14:paraId="586352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vMerge w:val="restart"/>
            <w:tcMar>
              <w:top w:w="0" w:type="dxa"/>
              <w:left w:w="108" w:type="dxa"/>
              <w:bottom w:w="0" w:type="dxa"/>
              <w:right w:w="108" w:type="dxa"/>
            </w:tcMar>
            <w:vAlign w:val="center"/>
          </w:tcPr>
          <w:p w14:paraId="6879AFD3">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12</w:t>
            </w:r>
          </w:p>
        </w:tc>
        <w:tc>
          <w:tcPr>
            <w:tcW w:w="1181" w:type="dxa"/>
            <w:vMerge w:val="restart"/>
            <w:tcMar>
              <w:top w:w="0" w:type="dxa"/>
              <w:left w:w="108" w:type="dxa"/>
              <w:bottom w:w="0" w:type="dxa"/>
              <w:right w:w="108" w:type="dxa"/>
            </w:tcMar>
            <w:vAlign w:val="center"/>
          </w:tcPr>
          <w:p w14:paraId="4129533C">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A020618生活用电器</w:t>
            </w:r>
          </w:p>
        </w:tc>
        <w:tc>
          <w:tcPr>
            <w:tcW w:w="2536" w:type="dxa"/>
            <w:tcMar>
              <w:top w:w="0" w:type="dxa"/>
              <w:left w:w="108" w:type="dxa"/>
              <w:bottom w:w="0" w:type="dxa"/>
              <w:right w:w="108" w:type="dxa"/>
            </w:tcMar>
            <w:vAlign w:val="center"/>
          </w:tcPr>
          <w:p w14:paraId="4FC734F5">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A02061802空气调节电器</w:t>
            </w:r>
          </w:p>
        </w:tc>
        <w:tc>
          <w:tcPr>
            <w:tcW w:w="1427" w:type="dxa"/>
            <w:tcMar>
              <w:top w:w="0" w:type="dxa"/>
              <w:left w:w="108" w:type="dxa"/>
              <w:bottom w:w="0" w:type="dxa"/>
              <w:right w:w="108" w:type="dxa"/>
            </w:tcMar>
            <w:vAlign w:val="center"/>
          </w:tcPr>
          <w:p w14:paraId="421A24BC">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A0206180203空调机</w:t>
            </w:r>
          </w:p>
        </w:tc>
        <w:tc>
          <w:tcPr>
            <w:tcW w:w="2853" w:type="dxa"/>
            <w:tcMar>
              <w:top w:w="0" w:type="dxa"/>
              <w:left w:w="108" w:type="dxa"/>
              <w:bottom w:w="0" w:type="dxa"/>
              <w:right w:w="108" w:type="dxa"/>
            </w:tcMar>
            <w:vAlign w:val="center"/>
          </w:tcPr>
          <w:p w14:paraId="77F89EAD">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HJ2535房间空气调节器</w:t>
            </w:r>
          </w:p>
        </w:tc>
      </w:tr>
      <w:tr w14:paraId="1C7E1E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vMerge w:val="continue"/>
            <w:tcMar>
              <w:top w:w="0" w:type="dxa"/>
              <w:left w:w="108" w:type="dxa"/>
              <w:bottom w:w="0" w:type="dxa"/>
              <w:right w:w="108" w:type="dxa"/>
            </w:tcMar>
            <w:vAlign w:val="center"/>
          </w:tcPr>
          <w:p w14:paraId="02B4C8A2">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1181" w:type="dxa"/>
            <w:vMerge w:val="continue"/>
            <w:tcMar>
              <w:top w:w="0" w:type="dxa"/>
              <w:left w:w="108" w:type="dxa"/>
              <w:bottom w:w="0" w:type="dxa"/>
              <w:right w:w="108" w:type="dxa"/>
            </w:tcMar>
            <w:vAlign w:val="center"/>
          </w:tcPr>
          <w:p w14:paraId="6FFA31AE">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536" w:type="dxa"/>
            <w:tcMar>
              <w:top w:w="0" w:type="dxa"/>
              <w:left w:w="108" w:type="dxa"/>
              <w:bottom w:w="0" w:type="dxa"/>
              <w:right w:w="108" w:type="dxa"/>
            </w:tcMar>
            <w:vAlign w:val="center"/>
          </w:tcPr>
          <w:p w14:paraId="26032C81">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A02061808热水器</w:t>
            </w:r>
          </w:p>
        </w:tc>
        <w:tc>
          <w:tcPr>
            <w:tcW w:w="1427" w:type="dxa"/>
            <w:tcMar>
              <w:top w:w="0" w:type="dxa"/>
              <w:left w:w="108" w:type="dxa"/>
              <w:bottom w:w="0" w:type="dxa"/>
              <w:right w:w="108" w:type="dxa"/>
            </w:tcMar>
            <w:vAlign w:val="center"/>
          </w:tcPr>
          <w:p w14:paraId="20EEBDB8">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853" w:type="dxa"/>
            <w:tcMar>
              <w:top w:w="0" w:type="dxa"/>
              <w:left w:w="108" w:type="dxa"/>
              <w:bottom w:w="0" w:type="dxa"/>
              <w:right w:w="108" w:type="dxa"/>
            </w:tcMar>
            <w:vAlign w:val="center"/>
          </w:tcPr>
          <w:p w14:paraId="148757F3">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HJ/T362太阳能集热器</w:t>
            </w:r>
          </w:p>
        </w:tc>
      </w:tr>
      <w:tr w14:paraId="01E077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tcMar>
              <w:top w:w="0" w:type="dxa"/>
              <w:left w:w="108" w:type="dxa"/>
              <w:bottom w:w="0" w:type="dxa"/>
              <w:right w:w="108" w:type="dxa"/>
            </w:tcMar>
            <w:vAlign w:val="center"/>
          </w:tcPr>
          <w:p w14:paraId="753A1981">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13</w:t>
            </w:r>
          </w:p>
        </w:tc>
        <w:tc>
          <w:tcPr>
            <w:tcW w:w="1181" w:type="dxa"/>
            <w:tcMar>
              <w:top w:w="0" w:type="dxa"/>
              <w:left w:w="108" w:type="dxa"/>
              <w:bottom w:w="0" w:type="dxa"/>
              <w:right w:w="108" w:type="dxa"/>
            </w:tcMar>
            <w:vAlign w:val="center"/>
          </w:tcPr>
          <w:p w14:paraId="4FCA2ACC">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A020619照明设备</w:t>
            </w:r>
          </w:p>
        </w:tc>
        <w:tc>
          <w:tcPr>
            <w:tcW w:w="2536" w:type="dxa"/>
            <w:tcMar>
              <w:top w:w="0" w:type="dxa"/>
              <w:left w:w="108" w:type="dxa"/>
              <w:bottom w:w="0" w:type="dxa"/>
              <w:right w:w="108" w:type="dxa"/>
            </w:tcMar>
            <w:vAlign w:val="center"/>
          </w:tcPr>
          <w:p w14:paraId="2DBCF1EE">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A02061908室内照明灯具</w:t>
            </w:r>
          </w:p>
        </w:tc>
        <w:tc>
          <w:tcPr>
            <w:tcW w:w="1427" w:type="dxa"/>
            <w:tcMar>
              <w:top w:w="0" w:type="dxa"/>
              <w:left w:w="108" w:type="dxa"/>
              <w:bottom w:w="0" w:type="dxa"/>
              <w:right w:w="108" w:type="dxa"/>
            </w:tcMar>
            <w:vAlign w:val="center"/>
          </w:tcPr>
          <w:p w14:paraId="6C8652E0">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853" w:type="dxa"/>
            <w:tcMar>
              <w:top w:w="0" w:type="dxa"/>
              <w:left w:w="108" w:type="dxa"/>
              <w:bottom w:w="0" w:type="dxa"/>
              <w:right w:w="108" w:type="dxa"/>
            </w:tcMar>
            <w:vAlign w:val="center"/>
          </w:tcPr>
          <w:p w14:paraId="0C0B806A">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HJ2518照明光源</w:t>
            </w:r>
          </w:p>
        </w:tc>
      </w:tr>
      <w:tr w14:paraId="2094FE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tcMar>
              <w:top w:w="0" w:type="dxa"/>
              <w:left w:w="108" w:type="dxa"/>
              <w:bottom w:w="0" w:type="dxa"/>
              <w:right w:w="108" w:type="dxa"/>
            </w:tcMar>
            <w:vAlign w:val="center"/>
          </w:tcPr>
          <w:p w14:paraId="56B2C41D">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14</w:t>
            </w:r>
          </w:p>
        </w:tc>
        <w:tc>
          <w:tcPr>
            <w:tcW w:w="1181" w:type="dxa"/>
            <w:tcMar>
              <w:top w:w="0" w:type="dxa"/>
              <w:left w:w="108" w:type="dxa"/>
              <w:bottom w:w="0" w:type="dxa"/>
              <w:right w:w="108" w:type="dxa"/>
            </w:tcMar>
            <w:vAlign w:val="center"/>
          </w:tcPr>
          <w:p w14:paraId="1B65298C">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A020810传真及数据数字通信设备</w:t>
            </w:r>
          </w:p>
        </w:tc>
        <w:tc>
          <w:tcPr>
            <w:tcW w:w="2536" w:type="dxa"/>
            <w:tcMar>
              <w:top w:w="0" w:type="dxa"/>
              <w:left w:w="108" w:type="dxa"/>
              <w:bottom w:w="0" w:type="dxa"/>
              <w:right w:w="108" w:type="dxa"/>
            </w:tcMar>
            <w:vAlign w:val="center"/>
          </w:tcPr>
          <w:p w14:paraId="55E5CC3E">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A02081001传真通信设备</w:t>
            </w:r>
          </w:p>
        </w:tc>
        <w:tc>
          <w:tcPr>
            <w:tcW w:w="1427" w:type="dxa"/>
            <w:tcMar>
              <w:top w:w="0" w:type="dxa"/>
              <w:left w:w="108" w:type="dxa"/>
              <w:bottom w:w="0" w:type="dxa"/>
              <w:right w:w="108" w:type="dxa"/>
            </w:tcMar>
            <w:vAlign w:val="center"/>
          </w:tcPr>
          <w:p w14:paraId="37AE07A4">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853" w:type="dxa"/>
            <w:tcMar>
              <w:top w:w="0" w:type="dxa"/>
              <w:left w:w="108" w:type="dxa"/>
              <w:bottom w:w="0" w:type="dxa"/>
              <w:right w:w="108" w:type="dxa"/>
            </w:tcMar>
            <w:vAlign w:val="center"/>
          </w:tcPr>
          <w:p w14:paraId="65D10213">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HJ2512打印机、传真机及多功能一体机</w:t>
            </w:r>
          </w:p>
        </w:tc>
      </w:tr>
      <w:tr w14:paraId="1BDBF2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tcMar>
              <w:top w:w="0" w:type="dxa"/>
              <w:left w:w="108" w:type="dxa"/>
              <w:bottom w:w="0" w:type="dxa"/>
              <w:right w:w="108" w:type="dxa"/>
            </w:tcMar>
            <w:vAlign w:val="center"/>
          </w:tcPr>
          <w:p w14:paraId="201ABE94">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15</w:t>
            </w:r>
          </w:p>
        </w:tc>
        <w:tc>
          <w:tcPr>
            <w:tcW w:w="1181" w:type="dxa"/>
            <w:tcMar>
              <w:top w:w="0" w:type="dxa"/>
              <w:left w:w="108" w:type="dxa"/>
              <w:bottom w:w="0" w:type="dxa"/>
              <w:right w:w="108" w:type="dxa"/>
            </w:tcMar>
            <w:vAlign w:val="center"/>
          </w:tcPr>
          <w:p w14:paraId="7630E41B">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A020910电视设备</w:t>
            </w:r>
          </w:p>
        </w:tc>
        <w:tc>
          <w:tcPr>
            <w:tcW w:w="2536" w:type="dxa"/>
            <w:tcMar>
              <w:top w:w="0" w:type="dxa"/>
              <w:left w:w="108" w:type="dxa"/>
              <w:bottom w:w="0" w:type="dxa"/>
              <w:right w:w="108" w:type="dxa"/>
            </w:tcMar>
            <w:vAlign w:val="center"/>
          </w:tcPr>
          <w:p w14:paraId="5A9C3D7B">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A02091001普通电视设备(电视机)</w:t>
            </w:r>
          </w:p>
        </w:tc>
        <w:tc>
          <w:tcPr>
            <w:tcW w:w="1427" w:type="dxa"/>
            <w:tcMar>
              <w:top w:w="0" w:type="dxa"/>
              <w:left w:w="108" w:type="dxa"/>
              <w:bottom w:w="0" w:type="dxa"/>
              <w:right w:w="108" w:type="dxa"/>
            </w:tcMar>
            <w:vAlign w:val="center"/>
          </w:tcPr>
          <w:p w14:paraId="1E880235">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853" w:type="dxa"/>
            <w:tcMar>
              <w:top w:w="0" w:type="dxa"/>
              <w:left w:w="108" w:type="dxa"/>
              <w:bottom w:w="0" w:type="dxa"/>
              <w:right w:w="108" w:type="dxa"/>
            </w:tcMar>
            <w:vAlign w:val="center"/>
          </w:tcPr>
          <w:p w14:paraId="6D57AE16">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HJ2506彩色电视广播接收机</w:t>
            </w:r>
          </w:p>
        </w:tc>
      </w:tr>
      <w:tr w14:paraId="24ED87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tcMar>
              <w:top w:w="0" w:type="dxa"/>
              <w:left w:w="108" w:type="dxa"/>
              <w:right w:w="108" w:type="dxa"/>
            </w:tcMar>
            <w:vAlign w:val="center"/>
          </w:tcPr>
          <w:p w14:paraId="22165D0B">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1181" w:type="dxa"/>
            <w:tcMar>
              <w:top w:w="0" w:type="dxa"/>
              <w:left w:w="108" w:type="dxa"/>
              <w:right w:w="108" w:type="dxa"/>
            </w:tcMar>
            <w:vAlign w:val="center"/>
          </w:tcPr>
          <w:p w14:paraId="1BA474E3">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536" w:type="dxa"/>
            <w:tcMar>
              <w:top w:w="0" w:type="dxa"/>
              <w:left w:w="108" w:type="dxa"/>
              <w:right w:w="108" w:type="dxa"/>
            </w:tcMar>
            <w:vAlign w:val="center"/>
          </w:tcPr>
          <w:p w14:paraId="3474F01F">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A02091003特殊功能应用电视设备</w:t>
            </w:r>
          </w:p>
        </w:tc>
        <w:tc>
          <w:tcPr>
            <w:tcW w:w="1427" w:type="dxa"/>
            <w:tcMar>
              <w:top w:w="0" w:type="dxa"/>
              <w:left w:w="108" w:type="dxa"/>
              <w:right w:w="108" w:type="dxa"/>
            </w:tcMar>
            <w:vAlign w:val="center"/>
          </w:tcPr>
          <w:p w14:paraId="45D013E2">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853" w:type="dxa"/>
            <w:tcMar>
              <w:top w:w="0" w:type="dxa"/>
              <w:left w:w="108" w:type="dxa"/>
              <w:right w:w="108" w:type="dxa"/>
            </w:tcMar>
            <w:vAlign w:val="center"/>
          </w:tcPr>
          <w:p w14:paraId="05826E61">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HJ2506彩色电视广播接收机</w:t>
            </w:r>
          </w:p>
        </w:tc>
      </w:tr>
      <w:tr w14:paraId="652A29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tcMar>
              <w:top w:w="0" w:type="dxa"/>
              <w:left w:w="108" w:type="dxa"/>
              <w:right w:w="108" w:type="dxa"/>
            </w:tcMar>
            <w:vAlign w:val="center"/>
          </w:tcPr>
          <w:p w14:paraId="187CB65B">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16</w:t>
            </w:r>
          </w:p>
        </w:tc>
        <w:tc>
          <w:tcPr>
            <w:tcW w:w="1181" w:type="dxa"/>
            <w:tcMar>
              <w:top w:w="0" w:type="dxa"/>
              <w:left w:w="108" w:type="dxa"/>
              <w:right w:w="108" w:type="dxa"/>
            </w:tcMar>
            <w:vAlign w:val="center"/>
          </w:tcPr>
          <w:p w14:paraId="3BD8A2B6">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A0601床类</w:t>
            </w:r>
          </w:p>
        </w:tc>
        <w:tc>
          <w:tcPr>
            <w:tcW w:w="2536" w:type="dxa"/>
            <w:tcMar>
              <w:top w:w="0" w:type="dxa"/>
              <w:left w:w="108" w:type="dxa"/>
              <w:right w:w="108" w:type="dxa"/>
            </w:tcMar>
            <w:vAlign w:val="center"/>
          </w:tcPr>
          <w:p w14:paraId="7D1D9FDC">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A060101钢木床类</w:t>
            </w:r>
          </w:p>
        </w:tc>
        <w:tc>
          <w:tcPr>
            <w:tcW w:w="1427" w:type="dxa"/>
            <w:tcMar>
              <w:top w:w="0" w:type="dxa"/>
              <w:left w:w="108" w:type="dxa"/>
              <w:right w:w="108" w:type="dxa"/>
            </w:tcMar>
            <w:vAlign w:val="center"/>
          </w:tcPr>
          <w:p w14:paraId="752BD097">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853" w:type="dxa"/>
            <w:tcMar>
              <w:top w:w="0" w:type="dxa"/>
              <w:left w:w="108" w:type="dxa"/>
              <w:right w:w="108" w:type="dxa"/>
            </w:tcMar>
            <w:vAlign w:val="center"/>
          </w:tcPr>
          <w:p w14:paraId="52B73EFB">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HJ2547家具/HJ2540木塑制品</w:t>
            </w:r>
          </w:p>
        </w:tc>
      </w:tr>
      <w:tr w14:paraId="60D655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tcMar>
              <w:top w:w="0" w:type="dxa"/>
              <w:left w:w="108" w:type="dxa"/>
              <w:right w:w="108" w:type="dxa"/>
            </w:tcMar>
            <w:vAlign w:val="center"/>
          </w:tcPr>
          <w:p w14:paraId="702C2CB9">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1181" w:type="dxa"/>
            <w:tcMar>
              <w:top w:w="0" w:type="dxa"/>
              <w:left w:w="108" w:type="dxa"/>
              <w:right w:w="108" w:type="dxa"/>
            </w:tcMar>
            <w:vAlign w:val="center"/>
          </w:tcPr>
          <w:p w14:paraId="13EC1EBB">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536" w:type="dxa"/>
            <w:tcMar>
              <w:top w:w="0" w:type="dxa"/>
              <w:left w:w="108" w:type="dxa"/>
              <w:right w:w="108" w:type="dxa"/>
            </w:tcMar>
            <w:vAlign w:val="center"/>
          </w:tcPr>
          <w:p w14:paraId="0D9177E5">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A060104木制床类</w:t>
            </w:r>
          </w:p>
        </w:tc>
        <w:tc>
          <w:tcPr>
            <w:tcW w:w="1427" w:type="dxa"/>
            <w:tcMar>
              <w:top w:w="0" w:type="dxa"/>
              <w:left w:w="108" w:type="dxa"/>
              <w:right w:w="108" w:type="dxa"/>
            </w:tcMar>
            <w:vAlign w:val="center"/>
          </w:tcPr>
          <w:p w14:paraId="4A2CE77E">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853" w:type="dxa"/>
            <w:tcMar>
              <w:top w:w="0" w:type="dxa"/>
              <w:left w:w="108" w:type="dxa"/>
              <w:right w:w="108" w:type="dxa"/>
            </w:tcMar>
            <w:vAlign w:val="center"/>
          </w:tcPr>
          <w:p w14:paraId="32E58701">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HJ2547家具/HJ2540木塑制品</w:t>
            </w:r>
          </w:p>
        </w:tc>
      </w:tr>
      <w:tr w14:paraId="192F6D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tcMar>
              <w:top w:w="0" w:type="dxa"/>
              <w:left w:w="108" w:type="dxa"/>
              <w:right w:w="108" w:type="dxa"/>
            </w:tcMar>
            <w:vAlign w:val="center"/>
          </w:tcPr>
          <w:p w14:paraId="585AC76B">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1181" w:type="dxa"/>
            <w:tcMar>
              <w:top w:w="0" w:type="dxa"/>
              <w:left w:w="108" w:type="dxa"/>
              <w:right w:w="108" w:type="dxa"/>
            </w:tcMar>
            <w:vAlign w:val="center"/>
          </w:tcPr>
          <w:p w14:paraId="3DF022C0">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536" w:type="dxa"/>
            <w:tcMar>
              <w:top w:w="0" w:type="dxa"/>
              <w:left w:w="108" w:type="dxa"/>
              <w:right w:w="108" w:type="dxa"/>
            </w:tcMar>
            <w:vAlign w:val="center"/>
          </w:tcPr>
          <w:p w14:paraId="048A3C81">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A060199其他床类</w:t>
            </w:r>
          </w:p>
        </w:tc>
        <w:tc>
          <w:tcPr>
            <w:tcW w:w="1427" w:type="dxa"/>
            <w:tcMar>
              <w:top w:w="0" w:type="dxa"/>
              <w:left w:w="108" w:type="dxa"/>
              <w:right w:w="108" w:type="dxa"/>
            </w:tcMar>
            <w:vAlign w:val="center"/>
          </w:tcPr>
          <w:p w14:paraId="59F88D64">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853" w:type="dxa"/>
            <w:tcMar>
              <w:top w:w="0" w:type="dxa"/>
              <w:left w:w="108" w:type="dxa"/>
              <w:right w:w="108" w:type="dxa"/>
            </w:tcMar>
            <w:vAlign w:val="center"/>
          </w:tcPr>
          <w:p w14:paraId="0B3CE23D">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HJ2547家具/HJ2540木塑制品</w:t>
            </w:r>
          </w:p>
        </w:tc>
      </w:tr>
      <w:tr w14:paraId="5D5232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tcMar>
              <w:top w:w="0" w:type="dxa"/>
              <w:left w:w="108" w:type="dxa"/>
              <w:right w:w="108" w:type="dxa"/>
            </w:tcMar>
            <w:vAlign w:val="center"/>
          </w:tcPr>
          <w:p w14:paraId="2CCDA402">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17</w:t>
            </w:r>
          </w:p>
        </w:tc>
        <w:tc>
          <w:tcPr>
            <w:tcW w:w="1181" w:type="dxa"/>
            <w:tcMar>
              <w:top w:w="0" w:type="dxa"/>
              <w:left w:w="108" w:type="dxa"/>
              <w:right w:w="108" w:type="dxa"/>
            </w:tcMar>
            <w:vAlign w:val="center"/>
          </w:tcPr>
          <w:p w14:paraId="78F6E812">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A0602台、桌类</w:t>
            </w:r>
          </w:p>
        </w:tc>
        <w:tc>
          <w:tcPr>
            <w:tcW w:w="2536" w:type="dxa"/>
            <w:tcMar>
              <w:top w:w="0" w:type="dxa"/>
              <w:left w:w="108" w:type="dxa"/>
              <w:right w:w="108" w:type="dxa"/>
            </w:tcMar>
            <w:vAlign w:val="center"/>
          </w:tcPr>
          <w:p w14:paraId="468386E3">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A060201钢木台、桌类</w:t>
            </w:r>
          </w:p>
        </w:tc>
        <w:tc>
          <w:tcPr>
            <w:tcW w:w="1427" w:type="dxa"/>
            <w:tcMar>
              <w:top w:w="0" w:type="dxa"/>
              <w:left w:w="108" w:type="dxa"/>
              <w:right w:w="108" w:type="dxa"/>
            </w:tcMar>
            <w:vAlign w:val="center"/>
          </w:tcPr>
          <w:p w14:paraId="33877521">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853" w:type="dxa"/>
            <w:tcMar>
              <w:top w:w="0" w:type="dxa"/>
              <w:left w:w="108" w:type="dxa"/>
              <w:right w:w="108" w:type="dxa"/>
            </w:tcMar>
            <w:vAlign w:val="center"/>
          </w:tcPr>
          <w:p w14:paraId="7279F806">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HJ2547家具/HJ2540木塑制品</w:t>
            </w:r>
          </w:p>
        </w:tc>
      </w:tr>
      <w:tr w14:paraId="4F59D6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tcMar>
              <w:top w:w="0" w:type="dxa"/>
              <w:left w:w="108" w:type="dxa"/>
              <w:right w:w="108" w:type="dxa"/>
            </w:tcMar>
            <w:vAlign w:val="center"/>
          </w:tcPr>
          <w:p w14:paraId="13BE2C08">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1181" w:type="dxa"/>
            <w:tcMar>
              <w:top w:w="0" w:type="dxa"/>
              <w:left w:w="108" w:type="dxa"/>
              <w:right w:w="108" w:type="dxa"/>
            </w:tcMar>
            <w:vAlign w:val="center"/>
          </w:tcPr>
          <w:p w14:paraId="630D7186">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536" w:type="dxa"/>
            <w:tcMar>
              <w:top w:w="0" w:type="dxa"/>
              <w:left w:w="108" w:type="dxa"/>
              <w:right w:w="108" w:type="dxa"/>
            </w:tcMar>
            <w:vAlign w:val="center"/>
          </w:tcPr>
          <w:p w14:paraId="0908EF6D">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A060205木制台、桌类</w:t>
            </w:r>
          </w:p>
        </w:tc>
        <w:tc>
          <w:tcPr>
            <w:tcW w:w="1427" w:type="dxa"/>
            <w:tcMar>
              <w:top w:w="0" w:type="dxa"/>
              <w:left w:w="108" w:type="dxa"/>
              <w:right w:w="108" w:type="dxa"/>
            </w:tcMar>
            <w:vAlign w:val="center"/>
          </w:tcPr>
          <w:p w14:paraId="7D9ACF3E">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853" w:type="dxa"/>
            <w:tcMar>
              <w:top w:w="0" w:type="dxa"/>
              <w:left w:w="108" w:type="dxa"/>
              <w:right w:w="108" w:type="dxa"/>
            </w:tcMar>
            <w:vAlign w:val="center"/>
          </w:tcPr>
          <w:p w14:paraId="28D446D6">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HJ2547家具/HJ2540木塑制品</w:t>
            </w:r>
          </w:p>
        </w:tc>
      </w:tr>
      <w:tr w14:paraId="6F9CB8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tcMar>
              <w:top w:w="0" w:type="dxa"/>
              <w:left w:w="108" w:type="dxa"/>
              <w:right w:w="108" w:type="dxa"/>
            </w:tcMar>
            <w:vAlign w:val="center"/>
          </w:tcPr>
          <w:p w14:paraId="2679707F">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1181" w:type="dxa"/>
            <w:tcMar>
              <w:top w:w="0" w:type="dxa"/>
              <w:left w:w="108" w:type="dxa"/>
              <w:right w:w="108" w:type="dxa"/>
            </w:tcMar>
            <w:vAlign w:val="center"/>
          </w:tcPr>
          <w:p w14:paraId="4F0F1753">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536" w:type="dxa"/>
            <w:tcMar>
              <w:top w:w="0" w:type="dxa"/>
              <w:left w:w="108" w:type="dxa"/>
              <w:right w:w="108" w:type="dxa"/>
            </w:tcMar>
            <w:vAlign w:val="center"/>
          </w:tcPr>
          <w:p w14:paraId="1CB9F2E5">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A060299其他台、桌类</w:t>
            </w:r>
          </w:p>
        </w:tc>
        <w:tc>
          <w:tcPr>
            <w:tcW w:w="1427" w:type="dxa"/>
            <w:tcMar>
              <w:top w:w="0" w:type="dxa"/>
              <w:left w:w="108" w:type="dxa"/>
              <w:right w:w="108" w:type="dxa"/>
            </w:tcMar>
            <w:vAlign w:val="center"/>
          </w:tcPr>
          <w:p w14:paraId="4C6E2032">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853" w:type="dxa"/>
            <w:tcMar>
              <w:top w:w="0" w:type="dxa"/>
              <w:left w:w="108" w:type="dxa"/>
              <w:right w:w="108" w:type="dxa"/>
            </w:tcMar>
            <w:vAlign w:val="center"/>
          </w:tcPr>
          <w:p w14:paraId="40082109">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HJ2547家具/HJ2540木塑制品</w:t>
            </w:r>
          </w:p>
        </w:tc>
      </w:tr>
      <w:tr w14:paraId="5B3DE2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tcMar>
              <w:top w:w="0" w:type="dxa"/>
              <w:left w:w="108" w:type="dxa"/>
              <w:right w:w="108" w:type="dxa"/>
            </w:tcMar>
            <w:vAlign w:val="center"/>
          </w:tcPr>
          <w:p w14:paraId="2943FA5D">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18</w:t>
            </w:r>
          </w:p>
        </w:tc>
        <w:tc>
          <w:tcPr>
            <w:tcW w:w="1181" w:type="dxa"/>
            <w:tcMar>
              <w:top w:w="0" w:type="dxa"/>
              <w:left w:w="108" w:type="dxa"/>
              <w:right w:w="108" w:type="dxa"/>
            </w:tcMar>
            <w:vAlign w:val="center"/>
          </w:tcPr>
          <w:p w14:paraId="53AA38A2">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A0603椅凳类</w:t>
            </w:r>
          </w:p>
        </w:tc>
        <w:tc>
          <w:tcPr>
            <w:tcW w:w="2536" w:type="dxa"/>
            <w:tcMar>
              <w:top w:w="0" w:type="dxa"/>
              <w:left w:w="108" w:type="dxa"/>
              <w:right w:w="108" w:type="dxa"/>
            </w:tcMar>
            <w:vAlign w:val="center"/>
          </w:tcPr>
          <w:p w14:paraId="3C8C91C1">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A060301金属骨架为主的椅凳类</w:t>
            </w:r>
          </w:p>
        </w:tc>
        <w:tc>
          <w:tcPr>
            <w:tcW w:w="1427" w:type="dxa"/>
            <w:tcMar>
              <w:top w:w="0" w:type="dxa"/>
              <w:left w:w="108" w:type="dxa"/>
              <w:right w:w="108" w:type="dxa"/>
            </w:tcMar>
            <w:vAlign w:val="center"/>
          </w:tcPr>
          <w:p w14:paraId="235C070B">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853" w:type="dxa"/>
            <w:tcMar>
              <w:top w:w="0" w:type="dxa"/>
              <w:left w:w="108" w:type="dxa"/>
              <w:right w:w="108" w:type="dxa"/>
            </w:tcMar>
            <w:vAlign w:val="center"/>
          </w:tcPr>
          <w:p w14:paraId="39A65539">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HJ2547家具/HJ2540木塑制品</w:t>
            </w:r>
          </w:p>
        </w:tc>
      </w:tr>
      <w:tr w14:paraId="1BF2CF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tcMar>
              <w:top w:w="0" w:type="dxa"/>
              <w:left w:w="108" w:type="dxa"/>
              <w:right w:w="108" w:type="dxa"/>
            </w:tcMar>
            <w:vAlign w:val="center"/>
          </w:tcPr>
          <w:p w14:paraId="56A371DE">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1181" w:type="dxa"/>
            <w:tcMar>
              <w:top w:w="0" w:type="dxa"/>
              <w:left w:w="108" w:type="dxa"/>
              <w:right w:w="108" w:type="dxa"/>
            </w:tcMar>
            <w:vAlign w:val="center"/>
          </w:tcPr>
          <w:p w14:paraId="671C1C7F">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536" w:type="dxa"/>
            <w:tcMar>
              <w:top w:w="0" w:type="dxa"/>
              <w:left w:w="108" w:type="dxa"/>
              <w:right w:w="108" w:type="dxa"/>
            </w:tcMar>
            <w:vAlign w:val="center"/>
          </w:tcPr>
          <w:p w14:paraId="3588234C">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A060302木骨架为主的椅凳类</w:t>
            </w:r>
          </w:p>
        </w:tc>
        <w:tc>
          <w:tcPr>
            <w:tcW w:w="1427" w:type="dxa"/>
            <w:tcMar>
              <w:top w:w="0" w:type="dxa"/>
              <w:left w:w="108" w:type="dxa"/>
              <w:right w:w="108" w:type="dxa"/>
            </w:tcMar>
            <w:vAlign w:val="center"/>
          </w:tcPr>
          <w:p w14:paraId="1227DA23">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853" w:type="dxa"/>
            <w:tcMar>
              <w:top w:w="0" w:type="dxa"/>
              <w:left w:w="108" w:type="dxa"/>
              <w:right w:w="108" w:type="dxa"/>
            </w:tcMar>
            <w:vAlign w:val="center"/>
          </w:tcPr>
          <w:p w14:paraId="307871C1">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HJ2547家具/HJ2540木塑制品</w:t>
            </w:r>
          </w:p>
        </w:tc>
      </w:tr>
      <w:tr w14:paraId="3A4C2F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tcMar>
              <w:top w:w="0" w:type="dxa"/>
              <w:left w:w="108" w:type="dxa"/>
              <w:right w:w="108" w:type="dxa"/>
            </w:tcMar>
            <w:vAlign w:val="center"/>
          </w:tcPr>
          <w:p w14:paraId="149BAFCA">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1181" w:type="dxa"/>
            <w:tcMar>
              <w:top w:w="0" w:type="dxa"/>
              <w:left w:w="108" w:type="dxa"/>
              <w:right w:w="108" w:type="dxa"/>
            </w:tcMar>
            <w:vAlign w:val="center"/>
          </w:tcPr>
          <w:p w14:paraId="34A610CE">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536" w:type="dxa"/>
            <w:tcMar>
              <w:top w:w="0" w:type="dxa"/>
              <w:left w:w="108" w:type="dxa"/>
              <w:right w:w="108" w:type="dxa"/>
            </w:tcMar>
            <w:vAlign w:val="center"/>
          </w:tcPr>
          <w:p w14:paraId="605F59B7">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A060399其他椅凳类</w:t>
            </w:r>
          </w:p>
        </w:tc>
        <w:tc>
          <w:tcPr>
            <w:tcW w:w="1427" w:type="dxa"/>
            <w:tcMar>
              <w:top w:w="0" w:type="dxa"/>
              <w:left w:w="108" w:type="dxa"/>
              <w:right w:w="108" w:type="dxa"/>
            </w:tcMar>
            <w:vAlign w:val="center"/>
          </w:tcPr>
          <w:p w14:paraId="3C751149">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853" w:type="dxa"/>
            <w:tcMar>
              <w:top w:w="0" w:type="dxa"/>
              <w:left w:w="108" w:type="dxa"/>
              <w:right w:w="108" w:type="dxa"/>
            </w:tcMar>
            <w:vAlign w:val="center"/>
          </w:tcPr>
          <w:p w14:paraId="2475D2E4">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HJ2547家具/HJ2540木塑制品</w:t>
            </w:r>
          </w:p>
        </w:tc>
      </w:tr>
      <w:tr w14:paraId="04CDFC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tcMar>
              <w:top w:w="0" w:type="dxa"/>
              <w:left w:w="108" w:type="dxa"/>
              <w:right w:w="108" w:type="dxa"/>
            </w:tcMar>
            <w:vAlign w:val="center"/>
          </w:tcPr>
          <w:p w14:paraId="39DF007A">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19</w:t>
            </w:r>
          </w:p>
        </w:tc>
        <w:tc>
          <w:tcPr>
            <w:tcW w:w="1181" w:type="dxa"/>
            <w:tcMar>
              <w:top w:w="0" w:type="dxa"/>
              <w:left w:w="108" w:type="dxa"/>
              <w:right w:w="108" w:type="dxa"/>
            </w:tcMar>
            <w:vAlign w:val="center"/>
          </w:tcPr>
          <w:p w14:paraId="5B4E6E70">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A0604沙发类</w:t>
            </w:r>
          </w:p>
        </w:tc>
        <w:tc>
          <w:tcPr>
            <w:tcW w:w="2536" w:type="dxa"/>
            <w:tcMar>
              <w:top w:w="0" w:type="dxa"/>
              <w:left w:w="108" w:type="dxa"/>
              <w:right w:w="108" w:type="dxa"/>
            </w:tcMar>
            <w:vAlign w:val="center"/>
          </w:tcPr>
          <w:p w14:paraId="507E38A6">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A060499其他沙发类</w:t>
            </w:r>
          </w:p>
        </w:tc>
        <w:tc>
          <w:tcPr>
            <w:tcW w:w="1427" w:type="dxa"/>
            <w:tcMar>
              <w:top w:w="0" w:type="dxa"/>
              <w:left w:w="108" w:type="dxa"/>
              <w:right w:w="108" w:type="dxa"/>
            </w:tcMar>
            <w:vAlign w:val="center"/>
          </w:tcPr>
          <w:p w14:paraId="1975A2BD">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853" w:type="dxa"/>
            <w:tcMar>
              <w:top w:w="0" w:type="dxa"/>
              <w:left w:w="108" w:type="dxa"/>
              <w:right w:w="108" w:type="dxa"/>
            </w:tcMar>
            <w:vAlign w:val="center"/>
          </w:tcPr>
          <w:p w14:paraId="433F84C0">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HJ2547家具/HJ2540木塑制品</w:t>
            </w:r>
          </w:p>
        </w:tc>
      </w:tr>
      <w:tr w14:paraId="60BC3D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tcMar>
              <w:top w:w="0" w:type="dxa"/>
              <w:left w:w="108" w:type="dxa"/>
              <w:right w:w="108" w:type="dxa"/>
            </w:tcMar>
            <w:vAlign w:val="center"/>
          </w:tcPr>
          <w:p w14:paraId="21AB4E16">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20</w:t>
            </w:r>
          </w:p>
        </w:tc>
        <w:tc>
          <w:tcPr>
            <w:tcW w:w="1181" w:type="dxa"/>
            <w:tcMar>
              <w:top w:w="0" w:type="dxa"/>
              <w:left w:w="108" w:type="dxa"/>
              <w:right w:w="108" w:type="dxa"/>
            </w:tcMar>
            <w:vAlign w:val="center"/>
          </w:tcPr>
          <w:p w14:paraId="322EEDB4">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A0605柜类</w:t>
            </w:r>
          </w:p>
        </w:tc>
        <w:tc>
          <w:tcPr>
            <w:tcW w:w="2536" w:type="dxa"/>
            <w:tcMar>
              <w:top w:w="0" w:type="dxa"/>
              <w:left w:w="108" w:type="dxa"/>
              <w:right w:w="108" w:type="dxa"/>
            </w:tcMar>
            <w:vAlign w:val="center"/>
          </w:tcPr>
          <w:p w14:paraId="541021EE">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A060501木质柜类</w:t>
            </w:r>
          </w:p>
        </w:tc>
        <w:tc>
          <w:tcPr>
            <w:tcW w:w="1427" w:type="dxa"/>
            <w:tcMar>
              <w:top w:w="0" w:type="dxa"/>
              <w:left w:w="108" w:type="dxa"/>
              <w:right w:w="108" w:type="dxa"/>
            </w:tcMar>
            <w:vAlign w:val="center"/>
          </w:tcPr>
          <w:p w14:paraId="64995720">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853" w:type="dxa"/>
            <w:tcMar>
              <w:top w:w="0" w:type="dxa"/>
              <w:left w:w="108" w:type="dxa"/>
              <w:right w:w="108" w:type="dxa"/>
            </w:tcMar>
            <w:vAlign w:val="center"/>
          </w:tcPr>
          <w:p w14:paraId="35F2285D">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HJ2547家具/HJ2540木塑制品</w:t>
            </w:r>
          </w:p>
        </w:tc>
      </w:tr>
      <w:tr w14:paraId="5DF231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tcMar>
              <w:top w:w="0" w:type="dxa"/>
              <w:left w:w="108" w:type="dxa"/>
              <w:right w:w="108" w:type="dxa"/>
            </w:tcMar>
            <w:vAlign w:val="center"/>
          </w:tcPr>
          <w:p w14:paraId="746C822D">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1181" w:type="dxa"/>
            <w:tcMar>
              <w:top w:w="0" w:type="dxa"/>
              <w:left w:w="108" w:type="dxa"/>
              <w:right w:w="108" w:type="dxa"/>
            </w:tcMar>
            <w:vAlign w:val="center"/>
          </w:tcPr>
          <w:p w14:paraId="67448703">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536" w:type="dxa"/>
            <w:tcMar>
              <w:top w:w="0" w:type="dxa"/>
              <w:left w:w="108" w:type="dxa"/>
              <w:right w:w="108" w:type="dxa"/>
            </w:tcMar>
            <w:vAlign w:val="center"/>
          </w:tcPr>
          <w:p w14:paraId="7127D3D9">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A060503金属质柜类</w:t>
            </w:r>
          </w:p>
        </w:tc>
        <w:tc>
          <w:tcPr>
            <w:tcW w:w="1427" w:type="dxa"/>
            <w:tcMar>
              <w:top w:w="0" w:type="dxa"/>
              <w:left w:w="108" w:type="dxa"/>
              <w:right w:w="108" w:type="dxa"/>
            </w:tcMar>
            <w:vAlign w:val="center"/>
          </w:tcPr>
          <w:p w14:paraId="58B557BE">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853" w:type="dxa"/>
            <w:tcMar>
              <w:top w:w="0" w:type="dxa"/>
              <w:left w:w="108" w:type="dxa"/>
              <w:right w:w="108" w:type="dxa"/>
            </w:tcMar>
            <w:vAlign w:val="center"/>
          </w:tcPr>
          <w:p w14:paraId="5358FE76">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HJ2547家具/HJ2540木塑制品</w:t>
            </w:r>
          </w:p>
        </w:tc>
      </w:tr>
      <w:tr w14:paraId="0E62C1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tcMar>
              <w:top w:w="0" w:type="dxa"/>
              <w:left w:w="108" w:type="dxa"/>
              <w:right w:w="108" w:type="dxa"/>
            </w:tcMar>
            <w:vAlign w:val="center"/>
          </w:tcPr>
          <w:p w14:paraId="76BE258E">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1181" w:type="dxa"/>
            <w:tcMar>
              <w:top w:w="0" w:type="dxa"/>
              <w:left w:w="108" w:type="dxa"/>
              <w:right w:w="108" w:type="dxa"/>
            </w:tcMar>
            <w:vAlign w:val="center"/>
          </w:tcPr>
          <w:p w14:paraId="11291EAF">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536" w:type="dxa"/>
            <w:tcMar>
              <w:top w:w="0" w:type="dxa"/>
              <w:left w:w="108" w:type="dxa"/>
              <w:right w:w="108" w:type="dxa"/>
            </w:tcMar>
            <w:vAlign w:val="center"/>
          </w:tcPr>
          <w:p w14:paraId="6E43B43E">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A060599其他柜类</w:t>
            </w:r>
          </w:p>
        </w:tc>
        <w:tc>
          <w:tcPr>
            <w:tcW w:w="1427" w:type="dxa"/>
            <w:tcMar>
              <w:top w:w="0" w:type="dxa"/>
              <w:left w:w="108" w:type="dxa"/>
              <w:right w:w="108" w:type="dxa"/>
            </w:tcMar>
            <w:vAlign w:val="center"/>
          </w:tcPr>
          <w:p w14:paraId="434843A1">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853" w:type="dxa"/>
            <w:tcMar>
              <w:top w:w="0" w:type="dxa"/>
              <w:left w:w="108" w:type="dxa"/>
              <w:right w:w="108" w:type="dxa"/>
            </w:tcMar>
            <w:vAlign w:val="center"/>
          </w:tcPr>
          <w:p w14:paraId="0165E19E">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HJ2547家具/HJ2540木塑制品</w:t>
            </w:r>
          </w:p>
        </w:tc>
      </w:tr>
      <w:tr w14:paraId="1A5F1B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tcMar>
              <w:top w:w="0" w:type="dxa"/>
              <w:left w:w="108" w:type="dxa"/>
              <w:right w:w="108" w:type="dxa"/>
            </w:tcMar>
            <w:vAlign w:val="center"/>
          </w:tcPr>
          <w:p w14:paraId="7B08AFA9">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21</w:t>
            </w:r>
          </w:p>
        </w:tc>
        <w:tc>
          <w:tcPr>
            <w:tcW w:w="1181" w:type="dxa"/>
            <w:tcMar>
              <w:top w:w="0" w:type="dxa"/>
              <w:left w:w="108" w:type="dxa"/>
              <w:right w:w="108" w:type="dxa"/>
            </w:tcMar>
            <w:vAlign w:val="center"/>
          </w:tcPr>
          <w:p w14:paraId="624B7B94">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A0606架类</w:t>
            </w:r>
          </w:p>
        </w:tc>
        <w:tc>
          <w:tcPr>
            <w:tcW w:w="2536" w:type="dxa"/>
            <w:tcMar>
              <w:top w:w="0" w:type="dxa"/>
              <w:left w:w="108" w:type="dxa"/>
              <w:right w:w="108" w:type="dxa"/>
            </w:tcMar>
            <w:vAlign w:val="center"/>
          </w:tcPr>
          <w:p w14:paraId="6CC218E3">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A060601木质架类</w:t>
            </w:r>
          </w:p>
        </w:tc>
        <w:tc>
          <w:tcPr>
            <w:tcW w:w="1427" w:type="dxa"/>
            <w:tcMar>
              <w:top w:w="0" w:type="dxa"/>
              <w:left w:w="108" w:type="dxa"/>
              <w:right w:w="108" w:type="dxa"/>
            </w:tcMar>
            <w:vAlign w:val="center"/>
          </w:tcPr>
          <w:p w14:paraId="6E514AF9">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853" w:type="dxa"/>
            <w:tcMar>
              <w:top w:w="0" w:type="dxa"/>
              <w:left w:w="108" w:type="dxa"/>
              <w:right w:w="108" w:type="dxa"/>
            </w:tcMar>
            <w:vAlign w:val="center"/>
          </w:tcPr>
          <w:p w14:paraId="32336CF2">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HJ2547家具/HJ2540木塑制品</w:t>
            </w:r>
          </w:p>
        </w:tc>
      </w:tr>
      <w:tr w14:paraId="3FA91B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tcMar>
              <w:top w:w="0" w:type="dxa"/>
              <w:left w:w="108" w:type="dxa"/>
              <w:right w:w="108" w:type="dxa"/>
            </w:tcMar>
            <w:vAlign w:val="center"/>
          </w:tcPr>
          <w:p w14:paraId="0AC826C4">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1181" w:type="dxa"/>
            <w:tcMar>
              <w:top w:w="0" w:type="dxa"/>
              <w:left w:w="108" w:type="dxa"/>
              <w:right w:w="108" w:type="dxa"/>
            </w:tcMar>
            <w:vAlign w:val="center"/>
          </w:tcPr>
          <w:p w14:paraId="0E34154D">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536" w:type="dxa"/>
            <w:tcMar>
              <w:top w:w="0" w:type="dxa"/>
              <w:left w:w="108" w:type="dxa"/>
              <w:right w:w="108" w:type="dxa"/>
            </w:tcMar>
            <w:vAlign w:val="center"/>
          </w:tcPr>
          <w:p w14:paraId="3FF2EFB5">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A060602金属质架类</w:t>
            </w:r>
          </w:p>
        </w:tc>
        <w:tc>
          <w:tcPr>
            <w:tcW w:w="1427" w:type="dxa"/>
            <w:tcMar>
              <w:top w:w="0" w:type="dxa"/>
              <w:left w:w="108" w:type="dxa"/>
              <w:right w:w="108" w:type="dxa"/>
            </w:tcMar>
            <w:vAlign w:val="center"/>
          </w:tcPr>
          <w:p w14:paraId="31D45FCB">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853" w:type="dxa"/>
            <w:tcMar>
              <w:top w:w="0" w:type="dxa"/>
              <w:left w:w="108" w:type="dxa"/>
              <w:right w:w="108" w:type="dxa"/>
            </w:tcMar>
            <w:vAlign w:val="center"/>
          </w:tcPr>
          <w:p w14:paraId="0F01E4B4">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HJ2547家具/HJ2540木塑制品</w:t>
            </w:r>
          </w:p>
        </w:tc>
      </w:tr>
      <w:tr w14:paraId="0DD916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tcMar>
              <w:top w:w="0" w:type="dxa"/>
              <w:left w:w="108" w:type="dxa"/>
              <w:right w:w="108" w:type="dxa"/>
            </w:tcMar>
            <w:vAlign w:val="center"/>
          </w:tcPr>
          <w:p w14:paraId="06050564">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22</w:t>
            </w:r>
          </w:p>
        </w:tc>
        <w:tc>
          <w:tcPr>
            <w:tcW w:w="1181" w:type="dxa"/>
            <w:tcMar>
              <w:top w:w="0" w:type="dxa"/>
              <w:left w:w="108" w:type="dxa"/>
              <w:right w:w="108" w:type="dxa"/>
            </w:tcMar>
            <w:vAlign w:val="center"/>
          </w:tcPr>
          <w:p w14:paraId="4722E006">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A0607屏风类</w:t>
            </w:r>
          </w:p>
        </w:tc>
        <w:tc>
          <w:tcPr>
            <w:tcW w:w="2536" w:type="dxa"/>
            <w:tcMar>
              <w:top w:w="0" w:type="dxa"/>
              <w:left w:w="108" w:type="dxa"/>
              <w:right w:w="108" w:type="dxa"/>
            </w:tcMar>
            <w:vAlign w:val="center"/>
          </w:tcPr>
          <w:p w14:paraId="260B4F7D">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A060701木质屏风类</w:t>
            </w:r>
          </w:p>
        </w:tc>
        <w:tc>
          <w:tcPr>
            <w:tcW w:w="1427" w:type="dxa"/>
            <w:tcMar>
              <w:top w:w="0" w:type="dxa"/>
              <w:left w:w="108" w:type="dxa"/>
              <w:right w:w="108" w:type="dxa"/>
            </w:tcMar>
            <w:vAlign w:val="center"/>
          </w:tcPr>
          <w:p w14:paraId="55044C23">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853" w:type="dxa"/>
            <w:tcMar>
              <w:top w:w="0" w:type="dxa"/>
              <w:left w:w="108" w:type="dxa"/>
              <w:right w:w="108" w:type="dxa"/>
            </w:tcMar>
            <w:vAlign w:val="center"/>
          </w:tcPr>
          <w:p w14:paraId="347EED05">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HJ2547家具/HJ2540木塑制品</w:t>
            </w:r>
          </w:p>
        </w:tc>
      </w:tr>
      <w:tr w14:paraId="3C6B7A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tcMar>
              <w:top w:w="0" w:type="dxa"/>
              <w:left w:w="108" w:type="dxa"/>
              <w:right w:w="108" w:type="dxa"/>
            </w:tcMar>
            <w:vAlign w:val="center"/>
          </w:tcPr>
          <w:p w14:paraId="77B4A107">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1181" w:type="dxa"/>
            <w:tcMar>
              <w:top w:w="0" w:type="dxa"/>
              <w:left w:w="108" w:type="dxa"/>
              <w:right w:w="108" w:type="dxa"/>
            </w:tcMar>
            <w:vAlign w:val="center"/>
          </w:tcPr>
          <w:p w14:paraId="6F512FF7">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536" w:type="dxa"/>
            <w:tcMar>
              <w:top w:w="0" w:type="dxa"/>
              <w:left w:w="108" w:type="dxa"/>
              <w:right w:w="108" w:type="dxa"/>
            </w:tcMar>
            <w:vAlign w:val="center"/>
          </w:tcPr>
          <w:p w14:paraId="488D6351">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A060702金属质屏风类</w:t>
            </w:r>
          </w:p>
        </w:tc>
        <w:tc>
          <w:tcPr>
            <w:tcW w:w="1427" w:type="dxa"/>
            <w:tcMar>
              <w:top w:w="0" w:type="dxa"/>
              <w:left w:w="108" w:type="dxa"/>
              <w:right w:w="108" w:type="dxa"/>
            </w:tcMar>
            <w:vAlign w:val="center"/>
          </w:tcPr>
          <w:p w14:paraId="640C84F7">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853" w:type="dxa"/>
            <w:tcMar>
              <w:top w:w="0" w:type="dxa"/>
              <w:left w:w="108" w:type="dxa"/>
              <w:right w:w="108" w:type="dxa"/>
            </w:tcMar>
            <w:vAlign w:val="center"/>
          </w:tcPr>
          <w:p w14:paraId="6A8EC16B">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HJ2547家具/HJ2540木塑制品</w:t>
            </w:r>
          </w:p>
        </w:tc>
      </w:tr>
      <w:tr w14:paraId="6E086B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tcMar>
              <w:top w:w="0" w:type="dxa"/>
              <w:left w:w="108" w:type="dxa"/>
              <w:right w:w="108" w:type="dxa"/>
            </w:tcMar>
            <w:vAlign w:val="center"/>
          </w:tcPr>
          <w:p w14:paraId="45D33A81">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23</w:t>
            </w:r>
          </w:p>
        </w:tc>
        <w:tc>
          <w:tcPr>
            <w:tcW w:w="1181" w:type="dxa"/>
            <w:tcMar>
              <w:top w:w="0" w:type="dxa"/>
              <w:left w:w="108" w:type="dxa"/>
              <w:right w:w="108" w:type="dxa"/>
            </w:tcMar>
            <w:vAlign w:val="center"/>
          </w:tcPr>
          <w:p w14:paraId="6218DBFE">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A060804水池</w:t>
            </w:r>
          </w:p>
        </w:tc>
        <w:tc>
          <w:tcPr>
            <w:tcW w:w="2536" w:type="dxa"/>
            <w:tcMar>
              <w:top w:w="0" w:type="dxa"/>
              <w:left w:w="108" w:type="dxa"/>
              <w:right w:w="108" w:type="dxa"/>
            </w:tcMar>
            <w:vAlign w:val="center"/>
          </w:tcPr>
          <w:p w14:paraId="44705301">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1427" w:type="dxa"/>
            <w:tcMar>
              <w:top w:w="0" w:type="dxa"/>
              <w:left w:w="108" w:type="dxa"/>
              <w:right w:w="108" w:type="dxa"/>
            </w:tcMar>
            <w:vAlign w:val="center"/>
          </w:tcPr>
          <w:p w14:paraId="30930F97">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853" w:type="dxa"/>
            <w:tcMar>
              <w:top w:w="0" w:type="dxa"/>
              <w:left w:w="108" w:type="dxa"/>
              <w:right w:w="108" w:type="dxa"/>
            </w:tcMar>
            <w:vAlign w:val="center"/>
          </w:tcPr>
          <w:p w14:paraId="5BECA14E">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HJ/T296卫生陶瓷</w:t>
            </w:r>
          </w:p>
        </w:tc>
      </w:tr>
      <w:tr w14:paraId="753279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tcMar>
              <w:top w:w="0" w:type="dxa"/>
              <w:left w:w="108" w:type="dxa"/>
              <w:right w:w="108" w:type="dxa"/>
            </w:tcMar>
            <w:vAlign w:val="center"/>
          </w:tcPr>
          <w:p w14:paraId="4033490E">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24</w:t>
            </w:r>
          </w:p>
        </w:tc>
        <w:tc>
          <w:tcPr>
            <w:tcW w:w="1181" w:type="dxa"/>
            <w:tcMar>
              <w:top w:w="0" w:type="dxa"/>
              <w:left w:w="108" w:type="dxa"/>
              <w:right w:w="108" w:type="dxa"/>
            </w:tcMar>
            <w:vAlign w:val="center"/>
          </w:tcPr>
          <w:p w14:paraId="2893EF58">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A060805便器</w:t>
            </w:r>
          </w:p>
        </w:tc>
        <w:tc>
          <w:tcPr>
            <w:tcW w:w="2536" w:type="dxa"/>
            <w:tcMar>
              <w:top w:w="0" w:type="dxa"/>
              <w:left w:w="108" w:type="dxa"/>
              <w:right w:w="108" w:type="dxa"/>
            </w:tcMar>
            <w:vAlign w:val="center"/>
          </w:tcPr>
          <w:p w14:paraId="6ADD4177">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1427" w:type="dxa"/>
            <w:tcMar>
              <w:top w:w="0" w:type="dxa"/>
              <w:left w:w="108" w:type="dxa"/>
              <w:right w:w="108" w:type="dxa"/>
            </w:tcMar>
            <w:vAlign w:val="center"/>
          </w:tcPr>
          <w:p w14:paraId="28BA809E">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853" w:type="dxa"/>
            <w:tcMar>
              <w:top w:w="0" w:type="dxa"/>
              <w:left w:w="108" w:type="dxa"/>
              <w:right w:w="108" w:type="dxa"/>
            </w:tcMar>
            <w:vAlign w:val="center"/>
          </w:tcPr>
          <w:p w14:paraId="07B2DCC3">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HJ/T296卫生陶瓷</w:t>
            </w:r>
          </w:p>
        </w:tc>
      </w:tr>
      <w:tr w14:paraId="20D12B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tcMar>
              <w:top w:w="0" w:type="dxa"/>
              <w:left w:w="108" w:type="dxa"/>
              <w:right w:w="108" w:type="dxa"/>
            </w:tcMar>
            <w:vAlign w:val="center"/>
          </w:tcPr>
          <w:p w14:paraId="71C532C5">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25</w:t>
            </w:r>
          </w:p>
        </w:tc>
        <w:tc>
          <w:tcPr>
            <w:tcW w:w="1181" w:type="dxa"/>
            <w:tcMar>
              <w:top w:w="0" w:type="dxa"/>
              <w:left w:w="108" w:type="dxa"/>
              <w:right w:w="108" w:type="dxa"/>
            </w:tcMar>
            <w:vAlign w:val="center"/>
          </w:tcPr>
          <w:p w14:paraId="3FC69491">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A060806水嘴</w:t>
            </w:r>
          </w:p>
        </w:tc>
        <w:tc>
          <w:tcPr>
            <w:tcW w:w="2536" w:type="dxa"/>
            <w:tcMar>
              <w:top w:w="0" w:type="dxa"/>
              <w:left w:w="108" w:type="dxa"/>
              <w:right w:w="108" w:type="dxa"/>
            </w:tcMar>
            <w:vAlign w:val="center"/>
          </w:tcPr>
          <w:p w14:paraId="34282730">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1427" w:type="dxa"/>
            <w:tcMar>
              <w:top w:w="0" w:type="dxa"/>
              <w:left w:w="108" w:type="dxa"/>
              <w:right w:w="108" w:type="dxa"/>
            </w:tcMar>
            <w:vAlign w:val="center"/>
          </w:tcPr>
          <w:p w14:paraId="36F58EBF">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853" w:type="dxa"/>
            <w:tcMar>
              <w:top w:w="0" w:type="dxa"/>
              <w:left w:w="108" w:type="dxa"/>
              <w:right w:w="108" w:type="dxa"/>
            </w:tcMar>
            <w:vAlign w:val="center"/>
          </w:tcPr>
          <w:p w14:paraId="554E9BE1">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HJ/T411水嘴</w:t>
            </w:r>
          </w:p>
        </w:tc>
      </w:tr>
      <w:tr w14:paraId="2C9E63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tcMar>
              <w:top w:w="0" w:type="dxa"/>
              <w:left w:w="108" w:type="dxa"/>
              <w:right w:w="108" w:type="dxa"/>
            </w:tcMar>
            <w:vAlign w:val="center"/>
          </w:tcPr>
          <w:p w14:paraId="61AB68D1">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26</w:t>
            </w:r>
          </w:p>
        </w:tc>
        <w:tc>
          <w:tcPr>
            <w:tcW w:w="1181" w:type="dxa"/>
            <w:tcMar>
              <w:top w:w="0" w:type="dxa"/>
              <w:left w:w="108" w:type="dxa"/>
              <w:right w:w="108" w:type="dxa"/>
            </w:tcMar>
            <w:vAlign w:val="center"/>
          </w:tcPr>
          <w:p w14:paraId="04E12734">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A0609组合家具</w:t>
            </w:r>
          </w:p>
        </w:tc>
        <w:tc>
          <w:tcPr>
            <w:tcW w:w="2536" w:type="dxa"/>
            <w:tcMar>
              <w:top w:w="0" w:type="dxa"/>
              <w:left w:w="108" w:type="dxa"/>
              <w:right w:w="108" w:type="dxa"/>
            </w:tcMar>
            <w:vAlign w:val="center"/>
          </w:tcPr>
          <w:p w14:paraId="6C1F5318">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1427" w:type="dxa"/>
            <w:tcMar>
              <w:top w:w="0" w:type="dxa"/>
              <w:left w:w="108" w:type="dxa"/>
              <w:right w:w="108" w:type="dxa"/>
            </w:tcMar>
            <w:vAlign w:val="center"/>
          </w:tcPr>
          <w:p w14:paraId="1906D1F7">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853" w:type="dxa"/>
            <w:tcMar>
              <w:top w:w="0" w:type="dxa"/>
              <w:left w:w="108" w:type="dxa"/>
              <w:right w:w="108" w:type="dxa"/>
            </w:tcMar>
            <w:vAlign w:val="center"/>
          </w:tcPr>
          <w:p w14:paraId="4340F3A9">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HJ2547家具/HJ2540木塑制品</w:t>
            </w:r>
          </w:p>
        </w:tc>
      </w:tr>
      <w:tr w14:paraId="5969ED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tcMar>
              <w:top w:w="0" w:type="dxa"/>
              <w:left w:w="108" w:type="dxa"/>
              <w:right w:w="108" w:type="dxa"/>
            </w:tcMar>
            <w:vAlign w:val="center"/>
          </w:tcPr>
          <w:p w14:paraId="42E56EC0">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27</w:t>
            </w:r>
          </w:p>
        </w:tc>
        <w:tc>
          <w:tcPr>
            <w:tcW w:w="1181" w:type="dxa"/>
            <w:tcMar>
              <w:top w:w="0" w:type="dxa"/>
              <w:left w:w="108" w:type="dxa"/>
              <w:right w:w="108" w:type="dxa"/>
            </w:tcMar>
            <w:vAlign w:val="center"/>
          </w:tcPr>
          <w:p w14:paraId="50BD60DB">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A0610家用家具零配件</w:t>
            </w:r>
          </w:p>
        </w:tc>
        <w:tc>
          <w:tcPr>
            <w:tcW w:w="2536" w:type="dxa"/>
            <w:tcMar>
              <w:top w:w="0" w:type="dxa"/>
              <w:left w:w="108" w:type="dxa"/>
              <w:right w:w="108" w:type="dxa"/>
            </w:tcMar>
            <w:vAlign w:val="center"/>
          </w:tcPr>
          <w:p w14:paraId="61BCF822">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1427" w:type="dxa"/>
            <w:tcMar>
              <w:top w:w="0" w:type="dxa"/>
              <w:left w:w="108" w:type="dxa"/>
              <w:right w:w="108" w:type="dxa"/>
            </w:tcMar>
            <w:vAlign w:val="center"/>
          </w:tcPr>
          <w:p w14:paraId="1BBBE6E6">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853" w:type="dxa"/>
            <w:tcMar>
              <w:top w:w="0" w:type="dxa"/>
              <w:left w:w="108" w:type="dxa"/>
              <w:right w:w="108" w:type="dxa"/>
            </w:tcMar>
            <w:vAlign w:val="center"/>
          </w:tcPr>
          <w:p w14:paraId="61A3873A">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HJ2547家具/HJ2540木塑制品</w:t>
            </w:r>
          </w:p>
        </w:tc>
      </w:tr>
      <w:tr w14:paraId="33B2C3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tcMar>
              <w:top w:w="0" w:type="dxa"/>
              <w:left w:w="108" w:type="dxa"/>
              <w:right w:w="108" w:type="dxa"/>
            </w:tcMar>
            <w:vAlign w:val="center"/>
          </w:tcPr>
          <w:p w14:paraId="7C7325E9">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28</w:t>
            </w:r>
          </w:p>
        </w:tc>
        <w:tc>
          <w:tcPr>
            <w:tcW w:w="1181" w:type="dxa"/>
            <w:tcMar>
              <w:top w:w="0" w:type="dxa"/>
              <w:left w:w="108" w:type="dxa"/>
              <w:right w:w="108" w:type="dxa"/>
            </w:tcMar>
            <w:vAlign w:val="center"/>
          </w:tcPr>
          <w:p w14:paraId="4C10AA5A">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A0699其他家具用具</w:t>
            </w:r>
          </w:p>
        </w:tc>
        <w:tc>
          <w:tcPr>
            <w:tcW w:w="2536" w:type="dxa"/>
            <w:tcMar>
              <w:top w:w="0" w:type="dxa"/>
              <w:left w:w="108" w:type="dxa"/>
              <w:right w:w="108" w:type="dxa"/>
            </w:tcMar>
            <w:vAlign w:val="center"/>
          </w:tcPr>
          <w:p w14:paraId="4385E104">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1427" w:type="dxa"/>
            <w:tcMar>
              <w:top w:w="0" w:type="dxa"/>
              <w:left w:w="108" w:type="dxa"/>
              <w:right w:w="108" w:type="dxa"/>
            </w:tcMar>
            <w:vAlign w:val="center"/>
          </w:tcPr>
          <w:p w14:paraId="27B7FE9F">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853" w:type="dxa"/>
            <w:tcMar>
              <w:top w:w="0" w:type="dxa"/>
              <w:left w:w="108" w:type="dxa"/>
              <w:right w:w="108" w:type="dxa"/>
            </w:tcMar>
            <w:vAlign w:val="center"/>
          </w:tcPr>
          <w:p w14:paraId="5F2A87C0">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HJ2547家具/HJ2540木塑制品</w:t>
            </w:r>
          </w:p>
        </w:tc>
      </w:tr>
      <w:tr w14:paraId="669A61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tcMar>
              <w:top w:w="0" w:type="dxa"/>
              <w:left w:w="108" w:type="dxa"/>
              <w:right w:w="108" w:type="dxa"/>
            </w:tcMar>
            <w:vAlign w:val="center"/>
          </w:tcPr>
          <w:p w14:paraId="26CE9CC8">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29</w:t>
            </w:r>
          </w:p>
        </w:tc>
        <w:tc>
          <w:tcPr>
            <w:tcW w:w="1181" w:type="dxa"/>
            <w:tcMar>
              <w:top w:w="0" w:type="dxa"/>
              <w:left w:w="108" w:type="dxa"/>
              <w:right w:w="108" w:type="dxa"/>
            </w:tcMar>
            <w:vAlign w:val="center"/>
          </w:tcPr>
          <w:p w14:paraId="6CDB9C0E">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A070101棉、化纤纺织及印染原料</w:t>
            </w:r>
          </w:p>
        </w:tc>
        <w:tc>
          <w:tcPr>
            <w:tcW w:w="2536" w:type="dxa"/>
            <w:tcMar>
              <w:top w:w="0" w:type="dxa"/>
              <w:left w:w="108" w:type="dxa"/>
              <w:right w:w="108" w:type="dxa"/>
            </w:tcMar>
            <w:vAlign w:val="center"/>
          </w:tcPr>
          <w:p w14:paraId="7B93AB46">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1427" w:type="dxa"/>
            <w:tcMar>
              <w:top w:w="0" w:type="dxa"/>
              <w:left w:w="108" w:type="dxa"/>
              <w:right w:w="108" w:type="dxa"/>
            </w:tcMar>
            <w:vAlign w:val="center"/>
          </w:tcPr>
          <w:p w14:paraId="1A2A5692">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853" w:type="dxa"/>
            <w:tcMar>
              <w:top w:w="0" w:type="dxa"/>
              <w:left w:w="108" w:type="dxa"/>
              <w:right w:w="108" w:type="dxa"/>
            </w:tcMar>
            <w:vAlign w:val="center"/>
          </w:tcPr>
          <w:p w14:paraId="27847624">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HJ2546纺织产品</w:t>
            </w:r>
          </w:p>
        </w:tc>
      </w:tr>
      <w:tr w14:paraId="50895B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tcMar>
              <w:top w:w="0" w:type="dxa"/>
              <w:left w:w="108" w:type="dxa"/>
              <w:right w:w="108" w:type="dxa"/>
            </w:tcMar>
            <w:vAlign w:val="center"/>
          </w:tcPr>
          <w:p w14:paraId="5B72D81A">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30</w:t>
            </w:r>
          </w:p>
        </w:tc>
        <w:tc>
          <w:tcPr>
            <w:tcW w:w="1181" w:type="dxa"/>
            <w:tcMar>
              <w:top w:w="0" w:type="dxa"/>
              <w:left w:w="108" w:type="dxa"/>
              <w:right w:w="108" w:type="dxa"/>
            </w:tcMar>
            <w:vAlign w:val="center"/>
          </w:tcPr>
          <w:p w14:paraId="4464540A">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A090101复印纸(包括再生复印纸)</w:t>
            </w:r>
          </w:p>
        </w:tc>
        <w:tc>
          <w:tcPr>
            <w:tcW w:w="2536" w:type="dxa"/>
            <w:tcMar>
              <w:top w:w="0" w:type="dxa"/>
              <w:left w:w="108" w:type="dxa"/>
              <w:right w:w="108" w:type="dxa"/>
            </w:tcMar>
            <w:vAlign w:val="center"/>
          </w:tcPr>
          <w:p w14:paraId="6634DBA6">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1427" w:type="dxa"/>
            <w:tcMar>
              <w:top w:w="0" w:type="dxa"/>
              <w:left w:w="108" w:type="dxa"/>
              <w:right w:w="108" w:type="dxa"/>
            </w:tcMar>
            <w:vAlign w:val="center"/>
          </w:tcPr>
          <w:p w14:paraId="131F0E45">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853" w:type="dxa"/>
            <w:tcMar>
              <w:top w:w="0" w:type="dxa"/>
              <w:left w:w="108" w:type="dxa"/>
              <w:right w:w="108" w:type="dxa"/>
            </w:tcMar>
            <w:vAlign w:val="center"/>
          </w:tcPr>
          <w:p w14:paraId="371C7BB0">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HJ410文化用纸</w:t>
            </w:r>
          </w:p>
        </w:tc>
      </w:tr>
      <w:tr w14:paraId="62BC63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tcMar>
              <w:top w:w="0" w:type="dxa"/>
              <w:left w:w="108" w:type="dxa"/>
              <w:right w:w="108" w:type="dxa"/>
            </w:tcMar>
            <w:vAlign w:val="center"/>
          </w:tcPr>
          <w:p w14:paraId="418E7E9E">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31</w:t>
            </w:r>
          </w:p>
        </w:tc>
        <w:tc>
          <w:tcPr>
            <w:tcW w:w="1181" w:type="dxa"/>
            <w:tcMar>
              <w:top w:w="0" w:type="dxa"/>
              <w:left w:w="108" w:type="dxa"/>
              <w:right w:w="108" w:type="dxa"/>
            </w:tcMar>
            <w:vAlign w:val="center"/>
          </w:tcPr>
          <w:p w14:paraId="70A5FC60">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A090201鼓粉盒(包括再生鼓粉盒)</w:t>
            </w:r>
          </w:p>
        </w:tc>
        <w:tc>
          <w:tcPr>
            <w:tcW w:w="2536" w:type="dxa"/>
            <w:tcMar>
              <w:top w:w="0" w:type="dxa"/>
              <w:left w:w="108" w:type="dxa"/>
              <w:right w:w="108" w:type="dxa"/>
            </w:tcMar>
            <w:vAlign w:val="center"/>
          </w:tcPr>
          <w:p w14:paraId="398884C8">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1427" w:type="dxa"/>
            <w:tcMar>
              <w:top w:w="0" w:type="dxa"/>
              <w:left w:w="108" w:type="dxa"/>
              <w:right w:w="108" w:type="dxa"/>
            </w:tcMar>
            <w:vAlign w:val="center"/>
          </w:tcPr>
          <w:p w14:paraId="291C2808">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853" w:type="dxa"/>
            <w:tcMar>
              <w:top w:w="0" w:type="dxa"/>
              <w:left w:w="108" w:type="dxa"/>
              <w:right w:w="108" w:type="dxa"/>
            </w:tcMar>
            <w:vAlign w:val="center"/>
          </w:tcPr>
          <w:p w14:paraId="7B11B2ED">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HJ/T413再生鼓粉盒</w:t>
            </w:r>
          </w:p>
        </w:tc>
      </w:tr>
      <w:tr w14:paraId="6A514A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tcMar>
              <w:top w:w="0" w:type="dxa"/>
              <w:left w:w="108" w:type="dxa"/>
              <w:right w:w="108" w:type="dxa"/>
            </w:tcMar>
            <w:vAlign w:val="center"/>
          </w:tcPr>
          <w:p w14:paraId="1EF0171F">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32</w:t>
            </w:r>
          </w:p>
        </w:tc>
        <w:tc>
          <w:tcPr>
            <w:tcW w:w="1181" w:type="dxa"/>
            <w:tcMar>
              <w:top w:w="0" w:type="dxa"/>
              <w:left w:w="108" w:type="dxa"/>
              <w:right w:w="108" w:type="dxa"/>
            </w:tcMar>
            <w:vAlign w:val="center"/>
          </w:tcPr>
          <w:p w14:paraId="096B0970">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A100203人造板</w:t>
            </w:r>
          </w:p>
        </w:tc>
        <w:tc>
          <w:tcPr>
            <w:tcW w:w="2536" w:type="dxa"/>
            <w:tcMar>
              <w:top w:w="0" w:type="dxa"/>
              <w:left w:w="108" w:type="dxa"/>
              <w:right w:w="108" w:type="dxa"/>
            </w:tcMar>
            <w:vAlign w:val="center"/>
          </w:tcPr>
          <w:p w14:paraId="2AD2B15D">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A10020301胶合板</w:t>
            </w:r>
          </w:p>
        </w:tc>
        <w:tc>
          <w:tcPr>
            <w:tcW w:w="1427" w:type="dxa"/>
            <w:tcMar>
              <w:top w:w="0" w:type="dxa"/>
              <w:left w:w="108" w:type="dxa"/>
              <w:right w:w="108" w:type="dxa"/>
            </w:tcMar>
            <w:vAlign w:val="center"/>
          </w:tcPr>
          <w:p w14:paraId="4B281E51">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853" w:type="dxa"/>
            <w:tcMar>
              <w:top w:w="0" w:type="dxa"/>
              <w:left w:w="108" w:type="dxa"/>
              <w:right w:w="108" w:type="dxa"/>
            </w:tcMar>
            <w:vAlign w:val="center"/>
          </w:tcPr>
          <w:p w14:paraId="2C6EFA5D">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HJ571人造板及其制品</w:t>
            </w:r>
          </w:p>
        </w:tc>
      </w:tr>
      <w:tr w14:paraId="3919F7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tcMar>
              <w:top w:w="0" w:type="dxa"/>
              <w:left w:w="108" w:type="dxa"/>
              <w:right w:w="108" w:type="dxa"/>
            </w:tcMar>
            <w:vAlign w:val="center"/>
          </w:tcPr>
          <w:p w14:paraId="0E88F734">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1181" w:type="dxa"/>
            <w:tcMar>
              <w:top w:w="0" w:type="dxa"/>
              <w:left w:w="108" w:type="dxa"/>
              <w:right w:w="108" w:type="dxa"/>
            </w:tcMar>
            <w:vAlign w:val="center"/>
          </w:tcPr>
          <w:p w14:paraId="586D7E8F">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536" w:type="dxa"/>
            <w:tcMar>
              <w:top w:w="0" w:type="dxa"/>
              <w:left w:w="108" w:type="dxa"/>
              <w:right w:w="108" w:type="dxa"/>
            </w:tcMar>
            <w:vAlign w:val="center"/>
          </w:tcPr>
          <w:p w14:paraId="2829BA78">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A10020302纤维板</w:t>
            </w:r>
          </w:p>
        </w:tc>
        <w:tc>
          <w:tcPr>
            <w:tcW w:w="1427" w:type="dxa"/>
            <w:tcMar>
              <w:top w:w="0" w:type="dxa"/>
              <w:left w:w="108" w:type="dxa"/>
              <w:right w:w="108" w:type="dxa"/>
            </w:tcMar>
            <w:vAlign w:val="center"/>
          </w:tcPr>
          <w:p w14:paraId="2E936D85">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853" w:type="dxa"/>
            <w:tcMar>
              <w:top w:w="0" w:type="dxa"/>
              <w:left w:w="108" w:type="dxa"/>
              <w:right w:w="108" w:type="dxa"/>
            </w:tcMar>
            <w:vAlign w:val="center"/>
          </w:tcPr>
          <w:p w14:paraId="50DBD5B2">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HJ571人造板及其制品</w:t>
            </w:r>
          </w:p>
        </w:tc>
      </w:tr>
      <w:tr w14:paraId="05BB43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tcMar>
              <w:top w:w="0" w:type="dxa"/>
              <w:left w:w="108" w:type="dxa"/>
              <w:right w:w="108" w:type="dxa"/>
            </w:tcMar>
            <w:vAlign w:val="center"/>
          </w:tcPr>
          <w:p w14:paraId="025EE969">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1181" w:type="dxa"/>
            <w:tcMar>
              <w:top w:w="0" w:type="dxa"/>
              <w:left w:w="108" w:type="dxa"/>
              <w:right w:w="108" w:type="dxa"/>
            </w:tcMar>
            <w:vAlign w:val="center"/>
          </w:tcPr>
          <w:p w14:paraId="13E199CB">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536" w:type="dxa"/>
            <w:tcMar>
              <w:top w:w="0" w:type="dxa"/>
              <w:left w:w="108" w:type="dxa"/>
              <w:right w:w="108" w:type="dxa"/>
            </w:tcMar>
            <w:vAlign w:val="center"/>
          </w:tcPr>
          <w:p w14:paraId="3304813C">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A10020303刨花板</w:t>
            </w:r>
          </w:p>
        </w:tc>
        <w:tc>
          <w:tcPr>
            <w:tcW w:w="1427" w:type="dxa"/>
            <w:tcMar>
              <w:top w:w="0" w:type="dxa"/>
              <w:left w:w="108" w:type="dxa"/>
              <w:right w:w="108" w:type="dxa"/>
            </w:tcMar>
            <w:vAlign w:val="center"/>
          </w:tcPr>
          <w:p w14:paraId="47DE80A4">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853" w:type="dxa"/>
            <w:tcMar>
              <w:top w:w="0" w:type="dxa"/>
              <w:left w:w="108" w:type="dxa"/>
              <w:right w:w="108" w:type="dxa"/>
            </w:tcMar>
            <w:vAlign w:val="center"/>
          </w:tcPr>
          <w:p w14:paraId="26E01DA1">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HJ571人造板及其制品</w:t>
            </w:r>
          </w:p>
        </w:tc>
      </w:tr>
      <w:tr w14:paraId="5009B6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tcMar>
              <w:top w:w="0" w:type="dxa"/>
              <w:left w:w="108" w:type="dxa"/>
              <w:right w:w="108" w:type="dxa"/>
            </w:tcMar>
            <w:vAlign w:val="center"/>
          </w:tcPr>
          <w:p w14:paraId="7E46E578">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1181" w:type="dxa"/>
            <w:tcMar>
              <w:top w:w="0" w:type="dxa"/>
              <w:left w:w="108" w:type="dxa"/>
              <w:right w:w="108" w:type="dxa"/>
            </w:tcMar>
            <w:vAlign w:val="center"/>
          </w:tcPr>
          <w:p w14:paraId="2C87AEC7">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536" w:type="dxa"/>
            <w:tcMar>
              <w:top w:w="0" w:type="dxa"/>
              <w:left w:w="108" w:type="dxa"/>
              <w:right w:w="108" w:type="dxa"/>
            </w:tcMar>
            <w:vAlign w:val="center"/>
          </w:tcPr>
          <w:p w14:paraId="4BBF7295">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A10020304细木工板</w:t>
            </w:r>
          </w:p>
        </w:tc>
        <w:tc>
          <w:tcPr>
            <w:tcW w:w="1427" w:type="dxa"/>
            <w:tcMar>
              <w:top w:w="0" w:type="dxa"/>
              <w:left w:w="108" w:type="dxa"/>
              <w:right w:w="108" w:type="dxa"/>
            </w:tcMar>
            <w:vAlign w:val="center"/>
          </w:tcPr>
          <w:p w14:paraId="27E349BC">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853" w:type="dxa"/>
            <w:tcMar>
              <w:top w:w="0" w:type="dxa"/>
              <w:left w:w="108" w:type="dxa"/>
              <w:right w:w="108" w:type="dxa"/>
            </w:tcMar>
            <w:vAlign w:val="center"/>
          </w:tcPr>
          <w:p w14:paraId="65011001">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HJ571人造板及其制品</w:t>
            </w:r>
          </w:p>
        </w:tc>
      </w:tr>
      <w:tr w14:paraId="1A027D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tcMar>
              <w:top w:w="0" w:type="dxa"/>
              <w:left w:w="108" w:type="dxa"/>
              <w:right w:w="108" w:type="dxa"/>
            </w:tcMar>
            <w:vAlign w:val="center"/>
          </w:tcPr>
          <w:p w14:paraId="1E56E355">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1181" w:type="dxa"/>
            <w:tcMar>
              <w:top w:w="0" w:type="dxa"/>
              <w:left w:w="108" w:type="dxa"/>
              <w:right w:w="108" w:type="dxa"/>
            </w:tcMar>
            <w:vAlign w:val="center"/>
          </w:tcPr>
          <w:p w14:paraId="1EA53F72">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536" w:type="dxa"/>
            <w:tcMar>
              <w:top w:w="0" w:type="dxa"/>
              <w:left w:w="108" w:type="dxa"/>
              <w:right w:w="108" w:type="dxa"/>
            </w:tcMar>
            <w:vAlign w:val="center"/>
          </w:tcPr>
          <w:p w14:paraId="53AB0487">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A10020399其他人造板</w:t>
            </w:r>
          </w:p>
        </w:tc>
        <w:tc>
          <w:tcPr>
            <w:tcW w:w="1427" w:type="dxa"/>
            <w:tcMar>
              <w:top w:w="0" w:type="dxa"/>
              <w:left w:w="108" w:type="dxa"/>
              <w:right w:w="108" w:type="dxa"/>
            </w:tcMar>
            <w:vAlign w:val="center"/>
          </w:tcPr>
          <w:p w14:paraId="0BF77CD9">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853" w:type="dxa"/>
            <w:tcMar>
              <w:top w:w="0" w:type="dxa"/>
              <w:left w:w="108" w:type="dxa"/>
              <w:right w:w="108" w:type="dxa"/>
            </w:tcMar>
            <w:vAlign w:val="center"/>
          </w:tcPr>
          <w:p w14:paraId="35DD4170">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HJ571人造板及其制品</w:t>
            </w:r>
          </w:p>
        </w:tc>
      </w:tr>
      <w:tr w14:paraId="63B155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tcMar>
              <w:top w:w="0" w:type="dxa"/>
              <w:left w:w="108" w:type="dxa"/>
              <w:right w:w="108" w:type="dxa"/>
            </w:tcMar>
            <w:vAlign w:val="center"/>
          </w:tcPr>
          <w:p w14:paraId="4A3B70FF">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33</w:t>
            </w:r>
          </w:p>
        </w:tc>
        <w:tc>
          <w:tcPr>
            <w:tcW w:w="1181" w:type="dxa"/>
            <w:tcMar>
              <w:top w:w="0" w:type="dxa"/>
              <w:left w:w="108" w:type="dxa"/>
              <w:right w:w="108" w:type="dxa"/>
            </w:tcMar>
            <w:vAlign w:val="center"/>
          </w:tcPr>
          <w:p w14:paraId="21DAB879">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A100204二次加工材,相关板材</w:t>
            </w:r>
          </w:p>
        </w:tc>
        <w:tc>
          <w:tcPr>
            <w:tcW w:w="2536" w:type="dxa"/>
            <w:tcMar>
              <w:top w:w="0" w:type="dxa"/>
              <w:left w:w="108" w:type="dxa"/>
              <w:right w:w="108" w:type="dxa"/>
            </w:tcMar>
            <w:vAlign w:val="center"/>
          </w:tcPr>
          <w:p w14:paraId="0DF56E8A">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A10020404人造板表面装饰板</w:t>
            </w:r>
          </w:p>
        </w:tc>
        <w:tc>
          <w:tcPr>
            <w:tcW w:w="1427" w:type="dxa"/>
            <w:tcMar>
              <w:top w:w="0" w:type="dxa"/>
              <w:left w:w="108" w:type="dxa"/>
              <w:right w:w="108" w:type="dxa"/>
            </w:tcMar>
            <w:vAlign w:val="center"/>
          </w:tcPr>
          <w:p w14:paraId="5661BE7A">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853" w:type="dxa"/>
            <w:tcMar>
              <w:top w:w="0" w:type="dxa"/>
              <w:left w:w="108" w:type="dxa"/>
              <w:right w:w="108" w:type="dxa"/>
            </w:tcMar>
            <w:vAlign w:val="center"/>
          </w:tcPr>
          <w:p w14:paraId="585014E2">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HJ571人造板及其制品/HJ2540木塑制品</w:t>
            </w:r>
          </w:p>
        </w:tc>
      </w:tr>
      <w:tr w14:paraId="05BF80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tcMar>
              <w:top w:w="0" w:type="dxa"/>
              <w:left w:w="108" w:type="dxa"/>
              <w:right w:w="108" w:type="dxa"/>
            </w:tcMar>
            <w:vAlign w:val="center"/>
          </w:tcPr>
          <w:p w14:paraId="6CAF7231">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1181" w:type="dxa"/>
            <w:tcMar>
              <w:top w:w="0" w:type="dxa"/>
              <w:left w:w="108" w:type="dxa"/>
              <w:right w:w="108" w:type="dxa"/>
            </w:tcMar>
            <w:vAlign w:val="center"/>
          </w:tcPr>
          <w:p w14:paraId="041E86EB">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536" w:type="dxa"/>
            <w:tcMar>
              <w:top w:w="0" w:type="dxa"/>
              <w:left w:w="108" w:type="dxa"/>
              <w:right w:w="108" w:type="dxa"/>
            </w:tcMar>
            <w:vAlign w:val="center"/>
          </w:tcPr>
          <w:p w14:paraId="39B1C25B">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A10020404人造板表面装饰板(地板)</w:t>
            </w:r>
          </w:p>
        </w:tc>
        <w:tc>
          <w:tcPr>
            <w:tcW w:w="1427" w:type="dxa"/>
            <w:tcMar>
              <w:top w:w="0" w:type="dxa"/>
              <w:left w:w="108" w:type="dxa"/>
              <w:right w:w="108" w:type="dxa"/>
            </w:tcMar>
            <w:vAlign w:val="center"/>
          </w:tcPr>
          <w:p w14:paraId="30E3A9D4">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853" w:type="dxa"/>
            <w:tcMar>
              <w:top w:w="0" w:type="dxa"/>
              <w:left w:w="108" w:type="dxa"/>
              <w:right w:w="108" w:type="dxa"/>
            </w:tcMar>
            <w:vAlign w:val="center"/>
          </w:tcPr>
          <w:p w14:paraId="17743124">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HJ571人造板及其制品/HJ2540木塑制品</w:t>
            </w:r>
          </w:p>
        </w:tc>
      </w:tr>
      <w:tr w14:paraId="3C6E99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tcMar>
              <w:top w:w="0" w:type="dxa"/>
              <w:left w:w="108" w:type="dxa"/>
              <w:right w:w="108" w:type="dxa"/>
            </w:tcMar>
            <w:vAlign w:val="center"/>
          </w:tcPr>
          <w:p w14:paraId="1F7F59FC">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34</w:t>
            </w:r>
          </w:p>
        </w:tc>
        <w:tc>
          <w:tcPr>
            <w:tcW w:w="1181" w:type="dxa"/>
            <w:tcMar>
              <w:top w:w="0" w:type="dxa"/>
              <w:left w:w="108" w:type="dxa"/>
              <w:right w:w="108" w:type="dxa"/>
            </w:tcMar>
            <w:vAlign w:val="center"/>
          </w:tcPr>
          <w:p w14:paraId="095244C7">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A100301水泥熟料及水泥</w:t>
            </w:r>
          </w:p>
        </w:tc>
        <w:tc>
          <w:tcPr>
            <w:tcW w:w="2536" w:type="dxa"/>
            <w:tcMar>
              <w:top w:w="0" w:type="dxa"/>
              <w:left w:w="108" w:type="dxa"/>
              <w:right w:w="108" w:type="dxa"/>
            </w:tcMar>
            <w:vAlign w:val="center"/>
          </w:tcPr>
          <w:p w14:paraId="69365BCC">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A10030102水泥</w:t>
            </w:r>
          </w:p>
        </w:tc>
        <w:tc>
          <w:tcPr>
            <w:tcW w:w="1427" w:type="dxa"/>
            <w:tcMar>
              <w:top w:w="0" w:type="dxa"/>
              <w:left w:w="108" w:type="dxa"/>
              <w:right w:w="108" w:type="dxa"/>
            </w:tcMar>
            <w:vAlign w:val="center"/>
          </w:tcPr>
          <w:p w14:paraId="04B68D80">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853" w:type="dxa"/>
            <w:tcMar>
              <w:top w:w="0" w:type="dxa"/>
              <w:left w:w="108" w:type="dxa"/>
              <w:right w:w="108" w:type="dxa"/>
            </w:tcMar>
            <w:vAlign w:val="center"/>
          </w:tcPr>
          <w:p w14:paraId="381463A1">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HJ2519水泥</w:t>
            </w:r>
          </w:p>
        </w:tc>
      </w:tr>
      <w:tr w14:paraId="1078D9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tcMar>
              <w:top w:w="0" w:type="dxa"/>
              <w:left w:w="108" w:type="dxa"/>
              <w:right w:w="108" w:type="dxa"/>
            </w:tcMar>
            <w:vAlign w:val="center"/>
          </w:tcPr>
          <w:p w14:paraId="2DD54331">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35</w:t>
            </w:r>
          </w:p>
        </w:tc>
        <w:tc>
          <w:tcPr>
            <w:tcW w:w="1181" w:type="dxa"/>
            <w:tcMar>
              <w:top w:w="0" w:type="dxa"/>
              <w:left w:w="108" w:type="dxa"/>
              <w:right w:w="108" w:type="dxa"/>
            </w:tcMar>
            <w:vAlign w:val="center"/>
          </w:tcPr>
          <w:p w14:paraId="5528076F">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A100303水泥混凝土制品</w:t>
            </w:r>
          </w:p>
        </w:tc>
        <w:tc>
          <w:tcPr>
            <w:tcW w:w="2536" w:type="dxa"/>
            <w:tcMar>
              <w:top w:w="0" w:type="dxa"/>
              <w:left w:w="108" w:type="dxa"/>
              <w:right w:w="108" w:type="dxa"/>
            </w:tcMar>
            <w:vAlign w:val="center"/>
          </w:tcPr>
          <w:p w14:paraId="0A81658E">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A10030301商品混凝土</w:t>
            </w:r>
          </w:p>
        </w:tc>
        <w:tc>
          <w:tcPr>
            <w:tcW w:w="1427" w:type="dxa"/>
            <w:tcMar>
              <w:top w:w="0" w:type="dxa"/>
              <w:left w:w="108" w:type="dxa"/>
              <w:right w:w="108" w:type="dxa"/>
            </w:tcMar>
            <w:vAlign w:val="center"/>
          </w:tcPr>
          <w:p w14:paraId="33BC5C88">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853" w:type="dxa"/>
            <w:tcMar>
              <w:top w:w="0" w:type="dxa"/>
              <w:left w:w="108" w:type="dxa"/>
              <w:right w:w="108" w:type="dxa"/>
            </w:tcMar>
            <w:vAlign w:val="center"/>
          </w:tcPr>
          <w:p w14:paraId="7940B75A">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HJ/T412预拌混凝土</w:t>
            </w:r>
          </w:p>
        </w:tc>
      </w:tr>
      <w:tr w14:paraId="4D2B68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tcMar>
              <w:top w:w="0" w:type="dxa"/>
              <w:left w:w="108" w:type="dxa"/>
              <w:right w:w="108" w:type="dxa"/>
            </w:tcMar>
            <w:vAlign w:val="center"/>
          </w:tcPr>
          <w:p w14:paraId="38590C6B">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36</w:t>
            </w:r>
          </w:p>
        </w:tc>
        <w:tc>
          <w:tcPr>
            <w:tcW w:w="1181" w:type="dxa"/>
            <w:tcMar>
              <w:top w:w="0" w:type="dxa"/>
              <w:left w:w="108" w:type="dxa"/>
              <w:right w:w="108" w:type="dxa"/>
            </w:tcMar>
            <w:vAlign w:val="center"/>
          </w:tcPr>
          <w:p w14:paraId="0B1E2791">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A100304纤维增强水泥制品</w:t>
            </w:r>
          </w:p>
        </w:tc>
        <w:tc>
          <w:tcPr>
            <w:tcW w:w="2536" w:type="dxa"/>
            <w:tcMar>
              <w:top w:w="0" w:type="dxa"/>
              <w:left w:w="108" w:type="dxa"/>
              <w:right w:w="108" w:type="dxa"/>
            </w:tcMar>
            <w:vAlign w:val="center"/>
          </w:tcPr>
          <w:p w14:paraId="78817C85">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A10030402纤维增强硅酸钙板</w:t>
            </w:r>
          </w:p>
        </w:tc>
        <w:tc>
          <w:tcPr>
            <w:tcW w:w="1427" w:type="dxa"/>
            <w:tcMar>
              <w:top w:w="0" w:type="dxa"/>
              <w:left w:w="108" w:type="dxa"/>
              <w:right w:w="108" w:type="dxa"/>
            </w:tcMar>
            <w:vAlign w:val="center"/>
          </w:tcPr>
          <w:p w14:paraId="674C0B79">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853" w:type="dxa"/>
            <w:tcMar>
              <w:top w:w="0" w:type="dxa"/>
              <w:left w:w="108" w:type="dxa"/>
              <w:right w:w="108" w:type="dxa"/>
            </w:tcMar>
            <w:vAlign w:val="center"/>
          </w:tcPr>
          <w:p w14:paraId="3F23D150">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HJ/T223轻质墙体板材</w:t>
            </w:r>
          </w:p>
        </w:tc>
      </w:tr>
      <w:tr w14:paraId="1503CA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tcMar>
              <w:top w:w="0" w:type="dxa"/>
              <w:left w:w="108" w:type="dxa"/>
              <w:right w:w="108" w:type="dxa"/>
            </w:tcMar>
            <w:vAlign w:val="center"/>
          </w:tcPr>
          <w:p w14:paraId="7DA238A4">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1181" w:type="dxa"/>
            <w:tcMar>
              <w:top w:w="0" w:type="dxa"/>
              <w:left w:w="108" w:type="dxa"/>
              <w:right w:w="108" w:type="dxa"/>
            </w:tcMar>
            <w:vAlign w:val="center"/>
          </w:tcPr>
          <w:p w14:paraId="7FE4320E">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536" w:type="dxa"/>
            <w:tcMar>
              <w:top w:w="0" w:type="dxa"/>
              <w:left w:w="108" w:type="dxa"/>
              <w:right w:w="108" w:type="dxa"/>
            </w:tcMar>
            <w:vAlign w:val="center"/>
          </w:tcPr>
          <w:p w14:paraId="43F00049">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A10030403无石棉纤维水泥制品</w:t>
            </w:r>
          </w:p>
        </w:tc>
        <w:tc>
          <w:tcPr>
            <w:tcW w:w="1427" w:type="dxa"/>
            <w:tcMar>
              <w:top w:w="0" w:type="dxa"/>
              <w:left w:w="108" w:type="dxa"/>
              <w:right w:w="108" w:type="dxa"/>
            </w:tcMar>
            <w:vAlign w:val="center"/>
          </w:tcPr>
          <w:p w14:paraId="740CCA6A">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853" w:type="dxa"/>
            <w:tcMar>
              <w:top w:w="0" w:type="dxa"/>
              <w:left w:w="108" w:type="dxa"/>
              <w:right w:w="108" w:type="dxa"/>
            </w:tcMar>
            <w:vAlign w:val="center"/>
          </w:tcPr>
          <w:p w14:paraId="0AE44729">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HJ/T223轻质墙体板材</w:t>
            </w:r>
          </w:p>
        </w:tc>
      </w:tr>
      <w:tr w14:paraId="4A60C8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tcMar>
              <w:top w:w="0" w:type="dxa"/>
              <w:left w:w="108" w:type="dxa"/>
              <w:right w:w="108" w:type="dxa"/>
            </w:tcMar>
            <w:vAlign w:val="center"/>
          </w:tcPr>
          <w:p w14:paraId="3F56F2C9">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37</w:t>
            </w:r>
          </w:p>
        </w:tc>
        <w:tc>
          <w:tcPr>
            <w:tcW w:w="1181" w:type="dxa"/>
            <w:tcMar>
              <w:top w:w="0" w:type="dxa"/>
              <w:left w:w="108" w:type="dxa"/>
              <w:right w:w="108" w:type="dxa"/>
            </w:tcMar>
            <w:vAlign w:val="center"/>
          </w:tcPr>
          <w:p w14:paraId="11BF41F2">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A100305轻质建筑材料及制品</w:t>
            </w:r>
          </w:p>
        </w:tc>
        <w:tc>
          <w:tcPr>
            <w:tcW w:w="2536" w:type="dxa"/>
            <w:tcMar>
              <w:top w:w="0" w:type="dxa"/>
              <w:left w:w="108" w:type="dxa"/>
              <w:right w:w="108" w:type="dxa"/>
            </w:tcMar>
            <w:vAlign w:val="center"/>
          </w:tcPr>
          <w:p w14:paraId="07D6C9D0">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A10030501石膏板</w:t>
            </w:r>
          </w:p>
        </w:tc>
        <w:tc>
          <w:tcPr>
            <w:tcW w:w="1427" w:type="dxa"/>
            <w:tcMar>
              <w:top w:w="0" w:type="dxa"/>
              <w:left w:w="108" w:type="dxa"/>
              <w:right w:w="108" w:type="dxa"/>
            </w:tcMar>
            <w:vAlign w:val="center"/>
          </w:tcPr>
          <w:p w14:paraId="13D5B30D">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853" w:type="dxa"/>
            <w:tcMar>
              <w:top w:w="0" w:type="dxa"/>
              <w:left w:w="108" w:type="dxa"/>
              <w:right w:w="108" w:type="dxa"/>
            </w:tcMar>
            <w:vAlign w:val="center"/>
          </w:tcPr>
          <w:p w14:paraId="582E8E60">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HJ/T223轻质墙体板材</w:t>
            </w:r>
          </w:p>
        </w:tc>
      </w:tr>
      <w:tr w14:paraId="0B71F7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tcMar>
              <w:top w:w="0" w:type="dxa"/>
              <w:left w:w="108" w:type="dxa"/>
              <w:right w:w="108" w:type="dxa"/>
            </w:tcMar>
            <w:vAlign w:val="center"/>
          </w:tcPr>
          <w:p w14:paraId="7CCF8F2F">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1181" w:type="dxa"/>
            <w:tcMar>
              <w:top w:w="0" w:type="dxa"/>
              <w:left w:w="108" w:type="dxa"/>
              <w:right w:w="108" w:type="dxa"/>
            </w:tcMar>
            <w:vAlign w:val="center"/>
          </w:tcPr>
          <w:p w14:paraId="3D177396">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536" w:type="dxa"/>
            <w:tcMar>
              <w:top w:w="0" w:type="dxa"/>
              <w:left w:w="108" w:type="dxa"/>
              <w:right w:w="108" w:type="dxa"/>
            </w:tcMar>
            <w:vAlign w:val="center"/>
          </w:tcPr>
          <w:p w14:paraId="1B1F18BD">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A10030503轻质隔墙条板</w:t>
            </w:r>
          </w:p>
        </w:tc>
        <w:tc>
          <w:tcPr>
            <w:tcW w:w="1427" w:type="dxa"/>
            <w:tcMar>
              <w:top w:w="0" w:type="dxa"/>
              <w:left w:w="108" w:type="dxa"/>
              <w:right w:w="108" w:type="dxa"/>
            </w:tcMar>
            <w:vAlign w:val="center"/>
          </w:tcPr>
          <w:p w14:paraId="583CF7FA">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853" w:type="dxa"/>
            <w:tcMar>
              <w:top w:w="0" w:type="dxa"/>
              <w:left w:w="108" w:type="dxa"/>
              <w:right w:w="108" w:type="dxa"/>
            </w:tcMar>
            <w:vAlign w:val="center"/>
          </w:tcPr>
          <w:p w14:paraId="7453BD4E">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HJ/T223轻质墙体板材</w:t>
            </w:r>
          </w:p>
        </w:tc>
      </w:tr>
      <w:tr w14:paraId="0C93EA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tcMar>
              <w:top w:w="0" w:type="dxa"/>
              <w:left w:w="108" w:type="dxa"/>
              <w:right w:w="108" w:type="dxa"/>
            </w:tcMar>
            <w:vAlign w:val="center"/>
          </w:tcPr>
          <w:p w14:paraId="0EC05B9D">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38</w:t>
            </w:r>
          </w:p>
        </w:tc>
        <w:tc>
          <w:tcPr>
            <w:tcW w:w="1181" w:type="dxa"/>
            <w:tcMar>
              <w:top w:w="0" w:type="dxa"/>
              <w:left w:w="108" w:type="dxa"/>
              <w:right w:w="108" w:type="dxa"/>
            </w:tcMar>
            <w:vAlign w:val="center"/>
          </w:tcPr>
          <w:p w14:paraId="6CB53999">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A100307建筑陶瓷制品</w:t>
            </w:r>
          </w:p>
        </w:tc>
        <w:tc>
          <w:tcPr>
            <w:tcW w:w="2536" w:type="dxa"/>
            <w:tcMar>
              <w:top w:w="0" w:type="dxa"/>
              <w:left w:w="108" w:type="dxa"/>
              <w:right w:w="108" w:type="dxa"/>
            </w:tcMar>
            <w:vAlign w:val="center"/>
          </w:tcPr>
          <w:p w14:paraId="571D43B3">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A10030701瓷质砖</w:t>
            </w:r>
          </w:p>
        </w:tc>
        <w:tc>
          <w:tcPr>
            <w:tcW w:w="1427" w:type="dxa"/>
            <w:tcMar>
              <w:top w:w="0" w:type="dxa"/>
              <w:left w:w="108" w:type="dxa"/>
              <w:right w:w="108" w:type="dxa"/>
            </w:tcMar>
            <w:vAlign w:val="center"/>
          </w:tcPr>
          <w:p w14:paraId="2BEB5F5A">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853" w:type="dxa"/>
            <w:tcMar>
              <w:top w:w="0" w:type="dxa"/>
              <w:left w:w="108" w:type="dxa"/>
              <w:right w:w="108" w:type="dxa"/>
            </w:tcMar>
            <w:vAlign w:val="center"/>
          </w:tcPr>
          <w:p w14:paraId="41A2A01E">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HJ/T297陶瓷砖</w:t>
            </w:r>
          </w:p>
        </w:tc>
      </w:tr>
      <w:tr w14:paraId="4DB0E5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tcMar>
              <w:top w:w="0" w:type="dxa"/>
              <w:left w:w="108" w:type="dxa"/>
              <w:right w:w="108" w:type="dxa"/>
            </w:tcMar>
            <w:vAlign w:val="center"/>
          </w:tcPr>
          <w:p w14:paraId="7B5E66C4">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1181" w:type="dxa"/>
            <w:tcMar>
              <w:top w:w="0" w:type="dxa"/>
              <w:left w:w="108" w:type="dxa"/>
              <w:right w:w="108" w:type="dxa"/>
            </w:tcMar>
            <w:vAlign w:val="center"/>
          </w:tcPr>
          <w:p w14:paraId="7143BB32">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536" w:type="dxa"/>
            <w:tcMar>
              <w:top w:w="0" w:type="dxa"/>
              <w:left w:w="108" w:type="dxa"/>
              <w:right w:w="108" w:type="dxa"/>
            </w:tcMar>
            <w:vAlign w:val="center"/>
          </w:tcPr>
          <w:p w14:paraId="33834B69">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A10030704炻质砖</w:t>
            </w:r>
          </w:p>
        </w:tc>
        <w:tc>
          <w:tcPr>
            <w:tcW w:w="1427" w:type="dxa"/>
            <w:tcMar>
              <w:top w:w="0" w:type="dxa"/>
              <w:left w:w="108" w:type="dxa"/>
              <w:right w:w="108" w:type="dxa"/>
            </w:tcMar>
            <w:vAlign w:val="center"/>
          </w:tcPr>
          <w:p w14:paraId="13B14EE4">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853" w:type="dxa"/>
            <w:tcMar>
              <w:top w:w="0" w:type="dxa"/>
              <w:left w:w="108" w:type="dxa"/>
              <w:right w:w="108" w:type="dxa"/>
            </w:tcMar>
            <w:vAlign w:val="center"/>
          </w:tcPr>
          <w:p w14:paraId="62AFF608">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HJ/T297陶瓷砖</w:t>
            </w:r>
          </w:p>
        </w:tc>
      </w:tr>
      <w:tr w14:paraId="45F9CC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tcMar>
              <w:top w:w="0" w:type="dxa"/>
              <w:left w:w="108" w:type="dxa"/>
              <w:right w:w="108" w:type="dxa"/>
            </w:tcMar>
            <w:vAlign w:val="center"/>
          </w:tcPr>
          <w:p w14:paraId="052193DB">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1181" w:type="dxa"/>
            <w:tcMar>
              <w:top w:w="0" w:type="dxa"/>
              <w:left w:w="108" w:type="dxa"/>
              <w:right w:w="108" w:type="dxa"/>
            </w:tcMar>
            <w:vAlign w:val="center"/>
          </w:tcPr>
          <w:p w14:paraId="0EC57E09">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536" w:type="dxa"/>
            <w:tcMar>
              <w:top w:w="0" w:type="dxa"/>
              <w:left w:w="108" w:type="dxa"/>
              <w:right w:w="108" w:type="dxa"/>
            </w:tcMar>
            <w:vAlign w:val="center"/>
          </w:tcPr>
          <w:p w14:paraId="04396198">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A10030705陶质砖</w:t>
            </w:r>
          </w:p>
        </w:tc>
        <w:tc>
          <w:tcPr>
            <w:tcW w:w="1427" w:type="dxa"/>
            <w:tcMar>
              <w:top w:w="0" w:type="dxa"/>
              <w:left w:w="108" w:type="dxa"/>
              <w:right w:w="108" w:type="dxa"/>
            </w:tcMar>
            <w:vAlign w:val="center"/>
          </w:tcPr>
          <w:p w14:paraId="6245E396">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853" w:type="dxa"/>
            <w:tcMar>
              <w:top w:w="0" w:type="dxa"/>
              <w:left w:w="108" w:type="dxa"/>
              <w:right w:w="108" w:type="dxa"/>
            </w:tcMar>
            <w:vAlign w:val="center"/>
          </w:tcPr>
          <w:p w14:paraId="5137EA26">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HJ/T297陶瓷砖</w:t>
            </w:r>
          </w:p>
        </w:tc>
      </w:tr>
      <w:tr w14:paraId="39FD16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tcMar>
              <w:top w:w="0" w:type="dxa"/>
              <w:left w:w="108" w:type="dxa"/>
              <w:right w:w="108" w:type="dxa"/>
            </w:tcMar>
            <w:vAlign w:val="center"/>
          </w:tcPr>
          <w:p w14:paraId="0B56D298">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1181" w:type="dxa"/>
            <w:tcMar>
              <w:top w:w="0" w:type="dxa"/>
              <w:left w:w="108" w:type="dxa"/>
              <w:right w:w="108" w:type="dxa"/>
            </w:tcMar>
            <w:vAlign w:val="center"/>
          </w:tcPr>
          <w:p w14:paraId="7DB14ED9">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536" w:type="dxa"/>
            <w:tcMar>
              <w:top w:w="0" w:type="dxa"/>
              <w:left w:w="108" w:type="dxa"/>
              <w:right w:w="108" w:type="dxa"/>
            </w:tcMar>
            <w:vAlign w:val="center"/>
          </w:tcPr>
          <w:p w14:paraId="19C21291">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A10030799其他建筑陶瓷制品</w:t>
            </w:r>
          </w:p>
        </w:tc>
        <w:tc>
          <w:tcPr>
            <w:tcW w:w="1427" w:type="dxa"/>
            <w:tcMar>
              <w:top w:w="0" w:type="dxa"/>
              <w:left w:w="108" w:type="dxa"/>
              <w:right w:w="108" w:type="dxa"/>
            </w:tcMar>
            <w:vAlign w:val="center"/>
          </w:tcPr>
          <w:p w14:paraId="7CA1E36E">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853" w:type="dxa"/>
            <w:tcMar>
              <w:top w:w="0" w:type="dxa"/>
              <w:left w:w="108" w:type="dxa"/>
              <w:right w:w="108" w:type="dxa"/>
            </w:tcMar>
            <w:vAlign w:val="center"/>
          </w:tcPr>
          <w:p w14:paraId="082F08BD">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HJ/T297陶瓷砖</w:t>
            </w:r>
          </w:p>
        </w:tc>
      </w:tr>
      <w:tr w14:paraId="35D5B2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tcMar>
              <w:top w:w="0" w:type="dxa"/>
              <w:left w:w="108" w:type="dxa"/>
              <w:right w:w="108" w:type="dxa"/>
            </w:tcMar>
            <w:vAlign w:val="center"/>
          </w:tcPr>
          <w:p w14:paraId="757B20C4">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39</w:t>
            </w:r>
          </w:p>
        </w:tc>
        <w:tc>
          <w:tcPr>
            <w:tcW w:w="1181" w:type="dxa"/>
            <w:tcMar>
              <w:top w:w="0" w:type="dxa"/>
              <w:left w:w="108" w:type="dxa"/>
              <w:right w:w="108" w:type="dxa"/>
            </w:tcMar>
            <w:vAlign w:val="center"/>
          </w:tcPr>
          <w:p w14:paraId="496162D8">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A100309建筑防水卷材及制品</w:t>
            </w:r>
          </w:p>
        </w:tc>
        <w:tc>
          <w:tcPr>
            <w:tcW w:w="2536" w:type="dxa"/>
            <w:tcMar>
              <w:top w:w="0" w:type="dxa"/>
              <w:left w:w="108" w:type="dxa"/>
              <w:right w:w="108" w:type="dxa"/>
            </w:tcMar>
            <w:vAlign w:val="center"/>
          </w:tcPr>
          <w:p w14:paraId="5DA7B255">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A10030901沥青和改性沥青防水卷材</w:t>
            </w:r>
          </w:p>
        </w:tc>
        <w:tc>
          <w:tcPr>
            <w:tcW w:w="1427" w:type="dxa"/>
            <w:tcMar>
              <w:top w:w="0" w:type="dxa"/>
              <w:left w:w="108" w:type="dxa"/>
              <w:right w:w="108" w:type="dxa"/>
            </w:tcMar>
            <w:vAlign w:val="center"/>
          </w:tcPr>
          <w:p w14:paraId="7EEA7DDC">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853" w:type="dxa"/>
            <w:tcMar>
              <w:top w:w="0" w:type="dxa"/>
              <w:left w:w="108" w:type="dxa"/>
              <w:right w:w="108" w:type="dxa"/>
            </w:tcMar>
            <w:vAlign w:val="center"/>
          </w:tcPr>
          <w:p w14:paraId="411A3F5E">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HJ455防水卷材</w:t>
            </w:r>
          </w:p>
        </w:tc>
      </w:tr>
      <w:tr w14:paraId="098430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tcMar>
              <w:top w:w="0" w:type="dxa"/>
              <w:left w:w="108" w:type="dxa"/>
              <w:right w:w="108" w:type="dxa"/>
            </w:tcMar>
            <w:vAlign w:val="center"/>
          </w:tcPr>
          <w:p w14:paraId="54DD2CCF">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1181" w:type="dxa"/>
            <w:tcMar>
              <w:top w:w="0" w:type="dxa"/>
              <w:left w:w="108" w:type="dxa"/>
              <w:right w:w="108" w:type="dxa"/>
            </w:tcMar>
            <w:vAlign w:val="center"/>
          </w:tcPr>
          <w:p w14:paraId="05A6A090">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536" w:type="dxa"/>
            <w:tcMar>
              <w:top w:w="0" w:type="dxa"/>
              <w:left w:w="108" w:type="dxa"/>
              <w:right w:w="108" w:type="dxa"/>
            </w:tcMar>
            <w:vAlign w:val="center"/>
          </w:tcPr>
          <w:p w14:paraId="0CCBF67C">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A10030903自粘防水卷材</w:t>
            </w:r>
          </w:p>
        </w:tc>
        <w:tc>
          <w:tcPr>
            <w:tcW w:w="1427" w:type="dxa"/>
            <w:tcMar>
              <w:top w:w="0" w:type="dxa"/>
              <w:left w:w="108" w:type="dxa"/>
              <w:right w:w="108" w:type="dxa"/>
            </w:tcMar>
            <w:vAlign w:val="center"/>
          </w:tcPr>
          <w:p w14:paraId="4B5359E0">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853" w:type="dxa"/>
            <w:tcMar>
              <w:top w:w="0" w:type="dxa"/>
              <w:left w:w="108" w:type="dxa"/>
              <w:right w:w="108" w:type="dxa"/>
            </w:tcMar>
            <w:vAlign w:val="center"/>
          </w:tcPr>
          <w:p w14:paraId="6CB14B04">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HJ455防水卷材</w:t>
            </w:r>
          </w:p>
        </w:tc>
      </w:tr>
      <w:tr w14:paraId="6FF68C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tcMar>
              <w:top w:w="0" w:type="dxa"/>
              <w:left w:w="108" w:type="dxa"/>
              <w:right w:w="108" w:type="dxa"/>
            </w:tcMar>
            <w:vAlign w:val="center"/>
          </w:tcPr>
          <w:p w14:paraId="744CB029">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1181" w:type="dxa"/>
            <w:tcMar>
              <w:top w:w="0" w:type="dxa"/>
              <w:left w:w="108" w:type="dxa"/>
              <w:right w:w="108" w:type="dxa"/>
            </w:tcMar>
            <w:vAlign w:val="center"/>
          </w:tcPr>
          <w:p w14:paraId="3495B117">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536" w:type="dxa"/>
            <w:tcMar>
              <w:top w:w="0" w:type="dxa"/>
              <w:left w:w="108" w:type="dxa"/>
              <w:right w:w="108" w:type="dxa"/>
            </w:tcMar>
            <w:vAlign w:val="center"/>
          </w:tcPr>
          <w:p w14:paraId="34B30E67">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A10030906高分子防水卷(片)材</w:t>
            </w:r>
          </w:p>
        </w:tc>
        <w:tc>
          <w:tcPr>
            <w:tcW w:w="1427" w:type="dxa"/>
            <w:tcMar>
              <w:top w:w="0" w:type="dxa"/>
              <w:left w:w="108" w:type="dxa"/>
              <w:right w:w="108" w:type="dxa"/>
            </w:tcMar>
            <w:vAlign w:val="center"/>
          </w:tcPr>
          <w:p w14:paraId="7167F5F4">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853" w:type="dxa"/>
            <w:tcMar>
              <w:top w:w="0" w:type="dxa"/>
              <w:left w:w="108" w:type="dxa"/>
              <w:right w:w="108" w:type="dxa"/>
            </w:tcMar>
            <w:vAlign w:val="center"/>
          </w:tcPr>
          <w:p w14:paraId="2C539C2F">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HJ455防水卷材</w:t>
            </w:r>
          </w:p>
        </w:tc>
      </w:tr>
      <w:tr w14:paraId="71D9C8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tcMar>
              <w:top w:w="0" w:type="dxa"/>
              <w:left w:w="108" w:type="dxa"/>
              <w:right w:w="108" w:type="dxa"/>
            </w:tcMar>
            <w:vAlign w:val="center"/>
          </w:tcPr>
          <w:p w14:paraId="0F329A1C">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40</w:t>
            </w:r>
          </w:p>
        </w:tc>
        <w:tc>
          <w:tcPr>
            <w:tcW w:w="1181" w:type="dxa"/>
            <w:tcMar>
              <w:top w:w="0" w:type="dxa"/>
              <w:left w:w="108" w:type="dxa"/>
              <w:right w:w="108" w:type="dxa"/>
            </w:tcMar>
            <w:vAlign w:val="center"/>
          </w:tcPr>
          <w:p w14:paraId="75CA2998">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A100310隔热、隔音人造矿物材料及其制品</w:t>
            </w:r>
          </w:p>
        </w:tc>
        <w:tc>
          <w:tcPr>
            <w:tcW w:w="2536" w:type="dxa"/>
            <w:tcMar>
              <w:top w:w="0" w:type="dxa"/>
              <w:left w:w="108" w:type="dxa"/>
              <w:right w:w="108" w:type="dxa"/>
            </w:tcMar>
            <w:vAlign w:val="center"/>
          </w:tcPr>
          <w:p w14:paraId="51DE7173">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A10031001矿物绝热和吸声材料</w:t>
            </w:r>
          </w:p>
        </w:tc>
        <w:tc>
          <w:tcPr>
            <w:tcW w:w="1427" w:type="dxa"/>
            <w:tcMar>
              <w:top w:w="0" w:type="dxa"/>
              <w:left w:w="108" w:type="dxa"/>
              <w:right w:w="108" w:type="dxa"/>
            </w:tcMar>
            <w:vAlign w:val="center"/>
          </w:tcPr>
          <w:p w14:paraId="0BAE6E2B">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853" w:type="dxa"/>
            <w:tcMar>
              <w:top w:w="0" w:type="dxa"/>
              <w:left w:w="108" w:type="dxa"/>
              <w:right w:w="108" w:type="dxa"/>
            </w:tcMar>
            <w:vAlign w:val="center"/>
          </w:tcPr>
          <w:p w14:paraId="320BBBEA">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HJ/T223轻质墙体板材</w:t>
            </w:r>
          </w:p>
        </w:tc>
      </w:tr>
      <w:tr w14:paraId="556309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tcMar>
              <w:top w:w="0" w:type="dxa"/>
              <w:left w:w="108" w:type="dxa"/>
              <w:right w:w="108" w:type="dxa"/>
            </w:tcMar>
            <w:vAlign w:val="center"/>
          </w:tcPr>
          <w:p w14:paraId="4F77561E">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1181" w:type="dxa"/>
            <w:tcMar>
              <w:top w:w="0" w:type="dxa"/>
              <w:left w:w="108" w:type="dxa"/>
              <w:right w:w="108" w:type="dxa"/>
            </w:tcMar>
            <w:vAlign w:val="center"/>
          </w:tcPr>
          <w:p w14:paraId="3A65F5C1">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536" w:type="dxa"/>
            <w:tcMar>
              <w:top w:w="0" w:type="dxa"/>
              <w:left w:w="108" w:type="dxa"/>
              <w:right w:w="108" w:type="dxa"/>
            </w:tcMar>
            <w:vAlign w:val="center"/>
          </w:tcPr>
          <w:p w14:paraId="65D1F523">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A10031002矿物材料制品</w:t>
            </w:r>
          </w:p>
        </w:tc>
        <w:tc>
          <w:tcPr>
            <w:tcW w:w="1427" w:type="dxa"/>
            <w:tcMar>
              <w:top w:w="0" w:type="dxa"/>
              <w:left w:w="108" w:type="dxa"/>
              <w:right w:w="108" w:type="dxa"/>
            </w:tcMar>
            <w:vAlign w:val="center"/>
          </w:tcPr>
          <w:p w14:paraId="0C01F770">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853" w:type="dxa"/>
            <w:tcMar>
              <w:top w:w="0" w:type="dxa"/>
              <w:left w:w="108" w:type="dxa"/>
              <w:right w:w="108" w:type="dxa"/>
            </w:tcMar>
            <w:vAlign w:val="center"/>
          </w:tcPr>
          <w:p w14:paraId="5F597161">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HJ/T223轻质墙体板材</w:t>
            </w:r>
          </w:p>
        </w:tc>
      </w:tr>
      <w:tr w14:paraId="0C4171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tcMar>
              <w:top w:w="0" w:type="dxa"/>
              <w:left w:w="108" w:type="dxa"/>
              <w:right w:w="108" w:type="dxa"/>
            </w:tcMar>
            <w:vAlign w:val="center"/>
          </w:tcPr>
          <w:p w14:paraId="3B5BE059">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41</w:t>
            </w:r>
          </w:p>
        </w:tc>
        <w:tc>
          <w:tcPr>
            <w:tcW w:w="1181" w:type="dxa"/>
            <w:tcMar>
              <w:top w:w="0" w:type="dxa"/>
              <w:left w:w="108" w:type="dxa"/>
              <w:right w:w="108" w:type="dxa"/>
            </w:tcMar>
            <w:vAlign w:val="center"/>
          </w:tcPr>
          <w:p w14:paraId="50136E22">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A100601功能性建筑涂料</w:t>
            </w:r>
          </w:p>
        </w:tc>
        <w:tc>
          <w:tcPr>
            <w:tcW w:w="2536" w:type="dxa"/>
            <w:tcMar>
              <w:top w:w="0" w:type="dxa"/>
              <w:left w:w="108" w:type="dxa"/>
              <w:right w:w="108" w:type="dxa"/>
            </w:tcMar>
            <w:vAlign w:val="center"/>
          </w:tcPr>
          <w:p w14:paraId="0985E59B">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1427" w:type="dxa"/>
            <w:tcMar>
              <w:top w:w="0" w:type="dxa"/>
              <w:left w:w="108" w:type="dxa"/>
              <w:right w:w="108" w:type="dxa"/>
            </w:tcMar>
            <w:vAlign w:val="center"/>
          </w:tcPr>
          <w:p w14:paraId="535A15A0">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853" w:type="dxa"/>
            <w:tcMar>
              <w:top w:w="0" w:type="dxa"/>
              <w:left w:w="108" w:type="dxa"/>
              <w:right w:w="108" w:type="dxa"/>
            </w:tcMar>
            <w:vAlign w:val="center"/>
          </w:tcPr>
          <w:p w14:paraId="4C0DEE78">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HJ2537水性涂料</w:t>
            </w:r>
          </w:p>
        </w:tc>
      </w:tr>
      <w:tr w14:paraId="615D00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tcMar>
              <w:top w:w="0" w:type="dxa"/>
              <w:left w:w="108" w:type="dxa"/>
              <w:right w:w="108" w:type="dxa"/>
            </w:tcMar>
            <w:vAlign w:val="center"/>
          </w:tcPr>
          <w:p w14:paraId="1C581C27">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42</w:t>
            </w:r>
          </w:p>
        </w:tc>
        <w:tc>
          <w:tcPr>
            <w:tcW w:w="1181" w:type="dxa"/>
            <w:tcMar>
              <w:top w:w="0" w:type="dxa"/>
              <w:left w:w="108" w:type="dxa"/>
              <w:right w:w="108" w:type="dxa"/>
            </w:tcMar>
            <w:vAlign w:val="center"/>
          </w:tcPr>
          <w:p w14:paraId="2D93F6F9">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A100399其他非金属矿物制品</w:t>
            </w:r>
          </w:p>
        </w:tc>
        <w:tc>
          <w:tcPr>
            <w:tcW w:w="2536" w:type="dxa"/>
            <w:tcMar>
              <w:top w:w="0" w:type="dxa"/>
              <w:left w:w="108" w:type="dxa"/>
              <w:right w:w="108" w:type="dxa"/>
            </w:tcMar>
            <w:vAlign w:val="center"/>
          </w:tcPr>
          <w:p w14:paraId="3B6A0CBA">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A10039901其他非金属建筑材料</w:t>
            </w:r>
          </w:p>
        </w:tc>
        <w:tc>
          <w:tcPr>
            <w:tcW w:w="1427" w:type="dxa"/>
            <w:tcMar>
              <w:top w:w="0" w:type="dxa"/>
              <w:left w:w="108" w:type="dxa"/>
              <w:right w:w="108" w:type="dxa"/>
            </w:tcMar>
            <w:vAlign w:val="center"/>
          </w:tcPr>
          <w:p w14:paraId="6928D9AC">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853" w:type="dxa"/>
            <w:tcMar>
              <w:top w:w="0" w:type="dxa"/>
              <w:left w:w="108" w:type="dxa"/>
              <w:right w:w="108" w:type="dxa"/>
            </w:tcMar>
            <w:vAlign w:val="center"/>
          </w:tcPr>
          <w:p w14:paraId="1A14F933">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HJ456刚性防水材料</w:t>
            </w:r>
          </w:p>
        </w:tc>
      </w:tr>
      <w:tr w14:paraId="1687E6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tcMar>
              <w:top w:w="0" w:type="dxa"/>
              <w:left w:w="108" w:type="dxa"/>
              <w:right w:w="108" w:type="dxa"/>
            </w:tcMar>
            <w:vAlign w:val="center"/>
          </w:tcPr>
          <w:p w14:paraId="09E81FE4">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43</w:t>
            </w:r>
          </w:p>
        </w:tc>
        <w:tc>
          <w:tcPr>
            <w:tcW w:w="1181" w:type="dxa"/>
            <w:tcMar>
              <w:top w:w="0" w:type="dxa"/>
              <w:left w:w="108" w:type="dxa"/>
              <w:right w:w="108" w:type="dxa"/>
            </w:tcMar>
            <w:vAlign w:val="center"/>
          </w:tcPr>
          <w:p w14:paraId="14E453DB">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A100602墙面涂料</w:t>
            </w:r>
          </w:p>
        </w:tc>
        <w:tc>
          <w:tcPr>
            <w:tcW w:w="2536" w:type="dxa"/>
            <w:tcMar>
              <w:top w:w="0" w:type="dxa"/>
              <w:left w:w="108" w:type="dxa"/>
              <w:right w:w="108" w:type="dxa"/>
            </w:tcMar>
            <w:vAlign w:val="center"/>
          </w:tcPr>
          <w:p w14:paraId="117A2506">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A10060202合成树脂乳液内墙涂料</w:t>
            </w:r>
          </w:p>
        </w:tc>
        <w:tc>
          <w:tcPr>
            <w:tcW w:w="1427" w:type="dxa"/>
            <w:tcMar>
              <w:top w:w="0" w:type="dxa"/>
              <w:left w:w="108" w:type="dxa"/>
              <w:right w:w="108" w:type="dxa"/>
            </w:tcMar>
            <w:vAlign w:val="center"/>
          </w:tcPr>
          <w:p w14:paraId="2C6D028B">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853" w:type="dxa"/>
            <w:tcMar>
              <w:top w:w="0" w:type="dxa"/>
              <w:left w:w="108" w:type="dxa"/>
              <w:right w:w="108" w:type="dxa"/>
            </w:tcMar>
            <w:vAlign w:val="center"/>
          </w:tcPr>
          <w:p w14:paraId="0DDFCFA3">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HJ2537水性涂料</w:t>
            </w:r>
          </w:p>
        </w:tc>
      </w:tr>
      <w:tr w14:paraId="2B40DD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tcMar>
              <w:top w:w="0" w:type="dxa"/>
              <w:left w:w="108" w:type="dxa"/>
              <w:right w:w="108" w:type="dxa"/>
            </w:tcMar>
          </w:tcPr>
          <w:p w14:paraId="3020FB6A">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4"/>
                <w:sz w:val="18"/>
                <w:szCs w:val="18"/>
                <w:highlight w:val="none"/>
                <w:lang w:eastAsia="en-US"/>
              </w:rPr>
            </w:pPr>
          </w:p>
        </w:tc>
        <w:tc>
          <w:tcPr>
            <w:tcW w:w="1181" w:type="dxa"/>
            <w:tcMar>
              <w:top w:w="0" w:type="dxa"/>
              <w:left w:w="108" w:type="dxa"/>
              <w:right w:w="108" w:type="dxa"/>
            </w:tcMar>
          </w:tcPr>
          <w:p w14:paraId="32B81365">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536" w:type="dxa"/>
            <w:tcMar>
              <w:top w:w="0" w:type="dxa"/>
              <w:left w:w="108" w:type="dxa"/>
              <w:right w:w="108" w:type="dxa"/>
            </w:tcMar>
            <w:vAlign w:val="center"/>
          </w:tcPr>
          <w:p w14:paraId="0023FCF1">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A10060203合成树脂乳液外墙涂料</w:t>
            </w:r>
          </w:p>
        </w:tc>
        <w:tc>
          <w:tcPr>
            <w:tcW w:w="1427" w:type="dxa"/>
            <w:tcMar>
              <w:top w:w="0" w:type="dxa"/>
              <w:left w:w="108" w:type="dxa"/>
              <w:right w:w="108" w:type="dxa"/>
            </w:tcMar>
            <w:vAlign w:val="center"/>
          </w:tcPr>
          <w:p w14:paraId="1686AAB2">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853" w:type="dxa"/>
            <w:tcMar>
              <w:top w:w="0" w:type="dxa"/>
              <w:left w:w="108" w:type="dxa"/>
              <w:right w:w="108" w:type="dxa"/>
            </w:tcMar>
            <w:vAlign w:val="center"/>
          </w:tcPr>
          <w:p w14:paraId="3A21F8F9">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HJ2537水性涂料</w:t>
            </w:r>
          </w:p>
        </w:tc>
      </w:tr>
      <w:tr w14:paraId="6A989C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tcMar>
              <w:top w:w="0" w:type="dxa"/>
              <w:left w:w="108" w:type="dxa"/>
              <w:right w:w="108" w:type="dxa"/>
            </w:tcMar>
          </w:tcPr>
          <w:p w14:paraId="5C60F0CA">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4"/>
                <w:sz w:val="18"/>
                <w:szCs w:val="18"/>
                <w:highlight w:val="none"/>
                <w:lang w:eastAsia="en-US"/>
              </w:rPr>
            </w:pPr>
          </w:p>
        </w:tc>
        <w:tc>
          <w:tcPr>
            <w:tcW w:w="1181" w:type="dxa"/>
            <w:tcMar>
              <w:top w:w="0" w:type="dxa"/>
              <w:left w:w="108" w:type="dxa"/>
              <w:right w:w="108" w:type="dxa"/>
            </w:tcMar>
          </w:tcPr>
          <w:p w14:paraId="2EB0822D">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536" w:type="dxa"/>
            <w:tcMar>
              <w:top w:w="0" w:type="dxa"/>
              <w:left w:w="108" w:type="dxa"/>
              <w:right w:w="108" w:type="dxa"/>
            </w:tcMar>
            <w:vAlign w:val="center"/>
          </w:tcPr>
          <w:p w14:paraId="37543CC7">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A10060299其他墙面涂料</w:t>
            </w:r>
          </w:p>
        </w:tc>
        <w:tc>
          <w:tcPr>
            <w:tcW w:w="1427" w:type="dxa"/>
            <w:tcMar>
              <w:top w:w="0" w:type="dxa"/>
              <w:left w:w="108" w:type="dxa"/>
              <w:right w:w="108" w:type="dxa"/>
            </w:tcMar>
            <w:vAlign w:val="center"/>
          </w:tcPr>
          <w:p w14:paraId="5AD4811D">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853" w:type="dxa"/>
            <w:tcMar>
              <w:top w:w="0" w:type="dxa"/>
              <w:left w:w="108" w:type="dxa"/>
              <w:right w:w="108" w:type="dxa"/>
            </w:tcMar>
            <w:vAlign w:val="center"/>
          </w:tcPr>
          <w:p w14:paraId="6B2513CA">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HJ2537水性涂料</w:t>
            </w:r>
          </w:p>
        </w:tc>
      </w:tr>
      <w:tr w14:paraId="06CAAE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tcMar>
              <w:top w:w="0" w:type="dxa"/>
              <w:left w:w="108" w:type="dxa"/>
              <w:right w:w="108" w:type="dxa"/>
            </w:tcMar>
            <w:vAlign w:val="center"/>
          </w:tcPr>
          <w:p w14:paraId="443F8C98">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lang w:eastAsia="en-US"/>
              </w:rPr>
            </w:pPr>
            <w:r>
              <w:rPr>
                <w:rFonts w:hint="default" w:ascii="Calibri" w:hAnsi="Calibri" w:cs="Calibri"/>
                <w:color w:val="auto"/>
                <w:spacing w:val="-4"/>
                <w:sz w:val="18"/>
                <w:szCs w:val="18"/>
                <w:highlight w:val="none"/>
                <w:lang w:eastAsia="en-US"/>
              </w:rPr>
              <w:t>4</w:t>
            </w:r>
            <w:r>
              <w:rPr>
                <w:rFonts w:hint="default" w:ascii="Calibri" w:hAnsi="Calibri" w:cs="Calibri"/>
                <w:color w:val="auto"/>
                <w:spacing w:val="-2"/>
                <w:sz w:val="18"/>
                <w:szCs w:val="18"/>
                <w:highlight w:val="none"/>
                <w:lang w:eastAsia="en-US"/>
              </w:rPr>
              <w:t>4</w:t>
            </w:r>
          </w:p>
        </w:tc>
        <w:tc>
          <w:tcPr>
            <w:tcW w:w="1181" w:type="dxa"/>
            <w:tcMar>
              <w:top w:w="0" w:type="dxa"/>
              <w:left w:w="108" w:type="dxa"/>
              <w:right w:w="108" w:type="dxa"/>
            </w:tcMar>
            <w:vAlign w:val="center"/>
          </w:tcPr>
          <w:p w14:paraId="5542E023">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A100604防水涂料</w:t>
            </w:r>
          </w:p>
        </w:tc>
        <w:tc>
          <w:tcPr>
            <w:tcW w:w="2536" w:type="dxa"/>
            <w:tcMar>
              <w:top w:w="0" w:type="dxa"/>
              <w:left w:w="108" w:type="dxa"/>
              <w:right w:w="108" w:type="dxa"/>
            </w:tcMar>
            <w:vAlign w:val="center"/>
          </w:tcPr>
          <w:p w14:paraId="1EF34C1A">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A10060499其他防水涂料</w:t>
            </w:r>
          </w:p>
        </w:tc>
        <w:tc>
          <w:tcPr>
            <w:tcW w:w="1427" w:type="dxa"/>
            <w:tcMar>
              <w:top w:w="0" w:type="dxa"/>
              <w:left w:w="108" w:type="dxa"/>
              <w:right w:w="108" w:type="dxa"/>
            </w:tcMar>
            <w:vAlign w:val="center"/>
          </w:tcPr>
          <w:p w14:paraId="080F8C63">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853" w:type="dxa"/>
            <w:tcMar>
              <w:top w:w="0" w:type="dxa"/>
              <w:left w:w="108" w:type="dxa"/>
              <w:right w:w="108" w:type="dxa"/>
            </w:tcMar>
            <w:vAlign w:val="center"/>
          </w:tcPr>
          <w:p w14:paraId="50A54C74">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HJ2537水性涂料</w:t>
            </w:r>
          </w:p>
        </w:tc>
      </w:tr>
      <w:tr w14:paraId="67E697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tcMar>
              <w:top w:w="0" w:type="dxa"/>
              <w:left w:w="108" w:type="dxa"/>
              <w:right w:w="108" w:type="dxa"/>
            </w:tcMar>
            <w:vAlign w:val="center"/>
          </w:tcPr>
          <w:p w14:paraId="3282C3B2">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lang w:eastAsia="en-US"/>
              </w:rPr>
            </w:pPr>
            <w:r>
              <w:rPr>
                <w:rFonts w:hint="default" w:ascii="Calibri" w:hAnsi="Calibri" w:cs="Calibri"/>
                <w:color w:val="auto"/>
                <w:spacing w:val="-4"/>
                <w:sz w:val="18"/>
                <w:szCs w:val="18"/>
                <w:highlight w:val="none"/>
                <w:lang w:eastAsia="en-US"/>
              </w:rPr>
              <w:t>4</w:t>
            </w:r>
            <w:r>
              <w:rPr>
                <w:rFonts w:hint="default" w:ascii="Calibri" w:hAnsi="Calibri" w:cs="Calibri"/>
                <w:color w:val="auto"/>
                <w:spacing w:val="-2"/>
                <w:sz w:val="18"/>
                <w:szCs w:val="18"/>
                <w:highlight w:val="none"/>
                <w:lang w:eastAsia="en-US"/>
              </w:rPr>
              <w:t>5</w:t>
            </w:r>
          </w:p>
        </w:tc>
        <w:tc>
          <w:tcPr>
            <w:tcW w:w="1181" w:type="dxa"/>
            <w:tcMar>
              <w:top w:w="0" w:type="dxa"/>
              <w:left w:w="108" w:type="dxa"/>
              <w:right w:w="108" w:type="dxa"/>
            </w:tcMar>
            <w:vAlign w:val="center"/>
          </w:tcPr>
          <w:p w14:paraId="5B4F3725">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A100699其他建筑涂料</w:t>
            </w:r>
          </w:p>
        </w:tc>
        <w:tc>
          <w:tcPr>
            <w:tcW w:w="2536" w:type="dxa"/>
            <w:tcMar>
              <w:top w:w="0" w:type="dxa"/>
              <w:left w:w="108" w:type="dxa"/>
              <w:right w:w="108" w:type="dxa"/>
            </w:tcMar>
            <w:vAlign w:val="center"/>
          </w:tcPr>
          <w:p w14:paraId="7DFE7B7C">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1427" w:type="dxa"/>
            <w:tcMar>
              <w:top w:w="0" w:type="dxa"/>
              <w:left w:w="108" w:type="dxa"/>
              <w:right w:w="108" w:type="dxa"/>
            </w:tcMar>
            <w:vAlign w:val="center"/>
          </w:tcPr>
          <w:p w14:paraId="36FA831F">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853" w:type="dxa"/>
            <w:tcMar>
              <w:top w:w="0" w:type="dxa"/>
              <w:left w:w="108" w:type="dxa"/>
              <w:right w:w="108" w:type="dxa"/>
            </w:tcMar>
            <w:vAlign w:val="center"/>
          </w:tcPr>
          <w:p w14:paraId="712116BC">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HJ2537水性涂料</w:t>
            </w:r>
          </w:p>
        </w:tc>
      </w:tr>
      <w:tr w14:paraId="36AF4E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tcMar>
              <w:top w:w="0" w:type="dxa"/>
              <w:left w:w="108" w:type="dxa"/>
              <w:right w:w="108" w:type="dxa"/>
            </w:tcMar>
            <w:vAlign w:val="center"/>
          </w:tcPr>
          <w:p w14:paraId="777AF0C0">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lang w:eastAsia="en-US"/>
              </w:rPr>
            </w:pPr>
            <w:r>
              <w:rPr>
                <w:rFonts w:hint="default" w:ascii="Calibri" w:hAnsi="Calibri" w:cs="Calibri"/>
                <w:color w:val="auto"/>
                <w:spacing w:val="-4"/>
                <w:sz w:val="18"/>
                <w:szCs w:val="18"/>
                <w:highlight w:val="none"/>
                <w:lang w:eastAsia="en-US"/>
              </w:rPr>
              <w:t>4</w:t>
            </w:r>
            <w:r>
              <w:rPr>
                <w:rFonts w:hint="default" w:ascii="Calibri" w:hAnsi="Calibri" w:cs="Calibri"/>
                <w:color w:val="auto"/>
                <w:spacing w:val="-2"/>
                <w:sz w:val="18"/>
                <w:szCs w:val="18"/>
                <w:highlight w:val="none"/>
                <w:lang w:eastAsia="en-US"/>
              </w:rPr>
              <w:t>6</w:t>
            </w:r>
          </w:p>
        </w:tc>
        <w:tc>
          <w:tcPr>
            <w:tcW w:w="1181" w:type="dxa"/>
            <w:tcMar>
              <w:top w:w="0" w:type="dxa"/>
              <w:left w:w="108" w:type="dxa"/>
              <w:right w:w="108" w:type="dxa"/>
            </w:tcMar>
            <w:vAlign w:val="center"/>
          </w:tcPr>
          <w:p w14:paraId="5354A618">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A100701门、门槛</w:t>
            </w:r>
          </w:p>
        </w:tc>
        <w:tc>
          <w:tcPr>
            <w:tcW w:w="2536" w:type="dxa"/>
            <w:tcMar>
              <w:top w:w="0" w:type="dxa"/>
              <w:left w:w="108" w:type="dxa"/>
              <w:right w:w="108" w:type="dxa"/>
            </w:tcMar>
            <w:vAlign w:val="center"/>
          </w:tcPr>
          <w:p w14:paraId="402BB7B3">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1427" w:type="dxa"/>
            <w:tcMar>
              <w:top w:w="0" w:type="dxa"/>
              <w:left w:w="108" w:type="dxa"/>
              <w:right w:w="108" w:type="dxa"/>
            </w:tcMar>
            <w:vAlign w:val="center"/>
          </w:tcPr>
          <w:p w14:paraId="56FF500C">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853" w:type="dxa"/>
            <w:tcMar>
              <w:top w:w="0" w:type="dxa"/>
              <w:left w:w="108" w:type="dxa"/>
              <w:right w:w="108" w:type="dxa"/>
            </w:tcMar>
            <w:vAlign w:val="center"/>
          </w:tcPr>
          <w:p w14:paraId="56414754">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HJ/T237塑料门窗/HJ459木质门和钢质门</w:t>
            </w:r>
          </w:p>
        </w:tc>
      </w:tr>
      <w:tr w14:paraId="34993E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tcMar>
              <w:top w:w="0" w:type="dxa"/>
              <w:left w:w="108" w:type="dxa"/>
              <w:right w:w="108" w:type="dxa"/>
            </w:tcMar>
            <w:vAlign w:val="center"/>
          </w:tcPr>
          <w:p w14:paraId="7C839BEC">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lang w:eastAsia="en-US"/>
              </w:rPr>
            </w:pPr>
            <w:r>
              <w:rPr>
                <w:rFonts w:hint="default" w:ascii="Calibri" w:hAnsi="Calibri" w:cs="Calibri"/>
                <w:color w:val="auto"/>
                <w:spacing w:val="-4"/>
                <w:sz w:val="18"/>
                <w:szCs w:val="18"/>
                <w:highlight w:val="none"/>
                <w:lang w:eastAsia="en-US"/>
              </w:rPr>
              <w:t>4</w:t>
            </w:r>
            <w:r>
              <w:rPr>
                <w:rFonts w:hint="default" w:ascii="Calibri" w:hAnsi="Calibri" w:cs="Calibri"/>
                <w:color w:val="auto"/>
                <w:spacing w:val="-2"/>
                <w:sz w:val="18"/>
                <w:szCs w:val="18"/>
                <w:highlight w:val="none"/>
                <w:lang w:eastAsia="en-US"/>
              </w:rPr>
              <w:t>7</w:t>
            </w:r>
          </w:p>
        </w:tc>
        <w:tc>
          <w:tcPr>
            <w:tcW w:w="1181" w:type="dxa"/>
            <w:tcMar>
              <w:top w:w="0" w:type="dxa"/>
              <w:left w:w="108" w:type="dxa"/>
              <w:right w:w="108" w:type="dxa"/>
            </w:tcMar>
            <w:vAlign w:val="center"/>
          </w:tcPr>
          <w:p w14:paraId="32A2D364">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A100702窗</w:t>
            </w:r>
          </w:p>
        </w:tc>
        <w:tc>
          <w:tcPr>
            <w:tcW w:w="2536" w:type="dxa"/>
            <w:tcMar>
              <w:top w:w="0" w:type="dxa"/>
              <w:left w:w="108" w:type="dxa"/>
              <w:right w:w="108" w:type="dxa"/>
            </w:tcMar>
            <w:vAlign w:val="center"/>
          </w:tcPr>
          <w:p w14:paraId="0A97155D">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1427" w:type="dxa"/>
            <w:tcMar>
              <w:top w:w="0" w:type="dxa"/>
              <w:left w:w="108" w:type="dxa"/>
              <w:right w:w="108" w:type="dxa"/>
            </w:tcMar>
            <w:vAlign w:val="center"/>
          </w:tcPr>
          <w:p w14:paraId="06DEBE93">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853" w:type="dxa"/>
            <w:tcMar>
              <w:top w:w="0" w:type="dxa"/>
              <w:left w:w="108" w:type="dxa"/>
              <w:right w:w="108" w:type="dxa"/>
            </w:tcMar>
            <w:vAlign w:val="center"/>
          </w:tcPr>
          <w:p w14:paraId="24471F7D">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HJ/T237塑料门窗</w:t>
            </w:r>
          </w:p>
        </w:tc>
      </w:tr>
      <w:tr w14:paraId="72F1B3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tcMar>
              <w:top w:w="0" w:type="dxa"/>
              <w:left w:w="108" w:type="dxa"/>
              <w:right w:w="108" w:type="dxa"/>
            </w:tcMar>
            <w:vAlign w:val="center"/>
          </w:tcPr>
          <w:p w14:paraId="7A0486D4">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lang w:eastAsia="en-US"/>
              </w:rPr>
            </w:pPr>
            <w:r>
              <w:rPr>
                <w:rFonts w:hint="default" w:ascii="Calibri" w:hAnsi="Calibri" w:cs="Calibri"/>
                <w:color w:val="auto"/>
                <w:spacing w:val="-4"/>
                <w:sz w:val="18"/>
                <w:szCs w:val="18"/>
                <w:highlight w:val="none"/>
                <w:lang w:eastAsia="en-US"/>
              </w:rPr>
              <w:t>4</w:t>
            </w:r>
            <w:r>
              <w:rPr>
                <w:rFonts w:hint="default" w:ascii="Calibri" w:hAnsi="Calibri" w:cs="Calibri"/>
                <w:color w:val="auto"/>
                <w:spacing w:val="-2"/>
                <w:sz w:val="18"/>
                <w:szCs w:val="18"/>
                <w:highlight w:val="none"/>
                <w:lang w:eastAsia="en-US"/>
              </w:rPr>
              <w:t>8</w:t>
            </w:r>
          </w:p>
        </w:tc>
        <w:tc>
          <w:tcPr>
            <w:tcW w:w="1181" w:type="dxa"/>
            <w:tcMar>
              <w:top w:w="0" w:type="dxa"/>
              <w:left w:w="108" w:type="dxa"/>
              <w:right w:w="108" w:type="dxa"/>
            </w:tcMar>
            <w:vAlign w:val="center"/>
          </w:tcPr>
          <w:p w14:paraId="391997AA">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A170108涂料(建筑涂料除外)</w:t>
            </w:r>
          </w:p>
        </w:tc>
        <w:tc>
          <w:tcPr>
            <w:tcW w:w="2536" w:type="dxa"/>
            <w:tcMar>
              <w:top w:w="0" w:type="dxa"/>
              <w:left w:w="108" w:type="dxa"/>
              <w:right w:w="108" w:type="dxa"/>
            </w:tcMar>
            <w:vAlign w:val="center"/>
          </w:tcPr>
          <w:p w14:paraId="64D1B508">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1427" w:type="dxa"/>
            <w:tcMar>
              <w:top w:w="0" w:type="dxa"/>
              <w:left w:w="108" w:type="dxa"/>
              <w:right w:w="108" w:type="dxa"/>
            </w:tcMar>
            <w:vAlign w:val="center"/>
          </w:tcPr>
          <w:p w14:paraId="3C96D747">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853" w:type="dxa"/>
            <w:tcMar>
              <w:top w:w="0" w:type="dxa"/>
              <w:left w:w="108" w:type="dxa"/>
              <w:right w:w="108" w:type="dxa"/>
            </w:tcMar>
            <w:vAlign w:val="center"/>
          </w:tcPr>
          <w:p w14:paraId="14B6406A">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HJ2537水性涂料</w:t>
            </w:r>
          </w:p>
        </w:tc>
      </w:tr>
      <w:tr w14:paraId="6F8AE9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tcMar>
              <w:top w:w="0" w:type="dxa"/>
              <w:left w:w="108" w:type="dxa"/>
              <w:right w:w="108" w:type="dxa"/>
            </w:tcMar>
            <w:vAlign w:val="center"/>
          </w:tcPr>
          <w:p w14:paraId="52F6A6FD">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lang w:eastAsia="en-US"/>
              </w:rPr>
            </w:pPr>
            <w:r>
              <w:rPr>
                <w:rFonts w:hint="default" w:ascii="Calibri" w:hAnsi="Calibri" w:cs="Calibri"/>
                <w:color w:val="auto"/>
                <w:spacing w:val="-4"/>
                <w:sz w:val="18"/>
                <w:szCs w:val="18"/>
                <w:highlight w:val="none"/>
                <w:lang w:eastAsia="en-US"/>
              </w:rPr>
              <w:t>4</w:t>
            </w:r>
            <w:r>
              <w:rPr>
                <w:rFonts w:hint="default" w:ascii="Calibri" w:hAnsi="Calibri" w:cs="Calibri"/>
                <w:color w:val="auto"/>
                <w:spacing w:val="-2"/>
                <w:sz w:val="18"/>
                <w:szCs w:val="18"/>
                <w:highlight w:val="none"/>
                <w:lang w:eastAsia="en-US"/>
              </w:rPr>
              <w:t>9</w:t>
            </w:r>
          </w:p>
        </w:tc>
        <w:tc>
          <w:tcPr>
            <w:tcW w:w="1181" w:type="dxa"/>
            <w:tcMar>
              <w:top w:w="0" w:type="dxa"/>
              <w:left w:w="108" w:type="dxa"/>
              <w:right w:w="108" w:type="dxa"/>
            </w:tcMar>
            <w:vAlign w:val="center"/>
          </w:tcPr>
          <w:p w14:paraId="5F64AF5E">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A170112密封用填料及类似品</w:t>
            </w:r>
          </w:p>
        </w:tc>
        <w:tc>
          <w:tcPr>
            <w:tcW w:w="2536" w:type="dxa"/>
            <w:tcMar>
              <w:top w:w="0" w:type="dxa"/>
              <w:left w:w="108" w:type="dxa"/>
              <w:right w:w="108" w:type="dxa"/>
            </w:tcMar>
            <w:vAlign w:val="center"/>
          </w:tcPr>
          <w:p w14:paraId="4E71C13E">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1427" w:type="dxa"/>
            <w:tcMar>
              <w:top w:w="0" w:type="dxa"/>
              <w:left w:w="108" w:type="dxa"/>
              <w:right w:w="108" w:type="dxa"/>
            </w:tcMar>
            <w:vAlign w:val="center"/>
          </w:tcPr>
          <w:p w14:paraId="04E21AFF">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853" w:type="dxa"/>
            <w:tcMar>
              <w:top w:w="0" w:type="dxa"/>
              <w:left w:w="108" w:type="dxa"/>
              <w:right w:w="108" w:type="dxa"/>
            </w:tcMar>
            <w:vAlign w:val="center"/>
          </w:tcPr>
          <w:p w14:paraId="2B716794">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HJ2541胶粘剂</w:t>
            </w:r>
          </w:p>
        </w:tc>
      </w:tr>
      <w:tr w14:paraId="453387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32" w:type="dxa"/>
            <w:tcMar>
              <w:top w:w="0" w:type="dxa"/>
              <w:left w:w="108" w:type="dxa"/>
              <w:right w:w="108" w:type="dxa"/>
            </w:tcMar>
            <w:vAlign w:val="center"/>
          </w:tcPr>
          <w:p w14:paraId="7FA7D7E5">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lang w:eastAsia="en-US"/>
              </w:rPr>
            </w:pPr>
            <w:r>
              <w:rPr>
                <w:rFonts w:hint="default" w:ascii="Calibri" w:hAnsi="Calibri" w:cs="Calibri"/>
                <w:color w:val="auto"/>
                <w:spacing w:val="-6"/>
                <w:sz w:val="18"/>
                <w:szCs w:val="18"/>
                <w:highlight w:val="none"/>
                <w:lang w:eastAsia="en-US"/>
              </w:rPr>
              <w:t>5</w:t>
            </w:r>
            <w:r>
              <w:rPr>
                <w:rFonts w:hint="default" w:ascii="Calibri" w:hAnsi="Calibri" w:cs="Calibri"/>
                <w:color w:val="auto"/>
                <w:spacing w:val="-4"/>
                <w:sz w:val="18"/>
                <w:szCs w:val="18"/>
                <w:highlight w:val="none"/>
                <w:lang w:eastAsia="en-US"/>
              </w:rPr>
              <w:t>0</w:t>
            </w:r>
          </w:p>
        </w:tc>
        <w:tc>
          <w:tcPr>
            <w:tcW w:w="1181" w:type="dxa"/>
            <w:tcMar>
              <w:top w:w="0" w:type="dxa"/>
              <w:left w:w="108" w:type="dxa"/>
              <w:right w:w="108" w:type="dxa"/>
            </w:tcMar>
            <w:vAlign w:val="center"/>
          </w:tcPr>
          <w:p w14:paraId="6248ABB0">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A180201塑料制品</w:t>
            </w:r>
          </w:p>
        </w:tc>
        <w:tc>
          <w:tcPr>
            <w:tcW w:w="2536" w:type="dxa"/>
            <w:tcMar>
              <w:top w:w="0" w:type="dxa"/>
              <w:left w:w="108" w:type="dxa"/>
              <w:right w:w="108" w:type="dxa"/>
            </w:tcMar>
            <w:vAlign w:val="center"/>
          </w:tcPr>
          <w:p w14:paraId="1A8DE075">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1427" w:type="dxa"/>
            <w:tcMar>
              <w:top w:w="0" w:type="dxa"/>
              <w:left w:w="108" w:type="dxa"/>
              <w:right w:w="108" w:type="dxa"/>
            </w:tcMar>
            <w:vAlign w:val="center"/>
          </w:tcPr>
          <w:p w14:paraId="7CD2A0B6">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p>
        </w:tc>
        <w:tc>
          <w:tcPr>
            <w:tcW w:w="2853" w:type="dxa"/>
            <w:tcMar>
              <w:top w:w="0" w:type="dxa"/>
              <w:left w:w="108" w:type="dxa"/>
              <w:right w:w="108" w:type="dxa"/>
            </w:tcMar>
            <w:vAlign w:val="center"/>
          </w:tcPr>
          <w:p w14:paraId="31B1047D">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HJ/T226建筑用塑料管材/HJ/T231再生塑料制品</w:t>
            </w:r>
          </w:p>
        </w:tc>
      </w:tr>
    </w:tbl>
    <w:p w14:paraId="01528CB1">
      <w:pPr>
        <w:pageBreakBefore w:val="0"/>
        <w:kinsoku/>
        <w:wordWrap/>
        <w:overflowPunct/>
        <w:bidi w:val="0"/>
        <w:snapToGrid w:val="0"/>
        <w:spacing w:line="300" w:lineRule="auto"/>
        <w:ind w:left="0" w:leftChars="0" w:right="0"/>
        <w:rPr>
          <w:rFonts w:hint="default" w:ascii="Calibri" w:hAnsi="Calibri" w:cs="Calibri"/>
          <w:color w:val="auto"/>
          <w:sz w:val="2"/>
          <w:highlight w:val="none"/>
        </w:rPr>
      </w:pPr>
    </w:p>
    <w:p w14:paraId="2BCEA80E">
      <w:pPr>
        <w:pageBreakBefore w:val="0"/>
        <w:kinsoku/>
        <w:wordWrap/>
        <w:overflowPunct/>
        <w:bidi w:val="0"/>
        <w:snapToGrid w:val="0"/>
        <w:spacing w:line="300" w:lineRule="auto"/>
        <w:ind w:left="0" w:leftChars="0" w:right="0" w:firstLine="420" w:firstLineChars="200"/>
        <w:rPr>
          <w:rFonts w:hint="default" w:ascii="Calibri" w:hAnsi="Calibri" w:cs="Calibri"/>
          <w:color w:val="auto"/>
          <w:highlight w:val="none"/>
        </w:rPr>
      </w:pPr>
      <w:r>
        <w:rPr>
          <w:rFonts w:hint="default" w:ascii="Calibri" w:hAnsi="Calibri" w:cs="Calibri"/>
          <w:color w:val="auto"/>
          <w:highlight w:val="none"/>
        </w:rPr>
        <w:t>注：环境标志产品认证应依据相关标准的最新版本</w:t>
      </w:r>
    </w:p>
    <w:p w14:paraId="25DD1504">
      <w:pPr>
        <w:pageBreakBefore w:val="0"/>
        <w:kinsoku/>
        <w:wordWrap/>
        <w:overflowPunct/>
        <w:bidi w:val="0"/>
        <w:snapToGrid w:val="0"/>
        <w:spacing w:line="300" w:lineRule="auto"/>
        <w:ind w:left="0" w:leftChars="0" w:right="0"/>
        <w:rPr>
          <w:rFonts w:hint="default" w:ascii="Calibri" w:hAnsi="Calibri" w:eastAsia="黑体" w:cs="Calibri"/>
          <w:bCs/>
          <w:color w:val="auto"/>
          <w:spacing w:val="6"/>
          <w:sz w:val="28"/>
          <w:szCs w:val="28"/>
          <w:highlight w:val="none"/>
        </w:rPr>
      </w:pPr>
      <w:r>
        <w:rPr>
          <w:rFonts w:hint="default" w:ascii="Calibri" w:hAnsi="Calibri" w:eastAsia="黑体" w:cs="Calibri"/>
          <w:bCs/>
          <w:color w:val="auto"/>
          <w:spacing w:val="6"/>
          <w:sz w:val="28"/>
          <w:szCs w:val="28"/>
          <w:highlight w:val="none"/>
        </w:rPr>
        <w:br w:type="page"/>
      </w:r>
    </w:p>
    <w:p w14:paraId="4D65FBF5">
      <w:pPr>
        <w:pageBreakBefore w:val="0"/>
        <w:kinsoku/>
        <w:wordWrap/>
        <w:overflowPunct/>
        <w:bidi w:val="0"/>
        <w:snapToGrid w:val="0"/>
        <w:spacing w:line="300" w:lineRule="auto"/>
        <w:ind w:left="0" w:leftChars="0" w:right="0"/>
        <w:jc w:val="center"/>
        <w:rPr>
          <w:rFonts w:hint="default" w:ascii="Calibri" w:hAnsi="Calibri" w:eastAsia="黑体" w:cs="Calibri"/>
          <w:bCs/>
          <w:color w:val="auto"/>
          <w:spacing w:val="6"/>
          <w:sz w:val="28"/>
          <w:szCs w:val="28"/>
          <w:highlight w:val="none"/>
        </w:rPr>
      </w:pPr>
      <w:r>
        <w:rPr>
          <w:rFonts w:hint="default" w:ascii="Calibri" w:hAnsi="Calibri" w:eastAsia="黑体" w:cs="Calibri"/>
          <w:bCs/>
          <w:color w:val="auto"/>
          <w:spacing w:val="6"/>
          <w:sz w:val="28"/>
          <w:szCs w:val="28"/>
          <w:highlight w:val="none"/>
        </w:rPr>
        <w:t>关于发布参与实施政府采购节能产品、环境标志产品认证机构名录的公告</w:t>
      </w:r>
    </w:p>
    <w:p w14:paraId="5E425C18">
      <w:pPr>
        <w:pageBreakBefore w:val="0"/>
        <w:kinsoku/>
        <w:wordWrap/>
        <w:overflowPunct/>
        <w:bidi w:val="0"/>
        <w:snapToGrid w:val="0"/>
        <w:spacing w:line="300" w:lineRule="auto"/>
        <w:ind w:left="0" w:leftChars="0" w:right="0"/>
        <w:jc w:val="center"/>
        <w:rPr>
          <w:rFonts w:hint="default" w:ascii="Calibri" w:hAnsi="Calibri" w:cs="Calibri"/>
          <w:color w:val="auto"/>
          <w:highlight w:val="none"/>
        </w:rPr>
      </w:pPr>
      <w:r>
        <w:rPr>
          <w:rFonts w:hint="default" w:ascii="Calibri" w:hAnsi="Calibri" w:cs="Calibri"/>
          <w:color w:val="auto"/>
          <w:highlight w:val="none"/>
        </w:rPr>
        <w:t>2019年第16号</w:t>
      </w:r>
    </w:p>
    <w:p w14:paraId="4B152D78">
      <w:pPr>
        <w:pageBreakBefore w:val="0"/>
        <w:kinsoku/>
        <w:wordWrap/>
        <w:overflowPunct/>
        <w:bidi w:val="0"/>
        <w:snapToGrid w:val="0"/>
        <w:spacing w:line="300" w:lineRule="auto"/>
        <w:ind w:left="0" w:leftChars="0" w:right="0" w:firstLine="420" w:firstLineChars="200"/>
        <w:rPr>
          <w:rFonts w:hint="default" w:ascii="Calibri" w:hAnsi="Calibri" w:cs="Calibri"/>
          <w:color w:val="auto"/>
          <w:highlight w:val="none"/>
        </w:rPr>
      </w:pPr>
      <w:r>
        <w:rPr>
          <w:rFonts w:hint="default" w:ascii="Calibri" w:hAnsi="Calibri" w:cs="Calibri"/>
          <w:color w:val="auto"/>
          <w:highlight w:val="none"/>
        </w:rPr>
        <w:t>根据《财政部 发展改革委 生态环境部 市场监管总局关于调整优化节能产品、环境标志产品政府采购执行机制的通知》(财库〔2019〕9号)和《市场监管总局办公厅关于扩大参与实施政府采购节能产品、环境标志产品认证机构范围的通知》（市监认证函〔2019〕513号）要求，经商财政部、发展改革委、生态环境部，市场监管总局已组织完成扩大参与实施政府采购节能产品、环境标志产品认证机构范围试点优选工作，现将《参与实施政府采购节能产品认证机构名录》《参与实施政府采购环境标志产品认证机构名录》予以公布。</w:t>
      </w:r>
    </w:p>
    <w:p w14:paraId="412542C2">
      <w:pPr>
        <w:pageBreakBefore w:val="0"/>
        <w:kinsoku/>
        <w:wordWrap/>
        <w:overflowPunct/>
        <w:bidi w:val="0"/>
        <w:snapToGrid w:val="0"/>
        <w:spacing w:line="300" w:lineRule="auto"/>
        <w:ind w:left="0" w:leftChars="0" w:right="0" w:firstLine="420" w:firstLineChars="200"/>
        <w:rPr>
          <w:rFonts w:hint="default" w:ascii="Calibri" w:hAnsi="Calibri" w:cs="Calibri"/>
          <w:color w:val="auto"/>
          <w:highlight w:val="none"/>
        </w:rPr>
      </w:pPr>
      <w:r>
        <w:rPr>
          <w:rFonts w:hint="default" w:ascii="Calibri" w:hAnsi="Calibri" w:cs="Calibri"/>
          <w:color w:val="auto"/>
          <w:highlight w:val="none"/>
        </w:rPr>
        <w:t>自本公告发布后，新增认证机构应尽快完成政府采购认证信息系统对接，对接完成后方可开展相关认证工作。</w:t>
      </w:r>
    </w:p>
    <w:p w14:paraId="647622BD">
      <w:pPr>
        <w:pageBreakBefore w:val="0"/>
        <w:kinsoku/>
        <w:wordWrap/>
        <w:overflowPunct/>
        <w:bidi w:val="0"/>
        <w:snapToGrid w:val="0"/>
        <w:spacing w:line="300" w:lineRule="auto"/>
        <w:ind w:left="0" w:leftChars="0" w:right="0"/>
        <w:jc w:val="right"/>
        <w:rPr>
          <w:rFonts w:hint="default" w:ascii="Calibri" w:hAnsi="Calibri" w:cs="Calibri"/>
          <w:color w:val="auto"/>
          <w:highlight w:val="none"/>
        </w:rPr>
      </w:pPr>
      <w:r>
        <w:rPr>
          <w:rFonts w:hint="default" w:ascii="Calibri" w:hAnsi="Calibri" w:cs="Calibri"/>
          <w:color w:val="auto"/>
          <w:highlight w:val="none"/>
        </w:rPr>
        <w:t>市场监管总局</w:t>
      </w:r>
    </w:p>
    <w:p w14:paraId="1E852591">
      <w:pPr>
        <w:pageBreakBefore w:val="0"/>
        <w:kinsoku/>
        <w:wordWrap/>
        <w:overflowPunct/>
        <w:bidi w:val="0"/>
        <w:snapToGrid w:val="0"/>
        <w:spacing w:line="300" w:lineRule="auto"/>
        <w:ind w:left="0" w:leftChars="0" w:right="0"/>
        <w:jc w:val="right"/>
        <w:rPr>
          <w:rFonts w:hint="default" w:ascii="Calibri" w:hAnsi="Calibri" w:cs="Calibri"/>
          <w:color w:val="auto"/>
          <w:highlight w:val="none"/>
        </w:rPr>
      </w:pPr>
      <w:r>
        <w:rPr>
          <w:rFonts w:hint="default" w:ascii="Calibri" w:hAnsi="Calibri" w:cs="Calibri"/>
          <w:color w:val="auto"/>
          <w:highlight w:val="none"/>
        </w:rPr>
        <w:t>2019年4月3日</w:t>
      </w:r>
    </w:p>
    <w:p w14:paraId="168786C7">
      <w:pPr>
        <w:pageBreakBefore w:val="0"/>
        <w:kinsoku/>
        <w:wordWrap/>
        <w:overflowPunct/>
        <w:bidi w:val="0"/>
        <w:snapToGrid w:val="0"/>
        <w:spacing w:line="300" w:lineRule="auto"/>
        <w:ind w:left="0" w:leftChars="0" w:right="0"/>
        <w:rPr>
          <w:rFonts w:hint="default" w:ascii="Calibri" w:hAnsi="Calibri" w:cs="Calibri"/>
          <w:color w:val="auto"/>
          <w:highlight w:val="none"/>
        </w:rPr>
      </w:pPr>
      <w:r>
        <w:rPr>
          <w:rFonts w:hint="default" w:ascii="Calibri" w:hAnsi="Calibri" w:cs="Calibri"/>
          <w:color w:val="auto"/>
          <w:highlight w:val="none"/>
        </w:rPr>
        <w:t>（此件公开发布）</w:t>
      </w:r>
    </w:p>
    <w:p w14:paraId="5B63A3A4">
      <w:pPr>
        <w:pageBreakBefore w:val="0"/>
        <w:kinsoku/>
        <w:wordWrap/>
        <w:overflowPunct/>
        <w:bidi w:val="0"/>
        <w:snapToGrid w:val="0"/>
        <w:spacing w:line="300" w:lineRule="auto"/>
        <w:ind w:left="0" w:leftChars="0" w:right="0"/>
        <w:jc w:val="center"/>
        <w:rPr>
          <w:rFonts w:hint="default" w:ascii="Calibri" w:hAnsi="Calibri" w:cs="Calibri"/>
          <w:color w:val="auto"/>
          <w:highlight w:val="none"/>
        </w:rPr>
      </w:pPr>
      <w:r>
        <w:rPr>
          <w:rFonts w:hint="default" w:ascii="Calibri" w:hAnsi="Calibri" w:cs="Calibri"/>
          <w:color w:val="auto"/>
          <w:highlight w:val="none"/>
        </w:rPr>
        <w:t>参与实施政府采购节能产品认证机构名录</w:t>
      </w:r>
    </w:p>
    <w:tbl>
      <w:tblPr>
        <w:tblStyle w:val="5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Layout w:type="autofit"/>
        <w:tblCellMar>
          <w:top w:w="30" w:type="dxa"/>
          <w:left w:w="30" w:type="dxa"/>
          <w:bottom w:w="30" w:type="dxa"/>
          <w:right w:w="30" w:type="dxa"/>
        </w:tblCellMar>
      </w:tblPr>
      <w:tblGrid>
        <w:gridCol w:w="607"/>
        <w:gridCol w:w="1120"/>
        <w:gridCol w:w="1515"/>
        <w:gridCol w:w="1404"/>
        <w:gridCol w:w="1255"/>
        <w:gridCol w:w="2628"/>
      </w:tblGrid>
      <w:tr w14:paraId="17E4A9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30" w:type="dxa"/>
            <w:left w:w="30" w:type="dxa"/>
            <w:bottom w:w="30" w:type="dxa"/>
            <w:right w:w="30" w:type="dxa"/>
          </w:tblCellMar>
        </w:tblPrEx>
        <w:trPr>
          <w:trHeight w:val="454" w:hRule="atLeast"/>
        </w:trPr>
        <w:tc>
          <w:tcPr>
            <w:tcW w:w="607" w:type="dxa"/>
            <w:vMerge w:val="restart"/>
            <w:shd w:val="clear" w:color="auto" w:fill="FFFFFF"/>
            <w:tcMar>
              <w:top w:w="0" w:type="dxa"/>
              <w:left w:w="108" w:type="dxa"/>
              <w:bottom w:w="0" w:type="dxa"/>
              <w:right w:w="108" w:type="dxa"/>
            </w:tcMar>
            <w:vAlign w:val="center"/>
          </w:tcPr>
          <w:p w14:paraId="72E393D9">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序号</w:t>
            </w:r>
          </w:p>
        </w:tc>
        <w:tc>
          <w:tcPr>
            <w:tcW w:w="2635" w:type="dxa"/>
            <w:gridSpan w:val="2"/>
            <w:shd w:val="clear" w:color="auto" w:fill="FFFFFF"/>
            <w:tcMar>
              <w:top w:w="0" w:type="dxa"/>
              <w:left w:w="108" w:type="dxa"/>
              <w:bottom w:w="0" w:type="dxa"/>
              <w:right w:w="108" w:type="dxa"/>
            </w:tcMar>
            <w:vAlign w:val="center"/>
          </w:tcPr>
          <w:p w14:paraId="3346116F">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一级目录</w:t>
            </w:r>
          </w:p>
        </w:tc>
        <w:tc>
          <w:tcPr>
            <w:tcW w:w="2659" w:type="dxa"/>
            <w:gridSpan w:val="2"/>
            <w:shd w:val="clear" w:color="auto" w:fill="FFFFFF"/>
            <w:tcMar>
              <w:top w:w="0" w:type="dxa"/>
              <w:left w:w="108" w:type="dxa"/>
              <w:bottom w:w="0" w:type="dxa"/>
              <w:right w:w="108" w:type="dxa"/>
            </w:tcMar>
            <w:vAlign w:val="center"/>
          </w:tcPr>
          <w:p w14:paraId="2F9B689A">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二级目录</w:t>
            </w:r>
          </w:p>
        </w:tc>
        <w:tc>
          <w:tcPr>
            <w:tcW w:w="2628" w:type="dxa"/>
            <w:vMerge w:val="restart"/>
            <w:shd w:val="clear" w:color="auto" w:fill="FFFFFF"/>
            <w:tcMar>
              <w:top w:w="0" w:type="dxa"/>
              <w:left w:w="108" w:type="dxa"/>
              <w:bottom w:w="0" w:type="dxa"/>
              <w:right w:w="108" w:type="dxa"/>
            </w:tcMar>
            <w:vAlign w:val="center"/>
          </w:tcPr>
          <w:p w14:paraId="5C79881F">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认证机构名录</w:t>
            </w:r>
          </w:p>
        </w:tc>
      </w:tr>
      <w:tr w14:paraId="4B3B55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30" w:type="dxa"/>
            <w:left w:w="30" w:type="dxa"/>
            <w:bottom w:w="30" w:type="dxa"/>
            <w:right w:w="30" w:type="dxa"/>
          </w:tblCellMar>
        </w:tblPrEx>
        <w:trPr>
          <w:trHeight w:val="454" w:hRule="atLeast"/>
        </w:trPr>
        <w:tc>
          <w:tcPr>
            <w:tcW w:w="607" w:type="dxa"/>
            <w:vMerge w:val="continue"/>
            <w:shd w:val="clear" w:color="auto" w:fill="FFFFFF"/>
            <w:tcMar>
              <w:top w:w="0" w:type="dxa"/>
              <w:left w:w="108" w:type="dxa"/>
              <w:bottom w:w="0" w:type="dxa"/>
              <w:right w:w="108" w:type="dxa"/>
            </w:tcMar>
            <w:vAlign w:val="center"/>
          </w:tcPr>
          <w:p w14:paraId="30225355">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p>
        </w:tc>
        <w:tc>
          <w:tcPr>
            <w:tcW w:w="1120" w:type="dxa"/>
            <w:shd w:val="clear" w:color="auto" w:fill="FFFFFF"/>
            <w:tcMar>
              <w:top w:w="0" w:type="dxa"/>
              <w:left w:w="108" w:type="dxa"/>
              <w:bottom w:w="0" w:type="dxa"/>
              <w:right w:w="108" w:type="dxa"/>
            </w:tcMar>
            <w:vAlign w:val="center"/>
          </w:tcPr>
          <w:p w14:paraId="21AB421F">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产品代码</w:t>
            </w:r>
          </w:p>
        </w:tc>
        <w:tc>
          <w:tcPr>
            <w:tcW w:w="1515" w:type="dxa"/>
            <w:shd w:val="clear" w:color="auto" w:fill="FFFFFF"/>
            <w:tcMar>
              <w:top w:w="0" w:type="dxa"/>
              <w:left w:w="108" w:type="dxa"/>
              <w:bottom w:w="0" w:type="dxa"/>
              <w:right w:w="108" w:type="dxa"/>
            </w:tcMar>
            <w:vAlign w:val="center"/>
          </w:tcPr>
          <w:p w14:paraId="1D1C9646">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产品名称</w:t>
            </w:r>
          </w:p>
        </w:tc>
        <w:tc>
          <w:tcPr>
            <w:tcW w:w="1404" w:type="dxa"/>
            <w:shd w:val="clear" w:color="auto" w:fill="FFFFFF"/>
            <w:tcMar>
              <w:top w:w="0" w:type="dxa"/>
              <w:left w:w="108" w:type="dxa"/>
              <w:bottom w:w="0" w:type="dxa"/>
              <w:right w:w="108" w:type="dxa"/>
            </w:tcMar>
            <w:vAlign w:val="center"/>
          </w:tcPr>
          <w:p w14:paraId="14CEA016">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产品代码</w:t>
            </w:r>
          </w:p>
        </w:tc>
        <w:tc>
          <w:tcPr>
            <w:tcW w:w="1255" w:type="dxa"/>
            <w:shd w:val="clear" w:color="auto" w:fill="FFFFFF"/>
            <w:tcMar>
              <w:top w:w="0" w:type="dxa"/>
              <w:left w:w="108" w:type="dxa"/>
              <w:bottom w:w="0" w:type="dxa"/>
              <w:right w:w="108" w:type="dxa"/>
            </w:tcMar>
            <w:vAlign w:val="center"/>
          </w:tcPr>
          <w:p w14:paraId="00B51FE6">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产品名称</w:t>
            </w:r>
          </w:p>
        </w:tc>
        <w:tc>
          <w:tcPr>
            <w:tcW w:w="2628" w:type="dxa"/>
            <w:vMerge w:val="continue"/>
            <w:shd w:val="clear" w:color="auto" w:fill="FFFFFF"/>
            <w:tcMar>
              <w:top w:w="0" w:type="dxa"/>
              <w:left w:w="108" w:type="dxa"/>
              <w:bottom w:w="0" w:type="dxa"/>
              <w:right w:w="108" w:type="dxa"/>
            </w:tcMar>
            <w:vAlign w:val="center"/>
          </w:tcPr>
          <w:p w14:paraId="5F2ABFCD">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p>
        </w:tc>
      </w:tr>
      <w:tr w14:paraId="33124A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30" w:type="dxa"/>
            <w:left w:w="30" w:type="dxa"/>
            <w:bottom w:w="30" w:type="dxa"/>
            <w:right w:w="30" w:type="dxa"/>
          </w:tblCellMar>
        </w:tblPrEx>
        <w:trPr>
          <w:trHeight w:val="454" w:hRule="atLeast"/>
        </w:trPr>
        <w:tc>
          <w:tcPr>
            <w:tcW w:w="607" w:type="dxa"/>
            <w:vMerge w:val="restart"/>
            <w:shd w:val="clear" w:color="auto" w:fill="FFFFFF"/>
            <w:tcMar>
              <w:top w:w="0" w:type="dxa"/>
              <w:left w:w="108" w:type="dxa"/>
              <w:bottom w:w="0" w:type="dxa"/>
              <w:right w:w="108" w:type="dxa"/>
            </w:tcMar>
            <w:vAlign w:val="center"/>
          </w:tcPr>
          <w:p w14:paraId="4A00AB01">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1</w:t>
            </w:r>
          </w:p>
        </w:tc>
        <w:tc>
          <w:tcPr>
            <w:tcW w:w="1120" w:type="dxa"/>
            <w:vMerge w:val="restart"/>
            <w:shd w:val="clear" w:color="auto" w:fill="FFFFFF"/>
            <w:tcMar>
              <w:top w:w="0" w:type="dxa"/>
              <w:left w:w="108" w:type="dxa"/>
              <w:bottom w:w="0" w:type="dxa"/>
              <w:right w:w="108" w:type="dxa"/>
            </w:tcMar>
            <w:vAlign w:val="center"/>
          </w:tcPr>
          <w:p w14:paraId="41599DD5">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A020101</w:t>
            </w:r>
          </w:p>
        </w:tc>
        <w:tc>
          <w:tcPr>
            <w:tcW w:w="1515" w:type="dxa"/>
            <w:vMerge w:val="restart"/>
            <w:shd w:val="clear" w:color="auto" w:fill="FFFFFF"/>
            <w:tcMar>
              <w:top w:w="0" w:type="dxa"/>
              <w:left w:w="108" w:type="dxa"/>
              <w:bottom w:w="0" w:type="dxa"/>
              <w:right w:w="108" w:type="dxa"/>
            </w:tcMar>
            <w:vAlign w:val="center"/>
          </w:tcPr>
          <w:p w14:paraId="6C2E1DF9">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计算机设备</w:t>
            </w:r>
          </w:p>
        </w:tc>
        <w:tc>
          <w:tcPr>
            <w:tcW w:w="1404" w:type="dxa"/>
            <w:shd w:val="clear" w:color="auto" w:fill="FFFFFF"/>
            <w:tcMar>
              <w:top w:w="0" w:type="dxa"/>
              <w:left w:w="108" w:type="dxa"/>
              <w:bottom w:w="0" w:type="dxa"/>
              <w:right w:w="108" w:type="dxa"/>
            </w:tcMar>
            <w:vAlign w:val="center"/>
          </w:tcPr>
          <w:p w14:paraId="34CAC486">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A02010104</w:t>
            </w:r>
          </w:p>
        </w:tc>
        <w:tc>
          <w:tcPr>
            <w:tcW w:w="1255" w:type="dxa"/>
            <w:shd w:val="clear" w:color="auto" w:fill="FFFFFF"/>
            <w:tcMar>
              <w:top w:w="0" w:type="dxa"/>
              <w:left w:w="108" w:type="dxa"/>
              <w:bottom w:w="0" w:type="dxa"/>
              <w:right w:w="108" w:type="dxa"/>
            </w:tcMar>
            <w:vAlign w:val="center"/>
          </w:tcPr>
          <w:p w14:paraId="75E4F042">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台式计算机</w:t>
            </w:r>
          </w:p>
        </w:tc>
        <w:tc>
          <w:tcPr>
            <w:tcW w:w="2628" w:type="dxa"/>
            <w:vMerge w:val="restart"/>
            <w:shd w:val="clear" w:color="auto" w:fill="FFFFFF"/>
            <w:tcMar>
              <w:top w:w="0" w:type="dxa"/>
              <w:left w:w="108" w:type="dxa"/>
              <w:bottom w:w="0" w:type="dxa"/>
              <w:right w:w="108" w:type="dxa"/>
            </w:tcMar>
            <w:vAlign w:val="center"/>
          </w:tcPr>
          <w:p w14:paraId="3BADFD3F">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中国质量认证中心</w:t>
            </w:r>
          </w:p>
          <w:p w14:paraId="0A92797E">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北京赛西认证有限责任公司</w:t>
            </w:r>
          </w:p>
          <w:p w14:paraId="60EA25FE">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中国网络安全审查技术与认证中心</w:t>
            </w:r>
          </w:p>
          <w:p w14:paraId="0406F740">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广州赛宝认证中心服务有限公司</w:t>
            </w:r>
          </w:p>
        </w:tc>
      </w:tr>
      <w:tr w14:paraId="5EB453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30" w:type="dxa"/>
            <w:left w:w="30" w:type="dxa"/>
            <w:bottom w:w="30" w:type="dxa"/>
            <w:right w:w="30" w:type="dxa"/>
          </w:tblCellMar>
        </w:tblPrEx>
        <w:trPr>
          <w:trHeight w:val="454" w:hRule="atLeast"/>
        </w:trPr>
        <w:tc>
          <w:tcPr>
            <w:tcW w:w="607" w:type="dxa"/>
            <w:vMerge w:val="continue"/>
            <w:shd w:val="clear" w:color="auto" w:fill="FFFFFF"/>
            <w:tcMar>
              <w:top w:w="0" w:type="dxa"/>
              <w:left w:w="108" w:type="dxa"/>
              <w:bottom w:w="0" w:type="dxa"/>
              <w:right w:w="108" w:type="dxa"/>
            </w:tcMar>
            <w:vAlign w:val="center"/>
          </w:tcPr>
          <w:p w14:paraId="696A40F4">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p>
        </w:tc>
        <w:tc>
          <w:tcPr>
            <w:tcW w:w="1120" w:type="dxa"/>
            <w:vMerge w:val="continue"/>
            <w:shd w:val="clear" w:color="auto" w:fill="FFFFFF"/>
            <w:tcMar>
              <w:top w:w="0" w:type="dxa"/>
              <w:left w:w="108" w:type="dxa"/>
              <w:bottom w:w="0" w:type="dxa"/>
              <w:right w:w="108" w:type="dxa"/>
            </w:tcMar>
            <w:vAlign w:val="center"/>
          </w:tcPr>
          <w:p w14:paraId="17BE37D5">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p>
        </w:tc>
        <w:tc>
          <w:tcPr>
            <w:tcW w:w="1515" w:type="dxa"/>
            <w:vMerge w:val="continue"/>
            <w:shd w:val="clear" w:color="auto" w:fill="FFFFFF"/>
            <w:tcMar>
              <w:top w:w="0" w:type="dxa"/>
              <w:left w:w="108" w:type="dxa"/>
              <w:bottom w:w="0" w:type="dxa"/>
              <w:right w:w="108" w:type="dxa"/>
            </w:tcMar>
            <w:vAlign w:val="center"/>
          </w:tcPr>
          <w:p w14:paraId="07656FCB">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p>
        </w:tc>
        <w:tc>
          <w:tcPr>
            <w:tcW w:w="1404" w:type="dxa"/>
            <w:shd w:val="clear" w:color="auto" w:fill="FFFFFF"/>
            <w:tcMar>
              <w:top w:w="0" w:type="dxa"/>
              <w:left w:w="108" w:type="dxa"/>
              <w:bottom w:w="0" w:type="dxa"/>
              <w:right w:w="108" w:type="dxa"/>
            </w:tcMar>
            <w:vAlign w:val="center"/>
          </w:tcPr>
          <w:p w14:paraId="68BEB543">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A02010105</w:t>
            </w:r>
          </w:p>
        </w:tc>
        <w:tc>
          <w:tcPr>
            <w:tcW w:w="1255" w:type="dxa"/>
            <w:shd w:val="clear" w:color="auto" w:fill="FFFFFF"/>
            <w:tcMar>
              <w:top w:w="0" w:type="dxa"/>
              <w:left w:w="108" w:type="dxa"/>
              <w:bottom w:w="0" w:type="dxa"/>
              <w:right w:w="108" w:type="dxa"/>
            </w:tcMar>
            <w:vAlign w:val="center"/>
          </w:tcPr>
          <w:p w14:paraId="3E8656AC">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便携式计算机</w:t>
            </w:r>
          </w:p>
        </w:tc>
        <w:tc>
          <w:tcPr>
            <w:tcW w:w="2628" w:type="dxa"/>
            <w:vMerge w:val="continue"/>
            <w:shd w:val="clear" w:color="auto" w:fill="FFFFFF"/>
            <w:tcMar>
              <w:top w:w="0" w:type="dxa"/>
              <w:left w:w="108" w:type="dxa"/>
              <w:bottom w:w="0" w:type="dxa"/>
              <w:right w:w="108" w:type="dxa"/>
            </w:tcMar>
            <w:vAlign w:val="center"/>
          </w:tcPr>
          <w:p w14:paraId="0945C2A0">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p>
        </w:tc>
      </w:tr>
      <w:tr w14:paraId="4377C8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30" w:type="dxa"/>
            <w:left w:w="30" w:type="dxa"/>
            <w:bottom w:w="30" w:type="dxa"/>
            <w:right w:w="30" w:type="dxa"/>
          </w:tblCellMar>
        </w:tblPrEx>
        <w:trPr>
          <w:trHeight w:val="454" w:hRule="atLeast"/>
        </w:trPr>
        <w:tc>
          <w:tcPr>
            <w:tcW w:w="607" w:type="dxa"/>
            <w:vMerge w:val="continue"/>
            <w:shd w:val="clear" w:color="auto" w:fill="FFFFFF"/>
            <w:tcMar>
              <w:top w:w="0" w:type="dxa"/>
              <w:left w:w="108" w:type="dxa"/>
              <w:bottom w:w="0" w:type="dxa"/>
              <w:right w:w="108" w:type="dxa"/>
            </w:tcMar>
            <w:vAlign w:val="center"/>
          </w:tcPr>
          <w:p w14:paraId="4A8ADAD7">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p>
        </w:tc>
        <w:tc>
          <w:tcPr>
            <w:tcW w:w="1120" w:type="dxa"/>
            <w:vMerge w:val="continue"/>
            <w:shd w:val="clear" w:color="auto" w:fill="FFFFFF"/>
            <w:tcMar>
              <w:top w:w="0" w:type="dxa"/>
              <w:left w:w="108" w:type="dxa"/>
              <w:bottom w:w="0" w:type="dxa"/>
              <w:right w:w="108" w:type="dxa"/>
            </w:tcMar>
            <w:vAlign w:val="center"/>
          </w:tcPr>
          <w:p w14:paraId="42893975">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p>
        </w:tc>
        <w:tc>
          <w:tcPr>
            <w:tcW w:w="1515" w:type="dxa"/>
            <w:vMerge w:val="continue"/>
            <w:shd w:val="clear" w:color="auto" w:fill="FFFFFF"/>
            <w:tcMar>
              <w:top w:w="0" w:type="dxa"/>
              <w:left w:w="108" w:type="dxa"/>
              <w:bottom w:w="0" w:type="dxa"/>
              <w:right w:w="108" w:type="dxa"/>
            </w:tcMar>
            <w:vAlign w:val="center"/>
          </w:tcPr>
          <w:p w14:paraId="7C6A85C0">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p>
        </w:tc>
        <w:tc>
          <w:tcPr>
            <w:tcW w:w="1404" w:type="dxa"/>
            <w:shd w:val="clear" w:color="auto" w:fill="FFFFFF"/>
            <w:tcMar>
              <w:top w:w="0" w:type="dxa"/>
              <w:left w:w="108" w:type="dxa"/>
              <w:bottom w:w="0" w:type="dxa"/>
              <w:right w:w="108" w:type="dxa"/>
            </w:tcMar>
            <w:vAlign w:val="center"/>
          </w:tcPr>
          <w:p w14:paraId="3114D25B">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A02010107</w:t>
            </w:r>
          </w:p>
        </w:tc>
        <w:tc>
          <w:tcPr>
            <w:tcW w:w="1255" w:type="dxa"/>
            <w:shd w:val="clear" w:color="auto" w:fill="FFFFFF"/>
            <w:tcMar>
              <w:top w:w="0" w:type="dxa"/>
              <w:left w:w="108" w:type="dxa"/>
              <w:bottom w:w="0" w:type="dxa"/>
              <w:right w:w="108" w:type="dxa"/>
            </w:tcMar>
            <w:vAlign w:val="center"/>
          </w:tcPr>
          <w:p w14:paraId="78B4075A">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平板式微型计算机</w:t>
            </w:r>
          </w:p>
        </w:tc>
        <w:tc>
          <w:tcPr>
            <w:tcW w:w="2628" w:type="dxa"/>
            <w:vMerge w:val="continue"/>
            <w:shd w:val="clear" w:color="auto" w:fill="FFFFFF"/>
            <w:tcMar>
              <w:top w:w="0" w:type="dxa"/>
              <w:left w:w="108" w:type="dxa"/>
              <w:bottom w:w="0" w:type="dxa"/>
              <w:right w:w="108" w:type="dxa"/>
            </w:tcMar>
            <w:vAlign w:val="center"/>
          </w:tcPr>
          <w:p w14:paraId="7D6A016C">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p>
        </w:tc>
      </w:tr>
      <w:tr w14:paraId="146562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30" w:type="dxa"/>
            <w:left w:w="30" w:type="dxa"/>
            <w:bottom w:w="30" w:type="dxa"/>
            <w:right w:w="30" w:type="dxa"/>
          </w:tblCellMar>
        </w:tblPrEx>
        <w:trPr>
          <w:trHeight w:val="454" w:hRule="atLeast"/>
        </w:trPr>
        <w:tc>
          <w:tcPr>
            <w:tcW w:w="607" w:type="dxa"/>
            <w:vMerge w:val="restart"/>
            <w:shd w:val="clear" w:color="auto" w:fill="FFFFFF"/>
            <w:tcMar>
              <w:top w:w="0" w:type="dxa"/>
              <w:left w:w="108" w:type="dxa"/>
              <w:bottom w:w="0" w:type="dxa"/>
              <w:right w:w="108" w:type="dxa"/>
            </w:tcMar>
            <w:vAlign w:val="center"/>
          </w:tcPr>
          <w:p w14:paraId="56023ED0">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2</w:t>
            </w:r>
          </w:p>
        </w:tc>
        <w:tc>
          <w:tcPr>
            <w:tcW w:w="1120" w:type="dxa"/>
            <w:vMerge w:val="restart"/>
            <w:shd w:val="clear" w:color="auto" w:fill="FFFFFF"/>
            <w:tcMar>
              <w:top w:w="0" w:type="dxa"/>
              <w:left w:w="108" w:type="dxa"/>
              <w:bottom w:w="0" w:type="dxa"/>
              <w:right w:w="108" w:type="dxa"/>
            </w:tcMar>
            <w:vAlign w:val="center"/>
          </w:tcPr>
          <w:p w14:paraId="4B3E6789">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A020106</w:t>
            </w:r>
          </w:p>
        </w:tc>
        <w:tc>
          <w:tcPr>
            <w:tcW w:w="1515" w:type="dxa"/>
            <w:vMerge w:val="restart"/>
            <w:shd w:val="clear" w:color="auto" w:fill="FFFFFF"/>
            <w:tcMar>
              <w:top w:w="0" w:type="dxa"/>
              <w:left w:w="108" w:type="dxa"/>
              <w:bottom w:w="0" w:type="dxa"/>
              <w:right w:w="108" w:type="dxa"/>
            </w:tcMar>
            <w:vAlign w:val="center"/>
          </w:tcPr>
          <w:p w14:paraId="4E6FB097">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输入输出设备</w:t>
            </w:r>
          </w:p>
        </w:tc>
        <w:tc>
          <w:tcPr>
            <w:tcW w:w="1404" w:type="dxa"/>
            <w:shd w:val="clear" w:color="auto" w:fill="FFFFFF"/>
            <w:tcMar>
              <w:top w:w="0" w:type="dxa"/>
              <w:left w:w="108" w:type="dxa"/>
              <w:bottom w:w="0" w:type="dxa"/>
              <w:right w:w="108" w:type="dxa"/>
            </w:tcMar>
            <w:vAlign w:val="center"/>
          </w:tcPr>
          <w:p w14:paraId="522B10E3">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A02010601</w:t>
            </w:r>
          </w:p>
        </w:tc>
        <w:tc>
          <w:tcPr>
            <w:tcW w:w="1255" w:type="dxa"/>
            <w:shd w:val="clear" w:color="auto" w:fill="FFFFFF"/>
            <w:tcMar>
              <w:top w:w="0" w:type="dxa"/>
              <w:left w:w="108" w:type="dxa"/>
              <w:bottom w:w="0" w:type="dxa"/>
              <w:right w:w="108" w:type="dxa"/>
            </w:tcMar>
            <w:vAlign w:val="center"/>
          </w:tcPr>
          <w:p w14:paraId="34801116">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打印设备</w:t>
            </w:r>
          </w:p>
        </w:tc>
        <w:tc>
          <w:tcPr>
            <w:tcW w:w="2628" w:type="dxa"/>
            <w:vMerge w:val="continue"/>
            <w:shd w:val="clear" w:color="auto" w:fill="FFFFFF"/>
            <w:tcMar>
              <w:top w:w="0" w:type="dxa"/>
              <w:left w:w="108" w:type="dxa"/>
              <w:bottom w:w="0" w:type="dxa"/>
              <w:right w:w="108" w:type="dxa"/>
            </w:tcMar>
            <w:vAlign w:val="center"/>
          </w:tcPr>
          <w:p w14:paraId="6BD20CAE">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p>
        </w:tc>
      </w:tr>
      <w:tr w14:paraId="7A0BE5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30" w:type="dxa"/>
            <w:left w:w="30" w:type="dxa"/>
            <w:bottom w:w="30" w:type="dxa"/>
            <w:right w:w="30" w:type="dxa"/>
          </w:tblCellMar>
        </w:tblPrEx>
        <w:trPr>
          <w:trHeight w:val="454" w:hRule="atLeast"/>
        </w:trPr>
        <w:tc>
          <w:tcPr>
            <w:tcW w:w="607" w:type="dxa"/>
            <w:vMerge w:val="continue"/>
            <w:shd w:val="clear" w:color="auto" w:fill="FFFFFF"/>
            <w:tcMar>
              <w:top w:w="0" w:type="dxa"/>
              <w:left w:w="108" w:type="dxa"/>
              <w:bottom w:w="0" w:type="dxa"/>
              <w:right w:w="108" w:type="dxa"/>
            </w:tcMar>
            <w:vAlign w:val="center"/>
          </w:tcPr>
          <w:p w14:paraId="01A89EED">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p>
        </w:tc>
        <w:tc>
          <w:tcPr>
            <w:tcW w:w="1120" w:type="dxa"/>
            <w:vMerge w:val="continue"/>
            <w:shd w:val="clear" w:color="auto" w:fill="FFFFFF"/>
            <w:tcMar>
              <w:top w:w="0" w:type="dxa"/>
              <w:left w:w="108" w:type="dxa"/>
              <w:bottom w:w="0" w:type="dxa"/>
              <w:right w:w="108" w:type="dxa"/>
            </w:tcMar>
            <w:vAlign w:val="center"/>
          </w:tcPr>
          <w:p w14:paraId="6E957932">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p>
        </w:tc>
        <w:tc>
          <w:tcPr>
            <w:tcW w:w="1515" w:type="dxa"/>
            <w:vMerge w:val="continue"/>
            <w:shd w:val="clear" w:color="auto" w:fill="FFFFFF"/>
            <w:tcMar>
              <w:top w:w="0" w:type="dxa"/>
              <w:left w:w="108" w:type="dxa"/>
              <w:bottom w:w="0" w:type="dxa"/>
              <w:right w:w="108" w:type="dxa"/>
            </w:tcMar>
            <w:vAlign w:val="center"/>
          </w:tcPr>
          <w:p w14:paraId="4C5E90BB">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p>
        </w:tc>
        <w:tc>
          <w:tcPr>
            <w:tcW w:w="1404" w:type="dxa"/>
            <w:shd w:val="clear" w:color="auto" w:fill="FFFFFF"/>
            <w:tcMar>
              <w:top w:w="0" w:type="dxa"/>
              <w:left w:w="108" w:type="dxa"/>
              <w:bottom w:w="0" w:type="dxa"/>
              <w:right w:w="108" w:type="dxa"/>
            </w:tcMar>
            <w:vAlign w:val="center"/>
          </w:tcPr>
          <w:p w14:paraId="2975A33B">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A02010604</w:t>
            </w:r>
          </w:p>
        </w:tc>
        <w:tc>
          <w:tcPr>
            <w:tcW w:w="1255" w:type="dxa"/>
            <w:shd w:val="clear" w:color="auto" w:fill="FFFFFF"/>
            <w:tcMar>
              <w:top w:w="0" w:type="dxa"/>
              <w:left w:w="108" w:type="dxa"/>
              <w:bottom w:w="0" w:type="dxa"/>
              <w:right w:w="108" w:type="dxa"/>
            </w:tcMar>
            <w:vAlign w:val="center"/>
          </w:tcPr>
          <w:p w14:paraId="58175759">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显示设备</w:t>
            </w:r>
          </w:p>
        </w:tc>
        <w:tc>
          <w:tcPr>
            <w:tcW w:w="2628" w:type="dxa"/>
            <w:vMerge w:val="continue"/>
            <w:shd w:val="clear" w:color="auto" w:fill="FFFFFF"/>
            <w:tcMar>
              <w:top w:w="0" w:type="dxa"/>
              <w:left w:w="108" w:type="dxa"/>
              <w:bottom w:w="0" w:type="dxa"/>
              <w:right w:w="108" w:type="dxa"/>
            </w:tcMar>
            <w:vAlign w:val="center"/>
          </w:tcPr>
          <w:p w14:paraId="0254B6A1">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p>
        </w:tc>
      </w:tr>
      <w:tr w14:paraId="6A7426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30" w:type="dxa"/>
            <w:left w:w="30" w:type="dxa"/>
            <w:bottom w:w="30" w:type="dxa"/>
            <w:right w:w="30" w:type="dxa"/>
          </w:tblCellMar>
        </w:tblPrEx>
        <w:trPr>
          <w:trHeight w:val="454" w:hRule="atLeast"/>
        </w:trPr>
        <w:tc>
          <w:tcPr>
            <w:tcW w:w="607" w:type="dxa"/>
            <w:vMerge w:val="continue"/>
            <w:shd w:val="clear" w:color="auto" w:fill="FFFFFF"/>
            <w:tcMar>
              <w:top w:w="0" w:type="dxa"/>
              <w:left w:w="108" w:type="dxa"/>
              <w:bottom w:w="0" w:type="dxa"/>
              <w:right w:w="108" w:type="dxa"/>
            </w:tcMar>
            <w:vAlign w:val="center"/>
          </w:tcPr>
          <w:p w14:paraId="26C52132">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p>
        </w:tc>
        <w:tc>
          <w:tcPr>
            <w:tcW w:w="1120" w:type="dxa"/>
            <w:vMerge w:val="continue"/>
            <w:shd w:val="clear" w:color="auto" w:fill="FFFFFF"/>
            <w:tcMar>
              <w:top w:w="0" w:type="dxa"/>
              <w:left w:w="108" w:type="dxa"/>
              <w:bottom w:w="0" w:type="dxa"/>
              <w:right w:w="108" w:type="dxa"/>
            </w:tcMar>
            <w:vAlign w:val="center"/>
          </w:tcPr>
          <w:p w14:paraId="59C3A0ED">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p>
        </w:tc>
        <w:tc>
          <w:tcPr>
            <w:tcW w:w="1515" w:type="dxa"/>
            <w:vMerge w:val="continue"/>
            <w:shd w:val="clear" w:color="auto" w:fill="FFFFFF"/>
            <w:tcMar>
              <w:top w:w="0" w:type="dxa"/>
              <w:left w:w="108" w:type="dxa"/>
              <w:bottom w:w="0" w:type="dxa"/>
              <w:right w:w="108" w:type="dxa"/>
            </w:tcMar>
            <w:vAlign w:val="center"/>
          </w:tcPr>
          <w:p w14:paraId="75A77BD0">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p>
        </w:tc>
        <w:tc>
          <w:tcPr>
            <w:tcW w:w="1404" w:type="dxa"/>
            <w:shd w:val="clear" w:color="auto" w:fill="FFFFFF"/>
            <w:tcMar>
              <w:top w:w="0" w:type="dxa"/>
              <w:left w:w="108" w:type="dxa"/>
              <w:bottom w:w="0" w:type="dxa"/>
              <w:right w:w="108" w:type="dxa"/>
            </w:tcMar>
            <w:vAlign w:val="center"/>
          </w:tcPr>
          <w:p w14:paraId="3C85F16A">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A02010609</w:t>
            </w:r>
          </w:p>
        </w:tc>
        <w:tc>
          <w:tcPr>
            <w:tcW w:w="1255" w:type="dxa"/>
            <w:shd w:val="clear" w:color="auto" w:fill="FFFFFF"/>
            <w:tcMar>
              <w:top w:w="0" w:type="dxa"/>
              <w:left w:w="108" w:type="dxa"/>
              <w:bottom w:w="0" w:type="dxa"/>
              <w:right w:w="108" w:type="dxa"/>
            </w:tcMar>
            <w:vAlign w:val="center"/>
          </w:tcPr>
          <w:p w14:paraId="45FFFDCA">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图形图像输入设备</w:t>
            </w:r>
          </w:p>
        </w:tc>
        <w:tc>
          <w:tcPr>
            <w:tcW w:w="2628" w:type="dxa"/>
            <w:vMerge w:val="continue"/>
            <w:shd w:val="clear" w:color="auto" w:fill="FFFFFF"/>
            <w:tcMar>
              <w:top w:w="0" w:type="dxa"/>
              <w:left w:w="108" w:type="dxa"/>
              <w:bottom w:w="0" w:type="dxa"/>
              <w:right w:w="108" w:type="dxa"/>
            </w:tcMar>
            <w:vAlign w:val="center"/>
          </w:tcPr>
          <w:p w14:paraId="0C36981D">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p>
        </w:tc>
      </w:tr>
      <w:tr w14:paraId="1CDE40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30" w:type="dxa"/>
            <w:left w:w="30" w:type="dxa"/>
            <w:bottom w:w="30" w:type="dxa"/>
            <w:right w:w="30" w:type="dxa"/>
          </w:tblCellMar>
        </w:tblPrEx>
        <w:trPr>
          <w:trHeight w:val="454" w:hRule="atLeast"/>
        </w:trPr>
        <w:tc>
          <w:tcPr>
            <w:tcW w:w="607" w:type="dxa"/>
            <w:shd w:val="clear" w:color="auto" w:fill="FFFFFF"/>
            <w:tcMar>
              <w:top w:w="0" w:type="dxa"/>
              <w:left w:w="108" w:type="dxa"/>
              <w:bottom w:w="0" w:type="dxa"/>
              <w:right w:w="108" w:type="dxa"/>
            </w:tcMar>
            <w:vAlign w:val="center"/>
          </w:tcPr>
          <w:p w14:paraId="5B73DF88">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3</w:t>
            </w:r>
          </w:p>
        </w:tc>
        <w:tc>
          <w:tcPr>
            <w:tcW w:w="1120" w:type="dxa"/>
            <w:shd w:val="clear" w:color="auto" w:fill="FFFFFF"/>
            <w:tcMar>
              <w:top w:w="0" w:type="dxa"/>
              <w:left w:w="108" w:type="dxa"/>
              <w:bottom w:w="0" w:type="dxa"/>
              <w:right w:w="108" w:type="dxa"/>
            </w:tcMar>
            <w:vAlign w:val="center"/>
          </w:tcPr>
          <w:p w14:paraId="37A99D67">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A020202</w:t>
            </w:r>
          </w:p>
        </w:tc>
        <w:tc>
          <w:tcPr>
            <w:tcW w:w="1515" w:type="dxa"/>
            <w:shd w:val="clear" w:color="auto" w:fill="FFFFFF"/>
            <w:tcMar>
              <w:top w:w="0" w:type="dxa"/>
              <w:left w:w="108" w:type="dxa"/>
              <w:bottom w:w="0" w:type="dxa"/>
              <w:right w:w="108" w:type="dxa"/>
            </w:tcMar>
            <w:vAlign w:val="center"/>
          </w:tcPr>
          <w:p w14:paraId="7B46FBFC">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投影仪</w:t>
            </w:r>
          </w:p>
        </w:tc>
        <w:tc>
          <w:tcPr>
            <w:tcW w:w="1404" w:type="dxa"/>
            <w:shd w:val="clear" w:color="auto" w:fill="FFFFFF"/>
            <w:tcMar>
              <w:top w:w="0" w:type="dxa"/>
              <w:left w:w="108" w:type="dxa"/>
              <w:bottom w:w="0" w:type="dxa"/>
              <w:right w:w="108" w:type="dxa"/>
            </w:tcMar>
            <w:vAlign w:val="center"/>
          </w:tcPr>
          <w:p w14:paraId="14883861">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p>
        </w:tc>
        <w:tc>
          <w:tcPr>
            <w:tcW w:w="1255" w:type="dxa"/>
            <w:shd w:val="clear" w:color="auto" w:fill="FFFFFF"/>
            <w:tcMar>
              <w:top w:w="0" w:type="dxa"/>
              <w:left w:w="108" w:type="dxa"/>
              <w:bottom w:w="0" w:type="dxa"/>
              <w:right w:w="108" w:type="dxa"/>
            </w:tcMar>
            <w:vAlign w:val="center"/>
          </w:tcPr>
          <w:p w14:paraId="6C26BE6C">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p>
        </w:tc>
        <w:tc>
          <w:tcPr>
            <w:tcW w:w="2628" w:type="dxa"/>
            <w:vMerge w:val="continue"/>
            <w:shd w:val="clear" w:color="auto" w:fill="FFFFFF"/>
            <w:tcMar>
              <w:top w:w="0" w:type="dxa"/>
              <w:left w:w="108" w:type="dxa"/>
              <w:bottom w:w="0" w:type="dxa"/>
              <w:right w:w="108" w:type="dxa"/>
            </w:tcMar>
            <w:vAlign w:val="center"/>
          </w:tcPr>
          <w:p w14:paraId="0E119321">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p>
        </w:tc>
      </w:tr>
      <w:tr w14:paraId="1BAE84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30" w:type="dxa"/>
            <w:left w:w="30" w:type="dxa"/>
            <w:bottom w:w="30" w:type="dxa"/>
            <w:right w:w="30" w:type="dxa"/>
          </w:tblCellMar>
        </w:tblPrEx>
        <w:trPr>
          <w:trHeight w:val="454" w:hRule="atLeast"/>
        </w:trPr>
        <w:tc>
          <w:tcPr>
            <w:tcW w:w="607" w:type="dxa"/>
            <w:shd w:val="clear" w:color="auto" w:fill="FFFFFF"/>
            <w:tcMar>
              <w:top w:w="0" w:type="dxa"/>
              <w:left w:w="108" w:type="dxa"/>
              <w:bottom w:w="0" w:type="dxa"/>
              <w:right w:w="108" w:type="dxa"/>
            </w:tcMar>
            <w:vAlign w:val="center"/>
          </w:tcPr>
          <w:p w14:paraId="49554984">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4</w:t>
            </w:r>
          </w:p>
        </w:tc>
        <w:tc>
          <w:tcPr>
            <w:tcW w:w="1120" w:type="dxa"/>
            <w:shd w:val="clear" w:color="auto" w:fill="FFFFFF"/>
            <w:tcMar>
              <w:top w:w="0" w:type="dxa"/>
              <w:left w:w="108" w:type="dxa"/>
              <w:bottom w:w="0" w:type="dxa"/>
              <w:right w:w="108" w:type="dxa"/>
            </w:tcMar>
            <w:vAlign w:val="center"/>
          </w:tcPr>
          <w:p w14:paraId="019B535E">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A020204</w:t>
            </w:r>
          </w:p>
        </w:tc>
        <w:tc>
          <w:tcPr>
            <w:tcW w:w="1515" w:type="dxa"/>
            <w:shd w:val="clear" w:color="auto" w:fill="FFFFFF"/>
            <w:tcMar>
              <w:top w:w="0" w:type="dxa"/>
              <w:left w:w="108" w:type="dxa"/>
              <w:bottom w:w="0" w:type="dxa"/>
              <w:right w:w="108" w:type="dxa"/>
            </w:tcMar>
            <w:vAlign w:val="center"/>
          </w:tcPr>
          <w:p w14:paraId="0896EBB1">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多功能一体机</w:t>
            </w:r>
          </w:p>
        </w:tc>
        <w:tc>
          <w:tcPr>
            <w:tcW w:w="1404" w:type="dxa"/>
            <w:shd w:val="clear" w:color="auto" w:fill="FFFFFF"/>
            <w:tcMar>
              <w:top w:w="0" w:type="dxa"/>
              <w:left w:w="108" w:type="dxa"/>
              <w:bottom w:w="0" w:type="dxa"/>
              <w:right w:w="108" w:type="dxa"/>
            </w:tcMar>
            <w:vAlign w:val="center"/>
          </w:tcPr>
          <w:p w14:paraId="2F7ADD83">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p>
        </w:tc>
        <w:tc>
          <w:tcPr>
            <w:tcW w:w="1255" w:type="dxa"/>
            <w:shd w:val="clear" w:color="auto" w:fill="FFFFFF"/>
            <w:tcMar>
              <w:top w:w="0" w:type="dxa"/>
              <w:left w:w="108" w:type="dxa"/>
              <w:bottom w:w="0" w:type="dxa"/>
              <w:right w:w="108" w:type="dxa"/>
            </w:tcMar>
            <w:vAlign w:val="center"/>
          </w:tcPr>
          <w:p w14:paraId="320F20D4">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p>
        </w:tc>
        <w:tc>
          <w:tcPr>
            <w:tcW w:w="2628" w:type="dxa"/>
            <w:vMerge w:val="continue"/>
            <w:shd w:val="clear" w:color="auto" w:fill="FFFFFF"/>
            <w:tcMar>
              <w:top w:w="0" w:type="dxa"/>
              <w:left w:w="108" w:type="dxa"/>
              <w:bottom w:w="0" w:type="dxa"/>
              <w:right w:w="108" w:type="dxa"/>
            </w:tcMar>
            <w:vAlign w:val="center"/>
          </w:tcPr>
          <w:p w14:paraId="763DC89B">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p>
        </w:tc>
      </w:tr>
      <w:tr w14:paraId="6BD55F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30" w:type="dxa"/>
            <w:left w:w="30" w:type="dxa"/>
            <w:bottom w:w="30" w:type="dxa"/>
            <w:right w:w="30" w:type="dxa"/>
          </w:tblCellMar>
        </w:tblPrEx>
        <w:trPr>
          <w:trHeight w:val="454" w:hRule="atLeast"/>
        </w:trPr>
        <w:tc>
          <w:tcPr>
            <w:tcW w:w="607" w:type="dxa"/>
            <w:shd w:val="clear" w:color="auto" w:fill="FFFFFF"/>
            <w:tcMar>
              <w:top w:w="0" w:type="dxa"/>
              <w:left w:w="108" w:type="dxa"/>
              <w:bottom w:w="0" w:type="dxa"/>
              <w:right w:w="108" w:type="dxa"/>
            </w:tcMar>
            <w:vAlign w:val="center"/>
          </w:tcPr>
          <w:p w14:paraId="58BB996D">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5</w:t>
            </w:r>
          </w:p>
        </w:tc>
        <w:tc>
          <w:tcPr>
            <w:tcW w:w="1120" w:type="dxa"/>
            <w:shd w:val="clear" w:color="auto" w:fill="FFFFFF"/>
            <w:tcMar>
              <w:top w:w="0" w:type="dxa"/>
              <w:left w:w="108" w:type="dxa"/>
              <w:bottom w:w="0" w:type="dxa"/>
              <w:right w:w="108" w:type="dxa"/>
            </w:tcMar>
            <w:vAlign w:val="center"/>
          </w:tcPr>
          <w:p w14:paraId="3AAEBCC7">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A020519</w:t>
            </w:r>
          </w:p>
        </w:tc>
        <w:tc>
          <w:tcPr>
            <w:tcW w:w="1515" w:type="dxa"/>
            <w:shd w:val="clear" w:color="auto" w:fill="FFFFFF"/>
            <w:tcMar>
              <w:top w:w="0" w:type="dxa"/>
              <w:left w:w="108" w:type="dxa"/>
              <w:bottom w:w="0" w:type="dxa"/>
              <w:right w:w="108" w:type="dxa"/>
            </w:tcMar>
            <w:vAlign w:val="center"/>
          </w:tcPr>
          <w:p w14:paraId="3D4ADE8C">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泵</w:t>
            </w:r>
          </w:p>
        </w:tc>
        <w:tc>
          <w:tcPr>
            <w:tcW w:w="1404" w:type="dxa"/>
            <w:shd w:val="clear" w:color="auto" w:fill="FFFFFF"/>
            <w:tcMar>
              <w:top w:w="0" w:type="dxa"/>
              <w:left w:w="108" w:type="dxa"/>
              <w:bottom w:w="0" w:type="dxa"/>
              <w:right w:w="108" w:type="dxa"/>
            </w:tcMar>
            <w:vAlign w:val="center"/>
          </w:tcPr>
          <w:p w14:paraId="5F309DBF">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A02051901</w:t>
            </w:r>
          </w:p>
        </w:tc>
        <w:tc>
          <w:tcPr>
            <w:tcW w:w="1255" w:type="dxa"/>
            <w:shd w:val="clear" w:color="auto" w:fill="FFFFFF"/>
            <w:tcMar>
              <w:top w:w="0" w:type="dxa"/>
              <w:left w:w="108" w:type="dxa"/>
              <w:bottom w:w="0" w:type="dxa"/>
              <w:right w:w="108" w:type="dxa"/>
            </w:tcMar>
            <w:vAlign w:val="center"/>
          </w:tcPr>
          <w:p w14:paraId="402E6895">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离心泵</w:t>
            </w:r>
          </w:p>
        </w:tc>
        <w:tc>
          <w:tcPr>
            <w:tcW w:w="2628" w:type="dxa"/>
            <w:shd w:val="clear" w:color="auto" w:fill="FFFFFF"/>
            <w:tcMar>
              <w:top w:w="0" w:type="dxa"/>
              <w:left w:w="108" w:type="dxa"/>
              <w:bottom w:w="0" w:type="dxa"/>
              <w:right w:w="108" w:type="dxa"/>
            </w:tcMar>
            <w:vAlign w:val="center"/>
          </w:tcPr>
          <w:p w14:paraId="3289969D">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中国质量认证中心</w:t>
            </w:r>
          </w:p>
          <w:p w14:paraId="2A7D1547">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电能（北京）认证中心有限公司</w:t>
            </w:r>
          </w:p>
          <w:p w14:paraId="3F90FBF0">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方圆标志认证集团有限公司</w:t>
            </w:r>
          </w:p>
        </w:tc>
      </w:tr>
      <w:tr w14:paraId="1BE89C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30" w:type="dxa"/>
            <w:left w:w="30" w:type="dxa"/>
            <w:bottom w:w="30" w:type="dxa"/>
            <w:right w:w="30" w:type="dxa"/>
          </w:tblCellMar>
        </w:tblPrEx>
        <w:trPr>
          <w:trHeight w:val="454" w:hRule="atLeast"/>
        </w:trPr>
        <w:tc>
          <w:tcPr>
            <w:tcW w:w="607" w:type="dxa"/>
            <w:vMerge w:val="restart"/>
            <w:shd w:val="clear" w:color="auto" w:fill="FFFFFF"/>
            <w:tcMar>
              <w:top w:w="0" w:type="dxa"/>
              <w:left w:w="108" w:type="dxa"/>
              <w:bottom w:w="0" w:type="dxa"/>
              <w:right w:w="108" w:type="dxa"/>
            </w:tcMar>
            <w:vAlign w:val="center"/>
          </w:tcPr>
          <w:p w14:paraId="76712C87">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6</w:t>
            </w:r>
          </w:p>
        </w:tc>
        <w:tc>
          <w:tcPr>
            <w:tcW w:w="1120" w:type="dxa"/>
            <w:vMerge w:val="restart"/>
            <w:shd w:val="clear" w:color="auto" w:fill="FFFFFF"/>
            <w:tcMar>
              <w:top w:w="0" w:type="dxa"/>
              <w:left w:w="108" w:type="dxa"/>
              <w:bottom w:w="0" w:type="dxa"/>
              <w:right w:w="108" w:type="dxa"/>
            </w:tcMar>
            <w:vAlign w:val="center"/>
          </w:tcPr>
          <w:p w14:paraId="4A987B79">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A020523</w:t>
            </w:r>
          </w:p>
        </w:tc>
        <w:tc>
          <w:tcPr>
            <w:tcW w:w="1515" w:type="dxa"/>
            <w:vMerge w:val="restart"/>
            <w:shd w:val="clear" w:color="auto" w:fill="FFFFFF"/>
            <w:tcMar>
              <w:top w:w="0" w:type="dxa"/>
              <w:left w:w="108" w:type="dxa"/>
              <w:bottom w:w="0" w:type="dxa"/>
              <w:right w:w="108" w:type="dxa"/>
            </w:tcMar>
            <w:vAlign w:val="center"/>
          </w:tcPr>
          <w:p w14:paraId="6891C2D1">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制冷空调设备</w:t>
            </w:r>
          </w:p>
        </w:tc>
        <w:tc>
          <w:tcPr>
            <w:tcW w:w="1404" w:type="dxa"/>
            <w:shd w:val="clear" w:color="auto" w:fill="FFFFFF"/>
            <w:tcMar>
              <w:top w:w="0" w:type="dxa"/>
              <w:left w:w="108" w:type="dxa"/>
              <w:bottom w:w="0" w:type="dxa"/>
              <w:right w:w="108" w:type="dxa"/>
            </w:tcMar>
            <w:vAlign w:val="center"/>
          </w:tcPr>
          <w:p w14:paraId="1776462C">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A02052301</w:t>
            </w:r>
          </w:p>
        </w:tc>
        <w:tc>
          <w:tcPr>
            <w:tcW w:w="1255" w:type="dxa"/>
            <w:shd w:val="clear" w:color="auto" w:fill="FFFFFF"/>
            <w:tcMar>
              <w:top w:w="0" w:type="dxa"/>
              <w:left w:w="108" w:type="dxa"/>
              <w:bottom w:w="0" w:type="dxa"/>
              <w:right w:w="108" w:type="dxa"/>
            </w:tcMar>
            <w:vAlign w:val="center"/>
          </w:tcPr>
          <w:p w14:paraId="5FBB80E5">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制冷压缩机</w:t>
            </w:r>
          </w:p>
        </w:tc>
        <w:tc>
          <w:tcPr>
            <w:tcW w:w="2628" w:type="dxa"/>
            <w:vMerge w:val="restart"/>
            <w:shd w:val="clear" w:color="auto" w:fill="FFFFFF"/>
            <w:tcMar>
              <w:top w:w="0" w:type="dxa"/>
              <w:left w:w="108" w:type="dxa"/>
              <w:bottom w:w="0" w:type="dxa"/>
              <w:right w:w="108" w:type="dxa"/>
            </w:tcMar>
            <w:vAlign w:val="center"/>
          </w:tcPr>
          <w:p w14:paraId="2F0957AC">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中国质量认证中心</w:t>
            </w:r>
          </w:p>
          <w:p w14:paraId="1318B57D">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威凯认证检测有限公司</w:t>
            </w:r>
          </w:p>
          <w:p w14:paraId="21999BE7">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合肥通用机械产品认证有限公司</w:t>
            </w:r>
          </w:p>
          <w:p w14:paraId="39B25995">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北京中冷通质量认证中心有限公司</w:t>
            </w:r>
          </w:p>
        </w:tc>
      </w:tr>
      <w:tr w14:paraId="13768F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30" w:type="dxa"/>
            <w:left w:w="30" w:type="dxa"/>
            <w:bottom w:w="30" w:type="dxa"/>
            <w:right w:w="30" w:type="dxa"/>
          </w:tblCellMar>
        </w:tblPrEx>
        <w:trPr>
          <w:trHeight w:val="454" w:hRule="atLeast"/>
        </w:trPr>
        <w:tc>
          <w:tcPr>
            <w:tcW w:w="607" w:type="dxa"/>
            <w:vMerge w:val="continue"/>
            <w:shd w:val="clear" w:color="auto" w:fill="FFFFFF"/>
            <w:tcMar>
              <w:top w:w="0" w:type="dxa"/>
              <w:left w:w="108" w:type="dxa"/>
              <w:bottom w:w="0" w:type="dxa"/>
              <w:right w:w="108" w:type="dxa"/>
            </w:tcMar>
            <w:vAlign w:val="center"/>
          </w:tcPr>
          <w:p w14:paraId="43FB925B">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p>
        </w:tc>
        <w:tc>
          <w:tcPr>
            <w:tcW w:w="1120" w:type="dxa"/>
            <w:vMerge w:val="continue"/>
            <w:shd w:val="clear" w:color="auto" w:fill="FFFFFF"/>
            <w:tcMar>
              <w:top w:w="0" w:type="dxa"/>
              <w:left w:w="108" w:type="dxa"/>
              <w:bottom w:w="0" w:type="dxa"/>
              <w:right w:w="108" w:type="dxa"/>
            </w:tcMar>
            <w:vAlign w:val="center"/>
          </w:tcPr>
          <w:p w14:paraId="55B7AE57">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p>
        </w:tc>
        <w:tc>
          <w:tcPr>
            <w:tcW w:w="1515" w:type="dxa"/>
            <w:vMerge w:val="continue"/>
            <w:shd w:val="clear" w:color="auto" w:fill="FFFFFF"/>
            <w:tcMar>
              <w:top w:w="0" w:type="dxa"/>
              <w:left w:w="108" w:type="dxa"/>
              <w:bottom w:w="0" w:type="dxa"/>
              <w:right w:w="108" w:type="dxa"/>
            </w:tcMar>
            <w:vAlign w:val="center"/>
          </w:tcPr>
          <w:p w14:paraId="33E7089D">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p>
        </w:tc>
        <w:tc>
          <w:tcPr>
            <w:tcW w:w="1404" w:type="dxa"/>
            <w:shd w:val="clear" w:color="auto" w:fill="FFFFFF"/>
            <w:tcMar>
              <w:top w:w="0" w:type="dxa"/>
              <w:left w:w="108" w:type="dxa"/>
              <w:bottom w:w="0" w:type="dxa"/>
              <w:right w:w="108" w:type="dxa"/>
            </w:tcMar>
            <w:vAlign w:val="center"/>
          </w:tcPr>
          <w:p w14:paraId="4285765B">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A02052305</w:t>
            </w:r>
          </w:p>
        </w:tc>
        <w:tc>
          <w:tcPr>
            <w:tcW w:w="1255" w:type="dxa"/>
            <w:shd w:val="clear" w:color="auto" w:fill="FFFFFF"/>
            <w:tcMar>
              <w:top w:w="0" w:type="dxa"/>
              <w:left w:w="108" w:type="dxa"/>
              <w:bottom w:w="0" w:type="dxa"/>
              <w:right w:w="108" w:type="dxa"/>
            </w:tcMar>
            <w:vAlign w:val="center"/>
          </w:tcPr>
          <w:p w14:paraId="2B604DEC">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空调机组</w:t>
            </w:r>
          </w:p>
        </w:tc>
        <w:tc>
          <w:tcPr>
            <w:tcW w:w="2628" w:type="dxa"/>
            <w:vMerge w:val="continue"/>
            <w:shd w:val="clear" w:color="auto" w:fill="FFFFFF"/>
            <w:tcMar>
              <w:top w:w="0" w:type="dxa"/>
              <w:left w:w="108" w:type="dxa"/>
              <w:bottom w:w="0" w:type="dxa"/>
              <w:right w:w="108" w:type="dxa"/>
            </w:tcMar>
            <w:vAlign w:val="center"/>
          </w:tcPr>
          <w:p w14:paraId="3550319B">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p>
        </w:tc>
      </w:tr>
      <w:tr w14:paraId="2AD396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30" w:type="dxa"/>
            <w:left w:w="30" w:type="dxa"/>
            <w:bottom w:w="30" w:type="dxa"/>
            <w:right w:w="30" w:type="dxa"/>
          </w:tblCellMar>
        </w:tblPrEx>
        <w:trPr>
          <w:trHeight w:val="454" w:hRule="atLeast"/>
        </w:trPr>
        <w:tc>
          <w:tcPr>
            <w:tcW w:w="607" w:type="dxa"/>
            <w:vMerge w:val="continue"/>
            <w:shd w:val="clear" w:color="auto" w:fill="FFFFFF"/>
            <w:tcMar>
              <w:top w:w="0" w:type="dxa"/>
              <w:left w:w="108" w:type="dxa"/>
              <w:bottom w:w="0" w:type="dxa"/>
              <w:right w:w="108" w:type="dxa"/>
            </w:tcMar>
            <w:vAlign w:val="center"/>
          </w:tcPr>
          <w:p w14:paraId="19A50C8C">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p>
        </w:tc>
        <w:tc>
          <w:tcPr>
            <w:tcW w:w="1120" w:type="dxa"/>
            <w:vMerge w:val="continue"/>
            <w:shd w:val="clear" w:color="auto" w:fill="FFFFFF"/>
            <w:tcMar>
              <w:top w:w="0" w:type="dxa"/>
              <w:left w:w="108" w:type="dxa"/>
              <w:bottom w:w="0" w:type="dxa"/>
              <w:right w:w="108" w:type="dxa"/>
            </w:tcMar>
            <w:vAlign w:val="center"/>
          </w:tcPr>
          <w:p w14:paraId="0FB795BE">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p>
        </w:tc>
        <w:tc>
          <w:tcPr>
            <w:tcW w:w="1515" w:type="dxa"/>
            <w:vMerge w:val="continue"/>
            <w:shd w:val="clear" w:color="auto" w:fill="FFFFFF"/>
            <w:tcMar>
              <w:top w:w="0" w:type="dxa"/>
              <w:left w:w="108" w:type="dxa"/>
              <w:bottom w:w="0" w:type="dxa"/>
              <w:right w:w="108" w:type="dxa"/>
            </w:tcMar>
            <w:vAlign w:val="center"/>
          </w:tcPr>
          <w:p w14:paraId="258220A5">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p>
        </w:tc>
        <w:tc>
          <w:tcPr>
            <w:tcW w:w="1404" w:type="dxa"/>
            <w:shd w:val="clear" w:color="auto" w:fill="FFFFFF"/>
            <w:tcMar>
              <w:top w:w="0" w:type="dxa"/>
              <w:left w:w="108" w:type="dxa"/>
              <w:bottom w:w="0" w:type="dxa"/>
              <w:right w:w="108" w:type="dxa"/>
            </w:tcMar>
            <w:vAlign w:val="center"/>
          </w:tcPr>
          <w:p w14:paraId="39071345">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A02052309</w:t>
            </w:r>
          </w:p>
        </w:tc>
        <w:tc>
          <w:tcPr>
            <w:tcW w:w="1255" w:type="dxa"/>
            <w:shd w:val="clear" w:color="auto" w:fill="FFFFFF"/>
            <w:tcMar>
              <w:top w:w="0" w:type="dxa"/>
              <w:left w:w="108" w:type="dxa"/>
              <w:bottom w:w="0" w:type="dxa"/>
              <w:right w:w="108" w:type="dxa"/>
            </w:tcMar>
            <w:vAlign w:val="center"/>
          </w:tcPr>
          <w:p w14:paraId="3A7AB95C">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专用制冷、空调设备</w:t>
            </w:r>
          </w:p>
        </w:tc>
        <w:tc>
          <w:tcPr>
            <w:tcW w:w="2628" w:type="dxa"/>
            <w:vMerge w:val="continue"/>
            <w:shd w:val="clear" w:color="auto" w:fill="FFFFFF"/>
            <w:tcMar>
              <w:top w:w="0" w:type="dxa"/>
              <w:left w:w="108" w:type="dxa"/>
              <w:bottom w:w="0" w:type="dxa"/>
              <w:right w:w="108" w:type="dxa"/>
            </w:tcMar>
            <w:vAlign w:val="center"/>
          </w:tcPr>
          <w:p w14:paraId="7ED78D9A">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p>
        </w:tc>
      </w:tr>
      <w:tr w14:paraId="0E5888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30" w:type="dxa"/>
            <w:left w:w="30" w:type="dxa"/>
            <w:bottom w:w="30" w:type="dxa"/>
            <w:right w:w="30" w:type="dxa"/>
          </w:tblCellMar>
        </w:tblPrEx>
        <w:trPr>
          <w:trHeight w:val="454" w:hRule="atLeast"/>
        </w:trPr>
        <w:tc>
          <w:tcPr>
            <w:tcW w:w="607" w:type="dxa"/>
            <w:vMerge w:val="continue"/>
            <w:shd w:val="clear" w:color="auto" w:fill="FFFFFF"/>
            <w:tcMar>
              <w:top w:w="0" w:type="dxa"/>
              <w:left w:w="108" w:type="dxa"/>
              <w:bottom w:w="0" w:type="dxa"/>
              <w:right w:w="108" w:type="dxa"/>
            </w:tcMar>
            <w:vAlign w:val="center"/>
          </w:tcPr>
          <w:p w14:paraId="3831422C">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p>
        </w:tc>
        <w:tc>
          <w:tcPr>
            <w:tcW w:w="1120" w:type="dxa"/>
            <w:vMerge w:val="continue"/>
            <w:shd w:val="clear" w:color="auto" w:fill="FFFFFF"/>
            <w:tcMar>
              <w:top w:w="0" w:type="dxa"/>
              <w:left w:w="108" w:type="dxa"/>
              <w:bottom w:w="0" w:type="dxa"/>
              <w:right w:w="108" w:type="dxa"/>
            </w:tcMar>
            <w:vAlign w:val="center"/>
          </w:tcPr>
          <w:p w14:paraId="6A3A366C">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p>
        </w:tc>
        <w:tc>
          <w:tcPr>
            <w:tcW w:w="1515" w:type="dxa"/>
            <w:vMerge w:val="continue"/>
            <w:shd w:val="clear" w:color="auto" w:fill="FFFFFF"/>
            <w:tcMar>
              <w:top w:w="0" w:type="dxa"/>
              <w:left w:w="108" w:type="dxa"/>
              <w:bottom w:w="0" w:type="dxa"/>
              <w:right w:w="108" w:type="dxa"/>
            </w:tcMar>
            <w:vAlign w:val="center"/>
          </w:tcPr>
          <w:p w14:paraId="2CCB6695">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p>
        </w:tc>
        <w:tc>
          <w:tcPr>
            <w:tcW w:w="1404" w:type="dxa"/>
            <w:shd w:val="clear" w:color="auto" w:fill="FFFFFF"/>
            <w:tcMar>
              <w:top w:w="0" w:type="dxa"/>
              <w:left w:w="108" w:type="dxa"/>
              <w:bottom w:w="0" w:type="dxa"/>
              <w:right w:w="108" w:type="dxa"/>
            </w:tcMar>
            <w:vAlign w:val="center"/>
          </w:tcPr>
          <w:p w14:paraId="57A41C6C">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A02052399</w:t>
            </w:r>
          </w:p>
        </w:tc>
        <w:tc>
          <w:tcPr>
            <w:tcW w:w="1255" w:type="dxa"/>
            <w:shd w:val="clear" w:color="auto" w:fill="FFFFFF"/>
            <w:tcMar>
              <w:top w:w="0" w:type="dxa"/>
              <w:left w:w="108" w:type="dxa"/>
              <w:bottom w:w="0" w:type="dxa"/>
              <w:right w:w="108" w:type="dxa"/>
            </w:tcMar>
            <w:vAlign w:val="center"/>
          </w:tcPr>
          <w:p w14:paraId="64858E92">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其他制冷空调设备</w:t>
            </w:r>
          </w:p>
        </w:tc>
        <w:tc>
          <w:tcPr>
            <w:tcW w:w="2628" w:type="dxa"/>
            <w:vMerge w:val="continue"/>
            <w:shd w:val="clear" w:color="auto" w:fill="FFFFFF"/>
            <w:tcMar>
              <w:top w:w="0" w:type="dxa"/>
              <w:left w:w="108" w:type="dxa"/>
              <w:bottom w:w="0" w:type="dxa"/>
              <w:right w:w="108" w:type="dxa"/>
            </w:tcMar>
            <w:vAlign w:val="center"/>
          </w:tcPr>
          <w:p w14:paraId="078F0ED3">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p>
        </w:tc>
      </w:tr>
      <w:tr w14:paraId="7190C7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30" w:type="dxa"/>
            <w:left w:w="30" w:type="dxa"/>
            <w:bottom w:w="30" w:type="dxa"/>
            <w:right w:w="30" w:type="dxa"/>
          </w:tblCellMar>
        </w:tblPrEx>
        <w:trPr>
          <w:trHeight w:val="454" w:hRule="atLeast"/>
        </w:trPr>
        <w:tc>
          <w:tcPr>
            <w:tcW w:w="607" w:type="dxa"/>
            <w:shd w:val="clear" w:color="auto" w:fill="FFFFFF"/>
            <w:tcMar>
              <w:top w:w="0" w:type="dxa"/>
              <w:left w:w="108" w:type="dxa"/>
              <w:bottom w:w="0" w:type="dxa"/>
              <w:right w:w="108" w:type="dxa"/>
            </w:tcMar>
            <w:vAlign w:val="center"/>
          </w:tcPr>
          <w:p w14:paraId="0E12208D">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7</w:t>
            </w:r>
          </w:p>
        </w:tc>
        <w:tc>
          <w:tcPr>
            <w:tcW w:w="1120" w:type="dxa"/>
            <w:shd w:val="clear" w:color="auto" w:fill="FFFFFF"/>
            <w:tcMar>
              <w:top w:w="0" w:type="dxa"/>
              <w:left w:w="108" w:type="dxa"/>
              <w:bottom w:w="0" w:type="dxa"/>
              <w:right w:w="108" w:type="dxa"/>
            </w:tcMar>
            <w:vAlign w:val="center"/>
          </w:tcPr>
          <w:p w14:paraId="5D4E7938">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A020601</w:t>
            </w:r>
          </w:p>
        </w:tc>
        <w:tc>
          <w:tcPr>
            <w:tcW w:w="1515" w:type="dxa"/>
            <w:shd w:val="clear" w:color="auto" w:fill="FFFFFF"/>
            <w:tcMar>
              <w:top w:w="0" w:type="dxa"/>
              <w:left w:w="108" w:type="dxa"/>
              <w:bottom w:w="0" w:type="dxa"/>
              <w:right w:w="108" w:type="dxa"/>
            </w:tcMar>
            <w:vAlign w:val="center"/>
          </w:tcPr>
          <w:p w14:paraId="41D5C6CB">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电机</w:t>
            </w:r>
          </w:p>
        </w:tc>
        <w:tc>
          <w:tcPr>
            <w:tcW w:w="1404" w:type="dxa"/>
            <w:shd w:val="clear" w:color="auto" w:fill="FFFFFF"/>
            <w:tcMar>
              <w:top w:w="0" w:type="dxa"/>
              <w:left w:w="108" w:type="dxa"/>
              <w:bottom w:w="0" w:type="dxa"/>
              <w:right w:w="108" w:type="dxa"/>
            </w:tcMar>
            <w:vAlign w:val="center"/>
          </w:tcPr>
          <w:p w14:paraId="71328629">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p>
        </w:tc>
        <w:tc>
          <w:tcPr>
            <w:tcW w:w="1255" w:type="dxa"/>
            <w:shd w:val="clear" w:color="auto" w:fill="FFFFFF"/>
            <w:tcMar>
              <w:top w:w="0" w:type="dxa"/>
              <w:left w:w="108" w:type="dxa"/>
              <w:bottom w:w="0" w:type="dxa"/>
              <w:right w:w="108" w:type="dxa"/>
            </w:tcMar>
            <w:vAlign w:val="center"/>
          </w:tcPr>
          <w:p w14:paraId="27D3F597">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p>
        </w:tc>
        <w:tc>
          <w:tcPr>
            <w:tcW w:w="2628" w:type="dxa"/>
            <w:shd w:val="clear" w:color="auto" w:fill="FFFFFF"/>
            <w:tcMar>
              <w:top w:w="0" w:type="dxa"/>
              <w:left w:w="108" w:type="dxa"/>
              <w:bottom w:w="0" w:type="dxa"/>
              <w:right w:w="108" w:type="dxa"/>
            </w:tcMar>
            <w:vAlign w:val="center"/>
          </w:tcPr>
          <w:p w14:paraId="420916F5">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中国质量认证中心</w:t>
            </w:r>
          </w:p>
          <w:p w14:paraId="6E82DAD5">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威凯认证检测有限公司</w:t>
            </w:r>
          </w:p>
          <w:p w14:paraId="5C7C5AC8">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电能（北京）认证中心有限公司</w:t>
            </w:r>
          </w:p>
          <w:p w14:paraId="739547D1">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中国船级社质量认证公司</w:t>
            </w:r>
          </w:p>
        </w:tc>
      </w:tr>
      <w:tr w14:paraId="464623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30" w:type="dxa"/>
            <w:left w:w="30" w:type="dxa"/>
            <w:bottom w:w="30" w:type="dxa"/>
            <w:right w:w="30" w:type="dxa"/>
          </w:tblCellMar>
        </w:tblPrEx>
        <w:trPr>
          <w:trHeight w:val="454" w:hRule="atLeast"/>
        </w:trPr>
        <w:tc>
          <w:tcPr>
            <w:tcW w:w="607" w:type="dxa"/>
            <w:shd w:val="clear" w:color="auto" w:fill="FFFFFF"/>
            <w:tcMar>
              <w:top w:w="0" w:type="dxa"/>
              <w:left w:w="108" w:type="dxa"/>
              <w:bottom w:w="0" w:type="dxa"/>
              <w:right w:w="108" w:type="dxa"/>
            </w:tcMar>
            <w:vAlign w:val="center"/>
          </w:tcPr>
          <w:p w14:paraId="6BF6F795">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8</w:t>
            </w:r>
          </w:p>
        </w:tc>
        <w:tc>
          <w:tcPr>
            <w:tcW w:w="1120" w:type="dxa"/>
            <w:shd w:val="clear" w:color="auto" w:fill="FFFFFF"/>
            <w:tcMar>
              <w:top w:w="0" w:type="dxa"/>
              <w:left w:w="108" w:type="dxa"/>
              <w:bottom w:w="0" w:type="dxa"/>
              <w:right w:w="108" w:type="dxa"/>
            </w:tcMar>
            <w:vAlign w:val="center"/>
          </w:tcPr>
          <w:p w14:paraId="3D6530E8">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A020602</w:t>
            </w:r>
          </w:p>
        </w:tc>
        <w:tc>
          <w:tcPr>
            <w:tcW w:w="1515" w:type="dxa"/>
            <w:shd w:val="clear" w:color="auto" w:fill="FFFFFF"/>
            <w:tcMar>
              <w:top w:w="0" w:type="dxa"/>
              <w:left w:w="108" w:type="dxa"/>
              <w:bottom w:w="0" w:type="dxa"/>
              <w:right w:w="108" w:type="dxa"/>
            </w:tcMar>
            <w:vAlign w:val="center"/>
          </w:tcPr>
          <w:p w14:paraId="1DB42E39">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变压器</w:t>
            </w:r>
          </w:p>
        </w:tc>
        <w:tc>
          <w:tcPr>
            <w:tcW w:w="1404" w:type="dxa"/>
            <w:shd w:val="clear" w:color="auto" w:fill="FFFFFF"/>
            <w:tcMar>
              <w:top w:w="0" w:type="dxa"/>
              <w:left w:w="108" w:type="dxa"/>
              <w:bottom w:w="0" w:type="dxa"/>
              <w:right w:w="108" w:type="dxa"/>
            </w:tcMar>
            <w:vAlign w:val="center"/>
          </w:tcPr>
          <w:p w14:paraId="2B98C148">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p>
        </w:tc>
        <w:tc>
          <w:tcPr>
            <w:tcW w:w="1255" w:type="dxa"/>
            <w:shd w:val="clear" w:color="auto" w:fill="FFFFFF"/>
            <w:tcMar>
              <w:top w:w="0" w:type="dxa"/>
              <w:left w:w="108" w:type="dxa"/>
              <w:bottom w:w="0" w:type="dxa"/>
              <w:right w:w="108" w:type="dxa"/>
            </w:tcMar>
            <w:vAlign w:val="center"/>
          </w:tcPr>
          <w:p w14:paraId="3051DBC2">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p>
        </w:tc>
        <w:tc>
          <w:tcPr>
            <w:tcW w:w="2628" w:type="dxa"/>
            <w:shd w:val="clear" w:color="auto" w:fill="FFFFFF"/>
            <w:tcMar>
              <w:top w:w="0" w:type="dxa"/>
              <w:left w:w="108" w:type="dxa"/>
              <w:bottom w:w="0" w:type="dxa"/>
              <w:right w:w="108" w:type="dxa"/>
            </w:tcMar>
            <w:vAlign w:val="center"/>
          </w:tcPr>
          <w:p w14:paraId="05D5CAAE">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中国质量认证中心</w:t>
            </w:r>
          </w:p>
          <w:p w14:paraId="6C0BFB1B">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电能（北京）认证中心有限公司</w:t>
            </w:r>
          </w:p>
          <w:p w14:paraId="54949B64">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方圆标志认证集团有限公司</w:t>
            </w:r>
          </w:p>
        </w:tc>
      </w:tr>
      <w:tr w14:paraId="716014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30" w:type="dxa"/>
            <w:left w:w="30" w:type="dxa"/>
            <w:bottom w:w="30" w:type="dxa"/>
            <w:right w:w="30" w:type="dxa"/>
          </w:tblCellMar>
        </w:tblPrEx>
        <w:trPr>
          <w:trHeight w:val="454" w:hRule="atLeast"/>
        </w:trPr>
        <w:tc>
          <w:tcPr>
            <w:tcW w:w="607" w:type="dxa"/>
            <w:shd w:val="clear" w:color="auto" w:fill="FFFFFF"/>
            <w:tcMar>
              <w:top w:w="0" w:type="dxa"/>
              <w:left w:w="108" w:type="dxa"/>
              <w:bottom w:w="0" w:type="dxa"/>
              <w:right w:w="108" w:type="dxa"/>
            </w:tcMar>
            <w:vAlign w:val="center"/>
          </w:tcPr>
          <w:p w14:paraId="3DA26367">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9</w:t>
            </w:r>
          </w:p>
        </w:tc>
        <w:tc>
          <w:tcPr>
            <w:tcW w:w="1120" w:type="dxa"/>
            <w:shd w:val="clear" w:color="auto" w:fill="FFFFFF"/>
            <w:tcMar>
              <w:top w:w="0" w:type="dxa"/>
              <w:left w:w="108" w:type="dxa"/>
              <w:bottom w:w="0" w:type="dxa"/>
              <w:right w:w="108" w:type="dxa"/>
            </w:tcMar>
            <w:vAlign w:val="center"/>
          </w:tcPr>
          <w:p w14:paraId="49187D78">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A020609</w:t>
            </w:r>
          </w:p>
        </w:tc>
        <w:tc>
          <w:tcPr>
            <w:tcW w:w="1515" w:type="dxa"/>
            <w:shd w:val="clear" w:color="auto" w:fill="FFFFFF"/>
            <w:tcMar>
              <w:top w:w="0" w:type="dxa"/>
              <w:left w:w="108" w:type="dxa"/>
              <w:bottom w:w="0" w:type="dxa"/>
              <w:right w:w="108" w:type="dxa"/>
            </w:tcMar>
            <w:vAlign w:val="center"/>
          </w:tcPr>
          <w:p w14:paraId="70BAE0EB">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镇流器</w:t>
            </w:r>
          </w:p>
        </w:tc>
        <w:tc>
          <w:tcPr>
            <w:tcW w:w="1404" w:type="dxa"/>
            <w:shd w:val="clear" w:color="auto" w:fill="FFFFFF"/>
            <w:tcMar>
              <w:top w:w="0" w:type="dxa"/>
              <w:left w:w="108" w:type="dxa"/>
              <w:bottom w:w="0" w:type="dxa"/>
              <w:right w:w="108" w:type="dxa"/>
            </w:tcMar>
            <w:vAlign w:val="center"/>
          </w:tcPr>
          <w:p w14:paraId="6A6003F7">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p>
        </w:tc>
        <w:tc>
          <w:tcPr>
            <w:tcW w:w="1255" w:type="dxa"/>
            <w:shd w:val="clear" w:color="auto" w:fill="FFFFFF"/>
            <w:tcMar>
              <w:top w:w="0" w:type="dxa"/>
              <w:left w:w="108" w:type="dxa"/>
              <w:bottom w:w="0" w:type="dxa"/>
              <w:right w:w="108" w:type="dxa"/>
            </w:tcMar>
            <w:vAlign w:val="center"/>
          </w:tcPr>
          <w:p w14:paraId="568B9A6C">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p>
        </w:tc>
        <w:tc>
          <w:tcPr>
            <w:tcW w:w="2628" w:type="dxa"/>
            <w:shd w:val="clear" w:color="auto" w:fill="FFFFFF"/>
            <w:tcMar>
              <w:top w:w="0" w:type="dxa"/>
              <w:left w:w="108" w:type="dxa"/>
              <w:bottom w:w="0" w:type="dxa"/>
              <w:right w:w="108" w:type="dxa"/>
            </w:tcMar>
            <w:vAlign w:val="center"/>
          </w:tcPr>
          <w:p w14:paraId="178DAEBA">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中国质量认证中心</w:t>
            </w:r>
          </w:p>
          <w:p w14:paraId="72EE2B59">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深圳市计量质量检测研究院</w:t>
            </w:r>
          </w:p>
          <w:p w14:paraId="7983FE64">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中标合信（北京）认证有限公司</w:t>
            </w:r>
          </w:p>
        </w:tc>
      </w:tr>
      <w:tr w14:paraId="03887D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30" w:type="dxa"/>
            <w:left w:w="30" w:type="dxa"/>
            <w:bottom w:w="30" w:type="dxa"/>
            <w:right w:w="30" w:type="dxa"/>
          </w:tblCellMar>
        </w:tblPrEx>
        <w:trPr>
          <w:trHeight w:val="454" w:hRule="atLeast"/>
        </w:trPr>
        <w:tc>
          <w:tcPr>
            <w:tcW w:w="607" w:type="dxa"/>
            <w:vMerge w:val="restart"/>
            <w:shd w:val="clear" w:color="auto" w:fill="FFFFFF"/>
            <w:tcMar>
              <w:top w:w="0" w:type="dxa"/>
              <w:left w:w="108" w:type="dxa"/>
              <w:bottom w:w="0" w:type="dxa"/>
              <w:right w:w="108" w:type="dxa"/>
            </w:tcMar>
            <w:vAlign w:val="center"/>
          </w:tcPr>
          <w:p w14:paraId="39F575FB">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10</w:t>
            </w:r>
          </w:p>
        </w:tc>
        <w:tc>
          <w:tcPr>
            <w:tcW w:w="1120" w:type="dxa"/>
            <w:vMerge w:val="restart"/>
            <w:shd w:val="clear" w:color="auto" w:fill="FFFFFF"/>
            <w:tcMar>
              <w:top w:w="0" w:type="dxa"/>
              <w:left w:w="108" w:type="dxa"/>
              <w:bottom w:w="0" w:type="dxa"/>
              <w:right w:w="108" w:type="dxa"/>
            </w:tcMar>
            <w:vAlign w:val="center"/>
          </w:tcPr>
          <w:p w14:paraId="75003A88">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A020618</w:t>
            </w:r>
          </w:p>
        </w:tc>
        <w:tc>
          <w:tcPr>
            <w:tcW w:w="1515" w:type="dxa"/>
            <w:vMerge w:val="restart"/>
            <w:shd w:val="clear" w:color="auto" w:fill="FFFFFF"/>
            <w:tcMar>
              <w:top w:w="0" w:type="dxa"/>
              <w:left w:w="108" w:type="dxa"/>
              <w:bottom w:w="0" w:type="dxa"/>
              <w:right w:w="108" w:type="dxa"/>
            </w:tcMar>
            <w:vAlign w:val="center"/>
          </w:tcPr>
          <w:p w14:paraId="5E57015C">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生活用电器</w:t>
            </w:r>
          </w:p>
        </w:tc>
        <w:tc>
          <w:tcPr>
            <w:tcW w:w="1404" w:type="dxa"/>
            <w:shd w:val="clear" w:color="auto" w:fill="FFFFFF"/>
            <w:tcMar>
              <w:top w:w="0" w:type="dxa"/>
              <w:left w:w="108" w:type="dxa"/>
              <w:bottom w:w="0" w:type="dxa"/>
              <w:right w:w="108" w:type="dxa"/>
            </w:tcMar>
            <w:vAlign w:val="center"/>
          </w:tcPr>
          <w:p w14:paraId="3B236770">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A0206180101</w:t>
            </w:r>
          </w:p>
        </w:tc>
        <w:tc>
          <w:tcPr>
            <w:tcW w:w="1255" w:type="dxa"/>
            <w:shd w:val="clear" w:color="auto" w:fill="FFFFFF"/>
            <w:tcMar>
              <w:top w:w="0" w:type="dxa"/>
              <w:left w:w="108" w:type="dxa"/>
              <w:bottom w:w="0" w:type="dxa"/>
              <w:right w:w="108" w:type="dxa"/>
            </w:tcMar>
            <w:vAlign w:val="center"/>
          </w:tcPr>
          <w:p w14:paraId="4D112D3F">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电冰箱</w:t>
            </w:r>
          </w:p>
        </w:tc>
        <w:tc>
          <w:tcPr>
            <w:tcW w:w="2628" w:type="dxa"/>
            <w:shd w:val="clear" w:color="auto" w:fill="FFFFFF"/>
            <w:tcMar>
              <w:top w:w="0" w:type="dxa"/>
              <w:left w:w="108" w:type="dxa"/>
              <w:bottom w:w="0" w:type="dxa"/>
              <w:right w:w="108" w:type="dxa"/>
            </w:tcMar>
            <w:vAlign w:val="center"/>
          </w:tcPr>
          <w:p w14:paraId="10E63375">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中国质量认证中心</w:t>
            </w:r>
          </w:p>
          <w:p w14:paraId="7DAE625B">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威凯认证检测有限公司</w:t>
            </w:r>
          </w:p>
          <w:p w14:paraId="66E4CFD3">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中家院（北京）检测认证有限公司</w:t>
            </w:r>
          </w:p>
        </w:tc>
      </w:tr>
      <w:tr w14:paraId="1B0292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30" w:type="dxa"/>
            <w:left w:w="30" w:type="dxa"/>
            <w:bottom w:w="30" w:type="dxa"/>
            <w:right w:w="30" w:type="dxa"/>
          </w:tblCellMar>
        </w:tblPrEx>
        <w:trPr>
          <w:trHeight w:val="454" w:hRule="atLeast"/>
        </w:trPr>
        <w:tc>
          <w:tcPr>
            <w:tcW w:w="607" w:type="dxa"/>
            <w:vMerge w:val="continue"/>
            <w:shd w:val="clear" w:color="auto" w:fill="FFFFFF"/>
            <w:tcMar>
              <w:top w:w="0" w:type="dxa"/>
              <w:left w:w="108" w:type="dxa"/>
              <w:bottom w:w="0" w:type="dxa"/>
              <w:right w:w="108" w:type="dxa"/>
            </w:tcMar>
            <w:vAlign w:val="center"/>
          </w:tcPr>
          <w:p w14:paraId="4B74815D">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p>
        </w:tc>
        <w:tc>
          <w:tcPr>
            <w:tcW w:w="1120" w:type="dxa"/>
            <w:vMerge w:val="continue"/>
            <w:shd w:val="clear" w:color="auto" w:fill="FFFFFF"/>
            <w:tcMar>
              <w:top w:w="0" w:type="dxa"/>
              <w:left w:w="108" w:type="dxa"/>
              <w:bottom w:w="0" w:type="dxa"/>
              <w:right w:w="108" w:type="dxa"/>
            </w:tcMar>
            <w:vAlign w:val="center"/>
          </w:tcPr>
          <w:p w14:paraId="18476994">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p>
        </w:tc>
        <w:tc>
          <w:tcPr>
            <w:tcW w:w="1515" w:type="dxa"/>
            <w:vMerge w:val="continue"/>
            <w:shd w:val="clear" w:color="auto" w:fill="FFFFFF"/>
            <w:tcMar>
              <w:top w:w="0" w:type="dxa"/>
              <w:left w:w="108" w:type="dxa"/>
              <w:bottom w:w="0" w:type="dxa"/>
              <w:right w:w="108" w:type="dxa"/>
            </w:tcMar>
            <w:vAlign w:val="center"/>
          </w:tcPr>
          <w:p w14:paraId="314BCB1E">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p>
        </w:tc>
        <w:tc>
          <w:tcPr>
            <w:tcW w:w="1404" w:type="dxa"/>
            <w:shd w:val="clear" w:color="auto" w:fill="FFFFFF"/>
            <w:tcMar>
              <w:top w:w="0" w:type="dxa"/>
              <w:left w:w="108" w:type="dxa"/>
              <w:bottom w:w="0" w:type="dxa"/>
              <w:right w:w="108" w:type="dxa"/>
            </w:tcMar>
            <w:vAlign w:val="center"/>
          </w:tcPr>
          <w:p w14:paraId="64C6B4F5">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A0206180203</w:t>
            </w:r>
          </w:p>
        </w:tc>
        <w:tc>
          <w:tcPr>
            <w:tcW w:w="1255" w:type="dxa"/>
            <w:shd w:val="clear" w:color="auto" w:fill="FFFFFF"/>
            <w:tcMar>
              <w:top w:w="0" w:type="dxa"/>
              <w:left w:w="108" w:type="dxa"/>
              <w:bottom w:w="0" w:type="dxa"/>
              <w:right w:w="108" w:type="dxa"/>
            </w:tcMar>
            <w:vAlign w:val="center"/>
          </w:tcPr>
          <w:p w14:paraId="51D4C0B3">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空调机</w:t>
            </w:r>
          </w:p>
        </w:tc>
        <w:tc>
          <w:tcPr>
            <w:tcW w:w="2628" w:type="dxa"/>
            <w:shd w:val="clear" w:color="auto" w:fill="FFFFFF"/>
            <w:tcMar>
              <w:top w:w="0" w:type="dxa"/>
              <w:left w:w="108" w:type="dxa"/>
              <w:bottom w:w="0" w:type="dxa"/>
              <w:right w:w="108" w:type="dxa"/>
            </w:tcMar>
            <w:vAlign w:val="center"/>
          </w:tcPr>
          <w:p w14:paraId="0D3A9D8F">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中国质量认证中心</w:t>
            </w:r>
          </w:p>
          <w:p w14:paraId="0B837941">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威凯认证检测有限公司</w:t>
            </w:r>
          </w:p>
          <w:p w14:paraId="5D69EA3B">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中家院（北京）检测认证有限公司</w:t>
            </w:r>
          </w:p>
          <w:p w14:paraId="64DAF9BC">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合肥通用机械产品认证有限公司</w:t>
            </w:r>
          </w:p>
        </w:tc>
      </w:tr>
      <w:tr w14:paraId="33F3DD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30" w:type="dxa"/>
            <w:left w:w="30" w:type="dxa"/>
            <w:bottom w:w="30" w:type="dxa"/>
            <w:right w:w="30" w:type="dxa"/>
          </w:tblCellMar>
        </w:tblPrEx>
        <w:trPr>
          <w:trHeight w:val="454" w:hRule="atLeast"/>
        </w:trPr>
        <w:tc>
          <w:tcPr>
            <w:tcW w:w="607" w:type="dxa"/>
            <w:vMerge w:val="continue"/>
            <w:shd w:val="clear" w:color="auto" w:fill="FFFFFF"/>
            <w:tcMar>
              <w:top w:w="0" w:type="dxa"/>
              <w:left w:w="108" w:type="dxa"/>
              <w:bottom w:w="0" w:type="dxa"/>
              <w:right w:w="108" w:type="dxa"/>
            </w:tcMar>
            <w:vAlign w:val="center"/>
          </w:tcPr>
          <w:p w14:paraId="1D534AA2">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p>
        </w:tc>
        <w:tc>
          <w:tcPr>
            <w:tcW w:w="1120" w:type="dxa"/>
            <w:vMerge w:val="continue"/>
            <w:shd w:val="clear" w:color="auto" w:fill="FFFFFF"/>
            <w:tcMar>
              <w:top w:w="0" w:type="dxa"/>
              <w:left w:w="108" w:type="dxa"/>
              <w:bottom w:w="0" w:type="dxa"/>
              <w:right w:w="108" w:type="dxa"/>
            </w:tcMar>
            <w:vAlign w:val="center"/>
          </w:tcPr>
          <w:p w14:paraId="76256497">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p>
        </w:tc>
        <w:tc>
          <w:tcPr>
            <w:tcW w:w="1515" w:type="dxa"/>
            <w:vMerge w:val="continue"/>
            <w:shd w:val="clear" w:color="auto" w:fill="FFFFFF"/>
            <w:tcMar>
              <w:top w:w="0" w:type="dxa"/>
              <w:left w:w="108" w:type="dxa"/>
              <w:bottom w:w="0" w:type="dxa"/>
              <w:right w:w="108" w:type="dxa"/>
            </w:tcMar>
            <w:vAlign w:val="center"/>
          </w:tcPr>
          <w:p w14:paraId="7018F4F3">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p>
        </w:tc>
        <w:tc>
          <w:tcPr>
            <w:tcW w:w="1404" w:type="dxa"/>
            <w:shd w:val="clear" w:color="auto" w:fill="FFFFFF"/>
            <w:tcMar>
              <w:top w:w="0" w:type="dxa"/>
              <w:left w:w="108" w:type="dxa"/>
              <w:bottom w:w="0" w:type="dxa"/>
              <w:right w:w="108" w:type="dxa"/>
            </w:tcMar>
            <w:vAlign w:val="center"/>
          </w:tcPr>
          <w:p w14:paraId="4C51936F">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A0206180301</w:t>
            </w:r>
          </w:p>
        </w:tc>
        <w:tc>
          <w:tcPr>
            <w:tcW w:w="1255" w:type="dxa"/>
            <w:shd w:val="clear" w:color="auto" w:fill="FFFFFF"/>
            <w:tcMar>
              <w:top w:w="0" w:type="dxa"/>
              <w:left w:w="108" w:type="dxa"/>
              <w:bottom w:w="0" w:type="dxa"/>
              <w:right w:w="108" w:type="dxa"/>
            </w:tcMar>
            <w:vAlign w:val="center"/>
          </w:tcPr>
          <w:p w14:paraId="422668A5">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洗衣机</w:t>
            </w:r>
          </w:p>
        </w:tc>
        <w:tc>
          <w:tcPr>
            <w:tcW w:w="2628" w:type="dxa"/>
            <w:shd w:val="clear" w:color="auto" w:fill="FFFFFF"/>
            <w:tcMar>
              <w:top w:w="0" w:type="dxa"/>
              <w:left w:w="108" w:type="dxa"/>
              <w:bottom w:w="0" w:type="dxa"/>
              <w:right w:w="108" w:type="dxa"/>
            </w:tcMar>
            <w:vAlign w:val="center"/>
          </w:tcPr>
          <w:p w14:paraId="631C70B1">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中国质量认证中心</w:t>
            </w:r>
          </w:p>
          <w:p w14:paraId="5D98DD15">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威凯认证检测有限公司</w:t>
            </w:r>
          </w:p>
          <w:p w14:paraId="1F40D29C">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中家院（北京）检测认证有限公司</w:t>
            </w:r>
          </w:p>
        </w:tc>
      </w:tr>
      <w:tr w14:paraId="62A513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30" w:type="dxa"/>
            <w:left w:w="30" w:type="dxa"/>
            <w:bottom w:w="30" w:type="dxa"/>
            <w:right w:w="30" w:type="dxa"/>
          </w:tblCellMar>
        </w:tblPrEx>
        <w:trPr>
          <w:trHeight w:val="454" w:hRule="atLeast"/>
        </w:trPr>
        <w:tc>
          <w:tcPr>
            <w:tcW w:w="607" w:type="dxa"/>
            <w:vMerge w:val="continue"/>
            <w:shd w:val="clear" w:color="auto" w:fill="FFFFFF"/>
            <w:tcMar>
              <w:top w:w="0" w:type="dxa"/>
              <w:left w:w="108" w:type="dxa"/>
              <w:bottom w:w="0" w:type="dxa"/>
              <w:right w:w="108" w:type="dxa"/>
            </w:tcMar>
            <w:vAlign w:val="center"/>
          </w:tcPr>
          <w:p w14:paraId="0473DEE3">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p>
        </w:tc>
        <w:tc>
          <w:tcPr>
            <w:tcW w:w="1120" w:type="dxa"/>
            <w:vMerge w:val="continue"/>
            <w:shd w:val="clear" w:color="auto" w:fill="FFFFFF"/>
            <w:tcMar>
              <w:top w:w="0" w:type="dxa"/>
              <w:left w:w="108" w:type="dxa"/>
              <w:bottom w:w="0" w:type="dxa"/>
              <w:right w:w="108" w:type="dxa"/>
            </w:tcMar>
            <w:vAlign w:val="center"/>
          </w:tcPr>
          <w:p w14:paraId="25C40A29">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p>
        </w:tc>
        <w:tc>
          <w:tcPr>
            <w:tcW w:w="1515" w:type="dxa"/>
            <w:vMerge w:val="continue"/>
            <w:shd w:val="clear" w:color="auto" w:fill="FFFFFF"/>
            <w:tcMar>
              <w:top w:w="0" w:type="dxa"/>
              <w:left w:w="108" w:type="dxa"/>
              <w:bottom w:w="0" w:type="dxa"/>
              <w:right w:w="108" w:type="dxa"/>
            </w:tcMar>
            <w:vAlign w:val="center"/>
          </w:tcPr>
          <w:p w14:paraId="0DB77919">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p>
        </w:tc>
        <w:tc>
          <w:tcPr>
            <w:tcW w:w="1404" w:type="dxa"/>
            <w:shd w:val="clear" w:color="auto" w:fill="FFFFFF"/>
            <w:tcMar>
              <w:top w:w="0" w:type="dxa"/>
              <w:left w:w="108" w:type="dxa"/>
              <w:bottom w:w="0" w:type="dxa"/>
              <w:right w:w="108" w:type="dxa"/>
            </w:tcMar>
            <w:vAlign w:val="center"/>
          </w:tcPr>
          <w:p w14:paraId="22EA7E98">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A02061808</w:t>
            </w:r>
          </w:p>
        </w:tc>
        <w:tc>
          <w:tcPr>
            <w:tcW w:w="1255" w:type="dxa"/>
            <w:shd w:val="clear" w:color="auto" w:fill="FFFFFF"/>
            <w:tcMar>
              <w:top w:w="0" w:type="dxa"/>
              <w:left w:w="108" w:type="dxa"/>
              <w:bottom w:w="0" w:type="dxa"/>
              <w:right w:w="108" w:type="dxa"/>
            </w:tcMar>
            <w:vAlign w:val="center"/>
          </w:tcPr>
          <w:p w14:paraId="72402B04">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热水器</w:t>
            </w:r>
          </w:p>
        </w:tc>
        <w:tc>
          <w:tcPr>
            <w:tcW w:w="2628" w:type="dxa"/>
            <w:shd w:val="clear" w:color="auto" w:fill="FFFFFF"/>
            <w:tcMar>
              <w:top w:w="0" w:type="dxa"/>
              <w:left w:w="108" w:type="dxa"/>
              <w:bottom w:w="0" w:type="dxa"/>
              <w:right w:w="108" w:type="dxa"/>
            </w:tcMar>
            <w:vAlign w:val="center"/>
          </w:tcPr>
          <w:p w14:paraId="4F4C50A3">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中国质量认证中心</w:t>
            </w:r>
          </w:p>
          <w:p w14:paraId="6DBA72A7">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威凯认证检测有限公司</w:t>
            </w:r>
          </w:p>
          <w:p w14:paraId="5DC6BF69">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中家院（北京）检测认证有限公司</w:t>
            </w:r>
          </w:p>
          <w:p w14:paraId="4E590CD5">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合肥通用机械产品认证有限公司(范围仅限于</w:t>
            </w:r>
            <w:r>
              <w:rPr>
                <w:rFonts w:hint="default" w:ascii="Calibri" w:hAnsi="Calibri" w:cs="Calibri"/>
                <w:color w:val="auto"/>
                <w:sz w:val="18"/>
                <w:szCs w:val="18"/>
                <w:highlight w:val="none"/>
                <w:lang w:eastAsia="zh-CN"/>
              </w:rPr>
              <w:t>“</w:t>
            </w:r>
            <w:r>
              <w:rPr>
                <w:rFonts w:hint="default" w:ascii="Calibri" w:hAnsi="Calibri" w:cs="Calibri"/>
                <w:color w:val="auto"/>
                <w:sz w:val="18"/>
                <w:szCs w:val="18"/>
                <w:highlight w:val="none"/>
              </w:rPr>
              <w:t>热泵热水器</w:t>
            </w:r>
            <w:r>
              <w:rPr>
                <w:rFonts w:hint="default" w:ascii="Calibri" w:hAnsi="Calibri" w:cs="Calibri"/>
                <w:color w:val="auto"/>
                <w:sz w:val="18"/>
                <w:szCs w:val="18"/>
                <w:highlight w:val="none"/>
                <w:lang w:eastAsia="zh-CN"/>
              </w:rPr>
              <w:t>”</w:t>
            </w:r>
            <w:r>
              <w:rPr>
                <w:rFonts w:hint="default" w:ascii="Calibri" w:hAnsi="Calibri" w:cs="Calibri"/>
                <w:color w:val="auto"/>
                <w:sz w:val="18"/>
                <w:szCs w:val="18"/>
                <w:highlight w:val="none"/>
              </w:rPr>
              <w:t>)</w:t>
            </w:r>
          </w:p>
        </w:tc>
      </w:tr>
      <w:tr w14:paraId="53661C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30" w:type="dxa"/>
            <w:left w:w="30" w:type="dxa"/>
            <w:bottom w:w="30" w:type="dxa"/>
            <w:right w:w="30" w:type="dxa"/>
          </w:tblCellMar>
        </w:tblPrEx>
        <w:trPr>
          <w:trHeight w:val="454" w:hRule="atLeast"/>
        </w:trPr>
        <w:tc>
          <w:tcPr>
            <w:tcW w:w="607" w:type="dxa"/>
            <w:shd w:val="clear" w:color="auto" w:fill="FFFFFF"/>
            <w:tcMar>
              <w:top w:w="0" w:type="dxa"/>
              <w:left w:w="108" w:type="dxa"/>
              <w:bottom w:w="0" w:type="dxa"/>
              <w:right w:w="108" w:type="dxa"/>
            </w:tcMar>
            <w:vAlign w:val="center"/>
          </w:tcPr>
          <w:p w14:paraId="0941F458">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11</w:t>
            </w:r>
          </w:p>
        </w:tc>
        <w:tc>
          <w:tcPr>
            <w:tcW w:w="1120" w:type="dxa"/>
            <w:shd w:val="clear" w:color="auto" w:fill="FFFFFF"/>
            <w:tcMar>
              <w:top w:w="0" w:type="dxa"/>
              <w:left w:w="108" w:type="dxa"/>
              <w:bottom w:w="0" w:type="dxa"/>
              <w:right w:w="108" w:type="dxa"/>
            </w:tcMar>
            <w:vAlign w:val="center"/>
          </w:tcPr>
          <w:p w14:paraId="74A4E97A">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A020619</w:t>
            </w:r>
          </w:p>
        </w:tc>
        <w:tc>
          <w:tcPr>
            <w:tcW w:w="1515" w:type="dxa"/>
            <w:shd w:val="clear" w:color="auto" w:fill="FFFFFF"/>
            <w:tcMar>
              <w:top w:w="0" w:type="dxa"/>
              <w:left w:w="108" w:type="dxa"/>
              <w:bottom w:w="0" w:type="dxa"/>
              <w:right w:w="108" w:type="dxa"/>
            </w:tcMar>
            <w:vAlign w:val="center"/>
          </w:tcPr>
          <w:p w14:paraId="3A2791BA">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照明设备</w:t>
            </w:r>
          </w:p>
        </w:tc>
        <w:tc>
          <w:tcPr>
            <w:tcW w:w="1404" w:type="dxa"/>
            <w:shd w:val="clear" w:color="auto" w:fill="FFFFFF"/>
            <w:tcMar>
              <w:top w:w="0" w:type="dxa"/>
              <w:left w:w="108" w:type="dxa"/>
              <w:bottom w:w="0" w:type="dxa"/>
              <w:right w:w="108" w:type="dxa"/>
            </w:tcMar>
            <w:vAlign w:val="center"/>
          </w:tcPr>
          <w:p w14:paraId="4A32E917">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p>
        </w:tc>
        <w:tc>
          <w:tcPr>
            <w:tcW w:w="1255" w:type="dxa"/>
            <w:shd w:val="clear" w:color="auto" w:fill="FFFFFF"/>
            <w:tcMar>
              <w:top w:w="0" w:type="dxa"/>
              <w:left w:w="108" w:type="dxa"/>
              <w:bottom w:w="0" w:type="dxa"/>
              <w:right w:w="108" w:type="dxa"/>
            </w:tcMar>
            <w:vAlign w:val="center"/>
          </w:tcPr>
          <w:p w14:paraId="4847FC9C">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p>
        </w:tc>
        <w:tc>
          <w:tcPr>
            <w:tcW w:w="2628" w:type="dxa"/>
            <w:shd w:val="clear" w:color="auto" w:fill="FFFFFF"/>
            <w:tcMar>
              <w:top w:w="0" w:type="dxa"/>
              <w:left w:w="108" w:type="dxa"/>
              <w:bottom w:w="0" w:type="dxa"/>
              <w:right w:w="108" w:type="dxa"/>
            </w:tcMar>
            <w:vAlign w:val="center"/>
          </w:tcPr>
          <w:p w14:paraId="07E36725">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中国质量认证中心</w:t>
            </w:r>
          </w:p>
          <w:p w14:paraId="26DBBBF8">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深圳市计量质量检测研究院</w:t>
            </w:r>
          </w:p>
          <w:p w14:paraId="20C03FFF">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中标合信（北京）认证有限公司</w:t>
            </w:r>
          </w:p>
        </w:tc>
      </w:tr>
      <w:tr w14:paraId="1A5CE9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30" w:type="dxa"/>
            <w:left w:w="30" w:type="dxa"/>
            <w:bottom w:w="30" w:type="dxa"/>
            <w:right w:w="30" w:type="dxa"/>
          </w:tblCellMar>
        </w:tblPrEx>
        <w:trPr>
          <w:trHeight w:val="454" w:hRule="atLeast"/>
        </w:trPr>
        <w:tc>
          <w:tcPr>
            <w:tcW w:w="607" w:type="dxa"/>
            <w:shd w:val="clear" w:color="auto" w:fill="FFFFFF"/>
            <w:tcMar>
              <w:top w:w="0" w:type="dxa"/>
              <w:left w:w="108" w:type="dxa"/>
              <w:bottom w:w="0" w:type="dxa"/>
              <w:right w:w="108" w:type="dxa"/>
            </w:tcMar>
            <w:vAlign w:val="center"/>
          </w:tcPr>
          <w:p w14:paraId="16C47A95">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12</w:t>
            </w:r>
          </w:p>
        </w:tc>
        <w:tc>
          <w:tcPr>
            <w:tcW w:w="1120" w:type="dxa"/>
            <w:shd w:val="clear" w:color="auto" w:fill="FFFFFF"/>
            <w:tcMar>
              <w:top w:w="0" w:type="dxa"/>
              <w:left w:w="108" w:type="dxa"/>
              <w:bottom w:w="0" w:type="dxa"/>
              <w:right w:w="108" w:type="dxa"/>
            </w:tcMar>
            <w:vAlign w:val="center"/>
          </w:tcPr>
          <w:p w14:paraId="1E247AE9">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A020910</w:t>
            </w:r>
          </w:p>
        </w:tc>
        <w:tc>
          <w:tcPr>
            <w:tcW w:w="1515" w:type="dxa"/>
            <w:shd w:val="clear" w:color="auto" w:fill="FFFFFF"/>
            <w:tcMar>
              <w:top w:w="0" w:type="dxa"/>
              <w:left w:w="108" w:type="dxa"/>
              <w:bottom w:w="0" w:type="dxa"/>
              <w:right w:w="108" w:type="dxa"/>
            </w:tcMar>
            <w:vAlign w:val="center"/>
          </w:tcPr>
          <w:p w14:paraId="53FD339F">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电视设备</w:t>
            </w:r>
          </w:p>
        </w:tc>
        <w:tc>
          <w:tcPr>
            <w:tcW w:w="1404" w:type="dxa"/>
            <w:shd w:val="clear" w:color="auto" w:fill="FFFFFF"/>
            <w:tcMar>
              <w:top w:w="0" w:type="dxa"/>
              <w:left w:w="108" w:type="dxa"/>
              <w:bottom w:w="0" w:type="dxa"/>
              <w:right w:w="108" w:type="dxa"/>
            </w:tcMar>
            <w:vAlign w:val="center"/>
          </w:tcPr>
          <w:p w14:paraId="1E62BB62">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A02091001</w:t>
            </w:r>
          </w:p>
        </w:tc>
        <w:tc>
          <w:tcPr>
            <w:tcW w:w="1255" w:type="dxa"/>
            <w:shd w:val="clear" w:color="auto" w:fill="FFFFFF"/>
            <w:tcMar>
              <w:top w:w="0" w:type="dxa"/>
              <w:left w:w="108" w:type="dxa"/>
              <w:bottom w:w="0" w:type="dxa"/>
              <w:right w:w="108" w:type="dxa"/>
            </w:tcMar>
            <w:vAlign w:val="center"/>
          </w:tcPr>
          <w:p w14:paraId="528CCF0F">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普通电视设备（电视机）</w:t>
            </w:r>
          </w:p>
        </w:tc>
        <w:tc>
          <w:tcPr>
            <w:tcW w:w="2628" w:type="dxa"/>
            <w:vMerge w:val="restart"/>
            <w:shd w:val="clear" w:color="auto" w:fill="FFFFFF"/>
            <w:tcMar>
              <w:top w:w="0" w:type="dxa"/>
              <w:left w:w="108" w:type="dxa"/>
              <w:bottom w:w="0" w:type="dxa"/>
              <w:right w:w="108" w:type="dxa"/>
            </w:tcMar>
            <w:vAlign w:val="center"/>
          </w:tcPr>
          <w:p w14:paraId="64A12CB2">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中国质量认证中心</w:t>
            </w:r>
          </w:p>
          <w:p w14:paraId="1398EC19">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北京泰瑞特认证有限责任公司</w:t>
            </w:r>
          </w:p>
          <w:p w14:paraId="40DE75E5">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广州赛宝认证中心服务有限公司</w:t>
            </w:r>
          </w:p>
        </w:tc>
      </w:tr>
      <w:tr w14:paraId="44D582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30" w:type="dxa"/>
            <w:left w:w="30" w:type="dxa"/>
            <w:bottom w:w="30" w:type="dxa"/>
            <w:right w:w="30" w:type="dxa"/>
          </w:tblCellMar>
        </w:tblPrEx>
        <w:trPr>
          <w:trHeight w:val="454" w:hRule="atLeast"/>
        </w:trPr>
        <w:tc>
          <w:tcPr>
            <w:tcW w:w="607" w:type="dxa"/>
            <w:shd w:val="clear" w:color="auto" w:fill="FFFFFF"/>
            <w:tcMar>
              <w:top w:w="0" w:type="dxa"/>
              <w:left w:w="108" w:type="dxa"/>
              <w:bottom w:w="0" w:type="dxa"/>
              <w:right w:w="108" w:type="dxa"/>
            </w:tcMar>
            <w:vAlign w:val="center"/>
          </w:tcPr>
          <w:p w14:paraId="291AE7A6">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13</w:t>
            </w:r>
          </w:p>
        </w:tc>
        <w:tc>
          <w:tcPr>
            <w:tcW w:w="1120" w:type="dxa"/>
            <w:shd w:val="clear" w:color="auto" w:fill="FFFFFF"/>
            <w:tcMar>
              <w:top w:w="0" w:type="dxa"/>
              <w:left w:w="108" w:type="dxa"/>
              <w:bottom w:w="0" w:type="dxa"/>
              <w:right w:w="108" w:type="dxa"/>
            </w:tcMar>
            <w:vAlign w:val="center"/>
          </w:tcPr>
          <w:p w14:paraId="7638840C">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A020911</w:t>
            </w:r>
          </w:p>
        </w:tc>
        <w:tc>
          <w:tcPr>
            <w:tcW w:w="1515" w:type="dxa"/>
            <w:shd w:val="clear" w:color="auto" w:fill="FFFFFF"/>
            <w:tcMar>
              <w:top w:w="0" w:type="dxa"/>
              <w:left w:w="108" w:type="dxa"/>
              <w:bottom w:w="0" w:type="dxa"/>
              <w:right w:w="108" w:type="dxa"/>
            </w:tcMar>
            <w:vAlign w:val="center"/>
          </w:tcPr>
          <w:p w14:paraId="77DF658F">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视频设备</w:t>
            </w:r>
          </w:p>
        </w:tc>
        <w:tc>
          <w:tcPr>
            <w:tcW w:w="1404" w:type="dxa"/>
            <w:shd w:val="clear" w:color="auto" w:fill="FFFFFF"/>
            <w:tcMar>
              <w:top w:w="0" w:type="dxa"/>
              <w:left w:w="108" w:type="dxa"/>
              <w:bottom w:w="0" w:type="dxa"/>
              <w:right w:w="108" w:type="dxa"/>
            </w:tcMar>
            <w:vAlign w:val="center"/>
          </w:tcPr>
          <w:p w14:paraId="6244EE5A">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A02091107</w:t>
            </w:r>
          </w:p>
        </w:tc>
        <w:tc>
          <w:tcPr>
            <w:tcW w:w="1255" w:type="dxa"/>
            <w:shd w:val="clear" w:color="auto" w:fill="FFFFFF"/>
            <w:tcMar>
              <w:top w:w="0" w:type="dxa"/>
              <w:left w:w="108" w:type="dxa"/>
              <w:bottom w:w="0" w:type="dxa"/>
              <w:right w:w="108" w:type="dxa"/>
            </w:tcMar>
            <w:vAlign w:val="center"/>
          </w:tcPr>
          <w:p w14:paraId="389492F0">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视频监控设备</w:t>
            </w:r>
          </w:p>
        </w:tc>
        <w:tc>
          <w:tcPr>
            <w:tcW w:w="2628" w:type="dxa"/>
            <w:vMerge w:val="continue"/>
            <w:shd w:val="clear" w:color="auto" w:fill="FFFFFF"/>
            <w:tcMar>
              <w:top w:w="0" w:type="dxa"/>
              <w:left w:w="108" w:type="dxa"/>
              <w:bottom w:w="0" w:type="dxa"/>
              <w:right w:w="108" w:type="dxa"/>
            </w:tcMar>
            <w:vAlign w:val="center"/>
          </w:tcPr>
          <w:p w14:paraId="69AB40FD">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p>
        </w:tc>
      </w:tr>
      <w:tr w14:paraId="68ECA8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30" w:type="dxa"/>
            <w:left w:w="30" w:type="dxa"/>
            <w:bottom w:w="30" w:type="dxa"/>
            <w:right w:w="30" w:type="dxa"/>
          </w:tblCellMar>
        </w:tblPrEx>
        <w:trPr>
          <w:trHeight w:val="454" w:hRule="atLeast"/>
        </w:trPr>
        <w:tc>
          <w:tcPr>
            <w:tcW w:w="607" w:type="dxa"/>
            <w:shd w:val="clear" w:color="auto" w:fill="FFFFFF"/>
            <w:tcMar>
              <w:top w:w="0" w:type="dxa"/>
              <w:left w:w="108" w:type="dxa"/>
              <w:bottom w:w="0" w:type="dxa"/>
              <w:right w:w="108" w:type="dxa"/>
            </w:tcMar>
            <w:vAlign w:val="center"/>
          </w:tcPr>
          <w:p w14:paraId="40D8E906">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14</w:t>
            </w:r>
          </w:p>
        </w:tc>
        <w:tc>
          <w:tcPr>
            <w:tcW w:w="1120" w:type="dxa"/>
            <w:shd w:val="clear" w:color="auto" w:fill="FFFFFF"/>
            <w:tcMar>
              <w:top w:w="0" w:type="dxa"/>
              <w:left w:w="108" w:type="dxa"/>
              <w:bottom w:w="0" w:type="dxa"/>
              <w:right w:w="108" w:type="dxa"/>
            </w:tcMar>
            <w:vAlign w:val="center"/>
          </w:tcPr>
          <w:p w14:paraId="06961653">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A031210</w:t>
            </w:r>
          </w:p>
        </w:tc>
        <w:tc>
          <w:tcPr>
            <w:tcW w:w="1515" w:type="dxa"/>
            <w:shd w:val="clear" w:color="auto" w:fill="FFFFFF"/>
            <w:tcMar>
              <w:top w:w="0" w:type="dxa"/>
              <w:left w:w="108" w:type="dxa"/>
              <w:bottom w:w="0" w:type="dxa"/>
              <w:right w:w="108" w:type="dxa"/>
            </w:tcMar>
            <w:vAlign w:val="center"/>
          </w:tcPr>
          <w:p w14:paraId="48EBB62E">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饮食炊事机械</w:t>
            </w:r>
          </w:p>
        </w:tc>
        <w:tc>
          <w:tcPr>
            <w:tcW w:w="1404" w:type="dxa"/>
            <w:shd w:val="clear" w:color="auto" w:fill="FFFFFF"/>
            <w:tcMar>
              <w:top w:w="0" w:type="dxa"/>
              <w:left w:w="108" w:type="dxa"/>
              <w:bottom w:w="0" w:type="dxa"/>
              <w:right w:w="108" w:type="dxa"/>
            </w:tcMar>
            <w:vAlign w:val="center"/>
          </w:tcPr>
          <w:p w14:paraId="559865B5">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p>
        </w:tc>
        <w:tc>
          <w:tcPr>
            <w:tcW w:w="1255" w:type="dxa"/>
            <w:shd w:val="clear" w:color="auto" w:fill="FFFFFF"/>
            <w:tcMar>
              <w:top w:w="0" w:type="dxa"/>
              <w:left w:w="108" w:type="dxa"/>
              <w:bottom w:w="0" w:type="dxa"/>
              <w:right w:w="108" w:type="dxa"/>
            </w:tcMar>
            <w:vAlign w:val="center"/>
          </w:tcPr>
          <w:p w14:paraId="09CF0AF0">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p>
        </w:tc>
        <w:tc>
          <w:tcPr>
            <w:tcW w:w="2628" w:type="dxa"/>
            <w:shd w:val="clear" w:color="auto" w:fill="FFFFFF"/>
            <w:tcMar>
              <w:top w:w="0" w:type="dxa"/>
              <w:left w:w="108" w:type="dxa"/>
              <w:bottom w:w="0" w:type="dxa"/>
              <w:right w:w="108" w:type="dxa"/>
            </w:tcMar>
            <w:vAlign w:val="center"/>
          </w:tcPr>
          <w:p w14:paraId="3AF73BF3">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中国质量认证中心</w:t>
            </w:r>
          </w:p>
          <w:p w14:paraId="1F455C5E">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北京鉴衡认证中心</w:t>
            </w:r>
          </w:p>
          <w:p w14:paraId="661516F8">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中国市政工程华北设计研究总院有限公司</w:t>
            </w:r>
          </w:p>
        </w:tc>
      </w:tr>
      <w:tr w14:paraId="2596F0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30" w:type="dxa"/>
            <w:left w:w="30" w:type="dxa"/>
            <w:bottom w:w="30" w:type="dxa"/>
            <w:right w:w="30" w:type="dxa"/>
          </w:tblCellMar>
        </w:tblPrEx>
        <w:trPr>
          <w:trHeight w:val="454" w:hRule="atLeast"/>
        </w:trPr>
        <w:tc>
          <w:tcPr>
            <w:tcW w:w="607" w:type="dxa"/>
            <w:shd w:val="clear" w:color="auto" w:fill="FFFFFF"/>
            <w:tcMar>
              <w:top w:w="0" w:type="dxa"/>
              <w:left w:w="108" w:type="dxa"/>
              <w:bottom w:w="0" w:type="dxa"/>
              <w:right w:w="108" w:type="dxa"/>
            </w:tcMar>
            <w:vAlign w:val="center"/>
          </w:tcPr>
          <w:p w14:paraId="696E323A">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15</w:t>
            </w:r>
          </w:p>
        </w:tc>
        <w:tc>
          <w:tcPr>
            <w:tcW w:w="1120" w:type="dxa"/>
            <w:shd w:val="clear" w:color="auto" w:fill="FFFFFF"/>
            <w:tcMar>
              <w:top w:w="0" w:type="dxa"/>
              <w:left w:w="108" w:type="dxa"/>
              <w:bottom w:w="0" w:type="dxa"/>
              <w:right w:w="108" w:type="dxa"/>
            </w:tcMar>
            <w:vAlign w:val="center"/>
          </w:tcPr>
          <w:p w14:paraId="23E07AFD">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A060805</w:t>
            </w:r>
          </w:p>
        </w:tc>
        <w:tc>
          <w:tcPr>
            <w:tcW w:w="1515" w:type="dxa"/>
            <w:shd w:val="clear" w:color="auto" w:fill="FFFFFF"/>
            <w:tcMar>
              <w:top w:w="0" w:type="dxa"/>
              <w:left w:w="108" w:type="dxa"/>
              <w:bottom w:w="0" w:type="dxa"/>
              <w:right w:w="108" w:type="dxa"/>
            </w:tcMar>
            <w:vAlign w:val="center"/>
          </w:tcPr>
          <w:p w14:paraId="413BA07F">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便器</w:t>
            </w:r>
          </w:p>
        </w:tc>
        <w:tc>
          <w:tcPr>
            <w:tcW w:w="1404" w:type="dxa"/>
            <w:shd w:val="clear" w:color="auto" w:fill="FFFFFF"/>
            <w:tcMar>
              <w:top w:w="0" w:type="dxa"/>
              <w:left w:w="108" w:type="dxa"/>
              <w:bottom w:w="0" w:type="dxa"/>
              <w:right w:w="108" w:type="dxa"/>
            </w:tcMar>
            <w:vAlign w:val="center"/>
          </w:tcPr>
          <w:p w14:paraId="4A9B8F65">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p>
        </w:tc>
        <w:tc>
          <w:tcPr>
            <w:tcW w:w="1255" w:type="dxa"/>
            <w:shd w:val="clear" w:color="auto" w:fill="FFFFFF"/>
            <w:tcMar>
              <w:top w:w="0" w:type="dxa"/>
              <w:left w:w="108" w:type="dxa"/>
              <w:bottom w:w="0" w:type="dxa"/>
              <w:right w:w="108" w:type="dxa"/>
            </w:tcMar>
            <w:vAlign w:val="center"/>
          </w:tcPr>
          <w:p w14:paraId="4FDF6A96">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p>
        </w:tc>
        <w:tc>
          <w:tcPr>
            <w:tcW w:w="2628" w:type="dxa"/>
            <w:vMerge w:val="restart"/>
            <w:shd w:val="clear" w:color="auto" w:fill="FFFFFF"/>
            <w:tcMar>
              <w:top w:w="0" w:type="dxa"/>
              <w:left w:w="108" w:type="dxa"/>
              <w:bottom w:w="0" w:type="dxa"/>
              <w:right w:w="108" w:type="dxa"/>
            </w:tcMar>
            <w:vAlign w:val="center"/>
          </w:tcPr>
          <w:p w14:paraId="621FF43D">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中国质量认证中心</w:t>
            </w:r>
          </w:p>
          <w:p w14:paraId="371714DA">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北京新华节水产品认证有限公司</w:t>
            </w:r>
          </w:p>
          <w:p w14:paraId="7916BBF4">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方圆标志认证集团有限公司</w:t>
            </w:r>
          </w:p>
        </w:tc>
      </w:tr>
      <w:tr w14:paraId="2486D8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30" w:type="dxa"/>
            <w:left w:w="30" w:type="dxa"/>
            <w:bottom w:w="30" w:type="dxa"/>
            <w:right w:w="30" w:type="dxa"/>
          </w:tblCellMar>
        </w:tblPrEx>
        <w:trPr>
          <w:trHeight w:val="454" w:hRule="atLeast"/>
        </w:trPr>
        <w:tc>
          <w:tcPr>
            <w:tcW w:w="607" w:type="dxa"/>
            <w:shd w:val="clear" w:color="auto" w:fill="FFFFFF"/>
            <w:tcMar>
              <w:top w:w="0" w:type="dxa"/>
              <w:left w:w="108" w:type="dxa"/>
              <w:bottom w:w="0" w:type="dxa"/>
              <w:right w:w="108" w:type="dxa"/>
            </w:tcMar>
            <w:vAlign w:val="center"/>
          </w:tcPr>
          <w:p w14:paraId="523584E0">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16</w:t>
            </w:r>
          </w:p>
        </w:tc>
        <w:tc>
          <w:tcPr>
            <w:tcW w:w="1120" w:type="dxa"/>
            <w:shd w:val="clear" w:color="auto" w:fill="FFFFFF"/>
            <w:tcMar>
              <w:top w:w="0" w:type="dxa"/>
              <w:left w:w="108" w:type="dxa"/>
              <w:bottom w:w="0" w:type="dxa"/>
              <w:right w:w="108" w:type="dxa"/>
            </w:tcMar>
            <w:vAlign w:val="center"/>
          </w:tcPr>
          <w:p w14:paraId="341248B3">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A060806</w:t>
            </w:r>
          </w:p>
        </w:tc>
        <w:tc>
          <w:tcPr>
            <w:tcW w:w="1515" w:type="dxa"/>
            <w:shd w:val="clear" w:color="auto" w:fill="FFFFFF"/>
            <w:tcMar>
              <w:top w:w="0" w:type="dxa"/>
              <w:left w:w="108" w:type="dxa"/>
              <w:bottom w:w="0" w:type="dxa"/>
              <w:right w:w="108" w:type="dxa"/>
            </w:tcMar>
            <w:vAlign w:val="center"/>
          </w:tcPr>
          <w:p w14:paraId="4092357F">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水嘴</w:t>
            </w:r>
          </w:p>
        </w:tc>
        <w:tc>
          <w:tcPr>
            <w:tcW w:w="1404" w:type="dxa"/>
            <w:shd w:val="clear" w:color="auto" w:fill="FFFFFF"/>
            <w:tcMar>
              <w:top w:w="0" w:type="dxa"/>
              <w:left w:w="108" w:type="dxa"/>
              <w:bottom w:w="0" w:type="dxa"/>
              <w:right w:w="108" w:type="dxa"/>
            </w:tcMar>
            <w:vAlign w:val="center"/>
          </w:tcPr>
          <w:p w14:paraId="51456ACD">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p>
        </w:tc>
        <w:tc>
          <w:tcPr>
            <w:tcW w:w="1255" w:type="dxa"/>
            <w:shd w:val="clear" w:color="auto" w:fill="FFFFFF"/>
            <w:tcMar>
              <w:top w:w="0" w:type="dxa"/>
              <w:left w:w="108" w:type="dxa"/>
              <w:bottom w:w="0" w:type="dxa"/>
              <w:right w:w="108" w:type="dxa"/>
            </w:tcMar>
            <w:vAlign w:val="center"/>
          </w:tcPr>
          <w:p w14:paraId="1AE8DF66">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p>
        </w:tc>
        <w:tc>
          <w:tcPr>
            <w:tcW w:w="2628" w:type="dxa"/>
            <w:vMerge w:val="continue"/>
            <w:shd w:val="clear" w:color="auto" w:fill="FFFFFF"/>
            <w:tcMar>
              <w:top w:w="0" w:type="dxa"/>
              <w:left w:w="108" w:type="dxa"/>
              <w:bottom w:w="0" w:type="dxa"/>
              <w:right w:w="108" w:type="dxa"/>
            </w:tcMar>
            <w:vAlign w:val="center"/>
          </w:tcPr>
          <w:p w14:paraId="530DBB3B">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p>
        </w:tc>
      </w:tr>
      <w:tr w14:paraId="31944C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30" w:type="dxa"/>
            <w:left w:w="30" w:type="dxa"/>
            <w:bottom w:w="30" w:type="dxa"/>
            <w:right w:w="30" w:type="dxa"/>
          </w:tblCellMar>
        </w:tblPrEx>
        <w:trPr>
          <w:trHeight w:val="454" w:hRule="atLeast"/>
        </w:trPr>
        <w:tc>
          <w:tcPr>
            <w:tcW w:w="607" w:type="dxa"/>
            <w:shd w:val="clear" w:color="auto" w:fill="FFFFFF"/>
            <w:tcMar>
              <w:top w:w="0" w:type="dxa"/>
              <w:left w:w="108" w:type="dxa"/>
              <w:bottom w:w="0" w:type="dxa"/>
              <w:right w:w="108" w:type="dxa"/>
            </w:tcMar>
            <w:vAlign w:val="center"/>
          </w:tcPr>
          <w:p w14:paraId="71C3862F">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17</w:t>
            </w:r>
          </w:p>
        </w:tc>
        <w:tc>
          <w:tcPr>
            <w:tcW w:w="1120" w:type="dxa"/>
            <w:shd w:val="clear" w:color="auto" w:fill="FFFFFF"/>
            <w:tcMar>
              <w:top w:w="0" w:type="dxa"/>
              <w:left w:w="108" w:type="dxa"/>
              <w:bottom w:w="0" w:type="dxa"/>
              <w:right w:w="108" w:type="dxa"/>
            </w:tcMar>
            <w:vAlign w:val="center"/>
          </w:tcPr>
          <w:p w14:paraId="145F2CD6">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A060807</w:t>
            </w:r>
          </w:p>
        </w:tc>
        <w:tc>
          <w:tcPr>
            <w:tcW w:w="1515" w:type="dxa"/>
            <w:shd w:val="clear" w:color="auto" w:fill="FFFFFF"/>
            <w:tcMar>
              <w:top w:w="0" w:type="dxa"/>
              <w:left w:w="108" w:type="dxa"/>
              <w:bottom w:w="0" w:type="dxa"/>
              <w:right w:w="108" w:type="dxa"/>
            </w:tcMar>
            <w:vAlign w:val="center"/>
          </w:tcPr>
          <w:p w14:paraId="65BEF503">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便器冲洗阀</w:t>
            </w:r>
          </w:p>
        </w:tc>
        <w:tc>
          <w:tcPr>
            <w:tcW w:w="1404" w:type="dxa"/>
            <w:shd w:val="clear" w:color="auto" w:fill="FFFFFF"/>
            <w:tcMar>
              <w:top w:w="0" w:type="dxa"/>
              <w:left w:w="108" w:type="dxa"/>
              <w:bottom w:w="0" w:type="dxa"/>
              <w:right w:w="108" w:type="dxa"/>
            </w:tcMar>
            <w:vAlign w:val="center"/>
          </w:tcPr>
          <w:p w14:paraId="2BC051E3">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p>
        </w:tc>
        <w:tc>
          <w:tcPr>
            <w:tcW w:w="1255" w:type="dxa"/>
            <w:shd w:val="clear" w:color="auto" w:fill="FFFFFF"/>
            <w:tcMar>
              <w:top w:w="0" w:type="dxa"/>
              <w:left w:w="108" w:type="dxa"/>
              <w:bottom w:w="0" w:type="dxa"/>
              <w:right w:w="108" w:type="dxa"/>
            </w:tcMar>
            <w:vAlign w:val="center"/>
          </w:tcPr>
          <w:p w14:paraId="665EBBAE">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p>
        </w:tc>
        <w:tc>
          <w:tcPr>
            <w:tcW w:w="2628" w:type="dxa"/>
            <w:vMerge w:val="continue"/>
            <w:shd w:val="clear" w:color="auto" w:fill="FFFFFF"/>
            <w:tcMar>
              <w:top w:w="0" w:type="dxa"/>
              <w:left w:w="108" w:type="dxa"/>
              <w:bottom w:w="0" w:type="dxa"/>
              <w:right w:w="108" w:type="dxa"/>
            </w:tcMar>
            <w:vAlign w:val="center"/>
          </w:tcPr>
          <w:p w14:paraId="05398C14">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p>
        </w:tc>
      </w:tr>
      <w:tr w14:paraId="4D5ABD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30" w:type="dxa"/>
            <w:left w:w="30" w:type="dxa"/>
            <w:bottom w:w="30" w:type="dxa"/>
            <w:right w:w="30" w:type="dxa"/>
          </w:tblCellMar>
        </w:tblPrEx>
        <w:trPr>
          <w:trHeight w:val="454" w:hRule="atLeast"/>
        </w:trPr>
        <w:tc>
          <w:tcPr>
            <w:tcW w:w="607" w:type="dxa"/>
            <w:shd w:val="clear" w:color="auto" w:fill="FFFFFF"/>
            <w:tcMar>
              <w:top w:w="0" w:type="dxa"/>
              <w:left w:w="108" w:type="dxa"/>
              <w:bottom w:w="0" w:type="dxa"/>
              <w:right w:w="108" w:type="dxa"/>
            </w:tcMar>
            <w:vAlign w:val="center"/>
          </w:tcPr>
          <w:p w14:paraId="0C1F797B">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18</w:t>
            </w:r>
          </w:p>
        </w:tc>
        <w:tc>
          <w:tcPr>
            <w:tcW w:w="1120" w:type="dxa"/>
            <w:shd w:val="clear" w:color="auto" w:fill="FFFFFF"/>
            <w:tcMar>
              <w:top w:w="0" w:type="dxa"/>
              <w:left w:w="108" w:type="dxa"/>
              <w:bottom w:w="0" w:type="dxa"/>
              <w:right w:w="108" w:type="dxa"/>
            </w:tcMar>
            <w:vAlign w:val="center"/>
          </w:tcPr>
          <w:p w14:paraId="2196AAD7">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A060810</w:t>
            </w:r>
          </w:p>
        </w:tc>
        <w:tc>
          <w:tcPr>
            <w:tcW w:w="1515" w:type="dxa"/>
            <w:shd w:val="clear" w:color="auto" w:fill="FFFFFF"/>
            <w:tcMar>
              <w:top w:w="0" w:type="dxa"/>
              <w:left w:w="108" w:type="dxa"/>
              <w:bottom w:w="0" w:type="dxa"/>
              <w:right w:w="108" w:type="dxa"/>
            </w:tcMar>
            <w:vAlign w:val="center"/>
          </w:tcPr>
          <w:p w14:paraId="67D59E4A">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淋浴器</w:t>
            </w:r>
          </w:p>
        </w:tc>
        <w:tc>
          <w:tcPr>
            <w:tcW w:w="1404" w:type="dxa"/>
            <w:shd w:val="clear" w:color="auto" w:fill="FFFFFF"/>
            <w:tcMar>
              <w:top w:w="0" w:type="dxa"/>
              <w:left w:w="108" w:type="dxa"/>
              <w:bottom w:w="0" w:type="dxa"/>
              <w:right w:w="108" w:type="dxa"/>
            </w:tcMar>
            <w:vAlign w:val="center"/>
          </w:tcPr>
          <w:p w14:paraId="279FA6A7">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p>
        </w:tc>
        <w:tc>
          <w:tcPr>
            <w:tcW w:w="1255" w:type="dxa"/>
            <w:shd w:val="clear" w:color="auto" w:fill="FFFFFF"/>
            <w:tcMar>
              <w:top w:w="0" w:type="dxa"/>
              <w:left w:w="108" w:type="dxa"/>
              <w:bottom w:w="0" w:type="dxa"/>
              <w:right w:w="108" w:type="dxa"/>
            </w:tcMar>
            <w:vAlign w:val="center"/>
          </w:tcPr>
          <w:p w14:paraId="58ED4032">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p>
        </w:tc>
        <w:tc>
          <w:tcPr>
            <w:tcW w:w="2628" w:type="dxa"/>
            <w:vMerge w:val="continue"/>
            <w:shd w:val="clear" w:color="auto" w:fill="FFFFFF"/>
            <w:tcMar>
              <w:top w:w="0" w:type="dxa"/>
              <w:left w:w="108" w:type="dxa"/>
              <w:bottom w:w="0" w:type="dxa"/>
              <w:right w:w="108" w:type="dxa"/>
            </w:tcMar>
            <w:vAlign w:val="center"/>
          </w:tcPr>
          <w:p w14:paraId="2B817147">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p>
        </w:tc>
      </w:tr>
    </w:tbl>
    <w:p w14:paraId="2FFF2A4C">
      <w:pPr>
        <w:pageBreakBefore w:val="0"/>
        <w:kinsoku/>
        <w:wordWrap/>
        <w:overflowPunct/>
        <w:bidi w:val="0"/>
        <w:snapToGrid w:val="0"/>
        <w:spacing w:line="300" w:lineRule="auto"/>
        <w:ind w:left="0" w:leftChars="0" w:right="0"/>
        <w:jc w:val="center"/>
        <w:rPr>
          <w:rFonts w:hint="default" w:ascii="Calibri" w:hAnsi="Calibri" w:cs="Calibri"/>
          <w:color w:val="auto"/>
          <w:highlight w:val="none"/>
        </w:rPr>
      </w:pPr>
      <w:r>
        <w:rPr>
          <w:rFonts w:hint="default" w:ascii="Calibri" w:hAnsi="Calibri" w:cs="Calibri"/>
          <w:color w:val="auto"/>
          <w:highlight w:val="none"/>
        </w:rPr>
        <w:t>参与实施政府采购环境标志产品认证机构名录</w:t>
      </w:r>
    </w:p>
    <w:tbl>
      <w:tblPr>
        <w:tblStyle w:val="52"/>
        <w:tblW w:w="5000" w:type="pct"/>
        <w:tblInd w:w="0" w:type="dxa"/>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Layout w:type="autofit"/>
        <w:tblCellMar>
          <w:top w:w="30" w:type="dxa"/>
          <w:left w:w="30" w:type="dxa"/>
          <w:bottom w:w="30" w:type="dxa"/>
          <w:right w:w="30" w:type="dxa"/>
        </w:tblCellMar>
      </w:tblPr>
      <w:tblGrid>
        <w:gridCol w:w="661"/>
        <w:gridCol w:w="2046"/>
        <w:gridCol w:w="5822"/>
      </w:tblGrid>
      <w:tr w14:paraId="184B4314">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30" w:type="dxa"/>
            <w:left w:w="30" w:type="dxa"/>
            <w:bottom w:w="30" w:type="dxa"/>
            <w:right w:w="30" w:type="dxa"/>
          </w:tblCellMar>
        </w:tblPrEx>
        <w:trPr>
          <w:trHeight w:val="454" w:hRule="atLeast"/>
        </w:trPr>
        <w:tc>
          <w:tcPr>
            <w:tcW w:w="866"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139876FF">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序号</w:t>
            </w:r>
          </w:p>
        </w:tc>
        <w:tc>
          <w:tcPr>
            <w:tcW w:w="3326" w:type="dxa"/>
            <w:tcBorders>
              <w:top w:val="single" w:color="auto" w:sz="8" w:space="0"/>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04D3AF85">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目录</w:t>
            </w:r>
          </w:p>
        </w:tc>
        <w:tc>
          <w:tcPr>
            <w:tcW w:w="9889" w:type="dxa"/>
            <w:tcBorders>
              <w:top w:val="single" w:color="auto" w:sz="8" w:space="0"/>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67539515">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认证机构名录</w:t>
            </w:r>
          </w:p>
        </w:tc>
      </w:tr>
      <w:tr w14:paraId="7C71E786">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30" w:type="dxa"/>
            <w:left w:w="30" w:type="dxa"/>
            <w:bottom w:w="30" w:type="dxa"/>
            <w:right w:w="30" w:type="dxa"/>
          </w:tblCellMar>
        </w:tblPrEx>
        <w:trPr>
          <w:trHeight w:val="454" w:hRule="atLeast"/>
        </w:trPr>
        <w:tc>
          <w:tcPr>
            <w:tcW w:w="866"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0D6CCC06">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1</w:t>
            </w:r>
          </w:p>
        </w:tc>
        <w:tc>
          <w:tcPr>
            <w:tcW w:w="3326"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3E657AE">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环境标志产品</w:t>
            </w:r>
          </w:p>
        </w:tc>
        <w:tc>
          <w:tcPr>
            <w:tcW w:w="9889"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356AB905">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中环联合（北京）认证中心有限公司</w:t>
            </w:r>
          </w:p>
          <w:p w14:paraId="5440A20E">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中标合信（北京）认证有限公司</w:t>
            </w:r>
          </w:p>
          <w:p w14:paraId="22FD7DF5">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中环协（北京）认证中心</w:t>
            </w:r>
          </w:p>
          <w:p w14:paraId="28AFC0D5">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textAlignment w:val="auto"/>
              <w:rPr>
                <w:rFonts w:hint="default" w:ascii="Calibri" w:hAnsi="Calibri" w:cs="Calibri"/>
                <w:color w:val="auto"/>
                <w:sz w:val="18"/>
                <w:szCs w:val="18"/>
                <w:highlight w:val="none"/>
              </w:rPr>
            </w:pPr>
            <w:r>
              <w:rPr>
                <w:rFonts w:hint="default" w:ascii="Calibri" w:hAnsi="Calibri" w:cs="Calibri"/>
                <w:color w:val="auto"/>
                <w:sz w:val="18"/>
                <w:szCs w:val="18"/>
                <w:highlight w:val="none"/>
              </w:rPr>
              <w:t>天津华诚认证有限公司</w:t>
            </w:r>
          </w:p>
        </w:tc>
      </w:tr>
    </w:tbl>
    <w:p w14:paraId="6B2E2F95">
      <w:pPr>
        <w:rPr>
          <w:color w:val="auto"/>
          <w:highlight w:val="none"/>
        </w:rPr>
      </w:pPr>
    </w:p>
    <w:sectPr>
      <w:pgSz w:w="11907" w:h="16840"/>
      <w:pgMar w:top="1474" w:right="1797" w:bottom="1247" w:left="1797" w:header="851" w:footer="992" w:gutter="0"/>
      <w:cols w:space="720" w:num="1"/>
      <w:docGrid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20"/>
      </w:pPr>
      <w:r>
        <w:separator/>
      </w:r>
    </w:p>
  </w:endnote>
  <w:endnote w:type="continuationSeparator" w:id="1">
    <w:p>
      <w:pPr>
        <w:spacing w:line="240" w:lineRule="auto"/>
        <w:ind w:firstLine="42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moder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embedRegular r:id="rId1" w:fontKey="{3E1368DD-1DDD-44E0-A658-D996D3215637}"/>
  </w:font>
  <w:font w:name="Arial">
    <w:panose1 w:val="020B0604020202020204"/>
    <w:charset w:val="01"/>
    <w:family w:val="swiss"/>
    <w:pitch w:val="default"/>
    <w:sig w:usb0="E0002EFF" w:usb1="C000785B" w:usb2="00000009" w:usb3="00000000" w:csb0="400001FF" w:csb1="FFFF0000"/>
    <w:embedRegular r:id="rId2" w:fontKey="{0D6B4580-5595-468E-9F2F-A07BD6F63286}"/>
  </w:font>
  <w:font w:name="黑体">
    <w:panose1 w:val="02010609060101010101"/>
    <w:charset w:val="86"/>
    <w:family w:val="auto"/>
    <w:pitch w:val="default"/>
    <w:sig w:usb0="800002BF" w:usb1="38CF7CFA" w:usb2="00000016" w:usb3="00000000" w:csb0="00040001" w:csb1="00000000"/>
    <w:embedRegular r:id="rId3" w:fontKey="{65866A1E-07C5-49F3-9786-601830043F71}"/>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4" w:fontKey="{765C8B74-B9FA-4FDE-B9BE-4E1CD3A48704}"/>
  </w:font>
  <w:font w:name="微软雅黑">
    <w:panose1 w:val="020B0503020204020204"/>
    <w:charset w:val="86"/>
    <w:family w:val="swiss"/>
    <w:pitch w:val="default"/>
    <w:sig w:usb0="80000287" w:usb1="2ACF3C50" w:usb2="00000016" w:usb3="00000000" w:csb0="0004001F" w:csb1="00000000"/>
    <w:embedRegular r:id="rId5" w:fontKey="{881B3B0F-C8A0-4136-826A-741D06A27744}"/>
  </w:font>
  <w:font w:name="仿宋_GB2312">
    <w:panose1 w:val="02010609030101010101"/>
    <w:charset w:val="86"/>
    <w:family w:val="auto"/>
    <w:pitch w:val="default"/>
    <w:sig w:usb0="00000001" w:usb1="080E0000" w:usb2="00000000" w:usb3="00000000" w:csb0="00040000" w:csb1="00000000"/>
    <w:embedRegular r:id="rId6" w:fontKey="{B6180784-FAB7-447B-AEF5-29F11F0A16BF}"/>
  </w:font>
  <w:font w:name="等线 Light">
    <w:panose1 w:val="02010600030101010101"/>
    <w:charset w:val="86"/>
    <w:family w:val="auto"/>
    <w:pitch w:val="default"/>
    <w:sig w:usb0="A00002BF" w:usb1="38CF7CFA" w:usb2="00000016" w:usb3="00000000" w:csb0="0004000F" w:csb1="00000000"/>
    <w:embedRegular r:id="rId7" w:fontKey="{66973013-06C5-425C-B7B2-D276C2CA664E}"/>
  </w:font>
  <w:font w:name="等线">
    <w:panose1 w:val="02010600030101010101"/>
    <w:charset w:val="86"/>
    <w:family w:val="auto"/>
    <w:pitch w:val="default"/>
    <w:sig w:usb0="A00002BF" w:usb1="38CF7CFA" w:usb2="00000016" w:usb3="00000000" w:csb0="0004000F" w:csb1="00000000"/>
    <w:embedRegular r:id="rId8" w:fontKey="{B0E2CE63-71C4-4D26-B4DD-368310854C22}"/>
  </w:font>
  <w:font w:name="Verdana">
    <w:panose1 w:val="020B0604030504040204"/>
    <w:charset w:val="00"/>
    <w:family w:val="swiss"/>
    <w:pitch w:val="default"/>
    <w:sig w:usb0="A00006FF" w:usb1="4000205B" w:usb2="00000010" w:usb3="00000000" w:csb0="2000019F" w:csb1="00000000"/>
  </w:font>
  <w:font w:name="楷体_GB2312">
    <w:altName w:val="楷体"/>
    <w:panose1 w:val="00000000000000000000"/>
    <w:charset w:val="00"/>
    <w:family w:val="auto"/>
    <w:pitch w:val="default"/>
    <w:sig w:usb0="00000000" w:usb1="00000000" w:usb2="00000000" w:usb3="00000000" w:csb0="00000000" w:csb1="00000000"/>
  </w:font>
  <w:font w:name="楷体">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modern"/>
    <w:pitch w:val="default"/>
    <w:sig w:usb0="800002BF" w:usb1="38CF7CFA" w:usb2="00000016" w:usb3="00000000" w:csb0="00040001" w:csb1="00000000"/>
    <w:embedRegular r:id="rId9" w:fontKey="{E0ED8FEF-FCA5-4A9B-B01E-BFD5D87F58B7}"/>
  </w:font>
  <w:font w:name="Tahoma">
    <w:panose1 w:val="020B0604030504040204"/>
    <w:charset w:val="00"/>
    <w:family w:val="swiss"/>
    <w:pitch w:val="default"/>
    <w:sig w:usb0="E1002EFF" w:usb1="C000605B" w:usb2="00000029" w:usb3="00000000" w:csb0="200101FF" w:csb1="20280000"/>
  </w:font>
  <w:font w:name="Helvetica">
    <w:altName w:val="Arial"/>
    <w:panose1 w:val="020B0604020202020204"/>
    <w:charset w:val="00"/>
    <w:family w:val="swiss"/>
    <w:pitch w:val="default"/>
    <w:sig w:usb0="00000000" w:usb1="00000000" w:usb2="00000009" w:usb3="00000000" w:csb0="000001FF" w:csb1="00000000"/>
  </w:font>
  <w:font w:name="新宋体">
    <w:panose1 w:val="02010609030101010101"/>
    <w:charset w:val="86"/>
    <w:family w:val="modern"/>
    <w:pitch w:val="default"/>
    <w:sig w:usb0="00000203" w:usb1="288F0000" w:usb2="00000006" w:usb3="00000000" w:csb0="00040001" w:csb1="00000000"/>
  </w:font>
  <w:font w:name="Century">
    <w:panose1 w:val="02040604050505020304"/>
    <w:charset w:val="00"/>
    <w:family w:val="roman"/>
    <w:pitch w:val="default"/>
    <w:sig w:usb0="00000287" w:usb1="00000000" w:usb2="00000000" w:usb3="00000000" w:csb0="2000009F" w:csb1="DFD70000"/>
  </w:font>
  <w:font w:name="Arial Narrow">
    <w:panose1 w:val="020B0606020202030204"/>
    <w:charset w:val="00"/>
    <w:family w:val="swiss"/>
    <w:pitch w:val="default"/>
    <w:sig w:usb0="00000287" w:usb1="00000800" w:usb2="00000000" w:usb3="00000000" w:csb0="2000009F" w:csb1="DFD70000"/>
  </w:font>
  <w:font w:name="方正姚体">
    <w:panose1 w:val="02010601030101010101"/>
    <w:charset w:val="86"/>
    <w:family w:val="auto"/>
    <w:pitch w:val="default"/>
    <w:sig w:usb0="00000003" w:usb1="080E0000" w:usb2="00000000" w:usb3="00000000" w:csb0="00040000" w:csb1="00000000"/>
  </w:font>
  <w:font w:name="Arial Unicode MS">
    <w:altName w:val="宋体"/>
    <w:panose1 w:val="020B0604020202020204"/>
    <w:charset w:val="86"/>
    <w:family w:val="swiss"/>
    <w:pitch w:val="default"/>
    <w:sig w:usb0="00000000" w:usb1="00000000" w:usb2="0000003F" w:usb3="00000000" w:csb0="603F01FF" w:csb1="FFFF0000"/>
  </w:font>
  <w:font w:name="方正粗黑宋简体">
    <w:panose1 w:val="02000000000000000000"/>
    <w:charset w:val="86"/>
    <w:family w:val="auto"/>
    <w:pitch w:val="default"/>
    <w:sig w:usb0="A00002BF" w:usb1="184F6CFA" w:usb2="00000012" w:usb3="00000000" w:csb0="00040001" w:csb1="00000000"/>
    <w:embedRegular r:id="rId10" w:fontKey="{C1B1020C-3E74-47EE-ACEC-EE952C7C228B}"/>
  </w:font>
  <w:font w:name="汉仪大黑简">
    <w:altName w:val="黑体"/>
    <w:panose1 w:val="00000000000000000000"/>
    <w:charset w:val="00"/>
    <w:family w:val="auto"/>
    <w:pitch w:val="default"/>
    <w:sig w:usb0="00000000" w:usb1="00000000" w:usb2="00000000" w:usb3="00000000" w:csb0="00000000" w:csb1="00000000"/>
    <w:embedRegular r:id="rId11" w:fontKey="{00D3B073-1E39-4E6F-AD6F-F479FF245429}"/>
  </w:font>
  <w:font w:name="@汉仪中黑 197">
    <w:altName w:val="黑体"/>
    <w:panose1 w:val="00020600040101010101"/>
    <w:charset w:val="86"/>
    <w:family w:val="roman"/>
    <w:pitch w:val="default"/>
    <w:sig w:usb0="00000000" w:usb1="00000000" w:usb2="00000016" w:usb3="00000000" w:csb0="0004009F" w:csb1="00000000"/>
    <w:embedRegular r:id="rId12" w:fontKey="{2366B7C8-87DD-4D31-A0A6-1D8399498AFF}"/>
  </w:font>
  <w:font w:name="华文宋体">
    <w:panose1 w:val="02010600040101010101"/>
    <w:charset w:val="86"/>
    <w:family w:val="auto"/>
    <w:pitch w:val="default"/>
    <w:sig w:usb0="00000287" w:usb1="080F0000" w:usb2="00000000" w:usb3="00000000" w:csb0="0004009F" w:csb1="DFD70000"/>
    <w:embedRegular r:id="rId13" w:fontKey="{7CB62219-A17F-4D6E-991B-27BE8DEE83B9}"/>
  </w:font>
  <w:font w:name="华文楷体">
    <w:panose1 w:val="02010600040101010101"/>
    <w:charset w:val="86"/>
    <w:family w:val="auto"/>
    <w:pitch w:val="default"/>
    <w:sig w:usb0="00000287" w:usb1="080F0000" w:usb2="00000000" w:usb3="00000000" w:csb0="0004009F" w:csb1="DFD70000"/>
    <w:embedRegular r:id="rId14" w:fontKey="{314BB68E-9CCF-433C-AB10-B5D3F8048A23}"/>
  </w:font>
  <w:font w:name="sans-serif">
    <w:altName w:val="微软雅黑"/>
    <w:panose1 w:val="00000000000000000000"/>
    <w:charset w:val="00"/>
    <w:family w:val="auto"/>
    <w:pitch w:val="default"/>
    <w:sig w:usb0="00000000" w:usb1="00000000" w:usb2="00000000" w:usb3="00000000" w:csb0="00040001" w:csb1="00000000"/>
    <w:embedRegular r:id="rId15" w:fontKey="{62BB08D6-C17C-48B5-8281-00C6530FEA1E}"/>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AA05AC">
    <w:pPr>
      <w:pStyle w:val="34"/>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164FAF">
    <w:pPr>
      <w:pStyle w:val="34"/>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6B6EAA">
    <w:pPr>
      <w:pStyle w:val="34"/>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876B1A">
    <w:pPr>
      <w:pStyle w:val="34"/>
      <w:ind w:firstLine="360"/>
      <w:jc w:val="right"/>
    </w:pPr>
    <w:r>
      <w:fldChar w:fldCharType="begin"/>
    </w:r>
    <w:r>
      <w:instrText xml:space="preserve"> PAGE   \* MERGEFORMAT </w:instrText>
    </w:r>
    <w:r>
      <w:fldChar w:fldCharType="separate"/>
    </w:r>
    <w:r>
      <w:rPr>
        <w:lang w:val="zh-CN"/>
      </w:rPr>
      <w:t>8</w:t>
    </w:r>
    <w:r>
      <w:rPr>
        <w:lang w:val="zh-CN"/>
      </w:rPr>
      <w:fldChar w:fldCharType="end"/>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B11692">
    <w:pPr>
      <w:pStyle w:val="34"/>
      <w:ind w:firstLine="360"/>
      <w:jc w:val="center"/>
    </w:pPr>
    <w:r>
      <w:fldChar w:fldCharType="begin"/>
    </w:r>
    <w:r>
      <w:instrText xml:space="preserve">PAGE   \* MERGEFORMAT</w:instrText>
    </w:r>
    <w:r>
      <w:fldChar w:fldCharType="separate"/>
    </w:r>
    <w:r>
      <w:rPr>
        <w:lang w:val="zh-CN"/>
      </w:rPr>
      <w:t>34</w:t>
    </w:r>
    <w:r>
      <w:rPr>
        <w:lang w:val="zh-CN"/>
      </w:rPr>
      <w:fldChar w:fldCharType="end"/>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75BC37">
    <w:pPr>
      <w:pStyle w:val="34"/>
      <w:ind w:firstLine="360"/>
      <w:jc w:val="center"/>
    </w:pPr>
    <w:r>
      <w:fldChar w:fldCharType="begin"/>
    </w:r>
    <w:r>
      <w:instrText xml:space="preserve">PAGE   \* MERGEFORMAT</w:instrText>
    </w:r>
    <w:r>
      <w:fldChar w:fldCharType="separate"/>
    </w:r>
    <w:r>
      <w:rPr>
        <w:lang w:val="zh-CN"/>
      </w:rPr>
      <w:t>22</w:t>
    </w:r>
    <w:r>
      <w:rPr>
        <w:lang w:val="zh-CN"/>
      </w:rPr>
      <w:fldChar w:fldCharType="end"/>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361855884"/>
    </w:sdtPr>
    <w:sdtContent>
      <w:p w14:paraId="37DA4338">
        <w:pPr>
          <w:pStyle w:val="34"/>
          <w:ind w:firstLine="360"/>
          <w:jc w:val="right"/>
        </w:pPr>
        <w:r>
          <w:fldChar w:fldCharType="begin"/>
        </w:r>
        <w:r>
          <w:instrText xml:space="preserve">PAGE   \* MERGEFORMAT</w:instrText>
        </w:r>
        <w:r>
          <w:fldChar w:fldCharType="separate"/>
        </w:r>
        <w:r>
          <w:rPr>
            <w:lang w:val="zh-CN"/>
          </w:rPr>
          <w:t>73</w:t>
        </w:r>
        <w:r>
          <w:fldChar w:fldCharType="end"/>
        </w:r>
      </w:p>
    </w:sdtContent>
  </w:sdt>
  <w:p w14:paraId="4B518E70">
    <w:pPr>
      <w:pStyle w:val="34"/>
      <w:ind w:right="720" w:firstLine="210" w:firstLineChars="100"/>
      <w:jc w:val="center"/>
      <w:rPr>
        <w:sz w:val="21"/>
        <w:szCs w:val="21"/>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09217675"/>
    </w:sdtPr>
    <w:sdtContent>
      <w:p w14:paraId="2856279E">
        <w:pPr>
          <w:pStyle w:val="34"/>
          <w:ind w:firstLine="360"/>
          <w:jc w:val="right"/>
        </w:pPr>
        <w:r>
          <w:fldChar w:fldCharType="begin"/>
        </w:r>
        <w:r>
          <w:instrText xml:space="preserve">PAGE   \* MERGEFORMAT</w:instrText>
        </w:r>
        <w:r>
          <w:fldChar w:fldCharType="separate"/>
        </w:r>
        <w:r>
          <w:rPr>
            <w:lang w:val="zh-CN"/>
          </w:rPr>
          <w:t>120</w:t>
        </w:r>
        <w:r>
          <w:fldChar w:fldCharType="end"/>
        </w:r>
      </w:p>
    </w:sdtContent>
  </w:sdt>
  <w:p w14:paraId="0C3AAB46">
    <w:pPr>
      <w:pStyle w:val="34"/>
      <w:ind w:firstLine="360"/>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A8202E">
    <w:pPr>
      <w:pStyle w:val="34"/>
      <w:framePr w:wrap="around" w:vAnchor="text" w:hAnchor="margin" w:xAlign="center" w:y="1"/>
      <w:ind w:right="360" w:firstLine="360"/>
      <w:rPr>
        <w:rStyle w:val="58"/>
      </w:rPr>
    </w:pPr>
  </w:p>
  <w:p w14:paraId="1FE7752F">
    <w:pPr>
      <w:pStyle w:val="34"/>
      <w:ind w:firstLine="7920" w:firstLineChars="4400"/>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5144135" cy="131445"/>
              <wp:effectExtent l="0" t="0" r="0" b="0"/>
              <wp:wrapNone/>
              <wp:docPr id="15" name="文本框 2050"/>
              <wp:cNvGraphicFramePr/>
              <a:graphic xmlns:a="http://schemas.openxmlformats.org/drawingml/2006/main">
                <a:graphicData uri="http://schemas.microsoft.com/office/word/2010/wordprocessingShape">
                  <wps:wsp>
                    <wps:cNvSpPr txBox="1"/>
                    <wps:spPr>
                      <a:xfrm>
                        <a:off x="0" y="0"/>
                        <a:ext cx="5144135" cy="131445"/>
                      </a:xfrm>
                      <a:prstGeom prst="rect">
                        <a:avLst/>
                      </a:prstGeom>
                      <a:noFill/>
                      <a:ln>
                        <a:noFill/>
                      </a:ln>
                      <a:effectLst/>
                    </wps:spPr>
                    <wps:txbx>
                      <w:txbxContent>
                        <w:p w14:paraId="796177A7">
                          <w:pPr>
                            <w:pStyle w:val="34"/>
                            <w:ind w:firstLine="7920" w:firstLineChars="4400"/>
                          </w:pPr>
                          <w:r>
                            <w:fldChar w:fldCharType="begin"/>
                          </w:r>
                          <w:r>
                            <w:instrText xml:space="preserve"> PAGE   \* MERGEFORMAT </w:instrText>
                          </w:r>
                          <w:r>
                            <w:fldChar w:fldCharType="separate"/>
                          </w:r>
                          <w:r>
                            <w:rPr>
                              <w:lang w:val="zh-CN"/>
                            </w:rPr>
                            <w:t>77</w:t>
                          </w:r>
                          <w:r>
                            <w:rPr>
                              <w:lang w:val="zh-CN"/>
                            </w:rPr>
                            <w:fldChar w:fldCharType="end"/>
                          </w:r>
                        </w:p>
                      </w:txbxContent>
                    </wps:txbx>
                    <wps:bodyPr wrap="none" lIns="0" tIns="0" rIns="0" bIns="0" upright="1">
                      <a:spAutoFit/>
                    </wps:bodyPr>
                  </wps:wsp>
                </a:graphicData>
              </a:graphic>
            </wp:anchor>
          </w:drawing>
        </mc:Choice>
        <mc:Fallback>
          <w:pict>
            <v:shape id="文本框 2050" o:spid="_x0000_s1026" o:spt="202" type="#_x0000_t202" style="position:absolute;left:0pt;margin-top:0pt;height:10.35pt;width:405.05pt;mso-position-horizontal:center;mso-position-horizontal-relative:margin;mso-wrap-style:none;z-index:251662336;mso-width-relative:page;mso-height-relative:page;" filled="f" stroked="f" coordsize="21600,21600" o:gfxdata="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DjRcPH0QAAAAQBAAAPAAAAAAAAAAEAIAAAACIAAABk&#10;cnMvZG93bnJldi54bWxQSwECFAAUAAAACACHTuJATE9/B9QBAACqAwAADgAAAAAAAAABACAAAAAg&#10;AQAAZHJzL2Uyb0RvYy54bWxQSwUGAAAAAAYABgBZAQAAZgUAAAAA&#10;">
              <v:fill on="f" focussize="0,0"/>
              <v:stroke on="f"/>
              <v:imagedata o:title=""/>
              <o:lock v:ext="edit" aspectratio="f"/>
              <v:textbox inset="0mm,0mm,0mm,0mm" style="mso-fit-shape-to-text:t;">
                <w:txbxContent>
                  <w:p w14:paraId="796177A7">
                    <w:pPr>
                      <w:pStyle w:val="34"/>
                      <w:ind w:firstLine="7920" w:firstLineChars="4400"/>
                    </w:pPr>
                    <w:r>
                      <w:fldChar w:fldCharType="begin"/>
                    </w:r>
                    <w:r>
                      <w:instrText xml:space="preserve"> PAGE   \* MERGEFORMAT </w:instrText>
                    </w:r>
                    <w:r>
                      <w:fldChar w:fldCharType="separate"/>
                    </w:r>
                    <w:r>
                      <w:rPr>
                        <w:lang w:val="zh-CN"/>
                      </w:rPr>
                      <w:t>77</w:t>
                    </w:r>
                    <w:r>
                      <w:rPr>
                        <w:lang w:val="zh-CN"/>
                      </w:rP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A9C361">
    <w:pPr>
      <w:pStyle w:val="34"/>
      <w:framePr w:wrap="around" w:vAnchor="text" w:hAnchor="margin" w:xAlign="center" w:y="1"/>
      <w:ind w:right="-294" w:firstLine="360"/>
      <w:rPr>
        <w:rStyle w:val="58"/>
      </w:rPr>
    </w:pPr>
  </w:p>
  <w:p w14:paraId="48B95580">
    <w:pPr>
      <w:pStyle w:val="34"/>
      <w:ind w:firstLine="7920" w:firstLineChars="4400"/>
    </w:pPr>
    <w:r>
      <mc:AlternateContent>
        <mc:Choice Requires="wps">
          <w:drawing>
            <wp:anchor distT="0" distB="0" distL="114300" distR="114300" simplePos="0" relativeHeight="251664384" behindDoc="0" locked="0" layoutInCell="1" allowOverlap="1">
              <wp:simplePos x="0" y="0"/>
              <wp:positionH relativeFrom="margin">
                <wp:align>right</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7AE607C">
                          <w:pPr>
                            <w:pStyle w:val="34"/>
                            <w:ind w:firstLine="7920" w:firstLineChars="4400"/>
                          </w:pPr>
                          <w:r>
                            <w:fldChar w:fldCharType="begin"/>
                          </w:r>
                          <w:r>
                            <w:instrText xml:space="preserve"> PAGE   \* MERGEFORMAT </w:instrText>
                          </w:r>
                          <w:r>
                            <w:fldChar w:fldCharType="separate"/>
                          </w:r>
                          <w:r>
                            <w:rPr>
                              <w:lang w:val="zh-CN"/>
                            </w:rPr>
                            <w:t>101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9j2DAsAgAAV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r2PYMCwCAABVBAAADgAAAAAAAAABACAAAAAfAQAAZHJzL2Uyb0RvYy54bWxQSwUGAAAAAAYA&#10;BgBZAQAAvQUAAAAA&#10;">
              <v:fill on="f" focussize="0,0"/>
              <v:stroke on="f" weight="0.5pt"/>
              <v:imagedata o:title=""/>
              <o:lock v:ext="edit" aspectratio="f"/>
              <v:textbox inset="0mm,0mm,0mm,0mm" style="mso-fit-shape-to-text:t;">
                <w:txbxContent>
                  <w:p w14:paraId="27AE607C">
                    <w:pPr>
                      <w:pStyle w:val="34"/>
                      <w:ind w:firstLine="7920" w:firstLineChars="4400"/>
                    </w:pPr>
                    <w:r>
                      <w:fldChar w:fldCharType="begin"/>
                    </w:r>
                    <w:r>
                      <w:instrText xml:space="preserve"> PAGE   \* MERGEFORMAT </w:instrText>
                    </w:r>
                    <w:r>
                      <w:fldChar w:fldCharType="separate"/>
                    </w:r>
                    <w:r>
                      <w:rPr>
                        <w:lang w:val="zh-CN"/>
                      </w:rPr>
                      <w:t>101</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5EAE14">
    <w:pPr>
      <w:pStyle w:val="34"/>
      <w:framePr w:wrap="around" w:vAnchor="text" w:hAnchor="margin" w:xAlign="center" w:y="1"/>
      <w:ind w:right="360" w:firstLine="360"/>
      <w:rPr>
        <w:rStyle w:val="58"/>
      </w:rPr>
    </w:pPr>
  </w:p>
  <w:p w14:paraId="4749115A">
    <w:pPr>
      <w:pStyle w:val="34"/>
      <w:ind w:firstLine="7920" w:firstLineChars="4400"/>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5144135" cy="131445"/>
              <wp:effectExtent l="0" t="0" r="0" b="0"/>
              <wp:wrapNone/>
              <wp:docPr id="2" name="文本框 2050"/>
              <wp:cNvGraphicFramePr/>
              <a:graphic xmlns:a="http://schemas.openxmlformats.org/drawingml/2006/main">
                <a:graphicData uri="http://schemas.microsoft.com/office/word/2010/wordprocessingShape">
                  <wps:wsp>
                    <wps:cNvSpPr txBox="1"/>
                    <wps:spPr>
                      <a:xfrm>
                        <a:off x="0" y="0"/>
                        <a:ext cx="5144135" cy="131445"/>
                      </a:xfrm>
                      <a:prstGeom prst="rect">
                        <a:avLst/>
                      </a:prstGeom>
                      <a:noFill/>
                      <a:ln>
                        <a:noFill/>
                      </a:ln>
                      <a:effectLst/>
                    </wps:spPr>
                    <wps:txbx>
                      <w:txbxContent>
                        <w:p w14:paraId="673DF4B0">
                          <w:pPr>
                            <w:pStyle w:val="34"/>
                            <w:ind w:firstLine="7920" w:firstLineChars="4400"/>
                          </w:pPr>
                          <w:r>
                            <w:fldChar w:fldCharType="begin"/>
                          </w:r>
                          <w:r>
                            <w:instrText xml:space="preserve"> PAGE   \* MERGEFORMAT </w:instrText>
                          </w:r>
                          <w:r>
                            <w:fldChar w:fldCharType="separate"/>
                          </w:r>
                          <w:r>
                            <w:rPr>
                              <w:lang w:val="zh-CN"/>
                            </w:rPr>
                            <w:t>102</w:t>
                          </w:r>
                          <w:r>
                            <w:rPr>
                              <w:lang w:val="zh-CN"/>
                            </w:rPr>
                            <w:fldChar w:fldCharType="end"/>
                          </w:r>
                        </w:p>
                      </w:txbxContent>
                    </wps:txbx>
                    <wps:bodyPr wrap="none" lIns="0" tIns="0" rIns="0" bIns="0" upright="1">
                      <a:spAutoFit/>
                    </wps:bodyPr>
                  </wps:wsp>
                </a:graphicData>
              </a:graphic>
            </wp:anchor>
          </w:drawing>
        </mc:Choice>
        <mc:Fallback>
          <w:pict>
            <v:shape id="文本框 2050" o:spid="_x0000_s1026" o:spt="202" type="#_x0000_t202" style="position:absolute;left:0pt;margin-top:0pt;height:10.35pt;width:405.05pt;mso-position-horizontal:center;mso-position-horizontal-relative:margin;mso-wrap-style:none;z-index:251663360;mso-width-relative:page;mso-height-relative:page;" filled="f" stroked="f" coordsize="21600,21600" o:gfxdata="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DjRcPH0QAAAAQBAAAPAAAAAAAAAAEAIAAAACIAAABk&#10;cnMvZG93bnJldi54bWxQSwECFAAUAAAACACHTuJAjCFHmNQBAACpAwAADgAAAAAAAAABACAAAAAg&#10;AQAAZHJzL2Uyb0RvYy54bWxQSwUGAAAAAAYABgBZAQAAZgUAAAAA&#10;">
              <v:fill on="f" focussize="0,0"/>
              <v:stroke on="f"/>
              <v:imagedata o:title=""/>
              <o:lock v:ext="edit" aspectratio="f"/>
              <v:textbox inset="0mm,0mm,0mm,0mm" style="mso-fit-shape-to-text:t;">
                <w:txbxContent>
                  <w:p w14:paraId="673DF4B0">
                    <w:pPr>
                      <w:pStyle w:val="34"/>
                      <w:ind w:firstLine="7920" w:firstLineChars="4400"/>
                    </w:pPr>
                    <w:r>
                      <w:fldChar w:fldCharType="begin"/>
                    </w:r>
                    <w:r>
                      <w:instrText xml:space="preserve"> PAGE   \* MERGEFORMAT </w:instrText>
                    </w:r>
                    <w:r>
                      <w:fldChar w:fldCharType="separate"/>
                    </w:r>
                    <w:r>
                      <w:rPr>
                        <w:lang w:val="zh-CN"/>
                      </w:rPr>
                      <w:t>102</w:t>
                    </w:r>
                    <w:r>
                      <w:rPr>
                        <w:lang w:val="zh-CN"/>
                      </w:rP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47479622"/>
    </w:sdtPr>
    <w:sdtContent>
      <w:p w14:paraId="1FE5C383">
        <w:pPr>
          <w:pStyle w:val="34"/>
          <w:ind w:firstLine="360"/>
          <w:jc w:val="right"/>
        </w:pPr>
        <w:r>
          <w:fldChar w:fldCharType="begin"/>
        </w:r>
        <w:r>
          <w:instrText xml:space="preserve">PAGE   \* MERGEFORMAT</w:instrText>
        </w:r>
        <w:r>
          <w:fldChar w:fldCharType="separate"/>
        </w:r>
        <w:r>
          <w:rPr>
            <w:lang w:val="zh-CN"/>
          </w:rPr>
          <w:t>54</w:t>
        </w:r>
        <w:r>
          <w:fldChar w:fldCharType="end"/>
        </w:r>
      </w:p>
    </w:sdtContent>
  </w:sdt>
  <w:p w14:paraId="10C30F4D">
    <w:pPr>
      <w:ind w:firstLine="420"/>
      <w:rPr>
        <w:rFonts w:ascii="仿宋_GB2312" w:eastAsia="仿宋_GB2312"/>
      </w:rPr>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676387220"/>
    </w:sdtPr>
    <w:sdtContent>
      <w:p w14:paraId="77C6BDF5">
        <w:pPr>
          <w:pStyle w:val="34"/>
          <w:ind w:firstLine="360"/>
          <w:jc w:val="right"/>
        </w:pPr>
        <w:r>
          <w:fldChar w:fldCharType="begin"/>
        </w:r>
        <w:r>
          <w:instrText xml:space="preserve">PAGE   \* MERGEFORMAT</w:instrText>
        </w:r>
        <w:r>
          <w:fldChar w:fldCharType="separate"/>
        </w:r>
        <w:r>
          <w:rPr>
            <w:lang w:val="zh-CN"/>
          </w:rPr>
          <w:t>109</w:t>
        </w:r>
        <w:r>
          <w:fldChar w:fldCharType="end"/>
        </w:r>
      </w:p>
    </w:sdtContent>
  </w:sdt>
  <w:p w14:paraId="1E725BF0">
    <w:pPr>
      <w:ind w:firstLine="420"/>
      <w:rPr>
        <w:rFonts w:ascii="仿宋_GB2312" w:eastAsia="仿宋_GB2312"/>
      </w:rPr>
    </w:pP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47473254"/>
    </w:sdtPr>
    <w:sdtContent>
      <w:p w14:paraId="2AC81F3C">
        <w:pPr>
          <w:pStyle w:val="34"/>
          <w:ind w:firstLine="360"/>
          <w:jc w:val="right"/>
        </w:pPr>
        <w:r>
          <w:fldChar w:fldCharType="begin"/>
        </w:r>
        <w:r>
          <w:instrText xml:space="preserve">PAGE   \* MERGEFORMAT</w:instrText>
        </w:r>
        <w:r>
          <w:fldChar w:fldCharType="separate"/>
        </w:r>
        <w:r>
          <w:rPr>
            <w:lang w:val="zh-CN"/>
          </w:rPr>
          <w:t>2</w:t>
        </w:r>
        <w:r>
          <w:fldChar w:fldCharType="end"/>
        </w:r>
      </w:p>
    </w:sdtContent>
  </w:sdt>
  <w:p w14:paraId="4CF8D3A6">
    <w:pPr>
      <w:ind w:firstLine="420"/>
      <w:rPr>
        <w:rFonts w:ascii="仿宋_GB2312" w:eastAsia="仿宋_GB2312"/>
      </w:rPr>
    </w:pP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6B9B03">
    <w:pPr>
      <w:pStyle w:val="34"/>
      <w:ind w:left="360" w:firstLine="360"/>
      <w:jc w:val="center"/>
      <w:rPr>
        <w:rFonts w:ascii="仿宋_GB2312" w:eastAsia="仿宋_GB2312"/>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972185" cy="147955"/>
              <wp:effectExtent l="0" t="0" r="0" b="0"/>
              <wp:wrapNone/>
              <wp:docPr id="1696766700" name="文本框 2"/>
              <wp:cNvGraphicFramePr/>
              <a:graphic xmlns:a="http://schemas.openxmlformats.org/drawingml/2006/main">
                <a:graphicData uri="http://schemas.microsoft.com/office/word/2010/wordprocessingShape">
                  <wps:wsp>
                    <wps:cNvSpPr txBox="1">
                      <a:spLocks noChangeArrowheads="1"/>
                    </wps:cNvSpPr>
                    <wps:spPr bwMode="auto">
                      <a:xfrm>
                        <a:off x="0" y="0"/>
                        <a:ext cx="972185" cy="147955"/>
                      </a:xfrm>
                      <a:prstGeom prst="rect">
                        <a:avLst/>
                      </a:prstGeom>
                      <a:noFill/>
                      <a:ln>
                        <a:noFill/>
                      </a:ln>
                    </wps:spPr>
                    <wps:txbx>
                      <w:txbxContent>
                        <w:p w14:paraId="244705DB">
                          <w:pPr>
                            <w:pStyle w:val="34"/>
                            <w:ind w:firstLine="360"/>
                            <w:jc w:val="center"/>
                          </w:pPr>
                        </w:p>
                      </w:txbxContent>
                    </wps:txbx>
                    <wps:bodyPr rot="0" vert="horz" wrap="none" lIns="0" tIns="0" rIns="0" bIns="0" anchor="t" anchorCtr="0" upright="1">
                      <a:spAutoFit/>
                    </wps:bodyPr>
                  </wps:wsp>
                </a:graphicData>
              </a:graphic>
            </wp:anchor>
          </w:drawing>
        </mc:Choice>
        <mc:Fallback>
          <w:pict>
            <v:shape id="文本框 2" o:spid="_x0000_s1026" o:spt="202" type="#_x0000_t202" style="position:absolute;left:0pt;margin-top:0pt;height:11.65pt;width:76.55pt;mso-position-horizontal:center;mso-position-horizontal-relative:margin;mso-wrap-style:none;z-index:251659264;mso-width-relative:page;mso-height-relative:page;" filled="f" stroked="f" coordsize="21600,21600" o:gfxdata="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A0naTQ0gAAAAQBAAAPAAAAAAAAAAEAIAAA&#10;ACIAAABkcnMvZG93bnJldi54bWxQSwECFAAUAAAACACHTuJAyN309BICAAALBAAADgAAAAAAAAAB&#10;ACAAAAAhAQAAZHJzL2Uyb0RvYy54bWxQSwUGAAAAAAYABgBZAQAApQUAAAAA&#10;">
              <v:fill on="f" focussize="0,0"/>
              <v:stroke on="f"/>
              <v:imagedata o:title=""/>
              <o:lock v:ext="edit" aspectratio="f"/>
              <v:textbox inset="0mm,0mm,0mm,0mm" style="mso-fit-shape-to-text:t;">
                <w:txbxContent>
                  <w:p w14:paraId="244705DB">
                    <w:pPr>
                      <w:pStyle w:val="34"/>
                      <w:ind w:firstLine="360"/>
                      <w:jc w:val="center"/>
                    </w:pPr>
                  </w:p>
                </w:txbxContent>
              </v:textbox>
            </v:shape>
          </w:pict>
        </mc:Fallback>
      </mc:AlternateContent>
    </w:r>
  </w:p>
  <w:p w14:paraId="6226A452">
    <w:pPr>
      <w:ind w:firstLine="420"/>
      <w:rPr>
        <w:rFonts w:ascii="仿宋_GB2312" w:eastAsia="仿宋_GB2312"/>
      </w:rPr>
    </w:pP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19864471"/>
    </w:sdtPr>
    <w:sdtContent>
      <w:p w14:paraId="22A4047F">
        <w:pPr>
          <w:pStyle w:val="34"/>
          <w:ind w:firstLine="360"/>
          <w:jc w:val="right"/>
        </w:pPr>
        <w:r>
          <w:fldChar w:fldCharType="begin"/>
        </w:r>
        <w:r>
          <w:instrText xml:space="preserve">PAGE   \* MERGEFORMAT</w:instrText>
        </w:r>
        <w:r>
          <w:fldChar w:fldCharType="separate"/>
        </w:r>
        <w:r>
          <w:rPr>
            <w:lang w:val="zh-CN"/>
          </w:rPr>
          <w:t>127</w:t>
        </w:r>
        <w:r>
          <w:fldChar w:fldCharType="end"/>
        </w:r>
      </w:p>
    </w:sdtContent>
  </w:sdt>
  <w:p w14:paraId="094D4E09">
    <w:pPr>
      <w:ind w:firstLine="420"/>
      <w:rPr>
        <w:rFonts w:ascii="仿宋_GB2312" w:eastAsia="仿宋_GB231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360" w:lineRule="auto"/>
        <w:ind w:firstLine="420"/>
      </w:pPr>
      <w:r>
        <w:separator/>
      </w:r>
    </w:p>
  </w:footnote>
  <w:footnote w:type="continuationSeparator" w:id="1">
    <w:p>
      <w:pPr>
        <w:spacing w:before="0" w:after="0" w:line="360" w:lineRule="auto"/>
        <w:ind w:firstLine="42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78A2F6">
    <w:pPr>
      <w:pStyle w:val="35"/>
      <w:rPr>
        <w:rFonts w:ascii="微软雅黑" w:hAnsi="微软雅黑"/>
      </w:rPr>
    </w:pPr>
    <w:r>
      <w:pict>
        <v:shape id="PowerPlusWaterMarkObject13360720" o:spid="_x0000_s3074" o:spt="136" type="#_x0000_t136" style="position:absolute;left:0pt;height:41.85pt;width:544.05pt;mso-position-horizontal:center;mso-position-horizontal-relative:margin;mso-position-vertical:center;mso-position-vertical-relative:margin;rotation:20643840f;z-index:-251646976;mso-width-relative:page;mso-height-relative:page;" fillcolor="#C0C0C0" filled="t" stroked="f" coordsize="21600,21600" o:allowincell="f">
          <v:path/>
          <v:fill on="t" opacity="32768f" focussize="0,0"/>
          <v:stroke on="f"/>
          <v:imagedata o:title=""/>
          <o:lock v:ext="edit"/>
          <v:textpath on="t" fitshape="t" fitpath="t" trim="f" xscale="f" string="嘉兴市千秋工程咨询有限公司" style="font-family:宋体;font-size:1pt;v-text-align:center;"/>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8C015A">
    <w:pPr>
      <w:pStyle w:val="35"/>
    </w:pPr>
    <w:r>
      <w:pict>
        <v:shape id="PowerPlusWaterMarkObject13360719" o:spid="_x0000_s3075" o:spt="136" type="#_x0000_t136" style="position:absolute;left:0pt;height:41.85pt;width:544.05pt;mso-position-horizontal:center;mso-position-horizontal-relative:margin;mso-position-vertical:center;mso-position-vertical-relative:margin;rotation:20643840f;z-index:-251648000;mso-width-relative:page;mso-height-relative:page;" fillcolor="#C0C0C0" filled="t" stroked="f" coordsize="21600,21600" o:allowincell="f">
          <v:path/>
          <v:fill on="t" opacity="32768f" focussize="0,0"/>
          <v:stroke on="f"/>
          <v:imagedata o:title=""/>
          <o:lock v:ext="edit"/>
          <v:textpath on="t" fitshape="t" fitpath="t" trim="f" xscale="f" string="嘉兴市千秋工程咨询有限公司" style="font-family:宋体;font-size:1pt;v-text-align:center;"/>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6C7633">
    <w:pPr>
      <w:pStyle w:val="35"/>
    </w:pPr>
    <w:r>
      <w:pict>
        <v:shape id="PowerPlusWaterMarkObject13360718" o:spid="_x0000_s3073" o:spt="136" type="#_x0000_t136" style="position:absolute;left:0pt;height:41.85pt;width:544.05pt;mso-position-horizontal:center;mso-position-horizontal-relative:margin;mso-position-vertical:center;mso-position-vertical-relative:margin;rotation:20643840f;z-index:-251648000;mso-width-relative:page;mso-height-relative:page;" fillcolor="#C0C0C0" filled="t" stroked="f" coordsize="21600,21600" o:allowincell="f">
          <v:path/>
          <v:fill on="t" opacity="32768f" focussize="0,0"/>
          <v:stroke on="f"/>
          <v:imagedata o:title=""/>
          <o:lock v:ext="edit"/>
          <v:textpath on="t" fitshape="t" fitpath="t" trim="f" xscale="f" string="嘉兴市千秋工程咨询有限公司" style="font-family:宋体;font-size:1pt;v-text-align:center;"/>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BC9599">
    <w:pPr>
      <w:pStyle w:val="35"/>
      <w:rPr>
        <w:rFonts w:ascii="微软雅黑" w:hAnsi="微软雅黑"/>
      </w:rPr>
    </w:pPr>
    <w:r>
      <w:drawing>
        <wp:anchor distT="0" distB="0" distL="114300" distR="114300" simplePos="0" relativeHeight="251661312" behindDoc="0" locked="0" layoutInCell="1" allowOverlap="1">
          <wp:simplePos x="0" y="0"/>
          <wp:positionH relativeFrom="column">
            <wp:posOffset>1905</wp:posOffset>
          </wp:positionH>
          <wp:positionV relativeFrom="paragraph">
            <wp:posOffset>-130810</wp:posOffset>
          </wp:positionV>
          <wp:extent cx="390525" cy="371475"/>
          <wp:effectExtent l="19050" t="0" r="9525" b="0"/>
          <wp:wrapNone/>
          <wp:docPr id="1033682942" name="图片 1033682942" descr="C:\Users\ADMINI~1\AppData\Local\Temp\16396288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3682942" name="图片 1033682942" descr="C:\Users\ADMINI~1\AppData\Local\Temp\1639628804.jpg"/>
                  <pic:cNvPicPr>
                    <a:picLocks noChangeAspect="1" noChangeArrowheads="1"/>
                  </pic:cNvPicPr>
                </pic:nvPicPr>
                <pic:blipFill>
                  <a:blip r:embed="rId1"/>
                  <a:srcRect/>
                  <a:stretch>
                    <a:fillRect/>
                  </a:stretch>
                </pic:blipFill>
                <pic:spPr>
                  <a:xfrm>
                    <a:off x="0" y="0"/>
                    <a:ext cx="390525" cy="371475"/>
                  </a:xfrm>
                  <a:prstGeom prst="rect">
                    <a:avLst/>
                  </a:prstGeom>
                  <a:noFill/>
                  <a:ln w="9525">
                    <a:noFill/>
                    <a:miter lim="800000"/>
                    <a:headEnd/>
                    <a:tailEnd/>
                  </a:ln>
                </pic:spPr>
              </pic:pic>
            </a:graphicData>
          </a:graphic>
        </wp:anchor>
      </w:drawing>
    </w:r>
    <w:r>
      <w:pict>
        <v:shape id="PowerPlusWaterMarkObject13360723" o:spid="_x0000_s3077" o:spt="136" type="#_x0000_t136" style="position:absolute;left:0pt;height:41.85pt;width:544.05pt;mso-position-horizontal:center;mso-position-horizontal-relative:margin;mso-position-vertical:center;mso-position-vertical-relative:margin;rotation:20643840f;z-index:-251643904;mso-width-relative:page;mso-height-relative:page;" fillcolor="#C0C0C0" filled="t" stroked="f" coordsize="21600,21600" o:allowincell="f">
          <v:path/>
          <v:fill on="t" opacity="32768f" focussize="0,0"/>
          <v:stroke on="f"/>
          <v:imagedata o:title=""/>
          <o:lock v:ext="edit"/>
          <v:textpath on="t" fitshape="t" fitpath="t" trim="f" xscale="f" string="嘉兴市千秋工程咨询有限公司" style="font-family:宋体;font-size:1pt;v-text-align:center;"/>
        </v:shape>
      </w:pict>
    </w:r>
    <w:r>
      <w:rPr>
        <w:rFonts w:hint="eastAsia"/>
        <w:lang w:eastAsia="zh-CN"/>
      </w:rPr>
      <w:t>嘉兴南湖学院化工基础实验室采购项目</w:t>
    </w:r>
    <w:r>
      <w:rPr>
        <w:rFonts w:hint="eastAsia" w:ascii="微软雅黑" w:hAnsi="微软雅黑" w:cs="微软雅黑"/>
      </w:rPr>
      <w:t>·</w:t>
    </w:r>
    <w:r>
      <w:rPr>
        <w:rFonts w:hint="eastAsia" w:ascii="微软雅黑" w:hAnsi="微软雅黑"/>
      </w:rPr>
      <w:t>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2AED2D">
    <w:pPr>
      <w:pStyle w:val="35"/>
    </w:pPr>
    <w:r>
      <w:pict>
        <v:shape id="PowerPlusWaterMarkObject13360722" o:spid="_x0000_s3078" o:spt="136" type="#_x0000_t136" style="position:absolute;left:0pt;height:41.85pt;width:544.05pt;mso-position-horizontal:center;mso-position-horizontal-relative:margin;mso-position-vertical:center;mso-position-vertical-relative:margin;rotation:20643840f;z-index:-251644928;mso-width-relative:page;mso-height-relative:page;" fillcolor="#C0C0C0" filled="t" stroked="f" coordsize="21600,21600" o:allowincell="f">
          <v:path/>
          <v:fill on="t" opacity="32768f" focussize="0,0"/>
          <v:stroke on="f"/>
          <v:imagedata o:title=""/>
          <o:lock v:ext="edit"/>
          <v:textpath on="t" fitshape="t" fitpath="t" trim="f" xscale="f" string="嘉兴市千秋工程咨询有限公司" style="font-family:宋体;font-size:1pt;v-text-align:center;"/>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87D244">
    <w:pPr>
      <w:pStyle w:val="35"/>
    </w:pPr>
    <w:r>
      <w:pict>
        <v:shape id="PowerPlusWaterMarkObject13360721" o:spid="_x0000_s3076" o:spt="136" type="#_x0000_t136" style="position:absolute;left:0pt;height:41.85pt;width:544.05pt;mso-position-horizontal:center;mso-position-horizontal-relative:margin;mso-position-vertical:center;mso-position-vertical-relative:margin;rotation:20643840f;z-index:-251645952;mso-width-relative:page;mso-height-relative:page;" fillcolor="#C0C0C0" filled="t" stroked="f" coordsize="21600,21600" o:allowincell="f">
          <v:path/>
          <v:fill on="t" opacity="32768f" focussize="0,0"/>
          <v:stroke on="f"/>
          <v:imagedata o:title=""/>
          <o:lock v:ext="edit"/>
          <v:textpath on="t" fitshape="t" fitpath="t" trim="f" xscale="f" string="嘉兴市千秋工程咨询有限公司" style="font-family:宋体;font-size:1pt;v-text-align:center;"/>
        </v:shape>
      </w:pic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06FF95">
    <w:pPr>
      <w:pStyle w:val="35"/>
    </w:pPr>
    <w:r>
      <w:pict>
        <v:shape id="PowerPlusWaterMarkObject13360725" o:spid="_x0000_s3080" o:spt="136" type="#_x0000_t136" style="position:absolute;left:0pt;height:41.85pt;width:544.05pt;mso-position-horizontal:center;mso-position-horizontal-relative:margin;mso-position-vertical:center;mso-position-vertical-relative:margin;rotation:20643840f;z-index:-251641856;mso-width-relative:page;mso-height-relative:page;" fillcolor="#C0C0C0" filled="t" stroked="f" coordsize="21600,21600" o:allowincell="f">
          <v:path/>
          <v:fill on="t" opacity="32768f" focussize="0,0"/>
          <v:stroke on="f"/>
          <v:imagedata o:title=""/>
          <o:lock v:ext="edit"/>
          <v:textpath on="t" fitshape="t" fitpath="t" trim="f" xscale="f" string="嘉兴市千秋工程咨询有限公司" style="font-family:宋体;font-size:1pt;v-text-align:center;"/>
        </v:shape>
      </w:pic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D25D7B">
    <w:pPr>
      <w:pStyle w:val="35"/>
    </w:pPr>
    <w:r>
      <w:pict>
        <v:shape id="PowerPlusWaterMarkObject13360724" o:spid="_x0000_s3079" o:spt="136" type="#_x0000_t136" style="position:absolute;left:0pt;height:41.85pt;width:544.05pt;mso-position-horizontal:center;mso-position-horizontal-relative:margin;mso-position-vertical:center;mso-position-vertical-relative:margin;rotation:20643840f;z-index:-251642880;mso-width-relative:page;mso-height-relative:page;" fillcolor="#C0C0C0" filled="t" stroked="f" coordsize="21600,21600" o:allowincell="f">
          <v:path/>
          <v:fill on="t" opacity="32768f" focussize="0,0"/>
          <v:stroke on="f"/>
          <v:imagedata o:title=""/>
          <o:lock v:ext="edit"/>
          <v:textpath on="t" fitshape="t" fitpath="t" trim="f" xscale="f" string="嘉兴市千秋工程咨询有限公司" style="font-family:宋体;font-size:1pt;v-text-align:center;"/>
        </v:shape>
      </w:pic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700FEF">
    <w:pPr>
      <w:pStyle w:val="35"/>
    </w:pPr>
    <w:r>
      <w:pict>
        <v:shape id="PowerPlusWaterMarkObject13360728" o:spid="_x0000_s3082" o:spt="136" type="#_x0000_t136" style="position:absolute;left:0pt;height:41.85pt;width:544.05pt;mso-position-horizontal:center;mso-position-horizontal-relative:margin;mso-position-vertical:center;mso-position-vertical-relative:margin;rotation:20643840f;z-index:-251639808;mso-width-relative:page;mso-height-relative:page;" fillcolor="#C0C0C0" filled="t" stroked="f" coordsize="21600,21600" o:allowincell="f">
          <v:path/>
          <v:fill on="t" opacity="32768f" focussize="0,0"/>
          <v:stroke on="f"/>
          <v:imagedata o:title=""/>
          <o:lock v:ext="edit"/>
          <v:textpath on="t" fitshape="t" fitpath="t" trim="f" xscale="f" string="嘉兴市千秋工程咨询有限公司" style="font-family:宋体;font-size:1pt;v-text-align:center;"/>
        </v:shape>
      </w:pic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BA949B">
    <w:pPr>
      <w:pStyle w:val="35"/>
    </w:pPr>
    <w:r>
      <w:drawing>
        <wp:anchor distT="0" distB="0" distL="114300" distR="114300" simplePos="0" relativeHeight="251665408" behindDoc="0" locked="0" layoutInCell="1" allowOverlap="1">
          <wp:simplePos x="0" y="0"/>
          <wp:positionH relativeFrom="column">
            <wp:posOffset>0</wp:posOffset>
          </wp:positionH>
          <wp:positionV relativeFrom="paragraph">
            <wp:posOffset>0</wp:posOffset>
          </wp:positionV>
          <wp:extent cx="390525" cy="371475"/>
          <wp:effectExtent l="19050" t="0" r="9525" b="0"/>
          <wp:wrapNone/>
          <wp:docPr id="1766268507" name="图片 1766268507" descr="C:\Users\ADMINI~1\AppData\Local\Temp\16396288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6268507" name="图片 1766268507" descr="C:\Users\ADMINI~1\AppData\Local\Temp\1639628804.jpg"/>
                  <pic:cNvPicPr>
                    <a:picLocks noChangeAspect="1" noChangeArrowheads="1"/>
                  </pic:cNvPicPr>
                </pic:nvPicPr>
                <pic:blipFill>
                  <a:blip r:embed="rId1"/>
                  <a:srcRect/>
                  <a:stretch>
                    <a:fillRect/>
                  </a:stretch>
                </pic:blipFill>
                <pic:spPr>
                  <a:xfrm>
                    <a:off x="0" y="0"/>
                    <a:ext cx="390525" cy="371475"/>
                  </a:xfrm>
                  <a:prstGeom prst="rect">
                    <a:avLst/>
                  </a:prstGeom>
                  <a:noFill/>
                  <a:ln w="9525">
                    <a:noFill/>
                    <a:miter lim="800000"/>
                    <a:headEnd/>
                    <a:tailEnd/>
                  </a:ln>
                </pic:spPr>
              </pic:pic>
            </a:graphicData>
          </a:graphic>
        </wp:anchor>
      </w:drawing>
    </w:r>
    <w:r>
      <w:rPr>
        <w:rFonts w:hint="eastAsia"/>
        <w:lang w:eastAsia="zh-CN"/>
      </w:rPr>
      <w:t>嘉兴南湖学院化工基础实验室采购项目</w:t>
    </w:r>
    <w:r>
      <w:rPr>
        <w:rFonts w:hint="eastAsia" w:ascii="微软雅黑" w:hAnsi="微软雅黑"/>
      </w:rPr>
      <w:t>招标文件</w:t>
    </w:r>
    <w:r>
      <w:pict>
        <v:shape id="PowerPlusWaterMarkObject13360727" o:spid="_x0000_s3081" o:spt="136" type="#_x0000_t136" style="position:absolute;left:0pt;height:41.85pt;width:544.05pt;mso-position-horizontal:center;mso-position-horizontal-relative:margin;mso-position-vertical:center;mso-position-vertical-relative:margin;rotation:20643840f;z-index:-251640832;mso-width-relative:page;mso-height-relative:page;" fillcolor="#C0C0C0" filled="t" stroked="f" coordsize="21600,21600" o:allowincell="f">
          <v:path/>
          <v:fill on="t" opacity="32768f" focussize="0,0"/>
          <v:stroke on="f"/>
          <v:imagedata o:title=""/>
          <o:lock v:ext="edit"/>
          <v:textpath on="t" fitshape="t" fitpath="t" trim="f" xscale="f" string="嘉兴市千秋工程咨询有限公司" style="font-family:宋体;font-size:1pt;v-text-align:center;"/>
        </v:shape>
      </w:pic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BB4E90">
    <w:pPr>
      <w:pStyle w:val="35"/>
    </w:pPr>
    <w:r>
      <mc:AlternateContent>
        <mc:Choice Requires="wps">
          <w:drawing>
            <wp:anchor distT="0" distB="0" distL="114300" distR="114300" simplePos="0" relativeHeight="251667456" behindDoc="1" locked="0" layoutInCell="0" allowOverlap="1">
              <wp:simplePos x="0" y="0"/>
              <wp:positionH relativeFrom="margin">
                <wp:align>center</wp:align>
              </wp:positionH>
              <wp:positionV relativeFrom="margin">
                <wp:align>center</wp:align>
              </wp:positionV>
              <wp:extent cx="6909435" cy="531495"/>
              <wp:effectExtent l="0" t="2266950" r="0" b="2326005"/>
              <wp:wrapNone/>
              <wp:docPr id="1660883597" name="WordArt 12"/>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909435" cy="531495"/>
                      </a:xfrm>
                      <a:prstGeom prst="rect">
                        <a:avLst/>
                      </a:prstGeom>
                    </wps:spPr>
                    <wps:txbx>
                      <w:txbxContent>
                        <w:p w14:paraId="234FDC4E">
                          <w:pPr>
                            <w:ind w:firstLine="40"/>
                            <w:jc w:val="center"/>
                            <w:rPr>
                              <w:color w:val="C0C0C0"/>
                              <w:kern w:val="0"/>
                              <w:sz w:val="2"/>
                              <w:szCs w:val="2"/>
                              <w14:textFill>
                                <w14:solidFill>
                                  <w14:srgbClr w14:val="C0C0C0">
                                    <w14:alpha w14:val="50000"/>
                                  </w14:srgbClr>
                                </w14:solidFill>
                              </w14:textFill>
                            </w:rPr>
                          </w:pPr>
                          <w:r>
                            <w:rPr>
                              <w:rFonts w:hint="eastAsia"/>
                              <w:color w:val="C0C0C0"/>
                              <w:sz w:val="2"/>
                              <w:szCs w:val="2"/>
                              <w14:textFill>
                                <w14:solidFill>
                                  <w14:srgbClr w14:val="C0C0C0">
                                    <w14:alpha w14:val="50000"/>
                                  </w14:srgbClr>
                                </w14:solidFill>
                              </w14:textFill>
                            </w:rPr>
                            <w:t>嘉兴市千秋工程咨询有限公司</w:t>
                          </w:r>
                        </w:p>
                      </w:txbxContent>
                    </wps:txbx>
                    <wps:bodyPr wrap="square" numCol="1" fromWordArt="1">
                      <a:prstTxWarp prst="textPlain">
                        <a:avLst>
                          <a:gd name="adj" fmla="val 50000"/>
                        </a:avLst>
                      </a:prstTxWarp>
                      <a:spAutoFit/>
                    </wps:bodyPr>
                  </wps:wsp>
                </a:graphicData>
              </a:graphic>
            </wp:anchor>
          </w:drawing>
        </mc:Choice>
        <mc:Fallback>
          <w:pict>
            <v:shape id="WordArt 12" o:spid="_x0000_s1026" o:spt="202" type="#_x0000_t202" style="position:absolute;left:0pt;height:41.85pt;width:544.05pt;mso-position-horizontal:center;mso-position-horizontal-relative:margin;mso-position-vertical:center;mso-position-vertical-relative:margin;rotation:-2949120f;z-index:-251649024;mso-width-relative:page;mso-height-relative:page;" filled="f" stroked="f" coordsize="21600,21600" o:allowincell="f" o:gfxdata="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" adj="10800">
              <v:fill on="f" focussize="0,0"/>
              <v:stroke on="f"/>
              <v:imagedata o:title=""/>
              <o:lock v:ext="edit" text="t" aspectratio="f"/>
              <v:textbox style="mso-fit-shape-to-text:t;">
                <w:txbxContent>
                  <w:p w14:paraId="234FDC4E">
                    <w:pPr>
                      <w:ind w:firstLine="40"/>
                      <w:jc w:val="center"/>
                      <w:rPr>
                        <w:color w:val="C0C0C0"/>
                        <w:kern w:val="0"/>
                        <w:sz w:val="2"/>
                        <w:szCs w:val="2"/>
                        <w14:textFill>
                          <w14:solidFill>
                            <w14:srgbClr w14:val="C0C0C0">
                              <w14:alpha w14:val="50000"/>
                            </w14:srgbClr>
                          </w14:solidFill>
                        </w14:textFill>
                      </w:rPr>
                    </w:pPr>
                    <w:r>
                      <w:rPr>
                        <w:rFonts w:hint="eastAsia"/>
                        <w:color w:val="C0C0C0"/>
                        <w:sz w:val="2"/>
                        <w:szCs w:val="2"/>
                        <w14:textFill>
                          <w14:solidFill>
                            <w14:srgbClr w14:val="C0C0C0">
                              <w14:alpha w14:val="50000"/>
                            </w14:srgbClr>
                          </w14:solidFill>
                        </w14:textFill>
                      </w:rPr>
                      <w:t>嘉兴市千秋工程咨询有限公司</w:t>
                    </w:r>
                  </w:p>
                </w:txbxContent>
              </v:textbox>
            </v:shape>
          </w:pict>
        </mc:Fallback>
      </mc:AlternateConten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BDC0CA">
    <w:pPr>
      <w:pStyle w:val="35"/>
    </w:pPr>
    <w:r>
      <w:drawing>
        <wp:anchor distT="0" distB="0" distL="114300" distR="114300" simplePos="0" relativeHeight="251666432" behindDoc="0" locked="0" layoutInCell="1" allowOverlap="1">
          <wp:simplePos x="0" y="0"/>
          <wp:positionH relativeFrom="column">
            <wp:posOffset>0</wp:posOffset>
          </wp:positionH>
          <wp:positionV relativeFrom="paragraph">
            <wp:posOffset>0</wp:posOffset>
          </wp:positionV>
          <wp:extent cx="390525" cy="371475"/>
          <wp:effectExtent l="0" t="0" r="9525" b="9525"/>
          <wp:wrapNone/>
          <wp:docPr id="1823725693" name="图片 1823725693" descr="C:\Users\ADMINI~1\AppData\Local\Temp\16396288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3725693" name="图片 1823725693" descr="C:\Users\ADMINI~1\AppData\Local\Temp\1639628804.jpg"/>
                  <pic:cNvPicPr>
                    <a:picLocks noChangeAspect="1" noChangeArrowheads="1"/>
                  </pic:cNvPicPr>
                </pic:nvPicPr>
                <pic:blipFill>
                  <a:blip r:embed="rId1"/>
                  <a:srcRect/>
                  <a:stretch>
                    <a:fillRect/>
                  </a:stretch>
                </pic:blipFill>
                <pic:spPr>
                  <a:xfrm>
                    <a:off x="0" y="0"/>
                    <a:ext cx="390525" cy="371475"/>
                  </a:xfrm>
                  <a:prstGeom prst="rect">
                    <a:avLst/>
                  </a:prstGeom>
                  <a:noFill/>
                  <a:ln w="9525">
                    <a:noFill/>
                    <a:miter lim="800000"/>
                    <a:headEnd/>
                    <a:tailEnd/>
                  </a:ln>
                </pic:spPr>
              </pic:pic>
            </a:graphicData>
          </a:graphic>
        </wp:anchor>
      </w:drawing>
    </w:r>
    <w:r>
      <w:rPr>
        <w:rFonts w:hint="eastAsia"/>
        <w:lang w:eastAsia="zh-CN"/>
      </w:rPr>
      <w:t>嘉兴南湖学院化工基础实验室采购项目</w:t>
    </w:r>
    <w:r>
      <w:rPr>
        <w:rFonts w:hint="eastAsia" w:ascii="微软雅黑" w:hAnsi="微软雅黑" w:cs="微软雅黑"/>
      </w:rPr>
      <w:t>·</w:t>
    </w:r>
    <w:r>
      <w:rPr>
        <w:rFonts w:hint="eastAsia" w:ascii="微软雅黑" w:hAnsi="微软雅黑"/>
      </w:rPr>
      <w:t>招标文件</w:t>
    </w: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8C6375">
    <w:pPr>
      <w:pStyle w:val="35"/>
    </w:pPr>
    <w:r>
      <w:drawing>
        <wp:anchor distT="0" distB="0" distL="114300" distR="114300" simplePos="0" relativeHeight="251660288" behindDoc="0" locked="0" layoutInCell="1" allowOverlap="1">
          <wp:simplePos x="0" y="0"/>
          <wp:positionH relativeFrom="column">
            <wp:posOffset>0</wp:posOffset>
          </wp:positionH>
          <wp:positionV relativeFrom="paragraph">
            <wp:posOffset>0</wp:posOffset>
          </wp:positionV>
          <wp:extent cx="390525" cy="371475"/>
          <wp:effectExtent l="19050" t="0" r="9525" b="0"/>
          <wp:wrapNone/>
          <wp:docPr id="1073838202" name="图片 1073838202" descr="C:\Users\ADMINI~1\AppData\Local\Temp\16396288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3838202" name="图片 1073838202" descr="C:\Users\ADMINI~1\AppData\Local\Temp\1639628804.jpg"/>
                  <pic:cNvPicPr>
                    <a:picLocks noChangeAspect="1" noChangeArrowheads="1"/>
                  </pic:cNvPicPr>
                </pic:nvPicPr>
                <pic:blipFill>
                  <a:blip r:embed="rId1"/>
                  <a:srcRect/>
                  <a:stretch>
                    <a:fillRect/>
                  </a:stretch>
                </pic:blipFill>
                <pic:spPr>
                  <a:xfrm>
                    <a:off x="0" y="0"/>
                    <a:ext cx="390525" cy="371475"/>
                  </a:xfrm>
                  <a:prstGeom prst="rect">
                    <a:avLst/>
                  </a:prstGeom>
                  <a:noFill/>
                  <a:ln w="9525">
                    <a:noFill/>
                    <a:miter lim="800000"/>
                    <a:headEnd/>
                    <a:tailEnd/>
                  </a:ln>
                </pic:spPr>
              </pic:pic>
            </a:graphicData>
          </a:graphic>
        </wp:anchor>
      </w:drawing>
    </w:r>
    <w:r>
      <w:rPr>
        <w:rFonts w:hint="eastAsia"/>
        <w:lang w:eastAsia="zh-CN"/>
      </w:rPr>
      <w:t>嘉兴南湖学院化工基础实验室采购项目</w:t>
    </w:r>
    <w:r>
      <w:rPr>
        <w:rFonts w:hint="eastAsia" w:ascii="微软雅黑" w:hAnsi="微软雅黑"/>
      </w:rPr>
      <w:t>招标文件</w:t>
    </w:r>
  </w:p>
  <w:p w14:paraId="31D07CDC">
    <w:pPr>
      <w:ind w:firstLine="360"/>
      <w:rPr>
        <w:rFonts w:ascii="仿宋_GB2312" w:eastAsia="仿宋_GB2312"/>
        <w:b/>
        <w:i/>
        <w:sz w:val="18"/>
        <w:u w:val="single"/>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08260F8"/>
    <w:multiLevelType w:val="singleLevel"/>
    <w:tmpl w:val="808260F8"/>
    <w:lvl w:ilvl="0" w:tentative="0">
      <w:start w:val="1"/>
      <w:numFmt w:val="decimal"/>
      <w:lvlText w:val="%1."/>
      <w:lvlJc w:val="left"/>
      <w:pPr>
        <w:ind w:left="425" w:hanging="425"/>
      </w:pPr>
      <w:rPr>
        <w:rFonts w:hint="default"/>
      </w:rPr>
    </w:lvl>
  </w:abstractNum>
  <w:abstractNum w:abstractNumId="1">
    <w:nsid w:val="80AE18D1"/>
    <w:multiLevelType w:val="singleLevel"/>
    <w:tmpl w:val="80AE18D1"/>
    <w:lvl w:ilvl="0" w:tentative="0">
      <w:start w:val="1"/>
      <w:numFmt w:val="decimal"/>
      <w:lvlText w:val="%1."/>
      <w:lvlJc w:val="left"/>
      <w:pPr>
        <w:ind w:left="425" w:hanging="425"/>
      </w:pPr>
      <w:rPr>
        <w:rFonts w:hint="default"/>
      </w:rPr>
    </w:lvl>
  </w:abstractNum>
  <w:abstractNum w:abstractNumId="2">
    <w:nsid w:val="98A79A22"/>
    <w:multiLevelType w:val="singleLevel"/>
    <w:tmpl w:val="98A79A22"/>
    <w:lvl w:ilvl="0" w:tentative="0">
      <w:start w:val="1"/>
      <w:numFmt w:val="decimal"/>
      <w:lvlText w:val="%1."/>
      <w:lvlJc w:val="left"/>
      <w:pPr>
        <w:ind w:left="425" w:hanging="425"/>
      </w:pPr>
      <w:rPr>
        <w:rFonts w:hint="default"/>
      </w:rPr>
    </w:lvl>
  </w:abstractNum>
  <w:abstractNum w:abstractNumId="3">
    <w:nsid w:val="A6EF59D4"/>
    <w:multiLevelType w:val="singleLevel"/>
    <w:tmpl w:val="A6EF59D4"/>
    <w:lvl w:ilvl="0" w:tentative="0">
      <w:start w:val="1"/>
      <w:numFmt w:val="decimal"/>
      <w:lvlText w:val="%1."/>
      <w:lvlJc w:val="left"/>
      <w:pPr>
        <w:ind w:left="425" w:hanging="425"/>
      </w:pPr>
      <w:rPr>
        <w:rFonts w:hint="default"/>
      </w:rPr>
    </w:lvl>
  </w:abstractNum>
  <w:abstractNum w:abstractNumId="4">
    <w:nsid w:val="ADDB8DA5"/>
    <w:multiLevelType w:val="multilevel"/>
    <w:tmpl w:val="ADDB8DA5"/>
    <w:lvl w:ilvl="0" w:tentative="0">
      <w:start w:val="1"/>
      <w:numFmt w:val="decimal"/>
      <w:suff w:val="space"/>
      <w:lvlText w:val="%1."/>
      <w:lvlJc w:val="left"/>
      <w:pPr>
        <w:ind w:left="0" w:firstLine="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5">
    <w:nsid w:val="B40C90C0"/>
    <w:multiLevelType w:val="singleLevel"/>
    <w:tmpl w:val="B40C90C0"/>
    <w:lvl w:ilvl="0" w:tentative="0">
      <w:start w:val="1"/>
      <w:numFmt w:val="decimal"/>
      <w:lvlText w:val="%1."/>
      <w:lvlJc w:val="left"/>
      <w:pPr>
        <w:ind w:left="425" w:hanging="425"/>
      </w:pPr>
      <w:rPr>
        <w:rFonts w:hint="default"/>
      </w:rPr>
    </w:lvl>
  </w:abstractNum>
  <w:abstractNum w:abstractNumId="6">
    <w:nsid w:val="BE59C9A8"/>
    <w:multiLevelType w:val="singleLevel"/>
    <w:tmpl w:val="BE59C9A8"/>
    <w:lvl w:ilvl="0" w:tentative="0">
      <w:start w:val="1"/>
      <w:numFmt w:val="bullet"/>
      <w:lvlText w:val=""/>
      <w:lvlJc w:val="left"/>
      <w:pPr>
        <w:ind w:left="420" w:hanging="420"/>
      </w:pPr>
      <w:rPr>
        <w:rFonts w:hint="default" w:ascii="Wingdings" w:hAnsi="Wingdings"/>
      </w:rPr>
    </w:lvl>
  </w:abstractNum>
  <w:abstractNum w:abstractNumId="7">
    <w:nsid w:val="C5BDEC77"/>
    <w:multiLevelType w:val="multilevel"/>
    <w:tmpl w:val="C5BDEC77"/>
    <w:lvl w:ilvl="0" w:tentative="0">
      <w:start w:val="16"/>
      <w:numFmt w:val="decimal"/>
      <w:suff w:val="space"/>
      <w:lvlText w:val="%1."/>
      <w:lvlJc w:val="left"/>
      <w:pPr>
        <w:ind w:left="0" w:firstLine="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8">
    <w:nsid w:val="CA2351B1"/>
    <w:multiLevelType w:val="singleLevel"/>
    <w:tmpl w:val="CA2351B1"/>
    <w:lvl w:ilvl="0" w:tentative="0">
      <w:start w:val="1"/>
      <w:numFmt w:val="decimal"/>
      <w:lvlText w:val="%1."/>
      <w:lvlJc w:val="left"/>
      <w:pPr>
        <w:ind w:left="425" w:hanging="425"/>
      </w:pPr>
      <w:rPr>
        <w:rFonts w:hint="default"/>
      </w:rPr>
    </w:lvl>
  </w:abstractNum>
  <w:abstractNum w:abstractNumId="9">
    <w:nsid w:val="CC2E7DF9"/>
    <w:multiLevelType w:val="singleLevel"/>
    <w:tmpl w:val="CC2E7DF9"/>
    <w:lvl w:ilvl="0" w:tentative="0">
      <w:start w:val="1"/>
      <w:numFmt w:val="decimal"/>
      <w:lvlText w:val="%1."/>
      <w:lvlJc w:val="left"/>
      <w:pPr>
        <w:ind w:left="425" w:hanging="425"/>
      </w:pPr>
      <w:rPr>
        <w:rFonts w:hint="default"/>
      </w:rPr>
    </w:lvl>
  </w:abstractNum>
  <w:abstractNum w:abstractNumId="10">
    <w:nsid w:val="D6E8271B"/>
    <w:multiLevelType w:val="multilevel"/>
    <w:tmpl w:val="D6E8271B"/>
    <w:lvl w:ilvl="0" w:tentative="0">
      <w:start w:val="1"/>
      <w:numFmt w:val="decimal"/>
      <w:suff w:val="nothing"/>
      <w:lvlText w:val="%1."/>
      <w:lvlJc w:val="left"/>
      <w:pPr>
        <w:ind w:left="454" w:hanging="454"/>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11">
    <w:nsid w:val="D77BE5C0"/>
    <w:multiLevelType w:val="multilevel"/>
    <w:tmpl w:val="D77BE5C0"/>
    <w:lvl w:ilvl="0" w:tentative="0">
      <w:start w:val="6"/>
      <w:numFmt w:val="decimal"/>
      <w:suff w:val="space"/>
      <w:lvlText w:val="%1."/>
      <w:lvlJc w:val="left"/>
      <w:pPr>
        <w:ind w:left="0" w:firstLine="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12">
    <w:nsid w:val="DFDF6740"/>
    <w:multiLevelType w:val="multilevel"/>
    <w:tmpl w:val="DFDF6740"/>
    <w:lvl w:ilvl="0" w:tentative="0">
      <w:start w:val="1"/>
      <w:numFmt w:val="decimal"/>
      <w:suff w:val="nothing"/>
      <w:lvlText w:val="（%1）"/>
      <w:lvlJc w:val="left"/>
      <w:pPr>
        <w:ind w:left="0" w:firstLine="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13">
    <w:nsid w:val="E98E1122"/>
    <w:multiLevelType w:val="singleLevel"/>
    <w:tmpl w:val="E98E1122"/>
    <w:lvl w:ilvl="0" w:tentative="0">
      <w:start w:val="1"/>
      <w:numFmt w:val="decimal"/>
      <w:lvlText w:val="%1."/>
      <w:lvlJc w:val="left"/>
      <w:pPr>
        <w:ind w:left="425" w:hanging="425"/>
      </w:pPr>
      <w:rPr>
        <w:rFonts w:hint="default"/>
      </w:rPr>
    </w:lvl>
  </w:abstractNum>
  <w:abstractNum w:abstractNumId="14">
    <w:nsid w:val="EAB7CDEA"/>
    <w:multiLevelType w:val="multilevel"/>
    <w:tmpl w:val="EAB7CDEA"/>
    <w:lvl w:ilvl="0" w:tentative="0">
      <w:start w:val="1"/>
      <w:numFmt w:val="decimal"/>
      <w:suff w:val="nothing"/>
      <w:lvlText w:val="（%1）"/>
      <w:lvlJc w:val="left"/>
      <w:pPr>
        <w:ind w:left="0" w:firstLine="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15">
    <w:nsid w:val="F208AB78"/>
    <w:multiLevelType w:val="singleLevel"/>
    <w:tmpl w:val="F208AB78"/>
    <w:lvl w:ilvl="0" w:tentative="0">
      <w:start w:val="12"/>
      <w:numFmt w:val="decimal"/>
      <w:suff w:val="nothing"/>
      <w:lvlText w:val="%1、"/>
      <w:lvlJc w:val="left"/>
    </w:lvl>
  </w:abstractNum>
  <w:abstractNum w:abstractNumId="16">
    <w:nsid w:val="FFF7662C"/>
    <w:multiLevelType w:val="multilevel"/>
    <w:tmpl w:val="FFF7662C"/>
    <w:lvl w:ilvl="0" w:tentative="0">
      <w:start w:val="23"/>
      <w:numFmt w:val="decimal"/>
      <w:suff w:val="space"/>
      <w:lvlText w:val="%1."/>
      <w:lvlJc w:val="left"/>
      <w:pPr>
        <w:ind w:left="0" w:firstLine="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17">
    <w:nsid w:val="FFFFFF7E"/>
    <w:multiLevelType w:val="singleLevel"/>
    <w:tmpl w:val="FFFFFF7E"/>
    <w:lvl w:ilvl="0" w:tentative="0">
      <w:start w:val="1"/>
      <w:numFmt w:val="decimal"/>
      <w:pStyle w:val="21"/>
      <w:lvlText w:val="%1."/>
      <w:lvlJc w:val="left"/>
      <w:pPr>
        <w:tabs>
          <w:tab w:val="left" w:pos="1200"/>
        </w:tabs>
        <w:ind w:left="1200" w:hanging="360"/>
      </w:pPr>
    </w:lvl>
  </w:abstractNum>
  <w:abstractNum w:abstractNumId="18">
    <w:nsid w:val="00000002"/>
    <w:multiLevelType w:val="multilevel"/>
    <w:tmpl w:val="00000002"/>
    <w:lvl w:ilvl="0" w:tentative="0">
      <w:start w:val="1"/>
      <w:numFmt w:val="decimal"/>
      <w:lvlText w:val="%1."/>
      <w:lvlJc w:val="left"/>
      <w:pPr>
        <w:ind w:left="440" w:hanging="440"/>
      </w:p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19">
    <w:nsid w:val="00000003"/>
    <w:multiLevelType w:val="multilevel"/>
    <w:tmpl w:val="00000003"/>
    <w:lvl w:ilvl="0" w:tentative="0">
      <w:start w:val="1"/>
      <w:numFmt w:val="decimal"/>
      <w:lvlText w:val="%1."/>
      <w:lvlJc w:val="left"/>
      <w:pPr>
        <w:ind w:left="440" w:hanging="440"/>
      </w:p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20">
    <w:nsid w:val="00000004"/>
    <w:multiLevelType w:val="multilevel"/>
    <w:tmpl w:val="00000004"/>
    <w:lvl w:ilvl="0" w:tentative="0">
      <w:start w:val="1"/>
      <w:numFmt w:val="decimal"/>
      <w:lvlText w:val="%1."/>
      <w:lvlJc w:val="left"/>
      <w:pPr>
        <w:ind w:left="440" w:hanging="440"/>
      </w:pPr>
      <w:rPr>
        <w:rFonts w:hint="default"/>
        <w:b w:val="0"/>
        <w:bCs w:val="0"/>
      </w:r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21">
    <w:nsid w:val="00000005"/>
    <w:multiLevelType w:val="multilevel"/>
    <w:tmpl w:val="00000005"/>
    <w:lvl w:ilvl="0" w:tentative="0">
      <w:start w:val="1"/>
      <w:numFmt w:val="decimal"/>
      <w:lvlText w:val="%1."/>
      <w:lvlJc w:val="left"/>
      <w:pPr>
        <w:ind w:left="440" w:hanging="440"/>
      </w:pPr>
      <w:rPr>
        <w:rFonts w:hint="default"/>
        <w:b w:val="0"/>
        <w:bCs w:val="0"/>
      </w:r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22">
    <w:nsid w:val="00000006"/>
    <w:multiLevelType w:val="multilevel"/>
    <w:tmpl w:val="00000006"/>
    <w:lvl w:ilvl="0" w:tentative="0">
      <w:start w:val="1"/>
      <w:numFmt w:val="decimal"/>
      <w:lvlText w:val="%1."/>
      <w:lvlJc w:val="left"/>
      <w:pPr>
        <w:ind w:left="440" w:hanging="440"/>
      </w:pPr>
    </w:lvl>
    <w:lvl w:ilvl="1" w:tentative="0">
      <w:start w:val="1"/>
      <w:numFmt w:val="decimal"/>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23">
    <w:nsid w:val="00000007"/>
    <w:multiLevelType w:val="multilevel"/>
    <w:tmpl w:val="00000007"/>
    <w:lvl w:ilvl="0" w:tentative="0">
      <w:start w:val="1"/>
      <w:numFmt w:val="decimal"/>
      <w:lvlText w:val="%1."/>
      <w:lvlJc w:val="left"/>
      <w:pPr>
        <w:ind w:left="440" w:hanging="440"/>
      </w:pPr>
    </w:lvl>
    <w:lvl w:ilvl="1" w:tentative="0">
      <w:start w:val="1"/>
      <w:numFmt w:val="decimal"/>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24">
    <w:nsid w:val="00000008"/>
    <w:multiLevelType w:val="multilevel"/>
    <w:tmpl w:val="00000008"/>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5">
    <w:nsid w:val="00000009"/>
    <w:multiLevelType w:val="multilevel"/>
    <w:tmpl w:val="00000009"/>
    <w:lvl w:ilvl="0" w:tentative="0">
      <w:start w:val="1"/>
      <w:numFmt w:val="decimal"/>
      <w:lvlText w:val="%1."/>
      <w:lvlJc w:val="left"/>
      <w:pPr>
        <w:ind w:left="440" w:hanging="440"/>
      </w:p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26">
    <w:nsid w:val="0000000A"/>
    <w:multiLevelType w:val="multilevel"/>
    <w:tmpl w:val="0000000A"/>
    <w:lvl w:ilvl="0" w:tentative="0">
      <w:start w:val="1"/>
      <w:numFmt w:val="decimal"/>
      <w:lvlText w:val="%1."/>
      <w:lvlJc w:val="left"/>
      <w:pPr>
        <w:ind w:left="880" w:hanging="440"/>
      </w:pPr>
    </w:lvl>
    <w:lvl w:ilvl="1" w:tentative="0">
      <w:start w:val="1"/>
      <w:numFmt w:val="lowerLetter"/>
      <w:lvlText w:val="%2)"/>
      <w:lvlJc w:val="left"/>
      <w:pPr>
        <w:ind w:left="1320" w:hanging="440"/>
      </w:pPr>
    </w:lvl>
    <w:lvl w:ilvl="2" w:tentative="0">
      <w:start w:val="1"/>
      <w:numFmt w:val="lowerRoman"/>
      <w:lvlText w:val="%3."/>
      <w:lvlJc w:val="right"/>
      <w:pPr>
        <w:ind w:left="1760" w:hanging="440"/>
      </w:pPr>
    </w:lvl>
    <w:lvl w:ilvl="3" w:tentative="0">
      <w:start w:val="1"/>
      <w:numFmt w:val="decimal"/>
      <w:lvlText w:val="%4."/>
      <w:lvlJc w:val="left"/>
      <w:pPr>
        <w:ind w:left="2200" w:hanging="440"/>
      </w:pPr>
    </w:lvl>
    <w:lvl w:ilvl="4" w:tentative="0">
      <w:start w:val="1"/>
      <w:numFmt w:val="lowerLetter"/>
      <w:lvlText w:val="%5)"/>
      <w:lvlJc w:val="left"/>
      <w:pPr>
        <w:ind w:left="2640" w:hanging="440"/>
      </w:pPr>
    </w:lvl>
    <w:lvl w:ilvl="5" w:tentative="0">
      <w:start w:val="1"/>
      <w:numFmt w:val="lowerRoman"/>
      <w:lvlText w:val="%6."/>
      <w:lvlJc w:val="right"/>
      <w:pPr>
        <w:ind w:left="3080" w:hanging="440"/>
      </w:pPr>
    </w:lvl>
    <w:lvl w:ilvl="6" w:tentative="0">
      <w:start w:val="1"/>
      <w:numFmt w:val="decimal"/>
      <w:lvlText w:val="%7."/>
      <w:lvlJc w:val="left"/>
      <w:pPr>
        <w:ind w:left="3520" w:hanging="440"/>
      </w:pPr>
    </w:lvl>
    <w:lvl w:ilvl="7" w:tentative="0">
      <w:start w:val="1"/>
      <w:numFmt w:val="lowerLetter"/>
      <w:lvlText w:val="%8)"/>
      <w:lvlJc w:val="left"/>
      <w:pPr>
        <w:ind w:left="3960" w:hanging="440"/>
      </w:pPr>
    </w:lvl>
    <w:lvl w:ilvl="8" w:tentative="0">
      <w:start w:val="1"/>
      <w:numFmt w:val="lowerRoman"/>
      <w:lvlText w:val="%9."/>
      <w:lvlJc w:val="right"/>
      <w:pPr>
        <w:ind w:left="4400" w:hanging="440"/>
      </w:pPr>
    </w:lvl>
  </w:abstractNum>
  <w:abstractNum w:abstractNumId="27">
    <w:nsid w:val="0475A5C2"/>
    <w:multiLevelType w:val="singleLevel"/>
    <w:tmpl w:val="0475A5C2"/>
    <w:lvl w:ilvl="0" w:tentative="0">
      <w:start w:val="1"/>
      <w:numFmt w:val="decimal"/>
      <w:lvlText w:val="%1."/>
      <w:lvlJc w:val="left"/>
      <w:pPr>
        <w:ind w:left="425" w:hanging="425"/>
      </w:pPr>
      <w:rPr>
        <w:rFonts w:hint="default"/>
      </w:rPr>
    </w:lvl>
  </w:abstractNum>
  <w:abstractNum w:abstractNumId="28">
    <w:nsid w:val="0D1BA2F2"/>
    <w:multiLevelType w:val="multilevel"/>
    <w:tmpl w:val="0D1BA2F2"/>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9">
    <w:nsid w:val="0ED64731"/>
    <w:multiLevelType w:val="singleLevel"/>
    <w:tmpl w:val="0ED64731"/>
    <w:lvl w:ilvl="0" w:tentative="0">
      <w:start w:val="1"/>
      <w:numFmt w:val="decimal"/>
      <w:lvlText w:val="%1."/>
      <w:lvlJc w:val="left"/>
      <w:pPr>
        <w:ind w:left="425" w:hanging="425"/>
      </w:pPr>
      <w:rPr>
        <w:rFonts w:hint="default"/>
      </w:rPr>
    </w:lvl>
  </w:abstractNum>
  <w:abstractNum w:abstractNumId="30">
    <w:nsid w:val="0F8F9CC7"/>
    <w:multiLevelType w:val="singleLevel"/>
    <w:tmpl w:val="0F8F9CC7"/>
    <w:lvl w:ilvl="0" w:tentative="0">
      <w:start w:val="2"/>
      <w:numFmt w:val="chineseCounting"/>
      <w:suff w:val="nothing"/>
      <w:lvlText w:val="（%1）"/>
      <w:lvlJc w:val="left"/>
      <w:rPr>
        <w:rFonts w:hint="eastAsia"/>
      </w:rPr>
    </w:lvl>
  </w:abstractNum>
  <w:abstractNum w:abstractNumId="31">
    <w:nsid w:val="103EE4AB"/>
    <w:multiLevelType w:val="singleLevel"/>
    <w:tmpl w:val="103EE4AB"/>
    <w:lvl w:ilvl="0" w:tentative="0">
      <w:start w:val="1"/>
      <w:numFmt w:val="decimal"/>
      <w:lvlText w:val="%1."/>
      <w:lvlJc w:val="left"/>
      <w:pPr>
        <w:ind w:left="425" w:hanging="425"/>
      </w:pPr>
      <w:rPr>
        <w:rFonts w:hint="default"/>
      </w:rPr>
    </w:lvl>
  </w:abstractNum>
  <w:abstractNum w:abstractNumId="32">
    <w:nsid w:val="220558A3"/>
    <w:multiLevelType w:val="multilevel"/>
    <w:tmpl w:val="220558A3"/>
    <w:lvl w:ilvl="0" w:tentative="0">
      <w:start w:val="1"/>
      <w:numFmt w:val="bullet"/>
      <w:lvlText w:val=""/>
      <w:lvlJc w:val="left"/>
      <w:pPr>
        <w:ind w:left="860" w:hanging="440"/>
      </w:pPr>
      <w:rPr>
        <w:rFonts w:hint="default" w:ascii="Wingdings" w:hAnsi="Wingdings"/>
      </w:rPr>
    </w:lvl>
    <w:lvl w:ilvl="1" w:tentative="0">
      <w:start w:val="1"/>
      <w:numFmt w:val="bullet"/>
      <w:lvlText w:val=""/>
      <w:lvlJc w:val="left"/>
      <w:pPr>
        <w:ind w:left="1300" w:hanging="440"/>
      </w:pPr>
      <w:rPr>
        <w:rFonts w:hint="default" w:ascii="Wingdings" w:hAnsi="Wingdings"/>
      </w:rPr>
    </w:lvl>
    <w:lvl w:ilvl="2" w:tentative="0">
      <w:start w:val="1"/>
      <w:numFmt w:val="bullet"/>
      <w:lvlText w:val=""/>
      <w:lvlJc w:val="left"/>
      <w:pPr>
        <w:ind w:left="1740" w:hanging="440"/>
      </w:pPr>
      <w:rPr>
        <w:rFonts w:hint="default" w:ascii="Wingdings" w:hAnsi="Wingdings"/>
      </w:rPr>
    </w:lvl>
    <w:lvl w:ilvl="3" w:tentative="0">
      <w:start w:val="1"/>
      <w:numFmt w:val="bullet"/>
      <w:lvlText w:val=""/>
      <w:lvlJc w:val="left"/>
      <w:pPr>
        <w:ind w:left="2180" w:hanging="440"/>
      </w:pPr>
      <w:rPr>
        <w:rFonts w:hint="default" w:ascii="Wingdings" w:hAnsi="Wingdings"/>
      </w:rPr>
    </w:lvl>
    <w:lvl w:ilvl="4" w:tentative="0">
      <w:start w:val="1"/>
      <w:numFmt w:val="bullet"/>
      <w:lvlText w:val=""/>
      <w:lvlJc w:val="left"/>
      <w:pPr>
        <w:ind w:left="2620" w:hanging="440"/>
      </w:pPr>
      <w:rPr>
        <w:rFonts w:hint="default" w:ascii="Wingdings" w:hAnsi="Wingdings"/>
      </w:rPr>
    </w:lvl>
    <w:lvl w:ilvl="5" w:tentative="0">
      <w:start w:val="1"/>
      <w:numFmt w:val="bullet"/>
      <w:lvlText w:val=""/>
      <w:lvlJc w:val="left"/>
      <w:pPr>
        <w:ind w:left="3060" w:hanging="440"/>
      </w:pPr>
      <w:rPr>
        <w:rFonts w:hint="default" w:ascii="Wingdings" w:hAnsi="Wingdings"/>
      </w:rPr>
    </w:lvl>
    <w:lvl w:ilvl="6" w:tentative="0">
      <w:start w:val="1"/>
      <w:numFmt w:val="bullet"/>
      <w:lvlText w:val=""/>
      <w:lvlJc w:val="left"/>
      <w:pPr>
        <w:ind w:left="3500" w:hanging="440"/>
      </w:pPr>
      <w:rPr>
        <w:rFonts w:hint="default" w:ascii="Wingdings" w:hAnsi="Wingdings"/>
      </w:rPr>
    </w:lvl>
    <w:lvl w:ilvl="7" w:tentative="0">
      <w:start w:val="1"/>
      <w:numFmt w:val="bullet"/>
      <w:lvlText w:val=""/>
      <w:lvlJc w:val="left"/>
      <w:pPr>
        <w:ind w:left="3940" w:hanging="440"/>
      </w:pPr>
      <w:rPr>
        <w:rFonts w:hint="default" w:ascii="Wingdings" w:hAnsi="Wingdings"/>
      </w:rPr>
    </w:lvl>
    <w:lvl w:ilvl="8" w:tentative="0">
      <w:start w:val="1"/>
      <w:numFmt w:val="bullet"/>
      <w:lvlText w:val=""/>
      <w:lvlJc w:val="left"/>
      <w:pPr>
        <w:ind w:left="4380" w:hanging="440"/>
      </w:pPr>
      <w:rPr>
        <w:rFonts w:hint="default" w:ascii="Wingdings" w:hAnsi="Wingdings"/>
      </w:rPr>
    </w:lvl>
  </w:abstractNum>
  <w:abstractNum w:abstractNumId="33">
    <w:nsid w:val="233854B0"/>
    <w:multiLevelType w:val="multilevel"/>
    <w:tmpl w:val="233854B0"/>
    <w:lvl w:ilvl="0" w:tentative="0">
      <w:start w:val="1"/>
      <w:numFmt w:val="bullet"/>
      <w:lvlText w:val=""/>
      <w:lvlJc w:val="left"/>
      <w:pPr>
        <w:ind w:left="1040" w:hanging="440"/>
      </w:pPr>
      <w:rPr>
        <w:rFonts w:hint="default" w:ascii="Wingdings" w:hAnsi="Wingdings"/>
      </w:rPr>
    </w:lvl>
    <w:lvl w:ilvl="1" w:tentative="0">
      <w:start w:val="1"/>
      <w:numFmt w:val="bullet"/>
      <w:lvlText w:val=""/>
      <w:lvlJc w:val="left"/>
      <w:pPr>
        <w:ind w:left="1480" w:hanging="440"/>
      </w:pPr>
      <w:rPr>
        <w:rFonts w:hint="default" w:ascii="Wingdings" w:hAnsi="Wingdings"/>
      </w:rPr>
    </w:lvl>
    <w:lvl w:ilvl="2" w:tentative="0">
      <w:start w:val="1"/>
      <w:numFmt w:val="bullet"/>
      <w:lvlText w:val=""/>
      <w:lvlJc w:val="left"/>
      <w:pPr>
        <w:ind w:left="1920" w:hanging="440"/>
      </w:pPr>
      <w:rPr>
        <w:rFonts w:hint="default" w:ascii="Wingdings" w:hAnsi="Wingdings"/>
      </w:rPr>
    </w:lvl>
    <w:lvl w:ilvl="3" w:tentative="0">
      <w:start w:val="1"/>
      <w:numFmt w:val="bullet"/>
      <w:lvlText w:val=""/>
      <w:lvlJc w:val="left"/>
      <w:pPr>
        <w:ind w:left="2360" w:hanging="440"/>
      </w:pPr>
      <w:rPr>
        <w:rFonts w:hint="default" w:ascii="Wingdings" w:hAnsi="Wingdings"/>
      </w:rPr>
    </w:lvl>
    <w:lvl w:ilvl="4" w:tentative="0">
      <w:start w:val="1"/>
      <w:numFmt w:val="bullet"/>
      <w:lvlText w:val=""/>
      <w:lvlJc w:val="left"/>
      <w:pPr>
        <w:ind w:left="2800" w:hanging="440"/>
      </w:pPr>
      <w:rPr>
        <w:rFonts w:hint="default" w:ascii="Wingdings" w:hAnsi="Wingdings"/>
      </w:rPr>
    </w:lvl>
    <w:lvl w:ilvl="5" w:tentative="0">
      <w:start w:val="1"/>
      <w:numFmt w:val="bullet"/>
      <w:lvlText w:val=""/>
      <w:lvlJc w:val="left"/>
      <w:pPr>
        <w:ind w:left="3240" w:hanging="440"/>
      </w:pPr>
      <w:rPr>
        <w:rFonts w:hint="default" w:ascii="Wingdings" w:hAnsi="Wingdings"/>
      </w:rPr>
    </w:lvl>
    <w:lvl w:ilvl="6" w:tentative="0">
      <w:start w:val="1"/>
      <w:numFmt w:val="bullet"/>
      <w:lvlText w:val=""/>
      <w:lvlJc w:val="left"/>
      <w:pPr>
        <w:ind w:left="3680" w:hanging="440"/>
      </w:pPr>
      <w:rPr>
        <w:rFonts w:hint="default" w:ascii="Wingdings" w:hAnsi="Wingdings"/>
      </w:rPr>
    </w:lvl>
    <w:lvl w:ilvl="7" w:tentative="0">
      <w:start w:val="1"/>
      <w:numFmt w:val="bullet"/>
      <w:lvlText w:val=""/>
      <w:lvlJc w:val="left"/>
      <w:pPr>
        <w:ind w:left="4120" w:hanging="440"/>
      </w:pPr>
      <w:rPr>
        <w:rFonts w:hint="default" w:ascii="Wingdings" w:hAnsi="Wingdings"/>
      </w:rPr>
    </w:lvl>
    <w:lvl w:ilvl="8" w:tentative="0">
      <w:start w:val="1"/>
      <w:numFmt w:val="bullet"/>
      <w:lvlText w:val=""/>
      <w:lvlJc w:val="left"/>
      <w:pPr>
        <w:ind w:left="4560" w:hanging="440"/>
      </w:pPr>
      <w:rPr>
        <w:rFonts w:hint="default" w:ascii="Wingdings" w:hAnsi="Wingdings"/>
      </w:rPr>
    </w:lvl>
  </w:abstractNum>
  <w:abstractNum w:abstractNumId="34">
    <w:nsid w:val="2DF54A85"/>
    <w:multiLevelType w:val="singleLevel"/>
    <w:tmpl w:val="2DF54A85"/>
    <w:lvl w:ilvl="0" w:tentative="0">
      <w:start w:val="1"/>
      <w:numFmt w:val="decimal"/>
      <w:lvlText w:val="%1."/>
      <w:lvlJc w:val="left"/>
      <w:pPr>
        <w:ind w:left="425" w:hanging="425"/>
      </w:pPr>
      <w:rPr>
        <w:rFonts w:hint="default"/>
      </w:rPr>
    </w:lvl>
  </w:abstractNum>
  <w:abstractNum w:abstractNumId="35">
    <w:nsid w:val="32FF12EE"/>
    <w:multiLevelType w:val="multilevel"/>
    <w:tmpl w:val="32FF12EE"/>
    <w:lvl w:ilvl="0" w:tentative="0">
      <w:start w:val="1"/>
      <w:numFmt w:val="bullet"/>
      <w:lvlText w:val=""/>
      <w:lvlJc w:val="left"/>
      <w:pPr>
        <w:ind w:left="724" w:hanging="440"/>
      </w:pPr>
      <w:rPr>
        <w:rFonts w:hint="default" w:ascii="Wingdings" w:hAnsi="Wingdings"/>
      </w:rPr>
    </w:lvl>
    <w:lvl w:ilvl="1" w:tentative="0">
      <w:start w:val="1"/>
      <w:numFmt w:val="bullet"/>
      <w:lvlText w:val=""/>
      <w:lvlJc w:val="left"/>
      <w:pPr>
        <w:ind w:left="1164" w:hanging="440"/>
      </w:pPr>
      <w:rPr>
        <w:rFonts w:hint="default" w:ascii="Wingdings" w:hAnsi="Wingdings"/>
      </w:rPr>
    </w:lvl>
    <w:lvl w:ilvl="2" w:tentative="0">
      <w:start w:val="1"/>
      <w:numFmt w:val="bullet"/>
      <w:lvlText w:val=""/>
      <w:lvlJc w:val="left"/>
      <w:pPr>
        <w:ind w:left="1604" w:hanging="440"/>
      </w:pPr>
      <w:rPr>
        <w:rFonts w:hint="default" w:ascii="Wingdings" w:hAnsi="Wingdings"/>
      </w:rPr>
    </w:lvl>
    <w:lvl w:ilvl="3" w:tentative="0">
      <w:start w:val="1"/>
      <w:numFmt w:val="bullet"/>
      <w:lvlText w:val=""/>
      <w:lvlJc w:val="left"/>
      <w:pPr>
        <w:ind w:left="2044" w:hanging="440"/>
      </w:pPr>
      <w:rPr>
        <w:rFonts w:hint="default" w:ascii="Wingdings" w:hAnsi="Wingdings"/>
      </w:rPr>
    </w:lvl>
    <w:lvl w:ilvl="4" w:tentative="0">
      <w:start w:val="1"/>
      <w:numFmt w:val="bullet"/>
      <w:lvlText w:val=""/>
      <w:lvlJc w:val="left"/>
      <w:pPr>
        <w:ind w:left="2484" w:hanging="440"/>
      </w:pPr>
      <w:rPr>
        <w:rFonts w:hint="default" w:ascii="Wingdings" w:hAnsi="Wingdings"/>
      </w:rPr>
    </w:lvl>
    <w:lvl w:ilvl="5" w:tentative="0">
      <w:start w:val="1"/>
      <w:numFmt w:val="bullet"/>
      <w:lvlText w:val=""/>
      <w:lvlJc w:val="left"/>
      <w:pPr>
        <w:ind w:left="2924" w:hanging="440"/>
      </w:pPr>
      <w:rPr>
        <w:rFonts w:hint="default" w:ascii="Wingdings" w:hAnsi="Wingdings"/>
      </w:rPr>
    </w:lvl>
    <w:lvl w:ilvl="6" w:tentative="0">
      <w:start w:val="1"/>
      <w:numFmt w:val="bullet"/>
      <w:lvlText w:val=""/>
      <w:lvlJc w:val="left"/>
      <w:pPr>
        <w:ind w:left="3364" w:hanging="440"/>
      </w:pPr>
      <w:rPr>
        <w:rFonts w:hint="default" w:ascii="Wingdings" w:hAnsi="Wingdings"/>
      </w:rPr>
    </w:lvl>
    <w:lvl w:ilvl="7" w:tentative="0">
      <w:start w:val="1"/>
      <w:numFmt w:val="bullet"/>
      <w:lvlText w:val=""/>
      <w:lvlJc w:val="left"/>
      <w:pPr>
        <w:ind w:left="3804" w:hanging="440"/>
      </w:pPr>
      <w:rPr>
        <w:rFonts w:hint="default" w:ascii="Wingdings" w:hAnsi="Wingdings"/>
      </w:rPr>
    </w:lvl>
    <w:lvl w:ilvl="8" w:tentative="0">
      <w:start w:val="1"/>
      <w:numFmt w:val="bullet"/>
      <w:lvlText w:val=""/>
      <w:lvlJc w:val="left"/>
      <w:pPr>
        <w:ind w:left="4244" w:hanging="440"/>
      </w:pPr>
      <w:rPr>
        <w:rFonts w:hint="default" w:ascii="Wingdings" w:hAnsi="Wingdings"/>
      </w:rPr>
    </w:lvl>
  </w:abstractNum>
  <w:abstractNum w:abstractNumId="36">
    <w:nsid w:val="36B90DB6"/>
    <w:multiLevelType w:val="multilevel"/>
    <w:tmpl w:val="36B90DB6"/>
    <w:lvl w:ilvl="0" w:tentative="0">
      <w:start w:val="7"/>
      <w:numFmt w:val="decimal"/>
      <w:lvlText w:val="%1、"/>
      <w:lvlJc w:val="left"/>
      <w:pPr>
        <w:ind w:left="780" w:hanging="360"/>
      </w:pPr>
      <w:rPr>
        <w:rFonts w:hint="default"/>
      </w:rPr>
    </w:lvl>
    <w:lvl w:ilvl="1" w:tentative="0">
      <w:start w:val="1"/>
      <w:numFmt w:val="lowerLetter"/>
      <w:lvlText w:val="%2)"/>
      <w:lvlJc w:val="left"/>
      <w:pPr>
        <w:ind w:left="1300" w:hanging="440"/>
      </w:pPr>
    </w:lvl>
    <w:lvl w:ilvl="2" w:tentative="0">
      <w:start w:val="1"/>
      <w:numFmt w:val="lowerRoman"/>
      <w:lvlText w:val="%3."/>
      <w:lvlJc w:val="right"/>
      <w:pPr>
        <w:ind w:left="1740" w:hanging="440"/>
      </w:pPr>
    </w:lvl>
    <w:lvl w:ilvl="3" w:tentative="0">
      <w:start w:val="1"/>
      <w:numFmt w:val="decimal"/>
      <w:lvlText w:val="%4."/>
      <w:lvlJc w:val="left"/>
      <w:pPr>
        <w:ind w:left="2180" w:hanging="440"/>
      </w:pPr>
    </w:lvl>
    <w:lvl w:ilvl="4" w:tentative="0">
      <w:start w:val="1"/>
      <w:numFmt w:val="lowerLetter"/>
      <w:lvlText w:val="%5)"/>
      <w:lvlJc w:val="left"/>
      <w:pPr>
        <w:ind w:left="2620" w:hanging="440"/>
      </w:pPr>
    </w:lvl>
    <w:lvl w:ilvl="5" w:tentative="0">
      <w:start w:val="1"/>
      <w:numFmt w:val="lowerRoman"/>
      <w:lvlText w:val="%6."/>
      <w:lvlJc w:val="right"/>
      <w:pPr>
        <w:ind w:left="3060" w:hanging="440"/>
      </w:pPr>
    </w:lvl>
    <w:lvl w:ilvl="6" w:tentative="0">
      <w:start w:val="1"/>
      <w:numFmt w:val="decimal"/>
      <w:lvlText w:val="%7."/>
      <w:lvlJc w:val="left"/>
      <w:pPr>
        <w:ind w:left="3500" w:hanging="440"/>
      </w:pPr>
    </w:lvl>
    <w:lvl w:ilvl="7" w:tentative="0">
      <w:start w:val="1"/>
      <w:numFmt w:val="lowerLetter"/>
      <w:lvlText w:val="%8)"/>
      <w:lvlJc w:val="left"/>
      <w:pPr>
        <w:ind w:left="3940" w:hanging="440"/>
      </w:pPr>
    </w:lvl>
    <w:lvl w:ilvl="8" w:tentative="0">
      <w:start w:val="1"/>
      <w:numFmt w:val="lowerRoman"/>
      <w:lvlText w:val="%9."/>
      <w:lvlJc w:val="right"/>
      <w:pPr>
        <w:ind w:left="4380" w:hanging="440"/>
      </w:pPr>
    </w:lvl>
  </w:abstractNum>
  <w:abstractNum w:abstractNumId="37">
    <w:nsid w:val="4034AC53"/>
    <w:multiLevelType w:val="singleLevel"/>
    <w:tmpl w:val="4034AC53"/>
    <w:lvl w:ilvl="0" w:tentative="0">
      <w:start w:val="1"/>
      <w:numFmt w:val="chineseCountingThousand"/>
      <w:suff w:val="space"/>
      <w:lvlText w:val="第%1章"/>
      <w:lvlJc w:val="left"/>
      <w:pPr>
        <w:ind w:left="0" w:firstLine="0"/>
      </w:pPr>
      <w:rPr>
        <w:rFonts w:hint="eastAsia"/>
      </w:rPr>
    </w:lvl>
  </w:abstractNum>
  <w:abstractNum w:abstractNumId="38">
    <w:nsid w:val="4A3D52BF"/>
    <w:multiLevelType w:val="multilevel"/>
    <w:tmpl w:val="4A3D52BF"/>
    <w:lvl w:ilvl="0" w:tentative="0">
      <w:start w:val="1"/>
      <w:numFmt w:val="decimal"/>
      <w:lvlText w:val="%1."/>
      <w:lvlJc w:val="left"/>
      <w:pPr>
        <w:ind w:left="440" w:hanging="440"/>
      </w:p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39">
    <w:nsid w:val="4AE89178"/>
    <w:multiLevelType w:val="multilevel"/>
    <w:tmpl w:val="4AE89178"/>
    <w:lvl w:ilvl="0" w:tentative="0">
      <w:start w:val="1"/>
      <w:numFmt w:val="decimal"/>
      <w:lvlText w:val="%1."/>
      <w:lvlJc w:val="left"/>
      <w:pPr>
        <w:ind w:left="425" w:hanging="425"/>
      </w:pPr>
      <w:rPr>
        <w:rFonts w:hint="default"/>
      </w:rPr>
    </w:lvl>
    <w:lvl w:ilvl="1" w:tentative="0">
      <w:start w:val="1"/>
      <w:numFmt w:val="decimal"/>
      <w:lvlText w:val="%1.%2."/>
      <w:lvlJc w:val="left"/>
      <w:pPr>
        <w:ind w:left="567" w:hanging="567"/>
      </w:pPr>
      <w:rPr>
        <w:rFonts w:hint="default"/>
      </w:rPr>
    </w:lvl>
    <w:lvl w:ilvl="2" w:tentative="0">
      <w:start w:val="1"/>
      <w:numFmt w:val="decimal"/>
      <w:lvlText w:val="%1.%2.%3."/>
      <w:lvlJc w:val="left"/>
      <w:pPr>
        <w:ind w:left="709" w:hanging="709"/>
      </w:pPr>
      <w:rPr>
        <w:rFonts w:hint="default"/>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40">
    <w:nsid w:val="4DA6B211"/>
    <w:multiLevelType w:val="singleLevel"/>
    <w:tmpl w:val="4DA6B211"/>
    <w:lvl w:ilvl="0" w:tentative="0">
      <w:start w:val="1"/>
      <w:numFmt w:val="chineseCounting"/>
      <w:suff w:val="nothing"/>
      <w:lvlText w:val="%1、"/>
      <w:lvlJc w:val="left"/>
      <w:pPr>
        <w:ind w:left="0" w:firstLine="420"/>
      </w:pPr>
      <w:rPr>
        <w:rFonts w:hint="eastAsia"/>
      </w:rPr>
    </w:lvl>
  </w:abstractNum>
  <w:abstractNum w:abstractNumId="41">
    <w:nsid w:val="4FB53CB2"/>
    <w:multiLevelType w:val="singleLevel"/>
    <w:tmpl w:val="4FB53CB2"/>
    <w:lvl w:ilvl="0" w:tentative="0">
      <w:start w:val="1"/>
      <w:numFmt w:val="decimal"/>
      <w:lvlText w:val="%1."/>
      <w:lvlJc w:val="left"/>
      <w:pPr>
        <w:ind w:left="425" w:hanging="425"/>
      </w:pPr>
      <w:rPr>
        <w:rFonts w:hint="default"/>
      </w:rPr>
    </w:lvl>
  </w:abstractNum>
  <w:abstractNum w:abstractNumId="42">
    <w:nsid w:val="51FA1A31"/>
    <w:multiLevelType w:val="multilevel"/>
    <w:tmpl w:val="51FA1A31"/>
    <w:lvl w:ilvl="0" w:tentative="0">
      <w:start w:val="1"/>
      <w:numFmt w:val="japaneseCounting"/>
      <w:pStyle w:val="12"/>
      <w:lvlText w:val="%1、"/>
      <w:lvlJc w:val="left"/>
      <w:pPr>
        <w:tabs>
          <w:tab w:val="left" w:pos="720"/>
        </w:tabs>
        <w:ind w:left="720" w:hanging="72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43">
    <w:nsid w:val="528201DB"/>
    <w:multiLevelType w:val="multilevel"/>
    <w:tmpl w:val="528201DB"/>
    <w:lvl w:ilvl="0" w:tentative="0">
      <w:start w:val="1"/>
      <w:numFmt w:val="chineseCountingThousand"/>
      <w:lvlText w:val="第%1章"/>
      <w:lvlJc w:val="left"/>
      <w:pPr>
        <w:ind w:left="440" w:hanging="440"/>
      </w:pPr>
      <w:rPr>
        <w:rFonts w:hint="eastAsia"/>
      </w:r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44">
    <w:nsid w:val="59748CF4"/>
    <w:multiLevelType w:val="multilevel"/>
    <w:tmpl w:val="59748CF4"/>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5">
    <w:nsid w:val="5E191453"/>
    <w:multiLevelType w:val="singleLevel"/>
    <w:tmpl w:val="5E191453"/>
    <w:lvl w:ilvl="0" w:tentative="0">
      <w:start w:val="1"/>
      <w:numFmt w:val="chineseCounting"/>
      <w:suff w:val="nothing"/>
      <w:lvlText w:val="%1、"/>
      <w:lvlJc w:val="left"/>
      <w:rPr>
        <w:rFonts w:hint="eastAsia"/>
      </w:rPr>
    </w:lvl>
  </w:abstractNum>
  <w:abstractNum w:abstractNumId="46">
    <w:nsid w:val="601CDA0F"/>
    <w:multiLevelType w:val="singleLevel"/>
    <w:tmpl w:val="601CDA0F"/>
    <w:lvl w:ilvl="0" w:tentative="0">
      <w:start w:val="1"/>
      <w:numFmt w:val="decimal"/>
      <w:lvlText w:val="%1."/>
      <w:lvlJc w:val="left"/>
      <w:pPr>
        <w:ind w:left="425" w:hanging="425"/>
      </w:pPr>
      <w:rPr>
        <w:rFonts w:hint="default"/>
      </w:rPr>
    </w:lvl>
  </w:abstractNum>
  <w:abstractNum w:abstractNumId="47">
    <w:nsid w:val="609E9CC3"/>
    <w:multiLevelType w:val="singleLevel"/>
    <w:tmpl w:val="609E9CC3"/>
    <w:lvl w:ilvl="0" w:tentative="0">
      <w:start w:val="1"/>
      <w:numFmt w:val="decimal"/>
      <w:lvlText w:val="%1."/>
      <w:lvlJc w:val="left"/>
      <w:pPr>
        <w:ind w:left="425" w:hanging="425"/>
      </w:pPr>
      <w:rPr>
        <w:rFonts w:hint="default"/>
      </w:rPr>
    </w:lvl>
  </w:abstractNum>
  <w:abstractNum w:abstractNumId="48">
    <w:nsid w:val="6AB019D5"/>
    <w:multiLevelType w:val="singleLevel"/>
    <w:tmpl w:val="6AB019D5"/>
    <w:lvl w:ilvl="0" w:tentative="0">
      <w:start w:val="4"/>
      <w:numFmt w:val="decimal"/>
      <w:lvlText w:val="%1."/>
      <w:lvlJc w:val="left"/>
      <w:pPr>
        <w:tabs>
          <w:tab w:val="left" w:pos="312"/>
        </w:tabs>
      </w:pPr>
    </w:lvl>
  </w:abstractNum>
  <w:abstractNum w:abstractNumId="49">
    <w:nsid w:val="75CC31BA"/>
    <w:multiLevelType w:val="singleLevel"/>
    <w:tmpl w:val="75CC31BA"/>
    <w:lvl w:ilvl="0" w:tentative="0">
      <w:start w:val="1"/>
      <w:numFmt w:val="decimal"/>
      <w:lvlText w:val="%1."/>
      <w:lvlJc w:val="left"/>
      <w:pPr>
        <w:ind w:left="425" w:hanging="425"/>
      </w:pPr>
      <w:rPr>
        <w:rFonts w:hint="default"/>
      </w:rPr>
    </w:lvl>
  </w:abstractNum>
  <w:abstractNum w:abstractNumId="50">
    <w:nsid w:val="7EAA6101"/>
    <w:multiLevelType w:val="singleLevel"/>
    <w:tmpl w:val="7EAA6101"/>
    <w:lvl w:ilvl="0" w:tentative="0">
      <w:start w:val="1"/>
      <w:numFmt w:val="decimal"/>
      <w:suff w:val="nothing"/>
      <w:lvlText w:val="%1."/>
      <w:lvlJc w:val="left"/>
      <w:pPr>
        <w:ind w:left="454" w:hanging="454"/>
      </w:pPr>
      <w:rPr>
        <w:rFonts w:hint="default"/>
      </w:rPr>
    </w:lvl>
  </w:abstractNum>
  <w:abstractNum w:abstractNumId="51">
    <w:nsid w:val="7EEEC8A2"/>
    <w:multiLevelType w:val="singleLevel"/>
    <w:tmpl w:val="7EEEC8A2"/>
    <w:lvl w:ilvl="0" w:tentative="0">
      <w:start w:val="1"/>
      <w:numFmt w:val="decimal"/>
      <w:suff w:val="nothing"/>
      <w:lvlText w:val="（%1）"/>
      <w:lvlJc w:val="left"/>
    </w:lvl>
  </w:abstractNum>
  <w:abstractNum w:abstractNumId="52">
    <w:nsid w:val="7EFF6BE9"/>
    <w:multiLevelType w:val="multilevel"/>
    <w:tmpl w:val="7EFF6BE9"/>
    <w:lvl w:ilvl="0" w:tentative="0">
      <w:start w:val="2"/>
      <w:numFmt w:val="decimal"/>
      <w:suff w:val="space"/>
      <w:lvlText w:val="%1."/>
      <w:lvlJc w:val="left"/>
      <w:pPr>
        <w:ind w:left="0" w:firstLine="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num w:numId="1">
    <w:abstractNumId w:val="42"/>
  </w:num>
  <w:num w:numId="2">
    <w:abstractNumId w:val="17"/>
  </w:num>
  <w:num w:numId="3">
    <w:abstractNumId w:val="43"/>
  </w:num>
  <w:num w:numId="4">
    <w:abstractNumId w:val="40"/>
  </w:num>
  <w:num w:numId="5">
    <w:abstractNumId w:val="33"/>
  </w:num>
  <w:num w:numId="6">
    <w:abstractNumId w:val="35"/>
  </w:num>
  <w:num w:numId="7">
    <w:abstractNumId w:val="15"/>
  </w:num>
  <w:num w:numId="8">
    <w:abstractNumId w:val="22"/>
  </w:num>
  <w:num w:numId="9">
    <w:abstractNumId w:val="24"/>
  </w:num>
  <w:num w:numId="10">
    <w:abstractNumId w:val="26"/>
  </w:num>
  <w:num w:numId="11">
    <w:abstractNumId w:val="44"/>
  </w:num>
  <w:num w:numId="12">
    <w:abstractNumId w:val="38"/>
  </w:num>
  <w:num w:numId="13">
    <w:abstractNumId w:val="28"/>
  </w:num>
  <w:num w:numId="14">
    <w:abstractNumId w:val="23"/>
  </w:num>
  <w:num w:numId="15">
    <w:abstractNumId w:val="20"/>
  </w:num>
  <w:num w:numId="16">
    <w:abstractNumId w:val="25"/>
  </w:num>
  <w:num w:numId="17">
    <w:abstractNumId w:val="21"/>
  </w:num>
  <w:num w:numId="18">
    <w:abstractNumId w:val="19"/>
  </w:num>
  <w:num w:numId="19">
    <w:abstractNumId w:val="18"/>
  </w:num>
  <w:num w:numId="20">
    <w:abstractNumId w:val="32"/>
  </w:num>
  <w:num w:numId="21">
    <w:abstractNumId w:val="6"/>
  </w:num>
  <w:num w:numId="22">
    <w:abstractNumId w:val="50"/>
  </w:num>
  <w:num w:numId="23">
    <w:abstractNumId w:val="10"/>
  </w:num>
  <w:num w:numId="24">
    <w:abstractNumId w:val="48"/>
  </w:num>
  <w:num w:numId="25">
    <w:abstractNumId w:val="39"/>
  </w:num>
  <w:num w:numId="26">
    <w:abstractNumId w:val="41"/>
  </w:num>
  <w:num w:numId="27">
    <w:abstractNumId w:val="9"/>
  </w:num>
  <w:num w:numId="28">
    <w:abstractNumId w:val="13"/>
  </w:num>
  <w:num w:numId="29">
    <w:abstractNumId w:val="27"/>
  </w:num>
  <w:num w:numId="30">
    <w:abstractNumId w:val="0"/>
  </w:num>
  <w:num w:numId="31">
    <w:abstractNumId w:val="3"/>
  </w:num>
  <w:num w:numId="32">
    <w:abstractNumId w:val="47"/>
  </w:num>
  <w:num w:numId="33">
    <w:abstractNumId w:val="29"/>
  </w:num>
  <w:num w:numId="34">
    <w:abstractNumId w:val="2"/>
  </w:num>
  <w:num w:numId="35">
    <w:abstractNumId w:val="8"/>
  </w:num>
  <w:num w:numId="36">
    <w:abstractNumId w:val="46"/>
  </w:num>
  <w:num w:numId="37">
    <w:abstractNumId w:val="49"/>
  </w:num>
  <w:num w:numId="38">
    <w:abstractNumId w:val="5"/>
  </w:num>
  <w:num w:numId="39">
    <w:abstractNumId w:val="31"/>
  </w:num>
  <w:num w:numId="40">
    <w:abstractNumId w:val="1"/>
  </w:num>
  <w:num w:numId="41">
    <w:abstractNumId w:val="34"/>
  </w:num>
  <w:num w:numId="42">
    <w:abstractNumId w:val="36"/>
  </w:num>
  <w:num w:numId="43">
    <w:abstractNumId w:val="30"/>
  </w:num>
  <w:num w:numId="44">
    <w:abstractNumId w:val="4"/>
  </w:num>
  <w:num w:numId="45">
    <w:abstractNumId w:val="14"/>
  </w:num>
  <w:num w:numId="46">
    <w:abstractNumId w:val="12"/>
  </w:num>
  <w:num w:numId="47">
    <w:abstractNumId w:val="52"/>
  </w:num>
  <w:num w:numId="48">
    <w:abstractNumId w:val="11"/>
  </w:num>
  <w:num w:numId="49">
    <w:abstractNumId w:val="7"/>
  </w:num>
  <w:num w:numId="50">
    <w:abstractNumId w:val="16"/>
  </w:num>
  <w:num w:numId="51">
    <w:abstractNumId w:val="37"/>
  </w:num>
  <w:num w:numId="52">
    <w:abstractNumId w:val="51"/>
  </w:num>
  <w:num w:numId="53">
    <w:abstractNumId w:val="4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hideSpellingErrors/>
  <w:documentProtection w:enforcement="0"/>
  <w:defaultTabStop w:val="210"/>
  <w:drawingGridHorizontalSpacing w:val="105"/>
  <w:drawingGridVerticalSpacing w:val="156"/>
  <w:displayHorizontalDrawingGridEvery w:val="1"/>
  <w:displayVerticalDrawingGridEvery w:val="1"/>
  <w:noPunctuationKerning w:val="1"/>
  <w:characterSpacingControl w:val="compressPunctuation"/>
  <w:hdrShapeDefaults>
    <o:shapelayout v:ext="edit">
      <o:idmap v:ext="edit" data="3"/>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JlMTYyNTAxYWM3MWI0NzliODIyODNmMjdmN2NhNGEifQ=="/>
  </w:docVars>
  <w:rsids>
    <w:rsidRoot w:val="00172A27"/>
    <w:rsid w:val="00000868"/>
    <w:rsid w:val="00002FF3"/>
    <w:rsid w:val="00003C3C"/>
    <w:rsid w:val="000044F4"/>
    <w:rsid w:val="00005826"/>
    <w:rsid w:val="000058A3"/>
    <w:rsid w:val="00005B6A"/>
    <w:rsid w:val="0000613F"/>
    <w:rsid w:val="00006676"/>
    <w:rsid w:val="00010B34"/>
    <w:rsid w:val="00010C33"/>
    <w:rsid w:val="00010C43"/>
    <w:rsid w:val="00011214"/>
    <w:rsid w:val="000112E4"/>
    <w:rsid w:val="00011499"/>
    <w:rsid w:val="000119C5"/>
    <w:rsid w:val="00011B6C"/>
    <w:rsid w:val="00011EDD"/>
    <w:rsid w:val="00012135"/>
    <w:rsid w:val="00012EA4"/>
    <w:rsid w:val="00014435"/>
    <w:rsid w:val="00015C8C"/>
    <w:rsid w:val="00016F84"/>
    <w:rsid w:val="000170F5"/>
    <w:rsid w:val="00017123"/>
    <w:rsid w:val="0001712E"/>
    <w:rsid w:val="0001791B"/>
    <w:rsid w:val="00020A3B"/>
    <w:rsid w:val="00022A41"/>
    <w:rsid w:val="00023664"/>
    <w:rsid w:val="00023F05"/>
    <w:rsid w:val="0002437A"/>
    <w:rsid w:val="000248E6"/>
    <w:rsid w:val="00024B81"/>
    <w:rsid w:val="00025EE2"/>
    <w:rsid w:val="0003103E"/>
    <w:rsid w:val="00031953"/>
    <w:rsid w:val="00033451"/>
    <w:rsid w:val="00034D4D"/>
    <w:rsid w:val="00037CD8"/>
    <w:rsid w:val="0004008C"/>
    <w:rsid w:val="000401D5"/>
    <w:rsid w:val="000417EE"/>
    <w:rsid w:val="00042977"/>
    <w:rsid w:val="00042AFD"/>
    <w:rsid w:val="00042CE5"/>
    <w:rsid w:val="00043120"/>
    <w:rsid w:val="00043142"/>
    <w:rsid w:val="000445D4"/>
    <w:rsid w:val="00044AF0"/>
    <w:rsid w:val="000462B4"/>
    <w:rsid w:val="0004692F"/>
    <w:rsid w:val="00047527"/>
    <w:rsid w:val="0005068E"/>
    <w:rsid w:val="0005070C"/>
    <w:rsid w:val="00050ADC"/>
    <w:rsid w:val="000518B8"/>
    <w:rsid w:val="00051FC1"/>
    <w:rsid w:val="00052F01"/>
    <w:rsid w:val="00054E1D"/>
    <w:rsid w:val="00054EDA"/>
    <w:rsid w:val="00055D20"/>
    <w:rsid w:val="00060047"/>
    <w:rsid w:val="00061917"/>
    <w:rsid w:val="000623FD"/>
    <w:rsid w:val="00062852"/>
    <w:rsid w:val="0006298F"/>
    <w:rsid w:val="000631C3"/>
    <w:rsid w:val="00063364"/>
    <w:rsid w:val="000636F8"/>
    <w:rsid w:val="000637C7"/>
    <w:rsid w:val="00063F1A"/>
    <w:rsid w:val="00064222"/>
    <w:rsid w:val="00065016"/>
    <w:rsid w:val="00065168"/>
    <w:rsid w:val="0006534E"/>
    <w:rsid w:val="00065769"/>
    <w:rsid w:val="000658A9"/>
    <w:rsid w:val="00065BD4"/>
    <w:rsid w:val="00066093"/>
    <w:rsid w:val="000662AD"/>
    <w:rsid w:val="00066842"/>
    <w:rsid w:val="0007024A"/>
    <w:rsid w:val="00070975"/>
    <w:rsid w:val="000709B0"/>
    <w:rsid w:val="000718A7"/>
    <w:rsid w:val="00072638"/>
    <w:rsid w:val="0007340F"/>
    <w:rsid w:val="000736C9"/>
    <w:rsid w:val="00073C4C"/>
    <w:rsid w:val="00074B98"/>
    <w:rsid w:val="00074E55"/>
    <w:rsid w:val="00074FC4"/>
    <w:rsid w:val="00076500"/>
    <w:rsid w:val="0007718F"/>
    <w:rsid w:val="0007759B"/>
    <w:rsid w:val="0008057D"/>
    <w:rsid w:val="0008113B"/>
    <w:rsid w:val="000827C5"/>
    <w:rsid w:val="000856F4"/>
    <w:rsid w:val="00085D08"/>
    <w:rsid w:val="0008643D"/>
    <w:rsid w:val="00086AAA"/>
    <w:rsid w:val="000871CB"/>
    <w:rsid w:val="00087869"/>
    <w:rsid w:val="00087F2C"/>
    <w:rsid w:val="00090411"/>
    <w:rsid w:val="00090857"/>
    <w:rsid w:val="000910FD"/>
    <w:rsid w:val="00091BB2"/>
    <w:rsid w:val="00091D40"/>
    <w:rsid w:val="000928F0"/>
    <w:rsid w:val="00092DE6"/>
    <w:rsid w:val="00093731"/>
    <w:rsid w:val="00093B7D"/>
    <w:rsid w:val="00093EB5"/>
    <w:rsid w:val="000941A5"/>
    <w:rsid w:val="000943B9"/>
    <w:rsid w:val="000945E3"/>
    <w:rsid w:val="00097DEE"/>
    <w:rsid w:val="000A0027"/>
    <w:rsid w:val="000A00E3"/>
    <w:rsid w:val="000A137F"/>
    <w:rsid w:val="000A1BA3"/>
    <w:rsid w:val="000A24D3"/>
    <w:rsid w:val="000A4450"/>
    <w:rsid w:val="000A4B2A"/>
    <w:rsid w:val="000A4FF5"/>
    <w:rsid w:val="000A50C0"/>
    <w:rsid w:val="000A5FDE"/>
    <w:rsid w:val="000A6697"/>
    <w:rsid w:val="000A68CF"/>
    <w:rsid w:val="000A69C1"/>
    <w:rsid w:val="000A7F08"/>
    <w:rsid w:val="000B0797"/>
    <w:rsid w:val="000B0A2D"/>
    <w:rsid w:val="000B26F5"/>
    <w:rsid w:val="000B2E80"/>
    <w:rsid w:val="000B396E"/>
    <w:rsid w:val="000B3A48"/>
    <w:rsid w:val="000B4EDA"/>
    <w:rsid w:val="000B55B1"/>
    <w:rsid w:val="000B56AD"/>
    <w:rsid w:val="000B5A84"/>
    <w:rsid w:val="000B60F2"/>
    <w:rsid w:val="000B617E"/>
    <w:rsid w:val="000C0619"/>
    <w:rsid w:val="000C1788"/>
    <w:rsid w:val="000C1952"/>
    <w:rsid w:val="000C2B7E"/>
    <w:rsid w:val="000C3154"/>
    <w:rsid w:val="000C3CB6"/>
    <w:rsid w:val="000C400E"/>
    <w:rsid w:val="000C4E12"/>
    <w:rsid w:val="000C4F94"/>
    <w:rsid w:val="000C519E"/>
    <w:rsid w:val="000C51E1"/>
    <w:rsid w:val="000C52F4"/>
    <w:rsid w:val="000C6A2F"/>
    <w:rsid w:val="000C6A53"/>
    <w:rsid w:val="000C743A"/>
    <w:rsid w:val="000D0A89"/>
    <w:rsid w:val="000D0CCE"/>
    <w:rsid w:val="000D1BEF"/>
    <w:rsid w:val="000D20F0"/>
    <w:rsid w:val="000D270C"/>
    <w:rsid w:val="000D27DF"/>
    <w:rsid w:val="000D327B"/>
    <w:rsid w:val="000D3375"/>
    <w:rsid w:val="000D3BD8"/>
    <w:rsid w:val="000D3DBC"/>
    <w:rsid w:val="000D3E83"/>
    <w:rsid w:val="000D4E06"/>
    <w:rsid w:val="000D50E9"/>
    <w:rsid w:val="000D568C"/>
    <w:rsid w:val="000D5879"/>
    <w:rsid w:val="000D5A6D"/>
    <w:rsid w:val="000D5BF2"/>
    <w:rsid w:val="000E0758"/>
    <w:rsid w:val="000E1631"/>
    <w:rsid w:val="000E1EB6"/>
    <w:rsid w:val="000E2A99"/>
    <w:rsid w:val="000E43D9"/>
    <w:rsid w:val="000E4833"/>
    <w:rsid w:val="000E5BED"/>
    <w:rsid w:val="000E66F1"/>
    <w:rsid w:val="000E6EF0"/>
    <w:rsid w:val="000F00C6"/>
    <w:rsid w:val="000F200A"/>
    <w:rsid w:val="000F2A44"/>
    <w:rsid w:val="000F2E02"/>
    <w:rsid w:val="000F41DC"/>
    <w:rsid w:val="000F6D7F"/>
    <w:rsid w:val="000F79F2"/>
    <w:rsid w:val="000F7AE1"/>
    <w:rsid w:val="000F7E5B"/>
    <w:rsid w:val="001013E6"/>
    <w:rsid w:val="00101540"/>
    <w:rsid w:val="001029B5"/>
    <w:rsid w:val="001033A9"/>
    <w:rsid w:val="00103BD1"/>
    <w:rsid w:val="00104A23"/>
    <w:rsid w:val="00104CF2"/>
    <w:rsid w:val="00104E7B"/>
    <w:rsid w:val="0010514D"/>
    <w:rsid w:val="001056B0"/>
    <w:rsid w:val="00106C43"/>
    <w:rsid w:val="00106CA0"/>
    <w:rsid w:val="00110781"/>
    <w:rsid w:val="00110D71"/>
    <w:rsid w:val="00111AC6"/>
    <w:rsid w:val="00111C03"/>
    <w:rsid w:val="00111E50"/>
    <w:rsid w:val="00112556"/>
    <w:rsid w:val="00112C9C"/>
    <w:rsid w:val="001132F9"/>
    <w:rsid w:val="001136F2"/>
    <w:rsid w:val="0011455A"/>
    <w:rsid w:val="0011498E"/>
    <w:rsid w:val="00114F25"/>
    <w:rsid w:val="001156CC"/>
    <w:rsid w:val="00116E66"/>
    <w:rsid w:val="00117042"/>
    <w:rsid w:val="001208DB"/>
    <w:rsid w:val="001225F3"/>
    <w:rsid w:val="00124174"/>
    <w:rsid w:val="00124E28"/>
    <w:rsid w:val="00124F3C"/>
    <w:rsid w:val="0012571C"/>
    <w:rsid w:val="00130A08"/>
    <w:rsid w:val="00131164"/>
    <w:rsid w:val="0013190C"/>
    <w:rsid w:val="00131EB3"/>
    <w:rsid w:val="0013283F"/>
    <w:rsid w:val="00132F13"/>
    <w:rsid w:val="0013300D"/>
    <w:rsid w:val="001346DB"/>
    <w:rsid w:val="00134816"/>
    <w:rsid w:val="001351F1"/>
    <w:rsid w:val="0013572E"/>
    <w:rsid w:val="00136E52"/>
    <w:rsid w:val="0014019B"/>
    <w:rsid w:val="001411A8"/>
    <w:rsid w:val="00141AB6"/>
    <w:rsid w:val="001450B3"/>
    <w:rsid w:val="00145999"/>
    <w:rsid w:val="00146142"/>
    <w:rsid w:val="00146849"/>
    <w:rsid w:val="001476FF"/>
    <w:rsid w:val="00147E8D"/>
    <w:rsid w:val="00150C59"/>
    <w:rsid w:val="001512EB"/>
    <w:rsid w:val="00152CF7"/>
    <w:rsid w:val="00153259"/>
    <w:rsid w:val="00154973"/>
    <w:rsid w:val="00155885"/>
    <w:rsid w:val="00155A67"/>
    <w:rsid w:val="0015610D"/>
    <w:rsid w:val="0015639E"/>
    <w:rsid w:val="00156BB0"/>
    <w:rsid w:val="00157136"/>
    <w:rsid w:val="00160124"/>
    <w:rsid w:val="001608DD"/>
    <w:rsid w:val="00160CB6"/>
    <w:rsid w:val="001632A7"/>
    <w:rsid w:val="0016384D"/>
    <w:rsid w:val="00165C8C"/>
    <w:rsid w:val="001663C1"/>
    <w:rsid w:val="001673CF"/>
    <w:rsid w:val="001675CF"/>
    <w:rsid w:val="00171130"/>
    <w:rsid w:val="001714F0"/>
    <w:rsid w:val="00171705"/>
    <w:rsid w:val="00171B2C"/>
    <w:rsid w:val="00172A27"/>
    <w:rsid w:val="001733E6"/>
    <w:rsid w:val="0017424B"/>
    <w:rsid w:val="001749EA"/>
    <w:rsid w:val="00174FD2"/>
    <w:rsid w:val="00175441"/>
    <w:rsid w:val="00175B12"/>
    <w:rsid w:val="00175FF0"/>
    <w:rsid w:val="00176AF1"/>
    <w:rsid w:val="00177277"/>
    <w:rsid w:val="001773D9"/>
    <w:rsid w:val="00177BA4"/>
    <w:rsid w:val="00180135"/>
    <w:rsid w:val="001807AC"/>
    <w:rsid w:val="00180943"/>
    <w:rsid w:val="0018285A"/>
    <w:rsid w:val="00183E56"/>
    <w:rsid w:val="00184421"/>
    <w:rsid w:val="00184955"/>
    <w:rsid w:val="00185BE6"/>
    <w:rsid w:val="00185E3C"/>
    <w:rsid w:val="001862F8"/>
    <w:rsid w:val="00186C73"/>
    <w:rsid w:val="00187CA1"/>
    <w:rsid w:val="001902C8"/>
    <w:rsid w:val="00190A51"/>
    <w:rsid w:val="00191BFD"/>
    <w:rsid w:val="00191C4B"/>
    <w:rsid w:val="001927AF"/>
    <w:rsid w:val="001931D5"/>
    <w:rsid w:val="001942A1"/>
    <w:rsid w:val="00194E79"/>
    <w:rsid w:val="00195029"/>
    <w:rsid w:val="00195EE5"/>
    <w:rsid w:val="001961BA"/>
    <w:rsid w:val="001963C7"/>
    <w:rsid w:val="00196E8A"/>
    <w:rsid w:val="001A3799"/>
    <w:rsid w:val="001A385B"/>
    <w:rsid w:val="001A45C5"/>
    <w:rsid w:val="001A5907"/>
    <w:rsid w:val="001A78E7"/>
    <w:rsid w:val="001A7EF4"/>
    <w:rsid w:val="001B024B"/>
    <w:rsid w:val="001B1462"/>
    <w:rsid w:val="001B1FFE"/>
    <w:rsid w:val="001B31E0"/>
    <w:rsid w:val="001B333B"/>
    <w:rsid w:val="001B3FD9"/>
    <w:rsid w:val="001B4755"/>
    <w:rsid w:val="001B4756"/>
    <w:rsid w:val="001B598A"/>
    <w:rsid w:val="001B6161"/>
    <w:rsid w:val="001C01C4"/>
    <w:rsid w:val="001C084B"/>
    <w:rsid w:val="001C1EF5"/>
    <w:rsid w:val="001C25E7"/>
    <w:rsid w:val="001C2AE0"/>
    <w:rsid w:val="001C2C06"/>
    <w:rsid w:val="001C2E1A"/>
    <w:rsid w:val="001C2F33"/>
    <w:rsid w:val="001C3D07"/>
    <w:rsid w:val="001C3F1B"/>
    <w:rsid w:val="001C572D"/>
    <w:rsid w:val="001C585A"/>
    <w:rsid w:val="001C5F4C"/>
    <w:rsid w:val="001C6AA7"/>
    <w:rsid w:val="001C73FE"/>
    <w:rsid w:val="001D15FA"/>
    <w:rsid w:val="001D3D2D"/>
    <w:rsid w:val="001D544B"/>
    <w:rsid w:val="001D60F8"/>
    <w:rsid w:val="001D6432"/>
    <w:rsid w:val="001D6A6D"/>
    <w:rsid w:val="001D6C3A"/>
    <w:rsid w:val="001D7E86"/>
    <w:rsid w:val="001E0DAD"/>
    <w:rsid w:val="001E0EB3"/>
    <w:rsid w:val="001E14EA"/>
    <w:rsid w:val="001E1800"/>
    <w:rsid w:val="001E2F45"/>
    <w:rsid w:val="001E31F8"/>
    <w:rsid w:val="001E3CC4"/>
    <w:rsid w:val="001E3F99"/>
    <w:rsid w:val="001E3FCE"/>
    <w:rsid w:val="001E4167"/>
    <w:rsid w:val="001E69F0"/>
    <w:rsid w:val="001E7E5E"/>
    <w:rsid w:val="001F02A5"/>
    <w:rsid w:val="001F2692"/>
    <w:rsid w:val="001F32E4"/>
    <w:rsid w:val="001F3E69"/>
    <w:rsid w:val="001F5A4E"/>
    <w:rsid w:val="001F6A15"/>
    <w:rsid w:val="001F6F1B"/>
    <w:rsid w:val="001F7336"/>
    <w:rsid w:val="001F7997"/>
    <w:rsid w:val="002001BC"/>
    <w:rsid w:val="002004C0"/>
    <w:rsid w:val="00200E8E"/>
    <w:rsid w:val="002012BC"/>
    <w:rsid w:val="002031F7"/>
    <w:rsid w:val="002033CF"/>
    <w:rsid w:val="00203AEA"/>
    <w:rsid w:val="00203D55"/>
    <w:rsid w:val="00204712"/>
    <w:rsid w:val="00205048"/>
    <w:rsid w:val="00205E7B"/>
    <w:rsid w:val="00206B06"/>
    <w:rsid w:val="00210F56"/>
    <w:rsid w:val="00211484"/>
    <w:rsid w:val="002116AA"/>
    <w:rsid w:val="00211B35"/>
    <w:rsid w:val="00211F5E"/>
    <w:rsid w:val="00212194"/>
    <w:rsid w:val="002124CB"/>
    <w:rsid w:val="00214014"/>
    <w:rsid w:val="0021426B"/>
    <w:rsid w:val="00214DBF"/>
    <w:rsid w:val="00214F3B"/>
    <w:rsid w:val="00215023"/>
    <w:rsid w:val="00215167"/>
    <w:rsid w:val="00215261"/>
    <w:rsid w:val="0021582A"/>
    <w:rsid w:val="00216784"/>
    <w:rsid w:val="00216A4B"/>
    <w:rsid w:val="00216AF8"/>
    <w:rsid w:val="002172A3"/>
    <w:rsid w:val="00220675"/>
    <w:rsid w:val="00221007"/>
    <w:rsid w:val="002214C3"/>
    <w:rsid w:val="00221609"/>
    <w:rsid w:val="00221DE0"/>
    <w:rsid w:val="002237F5"/>
    <w:rsid w:val="0022478F"/>
    <w:rsid w:val="00225B70"/>
    <w:rsid w:val="0022638E"/>
    <w:rsid w:val="002266AF"/>
    <w:rsid w:val="0022764B"/>
    <w:rsid w:val="00227A92"/>
    <w:rsid w:val="00227AE7"/>
    <w:rsid w:val="002310E4"/>
    <w:rsid w:val="00231165"/>
    <w:rsid w:val="002321B2"/>
    <w:rsid w:val="00232EC1"/>
    <w:rsid w:val="002331D8"/>
    <w:rsid w:val="0023367C"/>
    <w:rsid w:val="0023556C"/>
    <w:rsid w:val="0023594C"/>
    <w:rsid w:val="0023705C"/>
    <w:rsid w:val="0023766E"/>
    <w:rsid w:val="002376CA"/>
    <w:rsid w:val="002402E9"/>
    <w:rsid w:val="002402FA"/>
    <w:rsid w:val="00240907"/>
    <w:rsid w:val="002437FB"/>
    <w:rsid w:val="00245739"/>
    <w:rsid w:val="002460E2"/>
    <w:rsid w:val="0024712C"/>
    <w:rsid w:val="00250561"/>
    <w:rsid w:val="00251501"/>
    <w:rsid w:val="002516E8"/>
    <w:rsid w:val="00251DDD"/>
    <w:rsid w:val="0025248F"/>
    <w:rsid w:val="00254D47"/>
    <w:rsid w:val="0025571D"/>
    <w:rsid w:val="00255D0F"/>
    <w:rsid w:val="002567FE"/>
    <w:rsid w:val="00257251"/>
    <w:rsid w:val="00257697"/>
    <w:rsid w:val="0026014A"/>
    <w:rsid w:val="00260DF2"/>
    <w:rsid w:val="00261255"/>
    <w:rsid w:val="00261E62"/>
    <w:rsid w:val="0026292E"/>
    <w:rsid w:val="00262A3A"/>
    <w:rsid w:val="00263176"/>
    <w:rsid w:val="0026386E"/>
    <w:rsid w:val="00263F84"/>
    <w:rsid w:val="00265959"/>
    <w:rsid w:val="00266055"/>
    <w:rsid w:val="00266D9C"/>
    <w:rsid w:val="0026746C"/>
    <w:rsid w:val="002705BE"/>
    <w:rsid w:val="00270CF7"/>
    <w:rsid w:val="00270F20"/>
    <w:rsid w:val="00271A16"/>
    <w:rsid w:val="00272EC3"/>
    <w:rsid w:val="00273015"/>
    <w:rsid w:val="0027337F"/>
    <w:rsid w:val="002740AC"/>
    <w:rsid w:val="00274258"/>
    <w:rsid w:val="00274F22"/>
    <w:rsid w:val="00275002"/>
    <w:rsid w:val="002752CD"/>
    <w:rsid w:val="002754FB"/>
    <w:rsid w:val="00276170"/>
    <w:rsid w:val="00276513"/>
    <w:rsid w:val="00276831"/>
    <w:rsid w:val="00277087"/>
    <w:rsid w:val="002800F9"/>
    <w:rsid w:val="00281184"/>
    <w:rsid w:val="00281E16"/>
    <w:rsid w:val="00284911"/>
    <w:rsid w:val="0028553D"/>
    <w:rsid w:val="0028590F"/>
    <w:rsid w:val="00285C6B"/>
    <w:rsid w:val="00285F68"/>
    <w:rsid w:val="0028632D"/>
    <w:rsid w:val="002864B8"/>
    <w:rsid w:val="0029034A"/>
    <w:rsid w:val="00290975"/>
    <w:rsid w:val="00291CAD"/>
    <w:rsid w:val="00292D2B"/>
    <w:rsid w:val="00292EB5"/>
    <w:rsid w:val="00293A0B"/>
    <w:rsid w:val="00293C17"/>
    <w:rsid w:val="0029485F"/>
    <w:rsid w:val="002965D8"/>
    <w:rsid w:val="002969BB"/>
    <w:rsid w:val="002975DF"/>
    <w:rsid w:val="002A0BA9"/>
    <w:rsid w:val="002A0E86"/>
    <w:rsid w:val="002A3104"/>
    <w:rsid w:val="002A38E9"/>
    <w:rsid w:val="002A43F8"/>
    <w:rsid w:val="002A49EB"/>
    <w:rsid w:val="002A50EB"/>
    <w:rsid w:val="002A521B"/>
    <w:rsid w:val="002A5FDC"/>
    <w:rsid w:val="002A607A"/>
    <w:rsid w:val="002A62CD"/>
    <w:rsid w:val="002A6348"/>
    <w:rsid w:val="002A673A"/>
    <w:rsid w:val="002B0D8A"/>
    <w:rsid w:val="002B1FD9"/>
    <w:rsid w:val="002B42DB"/>
    <w:rsid w:val="002B463C"/>
    <w:rsid w:val="002B5094"/>
    <w:rsid w:val="002B5AE8"/>
    <w:rsid w:val="002B5C0A"/>
    <w:rsid w:val="002B7121"/>
    <w:rsid w:val="002B73C5"/>
    <w:rsid w:val="002B7B97"/>
    <w:rsid w:val="002B7CC9"/>
    <w:rsid w:val="002C1C27"/>
    <w:rsid w:val="002C201B"/>
    <w:rsid w:val="002C2BFF"/>
    <w:rsid w:val="002C2C79"/>
    <w:rsid w:val="002C2D68"/>
    <w:rsid w:val="002C3195"/>
    <w:rsid w:val="002C3490"/>
    <w:rsid w:val="002C4048"/>
    <w:rsid w:val="002C4195"/>
    <w:rsid w:val="002C4CA1"/>
    <w:rsid w:val="002C5362"/>
    <w:rsid w:val="002C5920"/>
    <w:rsid w:val="002C6433"/>
    <w:rsid w:val="002C723B"/>
    <w:rsid w:val="002C7739"/>
    <w:rsid w:val="002D0334"/>
    <w:rsid w:val="002D1096"/>
    <w:rsid w:val="002D30D0"/>
    <w:rsid w:val="002D3A29"/>
    <w:rsid w:val="002D3DE7"/>
    <w:rsid w:val="002D3F86"/>
    <w:rsid w:val="002D40B4"/>
    <w:rsid w:val="002D4599"/>
    <w:rsid w:val="002D4C6E"/>
    <w:rsid w:val="002D4E6B"/>
    <w:rsid w:val="002D62B8"/>
    <w:rsid w:val="002D6ED5"/>
    <w:rsid w:val="002D7401"/>
    <w:rsid w:val="002D7E08"/>
    <w:rsid w:val="002E3DB0"/>
    <w:rsid w:val="002E4582"/>
    <w:rsid w:val="002E49D7"/>
    <w:rsid w:val="002E608E"/>
    <w:rsid w:val="002E6D2B"/>
    <w:rsid w:val="002E77A8"/>
    <w:rsid w:val="002E7AFC"/>
    <w:rsid w:val="002E7E1D"/>
    <w:rsid w:val="002F0A31"/>
    <w:rsid w:val="002F0B10"/>
    <w:rsid w:val="002F0B85"/>
    <w:rsid w:val="002F0E92"/>
    <w:rsid w:val="002F22D6"/>
    <w:rsid w:val="002F2BD2"/>
    <w:rsid w:val="002F34C0"/>
    <w:rsid w:val="002F46AD"/>
    <w:rsid w:val="002F6D21"/>
    <w:rsid w:val="003018D6"/>
    <w:rsid w:val="003023D9"/>
    <w:rsid w:val="00302A82"/>
    <w:rsid w:val="003034C4"/>
    <w:rsid w:val="00303B30"/>
    <w:rsid w:val="00306065"/>
    <w:rsid w:val="003070E6"/>
    <w:rsid w:val="00307F23"/>
    <w:rsid w:val="00311907"/>
    <w:rsid w:val="00311A5D"/>
    <w:rsid w:val="00312FB3"/>
    <w:rsid w:val="003146C2"/>
    <w:rsid w:val="00314A13"/>
    <w:rsid w:val="00314F8A"/>
    <w:rsid w:val="003158C1"/>
    <w:rsid w:val="00315A4D"/>
    <w:rsid w:val="003163D4"/>
    <w:rsid w:val="00316CBA"/>
    <w:rsid w:val="00320024"/>
    <w:rsid w:val="0032517A"/>
    <w:rsid w:val="00326152"/>
    <w:rsid w:val="00326214"/>
    <w:rsid w:val="0032659B"/>
    <w:rsid w:val="00326C39"/>
    <w:rsid w:val="00326F34"/>
    <w:rsid w:val="0032700B"/>
    <w:rsid w:val="00327B44"/>
    <w:rsid w:val="00330637"/>
    <w:rsid w:val="00331439"/>
    <w:rsid w:val="00331A53"/>
    <w:rsid w:val="0033382F"/>
    <w:rsid w:val="003344FD"/>
    <w:rsid w:val="0033557B"/>
    <w:rsid w:val="00335C7B"/>
    <w:rsid w:val="00336995"/>
    <w:rsid w:val="00336D40"/>
    <w:rsid w:val="0033750D"/>
    <w:rsid w:val="003375B0"/>
    <w:rsid w:val="00337665"/>
    <w:rsid w:val="00340753"/>
    <w:rsid w:val="00340EF0"/>
    <w:rsid w:val="00341BA6"/>
    <w:rsid w:val="00341BAB"/>
    <w:rsid w:val="0034299D"/>
    <w:rsid w:val="003446A7"/>
    <w:rsid w:val="00344D19"/>
    <w:rsid w:val="0034565D"/>
    <w:rsid w:val="003462B2"/>
    <w:rsid w:val="003471ED"/>
    <w:rsid w:val="003476F2"/>
    <w:rsid w:val="003506C4"/>
    <w:rsid w:val="00350FAA"/>
    <w:rsid w:val="00351ED6"/>
    <w:rsid w:val="00351FA7"/>
    <w:rsid w:val="0035270E"/>
    <w:rsid w:val="003527C4"/>
    <w:rsid w:val="003539B1"/>
    <w:rsid w:val="00353D48"/>
    <w:rsid w:val="00353D4B"/>
    <w:rsid w:val="00354333"/>
    <w:rsid w:val="00357213"/>
    <w:rsid w:val="00360259"/>
    <w:rsid w:val="00360275"/>
    <w:rsid w:val="00360E95"/>
    <w:rsid w:val="00361B16"/>
    <w:rsid w:val="00361F22"/>
    <w:rsid w:val="00362B9B"/>
    <w:rsid w:val="0036390A"/>
    <w:rsid w:val="003641DE"/>
    <w:rsid w:val="00364868"/>
    <w:rsid w:val="00364900"/>
    <w:rsid w:val="00367043"/>
    <w:rsid w:val="00367868"/>
    <w:rsid w:val="00367B84"/>
    <w:rsid w:val="003705EE"/>
    <w:rsid w:val="003726C9"/>
    <w:rsid w:val="00374661"/>
    <w:rsid w:val="00374AFA"/>
    <w:rsid w:val="0037688E"/>
    <w:rsid w:val="00376CC4"/>
    <w:rsid w:val="00377F2B"/>
    <w:rsid w:val="003809B7"/>
    <w:rsid w:val="00381803"/>
    <w:rsid w:val="00381AD9"/>
    <w:rsid w:val="00382685"/>
    <w:rsid w:val="0038284F"/>
    <w:rsid w:val="00382D2E"/>
    <w:rsid w:val="003831B5"/>
    <w:rsid w:val="003833E2"/>
    <w:rsid w:val="00383CBF"/>
    <w:rsid w:val="00384211"/>
    <w:rsid w:val="003857B1"/>
    <w:rsid w:val="003859CB"/>
    <w:rsid w:val="0038631D"/>
    <w:rsid w:val="00387D98"/>
    <w:rsid w:val="00390E68"/>
    <w:rsid w:val="00391146"/>
    <w:rsid w:val="0039180D"/>
    <w:rsid w:val="00391BCF"/>
    <w:rsid w:val="00391E5A"/>
    <w:rsid w:val="00393A7B"/>
    <w:rsid w:val="00393B51"/>
    <w:rsid w:val="003940A9"/>
    <w:rsid w:val="003945FE"/>
    <w:rsid w:val="00394AE3"/>
    <w:rsid w:val="00394C27"/>
    <w:rsid w:val="00395629"/>
    <w:rsid w:val="00397632"/>
    <w:rsid w:val="00397A22"/>
    <w:rsid w:val="003A35DE"/>
    <w:rsid w:val="003A368B"/>
    <w:rsid w:val="003A3D0C"/>
    <w:rsid w:val="003A55E2"/>
    <w:rsid w:val="003A65FE"/>
    <w:rsid w:val="003A7D8E"/>
    <w:rsid w:val="003B0C2A"/>
    <w:rsid w:val="003B130E"/>
    <w:rsid w:val="003B1D8D"/>
    <w:rsid w:val="003B296C"/>
    <w:rsid w:val="003B679F"/>
    <w:rsid w:val="003C2E82"/>
    <w:rsid w:val="003C38D2"/>
    <w:rsid w:val="003C3D88"/>
    <w:rsid w:val="003C4C6A"/>
    <w:rsid w:val="003C524D"/>
    <w:rsid w:val="003C542B"/>
    <w:rsid w:val="003C6088"/>
    <w:rsid w:val="003C6925"/>
    <w:rsid w:val="003C6F5B"/>
    <w:rsid w:val="003C704B"/>
    <w:rsid w:val="003C7C88"/>
    <w:rsid w:val="003C7DC6"/>
    <w:rsid w:val="003D1D29"/>
    <w:rsid w:val="003D1E74"/>
    <w:rsid w:val="003D28FF"/>
    <w:rsid w:val="003D38BD"/>
    <w:rsid w:val="003D3F8F"/>
    <w:rsid w:val="003D44ED"/>
    <w:rsid w:val="003D4CBC"/>
    <w:rsid w:val="003D5D5C"/>
    <w:rsid w:val="003D609A"/>
    <w:rsid w:val="003D7B96"/>
    <w:rsid w:val="003E2089"/>
    <w:rsid w:val="003E25C9"/>
    <w:rsid w:val="003E3291"/>
    <w:rsid w:val="003E4A05"/>
    <w:rsid w:val="003E5218"/>
    <w:rsid w:val="003E62A6"/>
    <w:rsid w:val="003E62FC"/>
    <w:rsid w:val="003E6BD1"/>
    <w:rsid w:val="003F00F1"/>
    <w:rsid w:val="003F0752"/>
    <w:rsid w:val="003F08DD"/>
    <w:rsid w:val="003F095C"/>
    <w:rsid w:val="003F32EA"/>
    <w:rsid w:val="003F3578"/>
    <w:rsid w:val="003F361B"/>
    <w:rsid w:val="003F47CC"/>
    <w:rsid w:val="003F4E9D"/>
    <w:rsid w:val="003F6C99"/>
    <w:rsid w:val="003F7B60"/>
    <w:rsid w:val="00401095"/>
    <w:rsid w:val="00401627"/>
    <w:rsid w:val="00401A1A"/>
    <w:rsid w:val="00403750"/>
    <w:rsid w:val="00404445"/>
    <w:rsid w:val="00404C20"/>
    <w:rsid w:val="0040547F"/>
    <w:rsid w:val="00405A91"/>
    <w:rsid w:val="00405C98"/>
    <w:rsid w:val="00407122"/>
    <w:rsid w:val="004101FC"/>
    <w:rsid w:val="00410F2A"/>
    <w:rsid w:val="00410FAF"/>
    <w:rsid w:val="004114AA"/>
    <w:rsid w:val="00411983"/>
    <w:rsid w:val="00412095"/>
    <w:rsid w:val="0041237D"/>
    <w:rsid w:val="00412CD1"/>
    <w:rsid w:val="00412DD5"/>
    <w:rsid w:val="004132A9"/>
    <w:rsid w:val="00413F4C"/>
    <w:rsid w:val="004143DF"/>
    <w:rsid w:val="00414BA7"/>
    <w:rsid w:val="00415698"/>
    <w:rsid w:val="004156B5"/>
    <w:rsid w:val="00417BE9"/>
    <w:rsid w:val="00420F8D"/>
    <w:rsid w:val="004214B5"/>
    <w:rsid w:val="004222FB"/>
    <w:rsid w:val="004225B5"/>
    <w:rsid w:val="004239E0"/>
    <w:rsid w:val="00423ECD"/>
    <w:rsid w:val="00424DDD"/>
    <w:rsid w:val="004250BA"/>
    <w:rsid w:val="00425389"/>
    <w:rsid w:val="004256E8"/>
    <w:rsid w:val="0042608D"/>
    <w:rsid w:val="004267A0"/>
    <w:rsid w:val="004276CF"/>
    <w:rsid w:val="00430674"/>
    <w:rsid w:val="00430924"/>
    <w:rsid w:val="004313B2"/>
    <w:rsid w:val="004317DD"/>
    <w:rsid w:val="00431CF0"/>
    <w:rsid w:val="0043214E"/>
    <w:rsid w:val="00434476"/>
    <w:rsid w:val="00437762"/>
    <w:rsid w:val="00437DEC"/>
    <w:rsid w:val="004400E1"/>
    <w:rsid w:val="00440709"/>
    <w:rsid w:val="004409B0"/>
    <w:rsid w:val="004410F2"/>
    <w:rsid w:val="0044176C"/>
    <w:rsid w:val="004426D3"/>
    <w:rsid w:val="004432C4"/>
    <w:rsid w:val="00443E49"/>
    <w:rsid w:val="00444E81"/>
    <w:rsid w:val="004453B9"/>
    <w:rsid w:val="004461DC"/>
    <w:rsid w:val="004461E1"/>
    <w:rsid w:val="0044646A"/>
    <w:rsid w:val="004466ED"/>
    <w:rsid w:val="00446898"/>
    <w:rsid w:val="00451000"/>
    <w:rsid w:val="00451372"/>
    <w:rsid w:val="004513E9"/>
    <w:rsid w:val="00451D14"/>
    <w:rsid w:val="00451DDB"/>
    <w:rsid w:val="004527FC"/>
    <w:rsid w:val="00453177"/>
    <w:rsid w:val="0045398A"/>
    <w:rsid w:val="00454225"/>
    <w:rsid w:val="00454372"/>
    <w:rsid w:val="004548E3"/>
    <w:rsid w:val="00455FB6"/>
    <w:rsid w:val="00456855"/>
    <w:rsid w:val="00456AB9"/>
    <w:rsid w:val="00456ABD"/>
    <w:rsid w:val="00457046"/>
    <w:rsid w:val="00457252"/>
    <w:rsid w:val="00457A35"/>
    <w:rsid w:val="004600A5"/>
    <w:rsid w:val="00461435"/>
    <w:rsid w:val="0046481C"/>
    <w:rsid w:val="004658A1"/>
    <w:rsid w:val="0046601C"/>
    <w:rsid w:val="0047000B"/>
    <w:rsid w:val="00470411"/>
    <w:rsid w:val="00470989"/>
    <w:rsid w:val="00472A6B"/>
    <w:rsid w:val="004730CD"/>
    <w:rsid w:val="00474734"/>
    <w:rsid w:val="00474BD6"/>
    <w:rsid w:val="004753EA"/>
    <w:rsid w:val="00477067"/>
    <w:rsid w:val="0047764D"/>
    <w:rsid w:val="00477B0A"/>
    <w:rsid w:val="00482362"/>
    <w:rsid w:val="00482E6E"/>
    <w:rsid w:val="00483ACF"/>
    <w:rsid w:val="00483AF6"/>
    <w:rsid w:val="004845BA"/>
    <w:rsid w:val="004851B1"/>
    <w:rsid w:val="00485BEC"/>
    <w:rsid w:val="00487C38"/>
    <w:rsid w:val="00487EA8"/>
    <w:rsid w:val="00490F49"/>
    <w:rsid w:val="00491467"/>
    <w:rsid w:val="00491686"/>
    <w:rsid w:val="00492C3D"/>
    <w:rsid w:val="004935F5"/>
    <w:rsid w:val="00493D52"/>
    <w:rsid w:val="004945C0"/>
    <w:rsid w:val="00495508"/>
    <w:rsid w:val="00496347"/>
    <w:rsid w:val="00497042"/>
    <w:rsid w:val="00497102"/>
    <w:rsid w:val="0049757D"/>
    <w:rsid w:val="004A193D"/>
    <w:rsid w:val="004A29C6"/>
    <w:rsid w:val="004A2E72"/>
    <w:rsid w:val="004A339A"/>
    <w:rsid w:val="004A33C5"/>
    <w:rsid w:val="004A3408"/>
    <w:rsid w:val="004A3427"/>
    <w:rsid w:val="004A35EC"/>
    <w:rsid w:val="004A4160"/>
    <w:rsid w:val="004A55CE"/>
    <w:rsid w:val="004A63AD"/>
    <w:rsid w:val="004A6CD4"/>
    <w:rsid w:val="004A763F"/>
    <w:rsid w:val="004B1146"/>
    <w:rsid w:val="004B46A3"/>
    <w:rsid w:val="004B4B2E"/>
    <w:rsid w:val="004B5BDD"/>
    <w:rsid w:val="004B5C56"/>
    <w:rsid w:val="004B5CC5"/>
    <w:rsid w:val="004B662A"/>
    <w:rsid w:val="004B79C2"/>
    <w:rsid w:val="004C024F"/>
    <w:rsid w:val="004C19B1"/>
    <w:rsid w:val="004C1A50"/>
    <w:rsid w:val="004C1B3D"/>
    <w:rsid w:val="004C3C1F"/>
    <w:rsid w:val="004C4220"/>
    <w:rsid w:val="004C423E"/>
    <w:rsid w:val="004C4F84"/>
    <w:rsid w:val="004C69DC"/>
    <w:rsid w:val="004D07AC"/>
    <w:rsid w:val="004D2A73"/>
    <w:rsid w:val="004D2F82"/>
    <w:rsid w:val="004D3047"/>
    <w:rsid w:val="004D3105"/>
    <w:rsid w:val="004D3900"/>
    <w:rsid w:val="004D4F09"/>
    <w:rsid w:val="004D5556"/>
    <w:rsid w:val="004D688A"/>
    <w:rsid w:val="004D7812"/>
    <w:rsid w:val="004D7E27"/>
    <w:rsid w:val="004E15CA"/>
    <w:rsid w:val="004E180E"/>
    <w:rsid w:val="004E3AAC"/>
    <w:rsid w:val="004E3F53"/>
    <w:rsid w:val="004E443A"/>
    <w:rsid w:val="004E44BE"/>
    <w:rsid w:val="004E49CF"/>
    <w:rsid w:val="004E7026"/>
    <w:rsid w:val="004E7099"/>
    <w:rsid w:val="004E7946"/>
    <w:rsid w:val="004F054E"/>
    <w:rsid w:val="004F35F4"/>
    <w:rsid w:val="004F4D33"/>
    <w:rsid w:val="004F5EEB"/>
    <w:rsid w:val="004F666F"/>
    <w:rsid w:val="004F69A4"/>
    <w:rsid w:val="004F6AAA"/>
    <w:rsid w:val="004F75A8"/>
    <w:rsid w:val="004F77AC"/>
    <w:rsid w:val="004F7EA8"/>
    <w:rsid w:val="0050140C"/>
    <w:rsid w:val="00501FF8"/>
    <w:rsid w:val="00502215"/>
    <w:rsid w:val="00502E02"/>
    <w:rsid w:val="00504332"/>
    <w:rsid w:val="00504E3A"/>
    <w:rsid w:val="00505328"/>
    <w:rsid w:val="00505687"/>
    <w:rsid w:val="005067D2"/>
    <w:rsid w:val="00507566"/>
    <w:rsid w:val="005101D0"/>
    <w:rsid w:val="005101F0"/>
    <w:rsid w:val="0051205B"/>
    <w:rsid w:val="00512076"/>
    <w:rsid w:val="00512C76"/>
    <w:rsid w:val="00512DE6"/>
    <w:rsid w:val="005135C9"/>
    <w:rsid w:val="00513791"/>
    <w:rsid w:val="00513EE1"/>
    <w:rsid w:val="00514286"/>
    <w:rsid w:val="0051455D"/>
    <w:rsid w:val="005145C1"/>
    <w:rsid w:val="005167B7"/>
    <w:rsid w:val="00520BD0"/>
    <w:rsid w:val="00521558"/>
    <w:rsid w:val="00521C1B"/>
    <w:rsid w:val="00521FA8"/>
    <w:rsid w:val="00521FF6"/>
    <w:rsid w:val="005228BE"/>
    <w:rsid w:val="00523056"/>
    <w:rsid w:val="005232C5"/>
    <w:rsid w:val="0052346E"/>
    <w:rsid w:val="005235A4"/>
    <w:rsid w:val="0052607A"/>
    <w:rsid w:val="0052684A"/>
    <w:rsid w:val="00526FB9"/>
    <w:rsid w:val="005277AA"/>
    <w:rsid w:val="00530946"/>
    <w:rsid w:val="005309B4"/>
    <w:rsid w:val="005312BB"/>
    <w:rsid w:val="00531DB4"/>
    <w:rsid w:val="00532778"/>
    <w:rsid w:val="00532B2C"/>
    <w:rsid w:val="0053361C"/>
    <w:rsid w:val="00533812"/>
    <w:rsid w:val="005340B2"/>
    <w:rsid w:val="005344B9"/>
    <w:rsid w:val="005345E9"/>
    <w:rsid w:val="00534B78"/>
    <w:rsid w:val="0053506B"/>
    <w:rsid w:val="00535AFE"/>
    <w:rsid w:val="00536684"/>
    <w:rsid w:val="00536B9E"/>
    <w:rsid w:val="00536FC0"/>
    <w:rsid w:val="00537646"/>
    <w:rsid w:val="00541677"/>
    <w:rsid w:val="00542874"/>
    <w:rsid w:val="005432E2"/>
    <w:rsid w:val="00543984"/>
    <w:rsid w:val="005450F7"/>
    <w:rsid w:val="00545D29"/>
    <w:rsid w:val="0054671E"/>
    <w:rsid w:val="0054707A"/>
    <w:rsid w:val="005471EA"/>
    <w:rsid w:val="005474F2"/>
    <w:rsid w:val="00551A9F"/>
    <w:rsid w:val="00551FAE"/>
    <w:rsid w:val="005520FF"/>
    <w:rsid w:val="0055223B"/>
    <w:rsid w:val="00552BFE"/>
    <w:rsid w:val="00552CD3"/>
    <w:rsid w:val="005530C7"/>
    <w:rsid w:val="0055338C"/>
    <w:rsid w:val="00553EF5"/>
    <w:rsid w:val="00554375"/>
    <w:rsid w:val="00554537"/>
    <w:rsid w:val="00555250"/>
    <w:rsid w:val="005567CC"/>
    <w:rsid w:val="005577EC"/>
    <w:rsid w:val="005579A1"/>
    <w:rsid w:val="00557DD1"/>
    <w:rsid w:val="00560272"/>
    <w:rsid w:val="00562FE2"/>
    <w:rsid w:val="00563D15"/>
    <w:rsid w:val="00564533"/>
    <w:rsid w:val="00566FF8"/>
    <w:rsid w:val="0056771B"/>
    <w:rsid w:val="00567E9C"/>
    <w:rsid w:val="00567FD0"/>
    <w:rsid w:val="00571414"/>
    <w:rsid w:val="005719F3"/>
    <w:rsid w:val="00571C2F"/>
    <w:rsid w:val="00571D15"/>
    <w:rsid w:val="00572072"/>
    <w:rsid w:val="00572649"/>
    <w:rsid w:val="005727E0"/>
    <w:rsid w:val="00572C44"/>
    <w:rsid w:val="00573C6F"/>
    <w:rsid w:val="0057490C"/>
    <w:rsid w:val="005767CF"/>
    <w:rsid w:val="00576BFE"/>
    <w:rsid w:val="00576E0E"/>
    <w:rsid w:val="00577099"/>
    <w:rsid w:val="005774DA"/>
    <w:rsid w:val="00583887"/>
    <w:rsid w:val="00583E2C"/>
    <w:rsid w:val="005844A7"/>
    <w:rsid w:val="00584C25"/>
    <w:rsid w:val="005853A4"/>
    <w:rsid w:val="00585418"/>
    <w:rsid w:val="0058575C"/>
    <w:rsid w:val="005857E0"/>
    <w:rsid w:val="00585FD8"/>
    <w:rsid w:val="00586C75"/>
    <w:rsid w:val="0058700F"/>
    <w:rsid w:val="005906D6"/>
    <w:rsid w:val="00591922"/>
    <w:rsid w:val="00593229"/>
    <w:rsid w:val="005946A3"/>
    <w:rsid w:val="00594791"/>
    <w:rsid w:val="005955B8"/>
    <w:rsid w:val="00595B50"/>
    <w:rsid w:val="0059630A"/>
    <w:rsid w:val="00596EB2"/>
    <w:rsid w:val="00597102"/>
    <w:rsid w:val="00597843"/>
    <w:rsid w:val="005979E9"/>
    <w:rsid w:val="00597A7A"/>
    <w:rsid w:val="005A0314"/>
    <w:rsid w:val="005A102D"/>
    <w:rsid w:val="005A23B9"/>
    <w:rsid w:val="005A2A02"/>
    <w:rsid w:val="005A422B"/>
    <w:rsid w:val="005A4EA4"/>
    <w:rsid w:val="005A76B0"/>
    <w:rsid w:val="005A7EAB"/>
    <w:rsid w:val="005B05FC"/>
    <w:rsid w:val="005B0DAB"/>
    <w:rsid w:val="005B10E5"/>
    <w:rsid w:val="005B17E9"/>
    <w:rsid w:val="005B26C5"/>
    <w:rsid w:val="005B432B"/>
    <w:rsid w:val="005B4A70"/>
    <w:rsid w:val="005B530E"/>
    <w:rsid w:val="005B5A68"/>
    <w:rsid w:val="005B6616"/>
    <w:rsid w:val="005B67AE"/>
    <w:rsid w:val="005B7C00"/>
    <w:rsid w:val="005B7E52"/>
    <w:rsid w:val="005B7EB7"/>
    <w:rsid w:val="005B7F47"/>
    <w:rsid w:val="005C020F"/>
    <w:rsid w:val="005C0E52"/>
    <w:rsid w:val="005C1C87"/>
    <w:rsid w:val="005C25DD"/>
    <w:rsid w:val="005C34B9"/>
    <w:rsid w:val="005C3A36"/>
    <w:rsid w:val="005C4729"/>
    <w:rsid w:val="005C5EF0"/>
    <w:rsid w:val="005C6DB7"/>
    <w:rsid w:val="005C75FA"/>
    <w:rsid w:val="005C781E"/>
    <w:rsid w:val="005D02B3"/>
    <w:rsid w:val="005D0B4F"/>
    <w:rsid w:val="005D19DC"/>
    <w:rsid w:val="005D1ECA"/>
    <w:rsid w:val="005D2A4D"/>
    <w:rsid w:val="005D3740"/>
    <w:rsid w:val="005D3A36"/>
    <w:rsid w:val="005D3D54"/>
    <w:rsid w:val="005D46E1"/>
    <w:rsid w:val="005D4DE6"/>
    <w:rsid w:val="005D5F44"/>
    <w:rsid w:val="005D6F33"/>
    <w:rsid w:val="005D799D"/>
    <w:rsid w:val="005E0FAD"/>
    <w:rsid w:val="005E1036"/>
    <w:rsid w:val="005E250B"/>
    <w:rsid w:val="005E2E6E"/>
    <w:rsid w:val="005E30E2"/>
    <w:rsid w:val="005E3B8F"/>
    <w:rsid w:val="005E3FAF"/>
    <w:rsid w:val="005E4590"/>
    <w:rsid w:val="005E5615"/>
    <w:rsid w:val="005E60BB"/>
    <w:rsid w:val="005E662D"/>
    <w:rsid w:val="005E7161"/>
    <w:rsid w:val="005F05EE"/>
    <w:rsid w:val="005F20C7"/>
    <w:rsid w:val="005F22D0"/>
    <w:rsid w:val="005F27D0"/>
    <w:rsid w:val="005F2CAA"/>
    <w:rsid w:val="005F3F1A"/>
    <w:rsid w:val="005F51B4"/>
    <w:rsid w:val="005F5253"/>
    <w:rsid w:val="005F55D0"/>
    <w:rsid w:val="005F5AC8"/>
    <w:rsid w:val="005F6215"/>
    <w:rsid w:val="005F6C9E"/>
    <w:rsid w:val="005F6CC1"/>
    <w:rsid w:val="005F6F6C"/>
    <w:rsid w:val="005F75FA"/>
    <w:rsid w:val="005F7B25"/>
    <w:rsid w:val="006003BB"/>
    <w:rsid w:val="006003FA"/>
    <w:rsid w:val="00600451"/>
    <w:rsid w:val="006016E9"/>
    <w:rsid w:val="006018C4"/>
    <w:rsid w:val="00602918"/>
    <w:rsid w:val="0060344C"/>
    <w:rsid w:val="006034EC"/>
    <w:rsid w:val="0060465A"/>
    <w:rsid w:val="006061EE"/>
    <w:rsid w:val="00606717"/>
    <w:rsid w:val="0060733C"/>
    <w:rsid w:val="00610BBA"/>
    <w:rsid w:val="00610F42"/>
    <w:rsid w:val="006115BC"/>
    <w:rsid w:val="00612183"/>
    <w:rsid w:val="006122BB"/>
    <w:rsid w:val="0061389F"/>
    <w:rsid w:val="00613CE4"/>
    <w:rsid w:val="006172FF"/>
    <w:rsid w:val="00617BF8"/>
    <w:rsid w:val="00617CB5"/>
    <w:rsid w:val="00617E39"/>
    <w:rsid w:val="006212FF"/>
    <w:rsid w:val="006216C7"/>
    <w:rsid w:val="00622315"/>
    <w:rsid w:val="00622DA0"/>
    <w:rsid w:val="006239D2"/>
    <w:rsid w:val="0062434B"/>
    <w:rsid w:val="0062447E"/>
    <w:rsid w:val="00624788"/>
    <w:rsid w:val="00625664"/>
    <w:rsid w:val="006257D2"/>
    <w:rsid w:val="00626086"/>
    <w:rsid w:val="006261B7"/>
    <w:rsid w:val="006264D7"/>
    <w:rsid w:val="00626FFC"/>
    <w:rsid w:val="00627091"/>
    <w:rsid w:val="00627BB3"/>
    <w:rsid w:val="006306BD"/>
    <w:rsid w:val="0063192E"/>
    <w:rsid w:val="00632B37"/>
    <w:rsid w:val="00633C39"/>
    <w:rsid w:val="0063463C"/>
    <w:rsid w:val="00634C16"/>
    <w:rsid w:val="00634CF6"/>
    <w:rsid w:val="00635154"/>
    <w:rsid w:val="006361F8"/>
    <w:rsid w:val="006365E5"/>
    <w:rsid w:val="00636968"/>
    <w:rsid w:val="00636BB2"/>
    <w:rsid w:val="00637470"/>
    <w:rsid w:val="006374F5"/>
    <w:rsid w:val="006408EB"/>
    <w:rsid w:val="00640D1D"/>
    <w:rsid w:val="0064187D"/>
    <w:rsid w:val="00642E63"/>
    <w:rsid w:val="00643083"/>
    <w:rsid w:val="00643B12"/>
    <w:rsid w:val="0064538B"/>
    <w:rsid w:val="00645823"/>
    <w:rsid w:val="00645EF4"/>
    <w:rsid w:val="00647897"/>
    <w:rsid w:val="0065028A"/>
    <w:rsid w:val="00650D71"/>
    <w:rsid w:val="00652459"/>
    <w:rsid w:val="0065246B"/>
    <w:rsid w:val="006526B4"/>
    <w:rsid w:val="0065314B"/>
    <w:rsid w:val="0065347C"/>
    <w:rsid w:val="00653D5E"/>
    <w:rsid w:val="00654255"/>
    <w:rsid w:val="00656181"/>
    <w:rsid w:val="0065790A"/>
    <w:rsid w:val="00660207"/>
    <w:rsid w:val="0066034E"/>
    <w:rsid w:val="00660A09"/>
    <w:rsid w:val="006613BF"/>
    <w:rsid w:val="00661A0B"/>
    <w:rsid w:val="00662379"/>
    <w:rsid w:val="006625F1"/>
    <w:rsid w:val="006626E8"/>
    <w:rsid w:val="00662D47"/>
    <w:rsid w:val="00663202"/>
    <w:rsid w:val="006638E5"/>
    <w:rsid w:val="0066420F"/>
    <w:rsid w:val="00664DB2"/>
    <w:rsid w:val="006653E7"/>
    <w:rsid w:val="00665EA4"/>
    <w:rsid w:val="00666A09"/>
    <w:rsid w:val="00670985"/>
    <w:rsid w:val="00670FB1"/>
    <w:rsid w:val="00672FAE"/>
    <w:rsid w:val="0067304C"/>
    <w:rsid w:val="006731F3"/>
    <w:rsid w:val="0067332C"/>
    <w:rsid w:val="006733E5"/>
    <w:rsid w:val="00673758"/>
    <w:rsid w:val="00675241"/>
    <w:rsid w:val="006756B6"/>
    <w:rsid w:val="006761CE"/>
    <w:rsid w:val="00676B76"/>
    <w:rsid w:val="006771BD"/>
    <w:rsid w:val="00677579"/>
    <w:rsid w:val="00677A35"/>
    <w:rsid w:val="00680805"/>
    <w:rsid w:val="00680D84"/>
    <w:rsid w:val="00681F1D"/>
    <w:rsid w:val="00682F4B"/>
    <w:rsid w:val="00685F3B"/>
    <w:rsid w:val="006867FE"/>
    <w:rsid w:val="00686DEF"/>
    <w:rsid w:val="00687D03"/>
    <w:rsid w:val="0069003B"/>
    <w:rsid w:val="006939FB"/>
    <w:rsid w:val="00694C0D"/>
    <w:rsid w:val="00695242"/>
    <w:rsid w:val="00696035"/>
    <w:rsid w:val="00696549"/>
    <w:rsid w:val="0069692F"/>
    <w:rsid w:val="00696D40"/>
    <w:rsid w:val="00696E22"/>
    <w:rsid w:val="0069719C"/>
    <w:rsid w:val="00697724"/>
    <w:rsid w:val="00697D3A"/>
    <w:rsid w:val="006A0193"/>
    <w:rsid w:val="006A0516"/>
    <w:rsid w:val="006A09E2"/>
    <w:rsid w:val="006A297A"/>
    <w:rsid w:val="006A4F65"/>
    <w:rsid w:val="006A5034"/>
    <w:rsid w:val="006A506E"/>
    <w:rsid w:val="006A5F58"/>
    <w:rsid w:val="006A6139"/>
    <w:rsid w:val="006A75EC"/>
    <w:rsid w:val="006A784A"/>
    <w:rsid w:val="006B08B1"/>
    <w:rsid w:val="006B18DF"/>
    <w:rsid w:val="006B3051"/>
    <w:rsid w:val="006B429A"/>
    <w:rsid w:val="006B526A"/>
    <w:rsid w:val="006B6493"/>
    <w:rsid w:val="006B68C8"/>
    <w:rsid w:val="006B721F"/>
    <w:rsid w:val="006B7A97"/>
    <w:rsid w:val="006B7DAB"/>
    <w:rsid w:val="006C0ED1"/>
    <w:rsid w:val="006C119A"/>
    <w:rsid w:val="006C1BA2"/>
    <w:rsid w:val="006C2D6E"/>
    <w:rsid w:val="006C2E01"/>
    <w:rsid w:val="006C3040"/>
    <w:rsid w:val="006C4081"/>
    <w:rsid w:val="006C47F4"/>
    <w:rsid w:val="006C51AB"/>
    <w:rsid w:val="006C69B4"/>
    <w:rsid w:val="006C6DEC"/>
    <w:rsid w:val="006C7114"/>
    <w:rsid w:val="006C7366"/>
    <w:rsid w:val="006C769A"/>
    <w:rsid w:val="006C7F22"/>
    <w:rsid w:val="006D0625"/>
    <w:rsid w:val="006D0E7E"/>
    <w:rsid w:val="006D1AB5"/>
    <w:rsid w:val="006D1C10"/>
    <w:rsid w:val="006D3EC2"/>
    <w:rsid w:val="006D41C9"/>
    <w:rsid w:val="006D43F1"/>
    <w:rsid w:val="006D48EB"/>
    <w:rsid w:val="006D4D8B"/>
    <w:rsid w:val="006D6571"/>
    <w:rsid w:val="006D6905"/>
    <w:rsid w:val="006D7AA7"/>
    <w:rsid w:val="006E0121"/>
    <w:rsid w:val="006E0134"/>
    <w:rsid w:val="006E0DFA"/>
    <w:rsid w:val="006E1C93"/>
    <w:rsid w:val="006E1D94"/>
    <w:rsid w:val="006E1D9C"/>
    <w:rsid w:val="006E20B4"/>
    <w:rsid w:val="006E23C2"/>
    <w:rsid w:val="006E2473"/>
    <w:rsid w:val="006E3669"/>
    <w:rsid w:val="006E3C08"/>
    <w:rsid w:val="006E46D1"/>
    <w:rsid w:val="006E4C23"/>
    <w:rsid w:val="006E4DA5"/>
    <w:rsid w:val="006E4E37"/>
    <w:rsid w:val="006E5545"/>
    <w:rsid w:val="006F1882"/>
    <w:rsid w:val="006F352C"/>
    <w:rsid w:val="006F4200"/>
    <w:rsid w:val="006F4BE4"/>
    <w:rsid w:val="006F5954"/>
    <w:rsid w:val="006F5957"/>
    <w:rsid w:val="006F6C91"/>
    <w:rsid w:val="006F7CD8"/>
    <w:rsid w:val="00700127"/>
    <w:rsid w:val="007003DE"/>
    <w:rsid w:val="00702498"/>
    <w:rsid w:val="00702A38"/>
    <w:rsid w:val="007047D4"/>
    <w:rsid w:val="00704857"/>
    <w:rsid w:val="00704DB1"/>
    <w:rsid w:val="00704DED"/>
    <w:rsid w:val="0070665D"/>
    <w:rsid w:val="007075E5"/>
    <w:rsid w:val="00707AF4"/>
    <w:rsid w:val="00710338"/>
    <w:rsid w:val="007104E1"/>
    <w:rsid w:val="00711632"/>
    <w:rsid w:val="007122C6"/>
    <w:rsid w:val="007132F7"/>
    <w:rsid w:val="00714040"/>
    <w:rsid w:val="00714CBA"/>
    <w:rsid w:val="00714D00"/>
    <w:rsid w:val="0071596C"/>
    <w:rsid w:val="00720330"/>
    <w:rsid w:val="00721233"/>
    <w:rsid w:val="0072126B"/>
    <w:rsid w:val="00721428"/>
    <w:rsid w:val="00721560"/>
    <w:rsid w:val="00721588"/>
    <w:rsid w:val="0072159D"/>
    <w:rsid w:val="007224ED"/>
    <w:rsid w:val="00723CCF"/>
    <w:rsid w:val="007255B1"/>
    <w:rsid w:val="007267BA"/>
    <w:rsid w:val="00726FB9"/>
    <w:rsid w:val="00727D8A"/>
    <w:rsid w:val="00727EDC"/>
    <w:rsid w:val="007312F5"/>
    <w:rsid w:val="00731A35"/>
    <w:rsid w:val="007325C3"/>
    <w:rsid w:val="0073287D"/>
    <w:rsid w:val="00732A99"/>
    <w:rsid w:val="00732BBD"/>
    <w:rsid w:val="007331A2"/>
    <w:rsid w:val="00733274"/>
    <w:rsid w:val="00734A72"/>
    <w:rsid w:val="00734C56"/>
    <w:rsid w:val="00734F91"/>
    <w:rsid w:val="0073524F"/>
    <w:rsid w:val="007354DB"/>
    <w:rsid w:val="007355FD"/>
    <w:rsid w:val="007365F1"/>
    <w:rsid w:val="00737E26"/>
    <w:rsid w:val="00740E34"/>
    <w:rsid w:val="00740FDC"/>
    <w:rsid w:val="00741C98"/>
    <w:rsid w:val="00743F42"/>
    <w:rsid w:val="007444CB"/>
    <w:rsid w:val="0074472E"/>
    <w:rsid w:val="00744C5B"/>
    <w:rsid w:val="0074599C"/>
    <w:rsid w:val="00746702"/>
    <w:rsid w:val="00746D26"/>
    <w:rsid w:val="00747A6F"/>
    <w:rsid w:val="0075030B"/>
    <w:rsid w:val="0075085C"/>
    <w:rsid w:val="0075200D"/>
    <w:rsid w:val="00753417"/>
    <w:rsid w:val="00753B59"/>
    <w:rsid w:val="00754302"/>
    <w:rsid w:val="007555B4"/>
    <w:rsid w:val="007556A3"/>
    <w:rsid w:val="00755C10"/>
    <w:rsid w:val="00755EDC"/>
    <w:rsid w:val="0075631F"/>
    <w:rsid w:val="0075633D"/>
    <w:rsid w:val="00756630"/>
    <w:rsid w:val="0075681F"/>
    <w:rsid w:val="00757CBA"/>
    <w:rsid w:val="007602DE"/>
    <w:rsid w:val="00760AE5"/>
    <w:rsid w:val="0076214C"/>
    <w:rsid w:val="00762450"/>
    <w:rsid w:val="0076277F"/>
    <w:rsid w:val="00762FD9"/>
    <w:rsid w:val="0076463A"/>
    <w:rsid w:val="00764DD1"/>
    <w:rsid w:val="00765390"/>
    <w:rsid w:val="0076539C"/>
    <w:rsid w:val="0076602C"/>
    <w:rsid w:val="007674A5"/>
    <w:rsid w:val="00770364"/>
    <w:rsid w:val="00771333"/>
    <w:rsid w:val="0077177C"/>
    <w:rsid w:val="007723D5"/>
    <w:rsid w:val="007728BA"/>
    <w:rsid w:val="00773806"/>
    <w:rsid w:val="007769B3"/>
    <w:rsid w:val="007776CA"/>
    <w:rsid w:val="00777B14"/>
    <w:rsid w:val="00780177"/>
    <w:rsid w:val="0078038B"/>
    <w:rsid w:val="00780B79"/>
    <w:rsid w:val="00781AAB"/>
    <w:rsid w:val="00781C39"/>
    <w:rsid w:val="0078203B"/>
    <w:rsid w:val="00782EFB"/>
    <w:rsid w:val="00782FEF"/>
    <w:rsid w:val="00783049"/>
    <w:rsid w:val="00783A8A"/>
    <w:rsid w:val="0078417B"/>
    <w:rsid w:val="00786222"/>
    <w:rsid w:val="007862D9"/>
    <w:rsid w:val="00786753"/>
    <w:rsid w:val="00787045"/>
    <w:rsid w:val="0079078D"/>
    <w:rsid w:val="00790AFD"/>
    <w:rsid w:val="00790F1A"/>
    <w:rsid w:val="00791830"/>
    <w:rsid w:val="007918EB"/>
    <w:rsid w:val="00792C96"/>
    <w:rsid w:val="00792D5E"/>
    <w:rsid w:val="0079454D"/>
    <w:rsid w:val="00794ABF"/>
    <w:rsid w:val="00796572"/>
    <w:rsid w:val="007972D9"/>
    <w:rsid w:val="00797AFA"/>
    <w:rsid w:val="00797F4B"/>
    <w:rsid w:val="007A0048"/>
    <w:rsid w:val="007A1211"/>
    <w:rsid w:val="007A126B"/>
    <w:rsid w:val="007A166C"/>
    <w:rsid w:val="007A1F35"/>
    <w:rsid w:val="007A29E6"/>
    <w:rsid w:val="007A2DF8"/>
    <w:rsid w:val="007A2FD5"/>
    <w:rsid w:val="007A48D7"/>
    <w:rsid w:val="007A68F9"/>
    <w:rsid w:val="007A7604"/>
    <w:rsid w:val="007A7CFB"/>
    <w:rsid w:val="007B0D5D"/>
    <w:rsid w:val="007B125D"/>
    <w:rsid w:val="007B158D"/>
    <w:rsid w:val="007B2033"/>
    <w:rsid w:val="007B2975"/>
    <w:rsid w:val="007B31F7"/>
    <w:rsid w:val="007B3253"/>
    <w:rsid w:val="007B33D2"/>
    <w:rsid w:val="007B3A1C"/>
    <w:rsid w:val="007B44B5"/>
    <w:rsid w:val="007B4DC3"/>
    <w:rsid w:val="007B60E5"/>
    <w:rsid w:val="007B6AE9"/>
    <w:rsid w:val="007B6DE8"/>
    <w:rsid w:val="007B7192"/>
    <w:rsid w:val="007C0C43"/>
    <w:rsid w:val="007C17C6"/>
    <w:rsid w:val="007C3D13"/>
    <w:rsid w:val="007C779D"/>
    <w:rsid w:val="007D04E8"/>
    <w:rsid w:val="007D0FC4"/>
    <w:rsid w:val="007D119B"/>
    <w:rsid w:val="007D128A"/>
    <w:rsid w:val="007D17C7"/>
    <w:rsid w:val="007D196E"/>
    <w:rsid w:val="007D2C20"/>
    <w:rsid w:val="007D41A5"/>
    <w:rsid w:val="007D51DD"/>
    <w:rsid w:val="007D5F80"/>
    <w:rsid w:val="007D62CF"/>
    <w:rsid w:val="007D6377"/>
    <w:rsid w:val="007D6516"/>
    <w:rsid w:val="007D7120"/>
    <w:rsid w:val="007D72DD"/>
    <w:rsid w:val="007D799A"/>
    <w:rsid w:val="007E130A"/>
    <w:rsid w:val="007E218A"/>
    <w:rsid w:val="007E3C1D"/>
    <w:rsid w:val="007E59D4"/>
    <w:rsid w:val="007E6EAB"/>
    <w:rsid w:val="007E7296"/>
    <w:rsid w:val="007F12CD"/>
    <w:rsid w:val="007F1C24"/>
    <w:rsid w:val="007F2282"/>
    <w:rsid w:val="007F3333"/>
    <w:rsid w:val="007F3706"/>
    <w:rsid w:val="007F3C74"/>
    <w:rsid w:val="007F49DD"/>
    <w:rsid w:val="007F4A0E"/>
    <w:rsid w:val="007F4A8B"/>
    <w:rsid w:val="007F707D"/>
    <w:rsid w:val="007F757C"/>
    <w:rsid w:val="007F75BA"/>
    <w:rsid w:val="007F7D48"/>
    <w:rsid w:val="008009B7"/>
    <w:rsid w:val="00801661"/>
    <w:rsid w:val="0080173B"/>
    <w:rsid w:val="00803D5B"/>
    <w:rsid w:val="008042BC"/>
    <w:rsid w:val="00805DB5"/>
    <w:rsid w:val="0080606E"/>
    <w:rsid w:val="008062BD"/>
    <w:rsid w:val="00807935"/>
    <w:rsid w:val="00807F93"/>
    <w:rsid w:val="008108E2"/>
    <w:rsid w:val="00810E0F"/>
    <w:rsid w:val="00811089"/>
    <w:rsid w:val="00812DA6"/>
    <w:rsid w:val="00814674"/>
    <w:rsid w:val="00814678"/>
    <w:rsid w:val="0081505A"/>
    <w:rsid w:val="00815830"/>
    <w:rsid w:val="008159B4"/>
    <w:rsid w:val="00815B82"/>
    <w:rsid w:val="00817841"/>
    <w:rsid w:val="008202DE"/>
    <w:rsid w:val="0082153C"/>
    <w:rsid w:val="00821CA7"/>
    <w:rsid w:val="00821D23"/>
    <w:rsid w:val="0082264D"/>
    <w:rsid w:val="008233B0"/>
    <w:rsid w:val="00824D8F"/>
    <w:rsid w:val="00824F31"/>
    <w:rsid w:val="00826B63"/>
    <w:rsid w:val="00826E1D"/>
    <w:rsid w:val="00826EDE"/>
    <w:rsid w:val="00826F90"/>
    <w:rsid w:val="008275CA"/>
    <w:rsid w:val="008300BD"/>
    <w:rsid w:val="00831355"/>
    <w:rsid w:val="008326ED"/>
    <w:rsid w:val="00832A0B"/>
    <w:rsid w:val="00832E3A"/>
    <w:rsid w:val="0083477D"/>
    <w:rsid w:val="008400FE"/>
    <w:rsid w:val="008403BC"/>
    <w:rsid w:val="00841358"/>
    <w:rsid w:val="0084161D"/>
    <w:rsid w:val="00842354"/>
    <w:rsid w:val="00842C36"/>
    <w:rsid w:val="008435BC"/>
    <w:rsid w:val="00844133"/>
    <w:rsid w:val="00844915"/>
    <w:rsid w:val="00847462"/>
    <w:rsid w:val="008506A3"/>
    <w:rsid w:val="00850FCD"/>
    <w:rsid w:val="0085251A"/>
    <w:rsid w:val="00852726"/>
    <w:rsid w:val="008529C4"/>
    <w:rsid w:val="00852AD5"/>
    <w:rsid w:val="00852BEA"/>
    <w:rsid w:val="00852D3F"/>
    <w:rsid w:val="00853144"/>
    <w:rsid w:val="00854F0F"/>
    <w:rsid w:val="00855211"/>
    <w:rsid w:val="00857324"/>
    <w:rsid w:val="00860CBA"/>
    <w:rsid w:val="00861FE8"/>
    <w:rsid w:val="00862221"/>
    <w:rsid w:val="008626E3"/>
    <w:rsid w:val="008632BE"/>
    <w:rsid w:val="00863C21"/>
    <w:rsid w:val="00863EA8"/>
    <w:rsid w:val="00863FF2"/>
    <w:rsid w:val="00864017"/>
    <w:rsid w:val="00864368"/>
    <w:rsid w:val="00865BD0"/>
    <w:rsid w:val="008660BF"/>
    <w:rsid w:val="00866A0C"/>
    <w:rsid w:val="0086763B"/>
    <w:rsid w:val="00867695"/>
    <w:rsid w:val="00867957"/>
    <w:rsid w:val="00867DB1"/>
    <w:rsid w:val="0087228F"/>
    <w:rsid w:val="00874B4E"/>
    <w:rsid w:val="00874F52"/>
    <w:rsid w:val="00875860"/>
    <w:rsid w:val="0087768F"/>
    <w:rsid w:val="0088024B"/>
    <w:rsid w:val="008802C1"/>
    <w:rsid w:val="008814BE"/>
    <w:rsid w:val="00882E0F"/>
    <w:rsid w:val="0088545C"/>
    <w:rsid w:val="008855F7"/>
    <w:rsid w:val="00885B7C"/>
    <w:rsid w:val="00885F21"/>
    <w:rsid w:val="00886208"/>
    <w:rsid w:val="00886678"/>
    <w:rsid w:val="00886E62"/>
    <w:rsid w:val="008874B0"/>
    <w:rsid w:val="008879CF"/>
    <w:rsid w:val="0089028E"/>
    <w:rsid w:val="00890374"/>
    <w:rsid w:val="008908B3"/>
    <w:rsid w:val="00890A34"/>
    <w:rsid w:val="008911FC"/>
    <w:rsid w:val="008913CF"/>
    <w:rsid w:val="00891708"/>
    <w:rsid w:val="00891AA7"/>
    <w:rsid w:val="00892213"/>
    <w:rsid w:val="008934C7"/>
    <w:rsid w:val="008935EF"/>
    <w:rsid w:val="008951D6"/>
    <w:rsid w:val="0089600B"/>
    <w:rsid w:val="008963F5"/>
    <w:rsid w:val="008976B5"/>
    <w:rsid w:val="008A02B1"/>
    <w:rsid w:val="008A1501"/>
    <w:rsid w:val="008A36DD"/>
    <w:rsid w:val="008A3F5A"/>
    <w:rsid w:val="008A7414"/>
    <w:rsid w:val="008B0984"/>
    <w:rsid w:val="008B0F21"/>
    <w:rsid w:val="008B1F00"/>
    <w:rsid w:val="008B21DE"/>
    <w:rsid w:val="008B2239"/>
    <w:rsid w:val="008B333D"/>
    <w:rsid w:val="008B40FD"/>
    <w:rsid w:val="008B47ED"/>
    <w:rsid w:val="008B6323"/>
    <w:rsid w:val="008B6399"/>
    <w:rsid w:val="008B6EDB"/>
    <w:rsid w:val="008B7873"/>
    <w:rsid w:val="008C110B"/>
    <w:rsid w:val="008C15B3"/>
    <w:rsid w:val="008C1F09"/>
    <w:rsid w:val="008C22CA"/>
    <w:rsid w:val="008C2733"/>
    <w:rsid w:val="008C2E7B"/>
    <w:rsid w:val="008C3389"/>
    <w:rsid w:val="008C35F5"/>
    <w:rsid w:val="008C462C"/>
    <w:rsid w:val="008C4831"/>
    <w:rsid w:val="008C6718"/>
    <w:rsid w:val="008D1519"/>
    <w:rsid w:val="008D3324"/>
    <w:rsid w:val="008D3C76"/>
    <w:rsid w:val="008D40FE"/>
    <w:rsid w:val="008D429D"/>
    <w:rsid w:val="008D44A6"/>
    <w:rsid w:val="008D5077"/>
    <w:rsid w:val="008D5502"/>
    <w:rsid w:val="008D5B86"/>
    <w:rsid w:val="008D6AE9"/>
    <w:rsid w:val="008D6C1D"/>
    <w:rsid w:val="008D6EC7"/>
    <w:rsid w:val="008D792D"/>
    <w:rsid w:val="008E0015"/>
    <w:rsid w:val="008E12C7"/>
    <w:rsid w:val="008E1752"/>
    <w:rsid w:val="008E1AFA"/>
    <w:rsid w:val="008E2CC5"/>
    <w:rsid w:val="008E2E66"/>
    <w:rsid w:val="008E31D4"/>
    <w:rsid w:val="008E3343"/>
    <w:rsid w:val="008E3C9E"/>
    <w:rsid w:val="008E41E4"/>
    <w:rsid w:val="008E440F"/>
    <w:rsid w:val="008E459D"/>
    <w:rsid w:val="008E5A3A"/>
    <w:rsid w:val="008E7754"/>
    <w:rsid w:val="008F019A"/>
    <w:rsid w:val="008F2266"/>
    <w:rsid w:val="008F2B6F"/>
    <w:rsid w:val="008F2B87"/>
    <w:rsid w:val="008F2D70"/>
    <w:rsid w:val="008F3F27"/>
    <w:rsid w:val="008F6541"/>
    <w:rsid w:val="008F669A"/>
    <w:rsid w:val="008F66AD"/>
    <w:rsid w:val="008F6AFA"/>
    <w:rsid w:val="008F778B"/>
    <w:rsid w:val="008F7C92"/>
    <w:rsid w:val="008F7D1A"/>
    <w:rsid w:val="00902097"/>
    <w:rsid w:val="00902279"/>
    <w:rsid w:val="0090290F"/>
    <w:rsid w:val="00902D7E"/>
    <w:rsid w:val="00903445"/>
    <w:rsid w:val="009035A2"/>
    <w:rsid w:val="00903CAD"/>
    <w:rsid w:val="0090400E"/>
    <w:rsid w:val="00905489"/>
    <w:rsid w:val="009063E7"/>
    <w:rsid w:val="00906A2C"/>
    <w:rsid w:val="00907B36"/>
    <w:rsid w:val="00911D00"/>
    <w:rsid w:val="00911E6D"/>
    <w:rsid w:val="00913F1D"/>
    <w:rsid w:val="009148B5"/>
    <w:rsid w:val="00914DCE"/>
    <w:rsid w:val="00914E44"/>
    <w:rsid w:val="009172A2"/>
    <w:rsid w:val="00917F98"/>
    <w:rsid w:val="009232BB"/>
    <w:rsid w:val="00923DFD"/>
    <w:rsid w:val="00924527"/>
    <w:rsid w:val="00924CD1"/>
    <w:rsid w:val="00924DC6"/>
    <w:rsid w:val="0092562D"/>
    <w:rsid w:val="00925D50"/>
    <w:rsid w:val="00926352"/>
    <w:rsid w:val="00926BC7"/>
    <w:rsid w:val="00926BD4"/>
    <w:rsid w:val="00927375"/>
    <w:rsid w:val="009301C6"/>
    <w:rsid w:val="009310B5"/>
    <w:rsid w:val="00931291"/>
    <w:rsid w:val="00931961"/>
    <w:rsid w:val="00931AE8"/>
    <w:rsid w:val="00932740"/>
    <w:rsid w:val="00933119"/>
    <w:rsid w:val="009331D5"/>
    <w:rsid w:val="00933D0C"/>
    <w:rsid w:val="00934086"/>
    <w:rsid w:val="009354F7"/>
    <w:rsid w:val="009356E6"/>
    <w:rsid w:val="00940860"/>
    <w:rsid w:val="0094096B"/>
    <w:rsid w:val="00942355"/>
    <w:rsid w:val="00942A32"/>
    <w:rsid w:val="00942E66"/>
    <w:rsid w:val="009436DD"/>
    <w:rsid w:val="00944743"/>
    <w:rsid w:val="00944E03"/>
    <w:rsid w:val="009455C7"/>
    <w:rsid w:val="00945A5A"/>
    <w:rsid w:val="00945D37"/>
    <w:rsid w:val="0094601A"/>
    <w:rsid w:val="00946B8A"/>
    <w:rsid w:val="009476E6"/>
    <w:rsid w:val="00947914"/>
    <w:rsid w:val="009534FC"/>
    <w:rsid w:val="0095401B"/>
    <w:rsid w:val="009546FA"/>
    <w:rsid w:val="00954CC7"/>
    <w:rsid w:val="009550FB"/>
    <w:rsid w:val="00955738"/>
    <w:rsid w:val="009601CF"/>
    <w:rsid w:val="00960C5A"/>
    <w:rsid w:val="00960E78"/>
    <w:rsid w:val="00960F09"/>
    <w:rsid w:val="00960F38"/>
    <w:rsid w:val="00961025"/>
    <w:rsid w:val="00961DC5"/>
    <w:rsid w:val="009621A3"/>
    <w:rsid w:val="00962CC9"/>
    <w:rsid w:val="00963606"/>
    <w:rsid w:val="00963E8A"/>
    <w:rsid w:val="0096523F"/>
    <w:rsid w:val="0096577B"/>
    <w:rsid w:val="009664EC"/>
    <w:rsid w:val="0096732F"/>
    <w:rsid w:val="0096772B"/>
    <w:rsid w:val="009707D3"/>
    <w:rsid w:val="00971956"/>
    <w:rsid w:val="00971AB6"/>
    <w:rsid w:val="00971C84"/>
    <w:rsid w:val="009722EC"/>
    <w:rsid w:val="009745AA"/>
    <w:rsid w:val="0097581E"/>
    <w:rsid w:val="00977B42"/>
    <w:rsid w:val="009805B6"/>
    <w:rsid w:val="0098082A"/>
    <w:rsid w:val="009812FB"/>
    <w:rsid w:val="00982CA1"/>
    <w:rsid w:val="00983BD8"/>
    <w:rsid w:val="0098486E"/>
    <w:rsid w:val="009851CF"/>
    <w:rsid w:val="0098529B"/>
    <w:rsid w:val="00987241"/>
    <w:rsid w:val="00987B72"/>
    <w:rsid w:val="00987E56"/>
    <w:rsid w:val="00990492"/>
    <w:rsid w:val="00990ACE"/>
    <w:rsid w:val="00991C50"/>
    <w:rsid w:val="00994F6F"/>
    <w:rsid w:val="009953DA"/>
    <w:rsid w:val="00995425"/>
    <w:rsid w:val="009A01A1"/>
    <w:rsid w:val="009A05B4"/>
    <w:rsid w:val="009A1026"/>
    <w:rsid w:val="009A2194"/>
    <w:rsid w:val="009A26DA"/>
    <w:rsid w:val="009A3D54"/>
    <w:rsid w:val="009A4765"/>
    <w:rsid w:val="009A5858"/>
    <w:rsid w:val="009A586D"/>
    <w:rsid w:val="009A5B9F"/>
    <w:rsid w:val="009A7012"/>
    <w:rsid w:val="009A793D"/>
    <w:rsid w:val="009B07D5"/>
    <w:rsid w:val="009B0E57"/>
    <w:rsid w:val="009B16BD"/>
    <w:rsid w:val="009B1A3C"/>
    <w:rsid w:val="009B1D19"/>
    <w:rsid w:val="009B2B19"/>
    <w:rsid w:val="009B53B5"/>
    <w:rsid w:val="009B5467"/>
    <w:rsid w:val="009B570C"/>
    <w:rsid w:val="009B5A9A"/>
    <w:rsid w:val="009B5BAB"/>
    <w:rsid w:val="009B65FF"/>
    <w:rsid w:val="009B7D88"/>
    <w:rsid w:val="009C1A76"/>
    <w:rsid w:val="009C2218"/>
    <w:rsid w:val="009C2CA9"/>
    <w:rsid w:val="009C2F65"/>
    <w:rsid w:val="009C317F"/>
    <w:rsid w:val="009C4B30"/>
    <w:rsid w:val="009C706E"/>
    <w:rsid w:val="009C76CB"/>
    <w:rsid w:val="009D0F9C"/>
    <w:rsid w:val="009D15FF"/>
    <w:rsid w:val="009D2C63"/>
    <w:rsid w:val="009D3830"/>
    <w:rsid w:val="009D3AEF"/>
    <w:rsid w:val="009D3E2F"/>
    <w:rsid w:val="009D3E90"/>
    <w:rsid w:val="009D454F"/>
    <w:rsid w:val="009D46D9"/>
    <w:rsid w:val="009D47FF"/>
    <w:rsid w:val="009E0A7A"/>
    <w:rsid w:val="009E1D49"/>
    <w:rsid w:val="009E24CB"/>
    <w:rsid w:val="009E2F66"/>
    <w:rsid w:val="009E4BB5"/>
    <w:rsid w:val="009E4E14"/>
    <w:rsid w:val="009E5DBE"/>
    <w:rsid w:val="009E6421"/>
    <w:rsid w:val="009E6815"/>
    <w:rsid w:val="009E7148"/>
    <w:rsid w:val="009E7514"/>
    <w:rsid w:val="009E7525"/>
    <w:rsid w:val="009F19C3"/>
    <w:rsid w:val="009F4180"/>
    <w:rsid w:val="009F5B28"/>
    <w:rsid w:val="009F6BDF"/>
    <w:rsid w:val="009F6C11"/>
    <w:rsid w:val="009F6DBF"/>
    <w:rsid w:val="009F734C"/>
    <w:rsid w:val="009F757B"/>
    <w:rsid w:val="009F7948"/>
    <w:rsid w:val="00A022AC"/>
    <w:rsid w:val="00A022BD"/>
    <w:rsid w:val="00A027F6"/>
    <w:rsid w:val="00A0423C"/>
    <w:rsid w:val="00A04C84"/>
    <w:rsid w:val="00A05515"/>
    <w:rsid w:val="00A067B2"/>
    <w:rsid w:val="00A06B9B"/>
    <w:rsid w:val="00A0716B"/>
    <w:rsid w:val="00A0776D"/>
    <w:rsid w:val="00A07E6E"/>
    <w:rsid w:val="00A110CB"/>
    <w:rsid w:val="00A113E7"/>
    <w:rsid w:val="00A126F5"/>
    <w:rsid w:val="00A12D4C"/>
    <w:rsid w:val="00A1304B"/>
    <w:rsid w:val="00A135C1"/>
    <w:rsid w:val="00A139BE"/>
    <w:rsid w:val="00A140FC"/>
    <w:rsid w:val="00A14D57"/>
    <w:rsid w:val="00A150D6"/>
    <w:rsid w:val="00A17DAF"/>
    <w:rsid w:val="00A17E5F"/>
    <w:rsid w:val="00A20D42"/>
    <w:rsid w:val="00A21A92"/>
    <w:rsid w:val="00A22801"/>
    <w:rsid w:val="00A23CD6"/>
    <w:rsid w:val="00A23EFF"/>
    <w:rsid w:val="00A24765"/>
    <w:rsid w:val="00A250E7"/>
    <w:rsid w:val="00A25FB3"/>
    <w:rsid w:val="00A26314"/>
    <w:rsid w:val="00A27232"/>
    <w:rsid w:val="00A27898"/>
    <w:rsid w:val="00A27903"/>
    <w:rsid w:val="00A27FE7"/>
    <w:rsid w:val="00A30596"/>
    <w:rsid w:val="00A31ABD"/>
    <w:rsid w:val="00A32389"/>
    <w:rsid w:val="00A33149"/>
    <w:rsid w:val="00A34B44"/>
    <w:rsid w:val="00A35282"/>
    <w:rsid w:val="00A37923"/>
    <w:rsid w:val="00A379AB"/>
    <w:rsid w:val="00A4137B"/>
    <w:rsid w:val="00A413FC"/>
    <w:rsid w:val="00A43093"/>
    <w:rsid w:val="00A43DC1"/>
    <w:rsid w:val="00A4595F"/>
    <w:rsid w:val="00A45B82"/>
    <w:rsid w:val="00A47D12"/>
    <w:rsid w:val="00A47EFB"/>
    <w:rsid w:val="00A50701"/>
    <w:rsid w:val="00A50B67"/>
    <w:rsid w:val="00A50FD4"/>
    <w:rsid w:val="00A522E7"/>
    <w:rsid w:val="00A52889"/>
    <w:rsid w:val="00A53296"/>
    <w:rsid w:val="00A53356"/>
    <w:rsid w:val="00A540FA"/>
    <w:rsid w:val="00A54900"/>
    <w:rsid w:val="00A553B3"/>
    <w:rsid w:val="00A55CFE"/>
    <w:rsid w:val="00A560B4"/>
    <w:rsid w:val="00A562F7"/>
    <w:rsid w:val="00A5672A"/>
    <w:rsid w:val="00A60679"/>
    <w:rsid w:val="00A62591"/>
    <w:rsid w:val="00A6391F"/>
    <w:rsid w:val="00A6428C"/>
    <w:rsid w:val="00A66C14"/>
    <w:rsid w:val="00A67B12"/>
    <w:rsid w:val="00A67BF2"/>
    <w:rsid w:val="00A67DE3"/>
    <w:rsid w:val="00A700DC"/>
    <w:rsid w:val="00A70891"/>
    <w:rsid w:val="00A72211"/>
    <w:rsid w:val="00A73EE2"/>
    <w:rsid w:val="00A746A3"/>
    <w:rsid w:val="00A74967"/>
    <w:rsid w:val="00A74AFC"/>
    <w:rsid w:val="00A74B20"/>
    <w:rsid w:val="00A74D3D"/>
    <w:rsid w:val="00A74F9C"/>
    <w:rsid w:val="00A754D8"/>
    <w:rsid w:val="00A76081"/>
    <w:rsid w:val="00A76ED9"/>
    <w:rsid w:val="00A8099F"/>
    <w:rsid w:val="00A80F72"/>
    <w:rsid w:val="00A81798"/>
    <w:rsid w:val="00A83A12"/>
    <w:rsid w:val="00A83DE6"/>
    <w:rsid w:val="00A83F83"/>
    <w:rsid w:val="00A84669"/>
    <w:rsid w:val="00A84DA9"/>
    <w:rsid w:val="00A850BE"/>
    <w:rsid w:val="00A8532B"/>
    <w:rsid w:val="00A856C5"/>
    <w:rsid w:val="00A85ABD"/>
    <w:rsid w:val="00A863DD"/>
    <w:rsid w:val="00A86F63"/>
    <w:rsid w:val="00A90B18"/>
    <w:rsid w:val="00A90C31"/>
    <w:rsid w:val="00A91452"/>
    <w:rsid w:val="00A921F2"/>
    <w:rsid w:val="00A92251"/>
    <w:rsid w:val="00A92C53"/>
    <w:rsid w:val="00A932B4"/>
    <w:rsid w:val="00A93526"/>
    <w:rsid w:val="00A945C3"/>
    <w:rsid w:val="00A947D5"/>
    <w:rsid w:val="00A94866"/>
    <w:rsid w:val="00A94A8D"/>
    <w:rsid w:val="00A96260"/>
    <w:rsid w:val="00A96EE8"/>
    <w:rsid w:val="00A9720E"/>
    <w:rsid w:val="00A97676"/>
    <w:rsid w:val="00A97CA6"/>
    <w:rsid w:val="00AA0BED"/>
    <w:rsid w:val="00AA27E6"/>
    <w:rsid w:val="00AA31BC"/>
    <w:rsid w:val="00AA3573"/>
    <w:rsid w:val="00AA37B0"/>
    <w:rsid w:val="00AA3F9B"/>
    <w:rsid w:val="00AA43C0"/>
    <w:rsid w:val="00AA586A"/>
    <w:rsid w:val="00AA66B6"/>
    <w:rsid w:val="00AA7670"/>
    <w:rsid w:val="00AA7EEC"/>
    <w:rsid w:val="00AB0141"/>
    <w:rsid w:val="00AB46F3"/>
    <w:rsid w:val="00AB6555"/>
    <w:rsid w:val="00AC0D28"/>
    <w:rsid w:val="00AC1327"/>
    <w:rsid w:val="00AC1A60"/>
    <w:rsid w:val="00AC21F5"/>
    <w:rsid w:val="00AC424A"/>
    <w:rsid w:val="00AC4702"/>
    <w:rsid w:val="00AC4D7F"/>
    <w:rsid w:val="00AC5213"/>
    <w:rsid w:val="00AC5810"/>
    <w:rsid w:val="00AC5C00"/>
    <w:rsid w:val="00AC7EAE"/>
    <w:rsid w:val="00AD210E"/>
    <w:rsid w:val="00AD2370"/>
    <w:rsid w:val="00AD2744"/>
    <w:rsid w:val="00AD4FDE"/>
    <w:rsid w:val="00AD694B"/>
    <w:rsid w:val="00AD7602"/>
    <w:rsid w:val="00AE2548"/>
    <w:rsid w:val="00AE34E1"/>
    <w:rsid w:val="00AE37B5"/>
    <w:rsid w:val="00AE3B00"/>
    <w:rsid w:val="00AE3BC8"/>
    <w:rsid w:val="00AE42D3"/>
    <w:rsid w:val="00AE4FD7"/>
    <w:rsid w:val="00AE5870"/>
    <w:rsid w:val="00AE5CE4"/>
    <w:rsid w:val="00AE627B"/>
    <w:rsid w:val="00AE6B42"/>
    <w:rsid w:val="00AE7667"/>
    <w:rsid w:val="00AE782E"/>
    <w:rsid w:val="00AE786D"/>
    <w:rsid w:val="00AE7BC9"/>
    <w:rsid w:val="00AF0CED"/>
    <w:rsid w:val="00AF2432"/>
    <w:rsid w:val="00AF272D"/>
    <w:rsid w:val="00AF31BD"/>
    <w:rsid w:val="00AF3C70"/>
    <w:rsid w:val="00AF470C"/>
    <w:rsid w:val="00AF6438"/>
    <w:rsid w:val="00AF79AE"/>
    <w:rsid w:val="00B00E4A"/>
    <w:rsid w:val="00B0131C"/>
    <w:rsid w:val="00B01F1C"/>
    <w:rsid w:val="00B02BC1"/>
    <w:rsid w:val="00B02D24"/>
    <w:rsid w:val="00B02EA7"/>
    <w:rsid w:val="00B031CB"/>
    <w:rsid w:val="00B058B5"/>
    <w:rsid w:val="00B06D2F"/>
    <w:rsid w:val="00B07171"/>
    <w:rsid w:val="00B07173"/>
    <w:rsid w:val="00B07739"/>
    <w:rsid w:val="00B07C8A"/>
    <w:rsid w:val="00B10013"/>
    <w:rsid w:val="00B10E1E"/>
    <w:rsid w:val="00B11E3E"/>
    <w:rsid w:val="00B11F0D"/>
    <w:rsid w:val="00B1217E"/>
    <w:rsid w:val="00B12333"/>
    <w:rsid w:val="00B13230"/>
    <w:rsid w:val="00B13A91"/>
    <w:rsid w:val="00B1419C"/>
    <w:rsid w:val="00B1532A"/>
    <w:rsid w:val="00B15548"/>
    <w:rsid w:val="00B1687F"/>
    <w:rsid w:val="00B20276"/>
    <w:rsid w:val="00B20284"/>
    <w:rsid w:val="00B20963"/>
    <w:rsid w:val="00B21658"/>
    <w:rsid w:val="00B21A18"/>
    <w:rsid w:val="00B24110"/>
    <w:rsid w:val="00B2434A"/>
    <w:rsid w:val="00B24813"/>
    <w:rsid w:val="00B24C1A"/>
    <w:rsid w:val="00B2508D"/>
    <w:rsid w:val="00B258C4"/>
    <w:rsid w:val="00B30AD4"/>
    <w:rsid w:val="00B30FF4"/>
    <w:rsid w:val="00B31AC2"/>
    <w:rsid w:val="00B31AF4"/>
    <w:rsid w:val="00B31EC3"/>
    <w:rsid w:val="00B3233A"/>
    <w:rsid w:val="00B3265D"/>
    <w:rsid w:val="00B32AE3"/>
    <w:rsid w:val="00B3436F"/>
    <w:rsid w:val="00B34E84"/>
    <w:rsid w:val="00B354FD"/>
    <w:rsid w:val="00B3578A"/>
    <w:rsid w:val="00B37252"/>
    <w:rsid w:val="00B400C5"/>
    <w:rsid w:val="00B41CCB"/>
    <w:rsid w:val="00B43BFF"/>
    <w:rsid w:val="00B46B89"/>
    <w:rsid w:val="00B47198"/>
    <w:rsid w:val="00B50697"/>
    <w:rsid w:val="00B51BFB"/>
    <w:rsid w:val="00B531F8"/>
    <w:rsid w:val="00B54386"/>
    <w:rsid w:val="00B5485C"/>
    <w:rsid w:val="00B54B48"/>
    <w:rsid w:val="00B55BFC"/>
    <w:rsid w:val="00B56E20"/>
    <w:rsid w:val="00B61D63"/>
    <w:rsid w:val="00B63AB7"/>
    <w:rsid w:val="00B63CA4"/>
    <w:rsid w:val="00B64445"/>
    <w:rsid w:val="00B644CE"/>
    <w:rsid w:val="00B64767"/>
    <w:rsid w:val="00B6478F"/>
    <w:rsid w:val="00B64E75"/>
    <w:rsid w:val="00B66126"/>
    <w:rsid w:val="00B705B5"/>
    <w:rsid w:val="00B70C75"/>
    <w:rsid w:val="00B717DC"/>
    <w:rsid w:val="00B720E3"/>
    <w:rsid w:val="00B727EA"/>
    <w:rsid w:val="00B72F9D"/>
    <w:rsid w:val="00B739A7"/>
    <w:rsid w:val="00B73E0B"/>
    <w:rsid w:val="00B762ED"/>
    <w:rsid w:val="00B771F1"/>
    <w:rsid w:val="00B77287"/>
    <w:rsid w:val="00B8047C"/>
    <w:rsid w:val="00B80541"/>
    <w:rsid w:val="00B80C64"/>
    <w:rsid w:val="00B826D9"/>
    <w:rsid w:val="00B833F4"/>
    <w:rsid w:val="00B849C3"/>
    <w:rsid w:val="00B85EF8"/>
    <w:rsid w:val="00B8668D"/>
    <w:rsid w:val="00B86D63"/>
    <w:rsid w:val="00B877E8"/>
    <w:rsid w:val="00B87BB0"/>
    <w:rsid w:val="00B902DB"/>
    <w:rsid w:val="00B90445"/>
    <w:rsid w:val="00B90CE7"/>
    <w:rsid w:val="00B91622"/>
    <w:rsid w:val="00B916D2"/>
    <w:rsid w:val="00B94425"/>
    <w:rsid w:val="00B951D3"/>
    <w:rsid w:val="00B95A0E"/>
    <w:rsid w:val="00B95ED6"/>
    <w:rsid w:val="00B96215"/>
    <w:rsid w:val="00B96AD3"/>
    <w:rsid w:val="00B97106"/>
    <w:rsid w:val="00B97F02"/>
    <w:rsid w:val="00BA22BB"/>
    <w:rsid w:val="00BA252C"/>
    <w:rsid w:val="00BA2D3F"/>
    <w:rsid w:val="00BA36F9"/>
    <w:rsid w:val="00BA45F4"/>
    <w:rsid w:val="00BA4DE2"/>
    <w:rsid w:val="00BA5B6A"/>
    <w:rsid w:val="00BB04E5"/>
    <w:rsid w:val="00BB146C"/>
    <w:rsid w:val="00BB27C8"/>
    <w:rsid w:val="00BB3868"/>
    <w:rsid w:val="00BB449E"/>
    <w:rsid w:val="00BB5076"/>
    <w:rsid w:val="00BB5138"/>
    <w:rsid w:val="00BB5419"/>
    <w:rsid w:val="00BB578C"/>
    <w:rsid w:val="00BB6398"/>
    <w:rsid w:val="00BB72E5"/>
    <w:rsid w:val="00BB77C6"/>
    <w:rsid w:val="00BC073F"/>
    <w:rsid w:val="00BC206C"/>
    <w:rsid w:val="00BC28F9"/>
    <w:rsid w:val="00BC2C8E"/>
    <w:rsid w:val="00BC4070"/>
    <w:rsid w:val="00BC4506"/>
    <w:rsid w:val="00BC4F53"/>
    <w:rsid w:val="00BC57A6"/>
    <w:rsid w:val="00BC6916"/>
    <w:rsid w:val="00BC6B41"/>
    <w:rsid w:val="00BC784D"/>
    <w:rsid w:val="00BD049D"/>
    <w:rsid w:val="00BD04F0"/>
    <w:rsid w:val="00BD11D3"/>
    <w:rsid w:val="00BD1AD3"/>
    <w:rsid w:val="00BD2170"/>
    <w:rsid w:val="00BD25B3"/>
    <w:rsid w:val="00BD295A"/>
    <w:rsid w:val="00BD3B82"/>
    <w:rsid w:val="00BD3BC3"/>
    <w:rsid w:val="00BD3F6A"/>
    <w:rsid w:val="00BD46C0"/>
    <w:rsid w:val="00BD5779"/>
    <w:rsid w:val="00BD6483"/>
    <w:rsid w:val="00BD7BDE"/>
    <w:rsid w:val="00BD7C91"/>
    <w:rsid w:val="00BE0C76"/>
    <w:rsid w:val="00BE1033"/>
    <w:rsid w:val="00BE20B9"/>
    <w:rsid w:val="00BE217C"/>
    <w:rsid w:val="00BE25E1"/>
    <w:rsid w:val="00BE405F"/>
    <w:rsid w:val="00BE4129"/>
    <w:rsid w:val="00BE44E8"/>
    <w:rsid w:val="00BE5F2B"/>
    <w:rsid w:val="00BE66CD"/>
    <w:rsid w:val="00BE76E2"/>
    <w:rsid w:val="00BE7E94"/>
    <w:rsid w:val="00BF0C9B"/>
    <w:rsid w:val="00BF1503"/>
    <w:rsid w:val="00BF2121"/>
    <w:rsid w:val="00BF2B61"/>
    <w:rsid w:val="00BF3222"/>
    <w:rsid w:val="00BF4B23"/>
    <w:rsid w:val="00BF60AE"/>
    <w:rsid w:val="00BF6DA5"/>
    <w:rsid w:val="00BF6E09"/>
    <w:rsid w:val="00C0037E"/>
    <w:rsid w:val="00C03817"/>
    <w:rsid w:val="00C03ED8"/>
    <w:rsid w:val="00C06303"/>
    <w:rsid w:val="00C07842"/>
    <w:rsid w:val="00C10B88"/>
    <w:rsid w:val="00C1212A"/>
    <w:rsid w:val="00C12356"/>
    <w:rsid w:val="00C1264A"/>
    <w:rsid w:val="00C1583D"/>
    <w:rsid w:val="00C15EC4"/>
    <w:rsid w:val="00C17027"/>
    <w:rsid w:val="00C1740C"/>
    <w:rsid w:val="00C17609"/>
    <w:rsid w:val="00C17F41"/>
    <w:rsid w:val="00C210D3"/>
    <w:rsid w:val="00C24074"/>
    <w:rsid w:val="00C25ADA"/>
    <w:rsid w:val="00C264AB"/>
    <w:rsid w:val="00C26995"/>
    <w:rsid w:val="00C26C5A"/>
    <w:rsid w:val="00C270BC"/>
    <w:rsid w:val="00C27678"/>
    <w:rsid w:val="00C30029"/>
    <w:rsid w:val="00C30504"/>
    <w:rsid w:val="00C31177"/>
    <w:rsid w:val="00C31346"/>
    <w:rsid w:val="00C325B0"/>
    <w:rsid w:val="00C32DDA"/>
    <w:rsid w:val="00C33896"/>
    <w:rsid w:val="00C33F33"/>
    <w:rsid w:val="00C34216"/>
    <w:rsid w:val="00C3460D"/>
    <w:rsid w:val="00C36950"/>
    <w:rsid w:val="00C373A1"/>
    <w:rsid w:val="00C41EFC"/>
    <w:rsid w:val="00C42A90"/>
    <w:rsid w:val="00C4452D"/>
    <w:rsid w:val="00C46D89"/>
    <w:rsid w:val="00C47DC3"/>
    <w:rsid w:val="00C51AB1"/>
    <w:rsid w:val="00C52765"/>
    <w:rsid w:val="00C53C60"/>
    <w:rsid w:val="00C5400C"/>
    <w:rsid w:val="00C54167"/>
    <w:rsid w:val="00C541FB"/>
    <w:rsid w:val="00C54B89"/>
    <w:rsid w:val="00C54EB8"/>
    <w:rsid w:val="00C55465"/>
    <w:rsid w:val="00C55CE8"/>
    <w:rsid w:val="00C560B8"/>
    <w:rsid w:val="00C576C5"/>
    <w:rsid w:val="00C57E71"/>
    <w:rsid w:val="00C60281"/>
    <w:rsid w:val="00C60816"/>
    <w:rsid w:val="00C6113C"/>
    <w:rsid w:val="00C61B31"/>
    <w:rsid w:val="00C61F0D"/>
    <w:rsid w:val="00C6260C"/>
    <w:rsid w:val="00C63424"/>
    <w:rsid w:val="00C65D18"/>
    <w:rsid w:val="00C67595"/>
    <w:rsid w:val="00C67DBB"/>
    <w:rsid w:val="00C70298"/>
    <w:rsid w:val="00C7079A"/>
    <w:rsid w:val="00C70A02"/>
    <w:rsid w:val="00C720E4"/>
    <w:rsid w:val="00C7229D"/>
    <w:rsid w:val="00C7354A"/>
    <w:rsid w:val="00C745AA"/>
    <w:rsid w:val="00C75F4F"/>
    <w:rsid w:val="00C76EDA"/>
    <w:rsid w:val="00C77265"/>
    <w:rsid w:val="00C7745B"/>
    <w:rsid w:val="00C77E32"/>
    <w:rsid w:val="00C803CE"/>
    <w:rsid w:val="00C8084B"/>
    <w:rsid w:val="00C81774"/>
    <w:rsid w:val="00C819F9"/>
    <w:rsid w:val="00C82101"/>
    <w:rsid w:val="00C82BC8"/>
    <w:rsid w:val="00C84015"/>
    <w:rsid w:val="00C85E77"/>
    <w:rsid w:val="00C86B5C"/>
    <w:rsid w:val="00C86C1B"/>
    <w:rsid w:val="00C86E6D"/>
    <w:rsid w:val="00C876B1"/>
    <w:rsid w:val="00C8779E"/>
    <w:rsid w:val="00C87E83"/>
    <w:rsid w:val="00C911D4"/>
    <w:rsid w:val="00C91287"/>
    <w:rsid w:val="00C93521"/>
    <w:rsid w:val="00C93888"/>
    <w:rsid w:val="00C93BB4"/>
    <w:rsid w:val="00C94704"/>
    <w:rsid w:val="00C94ACD"/>
    <w:rsid w:val="00C94D3F"/>
    <w:rsid w:val="00C96459"/>
    <w:rsid w:val="00C96E38"/>
    <w:rsid w:val="00C9731B"/>
    <w:rsid w:val="00C97C40"/>
    <w:rsid w:val="00C97C92"/>
    <w:rsid w:val="00CA0401"/>
    <w:rsid w:val="00CA0A89"/>
    <w:rsid w:val="00CA11F6"/>
    <w:rsid w:val="00CA1375"/>
    <w:rsid w:val="00CA179C"/>
    <w:rsid w:val="00CA1CB7"/>
    <w:rsid w:val="00CA1CD2"/>
    <w:rsid w:val="00CA37A8"/>
    <w:rsid w:val="00CA4EEB"/>
    <w:rsid w:val="00CA6A3F"/>
    <w:rsid w:val="00CA6B32"/>
    <w:rsid w:val="00CA7C4D"/>
    <w:rsid w:val="00CB0E63"/>
    <w:rsid w:val="00CB1417"/>
    <w:rsid w:val="00CB2777"/>
    <w:rsid w:val="00CB2E1F"/>
    <w:rsid w:val="00CB478B"/>
    <w:rsid w:val="00CB5158"/>
    <w:rsid w:val="00CB55FD"/>
    <w:rsid w:val="00CB5944"/>
    <w:rsid w:val="00CB6D46"/>
    <w:rsid w:val="00CB7161"/>
    <w:rsid w:val="00CB728B"/>
    <w:rsid w:val="00CB735C"/>
    <w:rsid w:val="00CB7D80"/>
    <w:rsid w:val="00CC027E"/>
    <w:rsid w:val="00CC1235"/>
    <w:rsid w:val="00CC1CCD"/>
    <w:rsid w:val="00CC20F9"/>
    <w:rsid w:val="00CC26F5"/>
    <w:rsid w:val="00CC2BB2"/>
    <w:rsid w:val="00CC3911"/>
    <w:rsid w:val="00CC481B"/>
    <w:rsid w:val="00CC66B9"/>
    <w:rsid w:val="00CC6847"/>
    <w:rsid w:val="00CD088F"/>
    <w:rsid w:val="00CD0AD4"/>
    <w:rsid w:val="00CD186C"/>
    <w:rsid w:val="00CD1FC9"/>
    <w:rsid w:val="00CD1FD8"/>
    <w:rsid w:val="00CD2E19"/>
    <w:rsid w:val="00CD3B17"/>
    <w:rsid w:val="00CD3BC9"/>
    <w:rsid w:val="00CD3C59"/>
    <w:rsid w:val="00CD40E2"/>
    <w:rsid w:val="00CD5D78"/>
    <w:rsid w:val="00CD60D5"/>
    <w:rsid w:val="00CD7C9C"/>
    <w:rsid w:val="00CE0432"/>
    <w:rsid w:val="00CE11A9"/>
    <w:rsid w:val="00CE1739"/>
    <w:rsid w:val="00CE1907"/>
    <w:rsid w:val="00CE1BB4"/>
    <w:rsid w:val="00CE2836"/>
    <w:rsid w:val="00CE3257"/>
    <w:rsid w:val="00CE3A57"/>
    <w:rsid w:val="00CE4FCA"/>
    <w:rsid w:val="00CE6A0A"/>
    <w:rsid w:val="00CE6F12"/>
    <w:rsid w:val="00CE7E61"/>
    <w:rsid w:val="00CE7ED6"/>
    <w:rsid w:val="00CF0EA2"/>
    <w:rsid w:val="00CF13B8"/>
    <w:rsid w:val="00CF28C2"/>
    <w:rsid w:val="00CF29E3"/>
    <w:rsid w:val="00CF34B8"/>
    <w:rsid w:val="00CF3A2B"/>
    <w:rsid w:val="00CF4957"/>
    <w:rsid w:val="00CF5875"/>
    <w:rsid w:val="00CF648C"/>
    <w:rsid w:val="00CF6FB5"/>
    <w:rsid w:val="00CF6FCE"/>
    <w:rsid w:val="00CF77E7"/>
    <w:rsid w:val="00CF7FDA"/>
    <w:rsid w:val="00D00227"/>
    <w:rsid w:val="00D00B5D"/>
    <w:rsid w:val="00D01634"/>
    <w:rsid w:val="00D01CC0"/>
    <w:rsid w:val="00D022B9"/>
    <w:rsid w:val="00D02DFC"/>
    <w:rsid w:val="00D02FFE"/>
    <w:rsid w:val="00D032F2"/>
    <w:rsid w:val="00D0423D"/>
    <w:rsid w:val="00D04651"/>
    <w:rsid w:val="00D047E5"/>
    <w:rsid w:val="00D049C3"/>
    <w:rsid w:val="00D06EFF"/>
    <w:rsid w:val="00D073F3"/>
    <w:rsid w:val="00D077B7"/>
    <w:rsid w:val="00D07887"/>
    <w:rsid w:val="00D07B61"/>
    <w:rsid w:val="00D07D80"/>
    <w:rsid w:val="00D10178"/>
    <w:rsid w:val="00D101D2"/>
    <w:rsid w:val="00D10A35"/>
    <w:rsid w:val="00D11AFD"/>
    <w:rsid w:val="00D1209F"/>
    <w:rsid w:val="00D12713"/>
    <w:rsid w:val="00D12EC1"/>
    <w:rsid w:val="00D1349A"/>
    <w:rsid w:val="00D138E6"/>
    <w:rsid w:val="00D1440B"/>
    <w:rsid w:val="00D15525"/>
    <w:rsid w:val="00D16CFB"/>
    <w:rsid w:val="00D16DE6"/>
    <w:rsid w:val="00D16F88"/>
    <w:rsid w:val="00D208A6"/>
    <w:rsid w:val="00D213E6"/>
    <w:rsid w:val="00D213F4"/>
    <w:rsid w:val="00D21620"/>
    <w:rsid w:val="00D21DAE"/>
    <w:rsid w:val="00D22F77"/>
    <w:rsid w:val="00D2356D"/>
    <w:rsid w:val="00D243A2"/>
    <w:rsid w:val="00D24887"/>
    <w:rsid w:val="00D25DF2"/>
    <w:rsid w:val="00D26BAA"/>
    <w:rsid w:val="00D27138"/>
    <w:rsid w:val="00D2720E"/>
    <w:rsid w:val="00D273D5"/>
    <w:rsid w:val="00D3008F"/>
    <w:rsid w:val="00D3309D"/>
    <w:rsid w:val="00D3442B"/>
    <w:rsid w:val="00D34D0B"/>
    <w:rsid w:val="00D34DF8"/>
    <w:rsid w:val="00D36496"/>
    <w:rsid w:val="00D370DD"/>
    <w:rsid w:val="00D40186"/>
    <w:rsid w:val="00D4282D"/>
    <w:rsid w:val="00D43B64"/>
    <w:rsid w:val="00D44662"/>
    <w:rsid w:val="00D45A23"/>
    <w:rsid w:val="00D460AC"/>
    <w:rsid w:val="00D46D80"/>
    <w:rsid w:val="00D479A4"/>
    <w:rsid w:val="00D506E1"/>
    <w:rsid w:val="00D50A5E"/>
    <w:rsid w:val="00D50CFD"/>
    <w:rsid w:val="00D528B5"/>
    <w:rsid w:val="00D52E95"/>
    <w:rsid w:val="00D534E2"/>
    <w:rsid w:val="00D56E13"/>
    <w:rsid w:val="00D574D6"/>
    <w:rsid w:val="00D607C2"/>
    <w:rsid w:val="00D61199"/>
    <w:rsid w:val="00D61F40"/>
    <w:rsid w:val="00D622EC"/>
    <w:rsid w:val="00D623AF"/>
    <w:rsid w:val="00D64126"/>
    <w:rsid w:val="00D65953"/>
    <w:rsid w:val="00D65A78"/>
    <w:rsid w:val="00D665F7"/>
    <w:rsid w:val="00D70C8E"/>
    <w:rsid w:val="00D726AD"/>
    <w:rsid w:val="00D73633"/>
    <w:rsid w:val="00D73FDF"/>
    <w:rsid w:val="00D75790"/>
    <w:rsid w:val="00D75813"/>
    <w:rsid w:val="00D76018"/>
    <w:rsid w:val="00D76083"/>
    <w:rsid w:val="00D7779A"/>
    <w:rsid w:val="00D8040E"/>
    <w:rsid w:val="00D80D30"/>
    <w:rsid w:val="00D81C5F"/>
    <w:rsid w:val="00D828AC"/>
    <w:rsid w:val="00D83251"/>
    <w:rsid w:val="00D8482F"/>
    <w:rsid w:val="00D85744"/>
    <w:rsid w:val="00D8624B"/>
    <w:rsid w:val="00D863F8"/>
    <w:rsid w:val="00D90682"/>
    <w:rsid w:val="00D90C42"/>
    <w:rsid w:val="00D90FDA"/>
    <w:rsid w:val="00D915D3"/>
    <w:rsid w:val="00D91844"/>
    <w:rsid w:val="00D943A3"/>
    <w:rsid w:val="00D9614A"/>
    <w:rsid w:val="00D963A5"/>
    <w:rsid w:val="00D97408"/>
    <w:rsid w:val="00D9755B"/>
    <w:rsid w:val="00D9761B"/>
    <w:rsid w:val="00D9780E"/>
    <w:rsid w:val="00DA02B6"/>
    <w:rsid w:val="00DA049C"/>
    <w:rsid w:val="00DA0A99"/>
    <w:rsid w:val="00DA1DE6"/>
    <w:rsid w:val="00DA2F03"/>
    <w:rsid w:val="00DA4E28"/>
    <w:rsid w:val="00DA59B9"/>
    <w:rsid w:val="00DA657E"/>
    <w:rsid w:val="00DA68F6"/>
    <w:rsid w:val="00DA6F72"/>
    <w:rsid w:val="00DB03D9"/>
    <w:rsid w:val="00DB0ED2"/>
    <w:rsid w:val="00DB139A"/>
    <w:rsid w:val="00DB3587"/>
    <w:rsid w:val="00DB4122"/>
    <w:rsid w:val="00DB52EA"/>
    <w:rsid w:val="00DB5BAA"/>
    <w:rsid w:val="00DB6C28"/>
    <w:rsid w:val="00DB7330"/>
    <w:rsid w:val="00DB7BD6"/>
    <w:rsid w:val="00DC01CF"/>
    <w:rsid w:val="00DC0304"/>
    <w:rsid w:val="00DC048F"/>
    <w:rsid w:val="00DC05AA"/>
    <w:rsid w:val="00DC05C9"/>
    <w:rsid w:val="00DC07E6"/>
    <w:rsid w:val="00DC1D64"/>
    <w:rsid w:val="00DC2245"/>
    <w:rsid w:val="00DC3758"/>
    <w:rsid w:val="00DC3B4F"/>
    <w:rsid w:val="00DC465D"/>
    <w:rsid w:val="00DC5888"/>
    <w:rsid w:val="00DC5EF3"/>
    <w:rsid w:val="00DC7A3C"/>
    <w:rsid w:val="00DD177A"/>
    <w:rsid w:val="00DD1CB4"/>
    <w:rsid w:val="00DD1D88"/>
    <w:rsid w:val="00DD1E12"/>
    <w:rsid w:val="00DD25AF"/>
    <w:rsid w:val="00DD2B5A"/>
    <w:rsid w:val="00DD405A"/>
    <w:rsid w:val="00DD4618"/>
    <w:rsid w:val="00DD63EA"/>
    <w:rsid w:val="00DD7942"/>
    <w:rsid w:val="00DD7C9A"/>
    <w:rsid w:val="00DE0F91"/>
    <w:rsid w:val="00DE1EB2"/>
    <w:rsid w:val="00DE260A"/>
    <w:rsid w:val="00DE2BCE"/>
    <w:rsid w:val="00DE3126"/>
    <w:rsid w:val="00DE3142"/>
    <w:rsid w:val="00DE3877"/>
    <w:rsid w:val="00DE48CE"/>
    <w:rsid w:val="00DE4DF9"/>
    <w:rsid w:val="00DE4E50"/>
    <w:rsid w:val="00DE4F7E"/>
    <w:rsid w:val="00DE50B8"/>
    <w:rsid w:val="00DE51AF"/>
    <w:rsid w:val="00DE6415"/>
    <w:rsid w:val="00DE6453"/>
    <w:rsid w:val="00DE6A64"/>
    <w:rsid w:val="00DE72F6"/>
    <w:rsid w:val="00DE75CE"/>
    <w:rsid w:val="00DE7B75"/>
    <w:rsid w:val="00DE7D89"/>
    <w:rsid w:val="00DE7DFD"/>
    <w:rsid w:val="00DF0108"/>
    <w:rsid w:val="00DF02CF"/>
    <w:rsid w:val="00DF054C"/>
    <w:rsid w:val="00DF0696"/>
    <w:rsid w:val="00DF2554"/>
    <w:rsid w:val="00DF2587"/>
    <w:rsid w:val="00DF31A7"/>
    <w:rsid w:val="00DF42F2"/>
    <w:rsid w:val="00DF51F1"/>
    <w:rsid w:val="00DF521F"/>
    <w:rsid w:val="00DF5223"/>
    <w:rsid w:val="00DF55D3"/>
    <w:rsid w:val="00DF7250"/>
    <w:rsid w:val="00DF72A5"/>
    <w:rsid w:val="00DF7B48"/>
    <w:rsid w:val="00E00BCE"/>
    <w:rsid w:val="00E02B75"/>
    <w:rsid w:val="00E04177"/>
    <w:rsid w:val="00E04341"/>
    <w:rsid w:val="00E04E49"/>
    <w:rsid w:val="00E04F98"/>
    <w:rsid w:val="00E05BBE"/>
    <w:rsid w:val="00E060D6"/>
    <w:rsid w:val="00E06342"/>
    <w:rsid w:val="00E0677E"/>
    <w:rsid w:val="00E07ED7"/>
    <w:rsid w:val="00E10C8D"/>
    <w:rsid w:val="00E10D18"/>
    <w:rsid w:val="00E1153C"/>
    <w:rsid w:val="00E11A31"/>
    <w:rsid w:val="00E13035"/>
    <w:rsid w:val="00E134B3"/>
    <w:rsid w:val="00E1363E"/>
    <w:rsid w:val="00E13E0E"/>
    <w:rsid w:val="00E13F9A"/>
    <w:rsid w:val="00E143C7"/>
    <w:rsid w:val="00E15FF2"/>
    <w:rsid w:val="00E1624F"/>
    <w:rsid w:val="00E20830"/>
    <w:rsid w:val="00E20949"/>
    <w:rsid w:val="00E22095"/>
    <w:rsid w:val="00E22B41"/>
    <w:rsid w:val="00E24E70"/>
    <w:rsid w:val="00E25417"/>
    <w:rsid w:val="00E26493"/>
    <w:rsid w:val="00E26FF4"/>
    <w:rsid w:val="00E271C1"/>
    <w:rsid w:val="00E27C67"/>
    <w:rsid w:val="00E27CED"/>
    <w:rsid w:val="00E3064D"/>
    <w:rsid w:val="00E33259"/>
    <w:rsid w:val="00E33458"/>
    <w:rsid w:val="00E33C03"/>
    <w:rsid w:val="00E33F1B"/>
    <w:rsid w:val="00E346D4"/>
    <w:rsid w:val="00E34D99"/>
    <w:rsid w:val="00E352DF"/>
    <w:rsid w:val="00E35E4A"/>
    <w:rsid w:val="00E36CA0"/>
    <w:rsid w:val="00E37057"/>
    <w:rsid w:val="00E37C9D"/>
    <w:rsid w:val="00E40836"/>
    <w:rsid w:val="00E4115A"/>
    <w:rsid w:val="00E4185F"/>
    <w:rsid w:val="00E418A7"/>
    <w:rsid w:val="00E41E7D"/>
    <w:rsid w:val="00E425D3"/>
    <w:rsid w:val="00E42FDE"/>
    <w:rsid w:val="00E4395B"/>
    <w:rsid w:val="00E44EE7"/>
    <w:rsid w:val="00E451F1"/>
    <w:rsid w:val="00E45518"/>
    <w:rsid w:val="00E45D67"/>
    <w:rsid w:val="00E50CAC"/>
    <w:rsid w:val="00E52070"/>
    <w:rsid w:val="00E52BA5"/>
    <w:rsid w:val="00E53907"/>
    <w:rsid w:val="00E54872"/>
    <w:rsid w:val="00E54C00"/>
    <w:rsid w:val="00E56697"/>
    <w:rsid w:val="00E57EAD"/>
    <w:rsid w:val="00E60023"/>
    <w:rsid w:val="00E600D6"/>
    <w:rsid w:val="00E605AE"/>
    <w:rsid w:val="00E61031"/>
    <w:rsid w:val="00E613A0"/>
    <w:rsid w:val="00E61705"/>
    <w:rsid w:val="00E61D84"/>
    <w:rsid w:val="00E6235E"/>
    <w:rsid w:val="00E6236E"/>
    <w:rsid w:val="00E64383"/>
    <w:rsid w:val="00E643EB"/>
    <w:rsid w:val="00E64524"/>
    <w:rsid w:val="00E64A78"/>
    <w:rsid w:val="00E674E5"/>
    <w:rsid w:val="00E675D0"/>
    <w:rsid w:val="00E677BE"/>
    <w:rsid w:val="00E702C4"/>
    <w:rsid w:val="00E71C32"/>
    <w:rsid w:val="00E71EFD"/>
    <w:rsid w:val="00E74412"/>
    <w:rsid w:val="00E74EEC"/>
    <w:rsid w:val="00E74FFA"/>
    <w:rsid w:val="00E753AA"/>
    <w:rsid w:val="00E757CE"/>
    <w:rsid w:val="00E76A9F"/>
    <w:rsid w:val="00E76FA7"/>
    <w:rsid w:val="00E80C4B"/>
    <w:rsid w:val="00E81AB3"/>
    <w:rsid w:val="00E8263E"/>
    <w:rsid w:val="00E8332B"/>
    <w:rsid w:val="00E8455F"/>
    <w:rsid w:val="00E8721F"/>
    <w:rsid w:val="00E874B4"/>
    <w:rsid w:val="00E87ED2"/>
    <w:rsid w:val="00E90F8A"/>
    <w:rsid w:val="00E9259D"/>
    <w:rsid w:val="00E93101"/>
    <w:rsid w:val="00E9313E"/>
    <w:rsid w:val="00E948A5"/>
    <w:rsid w:val="00E94EA7"/>
    <w:rsid w:val="00E95E76"/>
    <w:rsid w:val="00E962F2"/>
    <w:rsid w:val="00E96CCC"/>
    <w:rsid w:val="00E9716E"/>
    <w:rsid w:val="00E977FB"/>
    <w:rsid w:val="00EA0ED1"/>
    <w:rsid w:val="00EA279A"/>
    <w:rsid w:val="00EA2F8B"/>
    <w:rsid w:val="00EA57D0"/>
    <w:rsid w:val="00EA6445"/>
    <w:rsid w:val="00EA70CB"/>
    <w:rsid w:val="00EA71EB"/>
    <w:rsid w:val="00EA7D98"/>
    <w:rsid w:val="00EB17E3"/>
    <w:rsid w:val="00EB21D4"/>
    <w:rsid w:val="00EB2483"/>
    <w:rsid w:val="00EB2758"/>
    <w:rsid w:val="00EB3769"/>
    <w:rsid w:val="00EB476A"/>
    <w:rsid w:val="00EB5B14"/>
    <w:rsid w:val="00EB683C"/>
    <w:rsid w:val="00EB734F"/>
    <w:rsid w:val="00EB75C2"/>
    <w:rsid w:val="00EC02A2"/>
    <w:rsid w:val="00EC070C"/>
    <w:rsid w:val="00EC0724"/>
    <w:rsid w:val="00EC0B9D"/>
    <w:rsid w:val="00EC0C9D"/>
    <w:rsid w:val="00EC0E05"/>
    <w:rsid w:val="00EC1A19"/>
    <w:rsid w:val="00EC23BF"/>
    <w:rsid w:val="00EC2D8A"/>
    <w:rsid w:val="00EC3280"/>
    <w:rsid w:val="00EC3E45"/>
    <w:rsid w:val="00EC4359"/>
    <w:rsid w:val="00EC50EF"/>
    <w:rsid w:val="00EC5273"/>
    <w:rsid w:val="00EC65FD"/>
    <w:rsid w:val="00EC7FDD"/>
    <w:rsid w:val="00ED1312"/>
    <w:rsid w:val="00ED3121"/>
    <w:rsid w:val="00ED3E13"/>
    <w:rsid w:val="00ED64EE"/>
    <w:rsid w:val="00ED7CC1"/>
    <w:rsid w:val="00EE01D0"/>
    <w:rsid w:val="00EE08D1"/>
    <w:rsid w:val="00EE0E63"/>
    <w:rsid w:val="00EE47B1"/>
    <w:rsid w:val="00EE5274"/>
    <w:rsid w:val="00EE55CB"/>
    <w:rsid w:val="00EE5671"/>
    <w:rsid w:val="00EE6081"/>
    <w:rsid w:val="00EE6375"/>
    <w:rsid w:val="00EE6C5B"/>
    <w:rsid w:val="00EF05FD"/>
    <w:rsid w:val="00EF1219"/>
    <w:rsid w:val="00EF1B3B"/>
    <w:rsid w:val="00EF1FB8"/>
    <w:rsid w:val="00EF231F"/>
    <w:rsid w:val="00EF3B2E"/>
    <w:rsid w:val="00EF4657"/>
    <w:rsid w:val="00EF4AAC"/>
    <w:rsid w:val="00EF4C37"/>
    <w:rsid w:val="00EF5378"/>
    <w:rsid w:val="00EF54AC"/>
    <w:rsid w:val="00EF59F0"/>
    <w:rsid w:val="00F00465"/>
    <w:rsid w:val="00F00F70"/>
    <w:rsid w:val="00F02FDE"/>
    <w:rsid w:val="00F045F2"/>
    <w:rsid w:val="00F05C0C"/>
    <w:rsid w:val="00F05C68"/>
    <w:rsid w:val="00F0749E"/>
    <w:rsid w:val="00F075A8"/>
    <w:rsid w:val="00F1056D"/>
    <w:rsid w:val="00F10B41"/>
    <w:rsid w:val="00F113B5"/>
    <w:rsid w:val="00F1154F"/>
    <w:rsid w:val="00F12106"/>
    <w:rsid w:val="00F13231"/>
    <w:rsid w:val="00F13F11"/>
    <w:rsid w:val="00F149A4"/>
    <w:rsid w:val="00F15307"/>
    <w:rsid w:val="00F15AB4"/>
    <w:rsid w:val="00F15ED8"/>
    <w:rsid w:val="00F164E6"/>
    <w:rsid w:val="00F16855"/>
    <w:rsid w:val="00F16DC2"/>
    <w:rsid w:val="00F17346"/>
    <w:rsid w:val="00F178C8"/>
    <w:rsid w:val="00F17B63"/>
    <w:rsid w:val="00F21756"/>
    <w:rsid w:val="00F2296F"/>
    <w:rsid w:val="00F252E5"/>
    <w:rsid w:val="00F26A87"/>
    <w:rsid w:val="00F27049"/>
    <w:rsid w:val="00F308D4"/>
    <w:rsid w:val="00F30CF8"/>
    <w:rsid w:val="00F3239B"/>
    <w:rsid w:val="00F34292"/>
    <w:rsid w:val="00F35ABF"/>
    <w:rsid w:val="00F362B5"/>
    <w:rsid w:val="00F36B80"/>
    <w:rsid w:val="00F405A9"/>
    <w:rsid w:val="00F41906"/>
    <w:rsid w:val="00F4190E"/>
    <w:rsid w:val="00F41A6F"/>
    <w:rsid w:val="00F43475"/>
    <w:rsid w:val="00F4375D"/>
    <w:rsid w:val="00F44DCB"/>
    <w:rsid w:val="00F460F9"/>
    <w:rsid w:val="00F46D04"/>
    <w:rsid w:val="00F4723C"/>
    <w:rsid w:val="00F47F3F"/>
    <w:rsid w:val="00F520A9"/>
    <w:rsid w:val="00F52F66"/>
    <w:rsid w:val="00F533BC"/>
    <w:rsid w:val="00F534F3"/>
    <w:rsid w:val="00F53AA0"/>
    <w:rsid w:val="00F54787"/>
    <w:rsid w:val="00F54B7A"/>
    <w:rsid w:val="00F54D98"/>
    <w:rsid w:val="00F5519F"/>
    <w:rsid w:val="00F57471"/>
    <w:rsid w:val="00F57672"/>
    <w:rsid w:val="00F605A8"/>
    <w:rsid w:val="00F608E2"/>
    <w:rsid w:val="00F61E95"/>
    <w:rsid w:val="00F63934"/>
    <w:rsid w:val="00F647A2"/>
    <w:rsid w:val="00F64F8E"/>
    <w:rsid w:val="00F66ABB"/>
    <w:rsid w:val="00F7014A"/>
    <w:rsid w:val="00F7062F"/>
    <w:rsid w:val="00F715BA"/>
    <w:rsid w:val="00F72CAC"/>
    <w:rsid w:val="00F7304F"/>
    <w:rsid w:val="00F750A2"/>
    <w:rsid w:val="00F7574E"/>
    <w:rsid w:val="00F76B24"/>
    <w:rsid w:val="00F76B4C"/>
    <w:rsid w:val="00F7719C"/>
    <w:rsid w:val="00F773B6"/>
    <w:rsid w:val="00F7747B"/>
    <w:rsid w:val="00F777F3"/>
    <w:rsid w:val="00F77815"/>
    <w:rsid w:val="00F77B94"/>
    <w:rsid w:val="00F80155"/>
    <w:rsid w:val="00F8118E"/>
    <w:rsid w:val="00F818FA"/>
    <w:rsid w:val="00F839E3"/>
    <w:rsid w:val="00F83DDF"/>
    <w:rsid w:val="00F84C34"/>
    <w:rsid w:val="00F8609A"/>
    <w:rsid w:val="00F86B1B"/>
    <w:rsid w:val="00F8764E"/>
    <w:rsid w:val="00F87871"/>
    <w:rsid w:val="00F878C2"/>
    <w:rsid w:val="00F90A8F"/>
    <w:rsid w:val="00F91195"/>
    <w:rsid w:val="00F923DE"/>
    <w:rsid w:val="00F938EE"/>
    <w:rsid w:val="00F9423F"/>
    <w:rsid w:val="00F94752"/>
    <w:rsid w:val="00F95529"/>
    <w:rsid w:val="00F965F7"/>
    <w:rsid w:val="00F96CC1"/>
    <w:rsid w:val="00F977F7"/>
    <w:rsid w:val="00F97934"/>
    <w:rsid w:val="00FA108E"/>
    <w:rsid w:val="00FA2F73"/>
    <w:rsid w:val="00FA3027"/>
    <w:rsid w:val="00FA3EB0"/>
    <w:rsid w:val="00FA4155"/>
    <w:rsid w:val="00FA4A08"/>
    <w:rsid w:val="00FA4DB9"/>
    <w:rsid w:val="00FA5AC5"/>
    <w:rsid w:val="00FA5C57"/>
    <w:rsid w:val="00FA60BF"/>
    <w:rsid w:val="00FA67E6"/>
    <w:rsid w:val="00FA707C"/>
    <w:rsid w:val="00FB13C0"/>
    <w:rsid w:val="00FB204D"/>
    <w:rsid w:val="00FB22A1"/>
    <w:rsid w:val="00FB2CE4"/>
    <w:rsid w:val="00FB3C74"/>
    <w:rsid w:val="00FB4486"/>
    <w:rsid w:val="00FB4BAB"/>
    <w:rsid w:val="00FB4C7F"/>
    <w:rsid w:val="00FB4DFC"/>
    <w:rsid w:val="00FB5308"/>
    <w:rsid w:val="00FB6F40"/>
    <w:rsid w:val="00FB6FB1"/>
    <w:rsid w:val="00FB7CD5"/>
    <w:rsid w:val="00FC057E"/>
    <w:rsid w:val="00FC09B6"/>
    <w:rsid w:val="00FC0E82"/>
    <w:rsid w:val="00FC1C7C"/>
    <w:rsid w:val="00FC1ED9"/>
    <w:rsid w:val="00FC23EF"/>
    <w:rsid w:val="00FC3C5B"/>
    <w:rsid w:val="00FC3DC5"/>
    <w:rsid w:val="00FC5D2A"/>
    <w:rsid w:val="00FC692E"/>
    <w:rsid w:val="00FD0635"/>
    <w:rsid w:val="00FD08E7"/>
    <w:rsid w:val="00FD326B"/>
    <w:rsid w:val="00FD4590"/>
    <w:rsid w:val="00FD5416"/>
    <w:rsid w:val="00FD5EDE"/>
    <w:rsid w:val="00FD6FA6"/>
    <w:rsid w:val="00FD7CE2"/>
    <w:rsid w:val="00FE0490"/>
    <w:rsid w:val="00FE14CB"/>
    <w:rsid w:val="00FE1E89"/>
    <w:rsid w:val="00FE224B"/>
    <w:rsid w:val="00FE25D0"/>
    <w:rsid w:val="00FE3E11"/>
    <w:rsid w:val="00FE437E"/>
    <w:rsid w:val="00FE44B9"/>
    <w:rsid w:val="00FE469E"/>
    <w:rsid w:val="00FE5245"/>
    <w:rsid w:val="00FE585E"/>
    <w:rsid w:val="00FE5897"/>
    <w:rsid w:val="00FE5A74"/>
    <w:rsid w:val="00FE5DA9"/>
    <w:rsid w:val="00FE6905"/>
    <w:rsid w:val="00FE7D3B"/>
    <w:rsid w:val="00FE7EE4"/>
    <w:rsid w:val="00FF0CE4"/>
    <w:rsid w:val="00FF1496"/>
    <w:rsid w:val="00FF14A3"/>
    <w:rsid w:val="00FF174C"/>
    <w:rsid w:val="00FF3293"/>
    <w:rsid w:val="00FF32A1"/>
    <w:rsid w:val="00FF37E9"/>
    <w:rsid w:val="00FF3AB6"/>
    <w:rsid w:val="00FF3FA1"/>
    <w:rsid w:val="00FF5A82"/>
    <w:rsid w:val="00FF5D23"/>
    <w:rsid w:val="00FF615D"/>
    <w:rsid w:val="00FF6511"/>
    <w:rsid w:val="00FF7475"/>
    <w:rsid w:val="00FF7D2B"/>
    <w:rsid w:val="011B609E"/>
    <w:rsid w:val="01203AB8"/>
    <w:rsid w:val="015010AA"/>
    <w:rsid w:val="016570CA"/>
    <w:rsid w:val="016A347B"/>
    <w:rsid w:val="01801798"/>
    <w:rsid w:val="018D1D97"/>
    <w:rsid w:val="019C54BA"/>
    <w:rsid w:val="01B11D31"/>
    <w:rsid w:val="01B14C06"/>
    <w:rsid w:val="01BB2247"/>
    <w:rsid w:val="01C20C37"/>
    <w:rsid w:val="01E21679"/>
    <w:rsid w:val="01FA2417"/>
    <w:rsid w:val="021C316A"/>
    <w:rsid w:val="02497DC5"/>
    <w:rsid w:val="02D72892"/>
    <w:rsid w:val="02F76F90"/>
    <w:rsid w:val="0313351D"/>
    <w:rsid w:val="03225EBC"/>
    <w:rsid w:val="0331568B"/>
    <w:rsid w:val="03331B52"/>
    <w:rsid w:val="034E123B"/>
    <w:rsid w:val="038370CA"/>
    <w:rsid w:val="03AF009C"/>
    <w:rsid w:val="03B22EB7"/>
    <w:rsid w:val="03EE1974"/>
    <w:rsid w:val="03F946A1"/>
    <w:rsid w:val="03FF60FC"/>
    <w:rsid w:val="04561A95"/>
    <w:rsid w:val="04922F68"/>
    <w:rsid w:val="0498022D"/>
    <w:rsid w:val="04A80BB2"/>
    <w:rsid w:val="04C41D07"/>
    <w:rsid w:val="04D47AED"/>
    <w:rsid w:val="04D72BD5"/>
    <w:rsid w:val="04DD0BDE"/>
    <w:rsid w:val="04F211FD"/>
    <w:rsid w:val="054144F3"/>
    <w:rsid w:val="05964489"/>
    <w:rsid w:val="05BF3C09"/>
    <w:rsid w:val="05C11CB3"/>
    <w:rsid w:val="05E56C5B"/>
    <w:rsid w:val="05FF204E"/>
    <w:rsid w:val="06291F19"/>
    <w:rsid w:val="06311428"/>
    <w:rsid w:val="064B2EFA"/>
    <w:rsid w:val="066300E8"/>
    <w:rsid w:val="06986394"/>
    <w:rsid w:val="06B07291"/>
    <w:rsid w:val="06B2781F"/>
    <w:rsid w:val="06BC4119"/>
    <w:rsid w:val="06FC4FE2"/>
    <w:rsid w:val="070E0F46"/>
    <w:rsid w:val="071E1F77"/>
    <w:rsid w:val="07217D98"/>
    <w:rsid w:val="07230354"/>
    <w:rsid w:val="078330CF"/>
    <w:rsid w:val="07950B26"/>
    <w:rsid w:val="07CB7562"/>
    <w:rsid w:val="08210512"/>
    <w:rsid w:val="08246B9D"/>
    <w:rsid w:val="08406CE4"/>
    <w:rsid w:val="0841589E"/>
    <w:rsid w:val="08606D2F"/>
    <w:rsid w:val="08A5700D"/>
    <w:rsid w:val="08A950C0"/>
    <w:rsid w:val="09320D22"/>
    <w:rsid w:val="094A73A8"/>
    <w:rsid w:val="094F54E0"/>
    <w:rsid w:val="099826B8"/>
    <w:rsid w:val="099E1D54"/>
    <w:rsid w:val="09B252A0"/>
    <w:rsid w:val="09C75365"/>
    <w:rsid w:val="0A0E7CC3"/>
    <w:rsid w:val="0A67437D"/>
    <w:rsid w:val="0A9C3FF0"/>
    <w:rsid w:val="0A9D5F75"/>
    <w:rsid w:val="0AAE050B"/>
    <w:rsid w:val="0B0C10FF"/>
    <w:rsid w:val="0B330A57"/>
    <w:rsid w:val="0B3E34A4"/>
    <w:rsid w:val="0B7D3B65"/>
    <w:rsid w:val="0B861314"/>
    <w:rsid w:val="0BA76028"/>
    <w:rsid w:val="0BF927F0"/>
    <w:rsid w:val="0C1B1C59"/>
    <w:rsid w:val="0C527C98"/>
    <w:rsid w:val="0C6A6D99"/>
    <w:rsid w:val="0C6D7423"/>
    <w:rsid w:val="0CCC02C9"/>
    <w:rsid w:val="0CDE0DBE"/>
    <w:rsid w:val="0D010ED2"/>
    <w:rsid w:val="0D26294C"/>
    <w:rsid w:val="0D2D03B4"/>
    <w:rsid w:val="0D4268F6"/>
    <w:rsid w:val="0D494B5D"/>
    <w:rsid w:val="0D663D9A"/>
    <w:rsid w:val="0D6D7E7A"/>
    <w:rsid w:val="0D803DE0"/>
    <w:rsid w:val="0D9B25D5"/>
    <w:rsid w:val="0DFF4618"/>
    <w:rsid w:val="0E1606BA"/>
    <w:rsid w:val="0E466A71"/>
    <w:rsid w:val="0E817E24"/>
    <w:rsid w:val="0EA65706"/>
    <w:rsid w:val="0EA867EE"/>
    <w:rsid w:val="0EAB79FE"/>
    <w:rsid w:val="0EAE4631"/>
    <w:rsid w:val="0ED938A1"/>
    <w:rsid w:val="0F1F783B"/>
    <w:rsid w:val="0F2332B5"/>
    <w:rsid w:val="0F2C7FC2"/>
    <w:rsid w:val="0F3672DB"/>
    <w:rsid w:val="0F3B1C50"/>
    <w:rsid w:val="0F4B5006"/>
    <w:rsid w:val="0F6C173D"/>
    <w:rsid w:val="0F723707"/>
    <w:rsid w:val="0F8D44C4"/>
    <w:rsid w:val="0F9E1512"/>
    <w:rsid w:val="0FC339F6"/>
    <w:rsid w:val="0FC6545B"/>
    <w:rsid w:val="0FE515BF"/>
    <w:rsid w:val="0FF11AD6"/>
    <w:rsid w:val="10085717"/>
    <w:rsid w:val="104A5783"/>
    <w:rsid w:val="1067666B"/>
    <w:rsid w:val="10AD2D8F"/>
    <w:rsid w:val="10EC36E3"/>
    <w:rsid w:val="11186A30"/>
    <w:rsid w:val="1120753A"/>
    <w:rsid w:val="113245E9"/>
    <w:rsid w:val="118633B7"/>
    <w:rsid w:val="11A67D57"/>
    <w:rsid w:val="1202516B"/>
    <w:rsid w:val="12083555"/>
    <w:rsid w:val="12554A88"/>
    <w:rsid w:val="129E0923"/>
    <w:rsid w:val="129E21C9"/>
    <w:rsid w:val="12C51243"/>
    <w:rsid w:val="12E4191E"/>
    <w:rsid w:val="12E62049"/>
    <w:rsid w:val="12FF1AC9"/>
    <w:rsid w:val="13655D82"/>
    <w:rsid w:val="137A6A94"/>
    <w:rsid w:val="137C1780"/>
    <w:rsid w:val="137E513F"/>
    <w:rsid w:val="13A64828"/>
    <w:rsid w:val="13FF40DE"/>
    <w:rsid w:val="14176AB5"/>
    <w:rsid w:val="14253209"/>
    <w:rsid w:val="14554A0D"/>
    <w:rsid w:val="14770F16"/>
    <w:rsid w:val="14935D07"/>
    <w:rsid w:val="14B44CE1"/>
    <w:rsid w:val="14B80346"/>
    <w:rsid w:val="14BE670D"/>
    <w:rsid w:val="14DF4D11"/>
    <w:rsid w:val="14EB32E3"/>
    <w:rsid w:val="14F52FE5"/>
    <w:rsid w:val="1510360E"/>
    <w:rsid w:val="15205FE5"/>
    <w:rsid w:val="153E5197"/>
    <w:rsid w:val="15AD23FE"/>
    <w:rsid w:val="15AE34DE"/>
    <w:rsid w:val="15B20F62"/>
    <w:rsid w:val="160B656C"/>
    <w:rsid w:val="160F6598"/>
    <w:rsid w:val="161D0F66"/>
    <w:rsid w:val="16337603"/>
    <w:rsid w:val="167D5E96"/>
    <w:rsid w:val="168A5A99"/>
    <w:rsid w:val="16A93BC6"/>
    <w:rsid w:val="16AD0FFF"/>
    <w:rsid w:val="16EF2001"/>
    <w:rsid w:val="170610F8"/>
    <w:rsid w:val="171447CD"/>
    <w:rsid w:val="17227540"/>
    <w:rsid w:val="175224D1"/>
    <w:rsid w:val="17861225"/>
    <w:rsid w:val="17A61150"/>
    <w:rsid w:val="17DB7F17"/>
    <w:rsid w:val="17F1420E"/>
    <w:rsid w:val="180065DE"/>
    <w:rsid w:val="18040BE2"/>
    <w:rsid w:val="18512847"/>
    <w:rsid w:val="18562E3A"/>
    <w:rsid w:val="18713064"/>
    <w:rsid w:val="188F7751"/>
    <w:rsid w:val="189B6524"/>
    <w:rsid w:val="18B70996"/>
    <w:rsid w:val="18EC2E72"/>
    <w:rsid w:val="18F56459"/>
    <w:rsid w:val="195C76F5"/>
    <w:rsid w:val="19772B02"/>
    <w:rsid w:val="19791E80"/>
    <w:rsid w:val="19C2772D"/>
    <w:rsid w:val="19E23D13"/>
    <w:rsid w:val="19F5712E"/>
    <w:rsid w:val="1A216877"/>
    <w:rsid w:val="1A4E2C79"/>
    <w:rsid w:val="1A594D65"/>
    <w:rsid w:val="1A5B36E3"/>
    <w:rsid w:val="1A6E76E0"/>
    <w:rsid w:val="1A7C2E0A"/>
    <w:rsid w:val="1AC45552"/>
    <w:rsid w:val="1AE6442F"/>
    <w:rsid w:val="1AE72562"/>
    <w:rsid w:val="1AFD7DD2"/>
    <w:rsid w:val="1B1172A3"/>
    <w:rsid w:val="1B1A3DC2"/>
    <w:rsid w:val="1B3D238A"/>
    <w:rsid w:val="1BA77E3C"/>
    <w:rsid w:val="1BB56A79"/>
    <w:rsid w:val="1BE514FB"/>
    <w:rsid w:val="1C0E4FD7"/>
    <w:rsid w:val="1C385A98"/>
    <w:rsid w:val="1C3D7F62"/>
    <w:rsid w:val="1C5B59DF"/>
    <w:rsid w:val="1C7D0291"/>
    <w:rsid w:val="1CAF2B6F"/>
    <w:rsid w:val="1CC47F67"/>
    <w:rsid w:val="1CC70C64"/>
    <w:rsid w:val="1CCD47D1"/>
    <w:rsid w:val="1CE63000"/>
    <w:rsid w:val="1CF5372F"/>
    <w:rsid w:val="1CFF0AC4"/>
    <w:rsid w:val="1D0330AF"/>
    <w:rsid w:val="1D22280C"/>
    <w:rsid w:val="1D4B5AB7"/>
    <w:rsid w:val="1D6F0EAA"/>
    <w:rsid w:val="1DBA2812"/>
    <w:rsid w:val="1DBA5E0C"/>
    <w:rsid w:val="1DE76E77"/>
    <w:rsid w:val="1DFA622C"/>
    <w:rsid w:val="1E2B7A27"/>
    <w:rsid w:val="1E413DFF"/>
    <w:rsid w:val="1E7F3F1E"/>
    <w:rsid w:val="1E910C55"/>
    <w:rsid w:val="1ED26B6B"/>
    <w:rsid w:val="1EE1004B"/>
    <w:rsid w:val="1F1839F5"/>
    <w:rsid w:val="1F403D00"/>
    <w:rsid w:val="1F461EEB"/>
    <w:rsid w:val="1F754312"/>
    <w:rsid w:val="1FB73684"/>
    <w:rsid w:val="1FCB2C57"/>
    <w:rsid w:val="1FCC06CD"/>
    <w:rsid w:val="1FE1254C"/>
    <w:rsid w:val="1FF030A7"/>
    <w:rsid w:val="1FF9197B"/>
    <w:rsid w:val="1FFF19CA"/>
    <w:rsid w:val="200118CD"/>
    <w:rsid w:val="204A5E21"/>
    <w:rsid w:val="204D5FEA"/>
    <w:rsid w:val="2092780F"/>
    <w:rsid w:val="20D34741"/>
    <w:rsid w:val="20FB17E4"/>
    <w:rsid w:val="21041B4F"/>
    <w:rsid w:val="212E107B"/>
    <w:rsid w:val="214E0B03"/>
    <w:rsid w:val="21661111"/>
    <w:rsid w:val="217771F7"/>
    <w:rsid w:val="217A22CB"/>
    <w:rsid w:val="21815F4B"/>
    <w:rsid w:val="219405BB"/>
    <w:rsid w:val="219E55D3"/>
    <w:rsid w:val="21A97F88"/>
    <w:rsid w:val="21B5392E"/>
    <w:rsid w:val="22141A80"/>
    <w:rsid w:val="221A0B49"/>
    <w:rsid w:val="225D46D5"/>
    <w:rsid w:val="22906FA9"/>
    <w:rsid w:val="22BC414A"/>
    <w:rsid w:val="22EA5D1B"/>
    <w:rsid w:val="23041931"/>
    <w:rsid w:val="231E25BB"/>
    <w:rsid w:val="23474BA1"/>
    <w:rsid w:val="23522A46"/>
    <w:rsid w:val="237E662A"/>
    <w:rsid w:val="23956A32"/>
    <w:rsid w:val="23B50BAC"/>
    <w:rsid w:val="23CA0447"/>
    <w:rsid w:val="23DD3E1D"/>
    <w:rsid w:val="23FF13A9"/>
    <w:rsid w:val="24043D2A"/>
    <w:rsid w:val="24085B1D"/>
    <w:rsid w:val="241E5CD3"/>
    <w:rsid w:val="246663ED"/>
    <w:rsid w:val="24671674"/>
    <w:rsid w:val="246D27B7"/>
    <w:rsid w:val="24926765"/>
    <w:rsid w:val="24AA57B9"/>
    <w:rsid w:val="24B659C5"/>
    <w:rsid w:val="24CA7C09"/>
    <w:rsid w:val="24EB5A5A"/>
    <w:rsid w:val="250D6B57"/>
    <w:rsid w:val="25284887"/>
    <w:rsid w:val="25787261"/>
    <w:rsid w:val="258157FB"/>
    <w:rsid w:val="25B21D4E"/>
    <w:rsid w:val="25BA0ADA"/>
    <w:rsid w:val="25D4692C"/>
    <w:rsid w:val="25D9195D"/>
    <w:rsid w:val="262518DA"/>
    <w:rsid w:val="262958AD"/>
    <w:rsid w:val="267D2399"/>
    <w:rsid w:val="268C70C4"/>
    <w:rsid w:val="26986D34"/>
    <w:rsid w:val="26C3475A"/>
    <w:rsid w:val="274243CE"/>
    <w:rsid w:val="27513464"/>
    <w:rsid w:val="27617FC1"/>
    <w:rsid w:val="27AA2ECC"/>
    <w:rsid w:val="27C10C81"/>
    <w:rsid w:val="27C6599E"/>
    <w:rsid w:val="287A53A0"/>
    <w:rsid w:val="289D60C5"/>
    <w:rsid w:val="28B5297E"/>
    <w:rsid w:val="28EF5799"/>
    <w:rsid w:val="290F02E0"/>
    <w:rsid w:val="2942746F"/>
    <w:rsid w:val="294A5EAA"/>
    <w:rsid w:val="296F408E"/>
    <w:rsid w:val="298C278E"/>
    <w:rsid w:val="29F24443"/>
    <w:rsid w:val="29FA4DB3"/>
    <w:rsid w:val="2A6334FF"/>
    <w:rsid w:val="2A670803"/>
    <w:rsid w:val="2A814865"/>
    <w:rsid w:val="2A864D34"/>
    <w:rsid w:val="2AA11BBB"/>
    <w:rsid w:val="2AB84F46"/>
    <w:rsid w:val="2AB970B7"/>
    <w:rsid w:val="2AC02B05"/>
    <w:rsid w:val="2AD22063"/>
    <w:rsid w:val="2ADE4A5A"/>
    <w:rsid w:val="2AEB2F44"/>
    <w:rsid w:val="2B580267"/>
    <w:rsid w:val="2B7A38F9"/>
    <w:rsid w:val="2B904518"/>
    <w:rsid w:val="2BF56177"/>
    <w:rsid w:val="2C043729"/>
    <w:rsid w:val="2C446624"/>
    <w:rsid w:val="2C6A192D"/>
    <w:rsid w:val="2CD535EF"/>
    <w:rsid w:val="2D062784"/>
    <w:rsid w:val="2D402581"/>
    <w:rsid w:val="2D564730"/>
    <w:rsid w:val="2D8B3AA8"/>
    <w:rsid w:val="2D8B5555"/>
    <w:rsid w:val="2DAC144D"/>
    <w:rsid w:val="2DD82FE8"/>
    <w:rsid w:val="2DE33931"/>
    <w:rsid w:val="2E0266F3"/>
    <w:rsid w:val="2E6A207C"/>
    <w:rsid w:val="2E8A1C8F"/>
    <w:rsid w:val="2E9277C7"/>
    <w:rsid w:val="2EB21CA2"/>
    <w:rsid w:val="2EB327E1"/>
    <w:rsid w:val="2EBE3270"/>
    <w:rsid w:val="2EDA313F"/>
    <w:rsid w:val="2EE97D1D"/>
    <w:rsid w:val="2F272951"/>
    <w:rsid w:val="2F536BC1"/>
    <w:rsid w:val="2F9D194C"/>
    <w:rsid w:val="2FA625BC"/>
    <w:rsid w:val="2FC54455"/>
    <w:rsid w:val="2FDB2552"/>
    <w:rsid w:val="300701D9"/>
    <w:rsid w:val="303E3EDB"/>
    <w:rsid w:val="30750BCA"/>
    <w:rsid w:val="308F2696"/>
    <w:rsid w:val="30AF20B2"/>
    <w:rsid w:val="30C576B5"/>
    <w:rsid w:val="30C71A99"/>
    <w:rsid w:val="30D67AED"/>
    <w:rsid w:val="30E672E7"/>
    <w:rsid w:val="30F73308"/>
    <w:rsid w:val="30FC068C"/>
    <w:rsid w:val="30FF525B"/>
    <w:rsid w:val="31197C61"/>
    <w:rsid w:val="3121636C"/>
    <w:rsid w:val="3128164D"/>
    <w:rsid w:val="31393D0B"/>
    <w:rsid w:val="313C687A"/>
    <w:rsid w:val="31471305"/>
    <w:rsid w:val="31552F50"/>
    <w:rsid w:val="317F3A0E"/>
    <w:rsid w:val="318772B5"/>
    <w:rsid w:val="318B1795"/>
    <w:rsid w:val="318D5335"/>
    <w:rsid w:val="31BE09F5"/>
    <w:rsid w:val="31CF708E"/>
    <w:rsid w:val="31D20CB8"/>
    <w:rsid w:val="32025F32"/>
    <w:rsid w:val="321522E4"/>
    <w:rsid w:val="323D3BB4"/>
    <w:rsid w:val="32431F1A"/>
    <w:rsid w:val="324C7700"/>
    <w:rsid w:val="324E32ED"/>
    <w:rsid w:val="325A0134"/>
    <w:rsid w:val="32681759"/>
    <w:rsid w:val="32A933D3"/>
    <w:rsid w:val="32AF1CF9"/>
    <w:rsid w:val="32C55DBE"/>
    <w:rsid w:val="330D3BDB"/>
    <w:rsid w:val="33351062"/>
    <w:rsid w:val="334A756F"/>
    <w:rsid w:val="33535654"/>
    <w:rsid w:val="335674D7"/>
    <w:rsid w:val="33631731"/>
    <w:rsid w:val="33647109"/>
    <w:rsid w:val="33673367"/>
    <w:rsid w:val="336809E1"/>
    <w:rsid w:val="3372039B"/>
    <w:rsid w:val="33785864"/>
    <w:rsid w:val="33AC2E79"/>
    <w:rsid w:val="33F702EF"/>
    <w:rsid w:val="33FE4ED8"/>
    <w:rsid w:val="347E7293"/>
    <w:rsid w:val="348002E4"/>
    <w:rsid w:val="349E27E5"/>
    <w:rsid w:val="34F0546A"/>
    <w:rsid w:val="35134CB4"/>
    <w:rsid w:val="358A706E"/>
    <w:rsid w:val="360266F6"/>
    <w:rsid w:val="36210699"/>
    <w:rsid w:val="36586C55"/>
    <w:rsid w:val="3676374D"/>
    <w:rsid w:val="3681649D"/>
    <w:rsid w:val="36914A2B"/>
    <w:rsid w:val="36E641B0"/>
    <w:rsid w:val="37135E71"/>
    <w:rsid w:val="37201D86"/>
    <w:rsid w:val="372E2279"/>
    <w:rsid w:val="37340B1D"/>
    <w:rsid w:val="373F4B97"/>
    <w:rsid w:val="37522F6F"/>
    <w:rsid w:val="376F21F9"/>
    <w:rsid w:val="37BA0680"/>
    <w:rsid w:val="37F401F0"/>
    <w:rsid w:val="38050F1D"/>
    <w:rsid w:val="38167C38"/>
    <w:rsid w:val="381B27FE"/>
    <w:rsid w:val="382328E4"/>
    <w:rsid w:val="384B0C09"/>
    <w:rsid w:val="386A05F6"/>
    <w:rsid w:val="3877602E"/>
    <w:rsid w:val="38821652"/>
    <w:rsid w:val="389A0168"/>
    <w:rsid w:val="38A61264"/>
    <w:rsid w:val="38C77E4D"/>
    <w:rsid w:val="38CB3825"/>
    <w:rsid w:val="38D31EFB"/>
    <w:rsid w:val="38EF1480"/>
    <w:rsid w:val="390B61E4"/>
    <w:rsid w:val="39333B77"/>
    <w:rsid w:val="3940251A"/>
    <w:rsid w:val="394967D1"/>
    <w:rsid w:val="3961079B"/>
    <w:rsid w:val="39636DDD"/>
    <w:rsid w:val="399D7BBA"/>
    <w:rsid w:val="39A968A7"/>
    <w:rsid w:val="39AF7098"/>
    <w:rsid w:val="39D37108"/>
    <w:rsid w:val="39D966E3"/>
    <w:rsid w:val="39DF4A9D"/>
    <w:rsid w:val="39E4143F"/>
    <w:rsid w:val="3A977B99"/>
    <w:rsid w:val="3A9C0161"/>
    <w:rsid w:val="3AA92AED"/>
    <w:rsid w:val="3ABF55C9"/>
    <w:rsid w:val="3AC328E0"/>
    <w:rsid w:val="3AC727C9"/>
    <w:rsid w:val="3AFE1D17"/>
    <w:rsid w:val="3B07350D"/>
    <w:rsid w:val="3B143505"/>
    <w:rsid w:val="3B146949"/>
    <w:rsid w:val="3B236911"/>
    <w:rsid w:val="3B494567"/>
    <w:rsid w:val="3B786E57"/>
    <w:rsid w:val="3BF74D73"/>
    <w:rsid w:val="3C1956B5"/>
    <w:rsid w:val="3C261771"/>
    <w:rsid w:val="3C470F01"/>
    <w:rsid w:val="3C7E4D09"/>
    <w:rsid w:val="3C826E52"/>
    <w:rsid w:val="3CB1039E"/>
    <w:rsid w:val="3CBC08FD"/>
    <w:rsid w:val="3CBE7ACF"/>
    <w:rsid w:val="3D1E68EC"/>
    <w:rsid w:val="3D2B5CCA"/>
    <w:rsid w:val="3D346109"/>
    <w:rsid w:val="3D3E7892"/>
    <w:rsid w:val="3D6A0C7C"/>
    <w:rsid w:val="3D6D7A89"/>
    <w:rsid w:val="3D76583D"/>
    <w:rsid w:val="3D7C1DDE"/>
    <w:rsid w:val="3D9E4EC8"/>
    <w:rsid w:val="3D9E6899"/>
    <w:rsid w:val="3DA84DBE"/>
    <w:rsid w:val="3DC54FBA"/>
    <w:rsid w:val="3DC56D68"/>
    <w:rsid w:val="3DCD46DD"/>
    <w:rsid w:val="3DF20044"/>
    <w:rsid w:val="3DF937E3"/>
    <w:rsid w:val="3E391C30"/>
    <w:rsid w:val="3E635864"/>
    <w:rsid w:val="3E7734E0"/>
    <w:rsid w:val="3E8B5EA2"/>
    <w:rsid w:val="3E951A15"/>
    <w:rsid w:val="3EAD2E3C"/>
    <w:rsid w:val="3EB968CD"/>
    <w:rsid w:val="3F521966"/>
    <w:rsid w:val="3FB67F14"/>
    <w:rsid w:val="3FBA9291"/>
    <w:rsid w:val="40352DA8"/>
    <w:rsid w:val="405A4613"/>
    <w:rsid w:val="4060397D"/>
    <w:rsid w:val="406552EC"/>
    <w:rsid w:val="409C408B"/>
    <w:rsid w:val="40B30B18"/>
    <w:rsid w:val="40CF23D7"/>
    <w:rsid w:val="40D55514"/>
    <w:rsid w:val="40F94425"/>
    <w:rsid w:val="411063A8"/>
    <w:rsid w:val="41226AE7"/>
    <w:rsid w:val="413309DD"/>
    <w:rsid w:val="418D1537"/>
    <w:rsid w:val="41BE0FAC"/>
    <w:rsid w:val="41D32337"/>
    <w:rsid w:val="41FF0A67"/>
    <w:rsid w:val="42064FC2"/>
    <w:rsid w:val="42141E62"/>
    <w:rsid w:val="4230127B"/>
    <w:rsid w:val="425A6597"/>
    <w:rsid w:val="426452A3"/>
    <w:rsid w:val="42B530EB"/>
    <w:rsid w:val="42DD0C8B"/>
    <w:rsid w:val="43146368"/>
    <w:rsid w:val="431B09B8"/>
    <w:rsid w:val="431F2EC4"/>
    <w:rsid w:val="435C38A7"/>
    <w:rsid w:val="436C1CAB"/>
    <w:rsid w:val="43A067A0"/>
    <w:rsid w:val="43AE495E"/>
    <w:rsid w:val="444238AE"/>
    <w:rsid w:val="44550E45"/>
    <w:rsid w:val="44604887"/>
    <w:rsid w:val="4489684F"/>
    <w:rsid w:val="44CB58A8"/>
    <w:rsid w:val="44DF7562"/>
    <w:rsid w:val="45235D66"/>
    <w:rsid w:val="452D7DE1"/>
    <w:rsid w:val="454669E0"/>
    <w:rsid w:val="454D291D"/>
    <w:rsid w:val="4565162D"/>
    <w:rsid w:val="45735417"/>
    <w:rsid w:val="45B9610A"/>
    <w:rsid w:val="45C5296F"/>
    <w:rsid w:val="45D93101"/>
    <w:rsid w:val="46805F22"/>
    <w:rsid w:val="46923296"/>
    <w:rsid w:val="469E06AA"/>
    <w:rsid w:val="46A35290"/>
    <w:rsid w:val="46B20870"/>
    <w:rsid w:val="46BA1434"/>
    <w:rsid w:val="470F296C"/>
    <w:rsid w:val="47237081"/>
    <w:rsid w:val="47242D51"/>
    <w:rsid w:val="475C6F0F"/>
    <w:rsid w:val="478550DE"/>
    <w:rsid w:val="479D11C6"/>
    <w:rsid w:val="47E81371"/>
    <w:rsid w:val="482E0744"/>
    <w:rsid w:val="48832BE0"/>
    <w:rsid w:val="488F6C58"/>
    <w:rsid w:val="48A84BA3"/>
    <w:rsid w:val="48AE7160"/>
    <w:rsid w:val="48F31FEC"/>
    <w:rsid w:val="48F514A5"/>
    <w:rsid w:val="491C7DDB"/>
    <w:rsid w:val="493F0230"/>
    <w:rsid w:val="495F570C"/>
    <w:rsid w:val="496D1BA9"/>
    <w:rsid w:val="49B22896"/>
    <w:rsid w:val="49D11EAC"/>
    <w:rsid w:val="49F61ACB"/>
    <w:rsid w:val="49FA28DF"/>
    <w:rsid w:val="4A0F3003"/>
    <w:rsid w:val="4A4675C3"/>
    <w:rsid w:val="4A4C5208"/>
    <w:rsid w:val="4A805C96"/>
    <w:rsid w:val="4A8927A6"/>
    <w:rsid w:val="4AC036E8"/>
    <w:rsid w:val="4AC760EA"/>
    <w:rsid w:val="4AD8632C"/>
    <w:rsid w:val="4AF313B8"/>
    <w:rsid w:val="4B140BC5"/>
    <w:rsid w:val="4B1C6B9E"/>
    <w:rsid w:val="4B245A16"/>
    <w:rsid w:val="4B2668A2"/>
    <w:rsid w:val="4B2C243B"/>
    <w:rsid w:val="4B3B30DB"/>
    <w:rsid w:val="4B421DA5"/>
    <w:rsid w:val="4B4A5785"/>
    <w:rsid w:val="4B531FE6"/>
    <w:rsid w:val="4B790CA2"/>
    <w:rsid w:val="4B98430C"/>
    <w:rsid w:val="4BA74373"/>
    <w:rsid w:val="4BB40B47"/>
    <w:rsid w:val="4BC64573"/>
    <w:rsid w:val="4C16799F"/>
    <w:rsid w:val="4C2D3A30"/>
    <w:rsid w:val="4C63156F"/>
    <w:rsid w:val="4CA1354D"/>
    <w:rsid w:val="4CB64798"/>
    <w:rsid w:val="4CF91CC3"/>
    <w:rsid w:val="4D105E11"/>
    <w:rsid w:val="4D3337E2"/>
    <w:rsid w:val="4D3B0F38"/>
    <w:rsid w:val="4D624C64"/>
    <w:rsid w:val="4D640BC1"/>
    <w:rsid w:val="4D810EB4"/>
    <w:rsid w:val="4D9A1FBF"/>
    <w:rsid w:val="4DB83084"/>
    <w:rsid w:val="4DFA07BB"/>
    <w:rsid w:val="4E166581"/>
    <w:rsid w:val="4E427551"/>
    <w:rsid w:val="4E6E3A66"/>
    <w:rsid w:val="4E7061A0"/>
    <w:rsid w:val="4EAA7FE0"/>
    <w:rsid w:val="4EB03827"/>
    <w:rsid w:val="4EED094E"/>
    <w:rsid w:val="4F041DE6"/>
    <w:rsid w:val="4F2F679E"/>
    <w:rsid w:val="4F3F2E1E"/>
    <w:rsid w:val="4F5502A8"/>
    <w:rsid w:val="4F751A7C"/>
    <w:rsid w:val="4F9D5310"/>
    <w:rsid w:val="4F9E292E"/>
    <w:rsid w:val="4FA727D4"/>
    <w:rsid w:val="4FFD681F"/>
    <w:rsid w:val="500018BC"/>
    <w:rsid w:val="50011E81"/>
    <w:rsid w:val="50250266"/>
    <w:rsid w:val="504226CA"/>
    <w:rsid w:val="50C64E79"/>
    <w:rsid w:val="50C86E43"/>
    <w:rsid w:val="50DE6667"/>
    <w:rsid w:val="51053BF3"/>
    <w:rsid w:val="513C1731"/>
    <w:rsid w:val="515A0FD2"/>
    <w:rsid w:val="51660888"/>
    <w:rsid w:val="5173609B"/>
    <w:rsid w:val="5181579E"/>
    <w:rsid w:val="51A50103"/>
    <w:rsid w:val="51A83299"/>
    <w:rsid w:val="52036385"/>
    <w:rsid w:val="52065E75"/>
    <w:rsid w:val="521C656E"/>
    <w:rsid w:val="52224331"/>
    <w:rsid w:val="5227238D"/>
    <w:rsid w:val="523C2BCA"/>
    <w:rsid w:val="527F1783"/>
    <w:rsid w:val="52D198D2"/>
    <w:rsid w:val="52E635B0"/>
    <w:rsid w:val="52FB3500"/>
    <w:rsid w:val="536B290F"/>
    <w:rsid w:val="537930FC"/>
    <w:rsid w:val="53AA4F24"/>
    <w:rsid w:val="53AC6653"/>
    <w:rsid w:val="53FA37B7"/>
    <w:rsid w:val="54097D48"/>
    <w:rsid w:val="540B7534"/>
    <w:rsid w:val="54183FF5"/>
    <w:rsid w:val="542B04BF"/>
    <w:rsid w:val="54764ED6"/>
    <w:rsid w:val="548A09C2"/>
    <w:rsid w:val="54CA3C11"/>
    <w:rsid w:val="54E80059"/>
    <w:rsid w:val="54F56B06"/>
    <w:rsid w:val="552D6CE0"/>
    <w:rsid w:val="55364E38"/>
    <w:rsid w:val="55432854"/>
    <w:rsid w:val="554967A4"/>
    <w:rsid w:val="55ED5354"/>
    <w:rsid w:val="560D4C7C"/>
    <w:rsid w:val="56312D95"/>
    <w:rsid w:val="56723AD9"/>
    <w:rsid w:val="567D5FDA"/>
    <w:rsid w:val="571563F0"/>
    <w:rsid w:val="57377E84"/>
    <w:rsid w:val="575213BF"/>
    <w:rsid w:val="577218B7"/>
    <w:rsid w:val="577C77EE"/>
    <w:rsid w:val="57B27CEE"/>
    <w:rsid w:val="57E91B79"/>
    <w:rsid w:val="57FB21B7"/>
    <w:rsid w:val="57FB4603"/>
    <w:rsid w:val="5805513C"/>
    <w:rsid w:val="58327824"/>
    <w:rsid w:val="58444534"/>
    <w:rsid w:val="58767185"/>
    <w:rsid w:val="58F06C5F"/>
    <w:rsid w:val="58F8777F"/>
    <w:rsid w:val="594B6385"/>
    <w:rsid w:val="59606E1A"/>
    <w:rsid w:val="59610F3C"/>
    <w:rsid w:val="59625723"/>
    <w:rsid w:val="596F3F43"/>
    <w:rsid w:val="597715CC"/>
    <w:rsid w:val="598439D0"/>
    <w:rsid w:val="5A1C3AC5"/>
    <w:rsid w:val="5A273430"/>
    <w:rsid w:val="5A8B6567"/>
    <w:rsid w:val="5A8D599C"/>
    <w:rsid w:val="5A9304C2"/>
    <w:rsid w:val="5AD602D0"/>
    <w:rsid w:val="5AE96331"/>
    <w:rsid w:val="5AFB0056"/>
    <w:rsid w:val="5B264E92"/>
    <w:rsid w:val="5B3B333C"/>
    <w:rsid w:val="5B534D4B"/>
    <w:rsid w:val="5B6B1EF9"/>
    <w:rsid w:val="5B7148DE"/>
    <w:rsid w:val="5B72720F"/>
    <w:rsid w:val="5B9577A4"/>
    <w:rsid w:val="5BB82F9C"/>
    <w:rsid w:val="5BC0067F"/>
    <w:rsid w:val="5BFF5C30"/>
    <w:rsid w:val="5C0E6052"/>
    <w:rsid w:val="5C2E5C4B"/>
    <w:rsid w:val="5C4C6B7A"/>
    <w:rsid w:val="5CA6356F"/>
    <w:rsid w:val="5CE172C2"/>
    <w:rsid w:val="5CEE41C5"/>
    <w:rsid w:val="5D0E6E6F"/>
    <w:rsid w:val="5D27015D"/>
    <w:rsid w:val="5D335644"/>
    <w:rsid w:val="5D36061C"/>
    <w:rsid w:val="5D613219"/>
    <w:rsid w:val="5D731EE5"/>
    <w:rsid w:val="5D773A70"/>
    <w:rsid w:val="5DCF532F"/>
    <w:rsid w:val="5DD32BF7"/>
    <w:rsid w:val="5E3A7745"/>
    <w:rsid w:val="5E582E8C"/>
    <w:rsid w:val="5E7A5CD0"/>
    <w:rsid w:val="5E826883"/>
    <w:rsid w:val="5EB80508"/>
    <w:rsid w:val="5ED60B1C"/>
    <w:rsid w:val="5EDE4267"/>
    <w:rsid w:val="5F2F16C9"/>
    <w:rsid w:val="5F457320"/>
    <w:rsid w:val="5F5435B3"/>
    <w:rsid w:val="5F5E65E2"/>
    <w:rsid w:val="5F7B4C5E"/>
    <w:rsid w:val="5FBA1C7F"/>
    <w:rsid w:val="60006884"/>
    <w:rsid w:val="602A7314"/>
    <w:rsid w:val="607853FD"/>
    <w:rsid w:val="608B0080"/>
    <w:rsid w:val="608E2C7F"/>
    <w:rsid w:val="60BA4C5B"/>
    <w:rsid w:val="60DC5176"/>
    <w:rsid w:val="60ED2175"/>
    <w:rsid w:val="60FA371B"/>
    <w:rsid w:val="612F7066"/>
    <w:rsid w:val="61410811"/>
    <w:rsid w:val="615A2F22"/>
    <w:rsid w:val="617F0BAF"/>
    <w:rsid w:val="619E7B58"/>
    <w:rsid w:val="61C2304A"/>
    <w:rsid w:val="61DA389B"/>
    <w:rsid w:val="61F53F91"/>
    <w:rsid w:val="62017CD5"/>
    <w:rsid w:val="62082F3C"/>
    <w:rsid w:val="622938A5"/>
    <w:rsid w:val="62557A45"/>
    <w:rsid w:val="6269266B"/>
    <w:rsid w:val="62985900"/>
    <w:rsid w:val="629F4D22"/>
    <w:rsid w:val="62D4771E"/>
    <w:rsid w:val="62D65FCB"/>
    <w:rsid w:val="62DE6B35"/>
    <w:rsid w:val="63836D2F"/>
    <w:rsid w:val="63C9592A"/>
    <w:rsid w:val="63DF6B1A"/>
    <w:rsid w:val="63F9292C"/>
    <w:rsid w:val="63FA3360"/>
    <w:rsid w:val="64300B2F"/>
    <w:rsid w:val="64484D7D"/>
    <w:rsid w:val="644C495D"/>
    <w:rsid w:val="644C6833"/>
    <w:rsid w:val="64530827"/>
    <w:rsid w:val="647158EB"/>
    <w:rsid w:val="64986E00"/>
    <w:rsid w:val="64B45608"/>
    <w:rsid w:val="650A1BBB"/>
    <w:rsid w:val="65203492"/>
    <w:rsid w:val="6547121B"/>
    <w:rsid w:val="655854B9"/>
    <w:rsid w:val="658355A1"/>
    <w:rsid w:val="65BC21E0"/>
    <w:rsid w:val="65CB39C1"/>
    <w:rsid w:val="66032C5F"/>
    <w:rsid w:val="6603474E"/>
    <w:rsid w:val="661D72F9"/>
    <w:rsid w:val="664647F4"/>
    <w:rsid w:val="665070E4"/>
    <w:rsid w:val="668313EA"/>
    <w:rsid w:val="66C82224"/>
    <w:rsid w:val="66DB5EC0"/>
    <w:rsid w:val="66EE6C6C"/>
    <w:rsid w:val="67044C14"/>
    <w:rsid w:val="67120469"/>
    <w:rsid w:val="678069F0"/>
    <w:rsid w:val="678B64F1"/>
    <w:rsid w:val="67A16819"/>
    <w:rsid w:val="67F307F2"/>
    <w:rsid w:val="67FC5801"/>
    <w:rsid w:val="680E1188"/>
    <w:rsid w:val="685E422D"/>
    <w:rsid w:val="68AA1EC4"/>
    <w:rsid w:val="68C46AF0"/>
    <w:rsid w:val="68D87BAD"/>
    <w:rsid w:val="69403BFF"/>
    <w:rsid w:val="69404428"/>
    <w:rsid w:val="69645196"/>
    <w:rsid w:val="697D3697"/>
    <w:rsid w:val="69B35D3E"/>
    <w:rsid w:val="69F27258"/>
    <w:rsid w:val="69F95B3D"/>
    <w:rsid w:val="6A002D52"/>
    <w:rsid w:val="6A072332"/>
    <w:rsid w:val="6A185A1C"/>
    <w:rsid w:val="6A505A87"/>
    <w:rsid w:val="6A5316ED"/>
    <w:rsid w:val="6A561538"/>
    <w:rsid w:val="6A8676FB"/>
    <w:rsid w:val="6AA87672"/>
    <w:rsid w:val="6AC16985"/>
    <w:rsid w:val="6B7A68DE"/>
    <w:rsid w:val="6BA914A8"/>
    <w:rsid w:val="6BA92274"/>
    <w:rsid w:val="6BDE1078"/>
    <w:rsid w:val="6C304865"/>
    <w:rsid w:val="6C515AE7"/>
    <w:rsid w:val="6C97799E"/>
    <w:rsid w:val="6CA11693"/>
    <w:rsid w:val="6CA6202F"/>
    <w:rsid w:val="6CAC1493"/>
    <w:rsid w:val="6CAD5413"/>
    <w:rsid w:val="6CD7380D"/>
    <w:rsid w:val="6CE10C19"/>
    <w:rsid w:val="6D107530"/>
    <w:rsid w:val="6D201119"/>
    <w:rsid w:val="6D266550"/>
    <w:rsid w:val="6D373B24"/>
    <w:rsid w:val="6D4C7925"/>
    <w:rsid w:val="6D5A6403"/>
    <w:rsid w:val="6D5C06AE"/>
    <w:rsid w:val="6D67668E"/>
    <w:rsid w:val="6DED03D4"/>
    <w:rsid w:val="6DF337EC"/>
    <w:rsid w:val="6E0A5936"/>
    <w:rsid w:val="6E473FCD"/>
    <w:rsid w:val="6E735A90"/>
    <w:rsid w:val="6EC752B0"/>
    <w:rsid w:val="6ECB6F9F"/>
    <w:rsid w:val="6ED7441B"/>
    <w:rsid w:val="6ED9295C"/>
    <w:rsid w:val="6EF750C9"/>
    <w:rsid w:val="6F034997"/>
    <w:rsid w:val="6F252AAD"/>
    <w:rsid w:val="6F255735"/>
    <w:rsid w:val="6F4A519B"/>
    <w:rsid w:val="6F64527E"/>
    <w:rsid w:val="6F854D75"/>
    <w:rsid w:val="6FA47EE8"/>
    <w:rsid w:val="6FA973ED"/>
    <w:rsid w:val="6FBB387F"/>
    <w:rsid w:val="703A1BEE"/>
    <w:rsid w:val="7040257D"/>
    <w:rsid w:val="705F3231"/>
    <w:rsid w:val="70607A2D"/>
    <w:rsid w:val="70650505"/>
    <w:rsid w:val="70651D96"/>
    <w:rsid w:val="707304F0"/>
    <w:rsid w:val="70B84AFB"/>
    <w:rsid w:val="70BE7F18"/>
    <w:rsid w:val="70DA6087"/>
    <w:rsid w:val="70FA04FB"/>
    <w:rsid w:val="718212CE"/>
    <w:rsid w:val="71864485"/>
    <w:rsid w:val="718F575C"/>
    <w:rsid w:val="719D5C47"/>
    <w:rsid w:val="719F37B7"/>
    <w:rsid w:val="71A37405"/>
    <w:rsid w:val="71D14FAE"/>
    <w:rsid w:val="71D528FA"/>
    <w:rsid w:val="71EF3008"/>
    <w:rsid w:val="722310D9"/>
    <w:rsid w:val="723A6993"/>
    <w:rsid w:val="725620A9"/>
    <w:rsid w:val="729C40AD"/>
    <w:rsid w:val="72A7693A"/>
    <w:rsid w:val="72B9172D"/>
    <w:rsid w:val="72D12DD4"/>
    <w:rsid w:val="73254FD2"/>
    <w:rsid w:val="733013C5"/>
    <w:rsid w:val="735E6A2E"/>
    <w:rsid w:val="738E3E5B"/>
    <w:rsid w:val="73981CA6"/>
    <w:rsid w:val="73F0217B"/>
    <w:rsid w:val="741B476E"/>
    <w:rsid w:val="74593A1A"/>
    <w:rsid w:val="74C268A7"/>
    <w:rsid w:val="74E035BA"/>
    <w:rsid w:val="74EA3DFA"/>
    <w:rsid w:val="7575450C"/>
    <w:rsid w:val="757A1BBB"/>
    <w:rsid w:val="75914E8A"/>
    <w:rsid w:val="75A13922"/>
    <w:rsid w:val="75A82086"/>
    <w:rsid w:val="75AF6610"/>
    <w:rsid w:val="75D5241C"/>
    <w:rsid w:val="75EE2EE6"/>
    <w:rsid w:val="76000750"/>
    <w:rsid w:val="76020C18"/>
    <w:rsid w:val="76262768"/>
    <w:rsid w:val="762A1EF8"/>
    <w:rsid w:val="763579C6"/>
    <w:rsid w:val="763E0E8A"/>
    <w:rsid w:val="769D790F"/>
    <w:rsid w:val="76B03266"/>
    <w:rsid w:val="76C95286"/>
    <w:rsid w:val="77232D4C"/>
    <w:rsid w:val="77255706"/>
    <w:rsid w:val="773A3F7D"/>
    <w:rsid w:val="774921A7"/>
    <w:rsid w:val="77493F8A"/>
    <w:rsid w:val="77937168"/>
    <w:rsid w:val="77FD4F1F"/>
    <w:rsid w:val="78356E3D"/>
    <w:rsid w:val="783A38D3"/>
    <w:rsid w:val="783C76EC"/>
    <w:rsid w:val="78687017"/>
    <w:rsid w:val="78812137"/>
    <w:rsid w:val="78B1091B"/>
    <w:rsid w:val="78B61821"/>
    <w:rsid w:val="78B7156B"/>
    <w:rsid w:val="78CD5BE3"/>
    <w:rsid w:val="78F63C9E"/>
    <w:rsid w:val="793643CF"/>
    <w:rsid w:val="79571192"/>
    <w:rsid w:val="795B5254"/>
    <w:rsid w:val="795FE52D"/>
    <w:rsid w:val="79E13B1D"/>
    <w:rsid w:val="79EB12BD"/>
    <w:rsid w:val="79F60DA7"/>
    <w:rsid w:val="79F91093"/>
    <w:rsid w:val="7A187C44"/>
    <w:rsid w:val="7A265087"/>
    <w:rsid w:val="7A3C0679"/>
    <w:rsid w:val="7AAC6D0A"/>
    <w:rsid w:val="7AC37849"/>
    <w:rsid w:val="7ACD41A8"/>
    <w:rsid w:val="7AD674D4"/>
    <w:rsid w:val="7AD735DD"/>
    <w:rsid w:val="7ADB2D19"/>
    <w:rsid w:val="7AEF0BC9"/>
    <w:rsid w:val="7B302FF9"/>
    <w:rsid w:val="7B6F0238"/>
    <w:rsid w:val="7B7A34C4"/>
    <w:rsid w:val="7BA23C69"/>
    <w:rsid w:val="7BCC4D34"/>
    <w:rsid w:val="7BCF33D8"/>
    <w:rsid w:val="7BE90D12"/>
    <w:rsid w:val="7BFD268B"/>
    <w:rsid w:val="7C480CB4"/>
    <w:rsid w:val="7C5D7A84"/>
    <w:rsid w:val="7C985069"/>
    <w:rsid w:val="7D010CB5"/>
    <w:rsid w:val="7D2A2F98"/>
    <w:rsid w:val="7D3E4628"/>
    <w:rsid w:val="7D5B7A91"/>
    <w:rsid w:val="7DA92B63"/>
    <w:rsid w:val="7DAE4DB7"/>
    <w:rsid w:val="7DBA3708"/>
    <w:rsid w:val="7DCF4714"/>
    <w:rsid w:val="7DD91E91"/>
    <w:rsid w:val="7DDE6F1F"/>
    <w:rsid w:val="7DEF2E3B"/>
    <w:rsid w:val="7DF05927"/>
    <w:rsid w:val="7DFFA33C"/>
    <w:rsid w:val="7E2801E5"/>
    <w:rsid w:val="7E3C152F"/>
    <w:rsid w:val="7E417769"/>
    <w:rsid w:val="7E436780"/>
    <w:rsid w:val="7E73248E"/>
    <w:rsid w:val="7E935395"/>
    <w:rsid w:val="7EBFA113"/>
    <w:rsid w:val="7EF4992D"/>
    <w:rsid w:val="7F571DBD"/>
    <w:rsid w:val="7F6244B6"/>
    <w:rsid w:val="7F7C6557"/>
    <w:rsid w:val="7FAD88CF"/>
    <w:rsid w:val="7FB1091F"/>
    <w:rsid w:val="7FBD3C08"/>
    <w:rsid w:val="7FE72592"/>
    <w:rsid w:val="7FE82B2E"/>
    <w:rsid w:val="7FF80366"/>
    <w:rsid w:val="7FFA444C"/>
    <w:rsid w:val="7FFB2A2C"/>
    <w:rsid w:val="7FFD20D5"/>
    <w:rsid w:val="9AF7605C"/>
    <w:rsid w:val="9FFEF9BC"/>
    <w:rsid w:val="9FFFCA1D"/>
    <w:rsid w:val="B6DEA1E1"/>
    <w:rsid w:val="B9FF05DA"/>
    <w:rsid w:val="BFFFCFC4"/>
    <w:rsid w:val="C9A47853"/>
    <w:rsid w:val="D7DF197A"/>
    <w:rsid w:val="D7E5BC18"/>
    <w:rsid w:val="DDBF7633"/>
    <w:rsid w:val="EB7FBD9B"/>
    <w:rsid w:val="EBFA1FCE"/>
    <w:rsid w:val="EECF1C1D"/>
    <w:rsid w:val="EF7751D5"/>
    <w:rsid w:val="EFBDE9B0"/>
    <w:rsid w:val="EFFF8FA6"/>
    <w:rsid w:val="F4048375"/>
    <w:rsid w:val="F6FF79AF"/>
    <w:rsid w:val="FB7FD214"/>
    <w:rsid w:val="FBFEB132"/>
    <w:rsid w:val="FBFEC8ED"/>
    <w:rsid w:val="FBFFDDD2"/>
    <w:rsid w:val="FCFE354C"/>
    <w:rsid w:val="FD9E9807"/>
    <w:rsid w:val="FF3FC55B"/>
    <w:rsid w:val="FF7BCCCF"/>
    <w:rsid w:val="FFDEFFEB"/>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name="index 1"/>
    <w:lsdException w:uiPriority="0" w:name="index 2"/>
    <w:lsdException w:uiPriority="0" w:name="index 3"/>
    <w:lsdException w:qFormat="1" w:unhideWhenUsed="0" w:uiPriority="0" w:semiHidden="0" w:name="index 4"/>
    <w:lsdException w:uiPriority="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0" w:name="toc 4"/>
    <w:lsdException w:qFormat="1" w:unhideWhenUsed="0" w:uiPriority="0" w:name="toc 5"/>
    <w:lsdException w:qFormat="1" w:uiPriority="39" w:name="toc 6"/>
    <w:lsdException w:uiPriority="39" w:name="toc 7"/>
    <w:lsdException w:qFormat="1" w:unhideWhenUsed="0" w:uiPriority="0" w:name="toc 8"/>
    <w:lsdException w:uiPriority="39" w:name="toc 9"/>
    <w:lsdException w:qFormat="1" w:unhideWhenUsed="0" w:uiPriority="0" w:semiHidden="0" w:name="Normal Indent"/>
    <w:lsdException w:qFormat="1" w:uiPriority="99"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iPriority="0" w:name="index heading"/>
    <w:lsdException w:qFormat="1" w:unhideWhenUsed="0" w:uiPriority="0" w:semiHidden="0" w:name="caption"/>
    <w:lsdException w:qFormat="1" w:uiPriority="0" w:semiHidden="0" w:name="table of figures"/>
    <w:lsdException w:uiPriority="0" w:name="envelope address"/>
    <w:lsdException w:uiPriority="0" w:name="envelope return"/>
    <w:lsdException w:qFormat="1" w:uiPriority="99" w:semiHidden="0" w:name="footnote reference"/>
    <w:lsdException w:qFormat="1" w:unhideWhenUsed="0" w:uiPriority="0" w:semiHidden="0" w:name="annotation reference"/>
    <w:lsdException w:uiPriority="0" w:name="line number"/>
    <w:lsdException w:qFormat="1" w:unhideWhenUsed="0" w:uiPriority="0" w:semiHidden="0" w:name="page number"/>
    <w:lsdException w:uiPriority="0" w:name="endnote reference"/>
    <w:lsdException w:qFormat="1" w:unhideWhenUsed="0" w:uiPriority="0" w:name="endnote text"/>
    <w:lsdException w:uiPriority="0" w:name="table of authorities"/>
    <w:lsdException w:uiPriority="0" w:name="macro"/>
    <w:lsdException w:uiPriority="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uiPriority="0" w:name="List 3"/>
    <w:lsdException w:uiPriority="0" w:name="List 4"/>
    <w:lsdException w:uiPriority="0" w:name="List 5"/>
    <w:lsdException w:qFormat="1" w:unhideWhenUsed="0" w:uiPriority="0" w:semiHidden="0" w:name="List Bullet 2"/>
    <w:lsdException w:uiPriority="0" w:name="List Bullet 3"/>
    <w:lsdException w:uiPriority="0" w:name="List Bullet 4"/>
    <w:lsdException w:uiPriority="0" w:name="List Bullet 5"/>
    <w:lsdException w:uiPriority="0" w:name="List Number 2"/>
    <w:lsdException w:qFormat="1" w:unhideWhenUsed="0" w:uiPriority="0" w:semiHidden="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iPriority="0" w:name="Salutation"/>
    <w:lsdException w:qFormat="1" w:unhideWhenUsed="0" w:uiPriority="0" w:semiHidden="0" w:name="Date"/>
    <w:lsdException w:qFormat="1" w:unhideWhenUsed="0" w:uiPriority="0" w:semiHidden="0" w:name="Body Text First Indent"/>
    <w:lsdException w:qFormat="1" w:uiPriority="0" w:semiHidden="0"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iPriority="99" w:name="FollowedHyperlink"/>
    <w:lsdException w:qFormat="1" w:unhideWhenUsed="0" w:uiPriority="22" w:semiHidden="0" w:name="Strong"/>
    <w:lsdException w:qFormat="1" w:unhideWhenUsed="0" w:uiPriority="0" w:semiHidden="0" w:name="Emphasis"/>
    <w:lsdException w:qFormat="1" w:unhideWhenUsed="0" w:uiPriority="0" w:name="Document Map"/>
    <w:lsdException w:qFormat="1" w:unhideWhenUsed="0" w:uiPriority="0" w:semiHidden="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qFormat="1" w:unhideWhenUsed="0" w:uiPriority="0" w:semiHidden="0" w:name="HTML Preformatted"/>
    <w:lsdException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qFormat="1" w:unhideWhenUsed="0" w:uiPriority="0" w:semiHidden="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qFormat="1" w:unhideWhenUsed="0" w:uiPriority="0" w:semiHidden="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5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after="160" w:line="360" w:lineRule="auto"/>
      <w:ind w:firstLine="480" w:firstLineChars="200"/>
    </w:pPr>
    <w:rPr>
      <w:rFonts w:ascii="Times New Roman" w:hAnsi="Times New Roman" w:eastAsia="微软雅黑" w:cs="Times New Roman"/>
      <w:kern w:val="2"/>
      <w:sz w:val="21"/>
      <w:szCs w:val="24"/>
      <w:lang w:val="en-US" w:eastAsia="zh-CN" w:bidi="ar-SA"/>
    </w:rPr>
  </w:style>
  <w:style w:type="paragraph" w:styleId="2">
    <w:name w:val="heading 1"/>
    <w:basedOn w:val="1"/>
    <w:next w:val="3"/>
    <w:link w:val="66"/>
    <w:qFormat/>
    <w:uiPriority w:val="9"/>
    <w:pPr>
      <w:keepNext/>
      <w:keepLines/>
      <w:ind w:firstLine="0" w:firstLineChars="0"/>
      <w:jc w:val="center"/>
      <w:outlineLvl w:val="0"/>
    </w:pPr>
    <w:rPr>
      <w:b/>
      <w:bCs/>
      <w:kern w:val="44"/>
      <w:sz w:val="24"/>
      <w:szCs w:val="44"/>
    </w:rPr>
  </w:style>
  <w:style w:type="paragraph" w:styleId="3">
    <w:name w:val="heading 2"/>
    <w:basedOn w:val="1"/>
    <w:next w:val="1"/>
    <w:link w:val="68"/>
    <w:qFormat/>
    <w:uiPriority w:val="9"/>
    <w:pPr>
      <w:keepNext/>
      <w:adjustRightInd w:val="0"/>
      <w:snapToGrid w:val="0"/>
      <w:textAlignment w:val="baseline"/>
      <w:outlineLvl w:val="1"/>
    </w:pPr>
    <w:rPr>
      <w:rFonts w:ascii="仿宋_GB2312" w:hAnsi="仿宋_GB2312"/>
      <w:b/>
      <w:kern w:val="0"/>
      <w:szCs w:val="20"/>
    </w:rPr>
  </w:style>
  <w:style w:type="paragraph" w:styleId="4">
    <w:name w:val="heading 3"/>
    <w:basedOn w:val="1"/>
    <w:next w:val="5"/>
    <w:link w:val="69"/>
    <w:qFormat/>
    <w:uiPriority w:val="0"/>
    <w:pPr>
      <w:keepNext/>
      <w:keepLines/>
      <w:ind w:firstLine="602"/>
      <w:outlineLvl w:val="2"/>
    </w:pPr>
    <w:rPr>
      <w:rFonts w:ascii="仿宋_GB2312" w:hAnsi="仿宋_GB2312"/>
      <w:bCs/>
      <w:szCs w:val="20"/>
    </w:rPr>
  </w:style>
  <w:style w:type="paragraph" w:styleId="6">
    <w:name w:val="heading 4"/>
    <w:basedOn w:val="1"/>
    <w:next w:val="1"/>
    <w:link w:val="75"/>
    <w:qFormat/>
    <w:uiPriority w:val="0"/>
    <w:pPr>
      <w:keepNext/>
      <w:keepLines/>
      <w:outlineLvl w:val="3"/>
    </w:pPr>
    <w:rPr>
      <w:rFonts w:ascii="等线 Light" w:hAnsi="等线 Light"/>
      <w:b/>
      <w:bCs/>
      <w:szCs w:val="28"/>
    </w:rPr>
  </w:style>
  <w:style w:type="paragraph" w:styleId="7">
    <w:name w:val="heading 5"/>
    <w:basedOn w:val="1"/>
    <w:next w:val="1"/>
    <w:link w:val="150"/>
    <w:qFormat/>
    <w:uiPriority w:val="0"/>
    <w:pPr>
      <w:keepNext/>
      <w:keepLines/>
      <w:outlineLvl w:val="4"/>
    </w:pPr>
    <w:rPr>
      <w:b/>
      <w:bCs/>
      <w:szCs w:val="28"/>
    </w:rPr>
  </w:style>
  <w:style w:type="paragraph" w:styleId="8">
    <w:name w:val="heading 6"/>
    <w:basedOn w:val="1"/>
    <w:next w:val="1"/>
    <w:link w:val="151"/>
    <w:qFormat/>
    <w:uiPriority w:val="0"/>
    <w:pPr>
      <w:keepNext/>
      <w:keepLines/>
      <w:spacing w:before="240" w:after="64" w:line="320" w:lineRule="auto"/>
      <w:outlineLvl w:val="5"/>
    </w:pPr>
    <w:rPr>
      <w:rFonts w:ascii="Arial" w:hAnsi="Arial" w:eastAsia="黑体"/>
      <w:b/>
      <w:bCs/>
      <w:sz w:val="24"/>
      <w:szCs w:val="20"/>
    </w:rPr>
  </w:style>
  <w:style w:type="paragraph" w:styleId="9">
    <w:name w:val="heading 7"/>
    <w:basedOn w:val="1"/>
    <w:next w:val="1"/>
    <w:link w:val="152"/>
    <w:qFormat/>
    <w:uiPriority w:val="0"/>
    <w:pPr>
      <w:keepNext/>
      <w:keepLines/>
      <w:adjustRightInd w:val="0"/>
      <w:spacing w:before="240" w:after="64" w:line="320" w:lineRule="atLeast"/>
      <w:textAlignment w:val="baseline"/>
      <w:outlineLvl w:val="6"/>
    </w:pPr>
    <w:rPr>
      <w:rFonts w:ascii="宋体" w:eastAsia="仿宋_GB2312"/>
      <w:b/>
      <w:kern w:val="0"/>
      <w:sz w:val="24"/>
      <w:szCs w:val="20"/>
    </w:rPr>
  </w:style>
  <w:style w:type="paragraph" w:styleId="10">
    <w:name w:val="heading 8"/>
    <w:basedOn w:val="1"/>
    <w:next w:val="1"/>
    <w:link w:val="153"/>
    <w:qFormat/>
    <w:uiPriority w:val="0"/>
    <w:pPr>
      <w:keepNext/>
      <w:keepLines/>
      <w:adjustRightInd w:val="0"/>
      <w:spacing w:before="240" w:after="64" w:line="320" w:lineRule="atLeast"/>
      <w:textAlignment w:val="baseline"/>
      <w:outlineLvl w:val="7"/>
    </w:pPr>
    <w:rPr>
      <w:rFonts w:ascii="Arial" w:hAnsi="Arial" w:eastAsia="黑体"/>
      <w:kern w:val="0"/>
      <w:sz w:val="24"/>
      <w:szCs w:val="20"/>
    </w:rPr>
  </w:style>
  <w:style w:type="paragraph" w:styleId="11">
    <w:name w:val="heading 9"/>
    <w:basedOn w:val="1"/>
    <w:next w:val="1"/>
    <w:link w:val="154"/>
    <w:qFormat/>
    <w:uiPriority w:val="0"/>
    <w:pPr>
      <w:keepNext/>
      <w:keepLines/>
      <w:adjustRightInd w:val="0"/>
      <w:spacing w:before="240" w:after="64" w:line="320" w:lineRule="atLeast"/>
      <w:textAlignment w:val="baseline"/>
      <w:outlineLvl w:val="8"/>
    </w:pPr>
    <w:rPr>
      <w:rFonts w:ascii="Arial" w:hAnsi="Arial" w:eastAsia="黑体"/>
      <w:kern w:val="0"/>
      <w:sz w:val="28"/>
      <w:szCs w:val="20"/>
    </w:rPr>
  </w:style>
  <w:style w:type="character" w:default="1" w:styleId="56">
    <w:name w:val="Default Paragraph Font"/>
    <w:semiHidden/>
    <w:unhideWhenUsed/>
    <w:qFormat/>
    <w:uiPriority w:val="1"/>
  </w:style>
  <w:style w:type="table" w:default="1" w:styleId="52">
    <w:name w:val="Normal Table"/>
    <w:semiHidden/>
    <w:unhideWhenUsed/>
    <w:qFormat/>
    <w:uiPriority w:val="99"/>
    <w:tblPr>
      <w:tblCellMar>
        <w:top w:w="0" w:type="dxa"/>
        <w:left w:w="108" w:type="dxa"/>
        <w:bottom w:w="0" w:type="dxa"/>
        <w:right w:w="108" w:type="dxa"/>
      </w:tblCellMar>
    </w:tblPr>
  </w:style>
  <w:style w:type="paragraph" w:styleId="5">
    <w:name w:val="Normal Indent"/>
    <w:basedOn w:val="1"/>
    <w:link w:val="77"/>
    <w:qFormat/>
    <w:uiPriority w:val="0"/>
    <w:pPr>
      <w:ind w:firstLine="420"/>
    </w:pPr>
    <w:rPr>
      <w:szCs w:val="20"/>
    </w:rPr>
  </w:style>
  <w:style w:type="paragraph" w:styleId="12">
    <w:name w:val="List Number"/>
    <w:basedOn w:val="1"/>
    <w:qFormat/>
    <w:uiPriority w:val="0"/>
    <w:pPr>
      <w:widowControl/>
      <w:numPr>
        <w:ilvl w:val="0"/>
        <w:numId w:val="1"/>
      </w:numPr>
      <w:tabs>
        <w:tab w:val="left" w:pos="454"/>
      </w:tabs>
      <w:spacing w:afterLines="50"/>
      <w:ind w:left="454" w:hanging="284"/>
    </w:pPr>
    <w:rPr>
      <w:kern w:val="0"/>
      <w:sz w:val="24"/>
      <w:szCs w:val="20"/>
    </w:rPr>
  </w:style>
  <w:style w:type="paragraph" w:styleId="13">
    <w:name w:val="caption"/>
    <w:basedOn w:val="1"/>
    <w:next w:val="1"/>
    <w:qFormat/>
    <w:uiPriority w:val="0"/>
    <w:pPr>
      <w:spacing w:before="152"/>
    </w:pPr>
    <w:rPr>
      <w:rFonts w:ascii="Arial" w:hAnsi="Arial" w:eastAsia="黑体" w:cs="Arial"/>
      <w:sz w:val="20"/>
      <w:szCs w:val="20"/>
    </w:rPr>
  </w:style>
  <w:style w:type="paragraph" w:styleId="14">
    <w:name w:val="List Bullet"/>
    <w:basedOn w:val="1"/>
    <w:qFormat/>
    <w:uiPriority w:val="0"/>
    <w:pPr>
      <w:widowControl/>
      <w:tabs>
        <w:tab w:val="left" w:pos="900"/>
      </w:tabs>
      <w:spacing w:before="100" w:beforeAutospacing="1" w:afterLines="50" w:afterAutospacing="1"/>
      <w:ind w:left="900" w:hanging="420"/>
    </w:pPr>
    <w:rPr>
      <w:kern w:val="0"/>
      <w:szCs w:val="20"/>
    </w:rPr>
  </w:style>
  <w:style w:type="paragraph" w:styleId="15">
    <w:name w:val="Document Map"/>
    <w:basedOn w:val="1"/>
    <w:link w:val="219"/>
    <w:semiHidden/>
    <w:qFormat/>
    <w:uiPriority w:val="0"/>
    <w:pPr>
      <w:shd w:val="clear" w:color="auto" w:fill="000080"/>
    </w:pPr>
  </w:style>
  <w:style w:type="paragraph" w:styleId="16">
    <w:name w:val="annotation text"/>
    <w:basedOn w:val="1"/>
    <w:link w:val="79"/>
    <w:qFormat/>
    <w:uiPriority w:val="0"/>
  </w:style>
  <w:style w:type="paragraph" w:styleId="17">
    <w:name w:val="Body Text 3"/>
    <w:basedOn w:val="1"/>
    <w:link w:val="80"/>
    <w:qFormat/>
    <w:uiPriority w:val="0"/>
    <w:pPr>
      <w:spacing w:after="120"/>
    </w:pPr>
    <w:rPr>
      <w:sz w:val="16"/>
      <w:szCs w:val="16"/>
    </w:rPr>
  </w:style>
  <w:style w:type="paragraph" w:styleId="18">
    <w:name w:val="Body Text"/>
    <w:basedOn w:val="1"/>
    <w:next w:val="19"/>
    <w:link w:val="76"/>
    <w:qFormat/>
    <w:uiPriority w:val="0"/>
    <w:pPr>
      <w:spacing w:after="120"/>
    </w:pPr>
  </w:style>
  <w:style w:type="paragraph" w:styleId="19">
    <w:name w:val="Body Text First Indent"/>
    <w:basedOn w:val="18"/>
    <w:link w:val="217"/>
    <w:qFormat/>
    <w:uiPriority w:val="0"/>
    <w:pPr>
      <w:ind w:firstLine="200"/>
    </w:pPr>
    <w:rPr>
      <w:rFonts w:asciiTheme="minorHAnsi" w:hAnsiTheme="minorHAnsi" w:eastAsiaTheme="minorEastAsia" w:cstheme="minorBidi"/>
      <w:bCs/>
      <w:sz w:val="24"/>
    </w:rPr>
  </w:style>
  <w:style w:type="paragraph" w:styleId="20">
    <w:name w:val="Body Text Indent"/>
    <w:basedOn w:val="1"/>
    <w:link w:val="81"/>
    <w:qFormat/>
    <w:uiPriority w:val="0"/>
    <w:pPr>
      <w:spacing w:line="200" w:lineRule="exact"/>
      <w:ind w:firstLine="301"/>
    </w:pPr>
    <w:rPr>
      <w:rFonts w:ascii="宋体" w:hAnsi="Courier New"/>
      <w:spacing w:val="-4"/>
      <w:sz w:val="18"/>
      <w:szCs w:val="20"/>
    </w:rPr>
  </w:style>
  <w:style w:type="paragraph" w:styleId="21">
    <w:name w:val="List Number 3"/>
    <w:basedOn w:val="1"/>
    <w:qFormat/>
    <w:uiPriority w:val="0"/>
    <w:pPr>
      <w:numPr>
        <w:ilvl w:val="0"/>
        <w:numId w:val="2"/>
      </w:numPr>
    </w:pPr>
  </w:style>
  <w:style w:type="paragraph" w:styleId="22">
    <w:name w:val="List 2"/>
    <w:basedOn w:val="1"/>
    <w:qFormat/>
    <w:uiPriority w:val="0"/>
    <w:pPr>
      <w:ind w:left="566" w:hanging="283"/>
      <w:contextualSpacing/>
    </w:pPr>
  </w:style>
  <w:style w:type="paragraph" w:styleId="23">
    <w:name w:val="Block Text"/>
    <w:basedOn w:val="1"/>
    <w:qFormat/>
    <w:uiPriority w:val="0"/>
    <w:pPr>
      <w:spacing w:before="120"/>
      <w:ind w:left="824" w:right="202" w:firstLine="0" w:firstLineChars="0"/>
      <w:jc w:val="both"/>
    </w:pPr>
    <w:rPr>
      <w:rFonts w:ascii="宋体" w:eastAsia="宋体"/>
      <w:sz w:val="24"/>
      <w:szCs w:val="21"/>
    </w:rPr>
  </w:style>
  <w:style w:type="paragraph" w:styleId="24">
    <w:name w:val="List Bullet 2"/>
    <w:basedOn w:val="1"/>
    <w:qFormat/>
    <w:uiPriority w:val="0"/>
    <w:pPr>
      <w:tabs>
        <w:tab w:val="left" w:pos="360"/>
        <w:tab w:val="left" w:pos="1191"/>
      </w:tabs>
      <w:snapToGrid w:val="0"/>
      <w:ind w:left="482" w:hanging="482" w:hangingChars="200"/>
    </w:pPr>
    <w:rPr>
      <w:b/>
      <w:bCs/>
      <w:sz w:val="24"/>
      <w:szCs w:val="32"/>
    </w:rPr>
  </w:style>
  <w:style w:type="paragraph" w:styleId="25">
    <w:name w:val="index 4"/>
    <w:basedOn w:val="1"/>
    <w:next w:val="1"/>
    <w:qFormat/>
    <w:uiPriority w:val="0"/>
    <w:pPr>
      <w:ind w:left="600" w:leftChars="600"/>
    </w:pPr>
    <w:rPr>
      <w:rFonts w:ascii="Verdana" w:hAnsi="Verdana" w:eastAsia="宋体"/>
      <w:kern w:val="0"/>
      <w:sz w:val="20"/>
      <w:szCs w:val="20"/>
    </w:rPr>
  </w:style>
  <w:style w:type="paragraph" w:styleId="26">
    <w:name w:val="toc 5"/>
    <w:basedOn w:val="1"/>
    <w:next w:val="1"/>
    <w:semiHidden/>
    <w:qFormat/>
    <w:uiPriority w:val="0"/>
    <w:pPr>
      <w:spacing w:afterLines="50"/>
      <w:ind w:left="840"/>
    </w:pPr>
    <w:rPr>
      <w:snapToGrid w:val="0"/>
      <w:kern w:val="0"/>
      <w:sz w:val="18"/>
      <w:szCs w:val="18"/>
    </w:rPr>
  </w:style>
  <w:style w:type="paragraph" w:styleId="27">
    <w:name w:val="toc 3"/>
    <w:basedOn w:val="1"/>
    <w:next w:val="1"/>
    <w:qFormat/>
    <w:uiPriority w:val="39"/>
    <w:pPr>
      <w:tabs>
        <w:tab w:val="right" w:leader="dot" w:pos="8296"/>
      </w:tabs>
    </w:pPr>
    <w:rPr>
      <w:b/>
      <w:bCs/>
      <w:iCs/>
    </w:rPr>
  </w:style>
  <w:style w:type="paragraph" w:styleId="28">
    <w:name w:val="Plain Text"/>
    <w:basedOn w:val="1"/>
    <w:link w:val="84"/>
    <w:qFormat/>
    <w:uiPriority w:val="0"/>
    <w:rPr>
      <w:rFonts w:ascii="宋体" w:hAnsi="Courier New"/>
      <w:szCs w:val="20"/>
    </w:rPr>
  </w:style>
  <w:style w:type="paragraph" w:styleId="29">
    <w:name w:val="toc 8"/>
    <w:basedOn w:val="1"/>
    <w:next w:val="1"/>
    <w:semiHidden/>
    <w:qFormat/>
    <w:uiPriority w:val="0"/>
    <w:pPr>
      <w:spacing w:afterLines="50"/>
      <w:ind w:left="1470"/>
    </w:pPr>
    <w:rPr>
      <w:snapToGrid w:val="0"/>
      <w:kern w:val="0"/>
      <w:sz w:val="18"/>
      <w:szCs w:val="18"/>
    </w:rPr>
  </w:style>
  <w:style w:type="paragraph" w:styleId="30">
    <w:name w:val="Date"/>
    <w:basedOn w:val="1"/>
    <w:next w:val="1"/>
    <w:link w:val="86"/>
    <w:qFormat/>
    <w:uiPriority w:val="0"/>
    <w:pPr>
      <w:ind w:left="2500" w:leftChars="2500"/>
    </w:pPr>
    <w:rPr>
      <w:rFonts w:eastAsia="楷体_GB2312"/>
      <w:sz w:val="32"/>
      <w:szCs w:val="20"/>
    </w:rPr>
  </w:style>
  <w:style w:type="paragraph" w:styleId="31">
    <w:name w:val="Body Text Indent 2"/>
    <w:basedOn w:val="1"/>
    <w:link w:val="87"/>
    <w:qFormat/>
    <w:uiPriority w:val="0"/>
    <w:pPr>
      <w:snapToGrid w:val="0"/>
      <w:ind w:firstLine="542" w:firstLineChars="225"/>
    </w:pPr>
    <w:rPr>
      <w:rFonts w:ascii="仿宋_GB2312" w:hAnsi="宋体"/>
      <w:b/>
      <w:bCs/>
      <w:color w:val="000000"/>
      <w:sz w:val="24"/>
    </w:rPr>
  </w:style>
  <w:style w:type="paragraph" w:styleId="32">
    <w:name w:val="endnote text"/>
    <w:basedOn w:val="1"/>
    <w:link w:val="185"/>
    <w:semiHidden/>
    <w:qFormat/>
    <w:uiPriority w:val="0"/>
    <w:pPr>
      <w:snapToGrid w:val="0"/>
      <w:spacing w:afterLines="50"/>
    </w:pPr>
    <w:rPr>
      <w:rFonts w:ascii="宋体"/>
      <w:snapToGrid w:val="0"/>
      <w:kern w:val="0"/>
      <w:szCs w:val="20"/>
    </w:rPr>
  </w:style>
  <w:style w:type="paragraph" w:styleId="33">
    <w:name w:val="Balloon Text"/>
    <w:basedOn w:val="1"/>
    <w:link w:val="88"/>
    <w:qFormat/>
    <w:uiPriority w:val="0"/>
    <w:rPr>
      <w:sz w:val="18"/>
      <w:szCs w:val="18"/>
    </w:rPr>
  </w:style>
  <w:style w:type="paragraph" w:styleId="34">
    <w:name w:val="footer"/>
    <w:basedOn w:val="1"/>
    <w:link w:val="74"/>
    <w:qFormat/>
    <w:uiPriority w:val="99"/>
    <w:pPr>
      <w:tabs>
        <w:tab w:val="center" w:pos="4153"/>
        <w:tab w:val="right" w:pos="8306"/>
      </w:tabs>
      <w:snapToGrid w:val="0"/>
    </w:pPr>
    <w:rPr>
      <w:sz w:val="18"/>
      <w:szCs w:val="18"/>
    </w:rPr>
  </w:style>
  <w:style w:type="paragraph" w:styleId="35">
    <w:name w:val="header"/>
    <w:basedOn w:val="1"/>
    <w:link w:val="72"/>
    <w:qFormat/>
    <w:uiPriority w:val="99"/>
    <w:pPr>
      <w:pBdr>
        <w:bottom w:val="single" w:color="auto" w:sz="6" w:space="1"/>
      </w:pBdr>
      <w:tabs>
        <w:tab w:val="center" w:pos="4153"/>
        <w:tab w:val="right" w:pos="8306"/>
      </w:tabs>
      <w:snapToGrid w:val="0"/>
      <w:ind w:firstLine="360"/>
      <w:jc w:val="right"/>
    </w:pPr>
    <w:rPr>
      <w:sz w:val="18"/>
      <w:szCs w:val="18"/>
    </w:rPr>
  </w:style>
  <w:style w:type="paragraph" w:styleId="36">
    <w:name w:val="toc 1"/>
    <w:basedOn w:val="1"/>
    <w:next w:val="1"/>
    <w:qFormat/>
    <w:uiPriority w:val="39"/>
    <w:pPr>
      <w:tabs>
        <w:tab w:val="right" w:leader="dot" w:pos="9060"/>
      </w:tabs>
      <w:spacing w:before="120" w:after="120" w:line="720" w:lineRule="auto"/>
    </w:pPr>
    <w:rPr>
      <w:rFonts w:ascii="仿宋_GB2312" w:eastAsia="仿宋_GB2312"/>
      <w:bCs/>
      <w:caps/>
      <w:color w:val="FF6600"/>
      <w:sz w:val="36"/>
      <w:szCs w:val="36"/>
    </w:rPr>
  </w:style>
  <w:style w:type="paragraph" w:styleId="37">
    <w:name w:val="toc 4"/>
    <w:basedOn w:val="1"/>
    <w:next w:val="1"/>
    <w:semiHidden/>
    <w:qFormat/>
    <w:uiPriority w:val="0"/>
    <w:pPr>
      <w:ind w:left="629"/>
    </w:pPr>
    <w:rPr>
      <w:snapToGrid w:val="0"/>
      <w:kern w:val="0"/>
      <w:szCs w:val="18"/>
    </w:rPr>
  </w:style>
  <w:style w:type="paragraph" w:styleId="38">
    <w:name w:val="Subtitle"/>
    <w:basedOn w:val="1"/>
    <w:next w:val="1"/>
    <w:link w:val="91"/>
    <w:qFormat/>
    <w:uiPriority w:val="0"/>
    <w:pPr>
      <w:spacing w:before="240" w:after="60" w:line="312" w:lineRule="auto"/>
      <w:jc w:val="center"/>
      <w:outlineLvl w:val="1"/>
    </w:pPr>
    <w:rPr>
      <w:rFonts w:ascii="Cambria" w:hAnsi="Cambria"/>
      <w:b/>
      <w:bCs/>
      <w:kern w:val="28"/>
      <w:sz w:val="32"/>
      <w:szCs w:val="32"/>
    </w:rPr>
  </w:style>
  <w:style w:type="paragraph" w:styleId="39">
    <w:name w:val="List"/>
    <w:basedOn w:val="1"/>
    <w:qFormat/>
    <w:uiPriority w:val="0"/>
    <w:pPr>
      <w:ind w:left="283" w:hanging="283"/>
      <w:contextualSpacing/>
    </w:pPr>
  </w:style>
  <w:style w:type="paragraph" w:styleId="40">
    <w:name w:val="footnote text"/>
    <w:basedOn w:val="1"/>
    <w:link w:val="92"/>
    <w:unhideWhenUsed/>
    <w:qFormat/>
    <w:uiPriority w:val="99"/>
    <w:pPr>
      <w:snapToGrid w:val="0"/>
    </w:pPr>
    <w:rPr>
      <w:rFonts w:ascii="Calibri" w:hAnsi="Calibri"/>
      <w:sz w:val="18"/>
    </w:rPr>
  </w:style>
  <w:style w:type="paragraph" w:styleId="41">
    <w:name w:val="toc 6"/>
    <w:basedOn w:val="1"/>
    <w:next w:val="1"/>
    <w:semiHidden/>
    <w:unhideWhenUsed/>
    <w:qFormat/>
    <w:uiPriority w:val="39"/>
    <w:pPr>
      <w:ind w:left="2100" w:leftChars="1000"/>
    </w:pPr>
  </w:style>
  <w:style w:type="paragraph" w:styleId="42">
    <w:name w:val="Body Text Indent 3"/>
    <w:basedOn w:val="1"/>
    <w:link w:val="94"/>
    <w:qFormat/>
    <w:uiPriority w:val="0"/>
    <w:pPr>
      <w:snapToGrid w:val="0"/>
    </w:pPr>
    <w:rPr>
      <w:rFonts w:ascii="仿宋_GB2312" w:hAnsi="宋体" w:eastAsia="仿宋_GB2312"/>
      <w:color w:val="000000"/>
      <w:sz w:val="24"/>
    </w:rPr>
  </w:style>
  <w:style w:type="paragraph" w:styleId="43">
    <w:name w:val="table of figures"/>
    <w:basedOn w:val="1"/>
    <w:next w:val="1"/>
    <w:unhideWhenUsed/>
    <w:qFormat/>
    <w:uiPriority w:val="0"/>
    <w:pPr>
      <w:ind w:left="200" w:leftChars="200" w:hanging="200" w:hangingChars="200"/>
    </w:pPr>
  </w:style>
  <w:style w:type="paragraph" w:styleId="44">
    <w:name w:val="toc 2"/>
    <w:basedOn w:val="1"/>
    <w:next w:val="1"/>
    <w:qFormat/>
    <w:uiPriority w:val="39"/>
    <w:pPr>
      <w:tabs>
        <w:tab w:val="right" w:leader="dot" w:pos="8296"/>
      </w:tabs>
      <w:ind w:left="210"/>
    </w:pPr>
    <w:rPr>
      <w:b/>
      <w:smallCaps/>
    </w:rPr>
  </w:style>
  <w:style w:type="paragraph" w:styleId="45">
    <w:name w:val="Body Text 2"/>
    <w:basedOn w:val="1"/>
    <w:link w:val="97"/>
    <w:qFormat/>
    <w:uiPriority w:val="0"/>
    <w:pPr>
      <w:widowControl/>
      <w:snapToGrid w:val="0"/>
      <w:spacing w:before="50" w:afterLines="50" w:line="400" w:lineRule="exact"/>
    </w:pPr>
    <w:rPr>
      <w:rFonts w:ascii="宋体" w:hAnsi="宋体"/>
      <w:color w:val="000000"/>
      <w:sz w:val="24"/>
    </w:rPr>
  </w:style>
  <w:style w:type="paragraph" w:styleId="46">
    <w:name w:val="HTML Preformatted"/>
    <w:basedOn w:val="1"/>
    <w:link w:val="214"/>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w:hAnsi="Arial" w:cs="Arial"/>
      <w:kern w:val="0"/>
      <w:sz w:val="24"/>
    </w:rPr>
  </w:style>
  <w:style w:type="paragraph" w:styleId="47">
    <w:name w:val="Normal (Web)"/>
    <w:basedOn w:val="1"/>
    <w:link w:val="98"/>
    <w:qFormat/>
    <w:uiPriority w:val="0"/>
    <w:pPr>
      <w:widowControl/>
      <w:spacing w:before="100" w:beforeAutospacing="1" w:after="100" w:afterAutospacing="1"/>
    </w:pPr>
    <w:rPr>
      <w:rFonts w:ascii="宋体" w:hAnsi="宋体"/>
      <w:kern w:val="0"/>
      <w:sz w:val="24"/>
    </w:rPr>
  </w:style>
  <w:style w:type="paragraph" w:styleId="48">
    <w:name w:val="index 1"/>
    <w:basedOn w:val="1"/>
    <w:next w:val="1"/>
    <w:semiHidden/>
    <w:qFormat/>
    <w:uiPriority w:val="0"/>
    <w:rPr>
      <w:szCs w:val="20"/>
    </w:rPr>
  </w:style>
  <w:style w:type="paragraph" w:styleId="49">
    <w:name w:val="Title"/>
    <w:basedOn w:val="1"/>
    <w:next w:val="1"/>
    <w:link w:val="99"/>
    <w:qFormat/>
    <w:uiPriority w:val="0"/>
    <w:pPr>
      <w:spacing w:before="240" w:after="60"/>
      <w:jc w:val="center"/>
      <w:outlineLvl w:val="0"/>
    </w:pPr>
    <w:rPr>
      <w:rFonts w:ascii="Cambria" w:hAnsi="Cambria"/>
      <w:b/>
      <w:bCs/>
      <w:sz w:val="32"/>
      <w:szCs w:val="32"/>
    </w:rPr>
  </w:style>
  <w:style w:type="paragraph" w:styleId="50">
    <w:name w:val="annotation subject"/>
    <w:basedOn w:val="16"/>
    <w:next w:val="16"/>
    <w:link w:val="100"/>
    <w:qFormat/>
    <w:uiPriority w:val="0"/>
    <w:rPr>
      <w:b/>
      <w:bCs/>
    </w:rPr>
  </w:style>
  <w:style w:type="paragraph" w:styleId="51">
    <w:name w:val="Body Text First Indent 2"/>
    <w:basedOn w:val="20"/>
    <w:link w:val="289"/>
    <w:unhideWhenUsed/>
    <w:qFormat/>
    <w:uiPriority w:val="0"/>
    <w:pPr>
      <w:spacing w:after="120" w:line="360" w:lineRule="auto"/>
      <w:ind w:left="420" w:leftChars="200" w:firstLine="420"/>
    </w:pPr>
    <w:rPr>
      <w:rFonts w:ascii="Times New Roman" w:hAnsi="Times New Roman"/>
      <w:spacing w:val="0"/>
      <w:sz w:val="21"/>
      <w:szCs w:val="24"/>
    </w:rPr>
  </w:style>
  <w:style w:type="table" w:styleId="53">
    <w:name w:val="Table Grid"/>
    <w:basedOn w:val="52"/>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tcPr>
      <w:tcBorders>
        <w:top w:val="single" w:color="auto" w:sz="4" w:space="0"/>
        <w:left w:val="single" w:color="auto" w:sz="4" w:space="0"/>
        <w:bottom w:val="single" w:color="auto" w:sz="4" w:space="0"/>
        <w:right w:val="single" w:color="auto" w:sz="4" w:space="0"/>
      </w:tcBorders>
    </w:tcPr>
  </w:style>
  <w:style w:type="table" w:styleId="54">
    <w:name w:val="Table Grid 1"/>
    <w:basedOn w:val="5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lastRow">
      <w:rPr>
        <w:i/>
        <w:iCs/>
      </w:rPr>
      <w:tblPr/>
      <w:tcPr>
        <w:tcBorders>
          <w:top w:val="nil"/>
          <w:left w:val="nil"/>
          <w:bottom w:val="nil"/>
          <w:right w:val="nil"/>
          <w:insideH w:val="nil"/>
          <w:insideV w:val="nil"/>
          <w:tl2br w:val="nil"/>
          <w:tr2bl w:val="nil"/>
        </w:tcBorders>
      </w:tcPr>
    </w:tblStylePr>
    <w:tblStylePr w:type="lastCol">
      <w:rPr>
        <w:i/>
        <w:i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55">
    <w:name w:val="Table Grid 8"/>
    <w:basedOn w:val="52"/>
    <w:qFormat/>
    <w:uiPriority w:val="0"/>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character" w:styleId="57">
    <w:name w:val="Strong"/>
    <w:qFormat/>
    <w:uiPriority w:val="22"/>
    <w:rPr>
      <w:b/>
      <w:bCs/>
    </w:rPr>
  </w:style>
  <w:style w:type="character" w:styleId="58">
    <w:name w:val="page number"/>
    <w:basedOn w:val="56"/>
    <w:qFormat/>
    <w:uiPriority w:val="0"/>
  </w:style>
  <w:style w:type="character" w:styleId="59">
    <w:name w:val="FollowedHyperlink"/>
    <w:basedOn w:val="56"/>
    <w:semiHidden/>
    <w:unhideWhenUsed/>
    <w:qFormat/>
    <w:uiPriority w:val="99"/>
    <w:rPr>
      <w:color w:val="954F72" w:themeColor="followedHyperlink"/>
      <w:u w:val="single"/>
      <w14:textFill>
        <w14:solidFill>
          <w14:schemeClr w14:val="folHlink"/>
        </w14:solidFill>
      </w14:textFill>
    </w:rPr>
  </w:style>
  <w:style w:type="character" w:styleId="60">
    <w:name w:val="Emphasis"/>
    <w:basedOn w:val="56"/>
    <w:qFormat/>
    <w:uiPriority w:val="0"/>
    <w:rPr>
      <w:i/>
    </w:rPr>
  </w:style>
  <w:style w:type="character" w:styleId="61">
    <w:name w:val="Hyperlink"/>
    <w:qFormat/>
    <w:uiPriority w:val="99"/>
    <w:rPr>
      <w:color w:val="0000FF"/>
      <w:u w:val="single"/>
    </w:rPr>
  </w:style>
  <w:style w:type="character" w:styleId="62">
    <w:name w:val="annotation reference"/>
    <w:qFormat/>
    <w:uiPriority w:val="0"/>
    <w:rPr>
      <w:sz w:val="21"/>
      <w:szCs w:val="21"/>
    </w:rPr>
  </w:style>
  <w:style w:type="character" w:styleId="63">
    <w:name w:val="footnote reference"/>
    <w:unhideWhenUsed/>
    <w:qFormat/>
    <w:uiPriority w:val="99"/>
    <w:rPr>
      <w:rFonts w:hint="default" w:ascii="Times New Roman"/>
      <w:sz w:val="24"/>
      <w:vertAlign w:val="superscript"/>
    </w:rPr>
  </w:style>
  <w:style w:type="paragraph" w:customStyle="1" w:styleId="64">
    <w:name w:val="标准正文"/>
    <w:basedOn w:val="1"/>
    <w:qFormat/>
    <w:uiPriority w:val="0"/>
    <w:pPr>
      <w:ind w:firstLine="200"/>
    </w:pPr>
    <w:rPr>
      <w:sz w:val="24"/>
      <w:szCs w:val="20"/>
    </w:rPr>
  </w:style>
  <w:style w:type="paragraph" w:styleId="65">
    <w:name w:val="List Paragraph"/>
    <w:basedOn w:val="1"/>
    <w:link w:val="105"/>
    <w:qFormat/>
    <w:uiPriority w:val="34"/>
    <w:pPr>
      <w:ind w:firstLine="420"/>
    </w:pPr>
    <w:rPr>
      <w:szCs w:val="22"/>
    </w:rPr>
  </w:style>
  <w:style w:type="character" w:customStyle="1" w:styleId="66">
    <w:name w:val="标题 1 Char"/>
    <w:basedOn w:val="56"/>
    <w:link w:val="2"/>
    <w:qFormat/>
    <w:uiPriority w:val="9"/>
    <w:rPr>
      <w:rFonts w:eastAsia="微软雅黑"/>
      <w:b/>
      <w:bCs/>
      <w:kern w:val="44"/>
      <w:sz w:val="24"/>
      <w:szCs w:val="44"/>
    </w:rPr>
  </w:style>
  <w:style w:type="paragraph" w:customStyle="1" w:styleId="67">
    <w:name w:val="Default"/>
    <w:unhideWhenUsed/>
    <w:qFormat/>
    <w:uiPriority w:val="0"/>
    <w:pPr>
      <w:widowControl w:val="0"/>
      <w:autoSpaceDE w:val="0"/>
      <w:autoSpaceDN w:val="0"/>
      <w:adjustRightInd w:val="0"/>
      <w:spacing w:after="160" w:line="278" w:lineRule="auto"/>
    </w:pPr>
    <w:rPr>
      <w:rFonts w:hint="eastAsia" w:ascii="仿宋" w:hAnsi="Times New Roman" w:eastAsia="仿宋" w:cs="Times New Roman"/>
      <w:color w:val="000000"/>
      <w:sz w:val="24"/>
      <w:lang w:val="en-US" w:eastAsia="zh-CN" w:bidi="ar-SA"/>
    </w:rPr>
  </w:style>
  <w:style w:type="character" w:customStyle="1" w:styleId="68">
    <w:name w:val="标题 2 Char"/>
    <w:basedOn w:val="56"/>
    <w:link w:val="3"/>
    <w:qFormat/>
    <w:uiPriority w:val="9"/>
    <w:rPr>
      <w:rFonts w:ascii="仿宋_GB2312" w:hAnsi="仿宋_GB2312" w:eastAsia="微软雅黑"/>
      <w:b/>
      <w:sz w:val="21"/>
    </w:rPr>
  </w:style>
  <w:style w:type="character" w:customStyle="1" w:styleId="69">
    <w:name w:val="标题 3 Char"/>
    <w:basedOn w:val="56"/>
    <w:link w:val="4"/>
    <w:qFormat/>
    <w:uiPriority w:val="0"/>
    <w:rPr>
      <w:rFonts w:ascii="仿宋_GB2312" w:hAnsi="仿宋_GB2312" w:eastAsia="微软雅黑"/>
      <w:bCs/>
      <w:kern w:val="2"/>
      <w:sz w:val="21"/>
    </w:rPr>
  </w:style>
  <w:style w:type="paragraph" w:customStyle="1" w:styleId="70">
    <w:name w:val="表格文字"/>
    <w:basedOn w:val="71"/>
    <w:next w:val="18"/>
    <w:qFormat/>
    <w:uiPriority w:val="0"/>
  </w:style>
  <w:style w:type="paragraph" w:customStyle="1" w:styleId="71">
    <w:name w:val="表格文字（两侧对齐）"/>
    <w:basedOn w:val="1"/>
    <w:qFormat/>
    <w:uiPriority w:val="0"/>
    <w:pPr>
      <w:snapToGrid w:val="0"/>
    </w:pPr>
    <w:rPr>
      <w:rFonts w:eastAsia="宋体"/>
      <w:sz w:val="20"/>
    </w:rPr>
  </w:style>
  <w:style w:type="character" w:customStyle="1" w:styleId="72">
    <w:name w:val="页眉 Char"/>
    <w:link w:val="35"/>
    <w:qFormat/>
    <w:uiPriority w:val="99"/>
    <w:rPr>
      <w:rFonts w:eastAsia="微软雅黑"/>
      <w:kern w:val="2"/>
      <w:sz w:val="18"/>
      <w:szCs w:val="18"/>
    </w:rPr>
  </w:style>
  <w:style w:type="paragraph" w:customStyle="1" w:styleId="73">
    <w:name w:val="6级标题"/>
    <w:basedOn w:val="1"/>
    <w:qFormat/>
    <w:uiPriority w:val="0"/>
    <w:pPr>
      <w:keepNext/>
      <w:ind w:left="1151" w:hanging="431"/>
      <w:jc w:val="center"/>
      <w:outlineLvl w:val="5"/>
    </w:pPr>
    <w:rPr>
      <w:rFonts w:ascii="黑体" w:hAnsi="宋体"/>
      <w:b/>
      <w:bCs/>
      <w:sz w:val="24"/>
      <w:szCs w:val="52"/>
    </w:rPr>
  </w:style>
  <w:style w:type="character" w:customStyle="1" w:styleId="74">
    <w:name w:val="页脚 Char"/>
    <w:link w:val="34"/>
    <w:qFormat/>
    <w:locked/>
    <w:uiPriority w:val="0"/>
    <w:rPr>
      <w:kern w:val="2"/>
      <w:sz w:val="18"/>
      <w:szCs w:val="18"/>
    </w:rPr>
  </w:style>
  <w:style w:type="character" w:customStyle="1" w:styleId="75">
    <w:name w:val="标题 4 Char"/>
    <w:link w:val="6"/>
    <w:qFormat/>
    <w:uiPriority w:val="0"/>
    <w:rPr>
      <w:rFonts w:ascii="等线 Light" w:hAnsi="等线 Light" w:eastAsia="微软雅黑" w:cs="Times New Roman"/>
      <w:b/>
      <w:bCs/>
      <w:kern w:val="2"/>
      <w:sz w:val="21"/>
      <w:szCs w:val="28"/>
    </w:rPr>
  </w:style>
  <w:style w:type="character" w:customStyle="1" w:styleId="76">
    <w:name w:val="正文文本 Char"/>
    <w:link w:val="18"/>
    <w:qFormat/>
    <w:uiPriority w:val="0"/>
    <w:rPr>
      <w:kern w:val="2"/>
      <w:sz w:val="21"/>
      <w:szCs w:val="24"/>
    </w:rPr>
  </w:style>
  <w:style w:type="character" w:customStyle="1" w:styleId="77">
    <w:name w:val="正文缩进 Char"/>
    <w:link w:val="5"/>
    <w:qFormat/>
    <w:uiPriority w:val="0"/>
    <w:rPr>
      <w:kern w:val="2"/>
      <w:sz w:val="21"/>
    </w:rPr>
  </w:style>
  <w:style w:type="paragraph" w:customStyle="1" w:styleId="78">
    <w:name w:val="目录 71"/>
    <w:basedOn w:val="1"/>
    <w:next w:val="1"/>
    <w:unhideWhenUsed/>
    <w:qFormat/>
    <w:uiPriority w:val="39"/>
    <w:pPr>
      <w:ind w:left="2520" w:leftChars="1200"/>
    </w:pPr>
    <w:rPr>
      <w:rFonts w:ascii="Calibri" w:hAnsi="Calibri"/>
      <w:szCs w:val="22"/>
    </w:rPr>
  </w:style>
  <w:style w:type="character" w:customStyle="1" w:styleId="79">
    <w:name w:val="批注文字 Char1"/>
    <w:link w:val="16"/>
    <w:qFormat/>
    <w:uiPriority w:val="0"/>
    <w:rPr>
      <w:kern w:val="2"/>
      <w:sz w:val="21"/>
      <w:szCs w:val="24"/>
    </w:rPr>
  </w:style>
  <w:style w:type="character" w:customStyle="1" w:styleId="80">
    <w:name w:val="正文文本 3 Char"/>
    <w:link w:val="17"/>
    <w:qFormat/>
    <w:uiPriority w:val="0"/>
    <w:rPr>
      <w:kern w:val="2"/>
      <w:sz w:val="16"/>
      <w:szCs w:val="16"/>
    </w:rPr>
  </w:style>
  <w:style w:type="character" w:customStyle="1" w:styleId="81">
    <w:name w:val="正文文本缩进 Char"/>
    <w:link w:val="20"/>
    <w:qFormat/>
    <w:uiPriority w:val="0"/>
    <w:rPr>
      <w:rFonts w:ascii="宋体" w:hAnsi="Courier New"/>
      <w:spacing w:val="-4"/>
      <w:kern w:val="2"/>
      <w:sz w:val="18"/>
    </w:rPr>
  </w:style>
  <w:style w:type="paragraph" w:customStyle="1" w:styleId="82">
    <w:name w:val="目录 51"/>
    <w:basedOn w:val="1"/>
    <w:next w:val="1"/>
    <w:unhideWhenUsed/>
    <w:qFormat/>
    <w:uiPriority w:val="39"/>
    <w:pPr>
      <w:ind w:left="1680" w:leftChars="800"/>
    </w:pPr>
    <w:rPr>
      <w:rFonts w:ascii="Calibri" w:hAnsi="Calibri"/>
      <w:szCs w:val="22"/>
    </w:rPr>
  </w:style>
  <w:style w:type="paragraph" w:customStyle="1" w:styleId="83">
    <w:name w:val="目录 31"/>
    <w:basedOn w:val="1"/>
    <w:next w:val="1"/>
    <w:qFormat/>
    <w:uiPriority w:val="39"/>
    <w:pPr>
      <w:ind w:left="840" w:leftChars="400"/>
    </w:pPr>
  </w:style>
  <w:style w:type="character" w:customStyle="1" w:styleId="84">
    <w:name w:val="纯文本 Char"/>
    <w:link w:val="28"/>
    <w:qFormat/>
    <w:uiPriority w:val="0"/>
    <w:rPr>
      <w:rFonts w:ascii="宋体" w:hAnsi="Courier New"/>
      <w:kern w:val="2"/>
      <w:sz w:val="21"/>
    </w:rPr>
  </w:style>
  <w:style w:type="paragraph" w:customStyle="1" w:styleId="85">
    <w:name w:val="目录 81"/>
    <w:basedOn w:val="1"/>
    <w:next w:val="1"/>
    <w:unhideWhenUsed/>
    <w:qFormat/>
    <w:uiPriority w:val="39"/>
    <w:pPr>
      <w:ind w:left="2940" w:leftChars="1400"/>
    </w:pPr>
    <w:rPr>
      <w:rFonts w:ascii="Calibri" w:hAnsi="Calibri"/>
      <w:szCs w:val="22"/>
    </w:rPr>
  </w:style>
  <w:style w:type="character" w:customStyle="1" w:styleId="86">
    <w:name w:val="日期 Char"/>
    <w:link w:val="30"/>
    <w:qFormat/>
    <w:uiPriority w:val="0"/>
    <w:rPr>
      <w:rFonts w:eastAsia="楷体_GB2312"/>
      <w:kern w:val="2"/>
      <w:sz w:val="32"/>
    </w:rPr>
  </w:style>
  <w:style w:type="character" w:customStyle="1" w:styleId="87">
    <w:name w:val="正文文本缩进 2 Char"/>
    <w:link w:val="31"/>
    <w:qFormat/>
    <w:uiPriority w:val="0"/>
    <w:rPr>
      <w:rFonts w:ascii="仿宋_GB2312" w:hAnsi="宋体" w:cs="Arial"/>
      <w:b/>
      <w:bCs/>
      <w:color w:val="000000"/>
      <w:kern w:val="2"/>
      <w:sz w:val="24"/>
      <w:szCs w:val="24"/>
    </w:rPr>
  </w:style>
  <w:style w:type="character" w:customStyle="1" w:styleId="88">
    <w:name w:val="批注框文本 Char"/>
    <w:link w:val="33"/>
    <w:qFormat/>
    <w:uiPriority w:val="0"/>
    <w:rPr>
      <w:kern w:val="2"/>
      <w:sz w:val="18"/>
      <w:szCs w:val="18"/>
    </w:rPr>
  </w:style>
  <w:style w:type="paragraph" w:customStyle="1" w:styleId="89">
    <w:name w:val="目录 11"/>
    <w:basedOn w:val="1"/>
    <w:next w:val="1"/>
    <w:qFormat/>
    <w:uiPriority w:val="39"/>
  </w:style>
  <w:style w:type="paragraph" w:customStyle="1" w:styleId="90">
    <w:name w:val="目录 41"/>
    <w:basedOn w:val="1"/>
    <w:next w:val="1"/>
    <w:unhideWhenUsed/>
    <w:qFormat/>
    <w:uiPriority w:val="39"/>
    <w:pPr>
      <w:ind w:left="1260" w:leftChars="600"/>
    </w:pPr>
    <w:rPr>
      <w:rFonts w:ascii="Calibri" w:hAnsi="Calibri"/>
      <w:szCs w:val="22"/>
    </w:rPr>
  </w:style>
  <w:style w:type="character" w:customStyle="1" w:styleId="91">
    <w:name w:val="副标题 Char"/>
    <w:link w:val="38"/>
    <w:qFormat/>
    <w:uiPriority w:val="0"/>
    <w:rPr>
      <w:rFonts w:ascii="Cambria" w:hAnsi="Cambria"/>
      <w:b/>
      <w:bCs/>
      <w:kern w:val="28"/>
      <w:sz w:val="32"/>
      <w:szCs w:val="32"/>
    </w:rPr>
  </w:style>
  <w:style w:type="character" w:customStyle="1" w:styleId="92">
    <w:name w:val="脚注文本 Char"/>
    <w:link w:val="40"/>
    <w:qFormat/>
    <w:uiPriority w:val="99"/>
    <w:rPr>
      <w:rFonts w:ascii="Calibri" w:hAnsi="Calibri"/>
      <w:kern w:val="2"/>
      <w:sz w:val="18"/>
      <w:szCs w:val="24"/>
    </w:rPr>
  </w:style>
  <w:style w:type="paragraph" w:customStyle="1" w:styleId="93">
    <w:name w:val="目录 61"/>
    <w:basedOn w:val="1"/>
    <w:next w:val="1"/>
    <w:unhideWhenUsed/>
    <w:qFormat/>
    <w:uiPriority w:val="39"/>
    <w:pPr>
      <w:ind w:left="2100" w:leftChars="1000"/>
    </w:pPr>
    <w:rPr>
      <w:rFonts w:ascii="Calibri" w:hAnsi="Calibri"/>
      <w:szCs w:val="22"/>
    </w:rPr>
  </w:style>
  <w:style w:type="character" w:customStyle="1" w:styleId="94">
    <w:name w:val="正文文本缩进 3 Char"/>
    <w:link w:val="42"/>
    <w:qFormat/>
    <w:uiPriority w:val="0"/>
    <w:rPr>
      <w:rFonts w:ascii="仿宋_GB2312" w:hAnsi="宋体" w:eastAsia="仿宋_GB2312"/>
      <w:color w:val="000000"/>
      <w:kern w:val="2"/>
      <w:sz w:val="24"/>
      <w:szCs w:val="24"/>
    </w:rPr>
  </w:style>
  <w:style w:type="paragraph" w:customStyle="1" w:styleId="95">
    <w:name w:val="目录 21"/>
    <w:basedOn w:val="1"/>
    <w:next w:val="1"/>
    <w:qFormat/>
    <w:uiPriority w:val="39"/>
    <w:pPr>
      <w:ind w:left="420" w:leftChars="200"/>
    </w:pPr>
  </w:style>
  <w:style w:type="paragraph" w:customStyle="1" w:styleId="96">
    <w:name w:val="目录 91"/>
    <w:basedOn w:val="1"/>
    <w:next w:val="1"/>
    <w:unhideWhenUsed/>
    <w:qFormat/>
    <w:uiPriority w:val="39"/>
    <w:pPr>
      <w:ind w:left="3360" w:leftChars="1600"/>
    </w:pPr>
    <w:rPr>
      <w:rFonts w:ascii="Calibri" w:hAnsi="Calibri"/>
      <w:szCs w:val="22"/>
    </w:rPr>
  </w:style>
  <w:style w:type="character" w:customStyle="1" w:styleId="97">
    <w:name w:val="正文文本 2 Char"/>
    <w:link w:val="45"/>
    <w:qFormat/>
    <w:uiPriority w:val="0"/>
    <w:rPr>
      <w:rFonts w:ascii="宋体" w:hAnsi="宋体"/>
      <w:color w:val="000000"/>
      <w:kern w:val="2"/>
      <w:sz w:val="24"/>
      <w:szCs w:val="24"/>
    </w:rPr>
  </w:style>
  <w:style w:type="character" w:customStyle="1" w:styleId="98">
    <w:name w:val="普通(网站) Char"/>
    <w:link w:val="47"/>
    <w:qFormat/>
    <w:locked/>
    <w:uiPriority w:val="99"/>
    <w:rPr>
      <w:rFonts w:ascii="宋体" w:hAnsi="宋体" w:cs="宋体"/>
      <w:sz w:val="24"/>
      <w:szCs w:val="24"/>
    </w:rPr>
  </w:style>
  <w:style w:type="character" w:customStyle="1" w:styleId="99">
    <w:name w:val="标题 Char"/>
    <w:link w:val="49"/>
    <w:qFormat/>
    <w:uiPriority w:val="0"/>
    <w:rPr>
      <w:rFonts w:ascii="Cambria" w:hAnsi="Cambria"/>
      <w:b/>
      <w:bCs/>
      <w:kern w:val="2"/>
      <w:sz w:val="32"/>
      <w:szCs w:val="32"/>
    </w:rPr>
  </w:style>
  <w:style w:type="character" w:customStyle="1" w:styleId="100">
    <w:name w:val="批注主题 Char"/>
    <w:link w:val="50"/>
    <w:qFormat/>
    <w:uiPriority w:val="0"/>
    <w:rPr>
      <w:b/>
      <w:bCs/>
      <w:kern w:val="2"/>
      <w:sz w:val="21"/>
      <w:szCs w:val="24"/>
    </w:rPr>
  </w:style>
  <w:style w:type="paragraph" w:customStyle="1" w:styleId="101">
    <w:name w:val="正文首行缩进1"/>
    <w:basedOn w:val="18"/>
    <w:link w:val="102"/>
    <w:qFormat/>
    <w:uiPriority w:val="0"/>
    <w:pPr>
      <w:ind w:firstLine="420" w:firstLineChars="100"/>
    </w:pPr>
  </w:style>
  <w:style w:type="character" w:customStyle="1" w:styleId="102">
    <w:name w:val="正文首行缩进 Char"/>
    <w:link w:val="101"/>
    <w:qFormat/>
    <w:uiPriority w:val="0"/>
  </w:style>
  <w:style w:type="character" w:customStyle="1" w:styleId="103">
    <w:name w:val="已访问的超链接1"/>
    <w:qFormat/>
    <w:uiPriority w:val="0"/>
    <w:rPr>
      <w:color w:val="800080"/>
      <w:u w:val="single"/>
    </w:rPr>
  </w:style>
  <w:style w:type="character" w:customStyle="1" w:styleId="104">
    <w:name w:val="正文缩进 字符"/>
    <w:qFormat/>
    <w:uiPriority w:val="0"/>
    <w:rPr>
      <w:snapToGrid/>
      <w:kern w:val="0"/>
      <w:sz w:val="24"/>
    </w:rPr>
  </w:style>
  <w:style w:type="character" w:customStyle="1" w:styleId="105">
    <w:name w:val="列出段落 Char"/>
    <w:link w:val="65"/>
    <w:qFormat/>
    <w:uiPriority w:val="99"/>
    <w:rPr>
      <w:kern w:val="2"/>
      <w:sz w:val="21"/>
      <w:szCs w:val="22"/>
    </w:rPr>
  </w:style>
  <w:style w:type="character" w:customStyle="1" w:styleId="106">
    <w:name w:val="列表段落 字符"/>
    <w:qFormat/>
    <w:uiPriority w:val="34"/>
    <w:rPr>
      <w:rFonts w:ascii="Times New Roman" w:hAnsi="Times New Roman" w:eastAsia="宋体" w:cs="Times New Roman"/>
      <w:szCs w:val="24"/>
    </w:rPr>
  </w:style>
  <w:style w:type="character" w:customStyle="1" w:styleId="107">
    <w:name w:val="页脚 字符"/>
    <w:qFormat/>
    <w:uiPriority w:val="99"/>
  </w:style>
  <w:style w:type="character" w:customStyle="1" w:styleId="108">
    <w:name w:val="页眉 Char1"/>
    <w:qFormat/>
    <w:uiPriority w:val="99"/>
    <w:rPr>
      <w:kern w:val="2"/>
      <w:sz w:val="18"/>
      <w:szCs w:val="18"/>
    </w:rPr>
  </w:style>
  <w:style w:type="character" w:customStyle="1" w:styleId="109">
    <w:name w:val="普通文字 Char Char2"/>
    <w:qFormat/>
    <w:uiPriority w:val="0"/>
    <w:rPr>
      <w:rFonts w:ascii="宋体" w:hAnsi="Courier New" w:eastAsia="宋体"/>
      <w:kern w:val="2"/>
      <w:sz w:val="24"/>
      <w:szCs w:val="24"/>
      <w:lang w:val="en-US" w:eastAsia="zh-CN" w:bidi="ar-SA"/>
    </w:rPr>
  </w:style>
  <w:style w:type="character" w:customStyle="1" w:styleId="110">
    <w:name w:val="批注文字 Char"/>
    <w:qFormat/>
    <w:uiPriority w:val="0"/>
    <w:rPr>
      <w:kern w:val="2"/>
      <w:sz w:val="21"/>
      <w:szCs w:val="24"/>
    </w:rPr>
  </w:style>
  <w:style w:type="character" w:customStyle="1" w:styleId="111">
    <w:name w:val="ca-92"/>
    <w:qFormat/>
    <w:uiPriority w:val="0"/>
  </w:style>
  <w:style w:type="character" w:customStyle="1" w:styleId="112">
    <w:name w:val="bookmark-item"/>
    <w:qFormat/>
    <w:uiPriority w:val="0"/>
  </w:style>
  <w:style w:type="character" w:customStyle="1" w:styleId="113">
    <w:name w:val="纯文本 Char3"/>
    <w:qFormat/>
    <w:uiPriority w:val="0"/>
    <w:rPr>
      <w:rFonts w:ascii="宋体" w:hAnsi="Courier New" w:eastAsia="宋体"/>
      <w:kern w:val="2"/>
      <w:sz w:val="24"/>
      <w:szCs w:val="24"/>
      <w:lang w:val="en-US" w:eastAsia="zh-CN" w:bidi="ar-SA"/>
    </w:rPr>
  </w:style>
  <w:style w:type="character" w:customStyle="1" w:styleId="114">
    <w:name w:val="sub"/>
    <w:qFormat/>
    <w:uiPriority w:val="0"/>
  </w:style>
  <w:style w:type="character" w:customStyle="1" w:styleId="115">
    <w:name w:val="纯文本 Char1"/>
    <w:qFormat/>
    <w:uiPriority w:val="0"/>
    <w:rPr>
      <w:rFonts w:ascii="宋体" w:hAnsi="Courier New" w:eastAsia="宋体" w:cs="Times New Roman"/>
      <w:sz w:val="24"/>
      <w:szCs w:val="24"/>
    </w:rPr>
  </w:style>
  <w:style w:type="paragraph" w:customStyle="1" w:styleId="116">
    <w:name w:val="_Style 2"/>
    <w:basedOn w:val="1"/>
    <w:qFormat/>
    <w:uiPriority w:val="0"/>
    <w:pPr>
      <w:adjustRightInd w:val="0"/>
      <w:snapToGrid w:val="0"/>
      <w:ind w:firstLine="420"/>
    </w:pPr>
    <w:rPr>
      <w:rFonts w:ascii="Calibri" w:hAnsi="Calibri"/>
      <w:sz w:val="24"/>
    </w:rPr>
  </w:style>
  <w:style w:type="paragraph" w:customStyle="1" w:styleId="117">
    <w:name w:val="Char Char9 Char Char"/>
    <w:basedOn w:val="1"/>
    <w:qFormat/>
    <w:uiPriority w:val="0"/>
    <w:pPr>
      <w:tabs>
        <w:tab w:val="left" w:pos="360"/>
      </w:tabs>
    </w:pPr>
  </w:style>
  <w:style w:type="paragraph" w:customStyle="1" w:styleId="118">
    <w:name w:val="样式 正文1 + 段前: 0.1 行"/>
    <w:basedOn w:val="1"/>
    <w:qFormat/>
    <w:uiPriority w:val="0"/>
    <w:pPr>
      <w:snapToGrid w:val="0"/>
      <w:spacing w:beforeLines="10" w:line="440" w:lineRule="atLeast"/>
      <w:ind w:firstLine="510"/>
    </w:pPr>
    <w:rPr>
      <w:sz w:val="24"/>
    </w:rPr>
  </w:style>
  <w:style w:type="paragraph" w:customStyle="1" w:styleId="119">
    <w:name w:val="列表段落1"/>
    <w:basedOn w:val="1"/>
    <w:qFormat/>
    <w:uiPriority w:val="0"/>
    <w:pPr>
      <w:ind w:firstLine="420"/>
    </w:pPr>
    <w:rPr>
      <w:szCs w:val="21"/>
    </w:rPr>
  </w:style>
  <w:style w:type="paragraph" w:customStyle="1" w:styleId="120">
    <w:name w:val="列出段落1"/>
    <w:basedOn w:val="1"/>
    <w:link w:val="285"/>
    <w:qFormat/>
    <w:uiPriority w:val="0"/>
    <w:pPr>
      <w:ind w:firstLine="420"/>
    </w:pPr>
    <w:rPr>
      <w:rFonts w:ascii="Calibri" w:hAnsi="Calibri"/>
      <w:szCs w:val="20"/>
    </w:rPr>
  </w:style>
  <w:style w:type="paragraph" w:customStyle="1" w:styleId="121">
    <w:name w:val="正文1"/>
    <w:qFormat/>
    <w:uiPriority w:val="0"/>
    <w:pPr>
      <w:widowControl w:val="0"/>
      <w:spacing w:after="160" w:line="278" w:lineRule="auto"/>
      <w:jc w:val="both"/>
    </w:pPr>
    <w:rPr>
      <w:rFonts w:hint="eastAsia" w:ascii="Times New Roman" w:hAnsi="Times New Roman" w:eastAsia="宋体" w:cs="Times New Roman"/>
      <w:kern w:val="2"/>
      <w:sz w:val="21"/>
      <w:lang w:val="en-US" w:eastAsia="zh-CN" w:bidi="ar-SA"/>
    </w:rPr>
  </w:style>
  <w:style w:type="paragraph" w:customStyle="1" w:styleId="122">
    <w:name w:val="纯文本1"/>
    <w:basedOn w:val="1"/>
    <w:qFormat/>
    <w:uiPriority w:val="0"/>
    <w:pPr>
      <w:adjustRightInd w:val="0"/>
      <w:textAlignment w:val="baseline"/>
    </w:pPr>
    <w:rPr>
      <w:rFonts w:ascii="宋体" w:hAnsi="Courier New" w:eastAsia="楷体_GB2312"/>
      <w:sz w:val="26"/>
      <w:szCs w:val="20"/>
    </w:rPr>
  </w:style>
  <w:style w:type="paragraph" w:customStyle="1" w:styleId="123">
    <w:name w:val="默认段落字体 Para Char Char Char Char Char Char Char Char Char1 Char Char Char Char"/>
    <w:basedOn w:val="1"/>
    <w:qFormat/>
    <w:uiPriority w:val="0"/>
    <w:rPr>
      <w:rFonts w:ascii="Tahoma" w:hAnsi="Tahoma"/>
      <w:sz w:val="24"/>
      <w:szCs w:val="20"/>
    </w:rPr>
  </w:style>
  <w:style w:type="paragraph" w:customStyle="1" w:styleId="124">
    <w:name w:val="表内文字"/>
    <w:basedOn w:val="1"/>
    <w:qFormat/>
    <w:uiPriority w:val="0"/>
    <w:pPr>
      <w:jc w:val="center"/>
    </w:pPr>
    <w:rPr>
      <w:rFonts w:ascii="仿宋_GB2312" w:eastAsia="仿宋_GB2312"/>
      <w:sz w:val="24"/>
    </w:rPr>
  </w:style>
  <w:style w:type="paragraph" w:customStyle="1" w:styleId="125">
    <w:name w:val="f1"/>
    <w:basedOn w:val="1"/>
    <w:qFormat/>
    <w:uiPriority w:val="0"/>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126">
    <w:name w:val="1 Char Char Char Char"/>
    <w:basedOn w:val="1"/>
    <w:qFormat/>
    <w:uiPriority w:val="0"/>
    <w:rPr>
      <w:rFonts w:ascii="Tahoma" w:hAnsi="Tahoma"/>
      <w:sz w:val="24"/>
      <w:szCs w:val="20"/>
    </w:rPr>
  </w:style>
  <w:style w:type="paragraph" w:customStyle="1" w:styleId="127">
    <w:name w:val="Char Char Char Char Char Char Char Char Char Char Char Char Char"/>
    <w:basedOn w:val="1"/>
    <w:qFormat/>
    <w:uiPriority w:val="0"/>
    <w:pPr>
      <w:tabs>
        <w:tab w:val="left" w:pos="432"/>
      </w:tabs>
      <w:ind w:left="432" w:hanging="432"/>
    </w:pPr>
    <w:rPr>
      <w:rFonts w:ascii="Tahoma" w:hAnsi="Tahoma"/>
      <w:sz w:val="24"/>
      <w:szCs w:val="20"/>
    </w:rPr>
  </w:style>
  <w:style w:type="paragraph" w:customStyle="1" w:styleId="128">
    <w:name w:val="Char Char Char Char Char Char Char"/>
    <w:basedOn w:val="1"/>
    <w:qFormat/>
    <w:uiPriority w:val="0"/>
    <w:rPr>
      <w:szCs w:val="21"/>
    </w:rPr>
  </w:style>
  <w:style w:type="paragraph" w:customStyle="1" w:styleId="129">
    <w:name w:val="TOC 标题1"/>
    <w:basedOn w:val="2"/>
    <w:next w:val="1"/>
    <w:qFormat/>
    <w:uiPriority w:val="39"/>
    <w:pPr>
      <w:widowControl/>
      <w:spacing w:before="480" w:line="276" w:lineRule="auto"/>
      <w:jc w:val="left"/>
      <w:outlineLvl w:val="9"/>
    </w:pPr>
    <w:rPr>
      <w:rFonts w:ascii="Cambria" w:hAnsi="Cambria"/>
      <w:color w:val="365F91"/>
      <w:kern w:val="0"/>
      <w:sz w:val="28"/>
      <w:szCs w:val="28"/>
    </w:rPr>
  </w:style>
  <w:style w:type="paragraph" w:customStyle="1" w:styleId="130">
    <w:name w:val="正文段"/>
    <w:basedOn w:val="1"/>
    <w:qFormat/>
    <w:uiPriority w:val="0"/>
    <w:pPr>
      <w:widowControl/>
      <w:snapToGrid w:val="0"/>
      <w:spacing w:afterLines="50"/>
      <w:ind w:firstLine="200"/>
    </w:pPr>
    <w:rPr>
      <w:kern w:val="0"/>
      <w:sz w:val="24"/>
      <w:szCs w:val="20"/>
    </w:rPr>
  </w:style>
  <w:style w:type="paragraph" w:customStyle="1" w:styleId="131">
    <w:name w:val="纯文本2"/>
    <w:basedOn w:val="1"/>
    <w:qFormat/>
    <w:uiPriority w:val="0"/>
    <w:pPr>
      <w:adjustRightInd w:val="0"/>
      <w:textAlignment w:val="baseline"/>
    </w:pPr>
    <w:rPr>
      <w:rFonts w:ascii="宋体" w:hAnsi="Courier New" w:eastAsia="楷体_GB2312"/>
      <w:sz w:val="26"/>
      <w:szCs w:val="20"/>
    </w:rPr>
  </w:style>
  <w:style w:type="paragraph" w:customStyle="1" w:styleId="132">
    <w:name w:val="默认段落字体 Para Char Char Char Char"/>
    <w:basedOn w:val="1"/>
    <w:qFormat/>
    <w:uiPriority w:val="0"/>
    <w:rPr>
      <w:rFonts w:ascii="Arial" w:hAnsi="Arial" w:cs="Arial"/>
      <w:szCs w:val="21"/>
    </w:rPr>
  </w:style>
  <w:style w:type="paragraph" w:customStyle="1" w:styleId="133">
    <w:name w:val="_Style 54"/>
    <w:basedOn w:val="1"/>
    <w:qFormat/>
    <w:uiPriority w:val="0"/>
    <w:pPr>
      <w:adjustRightInd w:val="0"/>
      <w:snapToGrid w:val="0"/>
      <w:ind w:firstLine="420"/>
    </w:pPr>
    <w:rPr>
      <w:rFonts w:ascii="Calibri" w:hAnsi="Calibri"/>
      <w:sz w:val="24"/>
    </w:rPr>
  </w:style>
  <w:style w:type="paragraph" w:customStyle="1" w:styleId="134">
    <w:name w:val="CM11"/>
    <w:basedOn w:val="67"/>
    <w:next w:val="67"/>
    <w:unhideWhenUsed/>
    <w:qFormat/>
    <w:uiPriority w:val="99"/>
    <w:pPr>
      <w:spacing w:line="520" w:lineRule="atLeast"/>
    </w:pPr>
  </w:style>
  <w:style w:type="paragraph" w:customStyle="1" w:styleId="135">
    <w:name w:val="WPSOffice手动目录 1"/>
    <w:qFormat/>
    <w:uiPriority w:val="0"/>
    <w:pPr>
      <w:spacing w:after="160" w:line="278" w:lineRule="auto"/>
    </w:pPr>
    <w:rPr>
      <w:rFonts w:ascii="Times New Roman" w:hAnsi="Times New Roman" w:eastAsia="宋体" w:cs="Times New Roman"/>
      <w:lang w:val="en-US" w:eastAsia="zh-CN" w:bidi="ar-SA"/>
    </w:rPr>
  </w:style>
  <w:style w:type="paragraph" w:customStyle="1" w:styleId="136">
    <w:name w:val="p16"/>
    <w:basedOn w:val="1"/>
    <w:qFormat/>
    <w:uiPriority w:val="0"/>
    <w:pPr>
      <w:widowControl/>
    </w:pPr>
    <w:rPr>
      <w:rFonts w:ascii="宋体" w:hAnsi="宋体" w:cs="宋体"/>
      <w:kern w:val="0"/>
      <w:sz w:val="27"/>
      <w:szCs w:val="27"/>
    </w:rPr>
  </w:style>
  <w:style w:type="paragraph" w:customStyle="1" w:styleId="137">
    <w:name w:val="CM13"/>
    <w:basedOn w:val="67"/>
    <w:next w:val="67"/>
    <w:unhideWhenUsed/>
    <w:qFormat/>
    <w:uiPriority w:val="99"/>
    <w:pPr>
      <w:spacing w:line="520" w:lineRule="atLeast"/>
    </w:pPr>
  </w:style>
  <w:style w:type="paragraph" w:customStyle="1" w:styleId="138">
    <w:name w:val="CM19"/>
    <w:basedOn w:val="67"/>
    <w:next w:val="67"/>
    <w:unhideWhenUsed/>
    <w:qFormat/>
    <w:uiPriority w:val="99"/>
  </w:style>
  <w:style w:type="character" w:customStyle="1" w:styleId="139">
    <w:name w:val="font01"/>
    <w:qFormat/>
    <w:uiPriority w:val="0"/>
    <w:rPr>
      <w:rFonts w:hint="eastAsia" w:ascii="宋体" w:hAnsi="宋体" w:eastAsia="宋体" w:cs="宋体"/>
      <w:color w:val="000000"/>
      <w:sz w:val="21"/>
      <w:szCs w:val="21"/>
      <w:u w:val="none"/>
      <w:vertAlign w:val="superscript"/>
    </w:rPr>
  </w:style>
  <w:style w:type="character" w:customStyle="1" w:styleId="140">
    <w:name w:val="font11"/>
    <w:qFormat/>
    <w:uiPriority w:val="0"/>
    <w:rPr>
      <w:rFonts w:hint="eastAsia" w:ascii="宋体" w:hAnsi="宋体" w:eastAsia="宋体" w:cs="宋体"/>
      <w:color w:val="000000"/>
      <w:sz w:val="21"/>
      <w:szCs w:val="21"/>
      <w:u w:val="none"/>
    </w:rPr>
  </w:style>
  <w:style w:type="paragraph" w:customStyle="1" w:styleId="141">
    <w:name w:val="--规划正文"/>
    <w:basedOn w:val="1"/>
    <w:qFormat/>
    <w:uiPriority w:val="0"/>
    <w:pPr>
      <w:widowControl/>
      <w:suppressAutoHyphens/>
      <w:ind w:firstLine="200"/>
    </w:pPr>
    <w:rPr>
      <w:kern w:val="1"/>
      <w:szCs w:val="20"/>
      <w:lang w:eastAsia="ar-SA"/>
    </w:rPr>
  </w:style>
  <w:style w:type="character" w:customStyle="1" w:styleId="142">
    <w:name w:val="正文首行缩进 2 Char"/>
    <w:link w:val="143"/>
    <w:qFormat/>
    <w:uiPriority w:val="0"/>
    <w:rPr>
      <w:rFonts w:ascii="宋体" w:hAnsi="Courier New"/>
      <w:spacing w:val="-4"/>
      <w:kern w:val="2"/>
      <w:sz w:val="24"/>
    </w:rPr>
  </w:style>
  <w:style w:type="paragraph" w:customStyle="1" w:styleId="143">
    <w:name w:val="正文首行缩进 21"/>
    <w:basedOn w:val="20"/>
    <w:link w:val="142"/>
    <w:unhideWhenUsed/>
    <w:qFormat/>
    <w:uiPriority w:val="0"/>
    <w:pPr>
      <w:spacing w:after="120" w:line="360" w:lineRule="auto"/>
      <w:ind w:left="420" w:leftChars="200" w:firstLine="420"/>
    </w:pPr>
    <w:rPr>
      <w:sz w:val="24"/>
    </w:rPr>
  </w:style>
  <w:style w:type="character" w:customStyle="1" w:styleId="144">
    <w:name w:val="正文首行缩进 2 Char1"/>
    <w:qFormat/>
    <w:uiPriority w:val="0"/>
    <w:rPr>
      <w:rFonts w:ascii="宋体" w:hAnsi="Courier New"/>
      <w:spacing w:val="-4"/>
      <w:kern w:val="2"/>
      <w:sz w:val="21"/>
      <w:szCs w:val="24"/>
    </w:rPr>
  </w:style>
  <w:style w:type="paragraph" w:customStyle="1" w:styleId="145">
    <w:name w:val="正文sl"/>
    <w:basedOn w:val="1"/>
    <w:qFormat/>
    <w:uiPriority w:val="0"/>
    <w:pPr>
      <w:ind w:firstLine="600"/>
    </w:pPr>
    <w:rPr>
      <w:rFonts w:ascii="仿宋_GB2312" w:eastAsia="仿宋_GB2312" w:cs="宋体"/>
      <w:sz w:val="30"/>
      <w:szCs w:val="20"/>
    </w:rPr>
  </w:style>
  <w:style w:type="paragraph" w:customStyle="1" w:styleId="146">
    <w:name w:val="无间隔1"/>
    <w:qFormat/>
    <w:uiPriority w:val="0"/>
    <w:pPr>
      <w:widowControl w:val="0"/>
      <w:spacing w:after="160" w:line="278" w:lineRule="auto"/>
      <w:jc w:val="both"/>
    </w:pPr>
    <w:rPr>
      <w:rFonts w:ascii="Times New Roman" w:hAnsi="Times New Roman" w:eastAsia="宋体" w:cs="Times New Roman"/>
      <w:kern w:val="2"/>
      <w:sz w:val="21"/>
      <w:szCs w:val="24"/>
      <w:lang w:val="en-US" w:eastAsia="zh-CN" w:bidi="ar-SA"/>
    </w:rPr>
  </w:style>
  <w:style w:type="character" w:customStyle="1" w:styleId="147">
    <w:name w:val="fontstyle01"/>
    <w:qFormat/>
    <w:uiPriority w:val="0"/>
    <w:rPr>
      <w:rFonts w:hint="eastAsia" w:ascii="宋体" w:hAnsi="宋体" w:eastAsia="宋体" w:cs="宋体"/>
      <w:color w:val="000000"/>
      <w:sz w:val="24"/>
      <w:szCs w:val="24"/>
    </w:rPr>
  </w:style>
  <w:style w:type="character" w:customStyle="1" w:styleId="148">
    <w:name w:val="inline-comment-marker"/>
    <w:basedOn w:val="56"/>
    <w:qFormat/>
    <w:uiPriority w:val="0"/>
  </w:style>
  <w:style w:type="paragraph" w:customStyle="1" w:styleId="149">
    <w:name w:val="列表段落11"/>
    <w:basedOn w:val="1"/>
    <w:qFormat/>
    <w:uiPriority w:val="34"/>
    <w:pPr>
      <w:widowControl/>
      <w:ind w:firstLine="420"/>
    </w:pPr>
    <w:rPr>
      <w:rFonts w:ascii="宋体" w:hAnsi="宋体" w:cs="宋体"/>
      <w:kern w:val="0"/>
      <w:sz w:val="24"/>
    </w:rPr>
  </w:style>
  <w:style w:type="character" w:customStyle="1" w:styleId="150">
    <w:name w:val="标题 5 Char"/>
    <w:basedOn w:val="56"/>
    <w:link w:val="7"/>
    <w:qFormat/>
    <w:uiPriority w:val="0"/>
    <w:rPr>
      <w:rFonts w:eastAsia="微软雅黑"/>
      <w:b/>
      <w:bCs/>
      <w:kern w:val="2"/>
      <w:sz w:val="21"/>
      <w:szCs w:val="28"/>
    </w:rPr>
  </w:style>
  <w:style w:type="character" w:customStyle="1" w:styleId="151">
    <w:name w:val="标题 6 Char"/>
    <w:basedOn w:val="56"/>
    <w:link w:val="8"/>
    <w:qFormat/>
    <w:uiPriority w:val="0"/>
    <w:rPr>
      <w:rFonts w:ascii="Arial" w:hAnsi="Arial" w:eastAsia="黑体"/>
      <w:b/>
      <w:bCs/>
      <w:kern w:val="2"/>
      <w:sz w:val="24"/>
    </w:rPr>
  </w:style>
  <w:style w:type="character" w:customStyle="1" w:styleId="152">
    <w:name w:val="标题 7 Char"/>
    <w:basedOn w:val="56"/>
    <w:link w:val="9"/>
    <w:qFormat/>
    <w:uiPriority w:val="0"/>
    <w:rPr>
      <w:rFonts w:ascii="宋体" w:eastAsia="仿宋_GB2312"/>
      <w:b/>
      <w:sz w:val="24"/>
    </w:rPr>
  </w:style>
  <w:style w:type="character" w:customStyle="1" w:styleId="153">
    <w:name w:val="标题 8 Char"/>
    <w:basedOn w:val="56"/>
    <w:link w:val="10"/>
    <w:qFormat/>
    <w:uiPriority w:val="0"/>
    <w:rPr>
      <w:rFonts w:ascii="Arial" w:hAnsi="Arial" w:eastAsia="黑体"/>
      <w:sz w:val="24"/>
    </w:rPr>
  </w:style>
  <w:style w:type="character" w:customStyle="1" w:styleId="154">
    <w:name w:val="标题 9 Char"/>
    <w:basedOn w:val="56"/>
    <w:link w:val="11"/>
    <w:qFormat/>
    <w:uiPriority w:val="0"/>
    <w:rPr>
      <w:rFonts w:ascii="Arial" w:hAnsi="Arial" w:eastAsia="黑体"/>
      <w:sz w:val="28"/>
    </w:rPr>
  </w:style>
  <w:style w:type="character" w:customStyle="1" w:styleId="155">
    <w:name w:val="unnamed11"/>
    <w:qFormat/>
    <w:uiPriority w:val="0"/>
    <w:rPr>
      <w:sz w:val="20"/>
      <w:szCs w:val="20"/>
    </w:rPr>
  </w:style>
  <w:style w:type="character" w:customStyle="1" w:styleId="156">
    <w:name w:val="标题 1 Char Char"/>
    <w:qFormat/>
    <w:uiPriority w:val="0"/>
    <w:rPr>
      <w:rFonts w:eastAsia="宋体"/>
      <w:b/>
      <w:spacing w:val="-2"/>
      <w:sz w:val="24"/>
      <w:lang w:val="en-US" w:eastAsia="zh-CN" w:bidi="ar-SA"/>
    </w:rPr>
  </w:style>
  <w:style w:type="character" w:customStyle="1" w:styleId="157">
    <w:name w:val="line1"/>
    <w:qFormat/>
    <w:uiPriority w:val="0"/>
    <w:rPr>
      <w:u w:val="none"/>
    </w:rPr>
  </w:style>
  <w:style w:type="character" w:customStyle="1" w:styleId="158">
    <w:name w:val="point_normal1"/>
    <w:qFormat/>
    <w:uiPriority w:val="0"/>
    <w:rPr>
      <w:rFonts w:hint="default" w:ascii="Arial" w:hAnsi="Arial" w:cs="Arial"/>
      <w:sz w:val="18"/>
      <w:szCs w:val="18"/>
    </w:rPr>
  </w:style>
  <w:style w:type="character" w:customStyle="1" w:styleId="159">
    <w:name w:val="样式 小四"/>
    <w:qFormat/>
    <w:uiPriority w:val="0"/>
    <w:rPr>
      <w:sz w:val="21"/>
    </w:rPr>
  </w:style>
  <w:style w:type="character" w:customStyle="1" w:styleId="160">
    <w:name w:val="para"/>
    <w:basedOn w:val="56"/>
    <w:qFormat/>
    <w:uiPriority w:val="0"/>
  </w:style>
  <w:style w:type="character" w:customStyle="1" w:styleId="161">
    <w:name w:val="样式 样式3 + 宋体 五号 Char Char Char Char"/>
    <w:qFormat/>
    <w:uiPriority w:val="0"/>
    <w:rPr>
      <w:rFonts w:hint="eastAsia" w:ascii="宋体" w:hAnsi="宋体" w:eastAsia="宋体"/>
      <w:b/>
      <w:bCs/>
      <w:kern w:val="2"/>
      <w:sz w:val="21"/>
      <w:szCs w:val="24"/>
      <w:lang w:val="en-US" w:eastAsia="zh-CN" w:bidi="ar-SA"/>
    </w:rPr>
  </w:style>
  <w:style w:type="character" w:customStyle="1" w:styleId="162">
    <w:name w:val="Normal Indent Char1 Char1 Char2 Char Char Char Char Char Char Char Char Char Char Char Char Char Char"/>
    <w:qFormat/>
    <w:uiPriority w:val="0"/>
    <w:rPr>
      <w:rFonts w:eastAsia="仿宋_GB2312"/>
      <w:kern w:val="2"/>
      <w:sz w:val="22"/>
      <w:szCs w:val="24"/>
      <w:lang w:val="en-US" w:eastAsia="zh-CN" w:bidi="ar-SA"/>
    </w:rPr>
  </w:style>
  <w:style w:type="character" w:customStyle="1" w:styleId="163">
    <w:name w:val="A C"/>
    <w:qFormat/>
    <w:uiPriority w:val="0"/>
    <w:rPr>
      <w:rFonts w:ascii="仿宋_GB2312"/>
      <w:bCs/>
      <w:iCs/>
      <w:sz w:val="24"/>
    </w:rPr>
  </w:style>
  <w:style w:type="character" w:customStyle="1" w:styleId="164">
    <w:name w:val="huide001"/>
    <w:qFormat/>
    <w:uiPriority w:val="0"/>
    <w:rPr>
      <w:rFonts w:hint="default" w:ascii="Arial" w:hAnsi="Arial" w:cs="Arial"/>
      <w:color w:val="666666"/>
      <w:sz w:val="18"/>
      <w:szCs w:val="18"/>
    </w:rPr>
  </w:style>
  <w:style w:type="character" w:customStyle="1" w:styleId="165">
    <w:name w:val="tw4winMark"/>
    <w:qFormat/>
    <w:uiPriority w:val="0"/>
    <w:rPr>
      <w:rFonts w:ascii="Courier New" w:hAnsi="Courier New"/>
      <w:vanish/>
      <w:color w:val="800080"/>
      <w:vertAlign w:val="subscript"/>
    </w:rPr>
  </w:style>
  <w:style w:type="character" w:customStyle="1" w:styleId="166">
    <w:name w:val="tw4winError"/>
    <w:qFormat/>
    <w:uiPriority w:val="0"/>
    <w:rPr>
      <w:rFonts w:ascii="Courier New" w:hAnsi="Courier New"/>
      <w:color w:val="00FF00"/>
      <w:sz w:val="40"/>
    </w:rPr>
  </w:style>
  <w:style w:type="character" w:customStyle="1" w:styleId="167">
    <w:name w:val="tw4winTerm"/>
    <w:qFormat/>
    <w:uiPriority w:val="0"/>
    <w:rPr>
      <w:color w:val="0000FF"/>
    </w:rPr>
  </w:style>
  <w:style w:type="character" w:customStyle="1" w:styleId="168">
    <w:name w:val="tw4winPopup"/>
    <w:qFormat/>
    <w:uiPriority w:val="0"/>
    <w:rPr>
      <w:rFonts w:ascii="Courier New" w:hAnsi="Courier New"/>
      <w:color w:val="008000"/>
    </w:rPr>
  </w:style>
  <w:style w:type="character" w:customStyle="1" w:styleId="169">
    <w:name w:val="tw4winJump"/>
    <w:qFormat/>
    <w:uiPriority w:val="0"/>
    <w:rPr>
      <w:rFonts w:ascii="Courier New" w:hAnsi="Courier New"/>
      <w:color w:val="008080"/>
    </w:rPr>
  </w:style>
  <w:style w:type="character" w:customStyle="1" w:styleId="170">
    <w:name w:val="tw4winExternal"/>
    <w:qFormat/>
    <w:uiPriority w:val="0"/>
    <w:rPr>
      <w:rFonts w:ascii="Courier New" w:hAnsi="Courier New"/>
      <w:color w:val="808080"/>
    </w:rPr>
  </w:style>
  <w:style w:type="character" w:customStyle="1" w:styleId="171">
    <w:name w:val="tw4winInternal"/>
    <w:qFormat/>
    <w:uiPriority w:val="0"/>
    <w:rPr>
      <w:rFonts w:ascii="Courier New" w:hAnsi="Courier New"/>
      <w:color w:val="FF0000"/>
    </w:rPr>
  </w:style>
  <w:style w:type="paragraph" w:customStyle="1" w:styleId="172">
    <w:name w:val="样式 样式 标题 4 + 段后: 0.5 行1"/>
    <w:basedOn w:val="173"/>
    <w:next w:val="32"/>
    <w:qFormat/>
    <w:uiPriority w:val="0"/>
    <w:pPr>
      <w:spacing w:after="120"/>
    </w:pPr>
  </w:style>
  <w:style w:type="paragraph" w:customStyle="1" w:styleId="173">
    <w:name w:val="样式 标题 4 + 段后: 0.5 行"/>
    <w:basedOn w:val="6"/>
    <w:qFormat/>
    <w:uiPriority w:val="0"/>
    <w:pPr>
      <w:keepLines w:val="0"/>
      <w:spacing w:before="120" w:afterLines="50" w:line="240" w:lineRule="auto"/>
    </w:pPr>
    <w:rPr>
      <w:rFonts w:ascii="宋体" w:hAnsi="Times New Roman" w:eastAsia="宋体" w:cs="宋体"/>
      <w:snapToGrid w:val="0"/>
      <w:kern w:val="0"/>
      <w:szCs w:val="20"/>
    </w:rPr>
  </w:style>
  <w:style w:type="paragraph" w:customStyle="1" w:styleId="174">
    <w:name w:val="Bullet1"/>
    <w:basedOn w:val="1"/>
    <w:qFormat/>
    <w:uiPriority w:val="0"/>
    <w:pPr>
      <w:spacing w:afterLines="50"/>
      <w:ind w:left="720" w:hanging="432"/>
    </w:pPr>
    <w:rPr>
      <w:rFonts w:ascii="宋体"/>
      <w:snapToGrid w:val="0"/>
      <w:kern w:val="0"/>
      <w:szCs w:val="20"/>
    </w:rPr>
  </w:style>
  <w:style w:type="paragraph" w:customStyle="1" w:styleId="175">
    <w:name w:val="font5"/>
    <w:basedOn w:val="1"/>
    <w:qFormat/>
    <w:uiPriority w:val="0"/>
    <w:pPr>
      <w:widowControl/>
      <w:spacing w:before="100" w:beforeAutospacing="1" w:after="100" w:afterAutospacing="1"/>
    </w:pPr>
    <w:rPr>
      <w:rFonts w:hint="eastAsia" w:ascii="宋体" w:hAnsi="宋体"/>
      <w:kern w:val="0"/>
      <w:sz w:val="18"/>
      <w:szCs w:val="18"/>
    </w:rPr>
  </w:style>
  <w:style w:type="paragraph" w:customStyle="1" w:styleId="176">
    <w:name w:val="标准标题1"/>
    <w:basedOn w:val="2"/>
    <w:qFormat/>
    <w:uiPriority w:val="0"/>
    <w:pPr>
      <w:pageBreakBefore/>
      <w:tabs>
        <w:tab w:val="left" w:pos="360"/>
        <w:tab w:val="left" w:pos="1080"/>
      </w:tabs>
      <w:ind w:left="425" w:hanging="425"/>
    </w:pPr>
    <w:rPr>
      <w:rFonts w:eastAsia="仿宋_GB2312"/>
      <w:sz w:val="32"/>
    </w:rPr>
  </w:style>
  <w:style w:type="character" w:customStyle="1" w:styleId="177">
    <w:name w:val="脚注文本 Char1"/>
    <w:basedOn w:val="56"/>
    <w:semiHidden/>
    <w:qFormat/>
    <w:uiPriority w:val="99"/>
    <w:rPr>
      <w:rFonts w:ascii="Times New Roman" w:hAnsi="Times New Roman" w:eastAsia="宋体" w:cs="Times New Roman"/>
      <w:sz w:val="18"/>
      <w:szCs w:val="18"/>
    </w:rPr>
  </w:style>
  <w:style w:type="paragraph" w:customStyle="1" w:styleId="178">
    <w:name w:val="样式 标题 2Chapter X.X. Statementh22Header 2l2Level 2 Headhea..."/>
    <w:basedOn w:val="3"/>
    <w:qFormat/>
    <w:uiPriority w:val="0"/>
    <w:pPr>
      <w:tabs>
        <w:tab w:val="left" w:pos="720"/>
      </w:tabs>
      <w:adjustRightInd/>
      <w:snapToGrid/>
      <w:spacing w:afterLines="50" w:line="240" w:lineRule="auto"/>
      <w:textAlignment w:val="auto"/>
    </w:pPr>
    <w:rPr>
      <w:rFonts w:ascii="宋体" w:eastAsia="宋体" w:cs="宋体"/>
      <w:bCs/>
      <w:snapToGrid w:val="0"/>
      <w:sz w:val="24"/>
      <w:szCs w:val="24"/>
    </w:rPr>
  </w:style>
  <w:style w:type="paragraph" w:customStyle="1" w:styleId="179">
    <w:name w:val="此正文"/>
    <w:basedOn w:val="1"/>
    <w:qFormat/>
    <w:uiPriority w:val="0"/>
    <w:pPr>
      <w:ind w:firstLine="200"/>
    </w:pPr>
    <w:rPr>
      <w:sz w:val="24"/>
      <w:szCs w:val="20"/>
    </w:rPr>
  </w:style>
  <w:style w:type="paragraph" w:customStyle="1" w:styleId="180">
    <w:name w:val="样式 标题 3Chapter X.X.X"/>
    <w:basedOn w:val="181"/>
    <w:qFormat/>
    <w:uiPriority w:val="0"/>
    <w:pPr>
      <w:tabs>
        <w:tab w:val="left" w:pos="709"/>
      </w:tabs>
      <w:spacing w:after="120"/>
    </w:pPr>
  </w:style>
  <w:style w:type="paragraph" w:customStyle="1" w:styleId="181">
    <w:name w:val="标题 3Chapter X.X.X. + 段后: 0.5 行 + 段后: 0.5 行 + 段后: 0.5 行1"/>
    <w:basedOn w:val="182"/>
    <w:qFormat/>
    <w:uiPriority w:val="0"/>
    <w:pPr>
      <w:tabs>
        <w:tab w:val="left" w:pos="709"/>
      </w:tabs>
    </w:pPr>
  </w:style>
  <w:style w:type="paragraph" w:customStyle="1" w:styleId="182">
    <w:name w:val="样式 样式 标题 3Chapter X.X.X. + 段后: 0.5 行 + 段后: 0.5 行"/>
    <w:basedOn w:val="183"/>
    <w:qFormat/>
    <w:uiPriority w:val="0"/>
    <w:pPr>
      <w:tabs>
        <w:tab w:val="left" w:pos="709"/>
      </w:tabs>
    </w:pPr>
  </w:style>
  <w:style w:type="paragraph" w:customStyle="1" w:styleId="183">
    <w:name w:val="样式 标题 3Chapter X.X.X. + 段后: 0.5 行"/>
    <w:basedOn w:val="4"/>
    <w:qFormat/>
    <w:uiPriority w:val="0"/>
    <w:pPr>
      <w:keepLines w:val="0"/>
      <w:tabs>
        <w:tab w:val="left" w:pos="709"/>
      </w:tabs>
      <w:spacing w:before="120" w:afterLines="50" w:line="240" w:lineRule="auto"/>
      <w:ind w:firstLine="0" w:firstLineChars="0"/>
    </w:pPr>
    <w:rPr>
      <w:rFonts w:ascii="宋体" w:eastAsia="宋体" w:cs="宋体"/>
      <w:snapToGrid w:val="0"/>
      <w:kern w:val="0"/>
      <w:sz w:val="24"/>
    </w:rPr>
  </w:style>
  <w:style w:type="character" w:customStyle="1" w:styleId="184">
    <w:name w:val="正文文本 Char1"/>
    <w:basedOn w:val="56"/>
    <w:semiHidden/>
    <w:qFormat/>
    <w:uiPriority w:val="99"/>
    <w:rPr>
      <w:rFonts w:ascii="Times New Roman" w:hAnsi="Times New Roman" w:eastAsia="宋体" w:cs="Times New Roman"/>
      <w:szCs w:val="20"/>
    </w:rPr>
  </w:style>
  <w:style w:type="character" w:customStyle="1" w:styleId="185">
    <w:name w:val="尾注文本 Char"/>
    <w:basedOn w:val="56"/>
    <w:link w:val="32"/>
    <w:semiHidden/>
    <w:qFormat/>
    <w:uiPriority w:val="0"/>
    <w:rPr>
      <w:rFonts w:ascii="宋体"/>
      <w:snapToGrid w:val="0"/>
      <w:sz w:val="21"/>
    </w:rPr>
  </w:style>
  <w:style w:type="paragraph" w:customStyle="1" w:styleId="186">
    <w:name w:val="样式 标题 2"/>
    <w:basedOn w:val="3"/>
    <w:next w:val="187"/>
    <w:qFormat/>
    <w:uiPriority w:val="0"/>
    <w:pPr>
      <w:tabs>
        <w:tab w:val="left" w:pos="720"/>
      </w:tabs>
      <w:adjustRightInd/>
      <w:snapToGrid/>
      <w:spacing w:afterLines="50" w:line="240" w:lineRule="auto"/>
      <w:ind w:left="380" w:hanging="380"/>
      <w:textAlignment w:val="auto"/>
    </w:pPr>
    <w:rPr>
      <w:rFonts w:ascii="宋体" w:eastAsia="宋体" w:cs="宋体"/>
      <w:bCs/>
      <w:snapToGrid w:val="0"/>
      <w:sz w:val="28"/>
    </w:rPr>
  </w:style>
  <w:style w:type="paragraph" w:customStyle="1" w:styleId="187">
    <w:name w:val="最新标题3"/>
    <w:basedOn w:val="188"/>
    <w:next w:val="189"/>
    <w:qFormat/>
    <w:uiPriority w:val="0"/>
    <w:pPr>
      <w:tabs>
        <w:tab w:val="left" w:pos="709"/>
      </w:tabs>
      <w:spacing w:after="120"/>
    </w:pPr>
  </w:style>
  <w:style w:type="paragraph" w:customStyle="1" w:styleId="188">
    <w:name w:val="样式 标题 3"/>
    <w:basedOn w:val="4"/>
    <w:next w:val="189"/>
    <w:qFormat/>
    <w:uiPriority w:val="0"/>
    <w:pPr>
      <w:keepLines w:val="0"/>
      <w:tabs>
        <w:tab w:val="left" w:pos="709"/>
      </w:tabs>
      <w:spacing w:before="120" w:afterLines="50" w:line="240" w:lineRule="auto"/>
      <w:ind w:firstLine="0" w:firstLineChars="0"/>
    </w:pPr>
    <w:rPr>
      <w:rFonts w:ascii="宋体" w:eastAsia="宋体" w:cs="宋体"/>
      <w:snapToGrid w:val="0"/>
      <w:kern w:val="0"/>
      <w:sz w:val="24"/>
    </w:rPr>
  </w:style>
  <w:style w:type="paragraph" w:customStyle="1" w:styleId="189">
    <w:name w:val="最新标题4"/>
    <w:basedOn w:val="190"/>
    <w:next w:val="1"/>
    <w:qFormat/>
    <w:uiPriority w:val="0"/>
    <w:pPr>
      <w:tabs>
        <w:tab w:val="left" w:pos="2100"/>
      </w:tabs>
      <w:spacing w:after="120"/>
      <w:ind w:left="0" w:firstLine="0"/>
    </w:pPr>
  </w:style>
  <w:style w:type="paragraph" w:customStyle="1" w:styleId="190">
    <w:name w:val="样式 标题 4"/>
    <w:basedOn w:val="191"/>
    <w:next w:val="192"/>
    <w:qFormat/>
    <w:uiPriority w:val="0"/>
    <w:pPr>
      <w:tabs>
        <w:tab w:val="left" w:pos="2100"/>
      </w:tabs>
      <w:spacing w:after="50"/>
      <w:ind w:left="2100" w:hanging="420"/>
    </w:pPr>
  </w:style>
  <w:style w:type="paragraph" w:customStyle="1" w:styleId="191">
    <w:name w:val="样式 标题 4Chapter X.X.X.X. + 段后: 0.5 行1"/>
    <w:basedOn w:val="173"/>
    <w:qFormat/>
    <w:uiPriority w:val="0"/>
    <w:pPr>
      <w:spacing w:after="120"/>
    </w:pPr>
  </w:style>
  <w:style w:type="paragraph" w:customStyle="1" w:styleId="192">
    <w:name w:val="样式 正文"/>
    <w:basedOn w:val="1"/>
    <w:next w:val="1"/>
    <w:qFormat/>
    <w:uiPriority w:val="0"/>
    <w:pPr>
      <w:spacing w:afterLines="50"/>
    </w:pPr>
    <w:rPr>
      <w:rFonts w:ascii="宋体" w:cs="宋体"/>
      <w:snapToGrid w:val="0"/>
      <w:kern w:val="0"/>
      <w:szCs w:val="20"/>
    </w:rPr>
  </w:style>
  <w:style w:type="paragraph" w:customStyle="1" w:styleId="193">
    <w:name w:val="样式 标题 2Chapter X.X. Statementh22Header 2l2Level 2 Headhea...1"/>
    <w:basedOn w:val="4"/>
    <w:qFormat/>
    <w:uiPriority w:val="0"/>
    <w:pPr>
      <w:keepLines w:val="0"/>
      <w:tabs>
        <w:tab w:val="left" w:pos="709"/>
      </w:tabs>
      <w:spacing w:before="120" w:afterLines="50" w:line="240" w:lineRule="auto"/>
      <w:ind w:firstLine="0" w:firstLineChars="0"/>
    </w:pPr>
    <w:rPr>
      <w:rFonts w:ascii="宋体" w:eastAsia="宋体" w:cs="宋体"/>
      <w:snapToGrid w:val="0"/>
      <w:kern w:val="0"/>
      <w:sz w:val="24"/>
    </w:rPr>
  </w:style>
  <w:style w:type="paragraph" w:customStyle="1" w:styleId="194">
    <w:name w:val="表格标题"/>
    <w:basedOn w:val="195"/>
    <w:qFormat/>
    <w:uiPriority w:val="0"/>
    <w:pPr>
      <w:jc w:val="center"/>
    </w:pPr>
    <w:rPr>
      <w:b/>
      <w:bCs/>
      <w:i/>
      <w:iCs/>
    </w:rPr>
  </w:style>
  <w:style w:type="paragraph" w:customStyle="1" w:styleId="195">
    <w:name w:val="表格内容"/>
    <w:basedOn w:val="18"/>
    <w:qFormat/>
    <w:uiPriority w:val="0"/>
    <w:pPr>
      <w:suppressLineNumbers/>
      <w:suppressAutoHyphens/>
    </w:pPr>
    <w:rPr>
      <w:rFonts w:asciiTheme="minorHAnsi" w:hAnsiTheme="minorHAnsi" w:eastAsiaTheme="minorEastAsia" w:cstheme="minorBidi"/>
      <w:kern w:val="1"/>
      <w:lang w:eastAsia="ar-SA"/>
    </w:rPr>
  </w:style>
  <w:style w:type="paragraph" w:customStyle="1" w:styleId="196">
    <w:name w:val="标准标题3"/>
    <w:basedOn w:val="4"/>
    <w:qFormat/>
    <w:uiPriority w:val="0"/>
    <w:pPr>
      <w:tabs>
        <w:tab w:val="left" w:pos="709"/>
        <w:tab w:val="left" w:pos="1050"/>
      </w:tabs>
      <w:spacing w:line="240" w:lineRule="auto"/>
      <w:ind w:left="-258" w:leftChars="-258" w:firstLine="0" w:firstLineChars="0"/>
    </w:pPr>
    <w:rPr>
      <w:rFonts w:ascii="Times New Roman"/>
      <w:sz w:val="28"/>
      <w:szCs w:val="32"/>
    </w:rPr>
  </w:style>
  <w:style w:type="paragraph" w:customStyle="1" w:styleId="197">
    <w:name w:val="paragraph1"/>
    <w:basedOn w:val="1"/>
    <w:qFormat/>
    <w:uiPriority w:val="0"/>
    <w:pPr>
      <w:spacing w:afterLines="30"/>
      <w:ind w:firstLine="420"/>
    </w:pPr>
    <w:rPr>
      <w:rFonts w:eastAsia="楷体_GB2312"/>
      <w:sz w:val="24"/>
      <w:szCs w:val="20"/>
    </w:rPr>
  </w:style>
  <w:style w:type="paragraph" w:customStyle="1" w:styleId="198">
    <w:name w:val="Char Char Char Char1 Char Char"/>
    <w:basedOn w:val="1"/>
    <w:qFormat/>
    <w:uiPriority w:val="0"/>
    <w:pPr>
      <w:widowControl/>
      <w:spacing w:line="240" w:lineRule="exact"/>
    </w:pPr>
    <w:rPr>
      <w:rFonts w:ascii="Verdana" w:hAnsi="Verdana"/>
      <w:kern w:val="0"/>
      <w:sz w:val="20"/>
      <w:szCs w:val="20"/>
      <w:lang w:eastAsia="en-US"/>
    </w:rPr>
  </w:style>
  <w:style w:type="paragraph" w:customStyle="1" w:styleId="199">
    <w:name w:val="最新标题2"/>
    <w:basedOn w:val="186"/>
    <w:next w:val="187"/>
    <w:qFormat/>
    <w:uiPriority w:val="0"/>
  </w:style>
  <w:style w:type="paragraph" w:customStyle="1" w:styleId="200">
    <w:name w:val="Paragraph2"/>
    <w:basedOn w:val="1"/>
    <w:qFormat/>
    <w:uiPriority w:val="0"/>
    <w:pPr>
      <w:spacing w:before="80" w:afterLines="50"/>
      <w:ind w:left="720"/>
    </w:pPr>
    <w:rPr>
      <w:rFonts w:ascii="宋体"/>
      <w:snapToGrid w:val="0"/>
      <w:color w:val="000000"/>
      <w:kern w:val="0"/>
      <w:szCs w:val="20"/>
      <w:lang w:val="en-AU"/>
    </w:rPr>
  </w:style>
  <w:style w:type="paragraph" w:customStyle="1" w:styleId="201">
    <w:name w:val="样式 样式 正文文本缩进 + 仿宋_GB2312 小四 首行缩进:  0 厘米 行距: 1.5 倍行距 + (中文) 仿宋_GB..."/>
    <w:basedOn w:val="202"/>
    <w:qFormat/>
    <w:uiPriority w:val="0"/>
    <w:pPr>
      <w:ind w:firstLine="480"/>
    </w:pPr>
  </w:style>
  <w:style w:type="paragraph" w:customStyle="1" w:styleId="202">
    <w:name w:val="样式 正文文本缩进 + 仿宋_GB2312 小四 首行缩进:  0 厘米 行距: 1.5 倍行距"/>
    <w:basedOn w:val="20"/>
    <w:qFormat/>
    <w:uiPriority w:val="0"/>
    <w:pPr>
      <w:spacing w:line="360" w:lineRule="auto"/>
      <w:ind w:firstLine="0"/>
    </w:pPr>
    <w:rPr>
      <w:rFonts w:ascii="仿宋_GB2312" w:hAnsi="Times New Roman" w:eastAsia="新宋体"/>
      <w:spacing w:val="0"/>
      <w:sz w:val="24"/>
    </w:rPr>
  </w:style>
  <w:style w:type="paragraph" w:customStyle="1" w:styleId="203">
    <w:name w:val="样式 标题 1 + 段后: 0.5 行"/>
    <w:basedOn w:val="2"/>
    <w:qFormat/>
    <w:uiPriority w:val="0"/>
    <w:pPr>
      <w:keepLines w:val="0"/>
      <w:tabs>
        <w:tab w:val="left" w:pos="360"/>
      </w:tabs>
      <w:spacing w:before="120" w:afterLines="50" w:line="240" w:lineRule="auto"/>
      <w:jc w:val="left"/>
    </w:pPr>
    <w:rPr>
      <w:rFonts w:ascii="宋体" w:cs="宋体"/>
      <w:snapToGrid w:val="0"/>
      <w:kern w:val="0"/>
      <w:sz w:val="28"/>
      <w:szCs w:val="20"/>
    </w:rPr>
  </w:style>
  <w:style w:type="paragraph" w:customStyle="1" w:styleId="204">
    <w:name w:val="Table - Text"/>
    <w:basedOn w:val="1"/>
    <w:qFormat/>
    <w:uiPriority w:val="0"/>
    <w:pPr>
      <w:widowControl/>
      <w:spacing w:before="60" w:afterLines="50"/>
    </w:pPr>
    <w:rPr>
      <w:kern w:val="0"/>
      <w:szCs w:val="20"/>
      <w:lang w:eastAsia="en-US"/>
    </w:rPr>
  </w:style>
  <w:style w:type="paragraph" w:customStyle="1" w:styleId="205">
    <w:name w:val="页面边线"/>
    <w:basedOn w:val="1"/>
    <w:qFormat/>
    <w:uiPriority w:val="0"/>
    <w:pPr>
      <w:adjustRightInd w:val="0"/>
      <w:spacing w:line="360" w:lineRule="atLeast"/>
      <w:textAlignment w:val="baseline"/>
    </w:pPr>
    <w:rPr>
      <w:rFonts w:ascii="Century" w:hAnsi="Century"/>
      <w:kern w:val="0"/>
      <w:szCs w:val="20"/>
      <w:lang w:eastAsia="ja-JP"/>
    </w:rPr>
  </w:style>
  <w:style w:type="paragraph" w:customStyle="1" w:styleId="206">
    <w:name w:val="沈标题四"/>
    <w:basedOn w:val="6"/>
    <w:next w:val="1"/>
    <w:qFormat/>
    <w:uiPriority w:val="0"/>
    <w:pPr>
      <w:keepNext w:val="0"/>
      <w:keepLines w:val="0"/>
      <w:spacing w:line="377" w:lineRule="auto"/>
    </w:pPr>
    <w:rPr>
      <w:rFonts w:ascii="Arial Narrow" w:hAnsi="Arial Narrow" w:eastAsia="方正姚体"/>
      <w:b w:val="0"/>
      <w:sz w:val="24"/>
      <w:szCs w:val="24"/>
    </w:rPr>
  </w:style>
  <w:style w:type="paragraph" w:customStyle="1" w:styleId="207">
    <w:name w:val="S4-L15"/>
    <w:basedOn w:val="1"/>
    <w:qFormat/>
    <w:uiPriority w:val="0"/>
    <w:pPr>
      <w:spacing w:after="120"/>
      <w:ind w:left="720" w:firstLine="392"/>
    </w:pPr>
    <w:rPr>
      <w:szCs w:val="21"/>
      <w:lang w:val="fr-FR"/>
    </w:rPr>
  </w:style>
  <w:style w:type="paragraph" w:customStyle="1" w:styleId="208">
    <w:name w:val="Figure Description"/>
    <w:next w:val="1"/>
    <w:qFormat/>
    <w:uiPriority w:val="0"/>
    <w:pPr>
      <w:snapToGrid w:val="0"/>
      <w:spacing w:before="80" w:after="320" w:line="278" w:lineRule="auto"/>
      <w:ind w:left="1701"/>
      <w:jc w:val="center"/>
    </w:pPr>
    <w:rPr>
      <w:rFonts w:ascii="Arial" w:hAnsi="Arial" w:eastAsia="黑体" w:cs="Times New Roman"/>
      <w:sz w:val="18"/>
      <w:lang w:val="en-US" w:eastAsia="en-US" w:bidi="ar-SA"/>
    </w:rPr>
  </w:style>
  <w:style w:type="paragraph" w:customStyle="1" w:styleId="209">
    <w:name w:val="样式 标题 4Chapter X.X.X. + 段后: 0.5 行1 + 段后: 0.5 行"/>
    <w:basedOn w:val="210"/>
    <w:qFormat/>
    <w:uiPriority w:val="0"/>
    <w:rPr>
      <w:szCs w:val="21"/>
    </w:rPr>
  </w:style>
  <w:style w:type="paragraph" w:customStyle="1" w:styleId="210">
    <w:name w:val="样式 标题 4Chapter X.X.X. + 段后: 0.5 行1"/>
    <w:basedOn w:val="6"/>
    <w:next w:val="6"/>
    <w:qFormat/>
    <w:uiPriority w:val="0"/>
    <w:pPr>
      <w:keepLines w:val="0"/>
      <w:spacing w:before="120" w:afterLines="50" w:line="240" w:lineRule="auto"/>
      <w:ind w:left="425" w:hanging="425"/>
    </w:pPr>
    <w:rPr>
      <w:rFonts w:ascii="宋体" w:hAnsi="Times New Roman" w:eastAsia="宋体" w:cs="宋体"/>
      <w:snapToGrid w:val="0"/>
      <w:kern w:val="0"/>
      <w:szCs w:val="20"/>
    </w:rPr>
  </w:style>
  <w:style w:type="paragraph" w:customStyle="1" w:styleId="211">
    <w:name w:val="样式6"/>
    <w:basedOn w:val="1"/>
    <w:qFormat/>
    <w:uiPriority w:val="0"/>
    <w:pPr>
      <w:adjustRightInd w:val="0"/>
      <w:spacing w:beforeLines="50" w:afterLines="50"/>
      <w:ind w:firstLine="669"/>
      <w:textAlignment w:val="baseline"/>
    </w:pPr>
    <w:rPr>
      <w:rFonts w:ascii="宋体" w:hAnsi="宋体"/>
      <w:kern w:val="0"/>
      <w:sz w:val="28"/>
      <w:szCs w:val="20"/>
    </w:rPr>
  </w:style>
  <w:style w:type="paragraph" w:customStyle="1" w:styleId="212">
    <w:name w:val="Table - Col. Head"/>
    <w:basedOn w:val="1"/>
    <w:qFormat/>
    <w:uiPriority w:val="0"/>
    <w:pPr>
      <w:keepNext/>
      <w:widowControl/>
      <w:spacing w:before="60" w:afterLines="50"/>
    </w:pPr>
    <w:rPr>
      <w:rFonts w:ascii="Arial" w:hAnsi="Arial"/>
      <w:b/>
      <w:kern w:val="0"/>
      <w:sz w:val="18"/>
      <w:szCs w:val="20"/>
      <w:lang w:eastAsia="en-US"/>
    </w:rPr>
  </w:style>
  <w:style w:type="paragraph" w:customStyle="1" w:styleId="213">
    <w:name w:val="Paragraph1"/>
    <w:basedOn w:val="1"/>
    <w:qFormat/>
    <w:uiPriority w:val="0"/>
    <w:pPr>
      <w:spacing w:before="80" w:afterLines="50"/>
    </w:pPr>
    <w:rPr>
      <w:rFonts w:ascii="宋体"/>
      <w:snapToGrid w:val="0"/>
      <w:kern w:val="0"/>
      <w:szCs w:val="20"/>
    </w:rPr>
  </w:style>
  <w:style w:type="character" w:customStyle="1" w:styleId="214">
    <w:name w:val="HTML 预设格式 Char"/>
    <w:basedOn w:val="56"/>
    <w:link w:val="46"/>
    <w:qFormat/>
    <w:uiPriority w:val="0"/>
    <w:rPr>
      <w:rFonts w:ascii="Arial" w:hAnsi="Arial" w:cs="Arial"/>
      <w:sz w:val="24"/>
      <w:szCs w:val="24"/>
    </w:rPr>
  </w:style>
  <w:style w:type="paragraph" w:customStyle="1" w:styleId="215">
    <w:name w:val="S4-L15-No"/>
    <w:basedOn w:val="207"/>
    <w:qFormat/>
    <w:uiPriority w:val="0"/>
    <w:pPr>
      <w:tabs>
        <w:tab w:val="left" w:pos="720"/>
      </w:tabs>
      <w:ind w:hanging="720"/>
    </w:pPr>
  </w:style>
  <w:style w:type="paragraph" w:customStyle="1" w:styleId="216">
    <w:name w:val="样式 样式 样式 标题 3Chapter X.X.X. + 段后: 0.5 行 + 段后: 0.5 行 + 段后: 0.5 行"/>
    <w:basedOn w:val="182"/>
    <w:qFormat/>
    <w:uiPriority w:val="0"/>
    <w:pPr>
      <w:spacing w:after="120"/>
    </w:pPr>
  </w:style>
  <w:style w:type="character" w:customStyle="1" w:styleId="217">
    <w:name w:val="正文首行缩进 Char1"/>
    <w:basedOn w:val="76"/>
    <w:link w:val="19"/>
    <w:semiHidden/>
    <w:qFormat/>
    <w:uiPriority w:val="0"/>
    <w:rPr>
      <w:kern w:val="2"/>
      <w:sz w:val="21"/>
      <w:szCs w:val="24"/>
    </w:rPr>
  </w:style>
  <w:style w:type="paragraph" w:customStyle="1" w:styleId="218">
    <w:name w:val="Paragraph3"/>
    <w:basedOn w:val="1"/>
    <w:qFormat/>
    <w:uiPriority w:val="0"/>
    <w:pPr>
      <w:spacing w:before="80" w:afterLines="50"/>
      <w:ind w:left="1530"/>
    </w:pPr>
    <w:rPr>
      <w:rFonts w:ascii="宋体"/>
      <w:snapToGrid w:val="0"/>
      <w:kern w:val="0"/>
      <w:szCs w:val="20"/>
    </w:rPr>
  </w:style>
  <w:style w:type="character" w:customStyle="1" w:styleId="219">
    <w:name w:val="文档结构图 Char"/>
    <w:basedOn w:val="56"/>
    <w:link w:val="15"/>
    <w:semiHidden/>
    <w:qFormat/>
    <w:uiPriority w:val="0"/>
    <w:rPr>
      <w:kern w:val="2"/>
      <w:sz w:val="21"/>
      <w:szCs w:val="24"/>
      <w:shd w:val="clear" w:color="auto" w:fill="000080"/>
    </w:rPr>
  </w:style>
  <w:style w:type="paragraph" w:customStyle="1" w:styleId="220">
    <w:name w:val="段"/>
    <w:qFormat/>
    <w:uiPriority w:val="0"/>
    <w:pPr>
      <w:autoSpaceDE w:val="0"/>
      <w:autoSpaceDN w:val="0"/>
      <w:spacing w:after="160" w:line="278" w:lineRule="auto"/>
      <w:ind w:firstLine="200" w:firstLineChars="200"/>
      <w:jc w:val="both"/>
    </w:pPr>
    <w:rPr>
      <w:rFonts w:ascii="宋体" w:hAnsi="Times New Roman" w:eastAsia="宋体" w:cs="Times New Roman"/>
      <w:sz w:val="21"/>
      <w:lang w:val="en-US" w:eastAsia="zh-CN" w:bidi="ar-SA"/>
    </w:rPr>
  </w:style>
  <w:style w:type="paragraph" w:customStyle="1" w:styleId="221">
    <w:name w:val="样式 标题 3Chapter X.X.X. + 五号 段后: 0.5 行"/>
    <w:basedOn w:val="4"/>
    <w:qFormat/>
    <w:uiPriority w:val="0"/>
    <w:pPr>
      <w:keepLines w:val="0"/>
      <w:tabs>
        <w:tab w:val="left" w:pos="709"/>
      </w:tabs>
      <w:spacing w:before="120" w:afterLines="50" w:line="240" w:lineRule="auto"/>
      <w:ind w:firstLine="0" w:firstLineChars="0"/>
    </w:pPr>
    <w:rPr>
      <w:rFonts w:ascii="宋体" w:eastAsia="宋体" w:cs="宋体"/>
      <w:snapToGrid w:val="0"/>
      <w:kern w:val="0"/>
    </w:rPr>
  </w:style>
  <w:style w:type="paragraph" w:customStyle="1" w:styleId="222">
    <w:name w:val="huide00"/>
    <w:basedOn w:val="1"/>
    <w:qFormat/>
    <w:uiPriority w:val="0"/>
    <w:pPr>
      <w:widowControl/>
      <w:spacing w:before="100" w:beforeAutospacing="1" w:after="100" w:afterAutospacing="1"/>
    </w:pPr>
    <w:rPr>
      <w:rFonts w:ascii="Arial" w:hAnsi="Arial" w:eastAsia="Arial Unicode MS" w:cs="Arial"/>
      <w:color w:val="666666"/>
      <w:kern w:val="0"/>
      <w:sz w:val="18"/>
      <w:szCs w:val="18"/>
    </w:rPr>
  </w:style>
  <w:style w:type="paragraph" w:customStyle="1" w:styleId="223">
    <w:name w:val="Table Description"/>
    <w:next w:val="1"/>
    <w:qFormat/>
    <w:uiPriority w:val="0"/>
    <w:pPr>
      <w:keepNext/>
      <w:snapToGrid w:val="0"/>
      <w:spacing w:before="160" w:after="80" w:line="278" w:lineRule="auto"/>
      <w:ind w:left="1701"/>
      <w:jc w:val="center"/>
    </w:pPr>
    <w:rPr>
      <w:rFonts w:ascii="Arial" w:hAnsi="Arial" w:eastAsia="黑体" w:cs="Times New Roman"/>
      <w:sz w:val="18"/>
      <w:lang w:val="en-US" w:eastAsia="en-US" w:bidi="ar-SA"/>
    </w:rPr>
  </w:style>
  <w:style w:type="paragraph" w:customStyle="1" w:styleId="224">
    <w:name w:val="S4-I-L15-U"/>
    <w:basedOn w:val="1"/>
    <w:qFormat/>
    <w:uiPriority w:val="0"/>
    <w:rPr>
      <w:b/>
      <w:i/>
      <w:sz w:val="24"/>
      <w:u w:val="single"/>
    </w:rPr>
  </w:style>
  <w:style w:type="paragraph" w:customStyle="1" w:styleId="225">
    <w:name w:val="InfoBlue"/>
    <w:basedOn w:val="1"/>
    <w:next w:val="18"/>
    <w:qFormat/>
    <w:uiPriority w:val="0"/>
    <w:pPr>
      <w:spacing w:afterLines="50"/>
      <w:ind w:left="720"/>
    </w:pPr>
    <w:rPr>
      <w:rFonts w:ascii="宋体"/>
      <w:i/>
      <w:snapToGrid w:val="0"/>
      <w:color w:val="0000FF"/>
      <w:kern w:val="0"/>
      <w:szCs w:val="20"/>
    </w:rPr>
  </w:style>
  <w:style w:type="paragraph" w:customStyle="1" w:styleId="226">
    <w:name w:val="标准标题2"/>
    <w:basedOn w:val="3"/>
    <w:qFormat/>
    <w:uiPriority w:val="0"/>
    <w:pPr>
      <w:keepLines/>
      <w:tabs>
        <w:tab w:val="left" w:pos="720"/>
      </w:tabs>
      <w:adjustRightInd/>
      <w:snapToGrid/>
      <w:spacing w:before="260" w:after="260"/>
      <w:jc w:val="both"/>
      <w:textAlignment w:val="auto"/>
    </w:pPr>
    <w:rPr>
      <w:rFonts w:ascii="Arial" w:hAnsi="Arial"/>
      <w:kern w:val="2"/>
      <w:sz w:val="28"/>
      <w:szCs w:val="32"/>
    </w:rPr>
  </w:style>
  <w:style w:type="paragraph" w:customStyle="1" w:styleId="227">
    <w:name w:val="样式 左侧:  1 厘米 段后: 0.5 行"/>
    <w:basedOn w:val="1"/>
    <w:qFormat/>
    <w:uiPriority w:val="0"/>
    <w:pPr>
      <w:spacing w:afterLines="50"/>
      <w:ind w:firstLine="425"/>
    </w:pPr>
    <w:rPr>
      <w:rFonts w:ascii="宋体" w:cs="宋体"/>
      <w:snapToGrid w:val="0"/>
      <w:kern w:val="0"/>
      <w:szCs w:val="20"/>
    </w:rPr>
  </w:style>
  <w:style w:type="paragraph" w:customStyle="1" w:styleId="228">
    <w:name w:val="Char Char Char Char Char Char"/>
    <w:basedOn w:val="1"/>
    <w:qFormat/>
    <w:uiPriority w:val="0"/>
    <w:pPr>
      <w:widowControl/>
      <w:spacing w:line="240" w:lineRule="exact"/>
    </w:pPr>
    <w:rPr>
      <w:rFonts w:ascii="Verdana" w:hAnsi="Verdana"/>
      <w:kern w:val="0"/>
      <w:sz w:val="20"/>
      <w:szCs w:val="20"/>
      <w:lang w:eastAsia="en-US"/>
    </w:rPr>
  </w:style>
  <w:style w:type="paragraph" w:customStyle="1" w:styleId="229">
    <w:name w:val="样式7"/>
    <w:basedOn w:val="1"/>
    <w:qFormat/>
    <w:uiPriority w:val="0"/>
    <w:pPr>
      <w:adjustRightInd w:val="0"/>
      <w:spacing w:beforeLines="50" w:afterLines="50"/>
      <w:ind w:firstLine="669"/>
      <w:textAlignment w:val="baseline"/>
    </w:pPr>
    <w:rPr>
      <w:rFonts w:ascii="宋体" w:hAnsi="宋体"/>
      <w:kern w:val="0"/>
      <w:sz w:val="28"/>
      <w:szCs w:val="20"/>
    </w:rPr>
  </w:style>
  <w:style w:type="paragraph" w:customStyle="1" w:styleId="230">
    <w:name w:val="样式 标题1"/>
    <w:basedOn w:val="203"/>
    <w:next w:val="199"/>
    <w:qFormat/>
    <w:uiPriority w:val="0"/>
    <w:pPr>
      <w:tabs>
        <w:tab w:val="left" w:pos="1140"/>
      </w:tabs>
      <w:spacing w:after="50"/>
      <w:ind w:left="1140" w:hanging="720"/>
    </w:pPr>
    <w:rPr>
      <w:bCs w:val="0"/>
      <w:sz w:val="32"/>
    </w:rPr>
  </w:style>
  <w:style w:type="paragraph" w:customStyle="1" w:styleId="231">
    <w:name w:val="Tabletext"/>
    <w:basedOn w:val="1"/>
    <w:qFormat/>
    <w:uiPriority w:val="0"/>
    <w:pPr>
      <w:keepLines/>
      <w:spacing w:afterLines="50"/>
    </w:pPr>
    <w:rPr>
      <w:rFonts w:ascii="宋体"/>
      <w:snapToGrid w:val="0"/>
      <w:kern w:val="0"/>
      <w:szCs w:val="20"/>
    </w:rPr>
  </w:style>
  <w:style w:type="paragraph" w:customStyle="1" w:styleId="232">
    <w:name w:val="文档正文"/>
    <w:basedOn w:val="1"/>
    <w:qFormat/>
    <w:uiPriority w:val="0"/>
    <w:pPr>
      <w:adjustRightInd w:val="0"/>
      <w:spacing w:line="440" w:lineRule="exact"/>
      <w:ind w:firstLine="567"/>
      <w:textAlignment w:val="baseline"/>
    </w:pPr>
    <w:rPr>
      <w:rFonts w:ascii="Arial Narrow" w:hAnsi="Arial Narrow"/>
      <w:kern w:val="0"/>
      <w:sz w:val="24"/>
    </w:rPr>
  </w:style>
  <w:style w:type="paragraph" w:customStyle="1" w:styleId="233">
    <w:name w:val="Bullet2"/>
    <w:basedOn w:val="1"/>
    <w:qFormat/>
    <w:uiPriority w:val="0"/>
    <w:pPr>
      <w:spacing w:afterLines="50"/>
      <w:ind w:left="1440" w:hanging="360"/>
    </w:pPr>
    <w:rPr>
      <w:rFonts w:ascii="宋体"/>
      <w:snapToGrid w:val="0"/>
      <w:color w:val="000080"/>
      <w:kern w:val="0"/>
      <w:szCs w:val="20"/>
    </w:rPr>
  </w:style>
  <w:style w:type="paragraph" w:customStyle="1" w:styleId="234">
    <w:name w:val="Item List"/>
    <w:qFormat/>
    <w:uiPriority w:val="0"/>
    <w:pPr>
      <w:tabs>
        <w:tab w:val="left" w:pos="2126"/>
      </w:tabs>
      <w:spacing w:after="160" w:line="300" w:lineRule="auto"/>
      <w:ind w:left="2126" w:hanging="425"/>
      <w:jc w:val="both"/>
    </w:pPr>
    <w:rPr>
      <w:rFonts w:ascii="Arial" w:hAnsi="Arial" w:eastAsia="宋体" w:cs="Times New Roman"/>
      <w:sz w:val="21"/>
      <w:lang w:val="en-US" w:eastAsia="en-US" w:bidi="ar-SA"/>
    </w:rPr>
  </w:style>
  <w:style w:type="paragraph" w:customStyle="1" w:styleId="235">
    <w:name w:val="段(正文）"/>
    <w:qFormat/>
    <w:uiPriority w:val="0"/>
    <w:pPr>
      <w:autoSpaceDE w:val="0"/>
      <w:autoSpaceDN w:val="0"/>
      <w:spacing w:after="160" w:line="278" w:lineRule="auto"/>
      <w:ind w:firstLine="420"/>
      <w:jc w:val="both"/>
    </w:pPr>
    <w:rPr>
      <w:rFonts w:ascii="宋体" w:hAnsi="Times New Roman" w:eastAsia="宋体" w:cs="Times New Roman"/>
      <w:sz w:val="21"/>
      <w:lang w:val="en-US" w:eastAsia="zh-CN" w:bidi="ar-SA"/>
    </w:rPr>
  </w:style>
  <w:style w:type="paragraph" w:customStyle="1" w:styleId="236">
    <w:name w:val="Bullet"/>
    <w:basedOn w:val="1"/>
    <w:qFormat/>
    <w:uiPriority w:val="0"/>
    <w:pPr>
      <w:widowControl/>
      <w:tabs>
        <w:tab w:val="left" w:pos="720"/>
        <w:tab w:val="left" w:pos="964"/>
      </w:tabs>
      <w:spacing w:before="120" w:afterLines="50"/>
      <w:ind w:left="720" w:right="360" w:hanging="482"/>
    </w:pPr>
    <w:rPr>
      <w:rFonts w:ascii="宋体"/>
      <w:snapToGrid w:val="0"/>
      <w:kern w:val="0"/>
      <w:szCs w:val="20"/>
    </w:rPr>
  </w:style>
  <w:style w:type="paragraph" w:customStyle="1" w:styleId="237">
    <w:name w:val="S4-L15-C"/>
    <w:basedOn w:val="1"/>
    <w:qFormat/>
    <w:uiPriority w:val="0"/>
    <w:pPr>
      <w:spacing w:after="120"/>
      <w:jc w:val="center"/>
    </w:pPr>
    <w:rPr>
      <w:szCs w:val="21"/>
    </w:rPr>
  </w:style>
  <w:style w:type="paragraph" w:customStyle="1" w:styleId="238">
    <w:name w:val="二级项目符号"/>
    <w:basedOn w:val="1"/>
    <w:qFormat/>
    <w:uiPriority w:val="0"/>
    <w:pPr>
      <w:widowControl/>
      <w:tabs>
        <w:tab w:val="left" w:pos="964"/>
      </w:tabs>
      <w:ind w:left="964" w:hanging="482"/>
    </w:pPr>
    <w:rPr>
      <w:kern w:val="0"/>
      <w:sz w:val="24"/>
      <w:szCs w:val="20"/>
    </w:rPr>
  </w:style>
  <w:style w:type="paragraph" w:customStyle="1" w:styleId="239">
    <w:name w:val="封面标准文稿编辑信息"/>
    <w:qFormat/>
    <w:uiPriority w:val="0"/>
    <w:pPr>
      <w:spacing w:before="180" w:after="160" w:line="180" w:lineRule="exact"/>
      <w:jc w:val="center"/>
    </w:pPr>
    <w:rPr>
      <w:rFonts w:ascii="宋体" w:hAnsi="Times New Roman" w:eastAsia="宋体" w:cs="Times New Roman"/>
      <w:sz w:val="21"/>
      <w:lang w:val="en-US" w:eastAsia="zh-CN" w:bidi="ar-SA"/>
    </w:rPr>
  </w:style>
  <w:style w:type="character" w:customStyle="1" w:styleId="240">
    <w:name w:val="页脚 Char1"/>
    <w:basedOn w:val="56"/>
    <w:semiHidden/>
    <w:qFormat/>
    <w:uiPriority w:val="99"/>
    <w:rPr>
      <w:rFonts w:ascii="Times New Roman" w:hAnsi="Times New Roman" w:eastAsia="宋体" w:cs="Times New Roman"/>
      <w:sz w:val="18"/>
      <w:szCs w:val="18"/>
    </w:rPr>
  </w:style>
  <w:style w:type="paragraph" w:customStyle="1" w:styleId="241">
    <w:name w:val="样式 样式 标题 4 + 段后: 0.5 行 + 段后: 0.5 行"/>
    <w:basedOn w:val="173"/>
    <w:qFormat/>
    <w:uiPriority w:val="0"/>
  </w:style>
  <w:style w:type="paragraph" w:customStyle="1" w:styleId="242">
    <w:name w:val="Main Title"/>
    <w:basedOn w:val="1"/>
    <w:qFormat/>
    <w:uiPriority w:val="0"/>
    <w:pPr>
      <w:spacing w:before="480" w:afterLines="50"/>
      <w:jc w:val="center"/>
    </w:pPr>
    <w:rPr>
      <w:rFonts w:ascii="宋体"/>
      <w:b/>
      <w:snapToGrid w:val="0"/>
      <w:kern w:val="28"/>
      <w:sz w:val="32"/>
      <w:szCs w:val="20"/>
    </w:rPr>
  </w:style>
  <w:style w:type="paragraph" w:customStyle="1" w:styleId="243">
    <w:name w:val="样式 样式 正文文本缩进 + 仿宋_GB2312 小四 首行缩进:  0 厘米 行距: 1.5 倍行距 + (中文) 仿宋_GB... Char Char"/>
    <w:basedOn w:val="202"/>
    <w:qFormat/>
    <w:uiPriority w:val="0"/>
    <w:pPr>
      <w:ind w:firstLine="480"/>
    </w:pPr>
  </w:style>
  <w:style w:type="paragraph" w:customStyle="1" w:styleId="244">
    <w:name w:val="标题1"/>
    <w:basedOn w:val="28"/>
    <w:qFormat/>
    <w:uiPriority w:val="0"/>
    <w:rPr>
      <w:rFonts w:cstheme="minorBidi"/>
      <w:b/>
      <w:sz w:val="30"/>
      <w:szCs w:val="22"/>
    </w:rPr>
  </w:style>
  <w:style w:type="paragraph" w:customStyle="1" w:styleId="245">
    <w:name w:val="样式 三号 加粗 段后: 0.5 行"/>
    <w:basedOn w:val="1"/>
    <w:qFormat/>
    <w:uiPriority w:val="0"/>
    <w:pPr>
      <w:spacing w:afterLines="50"/>
    </w:pPr>
    <w:rPr>
      <w:rFonts w:ascii="宋体" w:cs="宋体"/>
      <w:b/>
      <w:bCs/>
      <w:snapToGrid w:val="0"/>
      <w:kern w:val="0"/>
      <w:sz w:val="32"/>
      <w:szCs w:val="20"/>
    </w:rPr>
  </w:style>
  <w:style w:type="paragraph" w:customStyle="1" w:styleId="246">
    <w:name w:val="标准有序列表（L1）"/>
    <w:basedOn w:val="5"/>
    <w:qFormat/>
    <w:uiPriority w:val="0"/>
    <w:pPr>
      <w:tabs>
        <w:tab w:val="left" w:pos="0"/>
      </w:tabs>
      <w:ind w:firstLine="0"/>
    </w:pPr>
    <w:rPr>
      <w:rFonts w:ascii="黑体" w:eastAsia="黑体" w:hAnsiTheme="minorHAnsi" w:cstheme="minorBidi"/>
      <w:color w:val="000000"/>
      <w:sz w:val="24"/>
      <w:szCs w:val="22"/>
    </w:rPr>
  </w:style>
  <w:style w:type="paragraph" w:customStyle="1" w:styleId="247">
    <w:name w:val="IBM 正文"/>
    <w:basedOn w:val="1"/>
    <w:qFormat/>
    <w:uiPriority w:val="0"/>
    <w:pPr>
      <w:spacing w:line="360" w:lineRule="atLeast"/>
    </w:pPr>
    <w:rPr>
      <w:sz w:val="24"/>
      <w:szCs w:val="20"/>
    </w:rPr>
  </w:style>
  <w:style w:type="paragraph" w:customStyle="1" w:styleId="248">
    <w:name w:val="text"/>
    <w:basedOn w:val="1"/>
    <w:qFormat/>
    <w:uiPriority w:val="0"/>
    <w:pPr>
      <w:adjustRightInd w:val="0"/>
      <w:spacing w:before="120"/>
      <w:ind w:firstLine="425"/>
      <w:textAlignment w:val="baseline"/>
    </w:pPr>
    <w:rPr>
      <w:rFonts w:ascii="宋体" w:hAnsi="Arial" w:cs="Arial"/>
      <w:bCs/>
      <w:kern w:val="0"/>
      <w:sz w:val="26"/>
      <w:szCs w:val="32"/>
    </w:rPr>
  </w:style>
  <w:style w:type="paragraph" w:customStyle="1" w:styleId="249">
    <w:name w:val="S4-I-U-L15-No-dot"/>
    <w:basedOn w:val="1"/>
    <w:qFormat/>
    <w:uiPriority w:val="0"/>
    <w:pPr>
      <w:tabs>
        <w:tab w:val="left" w:pos="1112"/>
      </w:tabs>
      <w:spacing w:after="120"/>
      <w:ind w:left="1112" w:hanging="420"/>
    </w:pPr>
    <w:rPr>
      <w:i/>
      <w:sz w:val="24"/>
      <w:u w:val="single"/>
    </w:rPr>
  </w:style>
  <w:style w:type="paragraph" w:customStyle="1" w:styleId="250">
    <w:name w:val="Paragraph4"/>
    <w:basedOn w:val="1"/>
    <w:qFormat/>
    <w:uiPriority w:val="0"/>
    <w:pPr>
      <w:spacing w:before="80" w:afterLines="50"/>
      <w:ind w:left="2250"/>
    </w:pPr>
    <w:rPr>
      <w:rFonts w:ascii="宋体"/>
      <w:snapToGrid w:val="0"/>
      <w:kern w:val="0"/>
      <w:szCs w:val="20"/>
    </w:rPr>
  </w:style>
  <w:style w:type="paragraph" w:customStyle="1" w:styleId="251">
    <w:name w:val="样式 标题 1 + 五号1 Char Char Char Char Char Char Char Char Char Char Char Char Char Char Char Char Char"/>
    <w:basedOn w:val="2"/>
    <w:qFormat/>
    <w:uiPriority w:val="0"/>
    <w:pPr>
      <w:tabs>
        <w:tab w:val="left" w:pos="360"/>
      </w:tabs>
      <w:spacing w:line="480" w:lineRule="auto"/>
    </w:pPr>
    <w:rPr>
      <w:sz w:val="21"/>
    </w:rPr>
  </w:style>
  <w:style w:type="paragraph" w:customStyle="1" w:styleId="252">
    <w:name w:val="样式 标题 3Chapter X.X.X. + 段后: 0.5 行1"/>
    <w:basedOn w:val="4"/>
    <w:next w:val="1"/>
    <w:qFormat/>
    <w:uiPriority w:val="0"/>
    <w:pPr>
      <w:keepLines w:val="0"/>
      <w:tabs>
        <w:tab w:val="left" w:pos="709"/>
      </w:tabs>
      <w:spacing w:before="120" w:afterLines="50" w:line="240" w:lineRule="auto"/>
      <w:ind w:firstLine="0" w:firstLineChars="0"/>
    </w:pPr>
    <w:rPr>
      <w:rFonts w:ascii="宋体" w:eastAsia="宋体" w:cs="宋体"/>
      <w:snapToGrid w:val="0"/>
      <w:kern w:val="0"/>
      <w:sz w:val="24"/>
    </w:rPr>
  </w:style>
  <w:style w:type="paragraph" w:customStyle="1" w:styleId="253">
    <w:name w:val="Body"/>
    <w:basedOn w:val="1"/>
    <w:qFormat/>
    <w:uiPriority w:val="0"/>
    <w:pPr>
      <w:widowControl/>
      <w:spacing w:before="120" w:afterLines="50"/>
    </w:pPr>
    <w:rPr>
      <w:rFonts w:ascii="宋体"/>
      <w:snapToGrid w:val="0"/>
      <w:kern w:val="0"/>
      <w:szCs w:val="20"/>
    </w:rPr>
  </w:style>
  <w:style w:type="paragraph" w:customStyle="1" w:styleId="254">
    <w:name w:val="Proposals body"/>
    <w:basedOn w:val="1"/>
    <w:next w:val="1"/>
    <w:qFormat/>
    <w:uiPriority w:val="0"/>
    <w:pPr>
      <w:widowControl/>
    </w:pPr>
    <w:rPr>
      <w:rFonts w:ascii="宋体"/>
      <w:snapToGrid w:val="0"/>
      <w:color w:val="000000"/>
      <w:kern w:val="0"/>
      <w:sz w:val="24"/>
      <w:szCs w:val="20"/>
    </w:rPr>
  </w:style>
  <w:style w:type="paragraph" w:customStyle="1" w:styleId="255">
    <w:name w:val="章正文"/>
    <w:basedOn w:val="1"/>
    <w:qFormat/>
    <w:uiPriority w:val="0"/>
    <w:pPr>
      <w:spacing w:beforeLines="50" w:after="120" w:line="300" w:lineRule="auto"/>
    </w:pPr>
    <w:rPr>
      <w:rFonts w:ascii="Helvetica" w:hAnsi="Helvetica"/>
      <w:kern w:val="0"/>
      <w:sz w:val="24"/>
    </w:rPr>
  </w:style>
  <w:style w:type="paragraph" w:customStyle="1" w:styleId="256">
    <w:name w:val="样式 样式3 + 宋体 五号 Char Char Char"/>
    <w:basedOn w:val="1"/>
    <w:qFormat/>
    <w:uiPriority w:val="0"/>
    <w:pPr>
      <w:keepNext/>
      <w:keepLines/>
      <w:tabs>
        <w:tab w:val="left" w:pos="1050"/>
      </w:tabs>
      <w:ind w:left="1050" w:hanging="450"/>
      <w:outlineLvl w:val="7"/>
    </w:pPr>
    <w:rPr>
      <w:rFonts w:ascii="宋体" w:hAnsi="宋体"/>
      <w:b/>
      <w:bCs/>
    </w:rPr>
  </w:style>
  <w:style w:type="paragraph" w:customStyle="1" w:styleId="257">
    <w:name w:val="样式 标题 2 + 五号"/>
    <w:basedOn w:val="3"/>
    <w:qFormat/>
    <w:uiPriority w:val="0"/>
    <w:pPr>
      <w:keepLines/>
      <w:tabs>
        <w:tab w:val="left" w:pos="720"/>
      </w:tabs>
      <w:adjustRightInd/>
      <w:snapToGrid/>
      <w:spacing w:line="240" w:lineRule="auto"/>
      <w:jc w:val="both"/>
      <w:textAlignment w:val="auto"/>
    </w:pPr>
    <w:rPr>
      <w:rFonts w:ascii="宋体" w:hAnsi="宋体" w:eastAsia="宋体"/>
      <w:bCs/>
      <w:kern w:val="2"/>
      <w:szCs w:val="32"/>
    </w:rPr>
  </w:style>
  <w:style w:type="paragraph" w:customStyle="1" w:styleId="258">
    <w:name w:val="样式 标题 1 + 五号"/>
    <w:basedOn w:val="2"/>
    <w:qFormat/>
    <w:uiPriority w:val="0"/>
    <w:pPr>
      <w:tabs>
        <w:tab w:val="left" w:pos="360"/>
      </w:tabs>
      <w:spacing w:line="240" w:lineRule="auto"/>
    </w:pPr>
    <w:rPr>
      <w:sz w:val="32"/>
      <w:szCs w:val="32"/>
    </w:rPr>
  </w:style>
  <w:style w:type="paragraph" w:customStyle="1" w:styleId="259">
    <w:name w:val="文本框内文字"/>
    <w:basedOn w:val="1"/>
    <w:qFormat/>
    <w:uiPriority w:val="0"/>
    <w:pPr>
      <w:spacing w:line="0" w:lineRule="atLeast"/>
    </w:pPr>
    <w:rPr>
      <w:rFonts w:eastAsia="仿宋_GB2312"/>
      <w:sz w:val="22"/>
    </w:rPr>
  </w:style>
  <w:style w:type="paragraph" w:customStyle="1" w:styleId="260">
    <w:name w:val="P1"/>
    <w:basedOn w:val="1"/>
    <w:qFormat/>
    <w:uiPriority w:val="0"/>
    <w:pPr>
      <w:widowControl/>
      <w:spacing w:before="240" w:line="240" w:lineRule="atLeast"/>
    </w:pPr>
    <w:rPr>
      <w:b/>
      <w:kern w:val="0"/>
      <w:szCs w:val="21"/>
      <w:lang w:val="en-AU" w:eastAsia="en-US"/>
    </w:rPr>
  </w:style>
  <w:style w:type="paragraph" w:customStyle="1" w:styleId="261">
    <w:name w:val="最新标题1"/>
    <w:basedOn w:val="230"/>
    <w:next w:val="199"/>
    <w:qFormat/>
    <w:uiPriority w:val="0"/>
    <w:pPr>
      <w:spacing w:after="120"/>
    </w:pPr>
    <w:rPr>
      <w:bCs/>
    </w:rPr>
  </w:style>
  <w:style w:type="paragraph" w:customStyle="1" w:styleId="262">
    <w:name w:val="P2"/>
    <w:basedOn w:val="1"/>
    <w:qFormat/>
    <w:uiPriority w:val="0"/>
    <w:pPr>
      <w:widowControl/>
      <w:spacing w:before="240" w:line="240" w:lineRule="atLeast"/>
      <w:ind w:left="578"/>
    </w:pPr>
    <w:rPr>
      <w:b/>
      <w:kern w:val="0"/>
      <w:szCs w:val="21"/>
      <w:lang w:val="en-AU" w:eastAsia="en-US"/>
    </w:rPr>
  </w:style>
  <w:style w:type="paragraph" w:customStyle="1" w:styleId="263">
    <w:name w:val="Style-正文"/>
    <w:basedOn w:val="1"/>
    <w:qFormat/>
    <w:uiPriority w:val="0"/>
    <w:pPr>
      <w:ind w:firstLine="420"/>
    </w:pPr>
    <w:rPr>
      <w:rFonts w:ascii="宋体" w:hAnsi="宋体"/>
      <w:sz w:val="24"/>
    </w:rPr>
  </w:style>
  <w:style w:type="paragraph" w:customStyle="1" w:styleId="264">
    <w:name w:val="P3"/>
    <w:basedOn w:val="1"/>
    <w:qFormat/>
    <w:uiPriority w:val="0"/>
    <w:pPr>
      <w:widowControl/>
      <w:spacing w:before="240" w:line="240" w:lineRule="atLeast"/>
      <w:ind w:left="1152"/>
    </w:pPr>
    <w:rPr>
      <w:b/>
      <w:kern w:val="0"/>
      <w:szCs w:val="21"/>
      <w:lang w:val="en-AU" w:eastAsia="en-US"/>
    </w:rPr>
  </w:style>
  <w:style w:type="paragraph" w:customStyle="1" w:styleId="265">
    <w:name w:val="Plain Text1"/>
    <w:basedOn w:val="1"/>
    <w:qFormat/>
    <w:uiPriority w:val="0"/>
    <w:pPr>
      <w:autoSpaceDE w:val="0"/>
      <w:autoSpaceDN w:val="0"/>
      <w:adjustRightInd w:val="0"/>
    </w:pPr>
    <w:rPr>
      <w:rFonts w:hint="eastAsia" w:ascii="宋体" w:hAnsi="宋体"/>
      <w:sz w:val="24"/>
      <w:szCs w:val="20"/>
    </w:rPr>
  </w:style>
  <w:style w:type="paragraph" w:customStyle="1" w:styleId="266">
    <w:name w:val="样式　标题4"/>
    <w:basedOn w:val="210"/>
    <w:next w:val="1"/>
    <w:qFormat/>
    <w:uiPriority w:val="0"/>
  </w:style>
  <w:style w:type="paragraph" w:customStyle="1" w:styleId="267">
    <w:name w:val="Blockquote"/>
    <w:basedOn w:val="1"/>
    <w:qFormat/>
    <w:uiPriority w:val="0"/>
    <w:pPr>
      <w:widowControl/>
      <w:spacing w:before="100" w:afterLines="50"/>
      <w:ind w:left="360" w:right="360"/>
    </w:pPr>
    <w:rPr>
      <w:rFonts w:ascii="宋体"/>
      <w:snapToGrid w:val="0"/>
      <w:kern w:val="0"/>
      <w:sz w:val="24"/>
      <w:szCs w:val="20"/>
      <w:lang w:val="en-CA"/>
    </w:rPr>
  </w:style>
  <w:style w:type="paragraph" w:customStyle="1" w:styleId="268">
    <w:name w:val="样式 模板描述"/>
    <w:basedOn w:val="1"/>
    <w:next w:val="192"/>
    <w:qFormat/>
    <w:uiPriority w:val="0"/>
    <w:pPr>
      <w:spacing w:afterLines="50"/>
    </w:pPr>
    <w:rPr>
      <w:rFonts w:ascii="宋体" w:cs="宋体"/>
      <w:i/>
      <w:iCs/>
      <w:snapToGrid w:val="0"/>
      <w:color w:val="0000FF"/>
      <w:kern w:val="0"/>
      <w:szCs w:val="21"/>
    </w:rPr>
  </w:style>
  <w:style w:type="paragraph" w:customStyle="1" w:styleId="269">
    <w:name w:val="Char Char3 Char Char Char Char"/>
    <w:basedOn w:val="1"/>
    <w:qFormat/>
    <w:uiPriority w:val="0"/>
    <w:pPr>
      <w:widowControl/>
    </w:pPr>
    <w:rPr>
      <w:rFonts w:ascii="Verdana" w:hAnsi="Verdana"/>
      <w:kern w:val="0"/>
      <w:sz w:val="24"/>
      <w:szCs w:val="20"/>
      <w:lang w:eastAsia="en-US"/>
    </w:rPr>
  </w:style>
  <w:style w:type="paragraph" w:customStyle="1" w:styleId="270">
    <w:name w:val="样式2"/>
    <w:basedOn w:val="3"/>
    <w:qFormat/>
    <w:uiPriority w:val="0"/>
    <w:pPr>
      <w:keepLines/>
      <w:tabs>
        <w:tab w:val="left" w:pos="600"/>
        <w:tab w:val="left" w:pos="720"/>
      </w:tabs>
      <w:adjustRightInd/>
      <w:snapToGrid/>
      <w:spacing w:before="260" w:after="260" w:line="416" w:lineRule="auto"/>
      <w:ind w:left="600" w:hanging="600"/>
      <w:jc w:val="both"/>
      <w:textAlignment w:val="auto"/>
    </w:pPr>
    <w:rPr>
      <w:rFonts w:ascii="Arial" w:hAnsi="Arial" w:eastAsia="宋体"/>
      <w:bCs/>
      <w:kern w:val="2"/>
      <w:sz w:val="32"/>
      <w:szCs w:val="32"/>
    </w:rPr>
  </w:style>
  <w:style w:type="paragraph" w:customStyle="1" w:styleId="271">
    <w:name w:val="S4-B-L15"/>
    <w:basedOn w:val="1"/>
    <w:qFormat/>
    <w:uiPriority w:val="0"/>
    <w:rPr>
      <w:b/>
      <w:bCs/>
      <w:sz w:val="24"/>
    </w:rPr>
  </w:style>
  <w:style w:type="paragraph" w:customStyle="1" w:styleId="272">
    <w:name w:val="样式 标题 3(A-3)sect1.2.3h3H3level_3PIM 3Level 3 HeadHeading..."/>
    <w:basedOn w:val="4"/>
    <w:qFormat/>
    <w:uiPriority w:val="0"/>
    <w:pPr>
      <w:tabs>
        <w:tab w:val="left" w:pos="709"/>
      </w:tabs>
      <w:spacing w:line="416" w:lineRule="auto"/>
      <w:ind w:firstLine="0" w:firstLineChars="0"/>
    </w:pPr>
    <w:rPr>
      <w:rFonts w:ascii="Arial" w:hAnsi="Arial" w:eastAsia="宋体"/>
      <w:szCs w:val="32"/>
    </w:rPr>
  </w:style>
  <w:style w:type="paragraph" w:customStyle="1" w:styleId="273">
    <w:name w:val="Char Char2"/>
    <w:basedOn w:val="1"/>
    <w:qFormat/>
    <w:uiPriority w:val="0"/>
    <w:rPr>
      <w:rFonts w:ascii="仿宋_GB2312" w:eastAsia="仿宋_GB2312"/>
      <w:b/>
      <w:sz w:val="32"/>
      <w:szCs w:val="32"/>
    </w:rPr>
  </w:style>
  <w:style w:type="paragraph" w:customStyle="1" w:styleId="274">
    <w:name w:val="p0"/>
    <w:basedOn w:val="1"/>
    <w:qFormat/>
    <w:uiPriority w:val="0"/>
    <w:pPr>
      <w:widowControl/>
    </w:pPr>
    <w:rPr>
      <w:kern w:val="0"/>
      <w:szCs w:val="21"/>
    </w:rPr>
  </w:style>
  <w:style w:type="table" w:customStyle="1" w:styleId="275">
    <w:name w:val="网格表 4 - 着色 11"/>
    <w:basedOn w:val="52"/>
    <w:qFormat/>
    <w:uiPriority w:val="49"/>
    <w:tblPr>
      <w:tblBorders>
        <w:top w:val="single" w:color="95B3D7" w:sz="4" w:space="0"/>
        <w:left w:val="single" w:color="95B3D7" w:sz="4" w:space="0"/>
        <w:bottom w:val="single" w:color="95B3D7" w:sz="4" w:space="0"/>
        <w:right w:val="single" w:color="95B3D7" w:sz="4" w:space="0"/>
        <w:insideH w:val="single" w:color="95B3D7" w:sz="4" w:space="0"/>
        <w:insideV w:val="single" w:color="95B3D7" w:sz="4" w:space="0"/>
      </w:tblBorders>
      <w:tblCellMar>
        <w:top w:w="0" w:type="dxa"/>
        <w:left w:w="108" w:type="dxa"/>
        <w:bottom w:w="0" w:type="dxa"/>
        <w:right w:w="108" w:type="dxa"/>
      </w:tblCellMar>
    </w:tblPr>
    <w:tblStylePr w:type="firstRow">
      <w:rPr>
        <w:b/>
        <w:bCs/>
        <w:color w:val="FFFFFF"/>
      </w:rPr>
      <w:tcPr>
        <w:tcBorders>
          <w:top w:val="single" w:color="4F81BD" w:sz="4" w:space="0"/>
          <w:left w:val="single" w:color="4F81BD" w:sz="4" w:space="0"/>
          <w:bottom w:val="single" w:color="4F81BD" w:sz="4" w:space="0"/>
          <w:right w:val="single" w:color="4F81BD" w:sz="4" w:space="0"/>
          <w:insideH w:val="nil"/>
          <w:insideV w:val="nil"/>
        </w:tcBorders>
        <w:shd w:val="clear" w:color="auto" w:fill="4F81BD"/>
      </w:tcPr>
    </w:tblStylePr>
    <w:tblStylePr w:type="lastRow">
      <w:rPr>
        <w:b/>
        <w:bCs/>
      </w:rPr>
      <w:tcPr>
        <w:tcBorders>
          <w:top w:val="double" w:color="4F81BD" w:sz="4" w:space="0"/>
        </w:tcBorders>
      </w:tcPr>
    </w:tblStylePr>
    <w:tblStylePr w:type="firstCol">
      <w:rPr>
        <w:b/>
        <w:bCs/>
      </w:rPr>
    </w:tblStylePr>
    <w:tblStylePr w:type="lastCol">
      <w:rPr>
        <w:b/>
        <w:bCs/>
      </w:rPr>
    </w:tblStylePr>
    <w:tblStylePr w:type="band1Vert">
      <w:tcPr>
        <w:shd w:val="clear" w:color="auto" w:fill="DBE5F1"/>
      </w:tcPr>
    </w:tblStylePr>
    <w:tblStylePr w:type="band1Horz">
      <w:tcPr>
        <w:shd w:val="clear" w:color="auto" w:fill="DBE5F1"/>
      </w:tcPr>
    </w:tblStylePr>
  </w:style>
  <w:style w:type="character" w:customStyle="1" w:styleId="276">
    <w:name w:val="font21"/>
    <w:qFormat/>
    <w:uiPriority w:val="0"/>
    <w:rPr>
      <w:rFonts w:hint="eastAsia" w:ascii="宋体" w:hAnsi="宋体" w:eastAsia="宋体" w:cs="宋体"/>
      <w:color w:val="000000"/>
      <w:sz w:val="24"/>
      <w:szCs w:val="24"/>
      <w:u w:val="none"/>
    </w:rPr>
  </w:style>
  <w:style w:type="paragraph" w:customStyle="1" w:styleId="277">
    <w:name w:val="_Style 3"/>
    <w:qFormat/>
    <w:uiPriority w:val="1"/>
    <w:pPr>
      <w:widowControl w:val="0"/>
      <w:spacing w:after="160" w:line="278" w:lineRule="auto"/>
      <w:jc w:val="both"/>
    </w:pPr>
    <w:rPr>
      <w:rFonts w:ascii="Times New Roman" w:hAnsi="Times New Roman" w:eastAsia="宋体" w:cs="Times New Roman"/>
      <w:kern w:val="2"/>
      <w:sz w:val="21"/>
      <w:szCs w:val="22"/>
      <w:lang w:val="en-US" w:eastAsia="zh-CN" w:bidi="ar-SA"/>
    </w:rPr>
  </w:style>
  <w:style w:type="paragraph" w:customStyle="1" w:styleId="278">
    <w:name w:val="List Paragraph1"/>
    <w:basedOn w:val="1"/>
    <w:qFormat/>
    <w:uiPriority w:val="99"/>
    <w:pPr>
      <w:spacing w:line="240" w:lineRule="auto"/>
      <w:ind w:firstLine="420"/>
      <w:jc w:val="both"/>
    </w:pPr>
    <w:rPr>
      <w:rFonts w:ascii="Calibri" w:hAnsi="Calibri" w:eastAsia="宋体" w:cs="宋体"/>
      <w:szCs w:val="21"/>
    </w:rPr>
  </w:style>
  <w:style w:type="character" w:customStyle="1" w:styleId="279">
    <w:name w:val="NormalCharacter"/>
    <w:qFormat/>
    <w:uiPriority w:val="0"/>
  </w:style>
  <w:style w:type="character" w:customStyle="1" w:styleId="280">
    <w:name w:val="标题 Char3"/>
    <w:qFormat/>
    <w:uiPriority w:val="0"/>
    <w:rPr>
      <w:rFonts w:ascii="Cambria" w:hAnsi="Cambria" w:eastAsia="宋体"/>
      <w:b/>
      <w:bCs/>
      <w:kern w:val="2"/>
      <w:sz w:val="32"/>
      <w:szCs w:val="32"/>
      <w:lang w:bidi="ar-SA"/>
    </w:rPr>
  </w:style>
  <w:style w:type="character" w:customStyle="1" w:styleId="281">
    <w:name w:val="正文缩进 Char2"/>
    <w:qFormat/>
    <w:uiPriority w:val="0"/>
  </w:style>
  <w:style w:type="paragraph" w:customStyle="1" w:styleId="282">
    <w:name w:val="样式 加粗 段前: 7.8 磅 段后: 7.8 磅 行距: 固定值 20 磅"/>
    <w:basedOn w:val="1"/>
    <w:qFormat/>
    <w:uiPriority w:val="0"/>
    <w:pPr>
      <w:spacing w:before="60" w:after="60" w:line="360" w:lineRule="exact"/>
      <w:ind w:firstLine="0" w:firstLineChars="0"/>
      <w:jc w:val="both"/>
    </w:pPr>
    <w:rPr>
      <w:rFonts w:eastAsia="宋体" w:cs="宋体"/>
      <w:b/>
      <w:bCs/>
      <w:spacing w:val="-2"/>
      <w:sz w:val="24"/>
      <w:szCs w:val="20"/>
    </w:rPr>
  </w:style>
  <w:style w:type="character" w:customStyle="1" w:styleId="283">
    <w:name w:val="未处理的提及1"/>
    <w:basedOn w:val="56"/>
    <w:semiHidden/>
    <w:unhideWhenUsed/>
    <w:qFormat/>
    <w:uiPriority w:val="99"/>
    <w:rPr>
      <w:color w:val="605E5C"/>
      <w:shd w:val="clear" w:color="auto" w:fill="E1DFDD"/>
    </w:rPr>
  </w:style>
  <w:style w:type="character" w:customStyle="1" w:styleId="284">
    <w:name w:val="纯文本 字符2"/>
    <w:qFormat/>
    <w:uiPriority w:val="0"/>
    <w:rPr>
      <w:rFonts w:ascii="宋体" w:hAnsi="Courier New" w:eastAsia="宋体" w:cs="Times New Roman"/>
      <w:kern w:val="2"/>
      <w:sz w:val="24"/>
      <w:szCs w:val="24"/>
      <w:lang w:val="en-US" w:eastAsia="zh-CN" w:bidi="ar-SA"/>
    </w:rPr>
  </w:style>
  <w:style w:type="character" w:customStyle="1" w:styleId="285">
    <w:name w:val="List Paragraph Char"/>
    <w:link w:val="120"/>
    <w:qFormat/>
    <w:uiPriority w:val="0"/>
    <w:rPr>
      <w:rFonts w:ascii="Calibri" w:hAnsi="Calibri" w:eastAsia="微软雅黑"/>
      <w:kern w:val="2"/>
      <w:sz w:val="21"/>
    </w:rPr>
  </w:style>
  <w:style w:type="character" w:customStyle="1" w:styleId="286">
    <w:name w:val="正文文本缩进 字符1"/>
    <w:qFormat/>
    <w:uiPriority w:val="0"/>
    <w:rPr>
      <w:rFonts w:ascii="宋体" w:hAnsi="Courier New"/>
      <w:spacing w:val="-4"/>
      <w:kern w:val="2"/>
      <w:sz w:val="18"/>
    </w:rPr>
  </w:style>
  <w:style w:type="paragraph" w:customStyle="1" w:styleId="287">
    <w:name w:val="清單段落"/>
    <w:basedOn w:val="1"/>
    <w:qFormat/>
    <w:uiPriority w:val="0"/>
    <w:pPr>
      <w:spacing w:line="240" w:lineRule="auto"/>
      <w:ind w:left="480" w:leftChars="200" w:firstLine="0" w:firstLineChars="0"/>
      <w:jc w:val="both"/>
    </w:pPr>
    <w:rPr>
      <w:rFonts w:eastAsia="宋体"/>
    </w:rPr>
  </w:style>
  <w:style w:type="character" w:customStyle="1" w:styleId="288">
    <w:name w:val="未处理的提及2"/>
    <w:basedOn w:val="56"/>
    <w:semiHidden/>
    <w:unhideWhenUsed/>
    <w:qFormat/>
    <w:uiPriority w:val="99"/>
    <w:rPr>
      <w:color w:val="605E5C"/>
      <w:shd w:val="clear" w:color="auto" w:fill="E1DFDD"/>
    </w:rPr>
  </w:style>
  <w:style w:type="character" w:customStyle="1" w:styleId="289">
    <w:name w:val="正文首行缩进 2 Char2"/>
    <w:basedOn w:val="81"/>
    <w:link w:val="51"/>
    <w:qFormat/>
    <w:uiPriority w:val="0"/>
    <w:rPr>
      <w:rFonts w:ascii="宋体" w:hAnsi="Courier New" w:eastAsia="微软雅黑"/>
      <w:spacing w:val="-4"/>
      <w:kern w:val="2"/>
      <w:sz w:val="21"/>
      <w:szCs w:val="24"/>
    </w:rPr>
  </w:style>
  <w:style w:type="character" w:customStyle="1" w:styleId="290">
    <w:name w:val="标书正文 Char"/>
    <w:qFormat/>
    <w:uiPriority w:val="0"/>
    <w:rPr>
      <w:rFonts w:ascii="宋体" w:hAnsi="宋体" w:eastAsia="宋体" w:cs="Times New Roman"/>
      <w:kern w:val="0"/>
      <w:sz w:val="24"/>
      <w:szCs w:val="20"/>
    </w:rPr>
  </w:style>
  <w:style w:type="character" w:customStyle="1" w:styleId="291">
    <w:name w:val="未处理的提及3"/>
    <w:basedOn w:val="56"/>
    <w:semiHidden/>
    <w:unhideWhenUsed/>
    <w:qFormat/>
    <w:uiPriority w:val="99"/>
    <w:rPr>
      <w:color w:val="605E5C"/>
      <w:shd w:val="clear" w:color="auto" w:fill="E1DFDD"/>
    </w:rPr>
  </w:style>
  <w:style w:type="paragraph" w:customStyle="1" w:styleId="292">
    <w:name w:val="正文2"/>
    <w:basedOn w:val="1"/>
    <w:qFormat/>
    <w:uiPriority w:val="0"/>
    <w:pPr>
      <w:spacing w:before="156"/>
      <w:ind w:firstLine="510"/>
      <w:jc w:val="both"/>
    </w:pPr>
    <w:rPr>
      <w:rFonts w:eastAsia="宋体" w:cs="宋体"/>
      <w:sz w:val="24"/>
      <w:szCs w:val="20"/>
    </w:rPr>
  </w:style>
  <w:style w:type="paragraph" w:customStyle="1" w:styleId="293">
    <w:name w:val="纯文本3"/>
    <w:qFormat/>
    <w:uiPriority w:val="0"/>
    <w:pPr>
      <w:widowControl w:val="0"/>
      <w:adjustRightInd w:val="0"/>
      <w:spacing w:after="160" w:line="278" w:lineRule="auto"/>
      <w:jc w:val="both"/>
      <w:textAlignment w:val="baseline"/>
    </w:pPr>
    <w:rPr>
      <w:rFonts w:ascii="宋体" w:hAnsi="Courier New" w:eastAsia="楷体_GB2312" w:cs="Times New Roman"/>
      <w:kern w:val="2"/>
      <w:sz w:val="26"/>
      <w:lang w:val="en-US" w:eastAsia="zh-CN" w:bidi="ar-SA"/>
    </w:rPr>
  </w:style>
  <w:style w:type="paragraph" w:customStyle="1" w:styleId="294">
    <w:name w:val="部分1"/>
    <w:basedOn w:val="1"/>
    <w:qFormat/>
    <w:uiPriority w:val="0"/>
    <w:pPr>
      <w:keepNext/>
      <w:pageBreakBefore/>
      <w:tabs>
        <w:tab w:val="left" w:pos="720"/>
      </w:tabs>
      <w:ind w:firstLine="0" w:firstLineChars="0"/>
      <w:jc w:val="center"/>
      <w:outlineLvl w:val="0"/>
    </w:pPr>
    <w:rPr>
      <w:rFonts w:eastAsia="黑体" w:cs="宋体"/>
      <w:b/>
      <w:kern w:val="44"/>
      <w:sz w:val="36"/>
      <w:szCs w:val="20"/>
    </w:rPr>
  </w:style>
  <w:style w:type="paragraph" w:customStyle="1" w:styleId="295">
    <w:name w:val="TOC 标题2"/>
    <w:basedOn w:val="2"/>
    <w:next w:val="1"/>
    <w:unhideWhenUsed/>
    <w:qFormat/>
    <w:uiPriority w:val="39"/>
    <w:pPr>
      <w:widowControl/>
      <w:spacing w:before="240" w:line="259" w:lineRule="auto"/>
      <w:jc w:val="left"/>
      <w:outlineLvl w:val="9"/>
    </w:pPr>
    <w:rPr>
      <w:rFonts w:asciiTheme="majorHAnsi" w:hAnsiTheme="majorHAnsi" w:eastAsiaTheme="majorEastAsia" w:cstheme="majorBidi"/>
      <w:b w:val="0"/>
      <w:bCs w:val="0"/>
      <w:color w:val="2F5597" w:themeColor="accent1" w:themeShade="BF"/>
      <w:kern w:val="0"/>
      <w:sz w:val="32"/>
      <w:szCs w:val="32"/>
    </w:rPr>
  </w:style>
  <w:style w:type="paragraph" w:customStyle="1" w:styleId="296">
    <w:name w:val="修订1"/>
    <w:hidden/>
    <w:unhideWhenUsed/>
    <w:qFormat/>
    <w:uiPriority w:val="99"/>
    <w:pPr>
      <w:spacing w:after="160" w:line="278" w:lineRule="auto"/>
    </w:pPr>
    <w:rPr>
      <w:rFonts w:ascii="Times New Roman" w:hAnsi="Times New Roman" w:eastAsia="微软雅黑" w:cs="Times New Roman"/>
      <w:kern w:val="2"/>
      <w:sz w:val="21"/>
      <w:szCs w:val="24"/>
      <w:lang w:val="en-US" w:eastAsia="zh-CN" w:bidi="ar-SA"/>
    </w:rPr>
  </w:style>
  <w:style w:type="paragraph" w:customStyle="1" w:styleId="297">
    <w:name w:val="修订2"/>
    <w:hidden/>
    <w:unhideWhenUsed/>
    <w:qFormat/>
    <w:uiPriority w:val="99"/>
    <w:pPr>
      <w:spacing w:after="160" w:line="278" w:lineRule="auto"/>
    </w:pPr>
    <w:rPr>
      <w:rFonts w:ascii="Times New Roman" w:hAnsi="Times New Roman" w:eastAsia="微软雅黑" w:cs="Times New Roman"/>
      <w:kern w:val="2"/>
      <w:sz w:val="21"/>
      <w:szCs w:val="24"/>
      <w:lang w:val="en-US" w:eastAsia="zh-CN" w:bidi="ar-SA"/>
    </w:rPr>
  </w:style>
  <w:style w:type="paragraph" w:customStyle="1" w:styleId="298">
    <w:name w:val="TOC 标题3"/>
    <w:basedOn w:val="2"/>
    <w:next w:val="1"/>
    <w:unhideWhenUsed/>
    <w:qFormat/>
    <w:uiPriority w:val="39"/>
    <w:pPr>
      <w:widowControl/>
      <w:spacing w:before="240" w:line="259" w:lineRule="auto"/>
      <w:jc w:val="left"/>
      <w:outlineLvl w:val="9"/>
    </w:pPr>
    <w:rPr>
      <w:rFonts w:asciiTheme="majorHAnsi" w:hAnsiTheme="majorHAnsi" w:eastAsiaTheme="majorEastAsia" w:cstheme="majorBidi"/>
      <w:b w:val="0"/>
      <w:bCs w:val="0"/>
      <w:color w:val="2F5597" w:themeColor="accent1" w:themeShade="BF"/>
      <w:kern w:val="0"/>
      <w:sz w:val="32"/>
      <w:szCs w:val="32"/>
    </w:rPr>
  </w:style>
  <w:style w:type="paragraph" w:customStyle="1" w:styleId="299">
    <w:name w:val="WPSOffice手动目录 2"/>
    <w:qFormat/>
    <w:uiPriority w:val="0"/>
    <w:pPr>
      <w:spacing w:after="160" w:line="278" w:lineRule="auto"/>
      <w:ind w:left="200" w:leftChars="200"/>
    </w:pPr>
    <w:rPr>
      <w:rFonts w:ascii="Times New Roman" w:hAnsi="Times New Roman" w:eastAsia="宋体" w:cs="Times New Roman"/>
      <w:lang w:val="en-US" w:eastAsia="zh-CN" w:bidi="ar-SA"/>
    </w:rPr>
  </w:style>
  <w:style w:type="paragraph" w:customStyle="1" w:styleId="300">
    <w:name w:val="签发人"/>
    <w:basedOn w:val="1"/>
    <w:qFormat/>
    <w:uiPriority w:val="0"/>
    <w:pPr>
      <w:spacing w:line="240" w:lineRule="auto"/>
      <w:ind w:firstLine="0" w:firstLineChars="0"/>
      <w:jc w:val="both"/>
    </w:pPr>
    <w:rPr>
      <w:rFonts w:ascii="Calibri" w:hAnsi="Calibri" w:eastAsia="楷体"/>
      <w:sz w:val="32"/>
    </w:rPr>
  </w:style>
  <w:style w:type="paragraph" w:customStyle="1" w:styleId="301">
    <w:name w:val="修订3"/>
    <w:hidden/>
    <w:unhideWhenUsed/>
    <w:qFormat/>
    <w:uiPriority w:val="99"/>
    <w:pPr>
      <w:spacing w:after="160" w:line="278" w:lineRule="auto"/>
    </w:pPr>
    <w:rPr>
      <w:rFonts w:ascii="Times New Roman" w:hAnsi="Times New Roman" w:eastAsia="微软雅黑" w:cs="Times New Roman"/>
      <w:kern w:val="2"/>
      <w:sz w:val="21"/>
      <w:szCs w:val="24"/>
      <w:lang w:val="en-US" w:eastAsia="zh-CN" w:bidi="ar-SA"/>
    </w:rPr>
  </w:style>
  <w:style w:type="paragraph" w:customStyle="1" w:styleId="302">
    <w:name w:val="修订4"/>
    <w:hidden/>
    <w:unhideWhenUsed/>
    <w:qFormat/>
    <w:uiPriority w:val="99"/>
    <w:pPr>
      <w:spacing w:after="160" w:line="278" w:lineRule="auto"/>
    </w:pPr>
    <w:rPr>
      <w:rFonts w:ascii="Times New Roman" w:hAnsi="Times New Roman" w:eastAsia="微软雅黑" w:cs="Times New Roman"/>
      <w:kern w:val="2"/>
      <w:sz w:val="21"/>
      <w:szCs w:val="24"/>
      <w:lang w:val="en-US" w:eastAsia="zh-CN" w:bidi="ar-SA"/>
    </w:rPr>
  </w:style>
  <w:style w:type="character" w:customStyle="1" w:styleId="303">
    <w:name w:val="未处理的提及4"/>
    <w:basedOn w:val="56"/>
    <w:semiHidden/>
    <w:unhideWhenUsed/>
    <w:qFormat/>
    <w:uiPriority w:val="99"/>
    <w:rPr>
      <w:color w:val="605E5C"/>
      <w:shd w:val="clear" w:color="auto" w:fill="E1DFDD"/>
    </w:rPr>
  </w:style>
  <w:style w:type="character" w:customStyle="1" w:styleId="304">
    <w:name w:val="批注文字 字符1"/>
    <w:qFormat/>
    <w:uiPriority w:val="0"/>
    <w:rPr>
      <w:rFonts w:ascii="Calibri" w:hAnsi="Calibri" w:cs="Times New Roman"/>
      <w:kern w:val="2"/>
      <w:sz w:val="21"/>
      <w:szCs w:val="24"/>
    </w:rPr>
  </w:style>
  <w:style w:type="paragraph" w:customStyle="1" w:styleId="305">
    <w:name w:val="修订5"/>
    <w:hidden/>
    <w:unhideWhenUsed/>
    <w:qFormat/>
    <w:uiPriority w:val="99"/>
    <w:rPr>
      <w:rFonts w:ascii="Times New Roman" w:hAnsi="Times New Roman" w:eastAsia="微软雅黑" w:cs="Times New Roman"/>
      <w:kern w:val="2"/>
      <w:sz w:val="21"/>
      <w:szCs w:val="24"/>
      <w:lang w:val="en-US" w:eastAsia="zh-CN" w:bidi="ar-SA"/>
    </w:rPr>
  </w:style>
  <w:style w:type="paragraph" w:customStyle="1" w:styleId="306">
    <w:name w:val="msolistparagraph"/>
    <w:basedOn w:val="1"/>
    <w:qFormat/>
    <w:uiPriority w:val="0"/>
    <w:pPr>
      <w:ind w:firstLine="420"/>
    </w:pPr>
    <w:rPr>
      <w:rFonts w:hint="eastAsia"/>
    </w:rPr>
  </w:style>
  <w:style w:type="paragraph" w:customStyle="1" w:styleId="307">
    <w:name w:val="AONormal"/>
    <w:basedOn w:val="1"/>
    <w:qFormat/>
    <w:uiPriority w:val="0"/>
    <w:pPr>
      <w:widowControl/>
      <w:autoSpaceDE w:val="0"/>
      <w:autoSpaceDN w:val="0"/>
      <w:adjustRightInd w:val="0"/>
      <w:spacing w:line="400" w:lineRule="exact"/>
      <w:ind w:firstLine="440"/>
    </w:pPr>
    <w:rPr>
      <w:rFonts w:ascii="Calibri" w:hAnsi="Calibri" w:eastAsia="Calibri"/>
      <w:kern w:val="0"/>
      <w:sz w:val="22"/>
      <w:szCs w:val="21"/>
    </w:rPr>
  </w:style>
  <w:style w:type="table" w:customStyle="1" w:styleId="308">
    <w:name w:val="Table Normal"/>
    <w:unhideWhenUsed/>
    <w:qFormat/>
    <w:uiPriority w:val="2"/>
    <w:pPr>
      <w:widowControl w:val="0"/>
      <w:autoSpaceDE w:val="0"/>
      <w:autoSpaceDN w:val="0"/>
    </w:pPr>
    <w:rPr>
      <w:sz w:val="22"/>
      <w:szCs w:val="22"/>
      <w:lang w:eastAsia="en-US"/>
    </w:rPr>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9" Type="http://schemas.openxmlformats.org/officeDocument/2006/relationships/fontTable" Target="fontTable.xml"/><Relationship Id="rId38" Type="http://schemas.openxmlformats.org/officeDocument/2006/relationships/numbering" Target="numbering.xml"/><Relationship Id="rId37" Type="http://schemas.openxmlformats.org/officeDocument/2006/relationships/customXml" Target="../customXml/item1.xml"/><Relationship Id="rId36" Type="http://schemas.openxmlformats.org/officeDocument/2006/relationships/image" Target="media/image3.png"/><Relationship Id="rId35" Type="http://schemas.openxmlformats.org/officeDocument/2006/relationships/image" Target="media/image2.jpeg"/><Relationship Id="rId34" Type="http://schemas.openxmlformats.org/officeDocument/2006/relationships/theme" Target="theme/theme1.xml"/><Relationship Id="rId33" Type="http://schemas.openxmlformats.org/officeDocument/2006/relationships/footer" Target="footer16.xml"/><Relationship Id="rId32" Type="http://schemas.openxmlformats.org/officeDocument/2006/relationships/footer" Target="footer15.xml"/><Relationship Id="rId31" Type="http://schemas.openxmlformats.org/officeDocument/2006/relationships/header" Target="header13.xml"/><Relationship Id="rId30" Type="http://schemas.openxmlformats.org/officeDocument/2006/relationships/footer" Target="footer14.xml"/><Relationship Id="rId3" Type="http://schemas.openxmlformats.org/officeDocument/2006/relationships/footnotes" Target="footnotes.xml"/><Relationship Id="rId29" Type="http://schemas.openxmlformats.org/officeDocument/2006/relationships/footer" Target="footer13.xml"/><Relationship Id="rId28" Type="http://schemas.openxmlformats.org/officeDocument/2006/relationships/footer" Target="footer12.xml"/><Relationship Id="rId27" Type="http://schemas.openxmlformats.org/officeDocument/2006/relationships/footer" Target="footer11.xml"/><Relationship Id="rId26" Type="http://schemas.openxmlformats.org/officeDocument/2006/relationships/header" Target="header12.xml"/><Relationship Id="rId25" Type="http://schemas.openxmlformats.org/officeDocument/2006/relationships/header" Target="header11.xml"/><Relationship Id="rId24" Type="http://schemas.openxmlformats.org/officeDocument/2006/relationships/footer" Target="footer10.xml"/><Relationship Id="rId23" Type="http://schemas.openxmlformats.org/officeDocument/2006/relationships/footer" Target="footer9.xml"/><Relationship Id="rId22" Type="http://schemas.openxmlformats.org/officeDocument/2006/relationships/header" Target="header10.xml"/><Relationship Id="rId21" Type="http://schemas.openxmlformats.org/officeDocument/2006/relationships/header" Target="header9.xml"/><Relationship Id="rId20" Type="http://schemas.openxmlformats.org/officeDocument/2006/relationships/footer" Target="footer8.xml"/><Relationship Id="rId2" Type="http://schemas.openxmlformats.org/officeDocument/2006/relationships/settings" Target="settings.xml"/><Relationship Id="rId19" Type="http://schemas.openxmlformats.org/officeDocument/2006/relationships/footer" Target="footer7.xml"/><Relationship Id="rId18" Type="http://schemas.openxmlformats.org/officeDocument/2006/relationships/footer" Target="footer6.xml"/><Relationship Id="rId17" Type="http://schemas.openxmlformats.org/officeDocument/2006/relationships/footer" Target="footer5.xml"/><Relationship Id="rId16" Type="http://schemas.openxmlformats.org/officeDocument/2006/relationships/header" Target="header8.xml"/><Relationship Id="rId15" Type="http://schemas.openxmlformats.org/officeDocument/2006/relationships/header" Target="header7.xml"/><Relationship Id="rId14" Type="http://schemas.openxmlformats.org/officeDocument/2006/relationships/footer" Target="footer4.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header" Target="header4.xml"/><Relationship Id="rId10" Type="http://schemas.openxmlformats.org/officeDocument/2006/relationships/footer" Target="footer3.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5" Type="http://schemas.openxmlformats.org/officeDocument/2006/relationships/font" Target="fonts/font15.odttf"/><Relationship Id="rId14" Type="http://schemas.openxmlformats.org/officeDocument/2006/relationships/font" Target="fonts/font14.odttf"/><Relationship Id="rId13" Type="http://schemas.openxmlformats.org/officeDocument/2006/relationships/font" Target="fonts/font13.odttf"/><Relationship Id="rId12" Type="http://schemas.openxmlformats.org/officeDocument/2006/relationships/font" Target="fonts/font12.odttf"/><Relationship Id="rId11" Type="http://schemas.openxmlformats.org/officeDocument/2006/relationships/font" Target="fonts/font11.odttf"/><Relationship Id="rId10" Type="http://schemas.openxmlformats.org/officeDocument/2006/relationships/font" Target="fonts/font10.odttf"/><Relationship Id="rId1" Type="http://schemas.openxmlformats.org/officeDocument/2006/relationships/font" Target="fonts/font1.odttf"/></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_rels/header10.xml.rels><?xml version="1.0" encoding="UTF-8" standalone="yes"?>
<Relationships xmlns="http://schemas.openxmlformats.org/package/2006/relationships"><Relationship Id="rId1" Type="http://schemas.openxmlformats.org/officeDocument/2006/relationships/image" Target="media/image1.jpeg"/></Relationships>
</file>

<file path=word/_rels/header12.xml.rels><?xml version="1.0" encoding="UTF-8" standalone="yes"?>
<Relationships xmlns="http://schemas.openxmlformats.org/package/2006/relationships"><Relationship Id="rId1" Type="http://schemas.openxmlformats.org/officeDocument/2006/relationships/image" Target="media/image1.jpeg"/></Relationships>
</file>

<file path=word/_rels/header1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3074"/>
    <customShpInfo spid="_x0000_s3075"/>
    <customShpInfo spid="_x0000_s3073"/>
    <customShpInfo spid="_x0000_s3077"/>
    <customShpInfo spid="_x0000_s3078"/>
    <customShpInfo spid="_x0000_s3076"/>
    <customShpInfo spid="_x0000_s3080"/>
    <customShpInfo spid="_x0000_s3079"/>
    <customShpInfo spid="_x0000_s3082"/>
    <customShpInfo spid="_x0000_s3081"/>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MicroWin10.com</Company>
  <Pages>155</Pages>
  <Words>4084</Words>
  <Characters>5001</Characters>
  <Lines>546</Lines>
  <Paragraphs>153</Paragraphs>
  <TotalTime>4</TotalTime>
  <ScaleCrop>false</ScaleCrop>
  <LinksUpToDate>false</LinksUpToDate>
  <CharactersWithSpaces>5447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2025-03-31T03:45:00Z</dcterms:created>
  <dc:creator>微软用户</dc:creator>
  <cp:lastModifiedBy>章大莉</cp:lastModifiedBy>
  <cp:lastPrinted>2024-11-06T03:23:00Z</cp:lastPrinted>
  <dcterms:modified xsi:type="dcterms:W3CDTF">2025-04-02T11:13:14Z</dcterms:modified>
  <dc:title>1</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BECEB19A4F9F46B2853D50D12504E62F_13</vt:lpwstr>
  </property>
  <property fmtid="{D5CDD505-2E9C-101B-9397-08002B2CF9AE}" pid="4" name="KSOTemplateDocerSaveRecord">
    <vt:lpwstr>eyJoZGlkIjoiMTJlMTYyNTAxYWM3MWI0NzliODIyODNmMjdmN2NhNGEiLCJ1c2VySWQiOiIxMjkzODA4MDU5In0=</vt:lpwstr>
  </property>
</Properties>
</file>