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tabs>
          <w:tab w:val="left" w:pos="3405"/>
        </w:tabs>
        <w:ind w:firstLine="321" w:firstLineChars="100"/>
        <w:jc w:val="center"/>
        <w:rPr>
          <w:rFonts w:hint="eastAsia" w:ascii="宋体" w:hAnsi="宋体" w:eastAsia="宋体"/>
          <w:color w:val="auto"/>
          <w:sz w:val="32"/>
          <w:highlight w:val="none"/>
        </w:rPr>
      </w:pPr>
      <w:bookmarkStart w:id="0" w:name="_Toc1764"/>
      <w:r>
        <w:rPr>
          <w:rFonts w:hint="eastAsia" w:ascii="宋体" w:hAnsi="宋体" w:eastAsia="宋体"/>
          <w:color w:val="auto"/>
          <w:sz w:val="32"/>
          <w:highlight w:val="none"/>
        </w:rPr>
        <w:t>成交人公告内容</w:t>
      </w:r>
      <w:bookmarkEnd w:id="0"/>
    </w:p>
    <w:p>
      <w:pPr>
        <w:spacing w:line="360" w:lineRule="auto"/>
        <w:rPr>
          <w:rFonts w:hint="eastAsia" w:ascii="宋体" w:hAnsi="宋体"/>
          <w:color w:val="auto"/>
          <w:spacing w:val="20"/>
          <w:sz w:val="24"/>
          <w:highlight w:val="none"/>
        </w:rPr>
      </w:pPr>
      <w:r>
        <w:rPr>
          <w:rFonts w:hint="eastAsia" w:ascii="宋体" w:hAnsi="宋体"/>
          <w:color w:val="auto"/>
          <w:spacing w:val="20"/>
          <w:sz w:val="24"/>
          <w:highlight w:val="none"/>
        </w:rPr>
        <w:t>采购项目：庆元县数据仓运维服务项目（2025年）</w:t>
      </w:r>
    </w:p>
    <w:p>
      <w:pPr>
        <w:spacing w:line="360" w:lineRule="auto"/>
        <w:rPr>
          <w:rFonts w:hint="eastAsia" w:ascii="宋体" w:hAnsi="宋体"/>
          <w:color w:val="auto"/>
          <w:spacing w:val="20"/>
          <w:sz w:val="24"/>
          <w:highlight w:val="none"/>
        </w:rPr>
      </w:pPr>
      <w:r>
        <w:rPr>
          <w:rFonts w:hint="eastAsia" w:ascii="宋体" w:hAnsi="宋体"/>
          <w:color w:val="auto"/>
          <w:spacing w:val="20"/>
          <w:sz w:val="24"/>
          <w:highlight w:val="none"/>
        </w:rPr>
        <w:t>采购编号</w:t>
      </w:r>
      <w:r>
        <w:rPr>
          <w:rFonts w:hint="eastAsia" w:ascii="宋体" w:hAnsi="宋体"/>
          <w:color w:val="auto"/>
          <w:sz w:val="24"/>
          <w:szCs w:val="28"/>
          <w:highlight w:val="none"/>
        </w:rPr>
        <w:t>：浙金丽招2025027号</w:t>
      </w:r>
      <w:r>
        <w:rPr>
          <w:rFonts w:hint="eastAsia" w:ascii="宋体" w:hAnsi="宋体"/>
          <w:color w:val="auto"/>
          <w:sz w:val="24"/>
          <w:highlight w:val="none"/>
          <w:lang w:val="en-GB"/>
        </w:rPr>
        <w:tab/>
      </w:r>
      <w:r>
        <w:rPr>
          <w:rFonts w:hint="eastAsia" w:ascii="宋体" w:hAnsi="宋体"/>
          <w:color w:val="auto"/>
          <w:spacing w:val="20"/>
          <w:sz w:val="24"/>
          <w:highlight w:val="none"/>
        </w:rPr>
        <w:t xml:space="preserve">                              </w:t>
      </w:r>
    </w:p>
    <w:tbl>
      <w:tblPr>
        <w:tblStyle w:val="5"/>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10"/>
        <w:gridCol w:w="1985"/>
        <w:gridCol w:w="325"/>
        <w:gridCol w:w="2009"/>
        <w:gridCol w:w="302"/>
        <w:gridCol w:w="23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auto"/>
                <w:spacing w:val="20"/>
                <w:sz w:val="24"/>
                <w:highlight w:val="none"/>
              </w:rPr>
            </w:pPr>
            <w:r>
              <w:rPr>
                <w:rFonts w:hint="eastAsia" w:ascii="宋体" w:hAnsi="宋体"/>
                <w:color w:val="auto"/>
                <w:spacing w:val="20"/>
                <w:sz w:val="24"/>
                <w:highlight w:val="none"/>
              </w:rPr>
              <w:t>成交人名称</w:t>
            </w:r>
          </w:p>
        </w:tc>
        <w:tc>
          <w:tcPr>
            <w:tcW w:w="2310"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auto"/>
                <w:spacing w:val="20"/>
                <w:sz w:val="24"/>
                <w:highlight w:val="none"/>
              </w:rPr>
            </w:pPr>
            <w:r>
              <w:rPr>
                <w:rFonts w:hint="eastAsia" w:ascii="宋体" w:hAnsi="宋体"/>
                <w:color w:val="auto"/>
                <w:spacing w:val="20"/>
                <w:sz w:val="24"/>
                <w:highlight w:val="none"/>
              </w:rPr>
              <w:t>中国移动通信集团浙江有限公司丽水分公司</w:t>
            </w:r>
          </w:p>
        </w:tc>
        <w:tc>
          <w:tcPr>
            <w:tcW w:w="2311"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auto"/>
                <w:spacing w:val="20"/>
                <w:sz w:val="24"/>
                <w:highlight w:val="none"/>
              </w:rPr>
            </w:pPr>
            <w:r>
              <w:rPr>
                <w:rFonts w:hint="eastAsia" w:ascii="宋体" w:hAnsi="宋体"/>
                <w:color w:val="auto"/>
                <w:spacing w:val="20"/>
                <w:sz w:val="24"/>
                <w:highlight w:val="none"/>
              </w:rPr>
              <w:t>成交人负责人</w:t>
            </w:r>
          </w:p>
        </w:tc>
        <w:tc>
          <w:tcPr>
            <w:tcW w:w="231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olor w:val="auto"/>
                <w:spacing w:val="20"/>
                <w:sz w:val="24"/>
                <w:highlight w:val="none"/>
                <w:lang w:eastAsia="zh-CN"/>
              </w:rPr>
            </w:pPr>
            <w:r>
              <w:rPr>
                <w:rFonts w:hint="eastAsia" w:ascii="宋体" w:hAnsi="宋体"/>
                <w:color w:val="auto"/>
                <w:spacing w:val="20"/>
                <w:sz w:val="24"/>
                <w:highlight w:val="none"/>
                <w:lang w:eastAsia="zh-CN"/>
              </w:rPr>
              <w:t>金标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3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auto"/>
                <w:spacing w:val="20"/>
                <w:sz w:val="24"/>
                <w:highlight w:val="none"/>
              </w:rPr>
            </w:pPr>
            <w:r>
              <w:rPr>
                <w:rFonts w:hint="eastAsia" w:ascii="宋体" w:hAnsi="宋体"/>
                <w:color w:val="auto"/>
                <w:spacing w:val="20"/>
                <w:sz w:val="24"/>
                <w:highlight w:val="none"/>
              </w:rPr>
              <w:t>成交人地址</w:t>
            </w:r>
          </w:p>
        </w:tc>
        <w:tc>
          <w:tcPr>
            <w:tcW w:w="6932" w:type="dxa"/>
            <w:gridSpan w:val="5"/>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auto"/>
                <w:spacing w:val="20"/>
                <w:sz w:val="24"/>
                <w:highlight w:val="none"/>
              </w:rPr>
            </w:pPr>
            <w:r>
              <w:rPr>
                <w:rFonts w:hint="eastAsia" w:ascii="宋体" w:hAnsi="宋体"/>
                <w:color w:val="auto"/>
                <w:spacing w:val="20"/>
                <w:sz w:val="24"/>
                <w:highlight w:val="none"/>
              </w:rPr>
              <w:t>浙江省丽水市莲都区括苍北路168号4幢201、202、209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2" w:type="dxa"/>
            <w:gridSpan w:val="6"/>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auto"/>
                <w:spacing w:val="20"/>
                <w:sz w:val="24"/>
                <w:highlight w:val="none"/>
              </w:rPr>
            </w:pPr>
            <w:r>
              <w:rPr>
                <w:rFonts w:hint="eastAsia" w:ascii="宋体" w:hAnsi="宋体"/>
                <w:color w:val="auto"/>
                <w:spacing w:val="20"/>
                <w:sz w:val="24"/>
                <w:highlight w:val="none"/>
              </w:rPr>
              <w:t xml:space="preserve"> 成交标的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3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olor w:val="auto"/>
                <w:spacing w:val="20"/>
                <w:sz w:val="24"/>
                <w:highlight w:val="none"/>
                <w:lang w:eastAsia="zh-CN"/>
              </w:rPr>
            </w:pPr>
            <w:r>
              <w:rPr>
                <w:rFonts w:hint="eastAsia" w:ascii="宋体" w:hAnsi="宋体"/>
                <w:color w:val="auto"/>
                <w:spacing w:val="20"/>
                <w:sz w:val="24"/>
                <w:highlight w:val="none"/>
                <w:lang w:eastAsia="zh-CN"/>
              </w:rPr>
              <w:t>内容</w:t>
            </w:r>
          </w:p>
        </w:tc>
        <w:tc>
          <w:tcPr>
            <w:tcW w:w="198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auto"/>
                <w:spacing w:val="20"/>
                <w:sz w:val="24"/>
                <w:highlight w:val="none"/>
              </w:rPr>
            </w:pPr>
            <w:r>
              <w:rPr>
                <w:rFonts w:hint="eastAsia" w:ascii="宋体" w:hAnsi="宋体"/>
                <w:color w:val="auto"/>
                <w:spacing w:val="20"/>
                <w:sz w:val="24"/>
                <w:highlight w:val="none"/>
              </w:rPr>
              <w:t>单位</w:t>
            </w:r>
          </w:p>
        </w:tc>
        <w:tc>
          <w:tcPr>
            <w:tcW w:w="2334"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auto"/>
                <w:spacing w:val="20"/>
                <w:sz w:val="24"/>
                <w:highlight w:val="none"/>
              </w:rPr>
            </w:pPr>
            <w:r>
              <w:rPr>
                <w:rFonts w:hint="eastAsia" w:ascii="宋体" w:hAnsi="宋体"/>
                <w:color w:val="auto"/>
                <w:spacing w:val="20"/>
                <w:sz w:val="24"/>
                <w:highlight w:val="none"/>
              </w:rPr>
              <w:t>数量</w:t>
            </w:r>
          </w:p>
        </w:tc>
        <w:tc>
          <w:tcPr>
            <w:tcW w:w="2613"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pacing w:val="20"/>
                <w:sz w:val="24"/>
                <w:highlight w:val="none"/>
              </w:rPr>
            </w:pPr>
            <w:r>
              <w:rPr>
                <w:rFonts w:hint="eastAsia" w:ascii="宋体" w:hAnsi="宋体"/>
                <w:color w:val="auto"/>
                <w:spacing w:val="20"/>
                <w:sz w:val="24"/>
                <w:highlight w:val="none"/>
              </w:rPr>
              <w:t>成交价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auto"/>
                <w:spacing w:val="20"/>
                <w:sz w:val="24"/>
                <w:highlight w:val="none"/>
              </w:rPr>
            </w:pPr>
            <w:r>
              <w:rPr>
                <w:rFonts w:hint="eastAsia" w:ascii="宋体" w:hAnsi="宋体"/>
                <w:color w:val="auto"/>
                <w:spacing w:val="20"/>
                <w:sz w:val="24"/>
                <w:highlight w:val="none"/>
              </w:rPr>
              <w:t>庆元县数据仓运维服务项目（2025年）</w:t>
            </w:r>
          </w:p>
        </w:tc>
        <w:tc>
          <w:tcPr>
            <w:tcW w:w="198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olor w:val="auto"/>
                <w:spacing w:val="20"/>
                <w:sz w:val="24"/>
                <w:highlight w:val="none"/>
                <w:lang w:eastAsia="zh-CN"/>
              </w:rPr>
            </w:pPr>
            <w:r>
              <w:rPr>
                <w:rFonts w:hint="eastAsia" w:ascii="宋体" w:hAnsi="宋体"/>
                <w:color w:val="auto"/>
                <w:spacing w:val="20"/>
                <w:sz w:val="24"/>
                <w:highlight w:val="none"/>
                <w:lang w:eastAsia="zh-CN"/>
              </w:rPr>
              <w:t>项</w:t>
            </w:r>
          </w:p>
        </w:tc>
        <w:tc>
          <w:tcPr>
            <w:tcW w:w="2334"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olor w:val="auto"/>
                <w:spacing w:val="20"/>
                <w:sz w:val="24"/>
                <w:highlight w:val="none"/>
                <w:lang w:val="en-US" w:eastAsia="zh-CN"/>
              </w:rPr>
            </w:pPr>
            <w:r>
              <w:rPr>
                <w:rFonts w:hint="eastAsia" w:ascii="宋体" w:hAnsi="宋体"/>
                <w:color w:val="auto"/>
                <w:spacing w:val="20"/>
                <w:sz w:val="24"/>
                <w:highlight w:val="none"/>
                <w:lang w:val="en-US" w:eastAsia="zh-CN"/>
              </w:rPr>
              <w:t>1</w:t>
            </w:r>
          </w:p>
        </w:tc>
        <w:tc>
          <w:tcPr>
            <w:tcW w:w="2613"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宋体" w:hAnsi="宋体" w:eastAsia="宋体"/>
                <w:color w:val="auto"/>
                <w:spacing w:val="20"/>
                <w:sz w:val="24"/>
                <w:highlight w:val="none"/>
                <w:lang w:val="en-US" w:eastAsia="zh-CN"/>
              </w:rPr>
            </w:pPr>
            <w:r>
              <w:rPr>
                <w:rFonts w:hint="eastAsia" w:ascii="宋体" w:hAnsi="宋体"/>
                <w:color w:val="auto"/>
                <w:spacing w:val="20"/>
                <w:sz w:val="24"/>
                <w:highlight w:val="none"/>
                <w:lang w:val="en-US" w:eastAsia="zh-CN"/>
              </w:rPr>
              <w:t>492000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31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auto"/>
                <w:spacing w:val="20"/>
                <w:sz w:val="24"/>
                <w:highlight w:val="none"/>
              </w:rPr>
            </w:pPr>
          </w:p>
        </w:tc>
        <w:tc>
          <w:tcPr>
            <w:tcW w:w="1985"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auto"/>
                <w:spacing w:val="20"/>
                <w:sz w:val="24"/>
                <w:highlight w:val="none"/>
              </w:rPr>
            </w:pPr>
          </w:p>
        </w:tc>
        <w:tc>
          <w:tcPr>
            <w:tcW w:w="2334" w:type="dxa"/>
            <w:gridSpan w:val="2"/>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auto"/>
                <w:spacing w:val="20"/>
                <w:sz w:val="24"/>
                <w:highlight w:val="none"/>
              </w:rPr>
            </w:pPr>
          </w:p>
        </w:tc>
        <w:tc>
          <w:tcPr>
            <w:tcW w:w="2613" w:type="dxa"/>
            <w:gridSpan w:val="2"/>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auto"/>
                <w:spacing w:val="2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auto"/>
                <w:spacing w:val="20"/>
                <w:sz w:val="24"/>
                <w:highlight w:val="none"/>
              </w:rPr>
            </w:pPr>
          </w:p>
        </w:tc>
        <w:tc>
          <w:tcPr>
            <w:tcW w:w="1985"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auto"/>
                <w:spacing w:val="20"/>
                <w:sz w:val="24"/>
                <w:highlight w:val="none"/>
              </w:rPr>
            </w:pPr>
          </w:p>
        </w:tc>
        <w:tc>
          <w:tcPr>
            <w:tcW w:w="2334" w:type="dxa"/>
            <w:gridSpan w:val="2"/>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auto"/>
                <w:spacing w:val="20"/>
                <w:sz w:val="24"/>
                <w:highlight w:val="none"/>
              </w:rPr>
            </w:pPr>
          </w:p>
        </w:tc>
        <w:tc>
          <w:tcPr>
            <w:tcW w:w="2613" w:type="dxa"/>
            <w:gridSpan w:val="2"/>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auto"/>
                <w:spacing w:val="2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629" w:type="dxa"/>
            <w:gridSpan w:val="4"/>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auto"/>
                <w:spacing w:val="20"/>
                <w:sz w:val="24"/>
                <w:highlight w:val="none"/>
              </w:rPr>
            </w:pPr>
            <w:r>
              <w:rPr>
                <w:rFonts w:hint="eastAsia" w:ascii="宋体" w:hAnsi="宋体" w:cs="宋体"/>
                <w:spacing w:val="20"/>
                <w:sz w:val="24"/>
              </w:rPr>
              <w:t>成交金额合计</w:t>
            </w:r>
            <w:r>
              <w:rPr>
                <w:rFonts w:hint="eastAsia" w:ascii="宋体" w:hAnsi="宋体" w:cs="宋体"/>
                <w:spacing w:val="20"/>
                <w:sz w:val="24"/>
                <w:lang w:eastAsia="zh-CN"/>
              </w:rPr>
              <w:t>：肆拾玖万贰仟元整</w:t>
            </w:r>
          </w:p>
        </w:tc>
        <w:tc>
          <w:tcPr>
            <w:tcW w:w="2613" w:type="dxa"/>
            <w:gridSpan w:val="2"/>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color w:val="auto"/>
                <w:spacing w:val="20"/>
                <w:sz w:val="24"/>
                <w:highlight w:val="none"/>
              </w:rPr>
            </w:pPr>
            <w:r>
              <w:rPr>
                <w:rFonts w:hint="eastAsia" w:ascii="宋体" w:hAnsi="宋体"/>
                <w:color w:val="auto"/>
                <w:spacing w:val="20"/>
                <w:sz w:val="24"/>
                <w:highlight w:val="none"/>
                <w:lang w:val="en-US" w:eastAsia="zh-CN"/>
              </w:rPr>
              <w:t>492000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7" w:hRule="atLeast"/>
        </w:trPr>
        <w:tc>
          <w:tcPr>
            <w:tcW w:w="9242" w:type="dxa"/>
            <w:gridSpan w:val="6"/>
            <w:tcBorders>
              <w:top w:val="single" w:color="auto" w:sz="4" w:space="0"/>
              <w:left w:val="single" w:color="auto" w:sz="4" w:space="0"/>
              <w:bottom w:val="single" w:color="auto" w:sz="4" w:space="0"/>
              <w:right w:val="single" w:color="auto" w:sz="4" w:space="0"/>
            </w:tcBorders>
            <w:noWrap w:val="0"/>
            <w:vAlign w:val="top"/>
          </w:tcPr>
          <w:p>
            <w:pPr>
              <w:spacing w:line="360" w:lineRule="auto"/>
              <w:rPr>
                <w:rFonts w:hint="eastAsia" w:ascii="宋体" w:hAnsi="宋体"/>
                <w:color w:val="auto"/>
                <w:spacing w:val="20"/>
                <w:sz w:val="24"/>
                <w:highlight w:val="none"/>
              </w:rPr>
            </w:pPr>
            <w:r>
              <w:rPr>
                <w:rFonts w:hint="eastAsia" w:ascii="宋体" w:hAnsi="宋体"/>
                <w:color w:val="auto"/>
                <w:spacing w:val="20"/>
                <w:sz w:val="24"/>
                <w:highlight w:val="none"/>
              </w:rPr>
              <w:t>服务要求：</w:t>
            </w:r>
          </w:p>
          <w:p>
            <w:pPr>
              <w:spacing w:line="360" w:lineRule="auto"/>
              <w:rPr>
                <w:rFonts w:hint="eastAsia" w:ascii="宋体" w:hAnsi="宋体"/>
                <w:color w:val="auto"/>
                <w:spacing w:val="20"/>
                <w:sz w:val="24"/>
                <w:highlight w:val="none"/>
                <w:lang w:val="en-US" w:eastAsia="zh-CN"/>
              </w:rPr>
            </w:pPr>
            <w:r>
              <w:rPr>
                <w:rFonts w:hint="eastAsia" w:ascii="宋体" w:hAnsi="宋体" w:eastAsia="宋体" w:cs="Times New Roman"/>
                <w:b w:val="0"/>
                <w:color w:val="auto"/>
                <w:kern w:val="2"/>
                <w:sz w:val="24"/>
                <w:szCs w:val="24"/>
                <w:highlight w:val="none"/>
                <w:lang w:val="en-US" w:eastAsia="zh-CN" w:bidi="ar-SA"/>
              </w:rPr>
              <w:t>1</w:t>
            </w:r>
            <w:r>
              <w:rPr>
                <w:rFonts w:hint="eastAsia" w:ascii="宋体" w:hAnsi="宋体"/>
                <w:color w:val="auto"/>
                <w:spacing w:val="20"/>
                <w:sz w:val="24"/>
                <w:highlight w:val="none"/>
                <w:lang w:val="en-US" w:eastAsia="zh-CN"/>
              </w:rPr>
              <w:t>、服务期限及地点</w:t>
            </w:r>
          </w:p>
          <w:p>
            <w:pPr>
              <w:spacing w:line="360" w:lineRule="auto"/>
              <w:ind w:firstLine="560" w:firstLineChars="200"/>
              <w:rPr>
                <w:rFonts w:hint="eastAsia" w:ascii="宋体" w:hAnsi="宋体"/>
                <w:color w:val="auto"/>
                <w:spacing w:val="20"/>
                <w:sz w:val="24"/>
                <w:highlight w:val="none"/>
                <w:lang w:val="en-US" w:eastAsia="zh-CN"/>
              </w:rPr>
            </w:pPr>
            <w:r>
              <w:rPr>
                <w:rFonts w:hint="eastAsia" w:ascii="宋体" w:hAnsi="宋体"/>
                <w:color w:val="auto"/>
                <w:spacing w:val="20"/>
                <w:sz w:val="24"/>
                <w:highlight w:val="none"/>
                <w:lang w:val="en-US" w:eastAsia="zh-CN"/>
              </w:rPr>
              <w:t>服务期限：项目合同签订之日起1年内完成全部服务内容。</w:t>
            </w:r>
          </w:p>
          <w:p>
            <w:pPr>
              <w:spacing w:line="360" w:lineRule="auto"/>
              <w:ind w:firstLine="560" w:firstLineChars="200"/>
              <w:rPr>
                <w:rFonts w:hint="eastAsia" w:ascii="宋体" w:hAnsi="宋体"/>
                <w:color w:val="auto"/>
                <w:spacing w:val="20"/>
                <w:sz w:val="24"/>
                <w:highlight w:val="none"/>
                <w:lang w:val="en-US" w:eastAsia="zh-CN"/>
              </w:rPr>
            </w:pPr>
            <w:r>
              <w:rPr>
                <w:rFonts w:hint="eastAsia" w:ascii="宋体" w:hAnsi="宋体"/>
                <w:color w:val="auto"/>
                <w:spacing w:val="20"/>
                <w:sz w:val="24"/>
                <w:highlight w:val="none"/>
                <w:lang w:val="en-US" w:eastAsia="zh-CN"/>
              </w:rPr>
              <w:t>服务地点：庆元县。</w:t>
            </w:r>
          </w:p>
          <w:p>
            <w:pPr>
              <w:spacing w:line="360" w:lineRule="auto"/>
              <w:rPr>
                <w:rFonts w:hint="eastAsia" w:ascii="宋体" w:hAnsi="宋体"/>
                <w:color w:val="auto"/>
                <w:spacing w:val="20"/>
                <w:sz w:val="24"/>
                <w:highlight w:val="none"/>
                <w:lang w:val="en-US" w:eastAsia="zh-CN"/>
              </w:rPr>
            </w:pPr>
            <w:r>
              <w:rPr>
                <w:rFonts w:hint="eastAsia" w:ascii="宋体" w:hAnsi="宋体"/>
                <w:color w:val="auto"/>
                <w:spacing w:val="20"/>
                <w:sz w:val="24"/>
                <w:highlight w:val="none"/>
                <w:lang w:val="en-US" w:eastAsia="zh-CN"/>
              </w:rPr>
              <w:t>2、付款方式</w:t>
            </w:r>
          </w:p>
          <w:p>
            <w:pPr>
              <w:spacing w:line="360" w:lineRule="auto"/>
              <w:ind w:firstLine="560" w:firstLineChars="200"/>
              <w:rPr>
                <w:rFonts w:hint="eastAsia" w:ascii="宋体" w:hAnsi="宋体"/>
                <w:color w:val="auto"/>
                <w:spacing w:val="20"/>
                <w:sz w:val="24"/>
                <w:highlight w:val="none"/>
                <w:lang w:eastAsia="zh-CN"/>
              </w:rPr>
            </w:pPr>
            <w:r>
              <w:rPr>
                <w:rFonts w:hint="eastAsia" w:ascii="宋体" w:hAnsi="宋体"/>
                <w:color w:val="auto"/>
                <w:spacing w:val="20"/>
                <w:sz w:val="24"/>
                <w:highlight w:val="none"/>
                <w:lang w:val="en-US" w:eastAsia="zh-CN"/>
              </w:rPr>
              <w:t>合同签订且具备实施条件并收到供应商提供的正式发票后7个工作日内支付合同金额的50%作为预付款；项目完成全部服务内容经采购人验收合格并收到供应商提供的正式发票后7个工作日内支付剩余合同款项。</w:t>
            </w:r>
          </w:p>
          <w:p>
            <w:pPr>
              <w:spacing w:line="360" w:lineRule="auto"/>
              <w:rPr>
                <w:rFonts w:hint="eastAsia" w:ascii="宋体" w:hAnsi="宋体"/>
                <w:color w:val="auto"/>
                <w:spacing w:val="20"/>
                <w:sz w:val="24"/>
                <w:highlight w:val="none"/>
                <w:lang w:eastAsia="zh-CN"/>
              </w:rPr>
            </w:pPr>
            <w:r>
              <w:rPr>
                <w:rFonts w:hint="eastAsia" w:ascii="宋体" w:hAnsi="宋体"/>
                <w:color w:val="auto"/>
                <w:spacing w:val="20"/>
                <w:sz w:val="24"/>
                <w:highlight w:val="none"/>
                <w:lang w:val="en-US" w:eastAsia="zh-CN"/>
              </w:rPr>
              <w:t>3、</w:t>
            </w:r>
            <w:r>
              <w:rPr>
                <w:rFonts w:hint="eastAsia" w:ascii="宋体" w:hAnsi="宋体"/>
                <w:color w:val="auto"/>
                <w:spacing w:val="20"/>
                <w:sz w:val="24"/>
                <w:highlight w:val="none"/>
                <w:lang w:eastAsia="zh-CN"/>
              </w:rPr>
              <w:t>验收要求</w:t>
            </w:r>
          </w:p>
          <w:p>
            <w:pPr>
              <w:spacing w:line="360" w:lineRule="auto"/>
              <w:ind w:firstLine="560" w:firstLineChars="200"/>
              <w:rPr>
                <w:rFonts w:hint="eastAsia" w:ascii="宋体" w:hAnsi="宋体"/>
                <w:color w:val="auto"/>
                <w:spacing w:val="20"/>
                <w:sz w:val="24"/>
                <w:highlight w:val="none"/>
              </w:rPr>
            </w:pPr>
            <w:r>
              <w:rPr>
                <w:rFonts w:hint="eastAsia" w:ascii="宋体" w:hAnsi="宋体"/>
                <w:color w:val="auto"/>
                <w:spacing w:val="20"/>
                <w:sz w:val="24"/>
                <w:highlight w:val="none"/>
              </w:rPr>
              <w:t>采购人应当按照政府采购合同规定的技术、服务、安全标准组织对供应商履约情况进行验收，并出具验收书。验收书应当包括每一项技术、服务、安全标准的履约情况。</w:t>
            </w:r>
          </w:p>
          <w:p>
            <w:pPr>
              <w:numPr>
                <w:ilvl w:val="0"/>
                <w:numId w:val="1"/>
              </w:numPr>
              <w:spacing w:line="360" w:lineRule="auto"/>
              <w:rPr>
                <w:rFonts w:hint="eastAsia" w:ascii="宋体" w:hAnsi="宋体"/>
                <w:color w:val="auto"/>
                <w:spacing w:val="20"/>
                <w:sz w:val="24"/>
                <w:highlight w:val="none"/>
              </w:rPr>
            </w:pPr>
            <w:r>
              <w:rPr>
                <w:rFonts w:hint="eastAsia" w:ascii="宋体" w:hAnsi="宋体"/>
                <w:color w:val="auto"/>
                <w:spacing w:val="20"/>
                <w:sz w:val="24"/>
                <w:highlight w:val="none"/>
              </w:rPr>
              <w:t>服务技术需求</w:t>
            </w:r>
            <w:bookmarkStart w:id="1" w:name="_GoBack"/>
            <w:bookmarkEnd w:id="1"/>
          </w:p>
          <w:p>
            <w:pPr>
              <w:numPr>
                <w:numId w:val="0"/>
              </w:numPr>
              <w:spacing w:line="360" w:lineRule="auto"/>
              <w:ind w:firstLine="560" w:firstLineChars="200"/>
              <w:rPr>
                <w:rFonts w:hint="eastAsia" w:ascii="宋体" w:hAnsi="宋体"/>
                <w:color w:val="auto"/>
                <w:spacing w:val="20"/>
                <w:sz w:val="24"/>
                <w:highlight w:val="none"/>
              </w:rPr>
            </w:pPr>
            <w:r>
              <w:rPr>
                <w:rFonts w:hint="eastAsia" w:ascii="宋体" w:hAnsi="宋体"/>
                <w:color w:val="auto"/>
                <w:spacing w:val="20"/>
                <w:sz w:val="24"/>
                <w:highlight w:val="none"/>
              </w:rPr>
              <w:t>项目绩效考核要求</w:t>
            </w:r>
            <w:r>
              <w:rPr>
                <w:rFonts w:hint="eastAsia" w:ascii="宋体" w:hAnsi="宋体"/>
                <w:color w:val="auto"/>
                <w:spacing w:val="20"/>
                <w:sz w:val="24"/>
                <w:highlight w:val="none"/>
                <w:lang w:eastAsia="zh-CN"/>
              </w:rPr>
              <w:t>、</w:t>
            </w:r>
            <w:r>
              <w:rPr>
                <w:rFonts w:hint="eastAsia" w:ascii="宋体" w:hAnsi="宋体"/>
                <w:color w:val="auto"/>
                <w:spacing w:val="20"/>
                <w:sz w:val="24"/>
                <w:highlight w:val="none"/>
              </w:rPr>
              <w:t>项目知识产权要求</w:t>
            </w:r>
            <w:r>
              <w:rPr>
                <w:rFonts w:hint="eastAsia" w:ascii="宋体" w:hAnsi="宋体"/>
                <w:color w:val="auto"/>
                <w:spacing w:val="20"/>
                <w:sz w:val="24"/>
                <w:highlight w:val="none"/>
                <w:lang w:eastAsia="zh-CN"/>
              </w:rPr>
              <w:t>、</w:t>
            </w:r>
            <w:r>
              <w:rPr>
                <w:rFonts w:hint="eastAsia" w:ascii="宋体" w:hAnsi="宋体"/>
                <w:color w:val="auto"/>
                <w:spacing w:val="20"/>
                <w:sz w:val="24"/>
                <w:highlight w:val="none"/>
              </w:rPr>
              <w:t>人员驻场工作要求</w:t>
            </w:r>
            <w:r>
              <w:rPr>
                <w:rFonts w:hint="eastAsia" w:ascii="宋体" w:hAnsi="宋体"/>
                <w:color w:val="auto"/>
                <w:spacing w:val="20"/>
                <w:sz w:val="24"/>
                <w:highlight w:val="none"/>
                <w:lang w:eastAsia="zh-CN"/>
              </w:rPr>
              <w:t>、</w:t>
            </w:r>
            <w:r>
              <w:rPr>
                <w:rFonts w:hint="eastAsia" w:ascii="宋体" w:hAnsi="宋体"/>
                <w:color w:val="auto"/>
                <w:spacing w:val="20"/>
                <w:sz w:val="24"/>
                <w:highlight w:val="none"/>
              </w:rPr>
              <w:t>培训要求</w:t>
            </w:r>
            <w:r>
              <w:rPr>
                <w:rFonts w:hint="eastAsia" w:ascii="宋体" w:hAnsi="宋体"/>
                <w:color w:val="auto"/>
                <w:spacing w:val="20"/>
                <w:sz w:val="24"/>
                <w:highlight w:val="none"/>
                <w:lang w:eastAsia="zh-CN"/>
              </w:rPr>
              <w:t>等均按招标文件要求</w:t>
            </w:r>
            <w:r>
              <w:rPr>
                <w:rFonts w:hint="eastAsia" w:ascii="宋体" w:hAnsi="宋体"/>
                <w:color w:val="auto"/>
                <w:spacing w:val="20"/>
                <w:sz w:val="24"/>
                <w:highlight w:val="none"/>
              </w:rPr>
              <w:t>。</w:t>
            </w:r>
          </w:p>
          <w:p>
            <w:pPr>
              <w:spacing w:line="360" w:lineRule="auto"/>
              <w:rPr>
                <w:rFonts w:hint="eastAsia" w:ascii="宋体" w:hAnsi="宋体"/>
                <w:color w:val="auto"/>
                <w:spacing w:val="20"/>
                <w:sz w:val="24"/>
                <w:highlight w:val="none"/>
              </w:rPr>
            </w:pPr>
            <w:r>
              <w:rPr>
                <w:rFonts w:hint="eastAsia" w:ascii="宋体" w:hAnsi="宋体"/>
                <w:color w:val="auto"/>
                <w:spacing w:val="20"/>
                <w:sz w:val="24"/>
                <w:highlight w:val="none"/>
                <w:lang w:val="en-US" w:eastAsia="zh-CN"/>
              </w:rPr>
              <w:t>5</w:t>
            </w:r>
            <w:r>
              <w:rPr>
                <w:rFonts w:hint="eastAsia" w:ascii="宋体" w:hAnsi="宋体"/>
                <w:color w:val="auto"/>
                <w:spacing w:val="20"/>
                <w:sz w:val="24"/>
                <w:highlight w:val="none"/>
              </w:rPr>
              <w:t>.其他</w:t>
            </w:r>
          </w:p>
          <w:p>
            <w:pPr>
              <w:spacing w:line="360" w:lineRule="auto"/>
              <w:ind w:firstLine="560" w:firstLineChars="200"/>
              <w:rPr>
                <w:rFonts w:ascii="宋体" w:hAnsi="宋体"/>
                <w:color w:val="auto"/>
                <w:spacing w:val="20"/>
                <w:sz w:val="24"/>
                <w:highlight w:val="none"/>
              </w:rPr>
            </w:pPr>
            <w:r>
              <w:rPr>
                <w:rFonts w:hint="eastAsia" w:ascii="宋体" w:hAnsi="宋体"/>
                <w:color w:val="auto"/>
                <w:spacing w:val="20"/>
                <w:sz w:val="24"/>
                <w:highlight w:val="none"/>
              </w:rPr>
              <w:t>为保证服务安全性，提供数据安全服务的平台需通过等保二级测评；等保测评及一年云资源费用由成交供应商承担。</w:t>
            </w:r>
          </w:p>
        </w:tc>
      </w:tr>
    </w:tbl>
    <w:p>
      <w:pPr>
        <w:spacing w:line="276" w:lineRule="auto"/>
        <w:rPr>
          <w:rFonts w:hint="eastAsia" w:ascii="宋体" w:hAnsi="宋体"/>
          <w:color w:val="auto"/>
          <w:spacing w:val="20"/>
          <w:szCs w:val="21"/>
          <w:highlight w:val="none"/>
        </w:rPr>
      </w:pPr>
      <w:r>
        <w:rPr>
          <w:rFonts w:hint="eastAsia" w:ascii="宋体" w:hAnsi="宋体"/>
          <w:color w:val="auto"/>
          <w:spacing w:val="20"/>
          <w:szCs w:val="21"/>
          <w:highlight w:val="none"/>
        </w:rPr>
        <w:t>注：1、供应商应根据其响应情况填写该表，并保证其与响应文件内容的一致性、正确性和真实性；</w:t>
      </w:r>
    </w:p>
    <w:p>
      <w:pPr>
        <w:spacing w:line="276" w:lineRule="auto"/>
        <w:ind w:firstLine="490" w:firstLineChars="196"/>
        <w:rPr>
          <w:rFonts w:hint="eastAsia" w:ascii="宋体" w:hAnsi="宋体"/>
          <w:color w:val="auto"/>
          <w:spacing w:val="20"/>
          <w:szCs w:val="21"/>
          <w:highlight w:val="none"/>
        </w:rPr>
      </w:pPr>
      <w:r>
        <w:rPr>
          <w:rFonts w:hint="eastAsia" w:ascii="宋体" w:hAnsi="宋体"/>
          <w:color w:val="auto"/>
          <w:spacing w:val="20"/>
          <w:szCs w:val="21"/>
          <w:highlight w:val="none"/>
        </w:rPr>
        <w:t>2、填写该表不代表供应商已具有成交人资格。本表只作为成交结果公告内容的一部分，进行公告使用；</w:t>
      </w:r>
    </w:p>
    <w:p>
      <w:pPr>
        <w:spacing w:line="276" w:lineRule="auto"/>
        <w:ind w:firstLine="490" w:firstLineChars="196"/>
        <w:rPr>
          <w:rFonts w:hint="eastAsia" w:ascii="宋体" w:hAnsi="宋体"/>
          <w:color w:val="auto"/>
          <w:spacing w:val="20"/>
          <w:szCs w:val="21"/>
          <w:highlight w:val="none"/>
        </w:rPr>
      </w:pPr>
      <w:r>
        <w:rPr>
          <w:rFonts w:hint="eastAsia" w:ascii="宋体" w:hAnsi="宋体"/>
          <w:color w:val="auto"/>
          <w:spacing w:val="20"/>
          <w:szCs w:val="21"/>
          <w:highlight w:val="none"/>
        </w:rPr>
        <w:t>3、本表内容涉及较多，供应商可以适当增减表格行数，以保证表格内容的完整；</w:t>
      </w:r>
    </w:p>
    <w:p>
      <w:pPr>
        <w:spacing w:line="276" w:lineRule="auto"/>
        <w:ind w:firstLine="490" w:firstLineChars="196"/>
        <w:rPr>
          <w:rFonts w:hint="eastAsia" w:ascii="宋体" w:hAnsi="宋体"/>
          <w:color w:val="auto"/>
          <w:spacing w:val="20"/>
          <w:szCs w:val="21"/>
          <w:highlight w:val="none"/>
        </w:rPr>
      </w:pPr>
      <w:r>
        <w:rPr>
          <w:rFonts w:hint="eastAsia" w:ascii="宋体" w:hAnsi="宋体"/>
          <w:color w:val="auto"/>
          <w:spacing w:val="20"/>
          <w:szCs w:val="21"/>
          <w:highlight w:val="none"/>
        </w:rPr>
        <w:t>4、评审结果排名第一的供应商在评审结束后</w:t>
      </w:r>
      <w:r>
        <w:rPr>
          <w:rFonts w:hint="eastAsia" w:ascii="宋体" w:hAnsi="宋体"/>
          <w:b/>
          <w:color w:val="auto"/>
          <w:spacing w:val="20"/>
          <w:szCs w:val="21"/>
          <w:highlight w:val="none"/>
        </w:rPr>
        <w:t>2个工作日内</w:t>
      </w:r>
      <w:r>
        <w:rPr>
          <w:rFonts w:hint="eastAsia" w:ascii="宋体" w:hAnsi="宋体"/>
          <w:color w:val="auto"/>
          <w:spacing w:val="20"/>
          <w:szCs w:val="21"/>
          <w:highlight w:val="none"/>
        </w:rPr>
        <w:t>将该表格及项目响应文件电子文档刻录成光盘或将电子文档提交给代理机构的项目负责人。未按时提交规定内容造成后果由供应商自行承担。</w:t>
      </w:r>
    </w:p>
    <w:p>
      <w:pPr>
        <w:spacing w:line="276" w:lineRule="auto"/>
        <w:ind w:firstLine="490" w:firstLineChars="196"/>
        <w:rPr>
          <w:rFonts w:hint="eastAsia" w:ascii="宋体" w:hAnsi="宋体"/>
          <w:color w:val="auto"/>
          <w:spacing w:val="20"/>
          <w:szCs w:val="21"/>
          <w:highlight w:val="none"/>
        </w:rPr>
      </w:pPr>
      <w:r>
        <w:rPr>
          <w:rFonts w:hint="eastAsia" w:ascii="宋体" w:hAnsi="宋体"/>
          <w:color w:val="auto"/>
          <w:spacing w:val="20"/>
          <w:szCs w:val="21"/>
          <w:highlight w:val="none"/>
        </w:rPr>
        <w:t>5、成交结果公告内容如涉及供应商的商业秘密等法律法规规定可以不予公告的情形，供应商应另附书面说明，如未事前书面说明造成的后果由供应商自行承担。</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MathJax_Vector"/>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MathJax_Vector"/>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altName w:val="方正仿宋_GBK"/>
    <w:panose1 w:val="02010609030101010101"/>
    <w:charset w:val="00"/>
    <w:family w:val="modern"/>
    <w:pitch w:val="default"/>
    <w:sig w:usb0="00000000" w:usb1="00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MathJax_Vector">
    <w:panose1 w:val="02000603000000000000"/>
    <w:charset w:val="00"/>
    <w:family w:val="auto"/>
    <w:pitch w:val="default"/>
    <w:sig w:usb0="00000001" w:usb1="00000020" w:usb2="00000000" w:usb3="00000000" w:csb0="00000001" w:csb1="00000000"/>
  </w:font>
  <w:font w:name="方正黑体_GBK">
    <w:panose1 w:val="02000000000000000000"/>
    <w:charset w:val="86"/>
    <w:family w:val="auto"/>
    <w:pitch w:val="default"/>
    <w:sig w:usb0="00000001" w:usb1="08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FE903C"/>
    <w:multiLevelType w:val="singleLevel"/>
    <w:tmpl w:val="B9FE903C"/>
    <w:lvl w:ilvl="0" w:tentative="0">
      <w:start w:val="4"/>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7FE1BCB"/>
    <w:rsid w:val="47FE1B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3"/>
    <w:basedOn w:val="1"/>
    <w:next w:val="1"/>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after="120"/>
    </w:pPr>
  </w:style>
  <w:style w:type="paragraph" w:styleId="4">
    <w:name w:val="Title"/>
    <w:basedOn w:val="1"/>
    <w:next w:val="1"/>
    <w:qFormat/>
    <w:uiPriority w:val="0"/>
    <w:pPr>
      <w:widowControl/>
      <w:overflowPunct w:val="0"/>
      <w:autoSpaceDE w:val="0"/>
      <w:autoSpaceDN w:val="0"/>
      <w:adjustRightInd w:val="0"/>
      <w:spacing w:line="420" w:lineRule="exact"/>
      <w:jc w:val="center"/>
      <w:textAlignment w:val="baseline"/>
    </w:pPr>
    <w:rPr>
      <w:rFonts w:eastAsia="黑体"/>
      <w:b/>
      <w:kern w:val="0"/>
      <w:sz w:val="28"/>
      <w:szCs w:val="20"/>
      <w:lang w:val="en-G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2025-04-01T15:58:00Z</dcterms:created>
  <dc:creator>huawei</dc:creator>
  <cp:lastModifiedBy>huawei</cp:lastModifiedBy>
  <dcterms:modified xsi:type="dcterms:W3CDTF">2025-04-01T16:14:44Z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2052-11.8.2.12019</vt:lpwstr>
  </property>
  <property fmtid="{D5CDD505-2E9C-101B-9397-08002B2CF9AE}" pid="3" name="ICV">
    <vt:lpwstr>5E98CA3C4CF5E36EB09CEB6775D51AE4</vt:lpwstr>
  </property>
</Properties>
</file>