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176D">
      <w:pPr>
        <w:pStyle w:val="5"/>
        <w:numPr>
          <w:ilvl w:val="0"/>
          <w:numId w:val="0"/>
        </w:numPr>
        <w:spacing w:before="624" w:beforeLines="200" w:after="312" w:afterLines="100"/>
        <w:ind w:right="0" w:rightChars="0"/>
        <w:rPr>
          <w:rFonts w:hint="eastAsia" w:ascii="黑体" w:hAnsi="黑体" w:cs="黑体"/>
        </w:rPr>
      </w:pPr>
      <w:bookmarkStart w:id="0" w:name="_Toc10890"/>
      <w:r>
        <w:rPr>
          <w:rFonts w:hint="eastAsia" w:ascii="黑体" w:hAnsi="黑体" w:cs="黑体"/>
          <w:lang w:val="en-US"/>
        </w:rPr>
        <w:t>运行维护</w:t>
      </w:r>
      <w:bookmarkEnd w:id="0"/>
      <w:r>
        <w:rPr>
          <w:rFonts w:hint="eastAsia" w:ascii="黑体" w:hAnsi="黑体" w:cs="黑体"/>
          <w:lang w:val="en-US"/>
        </w:rPr>
        <w:t>考核指标</w:t>
      </w:r>
    </w:p>
    <w:p w14:paraId="1E785936">
      <w:pPr>
        <w:pStyle w:val="6"/>
        <w:numPr>
          <w:ilvl w:val="0"/>
          <w:numId w:val="0"/>
        </w:numPr>
        <w:tabs>
          <w:tab w:val="left" w:pos="1560"/>
        </w:tabs>
      </w:pPr>
      <w:bookmarkStart w:id="1" w:name="_Toc1668"/>
      <w:bookmarkStart w:id="2" w:name="_Toc414365385"/>
      <w:bookmarkStart w:id="3" w:name="_Toc22456581"/>
      <w:bookmarkStart w:id="4" w:name="_Toc14223"/>
      <w:bookmarkStart w:id="5" w:name="_Toc1525"/>
      <w:bookmarkStart w:id="6" w:name="_Toc17022"/>
      <w:bookmarkStart w:id="7" w:name="_Toc9107"/>
      <w:bookmarkStart w:id="8" w:name="_Toc20097"/>
      <w:bookmarkStart w:id="9" w:name="_Toc29683"/>
      <w:bookmarkStart w:id="10" w:name="_Toc6177"/>
      <w:bookmarkStart w:id="11" w:name="_Toc32180"/>
      <w:bookmarkStart w:id="12" w:name="_Toc1037"/>
      <w:bookmarkStart w:id="13" w:name="_Toc27852"/>
      <w:bookmarkStart w:id="14" w:name="_Toc22839"/>
      <w:bookmarkStart w:id="15" w:name="_Toc990"/>
      <w:bookmarkStart w:id="16" w:name="_Toc11604"/>
      <w:bookmarkStart w:id="17" w:name="_Toc5614"/>
      <w:bookmarkStart w:id="18" w:name="_Toc7690"/>
      <w:bookmarkStart w:id="19" w:name="_Toc5929"/>
      <w:bookmarkStart w:id="20" w:name="_Toc1274"/>
      <w:bookmarkStart w:id="21" w:name="_Toc12744"/>
      <w:bookmarkStart w:id="22" w:name="_Toc6716"/>
      <w:bookmarkStart w:id="23" w:name="_Toc532289189"/>
      <w:bookmarkStart w:id="24" w:name="_Toc25270"/>
      <w:bookmarkStart w:id="25" w:name="_Toc10764"/>
      <w:bookmarkStart w:id="26" w:name="_Toc6107"/>
      <w:bookmarkStart w:id="27" w:name="_Toc2009"/>
      <w:r>
        <w:rPr>
          <w:rFonts w:hint="eastAsia"/>
        </w:rPr>
        <w:t>一、运维原则</w:t>
      </w:r>
      <w:bookmarkEnd w:id="1"/>
      <w:bookmarkEnd w:id="2"/>
      <w:bookmarkEnd w:id="3"/>
    </w:p>
    <w:p w14:paraId="0A033154">
      <w:pPr>
        <w:ind w:firstLine="562"/>
        <w:rPr>
          <w:rFonts w:hint="eastAsia" w:cs="仿宋"/>
          <w:b/>
          <w:bCs/>
        </w:rPr>
      </w:pPr>
      <w:r>
        <w:rPr>
          <w:rFonts w:hint="eastAsia" w:cs="仿宋"/>
          <w:b/>
          <w:bCs/>
        </w:rPr>
        <w:t>1、统一标准、持续可用</w:t>
      </w:r>
    </w:p>
    <w:p w14:paraId="37882CA5">
      <w:pPr>
        <w:ind w:firstLine="560"/>
        <w:rPr>
          <w:rFonts w:hint="eastAsia" w:cs="仿宋"/>
        </w:rPr>
      </w:pPr>
      <w:r>
        <w:rPr>
          <w:rFonts w:hint="eastAsia" w:cs="仿宋"/>
        </w:rPr>
        <w:t>对项目运维建立科学的运维体制，明确各设备运维服务标准，定期对视频前端设备和视频质量（视频摄像头、卡口）、传输网络（光端机、光纤收发器等）、基础设备（主机/虚拟机、NVR、存储设备、安全设备、数据网络、机房动力、业务应用系统等）进行可用性和健康度等自动检测和巡查，及时发现故障并快速定位故障设备，保持服务对象符合可用性要求。</w:t>
      </w:r>
    </w:p>
    <w:p w14:paraId="7E259A91">
      <w:pPr>
        <w:ind w:firstLine="562"/>
        <w:rPr>
          <w:rFonts w:hint="eastAsia" w:cs="仿宋"/>
          <w:b/>
          <w:bCs/>
        </w:rPr>
      </w:pPr>
      <w:r>
        <w:rPr>
          <w:rFonts w:hint="eastAsia" w:cs="仿宋"/>
          <w:b/>
          <w:bCs/>
        </w:rPr>
        <w:t>2、统筹安排、安全有效</w:t>
      </w:r>
    </w:p>
    <w:p w14:paraId="03A7AAB6">
      <w:pPr>
        <w:ind w:firstLine="560"/>
        <w:rPr>
          <w:rFonts w:hint="eastAsia" w:cs="仿宋"/>
        </w:rPr>
      </w:pPr>
      <w:r>
        <w:rPr>
          <w:rFonts w:hint="eastAsia" w:cs="仿宋"/>
        </w:rPr>
        <w:t>项目运维服务方需要从日常管理、运行维护、故障处理、权限管理、调阅审批、预警跟踪、工作制度等多方面，建立健全管理制度，落实责任人，各环节应采取各种安全手段或措施，有效控制视频监控系统运维服务的各个环节，保护视频监控系统运维服务中的物理安全、网络安全、系统安全、应用安全和数据安全。</w:t>
      </w:r>
    </w:p>
    <w:p w14:paraId="524CA94F">
      <w:pPr>
        <w:ind w:firstLine="562"/>
        <w:rPr>
          <w:rFonts w:hint="eastAsia" w:cs="仿宋"/>
          <w:b/>
          <w:bCs/>
        </w:rPr>
      </w:pPr>
      <w:r>
        <w:rPr>
          <w:rFonts w:hint="eastAsia" w:cs="仿宋"/>
          <w:b/>
          <w:bCs/>
        </w:rPr>
        <w:t>3、制定规范、高效及时</w:t>
      </w:r>
    </w:p>
    <w:p w14:paraId="62082772">
      <w:pPr>
        <w:ind w:firstLine="560"/>
        <w:rPr>
          <w:rFonts w:hint="eastAsia" w:cs="仿宋"/>
        </w:rPr>
      </w:pPr>
      <w:r>
        <w:rPr>
          <w:rFonts w:hint="eastAsia" w:cs="仿宋"/>
        </w:rPr>
        <w:t>运维服务方应建立适当的服务管理流程、服务活动指导文件或实施规则，制定统一的资产管理编码规范、资产配置管理规范、设备运行监控数据采集规范、告警事件处理规范、报障业务规范、运维作业流程管理规范等相关的业务和技术规范，以保证服务过程的规范运作，推动系统的有序发展，确保提供满足时间指标要求的运维服务。</w:t>
      </w:r>
    </w:p>
    <w:p w14:paraId="6DDE21E5">
      <w:pPr>
        <w:pStyle w:val="6"/>
        <w:numPr>
          <w:ilvl w:val="0"/>
          <w:numId w:val="2"/>
        </w:numPr>
      </w:pPr>
      <w:bookmarkStart w:id="28" w:name="_Toc15545"/>
      <w:r>
        <w:rPr>
          <w:rFonts w:hint="eastAsia"/>
        </w:rPr>
        <w:t>运维模式</w:t>
      </w:r>
      <w:bookmarkEnd w:id="28"/>
    </w:p>
    <w:p w14:paraId="7DC73417">
      <w:pPr>
        <w:ind w:firstLine="560"/>
        <w:rPr>
          <w:rFonts w:hint="eastAsia"/>
        </w:rPr>
      </w:pPr>
      <w:r>
        <w:rPr>
          <w:rFonts w:hint="eastAsia" w:cs="仿宋"/>
        </w:rPr>
        <w:t>中标单位负责运维期间的前端设备运维、系统运行维护以及相关设备的更换更新，确保设施、设备的完好率、视频上线率到达预期要求。运维期内中标单位负责包括设备的质保、日常的巡检、故障的修复、设备的更新更换、重大活动的保障等。运维服务费用包括分局全年的公共视频监控设备和系统的运维、巡检、保养、维修、更新等一切费用。</w:t>
      </w:r>
      <w:r>
        <w:rPr>
          <w:rFonts w:hint="eastAsia"/>
        </w:rPr>
        <w:t>运维费用按年报价、按考核周期进行支付。</w:t>
      </w:r>
    </w:p>
    <w:p w14:paraId="5E2657C1">
      <w:pPr>
        <w:pStyle w:val="6"/>
        <w:numPr>
          <w:ilvl w:val="0"/>
          <w:numId w:val="2"/>
        </w:numPr>
      </w:pPr>
      <w:bookmarkStart w:id="29" w:name="_Toc5984"/>
      <w:r>
        <w:rPr>
          <w:rFonts w:hint="eastAsia"/>
        </w:rPr>
        <w:t>总体要求</w:t>
      </w:r>
      <w:bookmarkEnd w:id="29"/>
    </w:p>
    <w:p w14:paraId="00017BA2">
      <w:pPr>
        <w:ind w:firstLine="560"/>
        <w:rPr>
          <w:rFonts w:hint="eastAsia" w:cs="仿宋"/>
        </w:rPr>
      </w:pPr>
      <w:r>
        <w:rPr>
          <w:rFonts w:hint="eastAsia" w:cs="仿宋"/>
        </w:rPr>
        <w:t>项目的日常运维范围包括所有前端点位的设备、网络传输、取电和辅助设施，后端设备和软件的可靠、稳定运行。中标单位在运维期内需提供如下运维服务：</w:t>
      </w:r>
    </w:p>
    <w:p w14:paraId="53F09446">
      <w:pPr>
        <w:ind w:firstLine="560"/>
        <w:rPr>
          <w:rFonts w:hint="eastAsia" w:cs="仿宋"/>
        </w:rPr>
      </w:pPr>
      <w:r>
        <w:rPr>
          <w:rFonts w:hint="eastAsia" w:cs="仿宋"/>
        </w:rPr>
        <w:t>1）必须保证在运维期间除不可抗拒因素外每天/每月/每年前端设备完好率在98%以上（包括因人为因素造成的前端监控设备故障），视频专网完好率月均达到100%，软件平台完好率月均需达到99%以上，必须安排专用车辆和人员作为日常运维力量。</w:t>
      </w:r>
    </w:p>
    <w:p w14:paraId="4F751187">
      <w:pPr>
        <w:ind w:firstLine="560"/>
        <w:rPr>
          <w:rFonts w:hint="eastAsia" w:cs="仿宋"/>
        </w:rPr>
      </w:pPr>
      <w:r>
        <w:rPr>
          <w:rFonts w:hint="eastAsia" w:cs="仿宋"/>
        </w:rPr>
        <w:t>2）设备维修和故障件替换服务，确保系统处于正常工作状态。运维服务方应提供快速技术服务，接到报修电话后，服务响应时间为20分钟，在4小时内解决问题，重大故障应在8小时内解决。若故障无法在12小时内解决的，中标单位应提供备品备件进行临时更换，待维修设备维修完成后更换，以保证系统正常运行。</w:t>
      </w:r>
    </w:p>
    <w:p w14:paraId="61B5E956">
      <w:pPr>
        <w:ind w:firstLine="560"/>
        <w:rPr>
          <w:rFonts w:hint="eastAsia" w:cs="仿宋"/>
        </w:rPr>
      </w:pPr>
      <w:r>
        <w:rPr>
          <w:rFonts w:hint="eastAsia" w:cs="仿宋"/>
        </w:rPr>
        <w:t>3）每周7×24小时技术支持，需落实具体的技术服务人员，负责日常视频监控平台专用软件的升级和运维。</w:t>
      </w:r>
    </w:p>
    <w:p w14:paraId="1AC5775D">
      <w:pPr>
        <w:ind w:firstLine="560"/>
        <w:rPr>
          <w:rFonts w:hint="eastAsia" w:cs="仿宋"/>
        </w:rPr>
      </w:pPr>
      <w:r>
        <w:rPr>
          <w:rFonts w:hint="eastAsia" w:cs="仿宋"/>
        </w:rPr>
        <w:t>4）配合业主单位的重大活动的技术保障工作。</w:t>
      </w:r>
    </w:p>
    <w:p w14:paraId="2BC9E59C">
      <w:pPr>
        <w:pStyle w:val="6"/>
        <w:numPr>
          <w:ilvl w:val="0"/>
          <w:numId w:val="0"/>
        </w:numPr>
        <w:ind w:left="880"/>
      </w:pPr>
      <w:bookmarkStart w:id="30" w:name="_Toc52377812"/>
      <w:bookmarkStart w:id="31" w:name="_Toc24845"/>
      <w:r>
        <w:rPr>
          <w:rFonts w:hint="eastAsia"/>
        </w:rPr>
        <w:t>四、运维效能</w:t>
      </w:r>
      <w:bookmarkEnd w:id="30"/>
      <w:r>
        <w:rPr>
          <w:rFonts w:hint="eastAsia"/>
        </w:rPr>
        <w:t>要求</w:t>
      </w:r>
      <w:bookmarkEnd w:id="31"/>
    </w:p>
    <w:p w14:paraId="7B7A588D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1、前端设备和供电线路完好率≥98%；</w:t>
      </w:r>
    </w:p>
    <w:p w14:paraId="1FA412FC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2、前端点位平台上线率≥98%；</w:t>
      </w:r>
    </w:p>
    <w:p w14:paraId="74790777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3、中心设备及系统平台完好率99%；</w:t>
      </w:r>
    </w:p>
    <w:p w14:paraId="622049BA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4、数据存储完整率≥99%，未按要求保存视频数据、图片数据的，按规定予以扣款。</w:t>
      </w:r>
    </w:p>
    <w:p w14:paraId="0BB95B2F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5、业主单位每月随机对运维服务方的设备抓拍率、图片质量抽查，要求设备抓拍率需大于等于90%，图片点位信息与一机一档中信息一致且字符叠加规范。</w:t>
      </w:r>
    </w:p>
    <w:p w14:paraId="60EBE227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6、重大故障发生次数:0次/年。</w:t>
      </w:r>
    </w:p>
    <w:p w14:paraId="544FE854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7、常规故障处理时限≤2小时，疑难故障处理时限≤8小时；最长不得超过24小时，因自然灾害等特殊原因的故障除外。</w:t>
      </w:r>
    </w:p>
    <w:p w14:paraId="1890C984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8、服务电话接通率100% (提供7x24小时热线电话，随时响应)。</w:t>
      </w:r>
    </w:p>
    <w:p w14:paraId="058F8F1E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9、因维修工作不到位，受到各部门投诉的，核实后按规定扣款。</w:t>
      </w:r>
    </w:p>
    <w:p w14:paraId="6F723448">
      <w:pPr>
        <w:pStyle w:val="3"/>
        <w:ind w:firstLine="56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10、凡每月设备及系统运维考核完好率未达到规定的，按规定扣款。</w:t>
      </w:r>
    </w:p>
    <w:p w14:paraId="0B4CABD1">
      <w:pPr>
        <w:pStyle w:val="3"/>
        <w:numPr>
          <w:ilvl w:val="0"/>
          <w:numId w:val="3"/>
        </w:numPr>
        <w:ind w:firstLineChars="0"/>
        <w:rPr>
          <w:rFonts w:hint="eastAsia"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>应急响应，运维服务方需7x24小时专人待命。</w:t>
      </w:r>
    </w:p>
    <w:p w14:paraId="17681592">
      <w:pPr>
        <w:pStyle w:val="6"/>
        <w:numPr>
          <w:ilvl w:val="0"/>
          <w:numId w:val="0"/>
        </w:numPr>
        <w:ind w:left="880"/>
      </w:pPr>
      <w:bookmarkStart w:id="32" w:name="_Toc16489"/>
      <w:r>
        <w:rPr>
          <w:rFonts w:hint="eastAsia"/>
        </w:rPr>
        <w:t>五、运维考核指标</w:t>
      </w:r>
      <w:bookmarkEnd w:id="32"/>
    </w:p>
    <w:p w14:paraId="0F102EB3">
      <w:pPr>
        <w:ind w:left="560" w:firstLine="560"/>
        <w:rPr>
          <w:rFonts w:hint="eastAsia"/>
        </w:rPr>
      </w:pPr>
      <w:r>
        <w:rPr>
          <w:rFonts w:hint="eastAsia"/>
        </w:rPr>
        <w:t>通过设置科学合理的考核指标体系，使运维工作过程中的约束管理措施有效，考核督查结果有力。</w:t>
      </w:r>
    </w:p>
    <w:p w14:paraId="7ADC4664">
      <w:pPr>
        <w:ind w:firstLine="562"/>
        <w:rPr>
          <w:rFonts w:hint="eastAsia" w:cs="仿宋"/>
          <w:b/>
          <w:bCs/>
        </w:rPr>
      </w:pPr>
      <w:bookmarkStart w:id="33" w:name="_Toc22711"/>
      <w:r>
        <w:rPr>
          <w:rFonts w:hint="eastAsia" w:cs="仿宋"/>
          <w:b/>
          <w:bCs/>
        </w:rPr>
        <w:t>1、考核说明</w:t>
      </w:r>
      <w:bookmarkEnd w:id="33"/>
    </w:p>
    <w:p w14:paraId="6F856176">
      <w:pPr>
        <w:ind w:firstLine="560"/>
        <w:rPr>
          <w:rFonts w:hint="eastAsia"/>
        </w:rPr>
      </w:pPr>
      <w:r>
        <w:rPr>
          <w:rFonts w:hint="eastAsia"/>
        </w:rPr>
        <w:t>1、项目运维服务费按月</w:t>
      </w:r>
      <w:r>
        <w:rPr>
          <w:rFonts w:hint="eastAsia"/>
          <w:lang w:val="en-US" w:eastAsia="zh-CN"/>
        </w:rPr>
        <w:t>考核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若</w:t>
      </w:r>
      <w:r>
        <w:rPr>
          <w:rFonts w:hint="eastAsia"/>
        </w:rPr>
        <w:t>当月设备和系统正常率考核指标</w:t>
      </w:r>
      <w:r>
        <w:rPr>
          <w:rFonts w:hint="eastAsia"/>
          <w:lang w:val="en-US" w:eastAsia="zh-CN"/>
        </w:rPr>
        <w:t>达标</w:t>
      </w:r>
      <w:r>
        <w:rPr>
          <w:rFonts w:hint="eastAsia"/>
        </w:rPr>
        <w:t>时，月服务费=投标报价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运维服务部分</w:t>
      </w:r>
      <w:r>
        <w:rPr>
          <w:rFonts w:hint="eastAsia"/>
          <w:lang w:eastAsia="zh-CN"/>
        </w:rPr>
        <w:t>）</w:t>
      </w:r>
      <w:r>
        <w:rPr>
          <w:rFonts w:hint="eastAsia"/>
        </w:rPr>
        <w:t>÷</w:t>
      </w:r>
      <w:r>
        <w:rPr>
          <w:rFonts w:hint="eastAsia"/>
          <w:lang w:val="en-US" w:eastAsia="zh-CN"/>
        </w:rPr>
        <w:t>8；若</w:t>
      </w:r>
      <w:r>
        <w:rPr>
          <w:rFonts w:hint="eastAsia"/>
        </w:rPr>
        <w:t>当月设备和系统正常率考核指标</w:t>
      </w:r>
      <w:r>
        <w:rPr>
          <w:rFonts w:hint="eastAsia"/>
          <w:lang w:val="en-US" w:eastAsia="zh-CN"/>
        </w:rPr>
        <w:t>考核</w:t>
      </w:r>
      <w:r>
        <w:rPr>
          <w:rFonts w:hint="eastAsia"/>
        </w:rPr>
        <w:t>不达标</w:t>
      </w:r>
      <w:r>
        <w:rPr>
          <w:rFonts w:hint="eastAsia"/>
          <w:lang w:val="en-US" w:eastAsia="zh-CN"/>
        </w:rPr>
        <w:t>时</w:t>
      </w:r>
      <w:bookmarkStart w:id="37" w:name="_GoBack"/>
      <w:bookmarkEnd w:id="37"/>
      <w:r>
        <w:rPr>
          <w:rFonts w:hint="eastAsia"/>
        </w:rPr>
        <w:t>，根据方案中“技术指标”、“过程指标”、“资源指标”、“人员指标”中相关的不合理处理方式进行扣款或者中止运维服务。</w:t>
      </w:r>
    </w:p>
    <w:p w14:paraId="6AF8E4E0">
      <w:pPr>
        <w:ind w:firstLine="560"/>
        <w:rPr>
          <w:rFonts w:hint="eastAsia"/>
        </w:rPr>
      </w:pPr>
      <w:r>
        <w:rPr>
          <w:rFonts w:hint="eastAsia"/>
        </w:rPr>
        <w:t>2、月设备正常率：月设备正常率=正常的设备数÷总设备数×100%，月设备正常率每月计算一次。</w:t>
      </w:r>
    </w:p>
    <w:p w14:paraId="3A985B73">
      <w:pPr>
        <w:ind w:firstLine="560"/>
        <w:rPr>
          <w:rFonts w:hint="eastAsia"/>
        </w:rPr>
      </w:pPr>
      <w:r>
        <w:rPr>
          <w:rFonts w:hint="eastAsia"/>
        </w:rPr>
        <w:t>3、运维服务期期间，如期间因业主单位设备升级改造而更换或报废的，业主单位可以单方面减少运维点位，并同步扣减相关费用。</w:t>
      </w:r>
    </w:p>
    <w:p w14:paraId="01F91E40">
      <w:pPr>
        <w:ind w:firstLine="562"/>
        <w:rPr>
          <w:rFonts w:hint="eastAsia" w:cs="仿宋"/>
          <w:b/>
          <w:bCs/>
        </w:rPr>
      </w:pPr>
      <w:bookmarkStart w:id="34" w:name="_Toc16475"/>
      <w:r>
        <w:rPr>
          <w:rFonts w:hint="eastAsia" w:cs="仿宋"/>
          <w:b/>
          <w:bCs/>
        </w:rPr>
        <w:t>2、技术指标</w:t>
      </w:r>
      <w:bookmarkEnd w:id="34"/>
    </w:p>
    <w:p w14:paraId="1CFBCA3A">
      <w:pPr>
        <w:ind w:firstLine="560"/>
        <w:rPr>
          <w:rFonts w:hint="eastAsia"/>
        </w:rPr>
      </w:pPr>
      <w:r>
        <w:rPr>
          <w:rFonts w:hint="eastAsia"/>
        </w:rPr>
        <w:t>运维服务方负责运维系统的日常运作，在运行维护期间，前端设备月均完好率需达到当年宁波市公安局下达的最低考核指标（参照标准：分局月考核或市公安局月考核使用完好率指标，以最低者为准，依据每月末抽查考核及运维平台日平均完好率</w:t>
      </w:r>
      <w:r>
        <w:t>），月均设备完好率=</w:t>
      </w:r>
      <w:r>
        <w:rPr>
          <w:rFonts w:hint="eastAsia"/>
        </w:rPr>
        <w:t>每月完好</w:t>
      </w:r>
      <w:r>
        <w:t>设备总台数/设备总台数×100％</w:t>
      </w:r>
      <w:r>
        <w:rPr>
          <w:rFonts w:hint="eastAsia"/>
        </w:rPr>
        <w:t>。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19"/>
        <w:gridCol w:w="2104"/>
        <w:gridCol w:w="4234"/>
      </w:tblGrid>
      <w:tr w14:paraId="0CD0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47" w:type="pct"/>
            <w:vAlign w:val="center"/>
          </w:tcPr>
          <w:p w14:paraId="0289D875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833" w:type="pct"/>
            <w:vAlign w:val="center"/>
          </w:tcPr>
          <w:p w14:paraId="7D41BB9E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考核内容</w:t>
            </w:r>
          </w:p>
        </w:tc>
        <w:tc>
          <w:tcPr>
            <w:tcW w:w="1235" w:type="pct"/>
            <w:vAlign w:val="center"/>
          </w:tcPr>
          <w:p w14:paraId="5DC7A8A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考核标准</w:t>
            </w:r>
          </w:p>
        </w:tc>
        <w:tc>
          <w:tcPr>
            <w:tcW w:w="2485" w:type="pct"/>
            <w:vAlign w:val="center"/>
          </w:tcPr>
          <w:p w14:paraId="4F9E73DF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不合格处理方式</w:t>
            </w:r>
          </w:p>
        </w:tc>
      </w:tr>
      <w:tr w14:paraId="6579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vAlign w:val="center"/>
          </w:tcPr>
          <w:p w14:paraId="280F719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14:paraId="73850F48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完好率</w:t>
            </w:r>
          </w:p>
        </w:tc>
        <w:tc>
          <w:tcPr>
            <w:tcW w:w="1235" w:type="pct"/>
            <w:vAlign w:val="center"/>
          </w:tcPr>
          <w:p w14:paraId="52A83929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按宁波市公安局当年考核指标，月均需达到98%以上，包括摄像机、镜头、杆件、防护罩、云台、机箱等的完好。</w:t>
            </w:r>
          </w:p>
        </w:tc>
        <w:tc>
          <w:tcPr>
            <w:tcW w:w="2485" w:type="pct"/>
            <w:vAlign w:val="center"/>
          </w:tcPr>
          <w:p w14:paraId="1AA5CB6A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每下降一个百分点（含不到一个百分点），扣当月运维费5%；每下降两个百分点（超过一个百分点至两个百分点）扣当年运维费10%；以此类推。若一年中出现三次以上（含三次）达不到考核目标，业主单位有权中止与运维服务方合同。</w:t>
            </w:r>
          </w:p>
        </w:tc>
      </w:tr>
      <w:tr w14:paraId="0653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vAlign w:val="center"/>
          </w:tcPr>
          <w:p w14:paraId="7BCF2CEE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14:paraId="55FB9E58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清晰率</w:t>
            </w:r>
          </w:p>
        </w:tc>
        <w:tc>
          <w:tcPr>
            <w:tcW w:w="1235" w:type="pct"/>
            <w:vAlign w:val="center"/>
          </w:tcPr>
          <w:p w14:paraId="30F687C9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月均需达到99%以上。</w:t>
            </w:r>
          </w:p>
        </w:tc>
        <w:tc>
          <w:tcPr>
            <w:tcW w:w="2485" w:type="pct"/>
            <w:vAlign w:val="center"/>
          </w:tcPr>
          <w:p w14:paraId="7CC4007C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每下降一个百分点（含不到一个百分点）扣当月维保费3%。</w:t>
            </w:r>
          </w:p>
        </w:tc>
      </w:tr>
      <w:tr w14:paraId="7BC1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DA3FD2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83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2D08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人员设备</w:t>
            </w:r>
          </w:p>
        </w:tc>
        <w:tc>
          <w:tcPr>
            <w:tcW w:w="12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92A2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7*24小时专车专人待命。</w:t>
            </w:r>
          </w:p>
        </w:tc>
        <w:tc>
          <w:tcPr>
            <w:tcW w:w="248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A8F4BE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发现人员设备未有响应情况，每次500元。</w:t>
            </w:r>
          </w:p>
        </w:tc>
      </w:tr>
      <w:tr w14:paraId="24EC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ED91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C723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人员、设备安全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8666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不可出现人员伤亡，设备损坏。</w:t>
            </w:r>
          </w:p>
        </w:tc>
        <w:tc>
          <w:tcPr>
            <w:tcW w:w="2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4AB41F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修复和赔偿经费由中标单位承担。</w:t>
            </w:r>
          </w:p>
        </w:tc>
      </w:tr>
      <w:tr w14:paraId="58B4434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CBA9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EA36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后台设备完好率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EEF6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月均需达到99%以上。</w:t>
            </w:r>
          </w:p>
        </w:tc>
        <w:tc>
          <w:tcPr>
            <w:tcW w:w="2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28EF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每下降一个百分点（含不到一个百分点），扣当月运维费3%；每下降两个百分点（超过一个百分点至两个百分点）扣当月运维费6%；以此类推。若一年中出现三次以上（含三次）达不到考核目标，业主单位有权中止与运维服务方合同。</w:t>
            </w:r>
          </w:p>
        </w:tc>
      </w:tr>
      <w:tr w14:paraId="3A3E90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98C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89F3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视频专网完好率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FFD3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月均需达到98%以上。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259B">
            <w:pPr>
              <w:pStyle w:val="15"/>
            </w:pPr>
          </w:p>
        </w:tc>
      </w:tr>
      <w:tr w14:paraId="07F66C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000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806F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软件平台完好率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0561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月均需达到99%以上。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906">
            <w:pPr>
              <w:pStyle w:val="15"/>
            </w:pPr>
          </w:p>
        </w:tc>
      </w:tr>
      <w:tr w14:paraId="02EBE8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815D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8D5F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视频数据存储完整率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6561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月均需达到99%以上。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1B58">
            <w:pPr>
              <w:pStyle w:val="15"/>
            </w:pPr>
          </w:p>
        </w:tc>
      </w:tr>
      <w:tr w14:paraId="4225099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33F9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bookmarkStart w:id="35" w:name="_Toc7920"/>
            <w:r>
              <w:rPr>
                <w:rFonts w:hint="eastAsia" w:ascii="仿宋" w:hAnsi="仿宋" w:eastAsia="仿宋" w:cs="仿宋"/>
                <w:bCs/>
                <w:szCs w:val="21"/>
              </w:rPr>
              <w:t>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A3A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活跃率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70D2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月均需达到90%以上。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0DBE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7F9865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B2D7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9DA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及时上传率（时延）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B8D5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月均需达到90%以上。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AC0D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997D1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3C32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15EB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图片合格率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A459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月均需达到99%以上。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CB37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2D9C52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F12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E385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时钟准确率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3F7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月均需达到99%以上。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32B0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6F31ED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B7EF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279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图片地址可用率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7912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月均需达到99%以上。</w:t>
            </w:r>
          </w:p>
        </w:tc>
        <w:tc>
          <w:tcPr>
            <w:tcW w:w="2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6283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35F28A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541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8291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与派出所级联故障次数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E5D2">
            <w:pPr>
              <w:ind w:firstLine="0" w:firstLineChars="0"/>
              <w:rPr>
                <w:rFonts w:hint="eastAsia" w:cs="仿宋"/>
                <w:bCs/>
                <w:sz w:val="21"/>
              </w:rPr>
            </w:pPr>
            <w:r>
              <w:rPr>
                <w:rFonts w:hint="eastAsia" w:cs="仿宋"/>
                <w:bCs/>
                <w:sz w:val="21"/>
              </w:rPr>
              <w:t>年均不超过2起。</w:t>
            </w:r>
          </w:p>
        </w:tc>
        <w:tc>
          <w:tcPr>
            <w:tcW w:w="2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678F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每超过一起扣当月运维费3%，若一年中出现二次以上（含二次）达不到考核目标，业主单位有权中止与运维服务方合同。</w:t>
            </w:r>
          </w:p>
        </w:tc>
      </w:tr>
      <w:tr w14:paraId="59886D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A705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48A1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级联稳定性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0BD9">
            <w:pPr>
              <w:pStyle w:val="15"/>
              <w:jc w:val="both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月均不超过3起。</w:t>
            </w:r>
          </w:p>
        </w:tc>
        <w:tc>
          <w:tcPr>
            <w:tcW w:w="2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68FB">
            <w:pPr>
              <w:pStyle w:val="15"/>
              <w:ind w:firstLine="109" w:firstLineChars="52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摄像头点位每月离线总时长在30分钟以内的不扣分，每超过30分钟扣当月运维费的2%分，一天内最多扣6%分，扣完为止。</w:t>
            </w:r>
          </w:p>
        </w:tc>
      </w:tr>
    </w:tbl>
    <w:p w14:paraId="61E28A7C">
      <w:pPr>
        <w:ind w:firstLine="562"/>
        <w:rPr>
          <w:rFonts w:hint="eastAsia"/>
        </w:rPr>
      </w:pPr>
      <w:r>
        <w:rPr>
          <w:rFonts w:hint="eastAsia" w:cs="仿宋"/>
          <w:b/>
          <w:bCs/>
        </w:rPr>
        <w:t>3、</w:t>
      </w:r>
      <w:r>
        <w:rPr>
          <w:rFonts w:cs="仿宋"/>
          <w:b/>
          <w:bCs/>
        </w:rPr>
        <w:t>过程指标</w:t>
      </w:r>
      <w:bookmarkEnd w:id="35"/>
    </w:p>
    <w:p w14:paraId="4AE79E73">
      <w:pPr>
        <w:ind w:firstLine="560"/>
        <w:rPr>
          <w:rFonts w:hint="eastAsia"/>
        </w:rPr>
      </w:pPr>
      <w:r>
        <w:rPr>
          <w:rFonts w:hint="eastAsia"/>
        </w:rPr>
        <w:t>3.1、服务报告考核指标</w:t>
      </w: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97"/>
        <w:gridCol w:w="4466"/>
        <w:gridCol w:w="1756"/>
      </w:tblGrid>
      <w:tr w14:paraId="11BB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6EBB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2C451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报告内容</w:t>
            </w:r>
          </w:p>
        </w:tc>
        <w:tc>
          <w:tcPr>
            <w:tcW w:w="2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21CBD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考核标准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532CF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不合格处理方式</w:t>
            </w:r>
          </w:p>
        </w:tc>
      </w:tr>
      <w:tr w14:paraId="6DDB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7A72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D3FF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巡检报告</w:t>
            </w:r>
          </w:p>
        </w:tc>
        <w:tc>
          <w:tcPr>
            <w:tcW w:w="2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C4E7B">
            <w:pPr>
              <w:pStyle w:val="15"/>
              <w:ind w:right="-59" w:rightChars="-21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内容是否完整，日报表月报表是否按时提交。</w:t>
            </w:r>
          </w:p>
        </w:tc>
        <w:tc>
          <w:tcPr>
            <w:tcW w:w="103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BBDC5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一份报告不按时提交或内容不合格，扣罚200元。</w:t>
            </w:r>
          </w:p>
        </w:tc>
      </w:tr>
      <w:tr w14:paraId="6DAB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6E7E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0A8EB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监测报告</w:t>
            </w:r>
          </w:p>
        </w:tc>
        <w:tc>
          <w:tcPr>
            <w:tcW w:w="2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D34B6">
            <w:pPr>
              <w:pStyle w:val="15"/>
              <w:ind w:right="-59" w:rightChars="-21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内容是否完整，日报表月报表是否按时提交。</w:t>
            </w:r>
          </w:p>
        </w:tc>
        <w:tc>
          <w:tcPr>
            <w:tcW w:w="103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EEF9">
            <w:pPr>
              <w:pStyle w:val="15"/>
            </w:pPr>
          </w:p>
        </w:tc>
      </w:tr>
      <w:tr w14:paraId="0331B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B800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DBE6D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预警报告</w:t>
            </w:r>
          </w:p>
        </w:tc>
        <w:tc>
          <w:tcPr>
            <w:tcW w:w="2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F4120">
            <w:pPr>
              <w:pStyle w:val="15"/>
              <w:ind w:right="-59" w:rightChars="-21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内容是否完整，日报表月报表是否按时提交。</w:t>
            </w:r>
          </w:p>
        </w:tc>
        <w:tc>
          <w:tcPr>
            <w:tcW w:w="103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2472F">
            <w:pPr>
              <w:pStyle w:val="15"/>
            </w:pPr>
          </w:p>
        </w:tc>
      </w:tr>
      <w:tr w14:paraId="682B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A66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3CB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应急事件报告</w:t>
            </w:r>
          </w:p>
        </w:tc>
        <w:tc>
          <w:tcPr>
            <w:tcW w:w="2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8A1A">
            <w:pPr>
              <w:pStyle w:val="15"/>
              <w:ind w:right="-59" w:rightChars="-21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内容是否完整，日报表月报表是否按时提交。</w:t>
            </w:r>
          </w:p>
        </w:tc>
        <w:tc>
          <w:tcPr>
            <w:tcW w:w="103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1D094">
            <w:pPr>
              <w:pStyle w:val="15"/>
            </w:pPr>
          </w:p>
        </w:tc>
      </w:tr>
      <w:tr w14:paraId="7BE65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8DB2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99E2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维修报告</w:t>
            </w:r>
          </w:p>
        </w:tc>
        <w:tc>
          <w:tcPr>
            <w:tcW w:w="2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56317">
            <w:pPr>
              <w:pStyle w:val="15"/>
              <w:ind w:right="-59" w:rightChars="-21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内容是否完整，日报表月报表是否按时提交，设备原厂修复时效性。</w:t>
            </w:r>
          </w:p>
        </w:tc>
        <w:tc>
          <w:tcPr>
            <w:tcW w:w="103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714D1">
            <w:pPr>
              <w:pStyle w:val="15"/>
            </w:pPr>
          </w:p>
        </w:tc>
      </w:tr>
    </w:tbl>
    <w:p w14:paraId="4EA02ED0">
      <w:pPr>
        <w:ind w:firstLine="560"/>
        <w:rPr>
          <w:rFonts w:hint="eastAsia"/>
        </w:rPr>
      </w:pPr>
      <w:r>
        <w:rPr>
          <w:rFonts w:hint="eastAsia"/>
        </w:rPr>
        <w:t>3.2、时间考核指标</w:t>
      </w:r>
    </w:p>
    <w:p w14:paraId="7230AE36">
      <w:pPr>
        <w:ind w:firstLine="560"/>
        <w:rPr>
          <w:rFonts w:hint="eastAsia"/>
        </w:rPr>
      </w:pPr>
      <w:r>
        <w:rPr>
          <w:rFonts w:hint="eastAsia"/>
        </w:rPr>
        <w:t>1）维修保养时间考核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02"/>
        <w:gridCol w:w="4408"/>
        <w:gridCol w:w="1788"/>
      </w:tblGrid>
      <w:tr w14:paraId="256B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46D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2EF22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维修保养内容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CF8AB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维保时间标准</w:t>
            </w:r>
          </w:p>
        </w:tc>
        <w:tc>
          <w:tcPr>
            <w:tcW w:w="10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C81C7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不合格处理方式</w:t>
            </w:r>
          </w:p>
        </w:tc>
      </w:tr>
      <w:tr w14:paraId="0E43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6CA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2999B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前端设备</w:t>
            </w:r>
          </w:p>
        </w:tc>
        <w:tc>
          <w:tcPr>
            <w:tcW w:w="2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BBAD5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前端摄像机和镜头至少每1个月一次，其它设备至少每季度一次。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8AB4A07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抽查不按时维保，发现一次扣罚1000元。</w:t>
            </w:r>
          </w:p>
        </w:tc>
      </w:tr>
      <w:tr w14:paraId="6D42D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9316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A8C01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传输网络</w:t>
            </w:r>
          </w:p>
        </w:tc>
        <w:tc>
          <w:tcPr>
            <w:tcW w:w="2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FA79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至少每个月一次。</w:t>
            </w:r>
          </w:p>
        </w:tc>
        <w:tc>
          <w:tcPr>
            <w:tcW w:w="104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CAD464">
            <w:pPr>
              <w:pStyle w:val="15"/>
              <w:rPr>
                <w:szCs w:val="21"/>
              </w:rPr>
            </w:pPr>
          </w:p>
        </w:tc>
      </w:tr>
      <w:tr w14:paraId="3D41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246D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A3281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后端</w:t>
            </w:r>
          </w:p>
        </w:tc>
        <w:tc>
          <w:tcPr>
            <w:tcW w:w="2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04E97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至少每个月一次。</w:t>
            </w:r>
          </w:p>
        </w:tc>
        <w:tc>
          <w:tcPr>
            <w:tcW w:w="104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3B487">
            <w:pPr>
              <w:pStyle w:val="15"/>
              <w:rPr>
                <w:szCs w:val="21"/>
              </w:rPr>
            </w:pPr>
          </w:p>
        </w:tc>
      </w:tr>
    </w:tbl>
    <w:p w14:paraId="0B194BC0">
      <w:pPr>
        <w:ind w:firstLine="560"/>
        <w:rPr>
          <w:rFonts w:hint="eastAsia"/>
        </w:rPr>
      </w:pPr>
      <w:r>
        <w:rPr>
          <w:rFonts w:hint="eastAsia"/>
        </w:rPr>
        <w:t>2）故障响应处理时限考核</w:t>
      </w:r>
    </w:p>
    <w:p w14:paraId="647BA9D6">
      <w:pPr>
        <w:ind w:firstLine="560"/>
        <w:rPr>
          <w:rFonts w:hint="eastAsia"/>
        </w:rPr>
      </w:pPr>
      <w:r>
        <w:rPr>
          <w:rFonts w:hint="eastAsia"/>
        </w:rPr>
        <w:t>运维服务方需提供</w:t>
      </w:r>
      <w:r>
        <w:t>7×24小时响应服务，具体响应方式及响应时间具体内容如下：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C16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72F7392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故障类型</w:t>
            </w:r>
          </w:p>
        </w:tc>
        <w:tc>
          <w:tcPr>
            <w:tcW w:w="2843" w:type="dxa"/>
            <w:vAlign w:val="center"/>
          </w:tcPr>
          <w:p w14:paraId="72719967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故障内容</w:t>
            </w:r>
          </w:p>
        </w:tc>
        <w:tc>
          <w:tcPr>
            <w:tcW w:w="2843" w:type="dxa"/>
            <w:vAlign w:val="center"/>
          </w:tcPr>
          <w:p w14:paraId="0B16FDE1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响应时间</w:t>
            </w:r>
          </w:p>
        </w:tc>
      </w:tr>
      <w:tr w14:paraId="1ECF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5233366D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故障驱动响应</w:t>
            </w:r>
          </w:p>
        </w:tc>
        <w:tc>
          <w:tcPr>
            <w:tcW w:w="2843" w:type="dxa"/>
            <w:vAlign w:val="center"/>
          </w:tcPr>
          <w:p w14:paraId="11BBC25A">
            <w:pPr>
              <w:pStyle w:val="15"/>
              <w:widowControl w:val="0"/>
              <w:spacing w:before="156" w:beforeLines="50" w:after="156" w:afterLines="50"/>
              <w:jc w:val="left"/>
              <w:rPr>
                <w:rFonts w:hAnsi="Verdana" w:eastAsia="仿宋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设备出现警告，不影响系统运行。</w:t>
            </w:r>
          </w:p>
        </w:tc>
        <w:tc>
          <w:tcPr>
            <w:tcW w:w="2843" w:type="dxa"/>
            <w:vAlign w:val="center"/>
          </w:tcPr>
          <w:p w14:paraId="6B1BA67F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7×24小时电话咨询，8小时内到达现场并修复。</w:t>
            </w:r>
          </w:p>
        </w:tc>
      </w:tr>
      <w:tr w14:paraId="5492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128960DB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服务请求响应</w:t>
            </w:r>
          </w:p>
        </w:tc>
        <w:tc>
          <w:tcPr>
            <w:tcW w:w="2843" w:type="dxa"/>
            <w:vAlign w:val="center"/>
          </w:tcPr>
          <w:p w14:paraId="3B557465">
            <w:pPr>
              <w:pStyle w:val="15"/>
              <w:widowControl w:val="0"/>
              <w:spacing w:before="156" w:beforeLines="50" w:after="156" w:afterLines="50"/>
              <w:jc w:val="left"/>
              <w:rPr>
                <w:rFonts w:hAnsi="Verdana" w:eastAsia="仿宋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部分设备损坏，但系统正常运行。</w:t>
            </w:r>
          </w:p>
        </w:tc>
        <w:tc>
          <w:tcPr>
            <w:tcW w:w="2843" w:type="dxa"/>
            <w:vAlign w:val="center"/>
          </w:tcPr>
          <w:p w14:paraId="585F216E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7×24小时电话咨询，2小时内到达现场并修复。</w:t>
            </w:r>
          </w:p>
        </w:tc>
      </w:tr>
      <w:tr w14:paraId="128C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0C4E7659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应急响应</w:t>
            </w:r>
          </w:p>
        </w:tc>
        <w:tc>
          <w:tcPr>
            <w:tcW w:w="2843" w:type="dxa"/>
            <w:vAlign w:val="center"/>
          </w:tcPr>
          <w:p w14:paraId="391EE0B1">
            <w:pPr>
              <w:pStyle w:val="15"/>
              <w:widowControl w:val="0"/>
              <w:spacing w:before="156" w:beforeLines="50" w:after="156" w:afterLines="50"/>
              <w:jc w:val="left"/>
              <w:rPr>
                <w:rFonts w:hAnsi="Verdana" w:eastAsia="仿宋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设备故障。</w:t>
            </w:r>
          </w:p>
        </w:tc>
        <w:tc>
          <w:tcPr>
            <w:tcW w:w="2843" w:type="dxa"/>
            <w:vAlign w:val="center"/>
          </w:tcPr>
          <w:p w14:paraId="709EAE28">
            <w:pPr>
              <w:pStyle w:val="15"/>
              <w:widowControl w:val="0"/>
              <w:spacing w:before="156" w:beforeLines="50" w:after="156" w:afterLines="50"/>
              <w:rPr>
                <w:rFonts w:hAnsi="Verdana" w:cs="宋体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7×24小时电话咨询，2小时内到达现场并修复。</w:t>
            </w:r>
          </w:p>
        </w:tc>
      </w:tr>
    </w:tbl>
    <w:p w14:paraId="232CB788">
      <w:pPr>
        <w:ind w:firstLine="560"/>
        <w:rPr>
          <w:rFonts w:hint="eastAsia"/>
        </w:rPr>
      </w:pPr>
      <w:r>
        <w:rPr>
          <w:rFonts w:hint="eastAsia"/>
        </w:rPr>
        <w:t>到达现场后，按上述故障情况修复的时间均以接到通知开始计时，若有特殊情况须经业主单位书面同意方可延长故障排除时间。</w:t>
      </w:r>
    </w:p>
    <w:p w14:paraId="0589AB62">
      <w:pPr>
        <w:pStyle w:val="14"/>
        <w:numPr>
          <w:ilvl w:val="0"/>
          <w:numId w:val="4"/>
        </w:numPr>
        <w:spacing w:line="360" w:lineRule="auto"/>
        <w:ind w:left="0" w:firstLine="56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超时处置：</w:t>
      </w:r>
    </w:p>
    <w:p w14:paraId="0D809350">
      <w:pPr>
        <w:ind w:firstLine="560"/>
        <w:rPr>
          <w:rFonts w:hint="eastAsia" w:cs="仿宋"/>
          <w:szCs w:val="28"/>
        </w:rPr>
      </w:pPr>
      <w:r>
        <w:rPr>
          <w:rFonts w:hint="eastAsia" w:cs="仿宋"/>
          <w:szCs w:val="28"/>
        </w:rPr>
        <w:t>1）响应时间每超过1小时，扣罚200元；</w:t>
      </w:r>
    </w:p>
    <w:p w14:paraId="18A02D32">
      <w:pPr>
        <w:ind w:firstLine="560"/>
        <w:rPr>
          <w:rFonts w:hint="eastAsia" w:cs="仿宋"/>
          <w:szCs w:val="28"/>
        </w:rPr>
      </w:pPr>
      <w:r>
        <w:rPr>
          <w:rFonts w:hint="eastAsia" w:cs="仿宋"/>
          <w:szCs w:val="28"/>
        </w:rPr>
        <w:t>2）故障处理每超时1小时未修复，扣罚200元（特殊情况业主单位书面同意延长排除时间的除外）；</w:t>
      </w:r>
    </w:p>
    <w:p w14:paraId="53F2956E">
      <w:pPr>
        <w:ind w:firstLine="560"/>
        <w:rPr>
          <w:rFonts w:hint="eastAsia" w:cs="仿宋"/>
          <w:szCs w:val="28"/>
        </w:rPr>
      </w:pPr>
      <w:r>
        <w:rPr>
          <w:rFonts w:hint="eastAsia" w:cs="仿宋"/>
          <w:szCs w:val="28"/>
        </w:rPr>
        <w:t>3）故障处理严重超时，且无法提供用户方能认可的原因的，扣罚500元/次。</w:t>
      </w:r>
    </w:p>
    <w:p w14:paraId="1C5B74A1">
      <w:pPr>
        <w:ind w:firstLine="560"/>
        <w:rPr>
          <w:rFonts w:hint="eastAsia"/>
        </w:rPr>
      </w:pPr>
      <w:r>
        <w:t>3</w:t>
      </w:r>
      <w:r>
        <w:rPr>
          <w:rFonts w:hint="eastAsia"/>
        </w:rPr>
        <w:t>、</w:t>
      </w:r>
      <w:r>
        <w:t>日常巡检考核指标</w:t>
      </w:r>
    </w:p>
    <w:p w14:paraId="6BAA6C55">
      <w:pPr>
        <w:pStyle w:val="2"/>
      </w:pPr>
    </w:p>
    <w:tbl>
      <w:tblPr>
        <w:tblStyle w:val="11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62"/>
        <w:gridCol w:w="4660"/>
        <w:gridCol w:w="1973"/>
      </w:tblGrid>
      <w:tr w14:paraId="6207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0BE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32E00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内容</w:t>
            </w:r>
          </w:p>
        </w:tc>
        <w:tc>
          <w:tcPr>
            <w:tcW w:w="2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89FB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考核标准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4615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不合格处理方式</w:t>
            </w:r>
          </w:p>
        </w:tc>
      </w:tr>
      <w:tr w14:paraId="2A2B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7B6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C0EB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巡检内容</w:t>
            </w:r>
          </w:p>
        </w:tc>
        <w:tc>
          <w:tcPr>
            <w:tcW w:w="2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BB351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前端，线路，后端。</w:t>
            </w:r>
          </w:p>
        </w:tc>
        <w:tc>
          <w:tcPr>
            <w:tcW w:w="1157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73AE9E3">
            <w:pPr>
              <w:pStyle w:val="15"/>
              <w:rPr>
                <w:rFonts w:hint="eastAsia" w:ascii="仿宋" w:hAnsi="仿宋" w:eastAsia="仿宋" w:cs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抽查巡检不合格，扣罚500元/点位</w:t>
            </w:r>
          </w:p>
        </w:tc>
      </w:tr>
      <w:tr w14:paraId="7C1E0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80E6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CE94B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巡检流程</w:t>
            </w:r>
          </w:p>
        </w:tc>
        <w:tc>
          <w:tcPr>
            <w:tcW w:w="2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ED81D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是否按照标准流程操作。</w:t>
            </w:r>
          </w:p>
        </w:tc>
        <w:tc>
          <w:tcPr>
            <w:tcW w:w="115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A55795F">
            <w:pPr>
              <w:pStyle w:val="15"/>
            </w:pPr>
          </w:p>
        </w:tc>
      </w:tr>
      <w:tr w14:paraId="09699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BC25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7921C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巡检频率</w:t>
            </w:r>
          </w:p>
        </w:tc>
        <w:tc>
          <w:tcPr>
            <w:tcW w:w="2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D1EA0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前端设备运行情况每天检查，线路、后端每个月检查一次。</w:t>
            </w:r>
          </w:p>
        </w:tc>
        <w:tc>
          <w:tcPr>
            <w:tcW w:w="115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CD3E3">
            <w:pPr>
              <w:pStyle w:val="15"/>
            </w:pPr>
          </w:p>
        </w:tc>
      </w:tr>
    </w:tbl>
    <w:p w14:paraId="19FBB708">
      <w:pPr>
        <w:ind w:firstLine="422" w:firstLineChars="150"/>
        <w:rPr>
          <w:rFonts w:hint="eastAsia" w:cs="仿宋"/>
          <w:b/>
          <w:bCs/>
        </w:rPr>
      </w:pPr>
      <w:bookmarkStart w:id="36" w:name="_Toc26229"/>
      <w:r>
        <w:rPr>
          <w:rFonts w:hint="eastAsia" w:cs="仿宋"/>
          <w:b/>
          <w:bCs/>
        </w:rPr>
        <w:t>4、人员指标</w:t>
      </w:r>
      <w:bookmarkEnd w:id="36"/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7"/>
        <w:gridCol w:w="4516"/>
        <w:gridCol w:w="1827"/>
      </w:tblGrid>
      <w:tr w14:paraId="2F5B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710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2833F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内容</w:t>
            </w:r>
          </w:p>
        </w:tc>
        <w:tc>
          <w:tcPr>
            <w:tcW w:w="2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1CFF8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考核标准</w:t>
            </w:r>
          </w:p>
        </w:tc>
        <w:tc>
          <w:tcPr>
            <w:tcW w:w="10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42CE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不合格处理方式</w:t>
            </w:r>
          </w:p>
        </w:tc>
      </w:tr>
      <w:tr w14:paraId="2BCD0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B42D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80B19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人员配置</w:t>
            </w:r>
          </w:p>
        </w:tc>
        <w:tc>
          <w:tcPr>
            <w:tcW w:w="2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E955F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配置人员需具备相关日常问题解决能力，配备合理数量的其他人员。 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54ECE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一次不合格扣罚1000元</w:t>
            </w:r>
          </w:p>
        </w:tc>
      </w:tr>
      <w:tr w14:paraId="4C55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EC50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1AFD3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职业道德</w:t>
            </w:r>
          </w:p>
        </w:tc>
        <w:tc>
          <w:tcPr>
            <w:tcW w:w="2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307BF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运维过程中不得随意调看、查阅各种视频、录像档案。由于技术原因需要调看、查阅时，应征得业主单位相关负责人的同意，并记录在案，不得外泄。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CF8EA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视情节轻重定责，轻则扣款5000，重则直接解除合同，并追究相关法律责任，</w:t>
            </w:r>
          </w:p>
        </w:tc>
      </w:tr>
      <w:tr w14:paraId="788C3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3AED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6521D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工作态度</w:t>
            </w:r>
          </w:p>
        </w:tc>
        <w:tc>
          <w:tcPr>
            <w:tcW w:w="2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90F55">
            <w:pPr>
              <w:pStyle w:val="15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运维过程中责任心强、做到文明运维。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DFFD4">
            <w:pPr>
              <w:pStyle w:val="15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一次不合格扣罚300元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tbl>
    <w:p w14:paraId="397A0DA9">
      <w:pPr>
        <w:pStyle w:val="6"/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35CA"/>
    <w:multiLevelType w:val="multilevel"/>
    <w:tmpl w:val="091935CA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56C5766"/>
    <w:multiLevelType w:val="multilevel"/>
    <w:tmpl w:val="256C5766"/>
    <w:lvl w:ilvl="0" w:tentative="0">
      <w:start w:val="1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2">
    <w:nsid w:val="432F2015"/>
    <w:multiLevelType w:val="multilevel"/>
    <w:tmpl w:val="432F2015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3">
    <w:nsid w:val="67BEC16A"/>
    <w:multiLevelType w:val="multilevel"/>
    <w:tmpl w:val="67BEC16A"/>
    <w:lvl w:ilvl="0" w:tentative="0">
      <w:start w:val="1"/>
      <w:numFmt w:val="decimal"/>
      <w:pStyle w:val="5"/>
      <w:suff w:val="space"/>
      <w:lvlText w:val="第%1章"/>
      <w:lvlJc w:val="left"/>
      <w:pPr>
        <w:ind w:left="0" w:firstLine="0"/>
      </w:pPr>
      <w:rPr>
        <w:rFonts w:hint="eastAsia"/>
        <w:i w:val="0"/>
        <w:color w:val="auto"/>
      </w:rPr>
    </w:lvl>
    <w:lvl w:ilvl="1" w:tentative="0">
      <w:start w:val="1"/>
      <w:numFmt w:val="decimal"/>
      <w:pStyle w:val="6"/>
      <w:suff w:val="space"/>
      <w:lvlText w:val="%1.%2"/>
      <w:lvlJc w:val="left"/>
      <w:pPr>
        <w:ind w:left="0" w:firstLine="0"/>
      </w:pPr>
      <w:rPr>
        <w:rFonts w:hint="eastAsia" w:ascii="等线" w:hAnsi="等线" w:eastAsia="宋体"/>
      </w:rPr>
    </w:lvl>
    <w:lvl w:ilvl="2" w:tentative="0">
      <w:start w:val="1"/>
      <w:numFmt w:val="decimal"/>
      <w:pStyle w:val="7"/>
      <w:suff w:val="space"/>
      <w:lvlText w:val="%1.%2.%3"/>
      <w:lvlJc w:val="left"/>
      <w:pPr>
        <w:ind w:left="0" w:firstLine="0"/>
      </w:pPr>
      <w:rPr>
        <w:rFonts w:hint="eastAsia" w:ascii="等线" w:hAnsi="等线" w:eastAsia="宋体"/>
      </w:rPr>
    </w:lvl>
    <w:lvl w:ilvl="3" w:tentative="0">
      <w:start w:val="1"/>
      <w:numFmt w:val="decimal"/>
      <w:pStyle w:val="8"/>
      <w:suff w:val="space"/>
      <w:lvlText w:val="%1.%2.%3.%4"/>
      <w:lvlJc w:val="left"/>
      <w:pPr>
        <w:ind w:left="0" w:firstLine="0"/>
      </w:pPr>
      <w:rPr>
        <w:rFonts w:hint="default" w:ascii="等线" w:hAnsi="等线" w:eastAsia="等线" w:cs="等线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等线" w:hAnsi="等线" w:eastAsia="等线" w:cs="等线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0"/>
        </w:tabs>
        <w:ind w:left="0" w:firstLine="0"/>
      </w:pPr>
      <w:rPr>
        <w:rFonts w:hint="default" w:ascii="等线" w:hAnsi="等线" w:eastAsia="等线" w:cs="等线"/>
        <w:color w:val="auto"/>
        <w:sz w:val="28"/>
        <w:szCs w:val="28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 w:ascii="等线" w:hAnsi="等线" w:eastAsia="宋体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等线" w:hAnsi="等线" w:eastAsia="等线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MTNkMTc4Yjk0MTE2NjE1NTY3OGVkYmM1ZTgwOTUifQ=="/>
  </w:docVars>
  <w:rsids>
    <w:rsidRoot w:val="338E58D0"/>
    <w:rsid w:val="00012EB5"/>
    <w:rsid w:val="00025DD4"/>
    <w:rsid w:val="000513D0"/>
    <w:rsid w:val="00082B39"/>
    <w:rsid w:val="00111B94"/>
    <w:rsid w:val="001166A0"/>
    <w:rsid w:val="001C5E96"/>
    <w:rsid w:val="001F0D4D"/>
    <w:rsid w:val="002F351E"/>
    <w:rsid w:val="003355C2"/>
    <w:rsid w:val="00397476"/>
    <w:rsid w:val="00415E7B"/>
    <w:rsid w:val="00426BBE"/>
    <w:rsid w:val="00437A08"/>
    <w:rsid w:val="004C5961"/>
    <w:rsid w:val="005050B8"/>
    <w:rsid w:val="00557375"/>
    <w:rsid w:val="005A47A9"/>
    <w:rsid w:val="005E31E7"/>
    <w:rsid w:val="00613F71"/>
    <w:rsid w:val="00680B15"/>
    <w:rsid w:val="006822D9"/>
    <w:rsid w:val="006A590F"/>
    <w:rsid w:val="006C58D3"/>
    <w:rsid w:val="00734772"/>
    <w:rsid w:val="007F5686"/>
    <w:rsid w:val="00884DCA"/>
    <w:rsid w:val="008C2F26"/>
    <w:rsid w:val="00945C4C"/>
    <w:rsid w:val="00A00536"/>
    <w:rsid w:val="00A15894"/>
    <w:rsid w:val="00A42DF7"/>
    <w:rsid w:val="00A66E1A"/>
    <w:rsid w:val="00A812BD"/>
    <w:rsid w:val="00AC5DC2"/>
    <w:rsid w:val="00B22EC3"/>
    <w:rsid w:val="00B7532A"/>
    <w:rsid w:val="00B81F2C"/>
    <w:rsid w:val="00BB7644"/>
    <w:rsid w:val="00C23DA6"/>
    <w:rsid w:val="00C4539E"/>
    <w:rsid w:val="00CA4F87"/>
    <w:rsid w:val="00CB2A6B"/>
    <w:rsid w:val="00CD2D9A"/>
    <w:rsid w:val="00D13AC3"/>
    <w:rsid w:val="00D703A5"/>
    <w:rsid w:val="00DD7900"/>
    <w:rsid w:val="00E4677B"/>
    <w:rsid w:val="00EA40E8"/>
    <w:rsid w:val="00EF3A87"/>
    <w:rsid w:val="00F17EAB"/>
    <w:rsid w:val="00F30E31"/>
    <w:rsid w:val="02221B02"/>
    <w:rsid w:val="070C4371"/>
    <w:rsid w:val="0A6E5075"/>
    <w:rsid w:val="0B6131F9"/>
    <w:rsid w:val="10B5184D"/>
    <w:rsid w:val="11B5429E"/>
    <w:rsid w:val="125515AD"/>
    <w:rsid w:val="125A0CD3"/>
    <w:rsid w:val="130C19E0"/>
    <w:rsid w:val="130D33C9"/>
    <w:rsid w:val="13911F41"/>
    <w:rsid w:val="16AA639C"/>
    <w:rsid w:val="18E96652"/>
    <w:rsid w:val="1AF32F85"/>
    <w:rsid w:val="1BAC1EAD"/>
    <w:rsid w:val="1BC872C4"/>
    <w:rsid w:val="1D8E55E8"/>
    <w:rsid w:val="20E66819"/>
    <w:rsid w:val="21C40A86"/>
    <w:rsid w:val="236763BA"/>
    <w:rsid w:val="250177CF"/>
    <w:rsid w:val="2753331E"/>
    <w:rsid w:val="28EA4406"/>
    <w:rsid w:val="2AC263C3"/>
    <w:rsid w:val="2AC530B3"/>
    <w:rsid w:val="2AD43905"/>
    <w:rsid w:val="2CB5318E"/>
    <w:rsid w:val="2D2C24D4"/>
    <w:rsid w:val="2E9372BE"/>
    <w:rsid w:val="2EA00CF2"/>
    <w:rsid w:val="31FA5460"/>
    <w:rsid w:val="335C4122"/>
    <w:rsid w:val="338E58D0"/>
    <w:rsid w:val="33900270"/>
    <w:rsid w:val="3A1C285D"/>
    <w:rsid w:val="3B8A4B98"/>
    <w:rsid w:val="3EA01CAF"/>
    <w:rsid w:val="4101455B"/>
    <w:rsid w:val="42366486"/>
    <w:rsid w:val="45DD5596"/>
    <w:rsid w:val="488717E9"/>
    <w:rsid w:val="4B450CC8"/>
    <w:rsid w:val="4BD56D10"/>
    <w:rsid w:val="4BEA578A"/>
    <w:rsid w:val="4F0923C6"/>
    <w:rsid w:val="51B24883"/>
    <w:rsid w:val="520D3F1C"/>
    <w:rsid w:val="52CD220C"/>
    <w:rsid w:val="539B439B"/>
    <w:rsid w:val="53CB1124"/>
    <w:rsid w:val="54694CCB"/>
    <w:rsid w:val="555D1CEE"/>
    <w:rsid w:val="56764A47"/>
    <w:rsid w:val="587F24DD"/>
    <w:rsid w:val="5E641420"/>
    <w:rsid w:val="5FB26D38"/>
    <w:rsid w:val="622A2372"/>
    <w:rsid w:val="64B57005"/>
    <w:rsid w:val="67971401"/>
    <w:rsid w:val="69031D70"/>
    <w:rsid w:val="6B7D50F9"/>
    <w:rsid w:val="6C46548E"/>
    <w:rsid w:val="741915E0"/>
    <w:rsid w:val="74560EAC"/>
    <w:rsid w:val="74AE4FCE"/>
    <w:rsid w:val="781B4833"/>
    <w:rsid w:val="7D5904DE"/>
    <w:rsid w:val="7E2E15B3"/>
    <w:rsid w:val="7EC87E8B"/>
    <w:rsid w:val="7F6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仿宋" w:hAnsi="仿宋" w:eastAsia="仿宋" w:cs="Times New Roman"/>
      <w:kern w:val="2"/>
      <w:sz w:val="28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left="280" w:leftChars="100" w:right="280" w:rightChars="100" w:firstLineChars="0"/>
      <w:jc w:val="center"/>
      <w:outlineLvl w:val="0"/>
    </w:pPr>
    <w:rPr>
      <w:rFonts w:ascii="仿宋_GB2312" w:hAnsi="仿宋_GB2312" w:eastAsia="黑体"/>
      <w:b/>
      <w:bCs/>
      <w:kern w:val="44"/>
      <w:sz w:val="44"/>
      <w:szCs w:val="44"/>
      <w:lang w:val="zh-CN"/>
    </w:rPr>
  </w:style>
  <w:style w:type="paragraph" w:styleId="6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ind w:firstLineChars="0"/>
      <w:outlineLvl w:val="1"/>
    </w:pPr>
    <w:rPr>
      <w:rFonts w:ascii="Times New Roman" w:hAnsi="Times New Roman" w:eastAsia="黑体"/>
      <w:b/>
      <w:bCs/>
      <w:color w:val="000000"/>
      <w:sz w:val="32"/>
      <w:szCs w:val="32"/>
    </w:rPr>
  </w:style>
  <w:style w:type="paragraph" w:styleId="7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ind w:firstLineChars="0"/>
      <w:outlineLvl w:val="2"/>
    </w:pPr>
    <w:rPr>
      <w:rFonts w:ascii="Calibri" w:hAnsi="Calibri" w:eastAsia="黑体"/>
      <w:b/>
      <w:bCs/>
      <w:sz w:val="30"/>
      <w:szCs w:val="32"/>
    </w:rPr>
  </w:style>
  <w:style w:type="paragraph" w:styleId="8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ind w:firstLineChars="0"/>
      <w:outlineLvl w:val="3"/>
    </w:pPr>
    <w:rPr>
      <w:rFonts w:ascii="Calibri" w:hAnsi="Calibri" w:eastAsia="黑体"/>
      <w:b/>
      <w:bCs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ind w:firstLine="0" w:firstLineChars="0"/>
    </w:pPr>
    <w:rPr>
      <w:rFonts w:ascii="宋体" w:hAnsi="Times New Roman"/>
      <w:kern w:val="0"/>
      <w:sz w:val="24"/>
      <w:szCs w:val="24"/>
    </w:rPr>
  </w:style>
  <w:style w:type="paragraph" w:styleId="3">
    <w:name w:val="Body Text First Indent"/>
    <w:basedOn w:val="2"/>
    <w:next w:val="4"/>
    <w:qFormat/>
    <w:uiPriority w:val="99"/>
    <w:pPr>
      <w:ind w:firstLine="562" w:firstLineChars="200"/>
    </w:pPr>
    <w:rPr>
      <w:rFonts w:ascii="Times New Roman"/>
      <w:sz w:val="28"/>
    </w:rPr>
  </w:style>
  <w:style w:type="paragraph" w:styleId="4">
    <w:name w:val="toc 6"/>
    <w:basedOn w:val="1"/>
    <w:next w:val="1"/>
    <w:unhideWhenUsed/>
    <w:qFormat/>
    <w:uiPriority w:val="39"/>
    <w:pPr>
      <w:ind w:left="1050"/>
    </w:pPr>
    <w:rPr>
      <w:rFonts w:eastAsia="等线"/>
      <w:sz w:val="18"/>
      <w:szCs w:val="18"/>
    </w:rPr>
  </w:style>
  <w:style w:type="paragraph" w:styleId="9">
    <w:name w:val="Normal Indent"/>
    <w:basedOn w:val="1"/>
    <w:next w:val="1"/>
    <w:qFormat/>
    <w:uiPriority w:val="0"/>
    <w:pPr>
      <w:widowControl w:val="0"/>
      <w:ind w:firstLine="420"/>
    </w:pPr>
    <w:rPr>
      <w:rFonts w:ascii="Verdana" w:hAnsi="Verdana" w:eastAsia="宋体"/>
      <w:kern w:val="0"/>
      <w:sz w:val="24"/>
      <w:szCs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39"/>
    <w:pPr>
      <w:widowControl w:val="0"/>
      <w:spacing w:beforeLines="50" w:afterLines="50"/>
      <w:jc w:val="both"/>
    </w:pPr>
    <w:rPr>
      <w:rFonts w:ascii="Verdana" w:hAnsi="Verdana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widowControl w:val="0"/>
      <w:spacing w:line="240" w:lineRule="auto"/>
      <w:ind w:firstLine="420"/>
    </w:pPr>
    <w:rPr>
      <w:rFonts w:eastAsia="宋体"/>
      <w:kern w:val="0"/>
      <w:sz w:val="20"/>
    </w:rPr>
  </w:style>
  <w:style w:type="paragraph" w:customStyle="1" w:styleId="15">
    <w:name w:val="图表"/>
    <w:next w:val="1"/>
    <w:qFormat/>
    <w:uiPriority w:val="1"/>
    <w:pPr>
      <w:jc w:val="center"/>
    </w:pPr>
    <w:rPr>
      <w:rFonts w:ascii="仿宋_GB2312" w:hAnsi="Times New Roman" w:eastAsia="黑体" w:cs="Times New Roman"/>
      <w:kern w:val="2"/>
      <w:sz w:val="21"/>
      <w:szCs w:val="52"/>
      <w:lang w:val="en-US" w:eastAsia="zh-CN" w:bidi="ar-SA"/>
    </w:rPr>
  </w:style>
  <w:style w:type="paragraph" w:customStyle="1" w:styleId="16">
    <w:name w:val="Revision"/>
    <w:hidden/>
    <w:unhideWhenUsed/>
    <w:uiPriority w:val="99"/>
    <w:rPr>
      <w:rFonts w:ascii="仿宋" w:hAnsi="仿宋" w:eastAsia="仿宋" w:cs="Times New Roman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3424</Words>
  <Characters>3537</Characters>
  <Lines>26</Lines>
  <Paragraphs>7</Paragraphs>
  <TotalTime>4</TotalTime>
  <ScaleCrop>false</ScaleCrop>
  <LinksUpToDate>false</LinksUpToDate>
  <CharactersWithSpaces>3539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2024-12-27T02:50:00Z</dcterms:created>
  <dc:creator>我是奥特曼✌️</dc:creator>
  <cp:lastModifiedBy>Lxy✌️</cp:lastModifiedBy>
  <cp:lastPrinted>2024-12-27T07:36:00Z</cp:lastPrinted>
  <dcterms:modified xsi:type="dcterms:W3CDTF">2025-01-24T07:27:59Z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55B43BB5BC6341238855C27CD15ECD2D_13</vt:lpwstr>
  </property>
</Properties>
</file>