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5B40BB">
      <w:pPr>
        <w:tabs>
          <w:tab w:val="left" w:pos="6663"/>
        </w:tabs>
        <w:spacing w:line="800" w:lineRule="exact"/>
        <w:jc w:val="center"/>
        <w:rPr>
          <w:rFonts w:hint="eastAsia" w:ascii="宋体" w:hAnsi="宋体" w:eastAsia="宋体"/>
          <w:b/>
          <w:bCs/>
          <w:sz w:val="48"/>
          <w:szCs w:val="48"/>
          <w:lang w:eastAsia="zh-CN"/>
        </w:rPr>
      </w:pPr>
      <w:r>
        <w:rPr>
          <w:rFonts w:hint="eastAsia" w:ascii="宋体" w:hAnsi="宋体"/>
          <w:b/>
          <w:bCs/>
          <w:sz w:val="48"/>
          <w:szCs w:val="48"/>
          <w:lang w:eastAsia="zh-CN"/>
        </w:rPr>
        <w:t>南浔经济开发区2025年城市管理服务项目</w:t>
      </w:r>
    </w:p>
    <w:p w14:paraId="7CBE30A2">
      <w:pPr>
        <w:jc w:val="center"/>
        <w:rPr>
          <w:rFonts w:ascii="宋体" w:hAnsi="宋体" w:cs="宋体"/>
          <w:b/>
          <w:bCs/>
          <w:sz w:val="28"/>
          <w:szCs w:val="28"/>
        </w:rPr>
      </w:pPr>
    </w:p>
    <w:p w14:paraId="6814FC49">
      <w:pPr>
        <w:jc w:val="center"/>
        <w:rPr>
          <w:rFonts w:hint="eastAsia" w:ascii="宋体" w:hAnsi="宋体" w:eastAsia="宋体" w:cs="宋体"/>
          <w:b/>
          <w:bCs/>
          <w:color w:val="auto"/>
          <w:sz w:val="28"/>
          <w:szCs w:val="28"/>
          <w:lang w:eastAsia="zh-CN"/>
        </w:rPr>
      </w:pPr>
      <w:r>
        <w:rPr>
          <w:rFonts w:hint="eastAsia" w:ascii="宋体" w:hAnsi="宋体" w:cs="宋体"/>
          <w:b/>
          <w:bCs/>
          <w:color w:val="auto"/>
          <w:sz w:val="28"/>
          <w:szCs w:val="28"/>
        </w:rPr>
        <w:t>财政审批编号：</w:t>
      </w:r>
      <w:r>
        <w:rPr>
          <w:rFonts w:hint="eastAsia" w:ascii="宋体" w:hAnsi="宋体" w:cs="宋体"/>
          <w:b/>
          <w:bCs/>
          <w:color w:val="auto"/>
          <w:sz w:val="28"/>
          <w:szCs w:val="28"/>
          <w:lang w:eastAsia="zh-CN"/>
        </w:rPr>
        <w:t>[2025]154号</w:t>
      </w:r>
    </w:p>
    <w:p w14:paraId="264F05EC">
      <w:pPr>
        <w:ind w:firstLine="1617" w:firstLineChars="767"/>
        <w:rPr>
          <w:rFonts w:ascii="宋体" w:hAnsi="宋体" w:cs="宋体"/>
          <w:b/>
          <w:bCs/>
          <w:color w:val="auto"/>
          <w:szCs w:val="28"/>
          <w:u w:val="single"/>
        </w:rPr>
      </w:pPr>
    </w:p>
    <w:p w14:paraId="03B544E0">
      <w:pPr>
        <w:ind w:firstLine="1617" w:firstLineChars="767"/>
        <w:rPr>
          <w:rFonts w:ascii="宋体" w:hAnsi="宋体" w:cs="宋体"/>
          <w:b/>
          <w:bCs/>
          <w:color w:val="auto"/>
          <w:szCs w:val="28"/>
          <w:u w:val="single"/>
        </w:rPr>
      </w:pPr>
    </w:p>
    <w:p w14:paraId="23B80835">
      <w:pPr>
        <w:ind w:firstLine="1617" w:firstLineChars="767"/>
        <w:rPr>
          <w:rFonts w:ascii="宋体" w:hAnsi="宋体" w:cs="宋体"/>
          <w:b/>
          <w:bCs/>
          <w:color w:val="auto"/>
          <w:szCs w:val="28"/>
          <w:u w:val="single"/>
        </w:rPr>
      </w:pPr>
    </w:p>
    <w:p w14:paraId="2D604E1C">
      <w:pPr>
        <w:rPr>
          <w:rFonts w:ascii="宋体" w:hAnsi="宋体" w:cs="宋体"/>
          <w:b/>
          <w:bCs/>
          <w:color w:val="auto"/>
          <w:szCs w:val="28"/>
          <w:u w:val="single"/>
        </w:rPr>
      </w:pPr>
    </w:p>
    <w:p w14:paraId="4666C105">
      <w:pPr>
        <w:ind w:firstLine="1617" w:firstLineChars="767"/>
        <w:rPr>
          <w:rFonts w:ascii="宋体" w:hAnsi="宋体" w:cs="宋体"/>
          <w:b/>
          <w:bCs/>
          <w:color w:val="auto"/>
          <w:szCs w:val="28"/>
          <w:u w:val="single"/>
        </w:rPr>
      </w:pPr>
    </w:p>
    <w:p w14:paraId="2863CB78">
      <w:pPr>
        <w:spacing w:line="1200" w:lineRule="exact"/>
        <w:jc w:val="center"/>
        <w:rPr>
          <w:rFonts w:ascii="宋体" w:hAnsi="宋体" w:cs="宋体"/>
          <w:b/>
          <w:bCs/>
          <w:color w:val="auto"/>
          <w:sz w:val="36"/>
        </w:rPr>
      </w:pPr>
      <w:r>
        <w:rPr>
          <w:rFonts w:hint="eastAsia" w:ascii="宋体" w:hAnsi="宋体"/>
          <w:b/>
          <w:color w:val="auto"/>
          <w:sz w:val="72"/>
          <w:szCs w:val="72"/>
        </w:rPr>
        <w:t>竞争性磋商文件</w:t>
      </w:r>
    </w:p>
    <w:p w14:paraId="2EF164AD">
      <w:pPr>
        <w:spacing w:line="600" w:lineRule="exact"/>
        <w:rPr>
          <w:rFonts w:ascii="宋体" w:hAnsi="宋体" w:cs="宋体"/>
          <w:b/>
          <w:bCs/>
          <w:color w:val="auto"/>
          <w:sz w:val="32"/>
          <w:szCs w:val="32"/>
        </w:rPr>
      </w:pPr>
    </w:p>
    <w:p w14:paraId="06EA7D2C">
      <w:pPr>
        <w:spacing w:line="600" w:lineRule="exact"/>
        <w:rPr>
          <w:rFonts w:ascii="宋体" w:hAnsi="宋体" w:cs="宋体"/>
          <w:b/>
          <w:bCs/>
          <w:color w:val="auto"/>
          <w:sz w:val="32"/>
          <w:szCs w:val="32"/>
        </w:rPr>
      </w:pPr>
    </w:p>
    <w:p w14:paraId="52F120FD">
      <w:pPr>
        <w:spacing w:line="600" w:lineRule="exact"/>
        <w:rPr>
          <w:rFonts w:ascii="宋体" w:hAnsi="宋体" w:cs="宋体"/>
          <w:b/>
          <w:bCs/>
          <w:color w:val="auto"/>
          <w:sz w:val="32"/>
          <w:szCs w:val="32"/>
        </w:rPr>
      </w:pPr>
    </w:p>
    <w:p w14:paraId="109BE41D">
      <w:pPr>
        <w:spacing w:line="600" w:lineRule="exact"/>
        <w:rPr>
          <w:rFonts w:ascii="宋体" w:hAnsi="宋体" w:cs="宋体"/>
          <w:b/>
          <w:bCs/>
          <w:color w:val="auto"/>
          <w:sz w:val="32"/>
          <w:szCs w:val="32"/>
        </w:rPr>
      </w:pPr>
    </w:p>
    <w:p w14:paraId="7333D621">
      <w:pPr>
        <w:spacing w:afterLines="100" w:line="600" w:lineRule="exact"/>
        <w:ind w:firstLine="643" w:firstLineChars="200"/>
        <w:rPr>
          <w:rFonts w:ascii="宋体" w:hAnsi="宋体" w:cs="宋体"/>
          <w:b/>
          <w:bCs/>
          <w:color w:val="auto"/>
          <w:sz w:val="32"/>
          <w:szCs w:val="32"/>
          <w:u w:val="single"/>
        </w:rPr>
      </w:pPr>
      <w:r>
        <w:rPr>
          <w:rFonts w:hint="eastAsia" w:ascii="宋体" w:hAnsi="宋体" w:cs="宋体"/>
          <w:b/>
          <w:bCs/>
          <w:color w:val="auto"/>
          <w:sz w:val="32"/>
          <w:szCs w:val="32"/>
        </w:rPr>
        <w:t>项目编号：</w:t>
      </w:r>
      <w:r>
        <w:rPr>
          <w:rFonts w:hint="eastAsia" w:ascii="宋体" w:hAnsi="宋体" w:cs="宋体"/>
          <w:b/>
          <w:bCs/>
          <w:color w:val="auto"/>
          <w:sz w:val="32"/>
          <w:szCs w:val="32"/>
          <w:u w:val="single"/>
        </w:rPr>
        <w:t xml:space="preserve">        </w:t>
      </w:r>
      <w:r>
        <w:rPr>
          <w:rFonts w:hint="eastAsia" w:ascii="宋体" w:hAnsi="宋体" w:cs="宋体"/>
          <w:b/>
          <w:bCs/>
          <w:color w:val="auto"/>
          <w:sz w:val="30"/>
          <w:szCs w:val="30"/>
          <w:u w:val="single"/>
          <w:lang w:eastAsia="zh-CN"/>
        </w:rPr>
        <w:t>GS（采）2025-</w:t>
      </w:r>
      <w:r>
        <w:rPr>
          <w:rFonts w:hint="eastAsia" w:ascii="宋体" w:hAnsi="宋体" w:cs="宋体"/>
          <w:b/>
          <w:bCs/>
          <w:color w:val="auto"/>
          <w:sz w:val="30"/>
          <w:szCs w:val="30"/>
          <w:u w:val="single"/>
          <w:lang w:val="en-US" w:eastAsia="zh-CN"/>
        </w:rPr>
        <w:t>006</w:t>
      </w:r>
      <w:r>
        <w:rPr>
          <w:rFonts w:hint="eastAsia" w:ascii="宋体" w:hAnsi="宋体" w:cs="宋体"/>
          <w:b/>
          <w:bCs/>
          <w:color w:val="auto"/>
          <w:sz w:val="30"/>
          <w:szCs w:val="30"/>
          <w:u w:val="single"/>
        </w:rPr>
        <w:t xml:space="preserve">                </w:t>
      </w:r>
    </w:p>
    <w:p w14:paraId="03515B27">
      <w:pPr>
        <w:spacing w:line="600" w:lineRule="exact"/>
        <w:ind w:left="1892" w:leftChars="303" w:right="195" w:rightChars="93" w:hanging="1256" w:hangingChars="417"/>
        <w:rPr>
          <w:rFonts w:ascii="宋体" w:hAnsi="宋体" w:cs="宋体"/>
          <w:b/>
          <w:bCs/>
          <w:color w:val="auto"/>
          <w:sz w:val="30"/>
          <w:szCs w:val="30"/>
          <w:u w:val="single"/>
        </w:rPr>
      </w:pPr>
      <w:r>
        <w:rPr>
          <w:rFonts w:hint="eastAsia" w:ascii="宋体" w:hAnsi="宋体" w:cs="宋体"/>
          <w:b/>
          <w:bCs/>
          <w:color w:val="auto"/>
          <w:sz w:val="30"/>
          <w:szCs w:val="30"/>
        </w:rPr>
        <w:t>项目名称：</w:t>
      </w:r>
      <w:r>
        <w:rPr>
          <w:rFonts w:hint="eastAsia" w:ascii="宋体" w:hAnsi="宋体" w:cs="宋体"/>
          <w:b/>
          <w:bCs/>
          <w:color w:val="auto"/>
          <w:sz w:val="30"/>
          <w:szCs w:val="30"/>
          <w:u w:val="single"/>
        </w:rPr>
        <w:t xml:space="preserve">   </w:t>
      </w:r>
      <w:r>
        <w:rPr>
          <w:rFonts w:hint="eastAsia" w:ascii="宋体" w:hAnsi="宋体" w:cs="宋体"/>
          <w:b/>
          <w:bCs/>
          <w:color w:val="auto"/>
          <w:sz w:val="30"/>
          <w:szCs w:val="30"/>
          <w:u w:val="single"/>
          <w:lang w:eastAsia="zh-CN"/>
        </w:rPr>
        <w:t>南浔经济开发区2025年城市管理服务项目</w:t>
      </w:r>
      <w:r>
        <w:rPr>
          <w:rFonts w:hint="eastAsia" w:ascii="宋体" w:hAnsi="宋体" w:cs="宋体"/>
          <w:b/>
          <w:bCs/>
          <w:color w:val="auto"/>
          <w:sz w:val="30"/>
          <w:szCs w:val="30"/>
          <w:u w:val="single"/>
        </w:rPr>
        <w:t xml:space="preserve">       </w:t>
      </w:r>
    </w:p>
    <w:p w14:paraId="626624AE">
      <w:pPr>
        <w:spacing w:line="1000" w:lineRule="exact"/>
        <w:ind w:firstLine="602" w:firstLineChars="200"/>
        <w:rPr>
          <w:rFonts w:ascii="宋体" w:hAnsi="宋体" w:cs="宋体"/>
          <w:b/>
          <w:bCs/>
          <w:color w:val="auto"/>
          <w:sz w:val="32"/>
          <w:szCs w:val="32"/>
        </w:rPr>
      </w:pPr>
      <w:r>
        <w:rPr>
          <w:rFonts w:hint="eastAsia" w:ascii="宋体" w:hAnsi="宋体" w:cs="宋体"/>
          <w:b/>
          <w:bCs/>
          <w:color w:val="auto"/>
          <w:sz w:val="30"/>
          <w:szCs w:val="30"/>
        </w:rPr>
        <w:t>采购单位：</w:t>
      </w:r>
      <w:r>
        <w:rPr>
          <w:rFonts w:hint="eastAsia" w:ascii="宋体" w:hAnsi="宋体" w:cs="宋体"/>
          <w:b/>
          <w:bCs/>
          <w:color w:val="auto"/>
          <w:sz w:val="30"/>
          <w:szCs w:val="30"/>
          <w:u w:val="single"/>
        </w:rPr>
        <w:t xml:space="preserve">     浙江南浔经济开发区管理委员会  </w:t>
      </w:r>
      <w:r>
        <w:rPr>
          <w:rFonts w:hint="eastAsia" w:ascii="宋体" w:hAnsi="宋体"/>
          <w:b/>
          <w:bCs/>
          <w:snapToGrid w:val="0"/>
          <w:color w:val="auto"/>
          <w:sz w:val="30"/>
          <w:szCs w:val="30"/>
          <w:u w:val="single"/>
        </w:rPr>
        <w:t>（盖章）</w:t>
      </w:r>
    </w:p>
    <w:p w14:paraId="1DD0402B">
      <w:pPr>
        <w:spacing w:line="1000" w:lineRule="exact"/>
        <w:ind w:firstLine="602" w:firstLineChars="200"/>
        <w:rPr>
          <w:rFonts w:ascii="宋体" w:hAnsi="宋体" w:cs="宋体"/>
          <w:b/>
          <w:bCs/>
          <w:color w:val="auto"/>
          <w:sz w:val="30"/>
          <w:szCs w:val="30"/>
          <w:u w:val="single"/>
        </w:rPr>
      </w:pPr>
      <w:r>
        <w:rPr>
          <w:rFonts w:hint="eastAsia" w:ascii="宋体" w:hAnsi="宋体" w:cs="宋体"/>
          <w:b/>
          <w:bCs/>
          <w:color w:val="auto"/>
          <w:sz w:val="30"/>
          <w:szCs w:val="30"/>
        </w:rPr>
        <w:t>代理机构：</w:t>
      </w:r>
      <w:r>
        <w:rPr>
          <w:rFonts w:hint="eastAsia" w:ascii="宋体" w:hAnsi="宋体" w:cs="宋体"/>
          <w:b/>
          <w:bCs/>
          <w:color w:val="auto"/>
          <w:sz w:val="30"/>
          <w:szCs w:val="30"/>
          <w:u w:val="single"/>
        </w:rPr>
        <w:t xml:space="preserve">      杭州广厦建筑咨询有限公司    （盖章）</w:t>
      </w:r>
    </w:p>
    <w:p w14:paraId="4DC7B3E6">
      <w:pPr>
        <w:spacing w:line="1000" w:lineRule="exact"/>
        <w:jc w:val="center"/>
        <w:rPr>
          <w:rFonts w:ascii="宋体" w:hAnsi="宋体" w:cs="宋体"/>
          <w:b/>
          <w:bCs/>
          <w:color w:val="auto"/>
          <w:sz w:val="30"/>
          <w:szCs w:val="30"/>
        </w:rPr>
      </w:pPr>
      <w:r>
        <w:rPr>
          <w:rFonts w:hint="eastAsia" w:ascii="宋体" w:hAnsi="宋体" w:cs="宋体"/>
          <w:b/>
          <w:bCs/>
          <w:color w:val="auto"/>
          <w:sz w:val="30"/>
          <w:szCs w:val="30"/>
        </w:rPr>
        <w:t>日期：</w:t>
      </w:r>
      <w:r>
        <w:rPr>
          <w:rFonts w:hint="eastAsia" w:ascii="宋体" w:hAnsi="宋体" w:cs="宋体"/>
          <w:b/>
          <w:bCs/>
          <w:color w:val="auto"/>
          <w:sz w:val="30"/>
          <w:szCs w:val="30"/>
          <w:u w:val="single"/>
        </w:rPr>
        <w:t>202</w:t>
      </w:r>
      <w:r>
        <w:rPr>
          <w:rFonts w:hint="eastAsia" w:ascii="宋体" w:hAnsi="宋体" w:cs="宋体"/>
          <w:b/>
          <w:bCs/>
          <w:color w:val="auto"/>
          <w:sz w:val="30"/>
          <w:szCs w:val="30"/>
          <w:u w:val="single"/>
          <w:lang w:val="en-US" w:eastAsia="zh-CN"/>
        </w:rPr>
        <w:t>5</w:t>
      </w:r>
      <w:r>
        <w:rPr>
          <w:rFonts w:hint="eastAsia" w:ascii="宋体" w:hAnsi="宋体" w:cs="宋体"/>
          <w:b/>
          <w:bCs/>
          <w:color w:val="auto"/>
          <w:sz w:val="30"/>
          <w:szCs w:val="30"/>
        </w:rPr>
        <w:t>年</w:t>
      </w:r>
      <w:r>
        <w:rPr>
          <w:rFonts w:hint="eastAsia" w:ascii="宋体" w:hAnsi="宋体" w:cs="宋体"/>
          <w:b/>
          <w:bCs/>
          <w:color w:val="auto"/>
          <w:sz w:val="30"/>
          <w:szCs w:val="30"/>
          <w:u w:val="single"/>
          <w:lang w:val="en-US" w:eastAsia="zh-CN"/>
        </w:rPr>
        <w:t>3</w:t>
      </w:r>
      <w:r>
        <w:rPr>
          <w:rFonts w:hint="eastAsia" w:ascii="宋体" w:hAnsi="宋体" w:cs="宋体"/>
          <w:b/>
          <w:bCs/>
          <w:color w:val="auto"/>
          <w:sz w:val="30"/>
          <w:szCs w:val="30"/>
        </w:rPr>
        <w:t>月</w:t>
      </w:r>
    </w:p>
    <w:p w14:paraId="77335F2D">
      <w:pPr>
        <w:pStyle w:val="2"/>
        <w:ind w:firstLine="240"/>
      </w:pPr>
    </w:p>
    <w:p w14:paraId="510C6585"/>
    <w:p w14:paraId="781246AE">
      <w:pPr>
        <w:pStyle w:val="2"/>
        <w:ind w:firstLine="240"/>
      </w:pPr>
    </w:p>
    <w:p w14:paraId="07996779"/>
    <w:p w14:paraId="6E3B7D56">
      <w:pPr>
        <w:spacing w:line="360" w:lineRule="auto"/>
        <w:jc w:val="center"/>
        <w:rPr>
          <w:rFonts w:ascii="宋体" w:hAnsi="宋体"/>
          <w:b/>
          <w:sz w:val="44"/>
          <w:szCs w:val="44"/>
        </w:rPr>
      </w:pPr>
      <w:r>
        <w:rPr>
          <w:rFonts w:hint="eastAsia" w:ascii="宋体" w:hAnsi="宋体"/>
          <w:b/>
          <w:sz w:val="44"/>
          <w:szCs w:val="44"/>
        </w:rPr>
        <w:t>目</w:t>
      </w:r>
      <w:r>
        <w:rPr>
          <w:rFonts w:ascii="宋体" w:hAnsi="宋体"/>
          <w:b/>
          <w:sz w:val="44"/>
          <w:szCs w:val="44"/>
        </w:rPr>
        <w:t xml:space="preserve">   录</w:t>
      </w:r>
    </w:p>
    <w:p w14:paraId="538CBF6F">
      <w:pPr>
        <w:pStyle w:val="25"/>
        <w:rPr>
          <w:rFonts w:ascii="Calibri" w:hAnsi="Calibri"/>
          <w:sz w:val="21"/>
          <w:szCs w:val="22"/>
        </w:rPr>
      </w:pPr>
      <w:r>
        <w:rPr>
          <w:rFonts w:hint="eastAsia" w:ascii="仿宋_GB2312" w:eastAsia="仿宋_GB2312"/>
          <w:sz w:val="28"/>
          <w:szCs w:val="28"/>
        </w:rPr>
        <w:fldChar w:fldCharType="begin"/>
      </w:r>
      <w:r>
        <w:rPr>
          <w:rFonts w:hint="eastAsia" w:ascii="仿宋_GB2312" w:eastAsia="仿宋_GB2312"/>
          <w:sz w:val="28"/>
          <w:szCs w:val="28"/>
        </w:rPr>
        <w:instrText xml:space="preserve"> TOC \o "1-3" \h \z \u </w:instrText>
      </w:r>
      <w:r>
        <w:rPr>
          <w:rFonts w:hint="eastAsia" w:ascii="仿宋_GB2312" w:eastAsia="仿宋_GB2312"/>
          <w:sz w:val="28"/>
          <w:szCs w:val="28"/>
        </w:rPr>
        <w:fldChar w:fldCharType="separate"/>
      </w:r>
      <w:r>
        <w:fldChar w:fldCharType="begin"/>
      </w:r>
      <w:r>
        <w:instrText xml:space="preserve"> HYPERLINK \l "_Toc72487169" </w:instrText>
      </w:r>
      <w:r>
        <w:fldChar w:fldCharType="separate"/>
      </w:r>
      <w:r>
        <w:rPr>
          <w:rStyle w:val="46"/>
          <w:rFonts w:hint="eastAsia"/>
        </w:rPr>
        <w:t>竞争性磋商公告</w:t>
      </w:r>
      <w:r>
        <w:tab/>
      </w:r>
      <w:r>
        <w:fldChar w:fldCharType="begin"/>
      </w:r>
      <w:r>
        <w:instrText xml:space="preserve"> PAGEREF _Toc72487169 \h </w:instrText>
      </w:r>
      <w:r>
        <w:fldChar w:fldCharType="separate"/>
      </w:r>
      <w:r>
        <w:t>3</w:t>
      </w:r>
      <w:r>
        <w:fldChar w:fldCharType="end"/>
      </w:r>
      <w:r>
        <w:fldChar w:fldCharType="end"/>
      </w:r>
    </w:p>
    <w:p w14:paraId="6CAD8C15">
      <w:pPr>
        <w:pStyle w:val="25"/>
        <w:rPr>
          <w:rFonts w:ascii="Calibri" w:hAnsi="Calibri"/>
          <w:sz w:val="21"/>
          <w:szCs w:val="22"/>
        </w:rPr>
      </w:pPr>
      <w:r>
        <w:fldChar w:fldCharType="begin"/>
      </w:r>
      <w:r>
        <w:instrText xml:space="preserve"> HYPERLINK \l "_Toc72487170" </w:instrText>
      </w:r>
      <w:r>
        <w:fldChar w:fldCharType="separate"/>
      </w:r>
      <w:r>
        <w:rPr>
          <w:rStyle w:val="46"/>
          <w:rFonts w:hint="eastAsia"/>
        </w:rPr>
        <w:t>第一章供应商须知</w:t>
      </w:r>
      <w:r>
        <w:tab/>
      </w:r>
      <w:r>
        <w:fldChar w:fldCharType="begin"/>
      </w:r>
      <w:r>
        <w:instrText xml:space="preserve"> PAGEREF _Toc72487170 \h </w:instrText>
      </w:r>
      <w:r>
        <w:fldChar w:fldCharType="separate"/>
      </w:r>
      <w:r>
        <w:t>7</w:t>
      </w:r>
      <w:r>
        <w:fldChar w:fldCharType="end"/>
      </w:r>
      <w:r>
        <w:fldChar w:fldCharType="end"/>
      </w:r>
    </w:p>
    <w:p w14:paraId="5AACBB5C">
      <w:pPr>
        <w:pStyle w:val="30"/>
        <w:rPr>
          <w:rFonts w:ascii="Calibri" w:hAnsi="Calibri"/>
          <w:sz w:val="21"/>
          <w:szCs w:val="22"/>
        </w:rPr>
      </w:pPr>
      <w:r>
        <w:fldChar w:fldCharType="begin"/>
      </w:r>
      <w:r>
        <w:instrText xml:space="preserve"> HYPERLINK \l "_Toc72487171" </w:instrText>
      </w:r>
      <w:r>
        <w:fldChar w:fldCharType="separate"/>
      </w:r>
      <w:r>
        <w:rPr>
          <w:rStyle w:val="46"/>
          <w:rFonts w:hint="eastAsia" w:ascii="宋体" w:hAnsi="宋体"/>
        </w:rPr>
        <w:t>前附表</w:t>
      </w:r>
      <w:r>
        <w:tab/>
      </w:r>
      <w:r>
        <w:fldChar w:fldCharType="begin"/>
      </w:r>
      <w:r>
        <w:instrText xml:space="preserve"> PAGEREF _Toc72487171 \h </w:instrText>
      </w:r>
      <w:r>
        <w:fldChar w:fldCharType="separate"/>
      </w:r>
      <w:r>
        <w:t>7</w:t>
      </w:r>
      <w:r>
        <w:fldChar w:fldCharType="end"/>
      </w:r>
      <w:r>
        <w:fldChar w:fldCharType="end"/>
      </w:r>
    </w:p>
    <w:p w14:paraId="3C0967E7">
      <w:pPr>
        <w:pStyle w:val="30"/>
        <w:rPr>
          <w:rFonts w:ascii="Calibri" w:hAnsi="Calibri"/>
          <w:sz w:val="21"/>
          <w:szCs w:val="22"/>
        </w:rPr>
      </w:pPr>
      <w:r>
        <w:fldChar w:fldCharType="begin"/>
      </w:r>
      <w:r>
        <w:instrText xml:space="preserve"> HYPERLINK \l "_Toc72487172" </w:instrText>
      </w:r>
      <w:r>
        <w:fldChar w:fldCharType="separate"/>
      </w:r>
      <w:r>
        <w:rPr>
          <w:rStyle w:val="46"/>
          <w:rFonts w:hint="eastAsia" w:ascii="宋体" w:hAnsi="宋体"/>
        </w:rPr>
        <w:t>一、总则</w:t>
      </w:r>
      <w:r>
        <w:tab/>
      </w:r>
      <w:r>
        <w:fldChar w:fldCharType="begin"/>
      </w:r>
      <w:r>
        <w:instrText xml:space="preserve"> PAGEREF _Toc72487172 \h </w:instrText>
      </w:r>
      <w:r>
        <w:fldChar w:fldCharType="separate"/>
      </w:r>
      <w:r>
        <w:t>10</w:t>
      </w:r>
      <w:r>
        <w:fldChar w:fldCharType="end"/>
      </w:r>
      <w:r>
        <w:fldChar w:fldCharType="end"/>
      </w:r>
    </w:p>
    <w:p w14:paraId="27F51F53">
      <w:pPr>
        <w:pStyle w:val="30"/>
        <w:rPr>
          <w:rFonts w:ascii="Calibri" w:hAnsi="Calibri"/>
          <w:sz w:val="21"/>
          <w:szCs w:val="22"/>
        </w:rPr>
      </w:pPr>
      <w:r>
        <w:fldChar w:fldCharType="begin"/>
      </w:r>
      <w:r>
        <w:instrText xml:space="preserve"> HYPERLINK \l "_Toc72487173" </w:instrText>
      </w:r>
      <w:r>
        <w:fldChar w:fldCharType="separate"/>
      </w:r>
      <w:r>
        <w:rPr>
          <w:rStyle w:val="46"/>
          <w:rFonts w:hint="eastAsia" w:ascii="宋体" w:hAnsi="宋体"/>
          <w:kern w:val="44"/>
        </w:rPr>
        <w:t>二、磋商文件的说明</w:t>
      </w:r>
      <w:r>
        <w:tab/>
      </w:r>
      <w:r>
        <w:fldChar w:fldCharType="begin"/>
      </w:r>
      <w:r>
        <w:instrText xml:space="preserve"> PAGEREF _Toc72487173 \h </w:instrText>
      </w:r>
      <w:r>
        <w:fldChar w:fldCharType="separate"/>
      </w:r>
      <w:r>
        <w:t>10</w:t>
      </w:r>
      <w:r>
        <w:fldChar w:fldCharType="end"/>
      </w:r>
      <w:r>
        <w:fldChar w:fldCharType="end"/>
      </w:r>
    </w:p>
    <w:p w14:paraId="616D60DA">
      <w:pPr>
        <w:pStyle w:val="30"/>
        <w:rPr>
          <w:rFonts w:ascii="Calibri" w:hAnsi="Calibri"/>
          <w:sz w:val="21"/>
          <w:szCs w:val="22"/>
        </w:rPr>
      </w:pPr>
      <w:r>
        <w:fldChar w:fldCharType="begin"/>
      </w:r>
      <w:r>
        <w:instrText xml:space="preserve"> HYPERLINK \l "_Toc72487174" </w:instrText>
      </w:r>
      <w:r>
        <w:fldChar w:fldCharType="separate"/>
      </w:r>
      <w:r>
        <w:rPr>
          <w:rStyle w:val="46"/>
          <w:rFonts w:hint="eastAsia" w:ascii="宋体" w:hAnsi="宋体"/>
          <w:kern w:val="44"/>
        </w:rPr>
        <w:t>三、响应文件的上传、提交</w:t>
      </w:r>
      <w:r>
        <w:tab/>
      </w:r>
      <w:r>
        <w:fldChar w:fldCharType="begin"/>
      </w:r>
      <w:r>
        <w:instrText xml:space="preserve"> PAGEREF _Toc72487174 \h </w:instrText>
      </w:r>
      <w:r>
        <w:fldChar w:fldCharType="separate"/>
      </w:r>
      <w:r>
        <w:t>15</w:t>
      </w:r>
      <w:r>
        <w:fldChar w:fldCharType="end"/>
      </w:r>
      <w:r>
        <w:fldChar w:fldCharType="end"/>
      </w:r>
    </w:p>
    <w:p w14:paraId="22D5D496">
      <w:pPr>
        <w:pStyle w:val="30"/>
        <w:rPr>
          <w:rFonts w:ascii="Calibri" w:hAnsi="Calibri"/>
          <w:sz w:val="21"/>
          <w:szCs w:val="22"/>
        </w:rPr>
      </w:pPr>
      <w:r>
        <w:fldChar w:fldCharType="begin"/>
      </w:r>
      <w:r>
        <w:instrText xml:space="preserve"> HYPERLINK \l "_Toc72487175" </w:instrText>
      </w:r>
      <w:r>
        <w:fldChar w:fldCharType="separate"/>
      </w:r>
      <w:r>
        <w:rPr>
          <w:rStyle w:val="46"/>
          <w:rFonts w:hint="eastAsia" w:ascii="宋体" w:hAnsi="宋体"/>
          <w:kern w:val="44"/>
        </w:rPr>
        <w:t>四、</w:t>
      </w:r>
      <w:r>
        <w:rPr>
          <w:rStyle w:val="46"/>
          <w:rFonts w:hint="eastAsia" w:ascii="宋体" w:hAnsi="宋体"/>
        </w:rPr>
        <w:t>磋商</w:t>
      </w:r>
      <w:r>
        <w:rPr>
          <w:rStyle w:val="46"/>
          <w:rFonts w:hint="eastAsia" w:ascii="宋体" w:hAnsi="宋体"/>
          <w:spacing w:val="14"/>
        </w:rPr>
        <w:t>规则、</w:t>
      </w:r>
      <w:r>
        <w:rPr>
          <w:rStyle w:val="46"/>
          <w:rFonts w:hint="eastAsia" w:ascii="宋体" w:hAnsi="宋体"/>
        </w:rPr>
        <w:t>程序</w:t>
      </w:r>
      <w:r>
        <w:tab/>
      </w:r>
      <w:r>
        <w:fldChar w:fldCharType="begin"/>
      </w:r>
      <w:r>
        <w:instrText xml:space="preserve"> PAGEREF _Toc72487175 \h </w:instrText>
      </w:r>
      <w:r>
        <w:fldChar w:fldCharType="separate"/>
      </w:r>
      <w:r>
        <w:t>17</w:t>
      </w:r>
      <w:r>
        <w:fldChar w:fldCharType="end"/>
      </w:r>
      <w:r>
        <w:fldChar w:fldCharType="end"/>
      </w:r>
    </w:p>
    <w:p w14:paraId="49F56BBA">
      <w:pPr>
        <w:pStyle w:val="30"/>
        <w:rPr>
          <w:rFonts w:ascii="Calibri" w:hAnsi="Calibri"/>
          <w:sz w:val="21"/>
          <w:szCs w:val="22"/>
        </w:rPr>
      </w:pPr>
      <w:r>
        <w:fldChar w:fldCharType="begin"/>
      </w:r>
      <w:r>
        <w:instrText xml:space="preserve"> HYPERLINK \l "_Toc72487176" </w:instrText>
      </w:r>
      <w:r>
        <w:fldChar w:fldCharType="separate"/>
      </w:r>
      <w:r>
        <w:rPr>
          <w:rStyle w:val="46"/>
          <w:rFonts w:hint="eastAsia" w:ascii="宋体" w:hAnsi="宋体"/>
          <w:spacing w:val="14"/>
        </w:rPr>
        <w:t>五、授予合同</w:t>
      </w:r>
      <w:r>
        <w:tab/>
      </w:r>
      <w:r>
        <w:fldChar w:fldCharType="begin"/>
      </w:r>
      <w:r>
        <w:instrText xml:space="preserve"> PAGEREF _Toc72487176 \h </w:instrText>
      </w:r>
      <w:r>
        <w:fldChar w:fldCharType="separate"/>
      </w:r>
      <w:r>
        <w:t>20</w:t>
      </w:r>
      <w:r>
        <w:fldChar w:fldCharType="end"/>
      </w:r>
      <w:r>
        <w:fldChar w:fldCharType="end"/>
      </w:r>
    </w:p>
    <w:p w14:paraId="5A6F942D">
      <w:pPr>
        <w:pStyle w:val="25"/>
        <w:rPr>
          <w:rFonts w:ascii="Calibri" w:hAnsi="Calibri"/>
          <w:sz w:val="21"/>
          <w:szCs w:val="22"/>
        </w:rPr>
      </w:pPr>
      <w:r>
        <w:fldChar w:fldCharType="begin"/>
      </w:r>
      <w:r>
        <w:instrText xml:space="preserve"> HYPERLINK \l "_Toc72487177" </w:instrText>
      </w:r>
      <w:r>
        <w:fldChar w:fldCharType="separate"/>
      </w:r>
      <w:r>
        <w:rPr>
          <w:rStyle w:val="46"/>
          <w:rFonts w:hint="eastAsia"/>
        </w:rPr>
        <w:t>第二章磋商需求</w:t>
      </w:r>
      <w:r>
        <w:tab/>
      </w:r>
      <w:r>
        <w:fldChar w:fldCharType="begin"/>
      </w:r>
      <w:r>
        <w:instrText xml:space="preserve"> PAGEREF _Toc72487177 \h </w:instrText>
      </w:r>
      <w:r>
        <w:fldChar w:fldCharType="separate"/>
      </w:r>
      <w:r>
        <w:t>22</w:t>
      </w:r>
      <w:r>
        <w:fldChar w:fldCharType="end"/>
      </w:r>
      <w:r>
        <w:fldChar w:fldCharType="end"/>
      </w:r>
    </w:p>
    <w:p w14:paraId="1E974140">
      <w:pPr>
        <w:pStyle w:val="25"/>
        <w:rPr>
          <w:rFonts w:ascii="Calibri" w:hAnsi="Calibri"/>
          <w:sz w:val="21"/>
          <w:szCs w:val="22"/>
        </w:rPr>
      </w:pPr>
      <w:r>
        <w:fldChar w:fldCharType="begin"/>
      </w:r>
      <w:r>
        <w:instrText xml:space="preserve"> HYPERLINK \l "_Toc72487181" </w:instrText>
      </w:r>
      <w:r>
        <w:fldChar w:fldCharType="separate"/>
      </w:r>
      <w:r>
        <w:rPr>
          <w:rStyle w:val="46"/>
          <w:rFonts w:hint="eastAsia"/>
        </w:rPr>
        <w:t>第三章合同主要条款</w:t>
      </w:r>
      <w:r>
        <w:tab/>
      </w:r>
      <w:r>
        <w:fldChar w:fldCharType="begin"/>
      </w:r>
      <w:r>
        <w:instrText xml:space="preserve"> PAGEREF _Toc72487181 \h </w:instrText>
      </w:r>
      <w:r>
        <w:fldChar w:fldCharType="separate"/>
      </w:r>
      <w:r>
        <w:t>27</w:t>
      </w:r>
      <w:r>
        <w:fldChar w:fldCharType="end"/>
      </w:r>
      <w:r>
        <w:fldChar w:fldCharType="end"/>
      </w:r>
    </w:p>
    <w:p w14:paraId="3D24ECE8">
      <w:pPr>
        <w:pStyle w:val="25"/>
        <w:rPr>
          <w:rFonts w:ascii="Calibri" w:hAnsi="Calibri"/>
          <w:sz w:val="21"/>
          <w:szCs w:val="22"/>
        </w:rPr>
      </w:pPr>
      <w:r>
        <w:fldChar w:fldCharType="begin"/>
      </w:r>
      <w:r>
        <w:instrText xml:space="preserve"> HYPERLINK \l "_Toc72487182" </w:instrText>
      </w:r>
      <w:r>
        <w:fldChar w:fldCharType="separate"/>
      </w:r>
      <w:r>
        <w:rPr>
          <w:rStyle w:val="46"/>
          <w:rFonts w:hint="eastAsia"/>
        </w:rPr>
        <w:t>第四章响应文件格式</w:t>
      </w:r>
      <w:r>
        <w:tab/>
      </w:r>
      <w:r>
        <w:fldChar w:fldCharType="begin"/>
      </w:r>
      <w:r>
        <w:instrText xml:space="preserve"> PAGEREF _Toc72487182 \h </w:instrText>
      </w:r>
      <w:r>
        <w:fldChar w:fldCharType="separate"/>
      </w:r>
      <w:r>
        <w:t>32</w:t>
      </w:r>
      <w:r>
        <w:fldChar w:fldCharType="end"/>
      </w:r>
      <w:r>
        <w:fldChar w:fldCharType="end"/>
      </w:r>
    </w:p>
    <w:p w14:paraId="5BBBEB2F">
      <w:pPr>
        <w:pStyle w:val="25"/>
        <w:rPr>
          <w:rFonts w:ascii="Calibri" w:hAnsi="Calibri"/>
          <w:sz w:val="21"/>
          <w:szCs w:val="22"/>
        </w:rPr>
      </w:pPr>
      <w:r>
        <w:fldChar w:fldCharType="begin"/>
      </w:r>
      <w:r>
        <w:instrText xml:space="preserve"> HYPERLINK \l "_Toc72487183" </w:instrText>
      </w:r>
      <w:r>
        <w:fldChar w:fldCharType="separate"/>
      </w:r>
      <w:r>
        <w:rPr>
          <w:rStyle w:val="46"/>
          <w:rFonts w:hint="eastAsia"/>
        </w:rPr>
        <w:t>第五章磋商办法及评分标准</w:t>
      </w:r>
      <w:r>
        <w:tab/>
      </w:r>
      <w:r>
        <w:fldChar w:fldCharType="begin"/>
      </w:r>
      <w:r>
        <w:instrText xml:space="preserve"> PAGEREF _Toc72487183 \h </w:instrText>
      </w:r>
      <w:r>
        <w:fldChar w:fldCharType="separate"/>
      </w:r>
      <w:r>
        <w:t>50</w:t>
      </w:r>
      <w:r>
        <w:fldChar w:fldCharType="end"/>
      </w:r>
      <w:r>
        <w:fldChar w:fldCharType="end"/>
      </w:r>
    </w:p>
    <w:p w14:paraId="040B5994">
      <w:pPr>
        <w:spacing w:line="400" w:lineRule="exact"/>
        <w:jc w:val="center"/>
        <w:rPr>
          <w:rFonts w:ascii="仿宋_GB2312" w:eastAsia="仿宋_GB2312"/>
          <w:b/>
          <w:sz w:val="28"/>
          <w:szCs w:val="28"/>
        </w:rPr>
      </w:pPr>
      <w:r>
        <w:rPr>
          <w:rFonts w:hint="eastAsia" w:ascii="仿宋_GB2312" w:eastAsia="仿宋_GB2312"/>
          <w:b/>
          <w:sz w:val="28"/>
          <w:szCs w:val="28"/>
        </w:rPr>
        <w:fldChar w:fldCharType="end"/>
      </w:r>
    </w:p>
    <w:p w14:paraId="12DEE7A3">
      <w:pPr>
        <w:spacing w:line="400" w:lineRule="exact"/>
        <w:jc w:val="center"/>
        <w:rPr>
          <w:rFonts w:ascii="仿宋_GB2312" w:eastAsia="仿宋_GB2312"/>
          <w:b/>
          <w:sz w:val="28"/>
          <w:szCs w:val="28"/>
        </w:rPr>
      </w:pPr>
    </w:p>
    <w:p w14:paraId="129D2CB3">
      <w:pPr>
        <w:spacing w:line="400" w:lineRule="exact"/>
        <w:jc w:val="center"/>
        <w:rPr>
          <w:rFonts w:ascii="仿宋_GB2312" w:eastAsia="仿宋_GB2312"/>
          <w:b/>
          <w:sz w:val="28"/>
          <w:szCs w:val="28"/>
        </w:rPr>
      </w:pPr>
    </w:p>
    <w:p w14:paraId="7185FE39">
      <w:pPr>
        <w:spacing w:line="400" w:lineRule="exact"/>
        <w:jc w:val="center"/>
        <w:rPr>
          <w:rFonts w:ascii="仿宋_GB2312" w:eastAsia="仿宋_GB2312"/>
          <w:b/>
          <w:sz w:val="28"/>
          <w:szCs w:val="28"/>
        </w:rPr>
      </w:pPr>
    </w:p>
    <w:p w14:paraId="4C21F72D">
      <w:pPr>
        <w:spacing w:line="400" w:lineRule="exact"/>
        <w:jc w:val="center"/>
        <w:rPr>
          <w:rFonts w:ascii="仿宋_GB2312" w:eastAsia="仿宋_GB2312"/>
          <w:b/>
          <w:sz w:val="28"/>
          <w:szCs w:val="28"/>
        </w:rPr>
      </w:pPr>
    </w:p>
    <w:p w14:paraId="663C3E54">
      <w:pPr>
        <w:spacing w:line="400" w:lineRule="exact"/>
        <w:jc w:val="center"/>
        <w:rPr>
          <w:rFonts w:ascii="仿宋_GB2312" w:eastAsia="仿宋_GB2312"/>
          <w:b/>
          <w:sz w:val="28"/>
          <w:szCs w:val="28"/>
        </w:rPr>
      </w:pPr>
    </w:p>
    <w:p w14:paraId="5D3EA31D">
      <w:pPr>
        <w:spacing w:line="400" w:lineRule="exact"/>
        <w:jc w:val="center"/>
        <w:rPr>
          <w:rFonts w:ascii="仿宋_GB2312" w:eastAsia="仿宋_GB2312"/>
          <w:b/>
          <w:sz w:val="28"/>
          <w:szCs w:val="28"/>
        </w:rPr>
      </w:pPr>
      <w:bookmarkStart w:id="27" w:name="_GoBack"/>
      <w:bookmarkEnd w:id="27"/>
    </w:p>
    <w:p w14:paraId="33204D6C">
      <w:pPr>
        <w:pStyle w:val="2"/>
        <w:ind w:firstLine="240"/>
      </w:pPr>
    </w:p>
    <w:p w14:paraId="6E9A65A4">
      <w:pPr>
        <w:spacing w:line="400" w:lineRule="exact"/>
        <w:jc w:val="center"/>
        <w:rPr>
          <w:rFonts w:ascii="仿宋_GB2312" w:eastAsia="仿宋_GB2312"/>
          <w:b/>
          <w:sz w:val="28"/>
          <w:szCs w:val="28"/>
        </w:rPr>
      </w:pPr>
    </w:p>
    <w:p w14:paraId="3CE77BED">
      <w:pPr>
        <w:pStyle w:val="2"/>
        <w:ind w:firstLine="240"/>
      </w:pPr>
    </w:p>
    <w:p w14:paraId="392B0ABE">
      <w:pPr>
        <w:spacing w:line="400" w:lineRule="exact"/>
        <w:rPr>
          <w:rFonts w:ascii="仿宋_GB2312" w:eastAsia="仿宋_GB2312"/>
          <w:b/>
          <w:sz w:val="28"/>
          <w:szCs w:val="28"/>
        </w:rPr>
      </w:pPr>
    </w:p>
    <w:p w14:paraId="2553466F">
      <w:pPr>
        <w:pStyle w:val="4"/>
        <w:spacing w:before="120" w:after="120" w:line="240" w:lineRule="atLeast"/>
        <w:jc w:val="center"/>
        <w:rPr>
          <w:rFonts w:ascii="宋体" w:hAnsi="宋体"/>
          <w:b w:val="0"/>
          <w:sz w:val="30"/>
          <w:szCs w:val="30"/>
        </w:rPr>
      </w:pPr>
      <w:bookmarkStart w:id="0" w:name="_Toc72487169"/>
      <w:r>
        <w:rPr>
          <w:rFonts w:hint="eastAsia"/>
          <w:sz w:val="30"/>
          <w:szCs w:val="30"/>
          <w:lang w:eastAsia="zh-CN"/>
        </w:rPr>
        <w:t>南浔经济开发区2025年城市管理服务项目</w:t>
      </w:r>
      <w:r>
        <w:rPr>
          <w:rFonts w:hint="eastAsia"/>
          <w:sz w:val="30"/>
          <w:szCs w:val="30"/>
        </w:rPr>
        <w:t>竞争性磋商公告</w:t>
      </w:r>
      <w:bookmarkEnd w:id="0"/>
    </w:p>
    <w:p w14:paraId="1BACE991">
      <w:pPr>
        <w:pStyle w:val="2"/>
        <w:ind w:firstLine="241"/>
        <w:jc w:val="center"/>
      </w:pPr>
      <w:r>
        <w:rPr>
          <w:rFonts w:hint="eastAsia" w:ascii="宋体" w:hAnsi="宋体" w:cs="宋体"/>
          <w:b/>
          <w:bCs/>
          <w:kern w:val="0"/>
        </w:rPr>
        <w:t>（本项目为电子招投标项目）</w:t>
      </w:r>
    </w:p>
    <w:p w14:paraId="65BEAED7">
      <w:pPr>
        <w:snapToGrid w:val="0"/>
        <w:spacing w:line="400" w:lineRule="exact"/>
        <w:ind w:firstLine="480" w:firstLineChars="200"/>
        <w:rPr>
          <w:rFonts w:ascii="宋体" w:hAnsi="宋体"/>
          <w:color w:val="auto"/>
          <w:sz w:val="24"/>
        </w:rPr>
      </w:pPr>
      <w:r>
        <w:rPr>
          <w:rFonts w:hint="eastAsia" w:ascii="宋体" w:hAnsi="宋体" w:cs="宋体"/>
          <w:kern w:val="0"/>
          <w:sz w:val="24"/>
        </w:rPr>
        <w:t>根据《中华人民共和国政府采购法》、《政府采购竞争性磋商采购方式暂行办法》等相关规定，经湖州市南浔区财</w:t>
      </w:r>
      <w:r>
        <w:rPr>
          <w:rFonts w:hint="eastAsia" w:ascii="宋体" w:hAnsi="宋体" w:cs="宋体"/>
          <w:color w:val="auto"/>
          <w:kern w:val="0"/>
          <w:sz w:val="24"/>
        </w:rPr>
        <w:t>政局</w:t>
      </w:r>
      <w:r>
        <w:rPr>
          <w:rFonts w:hint="eastAsia" w:ascii="宋体" w:hAnsi="宋体"/>
          <w:b/>
          <w:color w:val="auto"/>
          <w:sz w:val="24"/>
          <w:u w:val="single"/>
        </w:rPr>
        <w:t>（财政审批编号：</w:t>
      </w:r>
      <w:r>
        <w:rPr>
          <w:rFonts w:hint="eastAsia" w:ascii="宋体" w:hAnsi="宋体"/>
          <w:b/>
          <w:color w:val="auto"/>
          <w:sz w:val="24"/>
          <w:u w:val="single"/>
          <w:lang w:eastAsia="zh-CN"/>
        </w:rPr>
        <w:t>[2025]154号</w:t>
      </w:r>
      <w:r>
        <w:rPr>
          <w:rFonts w:ascii="宋体" w:hAnsi="宋体"/>
          <w:b/>
          <w:color w:val="auto"/>
          <w:sz w:val="24"/>
          <w:u w:val="single"/>
        </w:rPr>
        <w:t>）</w:t>
      </w:r>
      <w:r>
        <w:rPr>
          <w:rFonts w:hint="eastAsia" w:ascii="宋体" w:hAnsi="宋体" w:cs="宋体"/>
          <w:color w:val="auto"/>
          <w:kern w:val="0"/>
          <w:sz w:val="24"/>
        </w:rPr>
        <w:t>批准，杭州广厦建筑咨询有限公司受浙江南浔经济开发区管理委员会的委托，就</w:t>
      </w:r>
      <w:r>
        <w:rPr>
          <w:rFonts w:hint="eastAsia" w:ascii="宋体" w:hAnsi="宋体"/>
          <w:color w:val="auto"/>
          <w:sz w:val="24"/>
          <w:lang w:eastAsia="zh-CN"/>
        </w:rPr>
        <w:t>南浔经济开发区2025年城市管理服务项目</w:t>
      </w:r>
      <w:r>
        <w:rPr>
          <w:rFonts w:hint="eastAsia" w:ascii="宋体" w:hAnsi="宋体" w:cs="宋体"/>
          <w:color w:val="auto"/>
          <w:kern w:val="0"/>
          <w:sz w:val="24"/>
        </w:rPr>
        <w:t>进行竞争性磋商，欢迎国内合格的供应商前来参加磋商。</w:t>
      </w:r>
    </w:p>
    <w:p w14:paraId="48A12CF0">
      <w:pPr>
        <w:numPr>
          <w:ilvl w:val="0"/>
          <w:numId w:val="1"/>
        </w:numPr>
        <w:snapToGrid w:val="0"/>
        <w:spacing w:line="400" w:lineRule="exact"/>
        <w:ind w:firstLine="472" w:firstLineChars="196"/>
        <w:rPr>
          <w:rFonts w:ascii="宋体" w:hAnsi="宋体"/>
          <w:color w:val="auto"/>
          <w:sz w:val="24"/>
        </w:rPr>
      </w:pPr>
      <w:r>
        <w:rPr>
          <w:rFonts w:hint="eastAsia" w:ascii="宋体" w:hAnsi="宋体" w:cs="宋体"/>
          <w:b/>
          <w:color w:val="auto"/>
          <w:kern w:val="0"/>
          <w:sz w:val="24"/>
        </w:rPr>
        <w:t>磋商项目编号</w:t>
      </w:r>
      <w:r>
        <w:rPr>
          <w:rFonts w:hint="eastAsia" w:ascii="宋体" w:hAnsi="宋体" w:cs="宋体"/>
          <w:color w:val="auto"/>
          <w:kern w:val="0"/>
          <w:sz w:val="24"/>
        </w:rPr>
        <w:t>：</w:t>
      </w:r>
      <w:r>
        <w:rPr>
          <w:rFonts w:hint="eastAsia" w:ascii="宋体" w:hAnsi="宋体" w:cs="宋体"/>
          <w:color w:val="auto"/>
          <w:kern w:val="0"/>
          <w:sz w:val="24"/>
          <w:lang w:eastAsia="zh-CN"/>
        </w:rPr>
        <w:t>GS（采）2025-</w:t>
      </w:r>
      <w:r>
        <w:rPr>
          <w:rFonts w:hint="eastAsia" w:ascii="宋体" w:hAnsi="宋体" w:cs="宋体"/>
          <w:color w:val="auto"/>
          <w:kern w:val="0"/>
          <w:sz w:val="24"/>
          <w:lang w:val="en-US" w:eastAsia="zh-CN"/>
        </w:rPr>
        <w:t>006</w:t>
      </w:r>
    </w:p>
    <w:p w14:paraId="3963891D">
      <w:pPr>
        <w:snapToGrid w:val="0"/>
        <w:spacing w:line="400" w:lineRule="exact"/>
        <w:ind w:firstLine="482" w:firstLineChars="200"/>
        <w:rPr>
          <w:rFonts w:ascii="宋体" w:hAnsi="宋体" w:cs="宋体"/>
          <w:bCs/>
          <w:color w:val="auto"/>
          <w:kern w:val="0"/>
          <w:sz w:val="24"/>
        </w:rPr>
      </w:pPr>
      <w:r>
        <w:rPr>
          <w:rFonts w:hint="eastAsia" w:ascii="宋体" w:hAnsi="宋体" w:cs="宋体"/>
          <w:b/>
          <w:color w:val="auto"/>
          <w:kern w:val="0"/>
          <w:sz w:val="24"/>
        </w:rPr>
        <w:t>二、采购组织类型：</w:t>
      </w:r>
      <w:r>
        <w:rPr>
          <w:rFonts w:hint="eastAsia" w:ascii="宋体" w:hAnsi="宋体" w:cs="宋体"/>
          <w:bCs/>
          <w:color w:val="auto"/>
          <w:kern w:val="0"/>
          <w:sz w:val="24"/>
        </w:rPr>
        <w:t>分散采购委托代理</w:t>
      </w:r>
    </w:p>
    <w:p w14:paraId="594A35CF">
      <w:pPr>
        <w:snapToGrid w:val="0"/>
        <w:spacing w:line="400" w:lineRule="exact"/>
        <w:ind w:firstLine="472" w:firstLineChars="196"/>
        <w:rPr>
          <w:rFonts w:ascii="宋体" w:hAnsi="宋体" w:cs="宋体"/>
          <w:bCs/>
          <w:color w:val="auto"/>
          <w:kern w:val="0"/>
          <w:sz w:val="24"/>
        </w:rPr>
      </w:pPr>
      <w:r>
        <w:rPr>
          <w:rFonts w:hint="eastAsia" w:ascii="宋体" w:hAnsi="宋体" w:cs="宋体"/>
          <w:b/>
          <w:color w:val="auto"/>
          <w:kern w:val="0"/>
          <w:sz w:val="24"/>
        </w:rPr>
        <w:t>三、采购方式：</w:t>
      </w:r>
      <w:r>
        <w:rPr>
          <w:rFonts w:hint="eastAsia" w:ascii="宋体" w:hAnsi="宋体" w:cs="宋体"/>
          <w:bCs/>
          <w:color w:val="auto"/>
          <w:kern w:val="0"/>
          <w:sz w:val="24"/>
        </w:rPr>
        <w:t>竞争性磋商</w:t>
      </w:r>
    </w:p>
    <w:p w14:paraId="5E2AB0C8">
      <w:pPr>
        <w:tabs>
          <w:tab w:val="left" w:pos="5895"/>
        </w:tabs>
        <w:snapToGrid w:val="0"/>
        <w:spacing w:line="400" w:lineRule="exact"/>
        <w:ind w:firstLine="472" w:firstLineChars="196"/>
        <w:rPr>
          <w:rFonts w:ascii="宋体" w:hAnsi="宋体" w:cs="宋体"/>
          <w:color w:val="auto"/>
          <w:kern w:val="0"/>
          <w:sz w:val="24"/>
        </w:rPr>
      </w:pPr>
      <w:bookmarkStart w:id="1" w:name="B09_招标内容"/>
      <w:r>
        <w:rPr>
          <w:rFonts w:hint="eastAsia" w:ascii="宋体" w:hAnsi="宋体" w:cs="宋体"/>
          <w:b/>
          <w:color w:val="auto"/>
          <w:kern w:val="0"/>
          <w:sz w:val="24"/>
        </w:rPr>
        <w:t>四、磋商项目概况</w:t>
      </w:r>
      <w:r>
        <w:rPr>
          <w:rFonts w:hint="eastAsia" w:ascii="宋体" w:hAnsi="宋体" w:cs="宋体"/>
          <w:color w:val="auto"/>
          <w:kern w:val="0"/>
          <w:sz w:val="24"/>
        </w:rPr>
        <w:t>：</w:t>
      </w:r>
    </w:p>
    <w:bookmarkEnd w:id="1"/>
    <w:tbl>
      <w:tblPr>
        <w:tblStyle w:val="35"/>
        <w:tblW w:w="923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2"/>
        <w:gridCol w:w="3966"/>
        <w:gridCol w:w="851"/>
        <w:gridCol w:w="2268"/>
        <w:gridCol w:w="1441"/>
      </w:tblGrid>
      <w:tr w14:paraId="779CB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12" w:type="dxa"/>
            <w:vAlign w:val="center"/>
          </w:tcPr>
          <w:p w14:paraId="1DA76C42">
            <w:pPr>
              <w:spacing w:line="384" w:lineRule="exact"/>
              <w:jc w:val="center"/>
              <w:rPr>
                <w:rFonts w:ascii="宋体" w:hAnsi="宋体" w:cs="宋体"/>
                <w:bCs/>
                <w:color w:val="auto"/>
                <w:sz w:val="24"/>
              </w:rPr>
            </w:pPr>
            <w:r>
              <w:rPr>
                <w:rFonts w:hint="eastAsia" w:ascii="宋体" w:hAnsi="宋体" w:cs="宋体"/>
                <w:bCs/>
                <w:color w:val="auto"/>
                <w:sz w:val="24"/>
              </w:rPr>
              <w:t>序号</w:t>
            </w:r>
          </w:p>
        </w:tc>
        <w:tc>
          <w:tcPr>
            <w:tcW w:w="3966" w:type="dxa"/>
            <w:vAlign w:val="center"/>
          </w:tcPr>
          <w:p w14:paraId="1EA1F625">
            <w:pPr>
              <w:spacing w:line="384" w:lineRule="exact"/>
              <w:ind w:left="57"/>
              <w:jc w:val="center"/>
              <w:rPr>
                <w:rFonts w:ascii="宋体" w:hAnsi="宋体" w:cs="宋体"/>
                <w:bCs/>
                <w:color w:val="auto"/>
                <w:sz w:val="24"/>
              </w:rPr>
            </w:pPr>
            <w:r>
              <w:rPr>
                <w:rFonts w:hint="eastAsia" w:ascii="宋体" w:hAnsi="宋体" w:cs="宋体"/>
                <w:color w:val="auto"/>
                <w:kern w:val="0"/>
                <w:sz w:val="24"/>
              </w:rPr>
              <w:t>项目名称</w:t>
            </w:r>
          </w:p>
        </w:tc>
        <w:tc>
          <w:tcPr>
            <w:tcW w:w="851" w:type="dxa"/>
            <w:vAlign w:val="center"/>
          </w:tcPr>
          <w:p w14:paraId="4EC3750F">
            <w:pPr>
              <w:spacing w:line="384" w:lineRule="exact"/>
              <w:jc w:val="center"/>
              <w:rPr>
                <w:rFonts w:ascii="宋体" w:hAnsi="宋体" w:cs="宋体"/>
                <w:bCs/>
                <w:color w:val="auto"/>
                <w:sz w:val="24"/>
              </w:rPr>
            </w:pPr>
            <w:r>
              <w:rPr>
                <w:rFonts w:hint="eastAsia" w:ascii="宋体" w:hAnsi="宋体" w:cs="宋体"/>
                <w:bCs/>
                <w:color w:val="auto"/>
                <w:sz w:val="24"/>
              </w:rPr>
              <w:t>数量</w:t>
            </w:r>
          </w:p>
        </w:tc>
        <w:tc>
          <w:tcPr>
            <w:tcW w:w="2268" w:type="dxa"/>
            <w:vAlign w:val="center"/>
          </w:tcPr>
          <w:p w14:paraId="46B103AD">
            <w:pPr>
              <w:spacing w:line="384" w:lineRule="exact"/>
              <w:jc w:val="center"/>
              <w:rPr>
                <w:rFonts w:ascii="宋体" w:hAnsi="宋体" w:cs="宋体"/>
                <w:bCs/>
                <w:color w:val="auto"/>
                <w:sz w:val="24"/>
              </w:rPr>
            </w:pPr>
            <w:r>
              <w:rPr>
                <w:rFonts w:hint="eastAsia" w:ascii="宋体" w:hAnsi="宋体" w:cs="宋体"/>
                <w:bCs/>
                <w:color w:val="auto"/>
                <w:sz w:val="24"/>
              </w:rPr>
              <w:t>磋商内容</w:t>
            </w:r>
          </w:p>
        </w:tc>
        <w:tc>
          <w:tcPr>
            <w:tcW w:w="1441" w:type="dxa"/>
            <w:vAlign w:val="center"/>
          </w:tcPr>
          <w:p w14:paraId="03F11D7E">
            <w:pPr>
              <w:spacing w:line="384" w:lineRule="exact"/>
              <w:jc w:val="center"/>
              <w:rPr>
                <w:rFonts w:ascii="宋体" w:hAnsi="宋体" w:cs="宋体"/>
                <w:bCs/>
                <w:color w:val="auto"/>
                <w:sz w:val="24"/>
              </w:rPr>
            </w:pPr>
            <w:r>
              <w:rPr>
                <w:rFonts w:hint="eastAsia" w:ascii="宋体" w:hAnsi="宋体" w:cs="宋体"/>
                <w:bCs/>
                <w:color w:val="auto"/>
                <w:sz w:val="24"/>
              </w:rPr>
              <w:t xml:space="preserve">预算金额 </w:t>
            </w:r>
          </w:p>
        </w:tc>
      </w:tr>
      <w:tr w14:paraId="52BCA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12" w:type="dxa"/>
            <w:vAlign w:val="center"/>
          </w:tcPr>
          <w:p w14:paraId="06CDFE47">
            <w:pPr>
              <w:spacing w:line="384" w:lineRule="exact"/>
              <w:jc w:val="center"/>
              <w:rPr>
                <w:rFonts w:ascii="宋体" w:hAnsi="宋体" w:cs="宋体"/>
                <w:bCs/>
                <w:color w:val="auto"/>
                <w:sz w:val="24"/>
              </w:rPr>
            </w:pPr>
            <w:r>
              <w:rPr>
                <w:rFonts w:hint="eastAsia" w:ascii="宋体" w:hAnsi="宋体" w:cs="宋体"/>
                <w:bCs/>
                <w:color w:val="auto"/>
                <w:sz w:val="24"/>
              </w:rPr>
              <w:t>1</w:t>
            </w:r>
          </w:p>
        </w:tc>
        <w:tc>
          <w:tcPr>
            <w:tcW w:w="3966" w:type="dxa"/>
            <w:vAlign w:val="center"/>
          </w:tcPr>
          <w:p w14:paraId="7D8C4AA3">
            <w:pPr>
              <w:widowControl/>
              <w:snapToGrid w:val="0"/>
              <w:spacing w:line="384" w:lineRule="exact"/>
              <w:jc w:val="center"/>
              <w:rPr>
                <w:rFonts w:hint="eastAsia" w:ascii="宋体" w:hAnsi="宋体" w:eastAsia="宋体" w:cs="宋体"/>
                <w:bCs/>
                <w:color w:val="auto"/>
                <w:sz w:val="24"/>
                <w:lang w:eastAsia="zh-CN"/>
              </w:rPr>
            </w:pPr>
            <w:r>
              <w:rPr>
                <w:rFonts w:hint="eastAsia" w:ascii="宋体" w:hAnsi="宋体"/>
                <w:color w:val="auto"/>
                <w:sz w:val="24"/>
                <w:lang w:eastAsia="zh-CN"/>
              </w:rPr>
              <w:t>南浔经济开发区2025年城市管理服务项目</w:t>
            </w:r>
          </w:p>
        </w:tc>
        <w:tc>
          <w:tcPr>
            <w:tcW w:w="851" w:type="dxa"/>
            <w:vAlign w:val="center"/>
          </w:tcPr>
          <w:p w14:paraId="6DDC96EC">
            <w:pPr>
              <w:spacing w:line="384" w:lineRule="exact"/>
              <w:jc w:val="center"/>
              <w:rPr>
                <w:rFonts w:ascii="宋体" w:hAnsi="宋体" w:cs="宋体"/>
                <w:bCs/>
                <w:color w:val="auto"/>
                <w:sz w:val="24"/>
              </w:rPr>
            </w:pPr>
            <w:r>
              <w:rPr>
                <w:rFonts w:hint="eastAsia" w:ascii="宋体" w:hAnsi="宋体" w:cs="宋体"/>
                <w:bCs/>
                <w:color w:val="auto"/>
                <w:sz w:val="24"/>
              </w:rPr>
              <w:t>1项</w:t>
            </w:r>
          </w:p>
        </w:tc>
        <w:tc>
          <w:tcPr>
            <w:tcW w:w="2268" w:type="dxa"/>
            <w:vAlign w:val="center"/>
          </w:tcPr>
          <w:p w14:paraId="5A13B9DD">
            <w:pPr>
              <w:spacing w:line="384" w:lineRule="exact"/>
              <w:jc w:val="center"/>
              <w:rPr>
                <w:rFonts w:ascii="宋体" w:hAnsi="宋体" w:cs="宋体"/>
                <w:bCs/>
                <w:color w:val="auto"/>
                <w:sz w:val="24"/>
              </w:rPr>
            </w:pPr>
            <w:r>
              <w:rPr>
                <w:rFonts w:hint="eastAsia" w:ascii="宋体" w:hAnsi="宋体" w:cs="宋体"/>
                <w:bCs/>
                <w:color w:val="auto"/>
                <w:sz w:val="24"/>
              </w:rPr>
              <w:t>详见磋商文件要求</w:t>
            </w:r>
          </w:p>
        </w:tc>
        <w:tc>
          <w:tcPr>
            <w:tcW w:w="1441" w:type="dxa"/>
            <w:vAlign w:val="center"/>
          </w:tcPr>
          <w:p w14:paraId="390F575A">
            <w:pPr>
              <w:spacing w:line="384" w:lineRule="exact"/>
              <w:jc w:val="center"/>
              <w:rPr>
                <w:rFonts w:ascii="宋体" w:hAnsi="宋体" w:cs="宋体"/>
                <w:bCs/>
                <w:color w:val="auto"/>
                <w:sz w:val="24"/>
              </w:rPr>
            </w:pPr>
            <w:r>
              <w:rPr>
                <w:rFonts w:hint="eastAsia" w:ascii="宋体" w:hAnsi="宋体"/>
                <w:color w:val="auto"/>
                <w:sz w:val="24"/>
              </w:rPr>
              <w:t>1710000元</w:t>
            </w:r>
          </w:p>
        </w:tc>
      </w:tr>
    </w:tbl>
    <w:p w14:paraId="10F71158">
      <w:pPr>
        <w:snapToGrid w:val="0"/>
        <w:spacing w:line="400" w:lineRule="exact"/>
        <w:ind w:firstLine="472" w:firstLineChars="196"/>
        <w:rPr>
          <w:rFonts w:ascii="宋体" w:hAnsi="宋体" w:cs="宋体"/>
          <w:color w:val="auto"/>
          <w:kern w:val="0"/>
          <w:sz w:val="24"/>
        </w:rPr>
      </w:pPr>
      <w:r>
        <w:rPr>
          <w:rFonts w:hint="eastAsia" w:ascii="宋体" w:hAnsi="宋体" w:cs="宋体"/>
          <w:b/>
          <w:color w:val="auto"/>
          <w:kern w:val="0"/>
          <w:sz w:val="24"/>
        </w:rPr>
        <w:t>五、磋商供应商资格要求</w:t>
      </w:r>
      <w:r>
        <w:rPr>
          <w:rFonts w:hint="eastAsia" w:ascii="宋体" w:hAnsi="宋体" w:cs="宋体"/>
          <w:color w:val="auto"/>
          <w:kern w:val="0"/>
          <w:sz w:val="24"/>
        </w:rPr>
        <w:t>：</w:t>
      </w:r>
    </w:p>
    <w:p w14:paraId="611EBED7">
      <w:pPr>
        <w:snapToGrid w:val="0"/>
        <w:spacing w:line="400" w:lineRule="exact"/>
        <w:ind w:firstLine="470" w:firstLineChars="196"/>
        <w:rPr>
          <w:rFonts w:ascii="宋体" w:hAnsi="宋体"/>
          <w:color w:val="000000"/>
          <w:sz w:val="24"/>
        </w:rPr>
      </w:pPr>
      <w:r>
        <w:rPr>
          <w:rFonts w:hint="eastAsia" w:ascii="宋体" w:hAnsi="宋体"/>
          <w:color w:val="auto"/>
          <w:sz w:val="24"/>
        </w:rPr>
        <w:t>1、符合《政府采购法》第二十二条规定，具有独立法人资格，且未被“信用中国”（www.creditchina.gov.cn）、中国政府采购网（www.ccgp.gov.cn）</w:t>
      </w:r>
      <w:r>
        <w:rPr>
          <w:rFonts w:hint="eastAsia" w:ascii="宋体" w:hAnsi="宋体"/>
          <w:sz w:val="24"/>
        </w:rPr>
        <w:t>列入失信被执行人、重大税收违法案件当事</w:t>
      </w:r>
      <w:r>
        <w:rPr>
          <w:rFonts w:hint="eastAsia" w:ascii="宋体" w:hAnsi="宋体"/>
          <w:color w:val="000000"/>
          <w:sz w:val="24"/>
        </w:rPr>
        <w:t>人名单、政府采购严重违法失信行为记录名单。</w:t>
      </w:r>
    </w:p>
    <w:p w14:paraId="5A33FD36">
      <w:pPr>
        <w:snapToGrid w:val="0"/>
        <w:spacing w:line="400" w:lineRule="exact"/>
        <w:ind w:firstLine="470" w:firstLineChars="196"/>
        <w:rPr>
          <w:rFonts w:ascii="宋体" w:hAnsi="宋体"/>
          <w:color w:val="000000"/>
          <w:sz w:val="24"/>
        </w:rPr>
      </w:pPr>
      <w:r>
        <w:rPr>
          <w:rFonts w:hint="eastAsia" w:ascii="宋体" w:hAnsi="宋体"/>
          <w:color w:val="000000"/>
          <w:sz w:val="24"/>
        </w:rPr>
        <w:t>▲供应商的特定条件：</w:t>
      </w:r>
    </w:p>
    <w:p w14:paraId="055C138A">
      <w:pPr>
        <w:snapToGrid w:val="0"/>
        <w:spacing w:line="400" w:lineRule="exact"/>
        <w:ind w:firstLine="470" w:firstLineChars="196"/>
        <w:rPr>
          <w:rFonts w:ascii="宋体" w:hAnsi="宋体"/>
          <w:bCs/>
          <w:sz w:val="24"/>
        </w:rPr>
      </w:pPr>
      <w:r>
        <w:rPr>
          <w:rFonts w:hint="eastAsia" w:ascii="宋体" w:hAnsi="宋体"/>
          <w:bCs/>
          <w:sz w:val="24"/>
        </w:rPr>
        <w:t>1、落实政府采购政策需满足的资格要求：</w:t>
      </w:r>
      <w:r>
        <w:rPr>
          <w:rFonts w:hint="eastAsia" w:ascii="宋体" w:hAnsi="宋体"/>
          <w:b/>
          <w:bCs/>
          <w:sz w:val="24"/>
        </w:rPr>
        <w:t>本项目专门面向中小企业采购</w:t>
      </w:r>
      <w:r>
        <w:rPr>
          <w:rFonts w:hint="eastAsia" w:ascii="宋体" w:hAnsi="宋体"/>
          <w:bCs/>
          <w:sz w:val="24"/>
        </w:rPr>
        <w:t>，供应商需提供符合《政府采购促进中小企业发展管理办法》（财库【2020】46号）和本采购文件规定的《中小企业声明函》（模板详见附件）(监狱企业参加磋商提供《监狱企业声明函》及其相关的证明材料、残疾人福利性单位参加磋商提供《残疾人福利性单位声明函》及其相关的证明材料，视为小型、微型企业，享受小微企业政策扶持)</w:t>
      </w:r>
    </w:p>
    <w:p w14:paraId="105837E6">
      <w:pPr>
        <w:snapToGrid w:val="0"/>
        <w:spacing w:line="400" w:lineRule="exact"/>
        <w:ind w:firstLine="470" w:firstLineChars="196"/>
        <w:rPr>
          <w:rFonts w:ascii="宋体" w:hAnsi="宋体"/>
          <w:sz w:val="24"/>
        </w:rPr>
      </w:pPr>
      <w:r>
        <w:rPr>
          <w:rFonts w:hint="eastAsia" w:ascii="宋体" w:hAnsi="宋体"/>
          <w:bCs/>
          <w:color w:val="000000"/>
          <w:sz w:val="24"/>
        </w:rPr>
        <w:t>2</w:t>
      </w:r>
      <w:r>
        <w:rPr>
          <w:rFonts w:hint="eastAsia" w:ascii="宋体" w:hAnsi="宋体"/>
          <w:bCs/>
          <w:sz w:val="24"/>
        </w:rPr>
        <w:t>、本项目不接受联合体</w:t>
      </w:r>
      <w:r>
        <w:rPr>
          <w:rFonts w:hint="eastAsia" w:ascii="宋体" w:hAnsi="宋体" w:cs="Arial"/>
          <w:sz w:val="24"/>
        </w:rPr>
        <w:t>。</w:t>
      </w:r>
    </w:p>
    <w:p w14:paraId="29A7D84E">
      <w:pPr>
        <w:snapToGrid w:val="0"/>
        <w:spacing w:line="400" w:lineRule="exact"/>
        <w:ind w:firstLine="472" w:firstLineChars="196"/>
        <w:rPr>
          <w:rFonts w:ascii="宋体" w:hAnsi="宋体" w:cs="宋体"/>
          <w:kern w:val="0"/>
          <w:sz w:val="24"/>
        </w:rPr>
      </w:pPr>
      <w:r>
        <w:rPr>
          <w:rFonts w:hint="eastAsia" w:ascii="宋体" w:hAnsi="宋体" w:cs="宋体"/>
          <w:b/>
          <w:color w:val="000000"/>
          <w:kern w:val="0"/>
          <w:sz w:val="24"/>
        </w:rPr>
        <w:t>六、报名及获取磋商</w:t>
      </w:r>
      <w:r>
        <w:rPr>
          <w:rFonts w:hint="eastAsia" w:ascii="宋体" w:hAnsi="宋体" w:cs="宋体"/>
          <w:b/>
          <w:kern w:val="0"/>
          <w:sz w:val="24"/>
        </w:rPr>
        <w:t>文件时间：</w:t>
      </w:r>
    </w:p>
    <w:p w14:paraId="32680A9B">
      <w:pPr>
        <w:snapToGrid w:val="0"/>
        <w:spacing w:line="400" w:lineRule="exact"/>
        <w:ind w:firstLine="470" w:firstLineChars="196"/>
        <w:rPr>
          <w:rFonts w:ascii="宋体" w:hAnsi="宋体" w:cs="宋体"/>
          <w:kern w:val="0"/>
          <w:sz w:val="24"/>
        </w:rPr>
      </w:pPr>
      <w:r>
        <w:rPr>
          <w:rFonts w:hint="eastAsia" w:ascii="宋体" w:hAnsi="宋体" w:cs="宋体"/>
          <w:kern w:val="0"/>
          <w:sz w:val="24"/>
        </w:rPr>
        <w:t>1、报名及获取磋商文件时间：</w:t>
      </w:r>
      <w:r>
        <w:rPr>
          <w:rFonts w:hint="eastAsia" w:ascii="宋体" w:hAnsi="宋体" w:cs="宋体"/>
          <w:b/>
          <w:color w:val="FF0000"/>
          <w:kern w:val="0"/>
          <w:sz w:val="24"/>
          <w:lang w:eastAsia="zh-CN"/>
        </w:rPr>
        <w:t>2025年</w:t>
      </w:r>
      <w:r>
        <w:rPr>
          <w:rFonts w:hint="eastAsia" w:ascii="宋体" w:hAnsi="宋体" w:cs="宋体"/>
          <w:b/>
          <w:color w:val="FF0000"/>
          <w:kern w:val="0"/>
          <w:sz w:val="24"/>
          <w:lang w:val="en-US" w:eastAsia="zh-CN"/>
        </w:rPr>
        <w:t>**</w:t>
      </w:r>
      <w:r>
        <w:rPr>
          <w:rFonts w:hint="eastAsia" w:ascii="宋体" w:hAnsi="宋体" w:cs="宋体"/>
          <w:b/>
          <w:color w:val="FF0000"/>
          <w:kern w:val="0"/>
          <w:sz w:val="24"/>
        </w:rPr>
        <w:t>月</w:t>
      </w:r>
      <w:r>
        <w:rPr>
          <w:rFonts w:hint="eastAsia" w:ascii="宋体" w:hAnsi="宋体" w:cs="宋体"/>
          <w:b/>
          <w:color w:val="FF0000"/>
          <w:kern w:val="0"/>
          <w:sz w:val="24"/>
          <w:lang w:val="en-US" w:eastAsia="zh-CN"/>
        </w:rPr>
        <w:t>**</w:t>
      </w:r>
      <w:r>
        <w:rPr>
          <w:rFonts w:hint="eastAsia" w:ascii="宋体" w:hAnsi="宋体" w:cs="宋体"/>
          <w:b/>
          <w:color w:val="FF0000"/>
          <w:kern w:val="0"/>
          <w:sz w:val="24"/>
        </w:rPr>
        <w:t>日至</w:t>
      </w:r>
      <w:r>
        <w:rPr>
          <w:rFonts w:hint="eastAsia" w:ascii="宋体" w:hAnsi="宋体" w:cs="宋体"/>
          <w:b/>
          <w:color w:val="FF0000"/>
          <w:kern w:val="0"/>
          <w:sz w:val="24"/>
          <w:lang w:eastAsia="zh-CN"/>
        </w:rPr>
        <w:t>2025年</w:t>
      </w:r>
      <w:r>
        <w:rPr>
          <w:rFonts w:hint="eastAsia" w:ascii="宋体" w:hAnsi="宋体" w:cs="宋体"/>
          <w:b/>
          <w:color w:val="FF0000"/>
          <w:kern w:val="0"/>
          <w:sz w:val="24"/>
          <w:lang w:val="en-US" w:eastAsia="zh-CN"/>
        </w:rPr>
        <w:t>**</w:t>
      </w:r>
      <w:r>
        <w:rPr>
          <w:rFonts w:hint="eastAsia" w:ascii="宋体" w:hAnsi="宋体" w:cs="宋体"/>
          <w:b/>
          <w:color w:val="FF0000"/>
          <w:kern w:val="0"/>
          <w:sz w:val="24"/>
        </w:rPr>
        <w:t>月</w:t>
      </w:r>
      <w:r>
        <w:rPr>
          <w:rFonts w:hint="eastAsia" w:ascii="宋体" w:hAnsi="宋体" w:cs="宋体"/>
          <w:b/>
          <w:color w:val="FF0000"/>
          <w:kern w:val="0"/>
          <w:sz w:val="24"/>
          <w:lang w:val="en-US" w:eastAsia="zh-CN"/>
        </w:rPr>
        <w:t>**</w:t>
      </w:r>
      <w:r>
        <w:rPr>
          <w:rFonts w:hint="eastAsia" w:ascii="宋体" w:hAnsi="宋体" w:cs="宋体"/>
          <w:b/>
          <w:color w:val="FF0000"/>
          <w:kern w:val="0"/>
          <w:sz w:val="24"/>
        </w:rPr>
        <w:t>日</w:t>
      </w:r>
      <w:r>
        <w:rPr>
          <w:rFonts w:hint="eastAsia" w:ascii="宋体" w:hAnsi="宋体" w:cs="宋体"/>
          <w:kern w:val="0"/>
          <w:sz w:val="24"/>
        </w:rPr>
        <w:t>（潜在供应商报名及获取磋商文件前应当在政采云电子交易平台上注册账号并登录，截止时间后不再接受潜在供应商报名及获取磋商文件)</w:t>
      </w:r>
    </w:p>
    <w:p w14:paraId="1C594ABD">
      <w:pPr>
        <w:snapToGrid w:val="0"/>
        <w:spacing w:line="400" w:lineRule="exact"/>
        <w:ind w:firstLine="470" w:firstLineChars="196"/>
        <w:rPr>
          <w:rFonts w:ascii="宋体" w:hAnsi="宋体" w:cs="宋体"/>
          <w:kern w:val="0"/>
          <w:sz w:val="24"/>
        </w:rPr>
      </w:pPr>
      <w:r>
        <w:rPr>
          <w:rFonts w:hint="eastAsia" w:ascii="宋体" w:hAnsi="宋体" w:cs="宋体"/>
          <w:kern w:val="0"/>
          <w:sz w:val="24"/>
        </w:rPr>
        <w:t>2、本项目不接受供应商现场报名，供应商须登录浙江政府采购网（http://zfcg.czt.zj.gov.cn/）进入政采云系统“项目采购”模块“获取采购文件”菜单，进行网上获取磋商文件（“政采云”注册账号、密码登录系统后获取磋商文件）。</w:t>
      </w:r>
    </w:p>
    <w:p w14:paraId="74E94C42">
      <w:pPr>
        <w:snapToGrid w:val="0"/>
        <w:spacing w:line="400" w:lineRule="exact"/>
        <w:ind w:firstLine="470" w:firstLineChars="196"/>
        <w:rPr>
          <w:rFonts w:ascii="宋体" w:hAnsi="宋体" w:cs="宋体"/>
          <w:kern w:val="0"/>
          <w:sz w:val="24"/>
        </w:rPr>
      </w:pPr>
      <w:r>
        <w:rPr>
          <w:rFonts w:hint="eastAsia" w:ascii="宋体" w:hAnsi="宋体" w:cs="宋体"/>
          <w:kern w:val="0"/>
          <w:sz w:val="24"/>
        </w:rPr>
        <w:t>3、免费注册网址：浙江政府采购网（供应商注册页面）：https://middle.zcygov.cn/settle-front/#/registry“政采云”，咨询电话：400-881-7190。已经注册成功的供应商无需重复注册。</w:t>
      </w:r>
    </w:p>
    <w:p w14:paraId="51445133">
      <w:pPr>
        <w:snapToGrid w:val="0"/>
        <w:spacing w:line="400" w:lineRule="exact"/>
        <w:ind w:firstLine="470" w:firstLineChars="196"/>
        <w:rPr>
          <w:rFonts w:ascii="宋体" w:hAnsi="宋体" w:cs="宋体"/>
          <w:kern w:val="0"/>
          <w:sz w:val="24"/>
        </w:rPr>
      </w:pPr>
      <w:r>
        <w:rPr>
          <w:rFonts w:hint="eastAsia" w:ascii="宋体" w:hAnsi="宋体" w:cs="宋体"/>
          <w:kern w:val="0"/>
          <w:sz w:val="24"/>
        </w:rPr>
        <w:t>4、磋商公告附件内的磋商文件（或采购需求）仅供阅览使用，供应商只有在“政府采购云平台”完成磋商报名并下载了磋商文件后才视作依法获取磋商文件。未按规定在“政府采购云平台”完成磋商报名并获取磋商文件的供应商，对磋商文件提起的质疑、投诉将不予受理。</w:t>
      </w:r>
    </w:p>
    <w:p w14:paraId="6DFA0A26">
      <w:pPr>
        <w:snapToGrid w:val="0"/>
        <w:spacing w:line="400" w:lineRule="exact"/>
        <w:ind w:firstLine="472" w:firstLineChars="196"/>
        <w:rPr>
          <w:rFonts w:ascii="宋体" w:hAnsi="宋体" w:cs="宋体"/>
          <w:b/>
          <w:bCs/>
          <w:kern w:val="0"/>
          <w:sz w:val="24"/>
        </w:rPr>
      </w:pPr>
      <w:r>
        <w:rPr>
          <w:rFonts w:hint="eastAsia" w:ascii="宋体" w:hAnsi="宋体" w:cs="宋体"/>
          <w:b/>
          <w:bCs/>
          <w:kern w:val="0"/>
          <w:sz w:val="24"/>
        </w:rPr>
        <w:t>七、磋商响应文件的递交及相关事宜：</w:t>
      </w:r>
    </w:p>
    <w:p w14:paraId="03BBACAE">
      <w:pPr>
        <w:snapToGrid w:val="0"/>
        <w:spacing w:line="400" w:lineRule="exact"/>
        <w:ind w:firstLine="470" w:firstLineChars="196"/>
        <w:rPr>
          <w:rFonts w:ascii="宋体" w:hAnsi="宋体" w:cs="宋体"/>
          <w:kern w:val="0"/>
          <w:sz w:val="24"/>
        </w:rPr>
      </w:pPr>
      <w:r>
        <w:rPr>
          <w:rFonts w:hint="eastAsia" w:ascii="宋体" w:hAnsi="宋体" w:cs="宋体"/>
          <w:kern w:val="0"/>
          <w:sz w:val="24"/>
        </w:rPr>
        <w:t>1．磋商响应文件递交的截止时间（磋商响应截止时间，下同）：</w:t>
      </w:r>
      <w:r>
        <w:rPr>
          <w:rFonts w:hint="eastAsia" w:ascii="宋体" w:hAnsi="宋体" w:cs="宋体"/>
          <w:b/>
          <w:color w:val="FF0000"/>
          <w:kern w:val="0"/>
          <w:sz w:val="24"/>
          <w:lang w:eastAsia="zh-CN"/>
        </w:rPr>
        <w:t>2025年</w:t>
      </w:r>
      <w:r>
        <w:rPr>
          <w:rFonts w:hint="eastAsia" w:ascii="宋体" w:hAnsi="宋体" w:cs="宋体"/>
          <w:b/>
          <w:color w:val="FF0000"/>
          <w:kern w:val="0"/>
          <w:sz w:val="24"/>
          <w:lang w:val="en-US" w:eastAsia="zh-CN"/>
        </w:rPr>
        <w:t>**</w:t>
      </w:r>
      <w:r>
        <w:rPr>
          <w:rFonts w:hint="eastAsia" w:ascii="宋体" w:hAnsi="宋体" w:cs="宋体"/>
          <w:b/>
          <w:kern w:val="0"/>
          <w:sz w:val="24"/>
        </w:rPr>
        <w:t>月</w:t>
      </w:r>
      <w:r>
        <w:rPr>
          <w:rFonts w:hint="eastAsia" w:ascii="宋体" w:hAnsi="宋体" w:cs="宋体"/>
          <w:b/>
          <w:color w:val="FF0000"/>
          <w:kern w:val="0"/>
          <w:sz w:val="24"/>
          <w:lang w:val="en-US" w:eastAsia="zh-CN"/>
        </w:rPr>
        <w:t>**</w:t>
      </w:r>
      <w:r>
        <w:rPr>
          <w:rFonts w:hint="eastAsia" w:ascii="宋体" w:hAnsi="宋体" w:cs="宋体"/>
          <w:b/>
          <w:kern w:val="0"/>
          <w:sz w:val="24"/>
        </w:rPr>
        <w:t>日14:00 时</w:t>
      </w:r>
      <w:r>
        <w:rPr>
          <w:rFonts w:hint="eastAsia" w:ascii="宋体" w:hAnsi="宋体" w:cs="宋体"/>
          <w:kern w:val="0"/>
          <w:sz w:val="24"/>
        </w:rPr>
        <w:t xml:space="preserve">（北京时间）。 </w:t>
      </w:r>
    </w:p>
    <w:p w14:paraId="729A9079">
      <w:pPr>
        <w:snapToGrid w:val="0"/>
        <w:spacing w:line="400" w:lineRule="exact"/>
        <w:ind w:firstLine="470" w:firstLineChars="196"/>
        <w:rPr>
          <w:rFonts w:ascii="宋体" w:hAnsi="宋体" w:cs="宋体"/>
          <w:kern w:val="0"/>
          <w:sz w:val="24"/>
        </w:rPr>
      </w:pPr>
      <w:r>
        <w:rPr>
          <w:rFonts w:hint="eastAsia" w:ascii="宋体" w:hAnsi="宋体" w:cs="宋体"/>
          <w:kern w:val="0"/>
          <w:sz w:val="24"/>
        </w:rPr>
        <w:t>2．磋商响应文件递交方式：</w:t>
      </w:r>
    </w:p>
    <w:p w14:paraId="373AB08A">
      <w:pPr>
        <w:snapToGrid w:val="0"/>
        <w:spacing w:line="400" w:lineRule="exact"/>
        <w:ind w:firstLine="470" w:firstLineChars="196"/>
        <w:rPr>
          <w:rFonts w:ascii="宋体" w:hAnsi="宋体" w:cs="宋体"/>
          <w:kern w:val="0"/>
          <w:sz w:val="24"/>
        </w:rPr>
      </w:pPr>
      <w:r>
        <w:rPr>
          <w:rFonts w:hint="eastAsia" w:ascii="宋体" w:hAnsi="宋体" w:cs="宋体"/>
          <w:kern w:val="0"/>
          <w:sz w:val="24"/>
        </w:rPr>
        <w:t>2.1电子响应文件：按政采云平台项目采购-电子交易操作指南及本磋商文件要求制作、加密并递交。供应商应当在</w:t>
      </w:r>
      <w:r>
        <w:rPr>
          <w:rFonts w:hint="eastAsia" w:ascii="宋体" w:hAnsi="宋体" w:cs="宋体"/>
          <w:b/>
          <w:color w:val="FF0000"/>
          <w:kern w:val="0"/>
          <w:sz w:val="24"/>
          <w:lang w:eastAsia="zh-CN"/>
        </w:rPr>
        <w:t>2025年</w:t>
      </w:r>
      <w:r>
        <w:rPr>
          <w:rFonts w:hint="eastAsia" w:ascii="宋体" w:hAnsi="宋体" w:cs="宋体"/>
          <w:b/>
          <w:color w:val="FF0000"/>
          <w:kern w:val="0"/>
          <w:sz w:val="24"/>
          <w:lang w:val="en-US" w:eastAsia="zh-CN"/>
        </w:rPr>
        <w:t>**</w:t>
      </w:r>
      <w:r>
        <w:rPr>
          <w:rFonts w:hint="eastAsia" w:ascii="宋体" w:hAnsi="宋体" w:cs="宋体"/>
          <w:b/>
          <w:kern w:val="0"/>
          <w:sz w:val="24"/>
        </w:rPr>
        <w:t>月</w:t>
      </w:r>
      <w:r>
        <w:rPr>
          <w:rFonts w:hint="eastAsia" w:ascii="宋体" w:hAnsi="宋体" w:cs="宋体"/>
          <w:b/>
          <w:color w:val="FF0000"/>
          <w:kern w:val="0"/>
          <w:sz w:val="24"/>
          <w:lang w:val="en-US" w:eastAsia="zh-CN"/>
        </w:rPr>
        <w:t>**</w:t>
      </w:r>
      <w:r>
        <w:rPr>
          <w:rFonts w:hint="eastAsia" w:ascii="宋体" w:hAnsi="宋体" w:cs="宋体"/>
          <w:b/>
          <w:kern w:val="0"/>
          <w:sz w:val="24"/>
        </w:rPr>
        <w:t>日14:00前</w:t>
      </w:r>
      <w:r>
        <w:rPr>
          <w:rFonts w:hint="eastAsia" w:ascii="宋体" w:hAnsi="宋体" w:cs="宋体"/>
          <w:kern w:val="0"/>
          <w:sz w:val="24"/>
        </w:rPr>
        <w:t>（北京时间），将生成的“电子加密响应文件”上传递交至“政采云平台”。磋商响应截止时间以后上传递交的磋商响应文件将被“政采云平台”拒收。</w:t>
      </w:r>
    </w:p>
    <w:p w14:paraId="629CB861">
      <w:pPr>
        <w:snapToGrid w:val="0"/>
        <w:spacing w:line="400" w:lineRule="exact"/>
        <w:ind w:firstLine="470" w:firstLineChars="196"/>
        <w:rPr>
          <w:rFonts w:ascii="宋体" w:hAnsi="宋体" w:cs="宋体"/>
          <w:kern w:val="0"/>
          <w:sz w:val="24"/>
        </w:rPr>
      </w:pPr>
      <w:r>
        <w:rPr>
          <w:rFonts w:hint="eastAsia" w:ascii="宋体" w:hAnsi="宋体" w:cs="宋体"/>
          <w:kern w:val="0"/>
          <w:sz w:val="24"/>
        </w:rPr>
        <w:t>2.2供应商在“政采云平台”完成“电子加密响应文件”的上传递交后，允许磋商供应商提供备份文件。提供备份文件的，须在磋商响应截止时间前递交以介质（U盘）存储的数据电文形式的“备份响应文件”。“备份响应文件”是指与“电子加密响应文件”同时生成的数据电文形式的电子文件，其他方式编制的备份响应文件无效。“备份响应文件”应当密封包装并在包装上标注磋商项目名称、供应商名称并加盖公章。</w:t>
      </w:r>
    </w:p>
    <w:p w14:paraId="0D09DF35">
      <w:pPr>
        <w:snapToGrid w:val="0"/>
        <w:spacing w:line="400" w:lineRule="exact"/>
        <w:ind w:firstLine="470" w:firstLineChars="196"/>
        <w:rPr>
          <w:rFonts w:ascii="宋体" w:hAnsi="宋体" w:cs="宋体"/>
          <w:kern w:val="0"/>
          <w:sz w:val="24"/>
        </w:rPr>
      </w:pPr>
      <w:r>
        <w:rPr>
          <w:rFonts w:hint="eastAsia" w:ascii="宋体" w:hAnsi="宋体" w:cs="宋体"/>
          <w:kern w:val="0"/>
          <w:sz w:val="24"/>
        </w:rPr>
        <w:t>2.3供应商如需提交数据电子备份响应文件（U盘）的，可采取下列两种方式递交：</w:t>
      </w:r>
    </w:p>
    <w:p w14:paraId="048E6267">
      <w:pPr>
        <w:snapToGrid w:val="0"/>
        <w:spacing w:line="400" w:lineRule="exact"/>
        <w:ind w:firstLine="470" w:firstLineChars="196"/>
        <w:rPr>
          <w:rFonts w:ascii="宋体" w:hAnsi="宋体" w:cs="宋体"/>
          <w:kern w:val="0"/>
          <w:sz w:val="24"/>
        </w:rPr>
      </w:pPr>
      <w:r>
        <w:rPr>
          <w:rFonts w:hint="eastAsia" w:ascii="宋体" w:hAnsi="宋体" w:cs="宋体"/>
          <w:kern w:val="0"/>
          <w:sz w:val="24"/>
        </w:rPr>
        <w:t>（1）如</w:t>
      </w:r>
      <w:r>
        <w:rPr>
          <w:rFonts w:ascii="宋体" w:hAnsi="宋体" w:cs="宋体"/>
          <w:kern w:val="0"/>
          <w:sz w:val="24"/>
        </w:rPr>
        <w:t>通过邮寄快递方式送达，邮寄地址为：</w:t>
      </w:r>
      <w:r>
        <w:rPr>
          <w:rFonts w:hint="eastAsia" w:ascii="宋体" w:hAnsi="宋体" w:cs="宋体"/>
          <w:kern w:val="0"/>
          <w:sz w:val="24"/>
        </w:rPr>
        <w:t>杭州广厦建筑咨询有限公司</w:t>
      </w:r>
      <w:r>
        <w:rPr>
          <w:rFonts w:ascii="宋体" w:hAnsi="宋体" w:cs="宋体"/>
          <w:kern w:val="0"/>
          <w:sz w:val="24"/>
        </w:rPr>
        <w:t>湖州分公司</w:t>
      </w:r>
      <w:r>
        <w:rPr>
          <w:rFonts w:hint="eastAsia" w:ascii="宋体" w:hAnsi="宋体" w:cs="宋体"/>
          <w:kern w:val="0"/>
          <w:sz w:val="24"/>
        </w:rPr>
        <w:t>（浙江省湖州市南浔区南浔镇年丰路浔南新村三期三幢二单元三楼）</w:t>
      </w:r>
      <w:r>
        <w:rPr>
          <w:rFonts w:ascii="宋体" w:hAnsi="宋体" w:cs="宋体"/>
          <w:kern w:val="0"/>
          <w:sz w:val="24"/>
        </w:rPr>
        <w:t>，联系人：沈先生，联系电话：0572-</w:t>
      </w:r>
      <w:r>
        <w:rPr>
          <w:rFonts w:hint="eastAsia" w:ascii="宋体" w:hAnsi="宋体" w:cs="宋体"/>
          <w:kern w:val="0"/>
          <w:sz w:val="24"/>
        </w:rPr>
        <w:t>3065566</w:t>
      </w:r>
      <w:r>
        <w:rPr>
          <w:rFonts w:ascii="宋体" w:hAnsi="宋体" w:cs="宋体"/>
          <w:kern w:val="0"/>
          <w:sz w:val="24"/>
        </w:rPr>
        <w:t>。邮寄截止时间：</w:t>
      </w:r>
      <w:r>
        <w:rPr>
          <w:rFonts w:hint="eastAsia" w:ascii="宋体" w:hAnsi="宋体" w:cs="宋体"/>
          <w:kern w:val="0"/>
          <w:sz w:val="24"/>
        </w:rPr>
        <w:t>供应商</w:t>
      </w:r>
      <w:r>
        <w:rPr>
          <w:rFonts w:ascii="宋体" w:hAnsi="宋体" w:cs="宋体"/>
          <w:kern w:val="0"/>
          <w:sz w:val="24"/>
        </w:rPr>
        <w:t>应于</w:t>
      </w:r>
      <w:r>
        <w:rPr>
          <w:rFonts w:hint="eastAsia" w:ascii="宋体" w:hAnsi="宋体" w:cs="宋体"/>
          <w:b/>
          <w:color w:val="FF0000"/>
          <w:kern w:val="0"/>
          <w:sz w:val="24"/>
          <w:lang w:eastAsia="zh-CN"/>
        </w:rPr>
        <w:t>2025年</w:t>
      </w:r>
      <w:r>
        <w:rPr>
          <w:rFonts w:hint="eastAsia" w:ascii="宋体" w:hAnsi="宋体" w:cs="宋体"/>
          <w:b/>
          <w:color w:val="FF0000"/>
          <w:kern w:val="0"/>
          <w:sz w:val="24"/>
          <w:lang w:val="en-US" w:eastAsia="zh-CN"/>
        </w:rPr>
        <w:t>**</w:t>
      </w:r>
      <w:r>
        <w:rPr>
          <w:rFonts w:hint="eastAsia" w:ascii="宋体" w:hAnsi="宋体" w:cs="宋体"/>
          <w:b/>
          <w:kern w:val="0"/>
          <w:sz w:val="24"/>
        </w:rPr>
        <w:t>月</w:t>
      </w:r>
      <w:r>
        <w:rPr>
          <w:rFonts w:hint="eastAsia" w:ascii="宋体" w:hAnsi="宋体" w:cs="宋体"/>
          <w:b/>
          <w:color w:val="FF0000"/>
          <w:kern w:val="0"/>
          <w:sz w:val="24"/>
          <w:lang w:val="en-US" w:eastAsia="zh-CN"/>
        </w:rPr>
        <w:t>**</w:t>
      </w:r>
      <w:r>
        <w:rPr>
          <w:rFonts w:hint="eastAsia" w:ascii="宋体" w:hAnsi="宋体" w:cs="宋体"/>
          <w:b/>
          <w:kern w:val="0"/>
          <w:sz w:val="24"/>
        </w:rPr>
        <w:t>日</w:t>
      </w:r>
      <w:r>
        <w:rPr>
          <w:rFonts w:ascii="宋体" w:hAnsi="宋体" w:cs="宋体"/>
          <w:b/>
          <w:kern w:val="0"/>
          <w:sz w:val="24"/>
        </w:rPr>
        <w:t>1</w:t>
      </w:r>
      <w:r>
        <w:rPr>
          <w:rFonts w:hint="eastAsia" w:ascii="宋体" w:hAnsi="宋体" w:cs="宋体"/>
          <w:b/>
          <w:kern w:val="0"/>
          <w:sz w:val="24"/>
        </w:rPr>
        <w:t>6</w:t>
      </w:r>
      <w:r>
        <w:rPr>
          <w:rFonts w:ascii="宋体" w:hAnsi="宋体" w:cs="宋体"/>
          <w:b/>
          <w:kern w:val="0"/>
          <w:sz w:val="24"/>
        </w:rPr>
        <w:t>:</w:t>
      </w:r>
      <w:r>
        <w:rPr>
          <w:rFonts w:hint="eastAsia" w:ascii="宋体" w:hAnsi="宋体" w:cs="宋体"/>
          <w:b/>
          <w:kern w:val="0"/>
          <w:sz w:val="24"/>
        </w:rPr>
        <w:t>3</w:t>
      </w:r>
      <w:r>
        <w:rPr>
          <w:rFonts w:ascii="宋体" w:hAnsi="宋体" w:cs="宋体"/>
          <w:b/>
          <w:kern w:val="0"/>
          <w:sz w:val="24"/>
        </w:rPr>
        <w:t>0</w:t>
      </w:r>
      <w:r>
        <w:rPr>
          <w:rFonts w:ascii="宋体" w:hAnsi="宋体" w:cs="宋体"/>
          <w:kern w:val="0"/>
          <w:sz w:val="24"/>
        </w:rPr>
        <w:t>时前准时送达，逾期不予受理。截止磋商时间前，</w:t>
      </w:r>
      <w:r>
        <w:rPr>
          <w:rFonts w:hint="eastAsia" w:ascii="宋体" w:hAnsi="宋体" w:cs="宋体"/>
          <w:kern w:val="0"/>
          <w:sz w:val="24"/>
        </w:rPr>
        <w:t>采购人</w:t>
      </w:r>
      <w:r>
        <w:rPr>
          <w:rFonts w:ascii="宋体" w:hAnsi="宋体" w:cs="宋体"/>
          <w:kern w:val="0"/>
          <w:sz w:val="24"/>
        </w:rPr>
        <w:t>由二名人员（一名接收人、一名监督人员）统一负责接收数据电子备份响应文件（U盘）至专门的监控室，二人均在接收记录单上对数据电子备份响应文件（U盘）快递包裹的相关情况签字确认，与</w:t>
      </w:r>
      <w:r>
        <w:rPr>
          <w:rFonts w:hint="eastAsia" w:ascii="宋体" w:hAnsi="宋体" w:cs="宋体"/>
          <w:kern w:val="0"/>
          <w:sz w:val="24"/>
        </w:rPr>
        <w:t>磋商</w:t>
      </w:r>
      <w:r>
        <w:rPr>
          <w:rFonts w:ascii="宋体" w:hAnsi="宋体" w:cs="宋体"/>
          <w:kern w:val="0"/>
          <w:sz w:val="24"/>
        </w:rPr>
        <w:t>资料一并归档。</w:t>
      </w:r>
    </w:p>
    <w:p w14:paraId="7BF2E18C">
      <w:pPr>
        <w:snapToGrid w:val="0"/>
        <w:spacing w:line="400" w:lineRule="exact"/>
        <w:ind w:firstLine="470" w:firstLineChars="196"/>
        <w:rPr>
          <w:rFonts w:ascii="宋体" w:hAnsi="宋体" w:cs="宋体"/>
          <w:kern w:val="0"/>
          <w:sz w:val="24"/>
        </w:rPr>
      </w:pPr>
      <w:r>
        <w:rPr>
          <w:rFonts w:hint="eastAsia" w:ascii="宋体" w:hAnsi="宋体" w:cs="宋体"/>
          <w:kern w:val="0"/>
          <w:sz w:val="24"/>
        </w:rPr>
        <w:t>（2）</w:t>
      </w:r>
      <w:r>
        <w:rPr>
          <w:rFonts w:ascii="宋体" w:hAnsi="宋体" w:cs="宋体"/>
          <w:kern w:val="0"/>
          <w:sz w:val="24"/>
        </w:rPr>
        <w:t>如现场提交备份响应文件（</w:t>
      </w:r>
      <w:r>
        <w:rPr>
          <w:rFonts w:hint="eastAsia" w:ascii="宋体" w:hAnsi="宋体" w:cs="宋体"/>
          <w:kern w:val="0"/>
          <w:sz w:val="24"/>
        </w:rPr>
        <w:t>U盘</w:t>
      </w:r>
      <w:r>
        <w:rPr>
          <w:rFonts w:ascii="宋体" w:hAnsi="宋体" w:cs="宋体"/>
          <w:kern w:val="0"/>
          <w:sz w:val="24"/>
        </w:rPr>
        <w:t>）的，</w:t>
      </w:r>
      <w:r>
        <w:rPr>
          <w:rFonts w:hint="eastAsia" w:ascii="宋体" w:hAnsi="宋体" w:cs="宋体"/>
          <w:kern w:val="0"/>
          <w:sz w:val="24"/>
        </w:rPr>
        <w:t>应在响应截止时间前于开标现场以密封、包装的形式递交</w:t>
      </w:r>
      <w:r>
        <w:rPr>
          <w:rFonts w:ascii="宋体" w:hAnsi="宋体" w:cs="宋体"/>
          <w:kern w:val="0"/>
          <w:sz w:val="24"/>
        </w:rPr>
        <w:t>，逾期不予受理。</w:t>
      </w:r>
    </w:p>
    <w:p w14:paraId="1C99E94C">
      <w:pPr>
        <w:pStyle w:val="2"/>
        <w:snapToGrid w:val="0"/>
        <w:spacing w:after="0" w:line="400" w:lineRule="exact"/>
        <w:ind w:firstLine="241"/>
        <w:rPr>
          <w:rFonts w:ascii="宋体" w:hAnsi="宋体" w:cs="宋体"/>
          <w:b/>
          <w:kern w:val="0"/>
        </w:rPr>
      </w:pPr>
      <w:r>
        <w:rPr>
          <w:rFonts w:hint="eastAsia" w:ascii="宋体" w:hAnsi="宋体" w:cs="宋体"/>
          <w:b/>
          <w:kern w:val="0"/>
        </w:rPr>
        <w:t>注：1）供应商应权衡利弊考虑是否提供数据电子备份响应文件（U 盘），采购人及采购代理机构不做强制性要求，若因下一条款（第3条）原因须启用数据电子备份响应文件（U盘）时，而供应商未提供的，视为放弃磋商资格，作无效磋商处理 ；2）供应商应对提供的数据电子备份响应文件（U盘）进行加密处理，若需要启用数据电子备份响应文件（U 盘）时，再由供应商告知采购人及采购代理机构加密信息进行解密；3）若供应商未提供数据电子备份响应文件（U盘），磋商公告及竞争性磋商文件中关于数据电子备份响应文件（U盘）的要求及内容不再适用 。</w:t>
      </w:r>
    </w:p>
    <w:p w14:paraId="787BEA33">
      <w:pPr>
        <w:snapToGrid w:val="0"/>
        <w:spacing w:line="400" w:lineRule="exact"/>
        <w:ind w:firstLine="470" w:firstLineChars="196"/>
        <w:rPr>
          <w:rFonts w:ascii="宋体" w:hAnsi="宋体" w:cs="宋体"/>
          <w:kern w:val="0"/>
          <w:sz w:val="24"/>
        </w:rPr>
      </w:pPr>
      <w:r>
        <w:rPr>
          <w:rFonts w:hint="eastAsia" w:ascii="宋体" w:hAnsi="宋体" w:cs="宋体"/>
          <w:kern w:val="0"/>
          <w:sz w:val="24"/>
        </w:rPr>
        <w:t>3.通过“政采云平台”上传递交的“电子加密响应文件”无法按时解密，供应商递交了备份响应文件的，以备份响应文件为依据，否则视为磋商响应文件撤回。通过“政采云平台”上传递交的“电子加密响应文件”已按时解密的，“备份响应文件”自动失效。供应商仅递交备份响应文件的，磋商无效。</w:t>
      </w:r>
    </w:p>
    <w:p w14:paraId="0A12A9D2">
      <w:pPr>
        <w:snapToGrid w:val="0"/>
        <w:spacing w:line="400" w:lineRule="exact"/>
        <w:ind w:firstLine="470" w:firstLineChars="196"/>
        <w:rPr>
          <w:rFonts w:ascii="宋体" w:hAnsi="宋体" w:cs="宋体"/>
          <w:kern w:val="0"/>
          <w:sz w:val="24"/>
        </w:rPr>
      </w:pPr>
      <w:r>
        <w:rPr>
          <w:rFonts w:hint="eastAsia" w:ascii="宋体" w:hAnsi="宋体" w:cs="宋体"/>
          <w:kern w:val="0"/>
          <w:sz w:val="24"/>
        </w:rPr>
        <w:t>4.为确保网上操作合法、有效和安全，供应商应当在磋商截止时间前完成在“政府采购云平台”的身份认证，确保在电子投标过程中能够对相关数据电文进行加密和使用电子签章。使用“政采云电子交易客户端”需要提前申领CA数字证书（完成CA数字证书办理预计一周左右，建议各供应商自行把握时间），申领流程请自行前往“浙江政府采购网-下载专区-电子交易客户端-CA驱动和申领流程”进行查阅。办理流程详见</w:t>
      </w:r>
    </w:p>
    <w:p w14:paraId="33744E0C">
      <w:pPr>
        <w:snapToGrid w:val="0"/>
        <w:spacing w:line="400" w:lineRule="exact"/>
        <w:rPr>
          <w:rFonts w:ascii="宋体" w:hAnsi="宋体" w:cs="宋体"/>
          <w:kern w:val="0"/>
          <w:sz w:val="24"/>
        </w:rPr>
      </w:pPr>
      <w:r>
        <w:rPr>
          <w:rFonts w:ascii="宋体" w:hAnsi="宋体" w:cs="宋体"/>
          <w:kern w:val="0"/>
          <w:sz w:val="24"/>
        </w:rPr>
        <w:t>http://www.zjzfcg.gov.cn/bidClientTemplate/2019-05-27/12945.html</w:t>
      </w:r>
      <w:r>
        <w:rPr>
          <w:rFonts w:hint="eastAsia" w:ascii="宋体" w:hAnsi="宋体" w:cs="宋体"/>
          <w:kern w:val="0"/>
          <w:sz w:val="24"/>
        </w:rPr>
        <w:t>），并登录“浙江政府采购网”（http://zfcg.czt.zj.gov.cn/），进入“下载专区”下载“电子交易客户端”，制作响应文件。</w:t>
      </w:r>
    </w:p>
    <w:p w14:paraId="46D45E6E">
      <w:pPr>
        <w:snapToGrid w:val="0"/>
        <w:spacing w:line="400" w:lineRule="exact"/>
        <w:ind w:firstLine="470" w:firstLineChars="196"/>
        <w:rPr>
          <w:rFonts w:ascii="宋体" w:hAnsi="宋体" w:cs="宋体"/>
          <w:kern w:val="0"/>
          <w:sz w:val="24"/>
        </w:rPr>
      </w:pPr>
      <w:r>
        <w:rPr>
          <w:rFonts w:hint="eastAsia" w:ascii="宋体" w:hAnsi="宋体" w:cs="宋体"/>
          <w:kern w:val="0"/>
          <w:sz w:val="24"/>
        </w:rPr>
        <w:t>5.供应商通过政采云平台电子投标工具制作响应文件，电子投标工具请供应商自行前往浙江省政府采购网下载并安装，（下载网址：</w:t>
      </w:r>
    </w:p>
    <w:p w14:paraId="454A41E9">
      <w:pPr>
        <w:snapToGrid w:val="0"/>
        <w:spacing w:line="400" w:lineRule="exact"/>
        <w:rPr>
          <w:rFonts w:ascii="宋体" w:hAnsi="宋体" w:cs="宋体"/>
          <w:kern w:val="0"/>
          <w:sz w:val="24"/>
        </w:rPr>
      </w:pPr>
      <w:r>
        <w:rPr>
          <w:rFonts w:hint="eastAsia" w:ascii="宋体" w:hAnsi="宋体" w:cs="宋体"/>
          <w:kern w:val="0"/>
          <w:sz w:val="24"/>
        </w:rPr>
        <w:t>http://www.zjzfcg.gov.cn/bidClientTemplate/2019-09-24/12975.html），供应商电子交易操作指南详见网址：</w:t>
      </w:r>
    </w:p>
    <w:p w14:paraId="0B158DA6">
      <w:pPr>
        <w:snapToGrid w:val="0"/>
        <w:spacing w:line="400" w:lineRule="exact"/>
        <w:rPr>
          <w:rFonts w:ascii="宋体" w:hAnsi="宋体" w:cs="宋体"/>
          <w:kern w:val="0"/>
          <w:sz w:val="24"/>
        </w:rPr>
      </w:pPr>
      <w:r>
        <w:fldChar w:fldCharType="begin"/>
      </w:r>
      <w:r>
        <w:instrText xml:space="preserve"> HYPERLINK "https://help.zcygov.cn/web/site_2/2018/12-28/2573.html" </w:instrText>
      </w:r>
      <w:r>
        <w:fldChar w:fldCharType="separate"/>
      </w:r>
      <w:r>
        <w:rPr>
          <w:rStyle w:val="46"/>
          <w:rFonts w:hint="eastAsia" w:ascii="宋体" w:hAnsi="宋体" w:cs="宋体"/>
          <w:color w:val="auto"/>
          <w:kern w:val="0"/>
          <w:sz w:val="24"/>
        </w:rPr>
        <w:t>https://help.zcygov.cn/web/site_2/2018/12-28/2573.html</w:t>
      </w:r>
      <w:r>
        <w:rPr>
          <w:rStyle w:val="46"/>
          <w:rFonts w:hint="eastAsia" w:ascii="宋体" w:hAnsi="宋体" w:cs="宋体"/>
          <w:color w:val="auto"/>
          <w:kern w:val="0"/>
          <w:sz w:val="24"/>
        </w:rPr>
        <w:fldChar w:fldCharType="end"/>
      </w:r>
      <w:r>
        <w:rPr>
          <w:rFonts w:hint="eastAsia" w:ascii="宋体" w:hAnsi="宋体" w:cs="宋体"/>
          <w:kern w:val="0"/>
          <w:sz w:val="24"/>
        </w:rPr>
        <w:t>）</w:t>
      </w:r>
    </w:p>
    <w:p w14:paraId="4E42F8AD">
      <w:pPr>
        <w:snapToGrid w:val="0"/>
        <w:spacing w:line="400" w:lineRule="exact"/>
        <w:ind w:firstLine="472" w:firstLineChars="196"/>
        <w:rPr>
          <w:rFonts w:ascii="宋体" w:hAnsi="宋体" w:cs="宋体"/>
          <w:b/>
          <w:kern w:val="0"/>
          <w:sz w:val="24"/>
        </w:rPr>
      </w:pPr>
      <w:r>
        <w:rPr>
          <w:rFonts w:hint="eastAsia" w:ascii="宋体" w:hAnsi="宋体" w:cs="宋体"/>
          <w:b/>
          <w:kern w:val="0"/>
          <w:sz w:val="24"/>
        </w:rPr>
        <w:t>八</w:t>
      </w:r>
      <w:r>
        <w:rPr>
          <w:rFonts w:hint="eastAsia" w:ascii="宋体" w:hAnsi="宋体" w:cs="宋体"/>
          <w:b/>
          <w:bCs/>
          <w:kern w:val="0"/>
          <w:sz w:val="24"/>
        </w:rPr>
        <w:t>、磋商时间：</w:t>
      </w:r>
      <w:r>
        <w:rPr>
          <w:rFonts w:hint="eastAsia" w:ascii="宋体" w:hAnsi="宋体" w:cs="宋体"/>
          <w:b/>
          <w:color w:val="FF0000"/>
          <w:kern w:val="0"/>
          <w:sz w:val="24"/>
          <w:lang w:eastAsia="zh-CN"/>
        </w:rPr>
        <w:t>2025年</w:t>
      </w:r>
      <w:r>
        <w:rPr>
          <w:rFonts w:hint="eastAsia" w:ascii="宋体" w:hAnsi="宋体" w:cs="宋体"/>
          <w:b/>
          <w:color w:val="FF0000"/>
          <w:kern w:val="0"/>
          <w:sz w:val="24"/>
          <w:lang w:val="en-US" w:eastAsia="zh-CN"/>
        </w:rPr>
        <w:t>**</w:t>
      </w:r>
      <w:r>
        <w:rPr>
          <w:rFonts w:hint="eastAsia" w:ascii="宋体" w:hAnsi="宋体" w:cs="宋体"/>
          <w:b/>
          <w:kern w:val="0"/>
          <w:sz w:val="24"/>
        </w:rPr>
        <w:t>月</w:t>
      </w:r>
      <w:r>
        <w:rPr>
          <w:rFonts w:hint="eastAsia" w:ascii="宋体" w:hAnsi="宋体" w:cs="宋体"/>
          <w:b/>
          <w:color w:val="FF0000"/>
          <w:kern w:val="0"/>
          <w:sz w:val="24"/>
          <w:lang w:val="en-US" w:eastAsia="zh-CN"/>
        </w:rPr>
        <w:t>**</w:t>
      </w:r>
      <w:r>
        <w:rPr>
          <w:rFonts w:hint="eastAsia" w:ascii="宋体" w:hAnsi="宋体" w:cs="宋体"/>
          <w:b/>
          <w:kern w:val="0"/>
          <w:sz w:val="24"/>
        </w:rPr>
        <w:t>日14:00时</w:t>
      </w:r>
    </w:p>
    <w:p w14:paraId="2C6DCFE5">
      <w:pPr>
        <w:snapToGrid w:val="0"/>
        <w:spacing w:line="400" w:lineRule="exact"/>
        <w:ind w:firstLine="472" w:firstLineChars="196"/>
        <w:rPr>
          <w:rFonts w:ascii="宋体" w:hAnsi="宋体" w:cs="宋体"/>
          <w:bCs/>
          <w:kern w:val="0"/>
          <w:sz w:val="24"/>
        </w:rPr>
      </w:pPr>
      <w:r>
        <w:rPr>
          <w:rFonts w:hint="eastAsia" w:ascii="宋体" w:hAnsi="宋体" w:cs="宋体"/>
          <w:b/>
          <w:bCs/>
          <w:kern w:val="0"/>
          <w:sz w:val="24"/>
        </w:rPr>
        <w:t>九</w:t>
      </w:r>
      <w:r>
        <w:rPr>
          <w:rFonts w:hint="eastAsia" w:ascii="宋体" w:hAnsi="宋体" w:cs="宋体"/>
          <w:b/>
          <w:kern w:val="0"/>
          <w:sz w:val="24"/>
        </w:rPr>
        <w:t>、磋商地点：</w:t>
      </w:r>
      <w:r>
        <w:rPr>
          <w:rFonts w:hint="eastAsia" w:ascii="宋体" w:hAnsi="宋体" w:cs="宋体"/>
          <w:bCs/>
          <w:kern w:val="0"/>
          <w:sz w:val="24"/>
        </w:rPr>
        <w:t>湖州市公共资源交易中心2号楼二楼开标室（湖州市仁皇山片区金盖山路66号），具体详见二楼休息区电子显示屏。</w:t>
      </w:r>
      <w:r>
        <w:rPr>
          <w:rFonts w:hint="eastAsia" w:hAnsi="宋体" w:cs="宋体"/>
          <w:b/>
          <w:sz w:val="24"/>
        </w:rPr>
        <w:t>本项目原则上采取“不见面”形式进行开评标活动,法定代表人或其授权代表无须到场，在线响应即可（通过指定的电子邮箱、传真等）</w:t>
      </w:r>
      <w:r>
        <w:rPr>
          <w:rFonts w:hint="eastAsia" w:hAnsi="宋体" w:cs="宋体"/>
          <w:sz w:val="24"/>
        </w:rPr>
        <w:t>，但也允许供应商派授权代表出席开标会议</w:t>
      </w:r>
      <w:r>
        <w:rPr>
          <w:rFonts w:hint="eastAsia" w:ascii="宋体" w:hAnsi="宋体" w:cs="宋体"/>
          <w:bCs/>
          <w:kern w:val="0"/>
          <w:sz w:val="24"/>
        </w:rPr>
        <w:t>（授权代表必须携带身份证、法人授权委托书或法人身份证明文书等有效证明文件以及最近一个月个人社保缴纳证明文件）。</w:t>
      </w:r>
    </w:p>
    <w:p w14:paraId="2AE31C42">
      <w:pPr>
        <w:snapToGrid w:val="0"/>
        <w:spacing w:line="400" w:lineRule="exact"/>
        <w:ind w:firstLine="472" w:firstLineChars="196"/>
        <w:rPr>
          <w:rFonts w:ascii="宋体" w:hAnsi="宋体" w:cs="宋体"/>
          <w:b/>
          <w:bCs/>
          <w:color w:val="FF0000"/>
          <w:kern w:val="0"/>
          <w:sz w:val="24"/>
        </w:rPr>
      </w:pPr>
      <w:r>
        <w:rPr>
          <w:rFonts w:hint="eastAsia" w:ascii="宋体" w:hAnsi="宋体" w:cs="宋体"/>
          <w:b/>
          <w:bCs/>
          <w:color w:val="000000"/>
          <w:kern w:val="0"/>
          <w:sz w:val="24"/>
        </w:rPr>
        <w:t>十、其他事项</w:t>
      </w:r>
    </w:p>
    <w:p w14:paraId="23CB3F03">
      <w:pPr>
        <w:snapToGrid w:val="0"/>
        <w:spacing w:line="400" w:lineRule="exact"/>
        <w:ind w:firstLine="480" w:firstLineChars="200"/>
        <w:rPr>
          <w:rFonts w:ascii="宋体" w:hAnsi="宋体" w:cs="宋体"/>
          <w:color w:val="000000"/>
          <w:kern w:val="0"/>
          <w:sz w:val="24"/>
        </w:rPr>
      </w:pPr>
      <w:r>
        <w:rPr>
          <w:rFonts w:hint="eastAsia" w:ascii="宋体" w:hAnsi="宋体" w:cs="宋体"/>
          <w:color w:val="000000"/>
          <w:kern w:val="0"/>
          <w:sz w:val="24"/>
        </w:rPr>
        <w:t>1、本项目公告期限为3个工作日，供应商认为采购文件使自己的权益受到损害的，可以自获取采购文件之日起7个工作日内，以书面形式向采购人和采购代理机构提出质疑（未按规定在“政府采购云平台”完成磋商报名并获取采购文件的供应商对采购文件提起的质疑将不予受理）。质疑供应商对采购人、采购代理机构的答复不满意或者采购人、采购代理机构未在规定的时间内作出答复的，可以在答复期满后15个工作日内向同级政府采购监督管理部门投诉。质疑函范本、投诉书范本请到浙江政府采购网下载专区下载。</w:t>
      </w:r>
    </w:p>
    <w:p w14:paraId="7FDBD431">
      <w:pPr>
        <w:snapToGrid w:val="0"/>
        <w:spacing w:line="400" w:lineRule="exact"/>
        <w:ind w:firstLine="480" w:firstLineChars="200"/>
        <w:rPr>
          <w:rFonts w:ascii="宋体" w:hAnsi="宋体" w:cs="宋体"/>
          <w:color w:val="000000"/>
          <w:kern w:val="0"/>
          <w:sz w:val="24"/>
        </w:rPr>
      </w:pPr>
      <w:r>
        <w:rPr>
          <w:rFonts w:hint="eastAsia" w:ascii="宋体" w:hAnsi="宋体" w:cs="宋体"/>
          <w:color w:val="000000"/>
          <w:kern w:val="0"/>
          <w:sz w:val="24"/>
        </w:rPr>
        <w:t>2、本项目为电子招投标项目，实行网上招投标，应按照本磋商文件及政采云平台的要求编制、加密并要求供应商通过政采云系统在线磋商响应，磋商截止时间前须完成电子磋商响应文件的上传，同时供应商须随身携带制作在线磋商响应文件时所用的CA锁，供应商在使用系统进行磋商响应的过程中遇到涉及平台使用的任何问题，可致电政采云平台技术支持热线咨询，联系方式：400-881-7190。</w:t>
      </w:r>
    </w:p>
    <w:p w14:paraId="77E647BB">
      <w:pPr>
        <w:snapToGrid w:val="0"/>
        <w:spacing w:line="400" w:lineRule="exact"/>
        <w:ind w:firstLine="480" w:firstLineChars="200"/>
        <w:rPr>
          <w:rFonts w:ascii="宋体" w:hAnsi="宋体" w:cs="宋体"/>
          <w:sz w:val="24"/>
        </w:rPr>
      </w:pPr>
      <w:r>
        <w:rPr>
          <w:rFonts w:hint="eastAsia" w:ascii="宋体" w:hAnsi="宋体" w:cs="宋体"/>
          <w:color w:val="000000"/>
          <w:kern w:val="0"/>
          <w:sz w:val="24"/>
        </w:rPr>
        <w:t>3、本项目开评标会议通过政采云电子交易系统在线完成，请潜在供应商代表自行准备联网的计算机设备、“政府采购云平台”CA数字证书。开评标会议开始后，应全程关注政采云电子交易系统的各类通知：在线询标等，及时澄清、响应等，避免逾期无效等情况的</w:t>
      </w:r>
      <w:r>
        <w:rPr>
          <w:rFonts w:hint="eastAsia" w:ascii="宋体" w:hAnsi="宋体" w:cs="宋体"/>
          <w:sz w:val="24"/>
        </w:rPr>
        <w:t>发生。</w:t>
      </w:r>
    </w:p>
    <w:p w14:paraId="0EAC8DE4">
      <w:pPr>
        <w:snapToGrid w:val="0"/>
        <w:spacing w:line="400" w:lineRule="exact"/>
        <w:ind w:firstLine="480" w:firstLineChars="200"/>
        <w:rPr>
          <w:rFonts w:ascii="宋体" w:hAnsi="宋体" w:cs="宋体"/>
          <w:color w:val="000000"/>
          <w:kern w:val="0"/>
          <w:sz w:val="24"/>
        </w:rPr>
      </w:pPr>
      <w:r>
        <w:rPr>
          <w:rFonts w:hint="eastAsia" w:ascii="宋体" w:hAnsi="宋体" w:cs="宋体"/>
          <w:color w:val="000000"/>
          <w:kern w:val="0"/>
          <w:sz w:val="24"/>
        </w:rPr>
        <w:t>4、本项目依法落实政府采购小微企业、监狱企业、残疾人福利性单位扶持政策。</w:t>
      </w:r>
    </w:p>
    <w:p w14:paraId="21A71601">
      <w:pPr>
        <w:snapToGrid w:val="0"/>
        <w:spacing w:line="40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5、为有效破解当前中小微企业面临的“融资难、融资贵”困局，充分发挥好政府采购扶持小微企业发展的政策功能，本项目中标供应商可凭成交通知书等材料至“绿贷通平台”网页（www.lvdt.huzldt.com）或“政采贷”平台网页（www.zcygov.cn）申请相关融资产品。具体操作方式可在“绿贷通”或“政采贷”平台网站查询，也可向“绿贷通”或“政采贷”平台电话咨询（“绿贷通”联系电话：0572-2392590、“政采贷”联系电话：0572-2151055、18698580797）。</w:t>
      </w:r>
    </w:p>
    <w:p w14:paraId="4B30C0F6">
      <w:pPr>
        <w:snapToGrid w:val="0"/>
        <w:spacing w:line="400" w:lineRule="exact"/>
        <w:ind w:firstLine="482" w:firstLineChars="200"/>
        <w:jc w:val="left"/>
        <w:rPr>
          <w:rFonts w:ascii="宋体" w:hAnsi="宋体" w:cs="宋体"/>
          <w:b/>
          <w:color w:val="000000"/>
          <w:kern w:val="0"/>
          <w:sz w:val="24"/>
        </w:rPr>
      </w:pPr>
      <w:r>
        <w:rPr>
          <w:rFonts w:hint="eastAsia" w:ascii="宋体" w:hAnsi="宋体" w:cs="宋体"/>
          <w:b/>
          <w:color w:val="000000"/>
          <w:kern w:val="0"/>
          <w:sz w:val="24"/>
        </w:rPr>
        <w:t>6、本项目是否专门面向中小企业采购：是</w:t>
      </w:r>
    </w:p>
    <w:p w14:paraId="115456EC">
      <w:pPr>
        <w:snapToGrid w:val="0"/>
        <w:spacing w:line="400" w:lineRule="exact"/>
        <w:ind w:firstLine="480" w:firstLineChars="200"/>
        <w:rPr>
          <w:rFonts w:ascii="宋体" w:hAnsi="宋体" w:cs="宋体"/>
          <w:color w:val="000000"/>
          <w:kern w:val="0"/>
          <w:sz w:val="24"/>
        </w:rPr>
      </w:pPr>
      <w:r>
        <w:rPr>
          <w:rFonts w:hint="eastAsia" w:ascii="宋体" w:hAnsi="宋体" w:cs="宋体"/>
          <w:color w:val="000000"/>
          <w:kern w:val="0"/>
          <w:sz w:val="24"/>
        </w:rPr>
        <w:t>7、本项目公告发布网站：</w:t>
      </w:r>
    </w:p>
    <w:p w14:paraId="7A7CA24B">
      <w:pPr>
        <w:snapToGrid w:val="0"/>
        <w:spacing w:line="400" w:lineRule="exact"/>
        <w:ind w:firstLine="480" w:firstLineChars="200"/>
        <w:rPr>
          <w:rFonts w:ascii="宋体" w:hAnsi="宋体" w:cs="宋体"/>
          <w:color w:val="000000"/>
          <w:kern w:val="0"/>
          <w:sz w:val="24"/>
        </w:rPr>
      </w:pPr>
      <w:r>
        <w:rPr>
          <w:rFonts w:hint="eastAsia" w:ascii="宋体" w:hAnsi="宋体" w:cs="宋体"/>
          <w:color w:val="000000"/>
          <w:kern w:val="0"/>
          <w:sz w:val="24"/>
        </w:rPr>
        <w:t>浙江政府采购网：http://zfcg.czt.zj.gov.cn/</w:t>
      </w:r>
    </w:p>
    <w:p w14:paraId="7F5B5057">
      <w:pPr>
        <w:snapToGrid w:val="0"/>
        <w:spacing w:line="400" w:lineRule="exact"/>
        <w:ind w:firstLine="480" w:firstLineChars="200"/>
        <w:rPr>
          <w:rFonts w:ascii="宋体" w:hAnsi="宋体" w:cs="宋体"/>
          <w:color w:val="000000"/>
          <w:kern w:val="0"/>
          <w:sz w:val="24"/>
        </w:rPr>
      </w:pPr>
      <w:r>
        <w:rPr>
          <w:rFonts w:hint="eastAsia" w:ascii="宋体" w:hAnsi="宋体" w:cs="宋体"/>
          <w:color w:val="000000"/>
          <w:kern w:val="0"/>
          <w:sz w:val="24"/>
        </w:rPr>
        <w:t>湖州市公共资源交易信息网：</w:t>
      </w:r>
      <w:r>
        <w:rPr>
          <w:rFonts w:ascii="宋体" w:hAnsi="宋体" w:cs="宋体"/>
          <w:color w:val="000000"/>
          <w:kern w:val="0"/>
          <w:sz w:val="24"/>
        </w:rPr>
        <w:t>http://ggzyjy.huzhou.gov.cn/</w:t>
      </w:r>
    </w:p>
    <w:p w14:paraId="3449242E">
      <w:pPr>
        <w:snapToGrid w:val="0"/>
        <w:spacing w:line="400" w:lineRule="exact"/>
        <w:ind w:firstLine="482" w:firstLineChars="200"/>
        <w:rPr>
          <w:rFonts w:ascii="宋体" w:hAnsi="宋体" w:cs="Arial"/>
          <w:b/>
          <w:sz w:val="24"/>
        </w:rPr>
      </w:pPr>
      <w:r>
        <w:rPr>
          <w:rFonts w:hint="eastAsia" w:ascii="宋体" w:hAnsi="宋体" w:cs="Arial"/>
          <w:b/>
          <w:sz w:val="24"/>
        </w:rPr>
        <w:t>十一、业务咨询：</w:t>
      </w:r>
    </w:p>
    <w:p w14:paraId="66B2993F">
      <w:pPr>
        <w:snapToGrid w:val="0"/>
        <w:spacing w:line="400" w:lineRule="exact"/>
        <w:ind w:firstLine="480" w:firstLineChars="200"/>
        <w:rPr>
          <w:rFonts w:ascii="宋体" w:hAnsi="宋体"/>
          <w:color w:val="auto"/>
          <w:sz w:val="24"/>
        </w:rPr>
      </w:pPr>
      <w:r>
        <w:rPr>
          <w:rFonts w:ascii="宋体" w:hAnsi="宋体" w:cs="宋体"/>
          <w:color w:val="auto"/>
          <w:kern w:val="0"/>
          <w:sz w:val="24"/>
        </w:rPr>
        <w:t>1、</w:t>
      </w:r>
      <w:r>
        <w:rPr>
          <w:rFonts w:hint="eastAsia" w:ascii="宋体" w:hAnsi="宋体" w:cs="宋体"/>
          <w:color w:val="auto"/>
          <w:kern w:val="0"/>
          <w:sz w:val="24"/>
        </w:rPr>
        <w:t>采购人名称：</w:t>
      </w:r>
      <w:r>
        <w:rPr>
          <w:rFonts w:hint="eastAsia" w:ascii="宋体" w:hAnsi="宋体"/>
          <w:color w:val="auto"/>
          <w:sz w:val="24"/>
        </w:rPr>
        <w:t>浙江南浔经济开发区管理委员会</w:t>
      </w:r>
    </w:p>
    <w:p w14:paraId="05783FB2">
      <w:pPr>
        <w:snapToGrid w:val="0"/>
        <w:spacing w:line="400" w:lineRule="exact"/>
        <w:ind w:firstLine="840" w:firstLineChars="350"/>
        <w:rPr>
          <w:rFonts w:ascii="宋体" w:hAnsi="宋体" w:cs="Arial"/>
          <w:color w:val="auto"/>
          <w:sz w:val="24"/>
        </w:rPr>
      </w:pPr>
      <w:r>
        <w:rPr>
          <w:rFonts w:hint="eastAsia" w:ascii="宋体" w:hAnsi="宋体" w:cs="Arial"/>
          <w:color w:val="auto"/>
          <w:sz w:val="24"/>
        </w:rPr>
        <w:t>联系人：周先生               联系电话：0572-</w:t>
      </w:r>
      <w:r>
        <w:rPr>
          <w:rFonts w:ascii="宋体" w:hAnsi="宋体" w:cs="Arial"/>
          <w:color w:val="auto"/>
          <w:sz w:val="24"/>
        </w:rPr>
        <w:t>3018377</w:t>
      </w:r>
    </w:p>
    <w:p w14:paraId="072232CC">
      <w:pPr>
        <w:snapToGrid w:val="0"/>
        <w:spacing w:line="400" w:lineRule="exact"/>
        <w:ind w:left="480"/>
        <w:rPr>
          <w:rFonts w:ascii="宋体" w:hAnsi="宋体" w:cs="宋体"/>
          <w:color w:val="auto"/>
          <w:kern w:val="0"/>
          <w:sz w:val="24"/>
        </w:rPr>
      </w:pPr>
      <w:r>
        <w:rPr>
          <w:rFonts w:hint="eastAsia" w:ascii="宋体" w:hAnsi="宋体" w:cs="宋体"/>
          <w:color w:val="auto"/>
          <w:kern w:val="0"/>
          <w:sz w:val="24"/>
        </w:rPr>
        <w:t>2、采购代理机构名称：杭州广厦建筑咨询有限公司</w:t>
      </w:r>
    </w:p>
    <w:p w14:paraId="16F402EE">
      <w:pPr>
        <w:snapToGrid w:val="0"/>
        <w:spacing w:line="400" w:lineRule="exact"/>
        <w:ind w:left="480" w:firstLine="360" w:firstLineChars="150"/>
        <w:rPr>
          <w:rFonts w:ascii="宋体" w:hAnsi="宋体" w:cs="Arial"/>
          <w:color w:val="auto"/>
          <w:sz w:val="24"/>
        </w:rPr>
      </w:pPr>
      <w:r>
        <w:rPr>
          <w:rFonts w:hint="eastAsia" w:ascii="宋体" w:hAnsi="宋体" w:cs="宋体"/>
          <w:color w:val="auto"/>
          <w:kern w:val="0"/>
          <w:sz w:val="24"/>
        </w:rPr>
        <w:t>联系人：</w:t>
      </w:r>
      <w:r>
        <w:rPr>
          <w:rFonts w:hint="eastAsia" w:ascii="宋体" w:hAnsi="宋体" w:cs="Arial"/>
          <w:color w:val="auto"/>
          <w:sz w:val="24"/>
        </w:rPr>
        <w:t>沈先生</w:t>
      </w:r>
      <w:r>
        <w:rPr>
          <w:rFonts w:hint="eastAsia" w:ascii="宋体" w:hAnsi="宋体" w:cs="宋体"/>
          <w:color w:val="auto"/>
          <w:kern w:val="0"/>
          <w:sz w:val="24"/>
        </w:rPr>
        <w:t xml:space="preserve">               联系电话：</w:t>
      </w:r>
      <w:r>
        <w:rPr>
          <w:rFonts w:hint="eastAsia" w:ascii="宋体" w:hAnsi="宋体" w:cs="Arial"/>
          <w:color w:val="auto"/>
          <w:sz w:val="24"/>
        </w:rPr>
        <w:t>0572-3065566</w:t>
      </w:r>
    </w:p>
    <w:p w14:paraId="51C5111F">
      <w:pPr>
        <w:snapToGrid w:val="0"/>
        <w:spacing w:line="400" w:lineRule="exact"/>
        <w:ind w:left="480" w:firstLine="360" w:firstLineChars="150"/>
        <w:rPr>
          <w:rFonts w:ascii="宋体" w:hAnsi="宋体" w:cs="宋体"/>
          <w:kern w:val="0"/>
          <w:sz w:val="24"/>
        </w:rPr>
      </w:pPr>
      <w:r>
        <w:rPr>
          <w:rFonts w:hint="eastAsia" w:ascii="宋体" w:hAnsi="宋体" w:cs="宋体"/>
          <w:color w:val="auto"/>
          <w:kern w:val="0"/>
          <w:sz w:val="24"/>
        </w:rPr>
        <w:t>地址：浙江省湖州市南浔区南浔镇年丰路浔南新村三</w:t>
      </w:r>
      <w:r>
        <w:rPr>
          <w:rFonts w:hint="eastAsia" w:ascii="宋体" w:hAnsi="宋体" w:cs="宋体"/>
          <w:kern w:val="0"/>
          <w:sz w:val="24"/>
        </w:rPr>
        <w:t>期三幢二单元三楼</w:t>
      </w:r>
    </w:p>
    <w:p w14:paraId="1A5CDF51">
      <w:pPr>
        <w:snapToGrid w:val="0"/>
        <w:spacing w:line="400" w:lineRule="exact"/>
        <w:ind w:firstLine="840" w:firstLineChars="350"/>
        <w:rPr>
          <w:rFonts w:ascii="宋体" w:hAnsi="宋体" w:cs="宋体"/>
          <w:kern w:val="0"/>
          <w:sz w:val="24"/>
        </w:rPr>
      </w:pPr>
      <w:r>
        <w:rPr>
          <w:rFonts w:hint="eastAsia" w:ascii="宋体" w:hAnsi="宋体" w:cs="宋体"/>
          <w:kern w:val="0"/>
          <w:sz w:val="24"/>
        </w:rPr>
        <w:t>质疑函接收人：孙女士         联系电话：</w:t>
      </w:r>
      <w:r>
        <w:rPr>
          <w:rFonts w:hint="eastAsia" w:ascii="宋体" w:hAnsi="宋体" w:cs="Arial"/>
          <w:sz w:val="24"/>
        </w:rPr>
        <w:t>0572-3065566</w:t>
      </w:r>
    </w:p>
    <w:p w14:paraId="6072BE68">
      <w:pPr>
        <w:snapToGrid w:val="0"/>
        <w:spacing w:line="400" w:lineRule="exact"/>
        <w:ind w:firstLine="480" w:firstLineChars="200"/>
        <w:rPr>
          <w:rFonts w:ascii="宋体" w:hAnsi="宋体" w:cs="宋体"/>
          <w:kern w:val="0"/>
          <w:sz w:val="24"/>
        </w:rPr>
      </w:pPr>
      <w:r>
        <w:rPr>
          <w:rFonts w:hint="eastAsia" w:ascii="宋体" w:hAnsi="宋体" w:cs="宋体"/>
          <w:kern w:val="0"/>
          <w:sz w:val="24"/>
        </w:rPr>
        <w:t>3、同级政府采购监督管理部门名称：湖州市南浔区财政局</w:t>
      </w:r>
    </w:p>
    <w:p w14:paraId="5BED2E20">
      <w:pPr>
        <w:snapToGrid w:val="0"/>
        <w:spacing w:line="400" w:lineRule="exact"/>
        <w:ind w:firstLine="840" w:firstLineChars="350"/>
        <w:rPr>
          <w:rFonts w:ascii="宋体" w:hAnsi="宋体" w:cs="宋体"/>
          <w:kern w:val="0"/>
          <w:sz w:val="24"/>
        </w:rPr>
      </w:pPr>
      <w:r>
        <w:rPr>
          <w:rFonts w:hint="eastAsia" w:ascii="宋体" w:hAnsi="宋体" w:cs="宋体"/>
          <w:kern w:val="0"/>
          <w:sz w:val="24"/>
        </w:rPr>
        <w:t>联系人：孙先生               联系电话：0572-3026731</w:t>
      </w:r>
    </w:p>
    <w:p w14:paraId="65E7C9E2">
      <w:pPr>
        <w:widowControl/>
        <w:spacing w:line="400" w:lineRule="exact"/>
        <w:ind w:firstLine="482" w:firstLineChars="200"/>
        <w:jc w:val="left"/>
        <w:rPr>
          <w:rFonts w:ascii="宋体" w:hAnsi="宋体" w:cs="宋体"/>
          <w:b/>
          <w:kern w:val="0"/>
          <w:sz w:val="24"/>
        </w:rPr>
      </w:pPr>
      <w:r>
        <w:rPr>
          <w:rFonts w:hint="eastAsia" w:ascii="宋体" w:hAnsi="宋体" w:cs="宋体"/>
          <w:b/>
          <w:kern w:val="0"/>
          <w:sz w:val="24"/>
        </w:rPr>
        <w:t xml:space="preserve">若对项目采购电子交易系统操作有疑问，可登录政采云（https://www.zcygov.cn/），点击右侧咨询小采，获取采小蜜智能服务管家帮助，或拨打政采云服务热线400-881-7190获取热线服务帮助。       </w:t>
      </w:r>
    </w:p>
    <w:p w14:paraId="2333919F">
      <w:pPr>
        <w:snapToGrid w:val="0"/>
        <w:spacing w:line="400" w:lineRule="exact"/>
        <w:ind w:firstLine="482" w:firstLineChars="200"/>
        <w:jc w:val="left"/>
        <w:rPr>
          <w:rFonts w:ascii="宋体" w:hAnsi="宋体" w:cs="宋体"/>
          <w:b/>
          <w:kern w:val="0"/>
          <w:sz w:val="24"/>
        </w:rPr>
      </w:pPr>
      <w:r>
        <w:rPr>
          <w:rFonts w:hint="eastAsia" w:ascii="宋体" w:hAnsi="宋体" w:cs="宋体"/>
          <w:b/>
          <w:kern w:val="0"/>
          <w:sz w:val="24"/>
        </w:rPr>
        <w:t xml:space="preserve">CA问题联系电话（人工）：汇信CA 400-888-4636；天谷CA 400-087-8198 </w:t>
      </w:r>
    </w:p>
    <w:p w14:paraId="279556C6"/>
    <w:p w14:paraId="2F4BC56A">
      <w:pPr>
        <w:pStyle w:val="4"/>
        <w:spacing w:before="120" w:after="120" w:line="240" w:lineRule="atLeast"/>
        <w:jc w:val="center"/>
        <w:rPr>
          <w:sz w:val="32"/>
          <w:szCs w:val="32"/>
        </w:rPr>
      </w:pPr>
      <w:bookmarkStart w:id="2" w:name="_Toc72487170"/>
      <w:bookmarkStart w:id="3" w:name="_Toc452995894"/>
      <w:r>
        <w:rPr>
          <w:rFonts w:hint="eastAsia"/>
          <w:sz w:val="32"/>
          <w:szCs w:val="32"/>
        </w:rPr>
        <w:t>第一章供应商须知</w:t>
      </w:r>
      <w:bookmarkEnd w:id="2"/>
      <w:bookmarkEnd w:id="3"/>
    </w:p>
    <w:p w14:paraId="612D5209">
      <w:pPr>
        <w:pStyle w:val="5"/>
        <w:spacing w:before="0" w:after="0" w:line="400" w:lineRule="exact"/>
        <w:jc w:val="center"/>
        <w:rPr>
          <w:rFonts w:ascii="宋体" w:hAnsi="宋体" w:eastAsia="宋体"/>
          <w:sz w:val="30"/>
          <w:szCs w:val="30"/>
        </w:rPr>
      </w:pPr>
      <w:bookmarkStart w:id="4" w:name="_Toc72487171"/>
      <w:bookmarkStart w:id="5" w:name="_Toc452995895"/>
      <w:r>
        <w:rPr>
          <w:rFonts w:hint="eastAsia" w:ascii="宋体" w:hAnsi="宋体" w:eastAsia="宋体"/>
          <w:sz w:val="30"/>
          <w:szCs w:val="30"/>
        </w:rPr>
        <w:t>前 附 表</w:t>
      </w:r>
      <w:bookmarkEnd w:id="4"/>
      <w:bookmarkEnd w:id="5"/>
    </w:p>
    <w:tbl>
      <w:tblPr>
        <w:tblStyle w:val="3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53"/>
        <w:gridCol w:w="2217"/>
        <w:gridCol w:w="6426"/>
      </w:tblGrid>
      <w:tr w14:paraId="504422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8"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51CE7110">
            <w:pPr>
              <w:spacing w:line="400" w:lineRule="exact"/>
              <w:jc w:val="center"/>
              <w:rPr>
                <w:rFonts w:ascii="宋体" w:hAnsi="宋体"/>
                <w:szCs w:val="21"/>
              </w:rPr>
            </w:pPr>
            <w:r>
              <w:rPr>
                <w:rFonts w:hint="eastAsia" w:ascii="宋体" w:hAnsi="宋体"/>
                <w:szCs w:val="21"/>
              </w:rPr>
              <w:t>序号</w:t>
            </w:r>
          </w:p>
        </w:tc>
        <w:tc>
          <w:tcPr>
            <w:tcW w:w="2217" w:type="dxa"/>
            <w:tcBorders>
              <w:top w:val="single" w:color="auto" w:sz="4" w:space="0"/>
              <w:left w:val="single" w:color="auto" w:sz="4" w:space="0"/>
              <w:bottom w:val="single" w:color="auto" w:sz="4" w:space="0"/>
              <w:right w:val="single" w:color="auto" w:sz="4" w:space="0"/>
            </w:tcBorders>
            <w:vAlign w:val="center"/>
          </w:tcPr>
          <w:p w14:paraId="2B1B5BBA">
            <w:pPr>
              <w:spacing w:line="400" w:lineRule="exact"/>
              <w:jc w:val="center"/>
              <w:rPr>
                <w:rFonts w:ascii="宋体" w:hAnsi="宋体"/>
                <w:szCs w:val="21"/>
              </w:rPr>
            </w:pPr>
            <w:r>
              <w:rPr>
                <w:rFonts w:hint="eastAsia" w:ascii="宋体" w:hAnsi="宋体"/>
                <w:szCs w:val="21"/>
              </w:rPr>
              <w:t>项  目</w:t>
            </w:r>
          </w:p>
        </w:tc>
        <w:tc>
          <w:tcPr>
            <w:tcW w:w="6426" w:type="dxa"/>
            <w:tcBorders>
              <w:top w:val="single" w:color="auto" w:sz="4" w:space="0"/>
              <w:left w:val="single" w:color="auto" w:sz="4" w:space="0"/>
              <w:bottom w:val="single" w:color="auto" w:sz="4" w:space="0"/>
              <w:right w:val="single" w:color="auto" w:sz="4" w:space="0"/>
            </w:tcBorders>
            <w:vAlign w:val="center"/>
          </w:tcPr>
          <w:p w14:paraId="2610E3CD">
            <w:pPr>
              <w:spacing w:line="400" w:lineRule="exact"/>
              <w:jc w:val="center"/>
              <w:rPr>
                <w:rFonts w:ascii="宋体" w:hAnsi="宋体"/>
                <w:szCs w:val="21"/>
              </w:rPr>
            </w:pPr>
            <w:r>
              <w:rPr>
                <w:rFonts w:hint="eastAsia" w:ascii="宋体" w:hAnsi="宋体"/>
                <w:szCs w:val="21"/>
              </w:rPr>
              <w:t>内容与要求</w:t>
            </w:r>
          </w:p>
        </w:tc>
      </w:tr>
      <w:tr w14:paraId="7E9656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21DD231B">
            <w:pPr>
              <w:spacing w:line="400" w:lineRule="exact"/>
              <w:jc w:val="center"/>
              <w:rPr>
                <w:rFonts w:ascii="宋体" w:hAnsi="宋体"/>
                <w:szCs w:val="21"/>
              </w:rPr>
            </w:pPr>
            <w:r>
              <w:rPr>
                <w:rFonts w:ascii="宋体" w:hAnsi="宋体"/>
                <w:szCs w:val="21"/>
              </w:rPr>
              <w:t>1</w:t>
            </w:r>
          </w:p>
        </w:tc>
        <w:tc>
          <w:tcPr>
            <w:tcW w:w="2217" w:type="dxa"/>
            <w:tcBorders>
              <w:top w:val="single" w:color="auto" w:sz="4" w:space="0"/>
              <w:left w:val="single" w:color="auto" w:sz="4" w:space="0"/>
              <w:bottom w:val="single" w:color="auto" w:sz="4" w:space="0"/>
              <w:right w:val="single" w:color="auto" w:sz="4" w:space="0"/>
            </w:tcBorders>
            <w:vAlign w:val="center"/>
          </w:tcPr>
          <w:p w14:paraId="4B54D8E5">
            <w:pPr>
              <w:spacing w:line="400" w:lineRule="exact"/>
              <w:jc w:val="center"/>
              <w:rPr>
                <w:rFonts w:ascii="宋体" w:hAnsi="宋体"/>
                <w:bCs/>
                <w:szCs w:val="21"/>
              </w:rPr>
            </w:pPr>
            <w:r>
              <w:rPr>
                <w:rFonts w:hint="eastAsia" w:ascii="宋体" w:hAnsi="宋体"/>
                <w:bCs/>
                <w:szCs w:val="21"/>
              </w:rPr>
              <w:t>项目名称</w:t>
            </w:r>
          </w:p>
        </w:tc>
        <w:tc>
          <w:tcPr>
            <w:tcW w:w="6426" w:type="dxa"/>
            <w:tcBorders>
              <w:top w:val="single" w:color="auto" w:sz="4" w:space="0"/>
              <w:left w:val="single" w:color="auto" w:sz="4" w:space="0"/>
              <w:bottom w:val="single" w:color="auto" w:sz="4" w:space="0"/>
              <w:right w:val="single" w:color="auto" w:sz="4" w:space="0"/>
            </w:tcBorders>
            <w:vAlign w:val="center"/>
          </w:tcPr>
          <w:p w14:paraId="2796E035">
            <w:pPr>
              <w:spacing w:line="400" w:lineRule="exact"/>
              <w:rPr>
                <w:rFonts w:hint="eastAsia" w:ascii="宋体" w:hAnsi="宋体" w:eastAsia="宋体"/>
                <w:bCs/>
                <w:spacing w:val="-4"/>
                <w:szCs w:val="21"/>
                <w:lang w:eastAsia="zh-CN"/>
              </w:rPr>
            </w:pPr>
            <w:r>
              <w:rPr>
                <w:rFonts w:hint="eastAsia" w:ascii="宋体" w:hAnsi="宋体"/>
                <w:bCs/>
                <w:spacing w:val="-4"/>
                <w:szCs w:val="21"/>
                <w:lang w:eastAsia="zh-CN"/>
              </w:rPr>
              <w:t>南浔经济开发区2025年城市管理服务项目</w:t>
            </w:r>
          </w:p>
        </w:tc>
      </w:tr>
      <w:tr w14:paraId="2DE6AD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337C3542">
            <w:pPr>
              <w:spacing w:line="400" w:lineRule="exact"/>
              <w:jc w:val="center"/>
              <w:rPr>
                <w:rFonts w:ascii="宋体" w:hAnsi="宋体"/>
                <w:szCs w:val="21"/>
              </w:rPr>
            </w:pPr>
            <w:r>
              <w:rPr>
                <w:rFonts w:ascii="宋体" w:hAnsi="宋体"/>
                <w:szCs w:val="21"/>
              </w:rPr>
              <w:t>2</w:t>
            </w:r>
          </w:p>
        </w:tc>
        <w:tc>
          <w:tcPr>
            <w:tcW w:w="2217" w:type="dxa"/>
            <w:tcBorders>
              <w:top w:val="single" w:color="auto" w:sz="4" w:space="0"/>
              <w:left w:val="single" w:color="auto" w:sz="4" w:space="0"/>
              <w:bottom w:val="single" w:color="auto" w:sz="4" w:space="0"/>
              <w:right w:val="single" w:color="auto" w:sz="4" w:space="0"/>
            </w:tcBorders>
            <w:vAlign w:val="center"/>
          </w:tcPr>
          <w:p w14:paraId="13D64AF1">
            <w:pPr>
              <w:spacing w:line="400" w:lineRule="exact"/>
              <w:jc w:val="center"/>
              <w:rPr>
                <w:rFonts w:ascii="宋体" w:hAnsi="宋体"/>
                <w:bCs/>
                <w:szCs w:val="21"/>
              </w:rPr>
            </w:pPr>
            <w:r>
              <w:rPr>
                <w:rFonts w:hint="eastAsia" w:ascii="宋体" w:hAnsi="宋体"/>
                <w:bCs/>
                <w:szCs w:val="21"/>
              </w:rPr>
              <w:t>编号</w:t>
            </w:r>
          </w:p>
        </w:tc>
        <w:tc>
          <w:tcPr>
            <w:tcW w:w="6426" w:type="dxa"/>
            <w:tcBorders>
              <w:top w:val="single" w:color="auto" w:sz="4" w:space="0"/>
              <w:left w:val="single" w:color="auto" w:sz="4" w:space="0"/>
              <w:bottom w:val="single" w:color="auto" w:sz="4" w:space="0"/>
              <w:right w:val="single" w:color="auto" w:sz="4" w:space="0"/>
            </w:tcBorders>
            <w:vAlign w:val="center"/>
          </w:tcPr>
          <w:p w14:paraId="3F96416E">
            <w:pPr>
              <w:spacing w:line="400" w:lineRule="exact"/>
              <w:rPr>
                <w:rFonts w:hint="default" w:ascii="宋体" w:hAnsi="宋体" w:eastAsia="宋体"/>
                <w:bCs/>
                <w:color w:val="auto"/>
                <w:spacing w:val="-4"/>
                <w:szCs w:val="21"/>
                <w:lang w:val="en-US" w:eastAsia="zh-CN"/>
              </w:rPr>
            </w:pPr>
            <w:r>
              <w:rPr>
                <w:rFonts w:hint="eastAsia" w:ascii="宋体" w:hAnsi="宋体"/>
                <w:bCs/>
                <w:spacing w:val="-4"/>
                <w:szCs w:val="21"/>
              </w:rPr>
              <w:t>磋商项目</w:t>
            </w:r>
            <w:r>
              <w:rPr>
                <w:rFonts w:hint="eastAsia" w:ascii="宋体" w:hAnsi="宋体"/>
                <w:bCs/>
                <w:color w:val="auto"/>
                <w:spacing w:val="-4"/>
                <w:szCs w:val="21"/>
              </w:rPr>
              <w:t>编号：</w:t>
            </w:r>
            <w:r>
              <w:rPr>
                <w:rFonts w:hint="eastAsia" w:ascii="宋体" w:hAnsi="宋体"/>
                <w:bCs/>
                <w:color w:val="auto"/>
                <w:spacing w:val="-4"/>
                <w:szCs w:val="21"/>
                <w:lang w:eastAsia="zh-CN"/>
              </w:rPr>
              <w:t>GS（采）2025</w:t>
            </w:r>
            <w:r>
              <w:rPr>
                <w:rFonts w:hint="eastAsia" w:ascii="宋体" w:hAnsi="宋体"/>
                <w:bCs/>
                <w:color w:val="auto"/>
                <w:spacing w:val="-4"/>
                <w:szCs w:val="21"/>
                <w:lang w:val="en-US" w:eastAsia="zh-CN"/>
              </w:rPr>
              <w:t>-006</w:t>
            </w:r>
          </w:p>
          <w:p w14:paraId="6670C11A">
            <w:pPr>
              <w:spacing w:line="400" w:lineRule="exact"/>
              <w:rPr>
                <w:rFonts w:hint="eastAsia" w:ascii="宋体" w:hAnsi="宋体" w:eastAsia="宋体"/>
                <w:bCs/>
                <w:spacing w:val="-4"/>
                <w:szCs w:val="21"/>
                <w:lang w:eastAsia="zh-CN"/>
              </w:rPr>
            </w:pPr>
            <w:r>
              <w:rPr>
                <w:rFonts w:hint="eastAsia" w:ascii="宋体" w:hAnsi="宋体"/>
                <w:bCs/>
                <w:color w:val="auto"/>
                <w:spacing w:val="-4"/>
                <w:szCs w:val="21"/>
              </w:rPr>
              <w:t>财政审批编号：</w:t>
            </w:r>
            <w:r>
              <w:rPr>
                <w:rFonts w:hint="eastAsia" w:ascii="宋体" w:hAnsi="宋体"/>
                <w:bCs/>
                <w:color w:val="auto"/>
                <w:spacing w:val="-4"/>
                <w:szCs w:val="21"/>
                <w:lang w:eastAsia="zh-CN"/>
              </w:rPr>
              <w:t>[2025]154号</w:t>
            </w:r>
          </w:p>
        </w:tc>
      </w:tr>
      <w:tr w14:paraId="43E34A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12"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06BB7FC4">
            <w:pPr>
              <w:spacing w:line="400" w:lineRule="exact"/>
              <w:jc w:val="center"/>
              <w:rPr>
                <w:rFonts w:ascii="宋体" w:hAnsi="宋体"/>
                <w:szCs w:val="21"/>
              </w:rPr>
            </w:pPr>
            <w:r>
              <w:rPr>
                <w:rFonts w:ascii="宋体" w:hAnsi="宋体"/>
                <w:szCs w:val="21"/>
              </w:rPr>
              <w:t>3</w:t>
            </w:r>
          </w:p>
        </w:tc>
        <w:tc>
          <w:tcPr>
            <w:tcW w:w="2217" w:type="dxa"/>
            <w:tcBorders>
              <w:top w:val="single" w:color="auto" w:sz="4" w:space="0"/>
              <w:left w:val="single" w:color="auto" w:sz="4" w:space="0"/>
              <w:bottom w:val="single" w:color="auto" w:sz="4" w:space="0"/>
              <w:right w:val="single" w:color="auto" w:sz="4" w:space="0"/>
            </w:tcBorders>
            <w:vAlign w:val="center"/>
          </w:tcPr>
          <w:p w14:paraId="49D227E1">
            <w:pPr>
              <w:spacing w:line="400" w:lineRule="exact"/>
              <w:jc w:val="center"/>
              <w:rPr>
                <w:rFonts w:ascii="宋体" w:hAnsi="宋体"/>
                <w:bCs/>
                <w:szCs w:val="21"/>
              </w:rPr>
            </w:pPr>
            <w:r>
              <w:rPr>
                <w:rFonts w:hint="eastAsia" w:ascii="宋体" w:hAnsi="宋体"/>
                <w:bCs/>
                <w:szCs w:val="21"/>
              </w:rPr>
              <w:t>磋商内容</w:t>
            </w:r>
          </w:p>
        </w:tc>
        <w:tc>
          <w:tcPr>
            <w:tcW w:w="6426" w:type="dxa"/>
            <w:tcBorders>
              <w:top w:val="single" w:color="auto" w:sz="4" w:space="0"/>
              <w:left w:val="single" w:color="auto" w:sz="4" w:space="0"/>
              <w:bottom w:val="single" w:color="auto" w:sz="4" w:space="0"/>
              <w:right w:val="single" w:color="auto" w:sz="4" w:space="0"/>
            </w:tcBorders>
            <w:vAlign w:val="center"/>
          </w:tcPr>
          <w:p w14:paraId="66401A39">
            <w:pPr>
              <w:spacing w:line="400" w:lineRule="exact"/>
              <w:rPr>
                <w:rFonts w:ascii="宋体" w:hAnsi="宋体"/>
                <w:bCs/>
                <w:spacing w:val="-4"/>
                <w:szCs w:val="21"/>
              </w:rPr>
            </w:pPr>
            <w:r>
              <w:rPr>
                <w:rFonts w:hint="eastAsia" w:ascii="宋体" w:hAnsi="宋体"/>
                <w:bCs/>
                <w:spacing w:val="-4"/>
                <w:szCs w:val="21"/>
              </w:rPr>
              <w:t>详见第二章</w:t>
            </w:r>
          </w:p>
        </w:tc>
      </w:tr>
      <w:tr w14:paraId="6EFE87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3"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1F852735">
            <w:pPr>
              <w:spacing w:line="400" w:lineRule="exact"/>
              <w:jc w:val="center"/>
              <w:rPr>
                <w:rFonts w:ascii="宋体" w:hAnsi="宋体"/>
                <w:szCs w:val="21"/>
              </w:rPr>
            </w:pPr>
            <w:r>
              <w:rPr>
                <w:rFonts w:hint="eastAsia" w:ascii="宋体" w:hAnsi="宋体"/>
                <w:szCs w:val="21"/>
              </w:rPr>
              <w:t>4</w:t>
            </w:r>
          </w:p>
        </w:tc>
        <w:tc>
          <w:tcPr>
            <w:tcW w:w="2217" w:type="dxa"/>
            <w:tcBorders>
              <w:top w:val="single" w:color="auto" w:sz="4" w:space="0"/>
              <w:left w:val="single" w:color="auto" w:sz="4" w:space="0"/>
              <w:bottom w:val="single" w:color="auto" w:sz="4" w:space="0"/>
              <w:right w:val="single" w:color="auto" w:sz="4" w:space="0"/>
            </w:tcBorders>
            <w:vAlign w:val="center"/>
          </w:tcPr>
          <w:p w14:paraId="534B54FC">
            <w:pPr>
              <w:spacing w:line="400" w:lineRule="exact"/>
              <w:jc w:val="center"/>
              <w:rPr>
                <w:rFonts w:ascii="宋体" w:hAnsi="宋体"/>
                <w:bCs/>
                <w:szCs w:val="21"/>
              </w:rPr>
            </w:pPr>
            <w:r>
              <w:rPr>
                <w:rFonts w:hint="eastAsia" w:ascii="宋体" w:hAnsi="宋体"/>
                <w:bCs/>
                <w:szCs w:val="21"/>
              </w:rPr>
              <w:t>磋商保证金</w:t>
            </w:r>
          </w:p>
        </w:tc>
        <w:tc>
          <w:tcPr>
            <w:tcW w:w="6426" w:type="dxa"/>
            <w:tcBorders>
              <w:top w:val="single" w:color="auto" w:sz="4" w:space="0"/>
              <w:left w:val="single" w:color="auto" w:sz="4" w:space="0"/>
              <w:bottom w:val="single" w:color="auto" w:sz="4" w:space="0"/>
              <w:right w:val="single" w:color="auto" w:sz="4" w:space="0"/>
            </w:tcBorders>
            <w:vAlign w:val="center"/>
          </w:tcPr>
          <w:p w14:paraId="4BA3CA27">
            <w:pPr>
              <w:spacing w:line="400" w:lineRule="exact"/>
              <w:rPr>
                <w:rFonts w:ascii="宋体" w:hAnsi="宋体"/>
                <w:bCs/>
                <w:spacing w:val="-4"/>
                <w:szCs w:val="21"/>
              </w:rPr>
            </w:pPr>
            <w:r>
              <w:rPr>
                <w:rFonts w:hint="eastAsia" w:ascii="宋体" w:hAnsi="宋体"/>
                <w:bCs/>
                <w:spacing w:val="-4"/>
                <w:szCs w:val="21"/>
              </w:rPr>
              <w:t>无</w:t>
            </w:r>
          </w:p>
        </w:tc>
      </w:tr>
      <w:tr w14:paraId="32061C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5"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2C460B59">
            <w:pPr>
              <w:spacing w:line="400" w:lineRule="exact"/>
              <w:jc w:val="center"/>
              <w:rPr>
                <w:rFonts w:ascii="宋体" w:hAnsi="宋体"/>
                <w:szCs w:val="21"/>
              </w:rPr>
            </w:pPr>
            <w:r>
              <w:rPr>
                <w:rFonts w:hint="eastAsia" w:ascii="宋体" w:hAnsi="宋体"/>
                <w:szCs w:val="21"/>
              </w:rPr>
              <w:t>5</w:t>
            </w:r>
          </w:p>
        </w:tc>
        <w:tc>
          <w:tcPr>
            <w:tcW w:w="2217" w:type="dxa"/>
            <w:tcBorders>
              <w:top w:val="single" w:color="auto" w:sz="4" w:space="0"/>
              <w:left w:val="single" w:color="auto" w:sz="4" w:space="0"/>
              <w:bottom w:val="single" w:color="auto" w:sz="4" w:space="0"/>
              <w:right w:val="single" w:color="auto" w:sz="4" w:space="0"/>
            </w:tcBorders>
            <w:vAlign w:val="center"/>
          </w:tcPr>
          <w:p w14:paraId="71656D64">
            <w:pPr>
              <w:spacing w:line="400" w:lineRule="exact"/>
              <w:jc w:val="center"/>
              <w:rPr>
                <w:rFonts w:ascii="宋体" w:hAnsi="宋体"/>
                <w:bCs/>
                <w:szCs w:val="21"/>
              </w:rPr>
            </w:pPr>
            <w:r>
              <w:rPr>
                <w:rFonts w:hint="eastAsia" w:ascii="宋体" w:hAnsi="宋体"/>
                <w:bCs/>
                <w:szCs w:val="21"/>
              </w:rPr>
              <w:t>磋商报价及费用</w:t>
            </w:r>
          </w:p>
        </w:tc>
        <w:tc>
          <w:tcPr>
            <w:tcW w:w="6426" w:type="dxa"/>
            <w:tcBorders>
              <w:top w:val="single" w:color="auto" w:sz="4" w:space="0"/>
              <w:left w:val="single" w:color="auto" w:sz="4" w:space="0"/>
              <w:bottom w:val="single" w:color="auto" w:sz="4" w:space="0"/>
              <w:right w:val="single" w:color="auto" w:sz="4" w:space="0"/>
            </w:tcBorders>
            <w:vAlign w:val="center"/>
          </w:tcPr>
          <w:p w14:paraId="248D8A91">
            <w:pPr>
              <w:spacing w:line="400" w:lineRule="exact"/>
              <w:rPr>
                <w:rFonts w:ascii="宋体" w:hAnsi="宋体"/>
                <w:bCs/>
                <w:spacing w:val="-4"/>
                <w:szCs w:val="21"/>
              </w:rPr>
            </w:pPr>
            <w:r>
              <w:rPr>
                <w:rFonts w:hint="eastAsia" w:ascii="宋体" w:hAnsi="宋体"/>
                <w:bCs/>
                <w:spacing w:val="-4"/>
                <w:szCs w:val="21"/>
              </w:rPr>
              <w:t>1、本项目</w:t>
            </w:r>
            <w:r>
              <w:rPr>
                <w:rFonts w:hint="eastAsia" w:ascii="宋体" w:hAnsi="宋体"/>
                <w:bCs/>
                <w:szCs w:val="21"/>
              </w:rPr>
              <w:t>磋商</w:t>
            </w:r>
            <w:r>
              <w:rPr>
                <w:rFonts w:hint="eastAsia" w:ascii="宋体" w:hAnsi="宋体"/>
                <w:bCs/>
                <w:spacing w:val="-4"/>
                <w:szCs w:val="21"/>
              </w:rPr>
              <w:t>应以人民币报价；2、不论</w:t>
            </w:r>
            <w:r>
              <w:rPr>
                <w:rFonts w:hint="eastAsia" w:ascii="宋体" w:hAnsi="宋体"/>
                <w:bCs/>
                <w:szCs w:val="21"/>
              </w:rPr>
              <w:t>磋商</w:t>
            </w:r>
            <w:r>
              <w:rPr>
                <w:rFonts w:hint="eastAsia" w:ascii="宋体" w:hAnsi="宋体"/>
                <w:bCs/>
                <w:spacing w:val="-4"/>
                <w:szCs w:val="21"/>
              </w:rPr>
              <w:t>结果如何，供应商均应自行承担所有与</w:t>
            </w:r>
            <w:r>
              <w:rPr>
                <w:rFonts w:hint="eastAsia" w:ascii="宋体" w:hAnsi="宋体"/>
                <w:bCs/>
                <w:szCs w:val="21"/>
              </w:rPr>
              <w:t>磋商</w:t>
            </w:r>
            <w:r>
              <w:rPr>
                <w:rFonts w:hint="eastAsia" w:ascii="宋体" w:hAnsi="宋体"/>
                <w:bCs/>
                <w:spacing w:val="-4"/>
                <w:szCs w:val="21"/>
              </w:rPr>
              <w:t>有关的全部费用；</w:t>
            </w:r>
            <w:r>
              <w:rPr>
                <w:rFonts w:hint="eastAsia" w:ascii="宋体" w:hAnsi="宋体"/>
                <w:b/>
                <w:szCs w:val="21"/>
              </w:rPr>
              <w:t>3、本项目采购代理服务费按     贰万零陆佰捌拾元整(￥20680元)收取，由成交供应商在领取成交通知书时一次性支付，由供应商自行考虑计入报价。</w:t>
            </w:r>
          </w:p>
        </w:tc>
      </w:tr>
      <w:tr w14:paraId="09A31D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0"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6F1569C6">
            <w:pPr>
              <w:spacing w:line="400" w:lineRule="exact"/>
              <w:jc w:val="center"/>
              <w:rPr>
                <w:rFonts w:ascii="宋体" w:hAnsi="宋体"/>
                <w:szCs w:val="21"/>
              </w:rPr>
            </w:pPr>
            <w:r>
              <w:rPr>
                <w:rFonts w:hint="eastAsia" w:ascii="宋体" w:hAnsi="宋体"/>
                <w:szCs w:val="21"/>
              </w:rPr>
              <w:t>6</w:t>
            </w:r>
          </w:p>
        </w:tc>
        <w:tc>
          <w:tcPr>
            <w:tcW w:w="2217" w:type="dxa"/>
            <w:tcBorders>
              <w:top w:val="single" w:color="auto" w:sz="4" w:space="0"/>
              <w:left w:val="single" w:color="auto" w:sz="4" w:space="0"/>
              <w:bottom w:val="single" w:color="auto" w:sz="4" w:space="0"/>
              <w:right w:val="single" w:color="auto" w:sz="4" w:space="0"/>
            </w:tcBorders>
            <w:vAlign w:val="center"/>
          </w:tcPr>
          <w:p w14:paraId="10CCD188">
            <w:pPr>
              <w:spacing w:line="400" w:lineRule="exact"/>
              <w:jc w:val="center"/>
              <w:rPr>
                <w:rFonts w:ascii="宋体" w:hAnsi="宋体"/>
                <w:bCs/>
                <w:szCs w:val="21"/>
              </w:rPr>
            </w:pPr>
            <w:r>
              <w:rPr>
                <w:rFonts w:hint="eastAsia" w:ascii="宋体" w:hAnsi="宋体"/>
                <w:bCs/>
                <w:szCs w:val="21"/>
              </w:rPr>
              <w:t>服务地点</w:t>
            </w:r>
          </w:p>
        </w:tc>
        <w:tc>
          <w:tcPr>
            <w:tcW w:w="6426" w:type="dxa"/>
            <w:tcBorders>
              <w:top w:val="single" w:color="auto" w:sz="4" w:space="0"/>
              <w:left w:val="single" w:color="auto" w:sz="4" w:space="0"/>
              <w:bottom w:val="single" w:color="auto" w:sz="4" w:space="0"/>
              <w:right w:val="single" w:color="auto" w:sz="4" w:space="0"/>
            </w:tcBorders>
            <w:vAlign w:val="center"/>
          </w:tcPr>
          <w:p w14:paraId="55DFFFD8">
            <w:pPr>
              <w:spacing w:line="400" w:lineRule="exact"/>
              <w:rPr>
                <w:rFonts w:ascii="宋体" w:hAnsi="宋体"/>
                <w:bCs/>
                <w:spacing w:val="-4"/>
                <w:szCs w:val="21"/>
              </w:rPr>
            </w:pPr>
            <w:r>
              <w:rPr>
                <w:rFonts w:hint="eastAsia" w:ascii="宋体" w:hAnsi="宋体"/>
                <w:bCs/>
                <w:spacing w:val="-4"/>
                <w:szCs w:val="21"/>
              </w:rPr>
              <w:t>由采购人指定</w:t>
            </w:r>
          </w:p>
        </w:tc>
      </w:tr>
      <w:tr w14:paraId="51A15B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56"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7550530B">
            <w:pPr>
              <w:spacing w:line="400" w:lineRule="exact"/>
              <w:jc w:val="center"/>
              <w:rPr>
                <w:rFonts w:ascii="宋体" w:hAnsi="宋体"/>
                <w:szCs w:val="21"/>
              </w:rPr>
            </w:pPr>
            <w:r>
              <w:rPr>
                <w:rFonts w:hint="eastAsia" w:ascii="宋体" w:hAnsi="宋体"/>
                <w:szCs w:val="21"/>
              </w:rPr>
              <w:t>7</w:t>
            </w:r>
          </w:p>
        </w:tc>
        <w:tc>
          <w:tcPr>
            <w:tcW w:w="2217" w:type="dxa"/>
            <w:tcBorders>
              <w:top w:val="single" w:color="auto" w:sz="4" w:space="0"/>
              <w:left w:val="single" w:color="auto" w:sz="4" w:space="0"/>
              <w:bottom w:val="single" w:color="auto" w:sz="4" w:space="0"/>
              <w:right w:val="single" w:color="auto" w:sz="4" w:space="0"/>
            </w:tcBorders>
            <w:vAlign w:val="center"/>
          </w:tcPr>
          <w:p w14:paraId="57F08B25">
            <w:pPr>
              <w:spacing w:line="400" w:lineRule="exact"/>
              <w:jc w:val="center"/>
              <w:rPr>
                <w:rFonts w:ascii="宋体" w:hAnsi="宋体"/>
                <w:b/>
                <w:bCs/>
                <w:szCs w:val="21"/>
              </w:rPr>
            </w:pPr>
            <w:r>
              <w:rPr>
                <w:rFonts w:hint="eastAsia" w:ascii="宋体" w:hAnsi="宋体"/>
                <w:b/>
                <w:bCs/>
                <w:szCs w:val="21"/>
              </w:rPr>
              <w:t>服务期限</w:t>
            </w:r>
          </w:p>
        </w:tc>
        <w:tc>
          <w:tcPr>
            <w:tcW w:w="6426" w:type="dxa"/>
            <w:tcBorders>
              <w:top w:val="single" w:color="auto" w:sz="4" w:space="0"/>
              <w:left w:val="single" w:color="auto" w:sz="4" w:space="0"/>
              <w:bottom w:val="single" w:color="auto" w:sz="4" w:space="0"/>
              <w:right w:val="single" w:color="auto" w:sz="4" w:space="0"/>
            </w:tcBorders>
            <w:vAlign w:val="center"/>
          </w:tcPr>
          <w:p w14:paraId="729770B3">
            <w:pPr>
              <w:spacing w:line="400" w:lineRule="exact"/>
              <w:rPr>
                <w:rFonts w:ascii="宋体" w:hAnsi="宋体"/>
                <w:b/>
                <w:bCs/>
                <w:szCs w:val="21"/>
              </w:rPr>
            </w:pPr>
            <w:r>
              <w:rPr>
                <w:rFonts w:hint="eastAsia" w:ascii="宋体" w:hAnsi="宋体"/>
                <w:b/>
                <w:bCs/>
                <w:szCs w:val="21"/>
              </w:rPr>
              <w:t>一年</w:t>
            </w:r>
          </w:p>
        </w:tc>
      </w:tr>
      <w:tr w14:paraId="28A3A2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571C6564">
            <w:pPr>
              <w:spacing w:line="400" w:lineRule="exact"/>
              <w:jc w:val="center"/>
              <w:rPr>
                <w:rFonts w:ascii="宋体" w:hAnsi="宋体"/>
                <w:szCs w:val="21"/>
              </w:rPr>
            </w:pPr>
            <w:r>
              <w:rPr>
                <w:rFonts w:hint="eastAsia" w:ascii="宋体" w:hAnsi="宋体"/>
                <w:szCs w:val="21"/>
              </w:rPr>
              <w:t>8</w:t>
            </w:r>
          </w:p>
        </w:tc>
        <w:tc>
          <w:tcPr>
            <w:tcW w:w="2217" w:type="dxa"/>
            <w:tcBorders>
              <w:top w:val="single" w:color="auto" w:sz="4" w:space="0"/>
              <w:left w:val="single" w:color="auto" w:sz="4" w:space="0"/>
              <w:bottom w:val="single" w:color="auto" w:sz="4" w:space="0"/>
              <w:right w:val="single" w:color="auto" w:sz="4" w:space="0"/>
            </w:tcBorders>
            <w:vAlign w:val="center"/>
          </w:tcPr>
          <w:p w14:paraId="5470884E">
            <w:pPr>
              <w:snapToGrid w:val="0"/>
              <w:spacing w:line="360" w:lineRule="exact"/>
              <w:jc w:val="center"/>
              <w:rPr>
                <w:rFonts w:ascii="宋体" w:hAnsi="宋体"/>
                <w:szCs w:val="21"/>
              </w:rPr>
            </w:pPr>
            <w:r>
              <w:rPr>
                <w:rFonts w:hint="eastAsia" w:ascii="宋体" w:hAnsi="宋体"/>
                <w:szCs w:val="21"/>
              </w:rPr>
              <w:t>答疑与澄清</w:t>
            </w:r>
          </w:p>
        </w:tc>
        <w:tc>
          <w:tcPr>
            <w:tcW w:w="6426" w:type="dxa"/>
            <w:tcBorders>
              <w:top w:val="single" w:color="auto" w:sz="4" w:space="0"/>
              <w:left w:val="single" w:color="auto" w:sz="4" w:space="0"/>
              <w:bottom w:val="single" w:color="auto" w:sz="4" w:space="0"/>
              <w:right w:val="single" w:color="auto" w:sz="4" w:space="0"/>
            </w:tcBorders>
            <w:vAlign w:val="center"/>
          </w:tcPr>
          <w:p w14:paraId="2A766D5F">
            <w:pPr>
              <w:snapToGrid w:val="0"/>
              <w:spacing w:line="360" w:lineRule="exact"/>
              <w:rPr>
                <w:rFonts w:ascii="宋体" w:hAnsi="宋体"/>
                <w:szCs w:val="21"/>
              </w:rPr>
            </w:pPr>
            <w:r>
              <w:rPr>
                <w:rFonts w:hint="eastAsia" w:ascii="宋体" w:hAnsi="宋体"/>
                <w:bCs/>
                <w:szCs w:val="21"/>
              </w:rPr>
              <w:t>供应商对磋商文件有异议的，应当在</w:t>
            </w:r>
            <w:r>
              <w:rPr>
                <w:rFonts w:hint="eastAsia" w:ascii="宋体" w:hAnsi="宋体"/>
                <w:b/>
                <w:bCs/>
                <w:color w:val="FF0000"/>
                <w:szCs w:val="21"/>
                <w:lang w:eastAsia="zh-CN"/>
              </w:rPr>
              <w:t>2025年</w:t>
            </w:r>
            <w:r>
              <w:rPr>
                <w:rFonts w:hint="eastAsia" w:ascii="宋体" w:hAnsi="宋体" w:cs="宋体"/>
                <w:b/>
                <w:color w:val="FF0000"/>
                <w:kern w:val="0"/>
                <w:sz w:val="24"/>
                <w:lang w:val="en-US" w:eastAsia="zh-CN"/>
              </w:rPr>
              <w:t>**</w:t>
            </w:r>
            <w:r>
              <w:rPr>
                <w:rFonts w:hint="eastAsia" w:ascii="宋体" w:hAnsi="宋体"/>
                <w:b/>
                <w:bCs/>
                <w:szCs w:val="21"/>
              </w:rPr>
              <w:t>月</w:t>
            </w:r>
            <w:r>
              <w:rPr>
                <w:rFonts w:hint="eastAsia" w:ascii="宋体" w:hAnsi="宋体" w:cs="宋体"/>
                <w:b/>
                <w:color w:val="FF0000"/>
                <w:kern w:val="0"/>
                <w:sz w:val="24"/>
                <w:lang w:val="en-US" w:eastAsia="zh-CN"/>
              </w:rPr>
              <w:t>**</w:t>
            </w:r>
            <w:r>
              <w:rPr>
                <w:rFonts w:hint="eastAsia" w:ascii="宋体" w:hAnsi="宋体"/>
                <w:b/>
                <w:bCs/>
                <w:szCs w:val="21"/>
              </w:rPr>
              <w:t>日16：30</w:t>
            </w:r>
            <w:r>
              <w:rPr>
                <w:rFonts w:hint="eastAsia" w:ascii="宋体" w:hAnsi="宋体"/>
                <w:bCs/>
                <w:szCs w:val="21"/>
              </w:rPr>
              <w:t>前以书面（含传真）形式针对同一采购程序环节向采购代理机构一次性提出，否则采购代理机构有权拒绝第一次质疑以外的其他所有质疑。招标采购单位将在规定的时间内统一进行澄清和修改，并书面（含传真）通知所有依法获取磋商文件的供应商。供应商未按规定要求提出的，则视同认可磋商文件，但法律法规及规范性文件有明确规定的除外。答疑内容是磋商文件的组成部分，并将在网上发布补充（答疑、澄清）文件，潜在供应商应自行关注网站公告，采购人不再一一通知，供应商因自身贻误行为导致磋商失败的，责任自负。</w:t>
            </w:r>
          </w:p>
        </w:tc>
      </w:tr>
      <w:tr w14:paraId="2AF756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2D9F7494">
            <w:pPr>
              <w:spacing w:line="400" w:lineRule="exact"/>
              <w:jc w:val="center"/>
              <w:rPr>
                <w:rFonts w:ascii="宋体" w:hAnsi="宋体"/>
                <w:szCs w:val="21"/>
              </w:rPr>
            </w:pPr>
            <w:r>
              <w:rPr>
                <w:rFonts w:hint="eastAsia" w:ascii="宋体" w:hAnsi="宋体"/>
                <w:szCs w:val="21"/>
              </w:rPr>
              <w:t>9</w:t>
            </w:r>
          </w:p>
        </w:tc>
        <w:tc>
          <w:tcPr>
            <w:tcW w:w="2217" w:type="dxa"/>
            <w:tcBorders>
              <w:top w:val="single" w:color="auto" w:sz="4" w:space="0"/>
              <w:left w:val="single" w:color="auto" w:sz="4" w:space="0"/>
              <w:bottom w:val="single" w:color="auto" w:sz="4" w:space="0"/>
              <w:right w:val="single" w:color="auto" w:sz="4" w:space="0"/>
            </w:tcBorders>
            <w:vAlign w:val="center"/>
          </w:tcPr>
          <w:p w14:paraId="591C3C3E">
            <w:pPr>
              <w:spacing w:line="400" w:lineRule="exact"/>
              <w:jc w:val="center"/>
              <w:rPr>
                <w:rFonts w:ascii="宋体" w:hAnsi="宋体"/>
                <w:bCs/>
                <w:szCs w:val="21"/>
              </w:rPr>
            </w:pPr>
            <w:r>
              <w:rPr>
                <w:rFonts w:hint="eastAsia" w:ascii="宋体" w:hAnsi="宋体"/>
                <w:bCs/>
                <w:szCs w:val="21"/>
              </w:rPr>
              <w:t>磋商响应截止时间及地点</w:t>
            </w:r>
          </w:p>
        </w:tc>
        <w:tc>
          <w:tcPr>
            <w:tcW w:w="6426" w:type="dxa"/>
            <w:tcBorders>
              <w:top w:val="single" w:color="auto" w:sz="4" w:space="0"/>
              <w:left w:val="single" w:color="auto" w:sz="4" w:space="0"/>
              <w:bottom w:val="single" w:color="auto" w:sz="4" w:space="0"/>
              <w:right w:val="single" w:color="auto" w:sz="4" w:space="0"/>
            </w:tcBorders>
            <w:vAlign w:val="center"/>
          </w:tcPr>
          <w:p w14:paraId="21460B59">
            <w:pPr>
              <w:snapToGrid w:val="0"/>
              <w:spacing w:line="360" w:lineRule="exact"/>
              <w:rPr>
                <w:rFonts w:ascii="宋体" w:hAnsi="宋体"/>
                <w:szCs w:val="21"/>
              </w:rPr>
            </w:pPr>
            <w:r>
              <w:rPr>
                <w:rFonts w:hint="eastAsia" w:ascii="宋体" w:hAnsi="宋体"/>
                <w:szCs w:val="21"/>
              </w:rPr>
              <w:t>磋商时间：</w:t>
            </w:r>
            <w:r>
              <w:rPr>
                <w:rFonts w:hint="eastAsia" w:ascii="宋体" w:hAnsi="宋体"/>
                <w:b/>
                <w:bCs/>
                <w:color w:val="FF0000"/>
                <w:szCs w:val="21"/>
                <w:lang w:eastAsia="zh-CN"/>
              </w:rPr>
              <w:t>2025年</w:t>
            </w:r>
            <w:r>
              <w:rPr>
                <w:rFonts w:hint="eastAsia" w:ascii="宋体" w:hAnsi="宋体" w:cs="宋体"/>
                <w:b/>
                <w:color w:val="FF0000"/>
                <w:kern w:val="0"/>
                <w:sz w:val="24"/>
                <w:lang w:val="en-US" w:eastAsia="zh-CN"/>
              </w:rPr>
              <w:t>**</w:t>
            </w:r>
            <w:r>
              <w:rPr>
                <w:rFonts w:hint="eastAsia" w:ascii="宋体" w:hAnsi="宋体"/>
                <w:b/>
                <w:bCs/>
                <w:szCs w:val="21"/>
              </w:rPr>
              <w:t>月</w:t>
            </w:r>
            <w:r>
              <w:rPr>
                <w:rFonts w:hint="eastAsia" w:ascii="宋体" w:hAnsi="宋体" w:cs="宋体"/>
                <w:b/>
                <w:color w:val="FF0000"/>
                <w:kern w:val="0"/>
                <w:sz w:val="24"/>
                <w:lang w:val="en-US" w:eastAsia="zh-CN"/>
              </w:rPr>
              <w:t>**</w:t>
            </w:r>
            <w:r>
              <w:rPr>
                <w:rFonts w:hint="eastAsia" w:ascii="宋体" w:hAnsi="宋体"/>
                <w:b/>
                <w:bCs/>
                <w:szCs w:val="21"/>
              </w:rPr>
              <w:t>日14:00时整</w:t>
            </w:r>
          </w:p>
          <w:p w14:paraId="7BDB04C6">
            <w:pPr>
              <w:snapToGrid w:val="0"/>
              <w:spacing w:line="360" w:lineRule="exact"/>
              <w:rPr>
                <w:rFonts w:ascii="宋体" w:hAnsi="宋体"/>
                <w:szCs w:val="21"/>
              </w:rPr>
            </w:pPr>
            <w:r>
              <w:rPr>
                <w:rFonts w:hint="eastAsia" w:ascii="宋体" w:hAnsi="宋体"/>
                <w:szCs w:val="21"/>
              </w:rPr>
              <w:t>磋商地点：湖州市公共资源交易中心2号楼二楼开标室（湖州市仁皇山片区金盖山路66号），具体详见二楼休息区电子显示屏。</w:t>
            </w:r>
          </w:p>
        </w:tc>
      </w:tr>
      <w:tr w14:paraId="0F73CE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20A1AE2C">
            <w:pPr>
              <w:spacing w:line="400" w:lineRule="exact"/>
              <w:jc w:val="center"/>
              <w:rPr>
                <w:rFonts w:ascii="宋体" w:hAnsi="宋体"/>
                <w:szCs w:val="21"/>
              </w:rPr>
            </w:pPr>
            <w:r>
              <w:rPr>
                <w:rFonts w:hint="eastAsia" w:ascii="宋体" w:hAnsi="宋体"/>
                <w:szCs w:val="21"/>
              </w:rPr>
              <w:t>10</w:t>
            </w:r>
          </w:p>
        </w:tc>
        <w:tc>
          <w:tcPr>
            <w:tcW w:w="2217" w:type="dxa"/>
            <w:tcBorders>
              <w:top w:val="single" w:color="auto" w:sz="4" w:space="0"/>
              <w:left w:val="single" w:color="auto" w:sz="4" w:space="0"/>
              <w:bottom w:val="single" w:color="auto" w:sz="4" w:space="0"/>
              <w:right w:val="single" w:color="auto" w:sz="4" w:space="0"/>
            </w:tcBorders>
            <w:vAlign w:val="center"/>
          </w:tcPr>
          <w:p w14:paraId="3CBA0570">
            <w:pPr>
              <w:spacing w:line="400" w:lineRule="exact"/>
              <w:jc w:val="center"/>
              <w:rPr>
                <w:rFonts w:ascii="仿宋" w:hAnsi="仿宋" w:eastAsia="仿宋"/>
                <w:bCs/>
                <w:sz w:val="24"/>
              </w:rPr>
            </w:pPr>
            <w:r>
              <w:rPr>
                <w:rFonts w:hint="eastAsia" w:ascii="宋体" w:hAnsi="宋体"/>
                <w:bCs/>
                <w:szCs w:val="21"/>
              </w:rPr>
              <w:t>响应文件的制作与提交</w:t>
            </w:r>
          </w:p>
        </w:tc>
        <w:tc>
          <w:tcPr>
            <w:tcW w:w="6426" w:type="dxa"/>
            <w:tcBorders>
              <w:top w:val="single" w:color="auto" w:sz="4" w:space="0"/>
              <w:left w:val="single" w:color="auto" w:sz="4" w:space="0"/>
              <w:bottom w:val="single" w:color="auto" w:sz="4" w:space="0"/>
              <w:right w:val="single" w:color="auto" w:sz="4" w:space="0"/>
            </w:tcBorders>
            <w:vAlign w:val="center"/>
          </w:tcPr>
          <w:p w14:paraId="18605655">
            <w:pPr>
              <w:snapToGrid w:val="0"/>
              <w:spacing w:line="360" w:lineRule="exact"/>
              <w:rPr>
                <w:rFonts w:ascii="宋体" w:hAnsi="宋体"/>
                <w:color w:val="000000"/>
                <w:szCs w:val="21"/>
              </w:rPr>
            </w:pPr>
            <w:r>
              <w:rPr>
                <w:rFonts w:hint="eastAsia" w:ascii="宋体" w:hAnsi="宋体"/>
                <w:color w:val="000000"/>
                <w:szCs w:val="21"/>
              </w:rPr>
              <w:t>1、本项目实行电子招投标。</w:t>
            </w:r>
          </w:p>
          <w:p w14:paraId="58F0CAE3">
            <w:pPr>
              <w:snapToGrid w:val="0"/>
              <w:spacing w:line="360" w:lineRule="exact"/>
              <w:rPr>
                <w:rFonts w:ascii="宋体" w:hAnsi="宋体"/>
                <w:color w:val="000000"/>
                <w:szCs w:val="21"/>
              </w:rPr>
            </w:pPr>
            <w:r>
              <w:rPr>
                <w:rFonts w:hint="eastAsia" w:ascii="宋体" w:hAnsi="宋体"/>
                <w:color w:val="000000"/>
                <w:szCs w:val="21"/>
              </w:rPr>
              <w:t>2、供应商应按要求提供电子响应文件：（1）按政采云平台项目采购-电子交易操作指南及本磋商文件要求制作、加密并递交，超过上传时间的视为放弃磋商资格，作无效标处理；通过“政采云平台”上传递交的“电子加密响应文件”无法按时解密，供应商递交了备份响应文件的，以备份响应文件为依据，否则视为磋商响应文件撤回。</w:t>
            </w:r>
          </w:p>
          <w:p w14:paraId="39E022A0">
            <w:pPr>
              <w:snapToGrid w:val="0"/>
              <w:spacing w:line="360" w:lineRule="exact"/>
              <w:rPr>
                <w:rFonts w:ascii="宋体" w:hAnsi="宋体"/>
                <w:color w:val="000000"/>
                <w:szCs w:val="21"/>
              </w:rPr>
            </w:pPr>
            <w:r>
              <w:rPr>
                <w:rFonts w:hint="eastAsia" w:ascii="宋体" w:hAnsi="宋体"/>
                <w:color w:val="000000"/>
                <w:szCs w:val="21"/>
              </w:rPr>
              <w:t>（2）供应商应当在磋商响应截止时间前完成电子响应文件的传输递交，磋商响应截止时间前可以补充、修改或者撤回电子响应文件。补充或者修改电子响应文件的，应当先行撤回原文件，补充、修改后重新传输递交。磋商响应截止时间前未完成传输的，视为撤回响应文件。磋商响应截止时间后递交的响应文件，电子交易平台将拒收。</w:t>
            </w:r>
          </w:p>
          <w:p w14:paraId="366BB7F5">
            <w:pPr>
              <w:snapToGrid w:val="0"/>
              <w:spacing w:line="360" w:lineRule="exact"/>
              <w:rPr>
                <w:rFonts w:ascii="宋体" w:hAnsi="宋体"/>
                <w:color w:val="000000"/>
                <w:szCs w:val="21"/>
              </w:rPr>
            </w:pPr>
            <w:r>
              <w:rPr>
                <w:rFonts w:hint="eastAsia" w:ascii="宋体" w:hAnsi="宋体"/>
                <w:color w:val="000000"/>
                <w:szCs w:val="21"/>
              </w:rPr>
              <w:t xml:space="preserve">（3）“电子加密响应文件”成功上传递交后，供应商可自行打印响应文件接收回执。                                                                                                                                                                                                                                                                                                                                                                                                                                                                                                                                                                                                                                                  </w:t>
            </w:r>
          </w:p>
        </w:tc>
      </w:tr>
      <w:tr w14:paraId="09994F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6"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6DDC6567">
            <w:pPr>
              <w:spacing w:line="400" w:lineRule="exact"/>
              <w:jc w:val="center"/>
              <w:rPr>
                <w:rFonts w:ascii="宋体" w:hAnsi="宋体"/>
                <w:szCs w:val="21"/>
              </w:rPr>
            </w:pPr>
            <w:r>
              <w:rPr>
                <w:rFonts w:hint="eastAsia" w:ascii="宋体" w:hAnsi="宋体"/>
                <w:szCs w:val="21"/>
              </w:rPr>
              <w:t>11</w:t>
            </w:r>
          </w:p>
        </w:tc>
        <w:tc>
          <w:tcPr>
            <w:tcW w:w="2217" w:type="dxa"/>
            <w:tcBorders>
              <w:top w:val="single" w:color="auto" w:sz="4" w:space="0"/>
              <w:left w:val="single" w:color="auto" w:sz="4" w:space="0"/>
              <w:bottom w:val="single" w:color="auto" w:sz="4" w:space="0"/>
              <w:right w:val="single" w:color="auto" w:sz="4" w:space="0"/>
            </w:tcBorders>
            <w:vAlign w:val="center"/>
          </w:tcPr>
          <w:p w14:paraId="132CF0C1">
            <w:pPr>
              <w:spacing w:line="400" w:lineRule="exact"/>
              <w:jc w:val="center"/>
              <w:rPr>
                <w:rFonts w:ascii="宋体" w:hAnsi="宋体"/>
                <w:szCs w:val="21"/>
              </w:rPr>
            </w:pPr>
            <w:r>
              <w:rPr>
                <w:rFonts w:hint="eastAsia" w:ascii="宋体" w:hAnsi="宋体"/>
                <w:szCs w:val="21"/>
              </w:rPr>
              <w:t>磋商响应文件组成</w:t>
            </w:r>
          </w:p>
        </w:tc>
        <w:tc>
          <w:tcPr>
            <w:tcW w:w="6426" w:type="dxa"/>
            <w:tcBorders>
              <w:top w:val="single" w:color="auto" w:sz="4" w:space="0"/>
              <w:left w:val="single" w:color="auto" w:sz="4" w:space="0"/>
              <w:bottom w:val="single" w:color="auto" w:sz="4" w:space="0"/>
              <w:right w:val="single" w:color="auto" w:sz="4" w:space="0"/>
            </w:tcBorders>
            <w:vAlign w:val="center"/>
          </w:tcPr>
          <w:p w14:paraId="5183A914">
            <w:pPr>
              <w:snapToGrid w:val="0"/>
              <w:spacing w:line="360" w:lineRule="exact"/>
              <w:rPr>
                <w:rFonts w:ascii="宋体" w:hAnsi="宋体"/>
                <w:color w:val="000000"/>
                <w:szCs w:val="21"/>
              </w:rPr>
            </w:pPr>
            <w:r>
              <w:rPr>
                <w:rFonts w:hint="eastAsia" w:ascii="宋体" w:hAnsi="宋体"/>
                <w:color w:val="000000"/>
                <w:szCs w:val="21"/>
              </w:rPr>
              <w:t>(1)响应文件组成：资格文件、技术商务资信及其他文件、报价文件。</w:t>
            </w:r>
          </w:p>
          <w:p w14:paraId="4F9FF4E0">
            <w:pPr>
              <w:snapToGrid w:val="0"/>
              <w:spacing w:line="360" w:lineRule="exact"/>
              <w:rPr>
                <w:rFonts w:ascii="宋体" w:hAnsi="宋体"/>
                <w:color w:val="000000"/>
                <w:szCs w:val="21"/>
              </w:rPr>
            </w:pPr>
            <w:r>
              <w:rPr>
                <w:rFonts w:hint="eastAsia" w:ascii="宋体" w:hAnsi="宋体"/>
                <w:color w:val="000000"/>
                <w:szCs w:val="21"/>
              </w:rPr>
              <w:t>(2)响应文件编制：本项目实行电子招投标。</w:t>
            </w:r>
          </w:p>
          <w:p w14:paraId="27921AD8">
            <w:pPr>
              <w:snapToGrid w:val="0"/>
              <w:spacing w:line="360" w:lineRule="exact"/>
              <w:rPr>
                <w:rFonts w:ascii="宋体" w:hAnsi="宋体"/>
                <w:color w:val="000000"/>
                <w:szCs w:val="21"/>
              </w:rPr>
            </w:pPr>
            <w:r>
              <w:rPr>
                <w:rFonts w:hint="eastAsia" w:ascii="宋体" w:hAnsi="宋体"/>
                <w:color w:val="000000"/>
                <w:szCs w:val="21"/>
              </w:rPr>
              <w:t>供应商应先安装“政采云电子交易客户端”，并按照本采购文件和“政采云平台”的要求，通过“政采云电子交易客户端”编制并加密响应文件。</w:t>
            </w:r>
          </w:p>
          <w:p w14:paraId="0D1BC29F">
            <w:pPr>
              <w:snapToGrid w:val="0"/>
              <w:spacing w:line="360" w:lineRule="exact"/>
              <w:rPr>
                <w:rFonts w:ascii="宋体" w:hAnsi="宋体"/>
                <w:color w:val="000000"/>
                <w:szCs w:val="21"/>
              </w:rPr>
            </w:pPr>
            <w:r>
              <w:rPr>
                <w:rFonts w:hint="eastAsia" w:ascii="宋体" w:hAnsi="宋体"/>
                <w:color w:val="000000"/>
                <w:szCs w:val="21"/>
              </w:rPr>
              <w:t>(3)响应文件的形式：</w:t>
            </w:r>
          </w:p>
          <w:p w14:paraId="5C463CF9">
            <w:pPr>
              <w:snapToGrid w:val="0"/>
              <w:spacing w:line="360" w:lineRule="exact"/>
              <w:rPr>
                <w:rFonts w:ascii="宋体" w:hAnsi="宋体"/>
                <w:color w:val="000000"/>
                <w:szCs w:val="21"/>
              </w:rPr>
            </w:pPr>
            <w:r>
              <w:rPr>
                <w:rFonts w:hint="eastAsia" w:ascii="宋体" w:hAnsi="宋体"/>
                <w:color w:val="000000"/>
                <w:szCs w:val="21"/>
              </w:rPr>
              <w:t>电子响应文件：“电子加密响应文件”，供应商还可以提供“备份响应文件”，在响应文件编制完成后同时生成。</w:t>
            </w:r>
          </w:p>
          <w:p w14:paraId="0E4C935F">
            <w:pPr>
              <w:snapToGrid w:val="0"/>
              <w:spacing w:line="360" w:lineRule="exact"/>
              <w:rPr>
                <w:rFonts w:ascii="宋体" w:hAnsi="宋体"/>
                <w:color w:val="000000"/>
                <w:szCs w:val="21"/>
              </w:rPr>
            </w:pPr>
            <w:r>
              <w:rPr>
                <w:rFonts w:hint="eastAsia" w:ascii="宋体" w:hAnsi="宋体"/>
                <w:color w:val="000000"/>
                <w:szCs w:val="21"/>
              </w:rPr>
              <w:t xml:space="preserve"> (4)响应文件份数：</w:t>
            </w:r>
          </w:p>
          <w:p w14:paraId="12E83CA0">
            <w:pPr>
              <w:spacing w:line="400" w:lineRule="exact"/>
              <w:rPr>
                <w:rFonts w:ascii="宋体" w:hAnsi="宋体"/>
                <w:color w:val="000000"/>
                <w:szCs w:val="21"/>
              </w:rPr>
            </w:pPr>
            <w:r>
              <w:rPr>
                <w:rFonts w:hint="eastAsia" w:ascii="宋体" w:hAnsi="宋体"/>
                <w:color w:val="000000"/>
                <w:szCs w:val="21"/>
              </w:rPr>
              <w:t>“电子加密响应文件”：在线上传递交一份；“备份响应文件”（供应商如需提供的）；</w:t>
            </w:r>
          </w:p>
        </w:tc>
      </w:tr>
      <w:tr w14:paraId="47081B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1"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34C3CDE7">
            <w:pPr>
              <w:spacing w:line="400" w:lineRule="exact"/>
              <w:jc w:val="center"/>
              <w:rPr>
                <w:rFonts w:ascii="宋体" w:hAnsi="宋体"/>
                <w:szCs w:val="21"/>
              </w:rPr>
            </w:pPr>
            <w:r>
              <w:rPr>
                <w:rFonts w:ascii="宋体" w:hAnsi="宋体"/>
                <w:szCs w:val="21"/>
              </w:rPr>
              <w:t>1</w:t>
            </w:r>
            <w:r>
              <w:rPr>
                <w:rFonts w:hint="eastAsia" w:ascii="宋体" w:hAnsi="宋体"/>
                <w:szCs w:val="21"/>
              </w:rPr>
              <w:t>2</w:t>
            </w:r>
          </w:p>
        </w:tc>
        <w:tc>
          <w:tcPr>
            <w:tcW w:w="2217" w:type="dxa"/>
            <w:tcBorders>
              <w:top w:val="single" w:color="auto" w:sz="4" w:space="0"/>
              <w:left w:val="single" w:color="auto" w:sz="4" w:space="0"/>
              <w:bottom w:val="single" w:color="auto" w:sz="4" w:space="0"/>
              <w:right w:val="single" w:color="auto" w:sz="4" w:space="0"/>
            </w:tcBorders>
            <w:vAlign w:val="center"/>
          </w:tcPr>
          <w:p w14:paraId="2AF57318">
            <w:pPr>
              <w:spacing w:line="400" w:lineRule="exact"/>
              <w:rPr>
                <w:rFonts w:ascii="宋体" w:hAnsi="宋体"/>
                <w:szCs w:val="21"/>
              </w:rPr>
            </w:pPr>
            <w:r>
              <w:rPr>
                <w:rFonts w:hint="eastAsia" w:ascii="宋体" w:hAnsi="宋体"/>
                <w:szCs w:val="21"/>
              </w:rPr>
              <w:t>电子加密响应文件的解密和异常情况处理</w:t>
            </w:r>
          </w:p>
        </w:tc>
        <w:tc>
          <w:tcPr>
            <w:tcW w:w="6426" w:type="dxa"/>
            <w:tcBorders>
              <w:top w:val="single" w:color="auto" w:sz="4" w:space="0"/>
              <w:left w:val="single" w:color="auto" w:sz="4" w:space="0"/>
              <w:bottom w:val="single" w:color="auto" w:sz="4" w:space="0"/>
              <w:right w:val="single" w:color="auto" w:sz="4" w:space="0"/>
            </w:tcBorders>
            <w:vAlign w:val="center"/>
          </w:tcPr>
          <w:p w14:paraId="31AA7021">
            <w:pPr>
              <w:snapToGrid w:val="0"/>
              <w:spacing w:line="360" w:lineRule="exact"/>
              <w:rPr>
                <w:rFonts w:ascii="宋体" w:hAnsi="宋体"/>
                <w:color w:val="000000"/>
                <w:szCs w:val="21"/>
              </w:rPr>
            </w:pPr>
            <w:r>
              <w:rPr>
                <w:rFonts w:hint="eastAsia" w:ascii="宋体" w:hAnsi="宋体"/>
                <w:color w:val="000000"/>
                <w:szCs w:val="21"/>
              </w:rPr>
              <w:t>（1）开标后，采购组织机构将向各供应商发出“电子加密响应文件”的解密通知，各供应商代表应当在接到解密通知后30分钟内自行完成“电子加密响应文件”的在线解密。</w:t>
            </w:r>
          </w:p>
          <w:p w14:paraId="2C3F1CA3">
            <w:pPr>
              <w:snapToGrid w:val="0"/>
              <w:spacing w:line="360" w:lineRule="exact"/>
              <w:rPr>
                <w:rFonts w:ascii="宋体" w:hAnsi="宋体"/>
                <w:color w:val="000000"/>
                <w:szCs w:val="21"/>
              </w:rPr>
            </w:pPr>
            <w:r>
              <w:rPr>
                <w:rFonts w:hint="eastAsia" w:ascii="宋体" w:hAnsi="宋体"/>
                <w:color w:val="000000"/>
                <w:szCs w:val="21"/>
              </w:rPr>
              <w:t>（2）通过“政采云平台”成功上传递交的“电子加密响应文件”无法按时解密的，供应商递交了备份响应文件的，以备份响应文件为依据，否则视为响应文件撤回。通过“政采云平台”上传递交的“电子加密响应文件”已按时解密的，“备份响应文件”自动失效。供应商仅递交备份响应文件的，磋商无效。</w:t>
            </w:r>
          </w:p>
          <w:p w14:paraId="76E71D6B">
            <w:pPr>
              <w:snapToGrid w:val="0"/>
              <w:spacing w:line="360" w:lineRule="exact"/>
              <w:rPr>
                <w:rFonts w:ascii="宋体" w:hAnsi="宋体"/>
                <w:color w:val="000000"/>
                <w:szCs w:val="21"/>
              </w:rPr>
            </w:pPr>
            <w:r>
              <w:rPr>
                <w:rFonts w:hint="eastAsia" w:ascii="宋体" w:hAnsi="宋体"/>
                <w:color w:val="000000"/>
                <w:szCs w:val="21"/>
              </w:rPr>
              <w:t xml:space="preserve">（3）为保障解密成功，派授权代表出席的供应商建议携带笔记本电脑及CA数字证书至开标现场完成传输、解密等事宜。（交易中心不提供无线网络，请供应商自行解决上网问题）  </w:t>
            </w:r>
          </w:p>
        </w:tc>
      </w:tr>
      <w:tr w14:paraId="763C94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6738822B">
            <w:pPr>
              <w:spacing w:line="400" w:lineRule="exact"/>
              <w:jc w:val="center"/>
              <w:rPr>
                <w:rFonts w:ascii="宋体" w:hAnsi="宋体"/>
                <w:szCs w:val="21"/>
              </w:rPr>
            </w:pPr>
            <w:r>
              <w:rPr>
                <w:rFonts w:hint="eastAsia" w:ascii="宋体" w:hAnsi="宋体"/>
                <w:szCs w:val="21"/>
              </w:rPr>
              <w:t>13</w:t>
            </w:r>
          </w:p>
        </w:tc>
        <w:tc>
          <w:tcPr>
            <w:tcW w:w="2217" w:type="dxa"/>
            <w:tcBorders>
              <w:top w:val="single" w:color="auto" w:sz="4" w:space="0"/>
              <w:left w:val="single" w:color="auto" w:sz="4" w:space="0"/>
              <w:bottom w:val="single" w:color="auto" w:sz="4" w:space="0"/>
              <w:right w:val="single" w:color="auto" w:sz="4" w:space="0"/>
            </w:tcBorders>
            <w:vAlign w:val="center"/>
          </w:tcPr>
          <w:p w14:paraId="700A51C9">
            <w:pPr>
              <w:spacing w:line="400" w:lineRule="exact"/>
              <w:jc w:val="center"/>
              <w:rPr>
                <w:rFonts w:ascii="宋体" w:hAnsi="宋体"/>
                <w:sz w:val="24"/>
              </w:rPr>
            </w:pPr>
            <w:r>
              <w:rPr>
                <w:rFonts w:hint="eastAsia" w:ascii="宋体" w:hAnsi="宋体"/>
                <w:szCs w:val="21"/>
              </w:rPr>
              <w:t>可中止电子交易活动的情形</w:t>
            </w:r>
          </w:p>
        </w:tc>
        <w:tc>
          <w:tcPr>
            <w:tcW w:w="6426" w:type="dxa"/>
            <w:tcBorders>
              <w:top w:val="single" w:color="auto" w:sz="4" w:space="0"/>
              <w:left w:val="single" w:color="auto" w:sz="4" w:space="0"/>
              <w:bottom w:val="single" w:color="auto" w:sz="4" w:space="0"/>
              <w:right w:val="single" w:color="auto" w:sz="4" w:space="0"/>
            </w:tcBorders>
            <w:vAlign w:val="center"/>
          </w:tcPr>
          <w:p w14:paraId="334B565A">
            <w:pPr>
              <w:snapToGrid w:val="0"/>
              <w:spacing w:line="360" w:lineRule="exact"/>
              <w:rPr>
                <w:rFonts w:ascii="宋体" w:hAnsi="宋体"/>
                <w:szCs w:val="21"/>
              </w:rPr>
            </w:pPr>
            <w:r>
              <w:rPr>
                <w:rFonts w:hint="eastAsia" w:ascii="宋体" w:hAnsi="宋体"/>
                <w:szCs w:val="21"/>
              </w:rPr>
              <w:t>采购过程中出现以下情形，导致电子交易平台无法正常运行，或者无法保证电子交易的公平、公正和安全时，采购组织机构可中止电子交易活动：</w:t>
            </w:r>
          </w:p>
          <w:p w14:paraId="00AC1A55">
            <w:pPr>
              <w:snapToGrid w:val="0"/>
              <w:spacing w:line="360" w:lineRule="exact"/>
              <w:rPr>
                <w:rFonts w:ascii="宋体" w:hAnsi="宋体"/>
                <w:szCs w:val="21"/>
              </w:rPr>
            </w:pPr>
            <w:r>
              <w:rPr>
                <w:rFonts w:hint="eastAsia" w:ascii="宋体" w:hAnsi="宋体"/>
                <w:szCs w:val="21"/>
              </w:rPr>
              <w:t>（1）电子交易平台发生故障而无法登录访问的；</w:t>
            </w:r>
          </w:p>
          <w:p w14:paraId="500F3817">
            <w:pPr>
              <w:snapToGrid w:val="0"/>
              <w:spacing w:line="360" w:lineRule="exact"/>
              <w:rPr>
                <w:rFonts w:ascii="宋体" w:hAnsi="宋体"/>
                <w:szCs w:val="21"/>
              </w:rPr>
            </w:pPr>
            <w:r>
              <w:rPr>
                <w:rFonts w:hint="eastAsia" w:ascii="宋体" w:hAnsi="宋体"/>
                <w:szCs w:val="21"/>
              </w:rPr>
              <w:t>（2）电子交易平台应用或数据库出现错误，不能进行正常操作的；</w:t>
            </w:r>
          </w:p>
          <w:p w14:paraId="29E29711">
            <w:pPr>
              <w:snapToGrid w:val="0"/>
              <w:spacing w:line="360" w:lineRule="exact"/>
              <w:rPr>
                <w:rFonts w:ascii="宋体" w:hAnsi="宋体"/>
                <w:szCs w:val="21"/>
              </w:rPr>
            </w:pPr>
            <w:r>
              <w:rPr>
                <w:rFonts w:hint="eastAsia" w:ascii="宋体" w:hAnsi="宋体"/>
                <w:szCs w:val="21"/>
              </w:rPr>
              <w:t>（3）电子交易平台发现严重安全漏洞，有潜在泄密危险的；</w:t>
            </w:r>
          </w:p>
          <w:p w14:paraId="17132332">
            <w:pPr>
              <w:snapToGrid w:val="0"/>
              <w:spacing w:line="360" w:lineRule="exact"/>
              <w:rPr>
                <w:rFonts w:ascii="宋体" w:hAnsi="宋体"/>
                <w:szCs w:val="21"/>
              </w:rPr>
            </w:pPr>
            <w:r>
              <w:rPr>
                <w:rFonts w:hint="eastAsia" w:ascii="宋体" w:hAnsi="宋体"/>
                <w:szCs w:val="21"/>
              </w:rPr>
              <w:t>（4）病毒发作导致不能进行正常操作的；</w:t>
            </w:r>
          </w:p>
          <w:p w14:paraId="75F624F1">
            <w:pPr>
              <w:snapToGrid w:val="0"/>
              <w:spacing w:line="360" w:lineRule="exact"/>
              <w:rPr>
                <w:rFonts w:ascii="宋体" w:hAnsi="宋体"/>
                <w:szCs w:val="21"/>
              </w:rPr>
            </w:pPr>
            <w:r>
              <w:rPr>
                <w:rFonts w:hint="eastAsia" w:ascii="宋体" w:hAnsi="宋体"/>
                <w:szCs w:val="21"/>
              </w:rPr>
              <w:t>（5）其他无法保证电子交易的公平、公正和安全的情况。</w:t>
            </w:r>
          </w:p>
          <w:p w14:paraId="5CD6B010">
            <w:pPr>
              <w:snapToGrid w:val="0"/>
              <w:spacing w:line="360" w:lineRule="exact"/>
              <w:rPr>
                <w:rFonts w:ascii="宋体" w:hAnsi="宋体"/>
                <w:szCs w:val="21"/>
              </w:rPr>
            </w:pPr>
            <w:r>
              <w:rPr>
                <w:rFonts w:hint="eastAsia" w:ascii="宋体" w:hAnsi="宋体"/>
                <w:szCs w:val="21"/>
              </w:rPr>
              <w:t>出现上述情形，不影响采购公平、公正性的，采购组织机构可以待上述情形消除后继续组织电子交易活动，也可以决定某些环节以纸质形式进行；影响或可能影响采购公平、公正性的，应当重新采购。</w:t>
            </w:r>
          </w:p>
        </w:tc>
      </w:tr>
      <w:tr w14:paraId="1078F7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4"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029F6C85">
            <w:pPr>
              <w:spacing w:line="400" w:lineRule="exact"/>
              <w:jc w:val="center"/>
              <w:rPr>
                <w:rFonts w:ascii="宋体" w:hAnsi="宋体"/>
                <w:szCs w:val="21"/>
              </w:rPr>
            </w:pPr>
            <w:r>
              <w:rPr>
                <w:rFonts w:hint="eastAsia" w:ascii="宋体" w:hAnsi="宋体"/>
                <w:szCs w:val="21"/>
              </w:rPr>
              <w:t>14</w:t>
            </w:r>
          </w:p>
        </w:tc>
        <w:tc>
          <w:tcPr>
            <w:tcW w:w="2217" w:type="dxa"/>
            <w:tcBorders>
              <w:top w:val="single" w:color="auto" w:sz="4" w:space="0"/>
              <w:left w:val="single" w:color="auto" w:sz="4" w:space="0"/>
              <w:bottom w:val="single" w:color="auto" w:sz="4" w:space="0"/>
              <w:right w:val="single" w:color="auto" w:sz="4" w:space="0"/>
            </w:tcBorders>
            <w:vAlign w:val="center"/>
          </w:tcPr>
          <w:p w14:paraId="5DFE77EB">
            <w:pPr>
              <w:spacing w:line="400" w:lineRule="exact"/>
              <w:jc w:val="center"/>
              <w:rPr>
                <w:rFonts w:ascii="宋体" w:hAnsi="宋体"/>
                <w:bCs/>
                <w:szCs w:val="21"/>
              </w:rPr>
            </w:pPr>
            <w:r>
              <w:rPr>
                <w:rFonts w:hint="eastAsia" w:ascii="宋体" w:hAnsi="宋体"/>
                <w:bCs/>
                <w:szCs w:val="21"/>
              </w:rPr>
              <w:t>履约保证金</w:t>
            </w:r>
          </w:p>
        </w:tc>
        <w:tc>
          <w:tcPr>
            <w:tcW w:w="6426" w:type="dxa"/>
            <w:tcBorders>
              <w:top w:val="single" w:color="auto" w:sz="4" w:space="0"/>
              <w:left w:val="single" w:color="auto" w:sz="4" w:space="0"/>
              <w:bottom w:val="single" w:color="auto" w:sz="4" w:space="0"/>
              <w:right w:val="single" w:color="auto" w:sz="4" w:space="0"/>
            </w:tcBorders>
            <w:vAlign w:val="center"/>
          </w:tcPr>
          <w:p w14:paraId="37E4E91D">
            <w:pPr>
              <w:spacing w:line="400" w:lineRule="exact"/>
              <w:rPr>
                <w:rFonts w:ascii="宋体" w:hAnsi="宋体"/>
                <w:bCs/>
                <w:szCs w:val="21"/>
              </w:rPr>
            </w:pPr>
            <w:r>
              <w:rPr>
                <w:rFonts w:hint="eastAsia" w:ascii="宋体" w:hAnsi="宋体"/>
                <w:szCs w:val="21"/>
              </w:rPr>
              <w:t>本项目无需提供</w:t>
            </w:r>
          </w:p>
        </w:tc>
      </w:tr>
      <w:tr w14:paraId="6B052A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4"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6A529F92">
            <w:pPr>
              <w:spacing w:line="400" w:lineRule="exact"/>
              <w:jc w:val="center"/>
              <w:rPr>
                <w:rFonts w:ascii="宋体" w:hAnsi="宋体"/>
                <w:szCs w:val="21"/>
              </w:rPr>
            </w:pPr>
            <w:r>
              <w:rPr>
                <w:rFonts w:hint="eastAsia" w:ascii="宋体" w:hAnsi="宋体"/>
                <w:szCs w:val="21"/>
              </w:rPr>
              <w:t>15</w:t>
            </w:r>
          </w:p>
        </w:tc>
        <w:tc>
          <w:tcPr>
            <w:tcW w:w="2217" w:type="dxa"/>
            <w:tcBorders>
              <w:top w:val="single" w:color="auto" w:sz="4" w:space="0"/>
              <w:left w:val="single" w:color="auto" w:sz="4" w:space="0"/>
              <w:bottom w:val="single" w:color="auto" w:sz="4" w:space="0"/>
              <w:right w:val="single" w:color="auto" w:sz="4" w:space="0"/>
            </w:tcBorders>
            <w:vAlign w:val="center"/>
          </w:tcPr>
          <w:p w14:paraId="4E20B36F">
            <w:pPr>
              <w:spacing w:line="400" w:lineRule="exact"/>
              <w:jc w:val="center"/>
              <w:rPr>
                <w:rFonts w:ascii="宋体" w:hAnsi="宋体"/>
                <w:bCs/>
                <w:szCs w:val="21"/>
              </w:rPr>
            </w:pPr>
            <w:r>
              <w:rPr>
                <w:rFonts w:hint="eastAsia" w:ascii="宋体" w:hAnsi="宋体"/>
                <w:szCs w:val="21"/>
              </w:rPr>
              <w:t>磋商</w:t>
            </w:r>
            <w:r>
              <w:rPr>
                <w:rFonts w:hint="eastAsia" w:ascii="宋体" w:hAnsi="宋体"/>
                <w:bCs/>
                <w:szCs w:val="21"/>
              </w:rPr>
              <w:t>有效期</w:t>
            </w:r>
          </w:p>
        </w:tc>
        <w:tc>
          <w:tcPr>
            <w:tcW w:w="6426" w:type="dxa"/>
            <w:tcBorders>
              <w:top w:val="single" w:color="auto" w:sz="4" w:space="0"/>
              <w:left w:val="single" w:color="auto" w:sz="4" w:space="0"/>
              <w:bottom w:val="single" w:color="auto" w:sz="4" w:space="0"/>
              <w:right w:val="single" w:color="auto" w:sz="4" w:space="0"/>
            </w:tcBorders>
            <w:vAlign w:val="center"/>
          </w:tcPr>
          <w:p w14:paraId="3FDEC941">
            <w:pPr>
              <w:spacing w:line="400" w:lineRule="exact"/>
              <w:rPr>
                <w:rFonts w:ascii="宋体" w:hAnsi="宋体"/>
                <w:szCs w:val="21"/>
              </w:rPr>
            </w:pPr>
            <w:r>
              <w:rPr>
                <w:rFonts w:hint="eastAsia" w:ascii="宋体" w:hAnsi="宋体"/>
                <w:szCs w:val="21"/>
              </w:rPr>
              <w:t>60天（日历天）</w:t>
            </w:r>
          </w:p>
        </w:tc>
      </w:tr>
      <w:tr w14:paraId="413EF0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4"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659DECB2">
            <w:pPr>
              <w:spacing w:line="400" w:lineRule="exact"/>
              <w:jc w:val="center"/>
              <w:rPr>
                <w:rFonts w:ascii="宋体" w:hAnsi="宋体"/>
                <w:szCs w:val="21"/>
              </w:rPr>
            </w:pPr>
            <w:r>
              <w:rPr>
                <w:rFonts w:hint="eastAsia" w:ascii="宋体" w:hAnsi="宋体"/>
                <w:szCs w:val="21"/>
              </w:rPr>
              <w:t>16</w:t>
            </w:r>
          </w:p>
        </w:tc>
        <w:tc>
          <w:tcPr>
            <w:tcW w:w="2217" w:type="dxa"/>
            <w:tcBorders>
              <w:top w:val="single" w:color="auto" w:sz="4" w:space="0"/>
              <w:left w:val="single" w:color="auto" w:sz="4" w:space="0"/>
              <w:bottom w:val="single" w:color="auto" w:sz="4" w:space="0"/>
              <w:right w:val="single" w:color="auto" w:sz="4" w:space="0"/>
            </w:tcBorders>
            <w:vAlign w:val="center"/>
          </w:tcPr>
          <w:p w14:paraId="45E8EEE1">
            <w:pPr>
              <w:spacing w:line="400" w:lineRule="exact"/>
              <w:jc w:val="center"/>
              <w:rPr>
                <w:rFonts w:ascii="宋体" w:hAnsi="宋体"/>
                <w:bCs/>
                <w:szCs w:val="21"/>
              </w:rPr>
            </w:pPr>
            <w:r>
              <w:rPr>
                <w:rFonts w:hint="eastAsia" w:ascii="宋体" w:hAnsi="宋体"/>
                <w:bCs/>
                <w:szCs w:val="21"/>
              </w:rPr>
              <w:t>采购人</w:t>
            </w:r>
          </w:p>
        </w:tc>
        <w:tc>
          <w:tcPr>
            <w:tcW w:w="6426" w:type="dxa"/>
            <w:tcBorders>
              <w:top w:val="single" w:color="auto" w:sz="4" w:space="0"/>
              <w:left w:val="single" w:color="auto" w:sz="4" w:space="0"/>
              <w:bottom w:val="single" w:color="auto" w:sz="4" w:space="0"/>
              <w:right w:val="single" w:color="auto" w:sz="4" w:space="0"/>
            </w:tcBorders>
            <w:vAlign w:val="center"/>
          </w:tcPr>
          <w:p w14:paraId="19F82EEF">
            <w:pPr>
              <w:spacing w:line="400" w:lineRule="exact"/>
              <w:rPr>
                <w:rFonts w:ascii="宋体" w:hAnsi="宋体"/>
                <w:bCs/>
                <w:szCs w:val="21"/>
              </w:rPr>
            </w:pPr>
            <w:r>
              <w:rPr>
                <w:rFonts w:hint="eastAsia" w:ascii="宋体" w:hAnsi="宋体"/>
                <w:szCs w:val="21"/>
              </w:rPr>
              <w:t>浙江南浔经济开发区管理委员会</w:t>
            </w:r>
          </w:p>
        </w:tc>
      </w:tr>
      <w:tr w14:paraId="36F5EA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4"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6FDAA216">
            <w:pPr>
              <w:spacing w:line="400" w:lineRule="exact"/>
              <w:jc w:val="center"/>
              <w:rPr>
                <w:rFonts w:ascii="宋体" w:hAnsi="宋体"/>
                <w:szCs w:val="21"/>
              </w:rPr>
            </w:pPr>
            <w:r>
              <w:rPr>
                <w:rFonts w:hint="eastAsia" w:ascii="宋体" w:hAnsi="宋体"/>
                <w:szCs w:val="21"/>
              </w:rPr>
              <w:t>17</w:t>
            </w:r>
          </w:p>
        </w:tc>
        <w:tc>
          <w:tcPr>
            <w:tcW w:w="2217" w:type="dxa"/>
            <w:tcBorders>
              <w:top w:val="single" w:color="auto" w:sz="4" w:space="0"/>
              <w:left w:val="single" w:color="auto" w:sz="4" w:space="0"/>
              <w:bottom w:val="single" w:color="auto" w:sz="4" w:space="0"/>
              <w:right w:val="single" w:color="auto" w:sz="4" w:space="0"/>
            </w:tcBorders>
            <w:vAlign w:val="center"/>
          </w:tcPr>
          <w:p w14:paraId="13462B1C">
            <w:pPr>
              <w:spacing w:line="400" w:lineRule="exact"/>
              <w:jc w:val="center"/>
              <w:rPr>
                <w:rFonts w:ascii="宋体" w:hAnsi="宋体"/>
                <w:bCs/>
                <w:szCs w:val="21"/>
              </w:rPr>
            </w:pPr>
            <w:r>
              <w:rPr>
                <w:rFonts w:hint="eastAsia" w:ascii="宋体" w:hAnsi="宋体"/>
                <w:bCs/>
                <w:szCs w:val="21"/>
              </w:rPr>
              <w:t>采购代理机构</w:t>
            </w:r>
          </w:p>
        </w:tc>
        <w:tc>
          <w:tcPr>
            <w:tcW w:w="6426" w:type="dxa"/>
            <w:tcBorders>
              <w:top w:val="single" w:color="auto" w:sz="4" w:space="0"/>
              <w:left w:val="single" w:color="auto" w:sz="4" w:space="0"/>
              <w:bottom w:val="single" w:color="auto" w:sz="4" w:space="0"/>
              <w:right w:val="single" w:color="auto" w:sz="4" w:space="0"/>
            </w:tcBorders>
            <w:vAlign w:val="center"/>
          </w:tcPr>
          <w:p w14:paraId="391686BB">
            <w:pPr>
              <w:spacing w:line="400" w:lineRule="exact"/>
              <w:rPr>
                <w:rFonts w:ascii="宋体" w:hAnsi="宋体"/>
                <w:bCs/>
                <w:szCs w:val="21"/>
              </w:rPr>
            </w:pPr>
            <w:r>
              <w:rPr>
                <w:rFonts w:hint="eastAsia" w:ascii="宋体" w:hAnsi="宋体"/>
                <w:bCs/>
                <w:szCs w:val="21"/>
              </w:rPr>
              <w:t>杭州广厦建筑咨询有限公司</w:t>
            </w:r>
          </w:p>
        </w:tc>
      </w:tr>
      <w:tr w14:paraId="6E0260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4"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3FC96EA0">
            <w:pPr>
              <w:spacing w:line="400" w:lineRule="exact"/>
              <w:jc w:val="center"/>
              <w:rPr>
                <w:rFonts w:ascii="宋体" w:hAnsi="宋体"/>
                <w:szCs w:val="21"/>
              </w:rPr>
            </w:pPr>
            <w:r>
              <w:rPr>
                <w:rFonts w:hint="eastAsia" w:ascii="宋体" w:hAnsi="宋体"/>
                <w:szCs w:val="21"/>
              </w:rPr>
              <w:t>18</w:t>
            </w:r>
          </w:p>
        </w:tc>
        <w:tc>
          <w:tcPr>
            <w:tcW w:w="2217" w:type="dxa"/>
            <w:tcBorders>
              <w:top w:val="single" w:color="auto" w:sz="4" w:space="0"/>
              <w:left w:val="single" w:color="auto" w:sz="4" w:space="0"/>
              <w:bottom w:val="single" w:color="auto" w:sz="4" w:space="0"/>
              <w:right w:val="single" w:color="auto" w:sz="4" w:space="0"/>
            </w:tcBorders>
            <w:vAlign w:val="center"/>
          </w:tcPr>
          <w:p w14:paraId="77228576">
            <w:pPr>
              <w:spacing w:line="400" w:lineRule="exact"/>
              <w:jc w:val="center"/>
              <w:rPr>
                <w:rFonts w:ascii="宋体" w:hAnsi="宋体"/>
                <w:bCs/>
                <w:szCs w:val="21"/>
              </w:rPr>
            </w:pPr>
            <w:r>
              <w:rPr>
                <w:rFonts w:hint="eastAsia" w:ascii="宋体" w:hAnsi="宋体"/>
                <w:bCs/>
                <w:szCs w:val="21"/>
              </w:rPr>
              <w:t>磋商采购单位</w:t>
            </w:r>
          </w:p>
        </w:tc>
        <w:tc>
          <w:tcPr>
            <w:tcW w:w="6426" w:type="dxa"/>
            <w:tcBorders>
              <w:top w:val="single" w:color="auto" w:sz="4" w:space="0"/>
              <w:left w:val="single" w:color="auto" w:sz="4" w:space="0"/>
              <w:bottom w:val="single" w:color="auto" w:sz="4" w:space="0"/>
              <w:right w:val="single" w:color="auto" w:sz="4" w:space="0"/>
            </w:tcBorders>
            <w:vAlign w:val="center"/>
          </w:tcPr>
          <w:p w14:paraId="5B34C856">
            <w:pPr>
              <w:spacing w:line="400" w:lineRule="exact"/>
              <w:rPr>
                <w:rFonts w:ascii="宋体" w:hAnsi="宋体"/>
                <w:bCs/>
                <w:szCs w:val="21"/>
              </w:rPr>
            </w:pPr>
            <w:r>
              <w:rPr>
                <w:rFonts w:hint="eastAsia" w:ascii="宋体" w:hAnsi="宋体"/>
                <w:bCs/>
                <w:szCs w:val="21"/>
              </w:rPr>
              <w:t>采购人与政府采购代理机构的统称</w:t>
            </w:r>
          </w:p>
        </w:tc>
      </w:tr>
      <w:tr w14:paraId="5AEBB4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1"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0EC16B33">
            <w:pPr>
              <w:spacing w:line="400" w:lineRule="exact"/>
              <w:jc w:val="center"/>
              <w:rPr>
                <w:rFonts w:ascii="宋体" w:hAnsi="宋体"/>
                <w:bCs/>
                <w:szCs w:val="21"/>
              </w:rPr>
            </w:pPr>
            <w:r>
              <w:rPr>
                <w:rFonts w:hint="eastAsia" w:ascii="宋体" w:hAnsi="宋体"/>
                <w:bCs/>
                <w:szCs w:val="21"/>
              </w:rPr>
              <w:t>19</w:t>
            </w:r>
          </w:p>
        </w:tc>
        <w:tc>
          <w:tcPr>
            <w:tcW w:w="8643" w:type="dxa"/>
            <w:gridSpan w:val="2"/>
            <w:tcBorders>
              <w:top w:val="single" w:color="auto" w:sz="4" w:space="0"/>
              <w:left w:val="single" w:color="auto" w:sz="4" w:space="0"/>
              <w:bottom w:val="single" w:color="auto" w:sz="4" w:space="0"/>
              <w:right w:val="single" w:color="auto" w:sz="4" w:space="0"/>
            </w:tcBorders>
            <w:vAlign w:val="center"/>
          </w:tcPr>
          <w:p w14:paraId="206DFB28">
            <w:pPr>
              <w:spacing w:line="400" w:lineRule="exact"/>
              <w:rPr>
                <w:rFonts w:ascii="宋体" w:hAnsi="宋体"/>
                <w:b/>
                <w:bCs/>
                <w:szCs w:val="21"/>
              </w:rPr>
            </w:pPr>
            <w:r>
              <w:rPr>
                <w:rFonts w:hint="eastAsia" w:ascii="宋体" w:hAnsi="宋体"/>
                <w:b/>
                <w:color w:val="000000"/>
                <w:szCs w:val="21"/>
              </w:rPr>
              <w:t>在确定</w:t>
            </w:r>
            <w:r>
              <w:rPr>
                <w:rFonts w:hint="eastAsia" w:ascii="宋体" w:hAnsi="宋体"/>
                <w:b/>
                <w:szCs w:val="21"/>
              </w:rPr>
              <w:t>成交供应商后，签订合同前，成交供应商须提供四份完整的纸质响应文件（胶装）给采购人，纸质响应文件须与电子响应文件格式及内容一致。</w:t>
            </w:r>
          </w:p>
        </w:tc>
      </w:tr>
    </w:tbl>
    <w:p w14:paraId="73860950">
      <w:bookmarkStart w:id="6" w:name="_Toc113441587"/>
      <w:bookmarkStart w:id="7" w:name="_Toc452995896"/>
    </w:p>
    <w:p w14:paraId="16ED4900">
      <w:pPr>
        <w:pStyle w:val="2"/>
        <w:ind w:firstLine="240"/>
      </w:pPr>
    </w:p>
    <w:p w14:paraId="2C01E8EA"/>
    <w:p w14:paraId="3D73E22B">
      <w:pPr>
        <w:pStyle w:val="2"/>
        <w:ind w:firstLine="240"/>
      </w:pPr>
    </w:p>
    <w:p w14:paraId="6740A3E6"/>
    <w:p w14:paraId="35341EA4">
      <w:pPr>
        <w:pStyle w:val="2"/>
        <w:ind w:firstLine="240"/>
      </w:pPr>
    </w:p>
    <w:p w14:paraId="000D6B9D"/>
    <w:p w14:paraId="583CDE07">
      <w:pPr>
        <w:pStyle w:val="2"/>
        <w:ind w:firstLine="240"/>
      </w:pPr>
    </w:p>
    <w:p w14:paraId="2A74B185"/>
    <w:p w14:paraId="5F274BAA">
      <w:pPr>
        <w:pStyle w:val="2"/>
        <w:ind w:firstLine="240"/>
      </w:pPr>
    </w:p>
    <w:p w14:paraId="40BBAECA"/>
    <w:p w14:paraId="19B94833">
      <w:pPr>
        <w:pStyle w:val="2"/>
        <w:ind w:firstLine="240"/>
      </w:pPr>
    </w:p>
    <w:p w14:paraId="5B812C88"/>
    <w:p w14:paraId="68D09ACD">
      <w:pPr>
        <w:pStyle w:val="5"/>
        <w:spacing w:before="0" w:after="0" w:line="460" w:lineRule="exact"/>
        <w:jc w:val="center"/>
        <w:rPr>
          <w:rFonts w:ascii="宋体" w:hAnsi="宋体" w:eastAsia="宋体"/>
          <w:sz w:val="28"/>
          <w:szCs w:val="28"/>
        </w:rPr>
      </w:pPr>
      <w:bookmarkStart w:id="8" w:name="_Toc72487172"/>
      <w:r>
        <w:rPr>
          <w:rFonts w:hint="eastAsia" w:ascii="宋体" w:hAnsi="宋体" w:eastAsia="宋体"/>
          <w:sz w:val="28"/>
          <w:szCs w:val="28"/>
        </w:rPr>
        <w:t>一、</w:t>
      </w:r>
      <w:bookmarkEnd w:id="6"/>
      <w:r>
        <w:rPr>
          <w:rFonts w:hint="eastAsia" w:ascii="宋体" w:hAnsi="宋体" w:eastAsia="宋体"/>
          <w:sz w:val="28"/>
          <w:szCs w:val="28"/>
        </w:rPr>
        <w:t>总  则</w:t>
      </w:r>
      <w:bookmarkEnd w:id="7"/>
      <w:bookmarkEnd w:id="8"/>
    </w:p>
    <w:p w14:paraId="6748E32B">
      <w:pPr>
        <w:snapToGrid w:val="0"/>
        <w:spacing w:line="400" w:lineRule="exact"/>
        <w:rPr>
          <w:rFonts w:ascii="宋体" w:hAnsi="宋体"/>
          <w:b/>
          <w:bCs/>
          <w:sz w:val="24"/>
        </w:rPr>
      </w:pPr>
      <w:r>
        <w:rPr>
          <w:rFonts w:hint="eastAsia" w:ascii="宋体" w:hAnsi="宋体"/>
          <w:b/>
          <w:bCs/>
          <w:sz w:val="24"/>
        </w:rPr>
        <w:t>1．概况</w:t>
      </w:r>
    </w:p>
    <w:p w14:paraId="1CA6A8D9">
      <w:pPr>
        <w:tabs>
          <w:tab w:val="left" w:pos="900"/>
        </w:tabs>
        <w:snapToGrid w:val="0"/>
        <w:spacing w:line="400" w:lineRule="exact"/>
        <w:ind w:firstLine="480" w:firstLineChars="200"/>
        <w:rPr>
          <w:rFonts w:ascii="宋体" w:hAnsi="宋体"/>
          <w:sz w:val="24"/>
        </w:rPr>
      </w:pPr>
      <w:r>
        <w:rPr>
          <w:rFonts w:hint="eastAsia" w:ascii="宋体" w:hAnsi="宋体"/>
          <w:sz w:val="24"/>
        </w:rPr>
        <w:t>1.1磋商采购项目名称：</w:t>
      </w:r>
      <w:r>
        <w:rPr>
          <w:rFonts w:hint="eastAsia" w:ascii="宋体" w:hAnsi="宋体"/>
          <w:bCs/>
          <w:spacing w:val="-4"/>
          <w:sz w:val="24"/>
          <w:lang w:eastAsia="zh-CN"/>
        </w:rPr>
        <w:t>南浔经济开发区2025年城市管理服务项目</w:t>
      </w:r>
      <w:r>
        <w:rPr>
          <w:rFonts w:hint="eastAsia" w:ascii="宋体" w:hAnsi="宋体"/>
          <w:sz w:val="24"/>
        </w:rPr>
        <w:t>；</w:t>
      </w:r>
    </w:p>
    <w:p w14:paraId="55EC64FD">
      <w:pPr>
        <w:snapToGrid w:val="0"/>
        <w:spacing w:line="400" w:lineRule="exact"/>
        <w:ind w:firstLine="480" w:firstLineChars="200"/>
        <w:rPr>
          <w:rFonts w:ascii="宋体" w:hAnsi="宋体"/>
          <w:sz w:val="24"/>
        </w:rPr>
      </w:pPr>
      <w:r>
        <w:rPr>
          <w:rFonts w:hint="eastAsia" w:ascii="宋体" w:hAnsi="宋体"/>
          <w:sz w:val="24"/>
        </w:rPr>
        <w:t>1.2采购人：浙江南浔经济开发区管理委员会；</w:t>
      </w:r>
    </w:p>
    <w:p w14:paraId="46CD4B16">
      <w:pPr>
        <w:snapToGrid w:val="0"/>
        <w:spacing w:line="400" w:lineRule="exact"/>
        <w:ind w:firstLine="480" w:firstLineChars="200"/>
        <w:rPr>
          <w:rFonts w:ascii="宋体" w:hAnsi="宋体"/>
          <w:sz w:val="24"/>
        </w:rPr>
      </w:pPr>
      <w:r>
        <w:rPr>
          <w:rFonts w:hint="eastAsia" w:ascii="宋体" w:hAnsi="宋体"/>
          <w:sz w:val="24"/>
        </w:rPr>
        <w:t>1.3监管部门：</w:t>
      </w:r>
      <w:r>
        <w:rPr>
          <w:rFonts w:hint="eastAsia" w:ascii="宋体" w:hAnsi="宋体" w:cs="宋体"/>
          <w:sz w:val="24"/>
        </w:rPr>
        <w:t>湖州市南浔区财政局</w:t>
      </w:r>
      <w:r>
        <w:rPr>
          <w:rFonts w:hint="eastAsia" w:ascii="宋体" w:hAnsi="宋体"/>
          <w:sz w:val="24"/>
        </w:rPr>
        <w:t>；</w:t>
      </w:r>
    </w:p>
    <w:p w14:paraId="0B1F774B">
      <w:pPr>
        <w:snapToGrid w:val="0"/>
        <w:spacing w:line="400" w:lineRule="exact"/>
        <w:ind w:firstLine="480" w:firstLineChars="200"/>
        <w:rPr>
          <w:rFonts w:ascii="宋体" w:hAnsi="宋体"/>
          <w:sz w:val="24"/>
        </w:rPr>
      </w:pPr>
      <w:r>
        <w:rPr>
          <w:rFonts w:hint="eastAsia" w:ascii="宋体" w:hAnsi="宋体"/>
          <w:sz w:val="24"/>
        </w:rPr>
        <w:t>1.4项目资金来源：已得到政府有关部门的批准，其资金来源已落实；</w:t>
      </w:r>
    </w:p>
    <w:p w14:paraId="45A273EB">
      <w:pPr>
        <w:snapToGrid w:val="0"/>
        <w:spacing w:line="400" w:lineRule="exact"/>
        <w:ind w:firstLine="480" w:firstLineChars="200"/>
        <w:rPr>
          <w:rFonts w:ascii="宋体" w:hAnsi="宋体"/>
          <w:sz w:val="24"/>
        </w:rPr>
      </w:pPr>
      <w:r>
        <w:rPr>
          <w:rFonts w:hint="eastAsia" w:ascii="宋体" w:hAnsi="宋体"/>
          <w:sz w:val="24"/>
        </w:rPr>
        <w:t>1.5采购方式：竞争性磋商；</w:t>
      </w:r>
    </w:p>
    <w:p w14:paraId="1BC2C4B9">
      <w:pPr>
        <w:snapToGrid w:val="0"/>
        <w:spacing w:line="400" w:lineRule="exact"/>
        <w:ind w:firstLine="480" w:firstLineChars="200"/>
        <w:rPr>
          <w:rFonts w:ascii="宋体" w:hAnsi="宋体"/>
          <w:b/>
          <w:bCs/>
          <w:sz w:val="24"/>
        </w:rPr>
      </w:pPr>
      <w:r>
        <w:rPr>
          <w:rFonts w:hint="eastAsia" w:ascii="宋体" w:hAnsi="宋体"/>
          <w:sz w:val="24"/>
        </w:rPr>
        <w:t>1.6采购项目服务地点：由采购人指定；</w:t>
      </w:r>
    </w:p>
    <w:p w14:paraId="6CFB4384">
      <w:pPr>
        <w:snapToGrid w:val="0"/>
        <w:spacing w:line="400" w:lineRule="exact"/>
        <w:ind w:firstLine="480" w:firstLineChars="200"/>
        <w:rPr>
          <w:rFonts w:ascii="宋体" w:hAnsi="宋体"/>
          <w:sz w:val="24"/>
        </w:rPr>
      </w:pPr>
      <w:r>
        <w:rPr>
          <w:rFonts w:hint="eastAsia" w:ascii="宋体" w:hAnsi="宋体"/>
          <w:bCs/>
          <w:sz w:val="24"/>
        </w:rPr>
        <w:t>1.7</w:t>
      </w:r>
      <w:r>
        <w:rPr>
          <w:rFonts w:hint="eastAsia" w:ascii="宋体" w:hAnsi="宋体"/>
          <w:sz w:val="24"/>
        </w:rPr>
        <w:t>采购代理机构：杭州广厦建筑咨询有限公司；</w:t>
      </w:r>
    </w:p>
    <w:p w14:paraId="65B0D106">
      <w:pPr>
        <w:tabs>
          <w:tab w:val="left" w:pos="900"/>
        </w:tabs>
        <w:snapToGrid w:val="0"/>
        <w:spacing w:line="400" w:lineRule="exact"/>
        <w:ind w:firstLine="480" w:firstLineChars="200"/>
        <w:rPr>
          <w:rFonts w:ascii="宋体" w:hAnsi="宋体"/>
          <w:sz w:val="24"/>
        </w:rPr>
      </w:pPr>
      <w:r>
        <w:rPr>
          <w:rFonts w:hint="eastAsia" w:ascii="宋体" w:hAnsi="宋体"/>
          <w:sz w:val="24"/>
        </w:rPr>
        <w:t>1.8采购人及采购代理机构统称“磋商采购单位”。</w:t>
      </w:r>
    </w:p>
    <w:p w14:paraId="6B427A8B">
      <w:pPr>
        <w:tabs>
          <w:tab w:val="left" w:pos="900"/>
        </w:tabs>
        <w:snapToGrid w:val="0"/>
        <w:spacing w:line="400" w:lineRule="exact"/>
        <w:ind w:firstLine="480" w:firstLineChars="200"/>
        <w:rPr>
          <w:rFonts w:ascii="宋体" w:hAnsi="宋体"/>
          <w:sz w:val="24"/>
        </w:rPr>
      </w:pPr>
      <w:r>
        <w:rPr>
          <w:rFonts w:hint="eastAsia" w:ascii="宋体" w:hAnsi="宋体"/>
          <w:sz w:val="24"/>
        </w:rPr>
        <w:t>1.9本磋商文件适用于</w:t>
      </w:r>
      <w:r>
        <w:rPr>
          <w:rFonts w:hint="eastAsia" w:ascii="宋体" w:hAnsi="宋体"/>
          <w:bCs/>
          <w:sz w:val="24"/>
        </w:rPr>
        <w:t>本</w:t>
      </w:r>
      <w:r>
        <w:rPr>
          <w:rFonts w:hint="eastAsia" w:ascii="宋体" w:hAnsi="宋体"/>
          <w:sz w:val="24"/>
        </w:rPr>
        <w:t>项目的磋商、成交、验收、合同履约、付款等（如法律、法规或省级以上规范性文件另有规定的，从其规定）。</w:t>
      </w:r>
    </w:p>
    <w:p w14:paraId="1F32DC5A">
      <w:pPr>
        <w:tabs>
          <w:tab w:val="left" w:pos="900"/>
        </w:tabs>
        <w:snapToGrid w:val="0"/>
        <w:spacing w:line="400" w:lineRule="exact"/>
        <w:rPr>
          <w:rFonts w:ascii="宋体" w:hAnsi="宋体"/>
          <w:b/>
          <w:sz w:val="24"/>
        </w:rPr>
      </w:pPr>
      <w:r>
        <w:rPr>
          <w:rFonts w:hint="eastAsia" w:ascii="宋体" w:hAnsi="宋体"/>
          <w:b/>
          <w:sz w:val="24"/>
        </w:rPr>
        <w:t>2．供应商的资格条件</w:t>
      </w:r>
    </w:p>
    <w:p w14:paraId="678626C5">
      <w:pPr>
        <w:tabs>
          <w:tab w:val="left" w:pos="900"/>
        </w:tabs>
        <w:snapToGrid w:val="0"/>
        <w:spacing w:line="400" w:lineRule="exact"/>
        <w:ind w:firstLine="480" w:firstLineChars="200"/>
        <w:rPr>
          <w:rFonts w:ascii="宋体" w:hAnsi="宋体"/>
          <w:sz w:val="24"/>
        </w:rPr>
      </w:pPr>
      <w:r>
        <w:rPr>
          <w:rFonts w:hint="eastAsia" w:ascii="宋体" w:hAnsi="宋体"/>
          <w:sz w:val="24"/>
        </w:rPr>
        <w:t>符合《政府采购法》第二十二条规定，具有独立法人资格，且未被“信用中国”（www.creditchina.gov.cn）、中国政府采购网（www.ccgp.gov.cn）列入失信被执行人、重大税收违法案件当事人名单、政府采购严重违法失信行为记录名单。</w:t>
      </w:r>
    </w:p>
    <w:p w14:paraId="6A6E4AA4">
      <w:pPr>
        <w:tabs>
          <w:tab w:val="left" w:pos="900"/>
        </w:tabs>
        <w:snapToGrid w:val="0"/>
        <w:spacing w:line="400" w:lineRule="exact"/>
        <w:ind w:firstLine="480" w:firstLineChars="200"/>
        <w:rPr>
          <w:rFonts w:ascii="宋体" w:hAnsi="宋体"/>
          <w:sz w:val="24"/>
        </w:rPr>
      </w:pPr>
      <w:r>
        <w:rPr>
          <w:rFonts w:hint="eastAsia" w:ascii="宋体" w:hAnsi="宋体"/>
          <w:sz w:val="24"/>
        </w:rPr>
        <w:t>▲供应商的特定条件：</w:t>
      </w:r>
    </w:p>
    <w:p w14:paraId="0EE24F9E">
      <w:pPr>
        <w:snapToGrid w:val="0"/>
        <w:spacing w:line="400" w:lineRule="exact"/>
        <w:ind w:firstLine="470" w:firstLineChars="196"/>
      </w:pPr>
      <w:r>
        <w:rPr>
          <w:rFonts w:hint="eastAsia" w:ascii="宋体" w:hAnsi="宋体"/>
          <w:bCs/>
          <w:sz w:val="24"/>
        </w:rPr>
        <w:t>（1）落实政府采购政策需满足的资格要求：</w:t>
      </w:r>
      <w:r>
        <w:rPr>
          <w:rFonts w:hint="eastAsia" w:ascii="宋体" w:hAnsi="宋体"/>
          <w:b/>
          <w:bCs/>
          <w:sz w:val="24"/>
        </w:rPr>
        <w:t>本项目专门面向中小企业采购</w:t>
      </w:r>
      <w:r>
        <w:rPr>
          <w:rFonts w:hint="eastAsia" w:ascii="宋体" w:hAnsi="宋体"/>
          <w:bCs/>
          <w:sz w:val="24"/>
        </w:rPr>
        <w:t>，供应商需提供符合《政府采购促进中小企业发展管理办法》（财库【2020】46号）和本采购文件规定的《中小企业声明函》（模板详见附件）(监狱企业参加磋商提供《监狱企业声明函》及其相关的证明材料、残疾人福利性单位参加磋商提供《残疾人福利性单位声明函》及其相关的证明材料，视为小型、微型企业，享受小微企业政策扶持)</w:t>
      </w:r>
    </w:p>
    <w:p w14:paraId="4E9BC786">
      <w:pPr>
        <w:snapToGrid w:val="0"/>
        <w:spacing w:line="400" w:lineRule="exact"/>
        <w:ind w:firstLine="470" w:firstLineChars="196"/>
        <w:rPr>
          <w:rFonts w:ascii="宋体" w:hAnsi="宋体"/>
          <w:bCs/>
          <w:sz w:val="24"/>
        </w:rPr>
      </w:pPr>
      <w:r>
        <w:rPr>
          <w:rFonts w:hint="eastAsia" w:ascii="宋体" w:hAnsi="宋体"/>
          <w:bCs/>
          <w:sz w:val="24"/>
        </w:rPr>
        <w:t>（2）本项目不接受联合体</w:t>
      </w:r>
      <w:r>
        <w:rPr>
          <w:rFonts w:hint="eastAsia" w:ascii="宋体" w:hAnsi="宋体" w:cs="Arial"/>
          <w:sz w:val="24"/>
        </w:rPr>
        <w:t>。</w:t>
      </w:r>
    </w:p>
    <w:p w14:paraId="590C9D0B">
      <w:pPr>
        <w:snapToGrid w:val="0"/>
        <w:spacing w:line="400" w:lineRule="exact"/>
        <w:rPr>
          <w:rFonts w:ascii="宋体" w:hAnsi="宋体"/>
          <w:bCs/>
          <w:sz w:val="24"/>
        </w:rPr>
      </w:pPr>
      <w:r>
        <w:rPr>
          <w:rFonts w:hint="eastAsia" w:ascii="宋体" w:hAnsi="宋体"/>
          <w:b/>
          <w:sz w:val="24"/>
        </w:rPr>
        <w:t>3．磋商</w:t>
      </w:r>
      <w:r>
        <w:rPr>
          <w:rFonts w:ascii="宋体" w:hAnsi="宋体"/>
          <w:b/>
          <w:sz w:val="24"/>
        </w:rPr>
        <w:t>费用</w:t>
      </w:r>
    </w:p>
    <w:p w14:paraId="6EC15218">
      <w:pPr>
        <w:snapToGrid w:val="0"/>
        <w:spacing w:line="400" w:lineRule="exact"/>
        <w:ind w:firstLine="480" w:firstLineChars="200"/>
        <w:rPr>
          <w:rFonts w:ascii="宋体" w:hAnsi="宋体"/>
          <w:sz w:val="24"/>
        </w:rPr>
      </w:pPr>
      <w:r>
        <w:rPr>
          <w:rFonts w:hint="eastAsia" w:ascii="宋体" w:hAnsi="宋体"/>
          <w:bCs/>
          <w:sz w:val="24"/>
        </w:rPr>
        <w:t>3.1</w:t>
      </w:r>
      <w:r>
        <w:rPr>
          <w:rFonts w:ascii="宋体" w:hAnsi="宋体"/>
          <w:bCs/>
          <w:sz w:val="24"/>
        </w:rPr>
        <w:t>无论磋商</w:t>
      </w:r>
      <w:r>
        <w:rPr>
          <w:rFonts w:hint="eastAsia" w:ascii="宋体" w:hAnsi="宋体"/>
          <w:bCs/>
          <w:sz w:val="24"/>
        </w:rPr>
        <w:t>采购</w:t>
      </w:r>
      <w:r>
        <w:rPr>
          <w:rFonts w:ascii="宋体" w:hAnsi="宋体"/>
          <w:bCs/>
          <w:sz w:val="24"/>
        </w:rPr>
        <w:t>结果如何，</w:t>
      </w:r>
      <w:r>
        <w:rPr>
          <w:rFonts w:hint="eastAsia" w:ascii="宋体" w:hAnsi="宋体"/>
          <w:bCs/>
          <w:sz w:val="24"/>
        </w:rPr>
        <w:t>磋商供应商</w:t>
      </w:r>
      <w:r>
        <w:rPr>
          <w:rFonts w:ascii="宋体" w:hAnsi="宋体"/>
          <w:bCs/>
          <w:sz w:val="24"/>
        </w:rPr>
        <w:t>均</w:t>
      </w:r>
      <w:r>
        <w:rPr>
          <w:rFonts w:hint="eastAsia" w:ascii="宋体" w:hAnsi="宋体"/>
          <w:bCs/>
          <w:sz w:val="24"/>
        </w:rPr>
        <w:t>应</w:t>
      </w:r>
      <w:r>
        <w:rPr>
          <w:rFonts w:ascii="宋体" w:hAnsi="宋体"/>
          <w:bCs/>
          <w:sz w:val="24"/>
        </w:rPr>
        <w:t>自行承担所有与参加</w:t>
      </w:r>
      <w:r>
        <w:rPr>
          <w:rFonts w:hint="eastAsia" w:ascii="宋体" w:hAnsi="宋体"/>
          <w:bCs/>
          <w:sz w:val="24"/>
        </w:rPr>
        <w:t>本次</w:t>
      </w:r>
      <w:r>
        <w:rPr>
          <w:rFonts w:ascii="宋体" w:hAnsi="宋体"/>
          <w:bCs/>
          <w:sz w:val="24"/>
        </w:rPr>
        <w:t>磋商</w:t>
      </w:r>
      <w:r>
        <w:rPr>
          <w:rFonts w:hint="eastAsia" w:ascii="宋体" w:hAnsi="宋体"/>
          <w:bCs/>
          <w:sz w:val="24"/>
        </w:rPr>
        <w:t>采购</w:t>
      </w:r>
      <w:r>
        <w:rPr>
          <w:rFonts w:ascii="宋体" w:hAnsi="宋体"/>
          <w:bCs/>
          <w:sz w:val="24"/>
        </w:rPr>
        <w:t>有关的全部费用。</w:t>
      </w:r>
      <w:r>
        <w:rPr>
          <w:rFonts w:hint="eastAsia" w:ascii="宋体" w:hAnsi="宋体"/>
          <w:sz w:val="24"/>
        </w:rPr>
        <w:t>不论磋商结果如何，磋商代理机构对上述费用不负任何责任。</w:t>
      </w:r>
    </w:p>
    <w:p w14:paraId="38E9986F">
      <w:pPr>
        <w:snapToGrid w:val="0"/>
        <w:spacing w:line="400" w:lineRule="exact"/>
        <w:ind w:firstLine="480" w:firstLineChars="200"/>
        <w:rPr>
          <w:rFonts w:ascii="宋体" w:hAnsi="宋体"/>
          <w:bCs/>
          <w:sz w:val="24"/>
        </w:rPr>
      </w:pPr>
      <w:r>
        <w:rPr>
          <w:rFonts w:hint="eastAsia" w:ascii="宋体" w:hAnsi="宋体"/>
          <w:sz w:val="24"/>
        </w:rPr>
        <w:t>3.2</w:t>
      </w:r>
      <w:r>
        <w:rPr>
          <w:rFonts w:hint="eastAsia" w:ascii="宋体" w:hAnsi="宋体"/>
          <w:bCs/>
          <w:sz w:val="24"/>
        </w:rPr>
        <w:t>本项目磋商代理服务费按人民币</w:t>
      </w:r>
      <w:r>
        <w:rPr>
          <w:rFonts w:hint="eastAsia" w:ascii="宋体" w:hAnsi="宋体"/>
          <w:b/>
          <w:bCs/>
          <w:sz w:val="24"/>
          <w:u w:val="single"/>
        </w:rPr>
        <w:t>贰万零陆佰捌拾元整(￥20680元)</w:t>
      </w:r>
      <w:r>
        <w:rPr>
          <w:rFonts w:hint="eastAsia" w:ascii="宋体" w:hAnsi="宋体"/>
          <w:bCs/>
          <w:sz w:val="24"/>
        </w:rPr>
        <w:t>收取，由成交供应商在领取成交通知书时一次性支付，由供应商自行考虑计入报价。</w:t>
      </w:r>
    </w:p>
    <w:p w14:paraId="4D43E0D2">
      <w:pPr>
        <w:snapToGrid w:val="0"/>
        <w:spacing w:line="400" w:lineRule="exact"/>
        <w:ind w:firstLine="482" w:firstLineChars="200"/>
        <w:rPr>
          <w:rFonts w:ascii="宋体" w:hAnsi="宋体"/>
          <w:b/>
          <w:sz w:val="24"/>
        </w:rPr>
      </w:pPr>
      <w:bookmarkStart w:id="9" w:name="_Toc72487173"/>
      <w:bookmarkStart w:id="10" w:name="_Toc452995897"/>
      <w:r>
        <w:rPr>
          <w:rFonts w:hint="eastAsia" w:ascii="宋体" w:hAnsi="宋体"/>
          <w:b/>
          <w:sz w:val="24"/>
        </w:rPr>
        <w:t>代理机构银行账户信息：</w:t>
      </w:r>
    </w:p>
    <w:p w14:paraId="3B65AF30">
      <w:pPr>
        <w:snapToGrid w:val="0"/>
        <w:spacing w:line="400" w:lineRule="exact"/>
        <w:ind w:firstLine="472" w:firstLineChars="196"/>
        <w:rPr>
          <w:rFonts w:ascii="宋体" w:hAnsi="宋体"/>
          <w:b/>
          <w:sz w:val="24"/>
        </w:rPr>
      </w:pPr>
      <w:r>
        <w:rPr>
          <w:rFonts w:hint="eastAsia" w:ascii="宋体" w:hAnsi="宋体"/>
          <w:b/>
          <w:sz w:val="24"/>
        </w:rPr>
        <w:t>开户名称：杭州广厦建筑咨询有限公司南浔分公司</w:t>
      </w:r>
    </w:p>
    <w:p w14:paraId="7DF59C9D">
      <w:pPr>
        <w:snapToGrid w:val="0"/>
        <w:spacing w:line="400" w:lineRule="exact"/>
        <w:ind w:firstLine="472" w:firstLineChars="196"/>
        <w:rPr>
          <w:rFonts w:ascii="宋体" w:hAnsi="宋体"/>
          <w:b/>
          <w:sz w:val="24"/>
        </w:rPr>
      </w:pPr>
      <w:r>
        <w:rPr>
          <w:rFonts w:hint="eastAsia" w:ascii="宋体" w:hAnsi="宋体"/>
          <w:b/>
          <w:sz w:val="24"/>
        </w:rPr>
        <w:t>开户银行：中国建设银行股份有限公司湖州南浔支行</w:t>
      </w:r>
    </w:p>
    <w:p w14:paraId="3EAACE6B">
      <w:pPr>
        <w:snapToGrid w:val="0"/>
        <w:spacing w:line="400" w:lineRule="exact"/>
        <w:ind w:firstLine="472" w:firstLineChars="196"/>
        <w:rPr>
          <w:rFonts w:ascii="宋体" w:hAnsi="宋体"/>
          <w:b/>
          <w:sz w:val="24"/>
        </w:rPr>
      </w:pPr>
      <w:r>
        <w:rPr>
          <w:rFonts w:hint="eastAsia" w:ascii="宋体" w:hAnsi="宋体"/>
          <w:b/>
          <w:sz w:val="24"/>
        </w:rPr>
        <w:t>银行账号：33050164873500000961</w:t>
      </w:r>
    </w:p>
    <w:p w14:paraId="3C07F431">
      <w:pPr>
        <w:pStyle w:val="5"/>
        <w:snapToGrid w:val="0"/>
        <w:spacing w:before="0" w:after="0" w:line="400" w:lineRule="exact"/>
        <w:jc w:val="center"/>
        <w:rPr>
          <w:rFonts w:ascii="宋体" w:hAnsi="宋体" w:eastAsia="宋体"/>
          <w:kern w:val="44"/>
          <w:sz w:val="28"/>
          <w:szCs w:val="28"/>
        </w:rPr>
      </w:pPr>
      <w:r>
        <w:rPr>
          <w:rFonts w:hint="eastAsia" w:ascii="宋体" w:hAnsi="宋体" w:eastAsia="宋体"/>
          <w:kern w:val="44"/>
          <w:sz w:val="28"/>
          <w:szCs w:val="28"/>
        </w:rPr>
        <w:t>二、磋商文件的说明</w:t>
      </w:r>
      <w:bookmarkEnd w:id="9"/>
      <w:bookmarkEnd w:id="10"/>
    </w:p>
    <w:p w14:paraId="4AA3FD6E">
      <w:pPr>
        <w:snapToGrid w:val="0"/>
        <w:spacing w:line="400" w:lineRule="exact"/>
        <w:rPr>
          <w:rFonts w:ascii="宋体" w:hAnsi="宋体"/>
          <w:b/>
          <w:bCs/>
          <w:kern w:val="44"/>
          <w:sz w:val="24"/>
        </w:rPr>
      </w:pPr>
      <w:bookmarkStart w:id="11" w:name="_Toc113441589"/>
      <w:r>
        <w:rPr>
          <w:rFonts w:hint="eastAsia" w:ascii="宋体" w:hAnsi="宋体"/>
          <w:b/>
          <w:bCs/>
          <w:kern w:val="44"/>
          <w:sz w:val="24"/>
        </w:rPr>
        <w:t>4．磋商文件</w:t>
      </w:r>
      <w:bookmarkEnd w:id="11"/>
      <w:r>
        <w:rPr>
          <w:rFonts w:hint="eastAsia" w:ascii="宋体" w:hAnsi="宋体"/>
          <w:b/>
          <w:bCs/>
          <w:kern w:val="44"/>
          <w:sz w:val="24"/>
        </w:rPr>
        <w:t>的组成</w:t>
      </w:r>
    </w:p>
    <w:p w14:paraId="456466FC">
      <w:pPr>
        <w:snapToGrid w:val="0"/>
        <w:spacing w:line="400" w:lineRule="exact"/>
        <w:ind w:firstLine="480" w:firstLineChars="200"/>
        <w:rPr>
          <w:rFonts w:ascii="宋体" w:hAnsi="宋体"/>
          <w:bCs/>
          <w:sz w:val="24"/>
        </w:rPr>
      </w:pPr>
      <w:r>
        <w:rPr>
          <w:rFonts w:hint="eastAsia" w:ascii="宋体" w:hAnsi="宋体"/>
          <w:sz w:val="24"/>
        </w:rPr>
        <w:t>4.1</w:t>
      </w:r>
      <w:r>
        <w:rPr>
          <w:rFonts w:hint="eastAsia" w:ascii="宋体" w:hAnsi="宋体"/>
          <w:bCs/>
          <w:sz w:val="24"/>
        </w:rPr>
        <w:t>磋商文件为本次磋商采购单位发出的竞争性磋商文件；响应文件为参加磋商的供应商提交的磋商响应文件。</w:t>
      </w:r>
    </w:p>
    <w:p w14:paraId="1407455E">
      <w:pPr>
        <w:snapToGrid w:val="0"/>
        <w:spacing w:line="400" w:lineRule="exact"/>
        <w:ind w:firstLine="480" w:firstLineChars="200"/>
        <w:rPr>
          <w:rFonts w:ascii="宋体" w:hAnsi="宋体"/>
          <w:sz w:val="24"/>
        </w:rPr>
      </w:pPr>
      <w:r>
        <w:rPr>
          <w:rFonts w:hint="eastAsia" w:ascii="宋体" w:hAnsi="宋体"/>
          <w:bCs/>
          <w:sz w:val="24"/>
        </w:rPr>
        <w:t>4.2磋商文件包括以下内容：</w:t>
      </w:r>
    </w:p>
    <w:p w14:paraId="349E5D2A">
      <w:pPr>
        <w:snapToGrid w:val="0"/>
        <w:spacing w:line="400" w:lineRule="exact"/>
        <w:ind w:firstLine="480" w:firstLineChars="200"/>
        <w:rPr>
          <w:rFonts w:ascii="宋体" w:hAnsi="宋体"/>
          <w:sz w:val="24"/>
        </w:rPr>
      </w:pPr>
      <w:r>
        <w:rPr>
          <w:rFonts w:hint="eastAsia" w:ascii="宋体" w:hAnsi="宋体"/>
          <w:sz w:val="24"/>
        </w:rPr>
        <w:t>4.2.1 第一章 供应商须知</w:t>
      </w:r>
    </w:p>
    <w:p w14:paraId="2348E7B3">
      <w:pPr>
        <w:snapToGrid w:val="0"/>
        <w:spacing w:line="400" w:lineRule="exact"/>
        <w:ind w:firstLine="480" w:firstLineChars="200"/>
        <w:rPr>
          <w:rFonts w:ascii="宋体" w:hAnsi="宋体"/>
          <w:sz w:val="24"/>
        </w:rPr>
      </w:pPr>
      <w:r>
        <w:rPr>
          <w:rFonts w:hint="eastAsia" w:ascii="宋体" w:hAnsi="宋体"/>
          <w:sz w:val="24"/>
        </w:rPr>
        <w:t xml:space="preserve">4.2.2 第二章 磋商项目服务范围及要求 </w:t>
      </w:r>
    </w:p>
    <w:p w14:paraId="3E5DFB38">
      <w:pPr>
        <w:snapToGrid w:val="0"/>
        <w:spacing w:line="400" w:lineRule="exact"/>
        <w:ind w:firstLine="480" w:firstLineChars="200"/>
        <w:rPr>
          <w:rFonts w:ascii="宋体" w:hAnsi="宋体"/>
          <w:sz w:val="24"/>
        </w:rPr>
      </w:pPr>
      <w:r>
        <w:rPr>
          <w:rFonts w:hint="eastAsia" w:ascii="宋体" w:hAnsi="宋体"/>
          <w:sz w:val="24"/>
        </w:rPr>
        <w:t>4.2.3 第三章 合同主要条款</w:t>
      </w:r>
    </w:p>
    <w:p w14:paraId="3A4FC0F5">
      <w:pPr>
        <w:snapToGrid w:val="0"/>
        <w:spacing w:line="400" w:lineRule="exact"/>
        <w:ind w:firstLine="480" w:firstLineChars="200"/>
        <w:rPr>
          <w:rFonts w:ascii="宋体" w:hAnsi="宋体"/>
          <w:sz w:val="24"/>
        </w:rPr>
      </w:pPr>
      <w:r>
        <w:rPr>
          <w:rFonts w:hint="eastAsia" w:ascii="宋体" w:hAnsi="宋体"/>
          <w:sz w:val="24"/>
        </w:rPr>
        <w:t>4.2.4 第四章 响应文件格式</w:t>
      </w:r>
    </w:p>
    <w:p w14:paraId="481AF9C3">
      <w:pPr>
        <w:snapToGrid w:val="0"/>
        <w:spacing w:line="400" w:lineRule="exact"/>
        <w:ind w:firstLine="480" w:firstLineChars="200"/>
        <w:rPr>
          <w:rFonts w:ascii="宋体" w:hAnsi="宋体"/>
          <w:sz w:val="24"/>
        </w:rPr>
      </w:pPr>
      <w:r>
        <w:rPr>
          <w:rFonts w:hint="eastAsia" w:ascii="宋体" w:hAnsi="宋体"/>
          <w:sz w:val="24"/>
        </w:rPr>
        <w:t>4.2.5 第五章 磋商办法及评分标准</w:t>
      </w:r>
    </w:p>
    <w:p w14:paraId="47946AEA">
      <w:pPr>
        <w:snapToGrid w:val="0"/>
        <w:spacing w:line="400" w:lineRule="exact"/>
        <w:ind w:firstLine="480" w:firstLineChars="200"/>
        <w:rPr>
          <w:rFonts w:ascii="宋体" w:hAnsi="宋体"/>
          <w:sz w:val="24"/>
        </w:rPr>
      </w:pPr>
      <w:r>
        <w:rPr>
          <w:rFonts w:hint="eastAsia" w:ascii="宋体" w:hAnsi="宋体"/>
          <w:sz w:val="24"/>
        </w:rPr>
        <w:t>4.3 采购代理机构在磋商截止时间前，以书面形式发出的对磋商文件的澄清或修改内容，均为磋商文件的组成部分，对磋商采购单位和供应商起约束作用。</w:t>
      </w:r>
    </w:p>
    <w:p w14:paraId="02F3934C">
      <w:pPr>
        <w:snapToGrid w:val="0"/>
        <w:spacing w:line="400" w:lineRule="exact"/>
        <w:ind w:firstLine="480" w:firstLineChars="200"/>
        <w:rPr>
          <w:rFonts w:ascii="宋体" w:hAnsi="宋体"/>
          <w:sz w:val="24"/>
        </w:rPr>
      </w:pPr>
      <w:r>
        <w:rPr>
          <w:rFonts w:hint="eastAsia" w:ascii="宋体" w:hAnsi="宋体"/>
          <w:sz w:val="24"/>
        </w:rPr>
        <w:t>4.4供应商获取磋商文件后，应仔细检查磋商文件的所有内容，如有残缺等问题，均应在获得磋商文件后在1个工作日内通过电子邮件、传真等方式以书面形式向采购代理机构书面提出，否则由此引起的损失由供应商自己承担。供应商同时应认真审阅竞争 性磋商文件中所有的事项、格式、条款和规范要求（包括补充内容）等所有内容，若供应商的响应文件没有按磋商文件要求提交全部资料，或响应文件没有对磋商文件做出实质性响应，其风险由供应商自行承担，并根据有关条款规定，该响应文件有可能被拒绝。</w:t>
      </w:r>
    </w:p>
    <w:p w14:paraId="43FCC292">
      <w:pPr>
        <w:snapToGrid w:val="0"/>
        <w:spacing w:line="400" w:lineRule="exact"/>
        <w:rPr>
          <w:rFonts w:ascii="宋体" w:hAnsi="宋体"/>
          <w:b/>
          <w:sz w:val="24"/>
        </w:rPr>
      </w:pPr>
      <w:r>
        <w:rPr>
          <w:rFonts w:hint="eastAsia" w:ascii="宋体" w:hAnsi="宋体"/>
          <w:b/>
          <w:sz w:val="24"/>
        </w:rPr>
        <w:t>5.磋商文件的答疑</w:t>
      </w:r>
    </w:p>
    <w:p w14:paraId="07BBEC19">
      <w:pPr>
        <w:snapToGrid w:val="0"/>
        <w:spacing w:line="400" w:lineRule="exact"/>
        <w:ind w:firstLine="424" w:firstLineChars="177"/>
        <w:rPr>
          <w:rFonts w:ascii="宋体" w:hAnsi="宋体" w:cs="宋体"/>
          <w:color w:val="000000"/>
          <w:sz w:val="24"/>
        </w:rPr>
      </w:pPr>
      <w:r>
        <w:rPr>
          <w:rFonts w:hint="eastAsia" w:ascii="宋体" w:hAnsi="宋体" w:cs="宋体"/>
          <w:sz w:val="24"/>
        </w:rPr>
        <w:t>供应商对磋商文件有异议的，应当在</w:t>
      </w:r>
      <w:r>
        <w:rPr>
          <w:rFonts w:hint="eastAsia" w:ascii="宋体" w:hAnsi="宋体" w:cs="宋体"/>
          <w:b/>
          <w:color w:val="FF0000"/>
          <w:sz w:val="24"/>
          <w:lang w:eastAsia="zh-CN"/>
        </w:rPr>
        <w:t>2025年</w:t>
      </w:r>
      <w:r>
        <w:rPr>
          <w:rFonts w:hint="eastAsia" w:ascii="宋体" w:hAnsi="宋体" w:cs="宋体"/>
          <w:b/>
          <w:color w:val="FF0000"/>
          <w:kern w:val="0"/>
          <w:sz w:val="24"/>
          <w:lang w:val="en-US" w:eastAsia="zh-CN"/>
        </w:rPr>
        <w:t>**</w:t>
      </w:r>
      <w:r>
        <w:rPr>
          <w:rFonts w:hint="eastAsia" w:ascii="宋体" w:hAnsi="宋体" w:cs="宋体"/>
          <w:b/>
          <w:sz w:val="24"/>
        </w:rPr>
        <w:t>月</w:t>
      </w:r>
      <w:r>
        <w:rPr>
          <w:rFonts w:hint="eastAsia" w:ascii="宋体" w:hAnsi="宋体" w:cs="宋体"/>
          <w:b/>
          <w:color w:val="FF0000"/>
          <w:kern w:val="0"/>
          <w:sz w:val="24"/>
          <w:lang w:val="en-US" w:eastAsia="zh-CN"/>
        </w:rPr>
        <w:t>**</w:t>
      </w:r>
      <w:r>
        <w:rPr>
          <w:rFonts w:hint="eastAsia" w:ascii="宋体" w:hAnsi="宋体" w:cs="宋体"/>
          <w:b/>
          <w:sz w:val="24"/>
        </w:rPr>
        <w:t>日16：30</w:t>
      </w:r>
      <w:r>
        <w:rPr>
          <w:rFonts w:hint="eastAsia" w:ascii="宋体" w:hAnsi="宋体" w:cs="宋体"/>
          <w:sz w:val="24"/>
        </w:rPr>
        <w:t>前以书面方式通过电子邮件形式向采购代理机构一次性提出，磋商采购单位将在规定的时间内统一进行澄清和修改，并书面（含传真）通知所有依法获取磋商文件的供应商。供应商未按规定要求提出的，则视同认可磋商文件，但法律法规及规范性文件有明确规</w:t>
      </w:r>
      <w:r>
        <w:rPr>
          <w:rFonts w:hint="eastAsia" w:ascii="宋体" w:hAnsi="宋体" w:cs="宋体"/>
          <w:color w:val="000000"/>
          <w:sz w:val="24"/>
        </w:rPr>
        <w:t>定的除外。</w:t>
      </w:r>
    </w:p>
    <w:p w14:paraId="67D57A9C">
      <w:pPr>
        <w:numPr>
          <w:ilvl w:val="0"/>
          <w:numId w:val="2"/>
        </w:numPr>
        <w:adjustRightInd w:val="0"/>
        <w:snapToGrid w:val="0"/>
        <w:spacing w:line="400" w:lineRule="exact"/>
        <w:rPr>
          <w:rFonts w:ascii="宋体" w:hAnsi="宋体" w:cs="宋体"/>
          <w:kern w:val="0"/>
          <w:sz w:val="24"/>
        </w:rPr>
      </w:pPr>
      <w:r>
        <w:rPr>
          <w:rFonts w:hint="eastAsia" w:ascii="宋体" w:hAnsi="宋体" w:cs="宋体"/>
          <w:b/>
          <w:bCs/>
          <w:kern w:val="0"/>
          <w:sz w:val="24"/>
        </w:rPr>
        <w:t>磋商文件的澄清、修改</w:t>
      </w:r>
    </w:p>
    <w:p w14:paraId="5AF44922">
      <w:pPr>
        <w:numPr>
          <w:ilvl w:val="1"/>
          <w:numId w:val="2"/>
        </w:numPr>
        <w:adjustRightInd w:val="0"/>
        <w:snapToGrid w:val="0"/>
        <w:spacing w:line="400" w:lineRule="exact"/>
        <w:ind w:firstLine="424" w:firstLineChars="177"/>
        <w:rPr>
          <w:rFonts w:ascii="宋体" w:hAnsi="宋体" w:cs="宋体"/>
          <w:kern w:val="0"/>
          <w:sz w:val="24"/>
        </w:rPr>
      </w:pPr>
      <w:r>
        <w:rPr>
          <w:rFonts w:hint="eastAsia" w:ascii="宋体" w:hAnsi="宋体" w:cs="宋体"/>
          <w:kern w:val="0"/>
          <w:sz w:val="24"/>
        </w:rPr>
        <w:t xml:space="preserve">在磋商截止时间前，采购人无论出于自己的考虑，还是出于对供应商提问的澄清， 均可对磋商文件用补充文件的方式进行修改。 </w:t>
      </w:r>
    </w:p>
    <w:p w14:paraId="3F7CA594">
      <w:pPr>
        <w:numPr>
          <w:ilvl w:val="1"/>
          <w:numId w:val="2"/>
        </w:numPr>
        <w:adjustRightInd w:val="0"/>
        <w:snapToGrid w:val="0"/>
        <w:spacing w:line="400" w:lineRule="exact"/>
        <w:ind w:firstLine="424" w:firstLineChars="177"/>
        <w:rPr>
          <w:rFonts w:ascii="宋体" w:hAnsi="宋体" w:cs="宋体"/>
          <w:kern w:val="0"/>
          <w:sz w:val="24"/>
        </w:rPr>
      </w:pPr>
      <w:r>
        <w:rPr>
          <w:rFonts w:hint="eastAsia" w:ascii="宋体" w:hAnsi="宋体" w:cs="宋体"/>
          <w:kern w:val="0"/>
          <w:sz w:val="24"/>
        </w:rPr>
        <w:t>对磋商文件的修改，将以电子邮件形式通知已获取磋商文件的每一供应商。补充文件将作为磋商文件的组成部分，对所有供应商有约束力。供应商在收到该补充文件后， 应以书面方式通过电子邮件形式予以确认。</w:t>
      </w:r>
    </w:p>
    <w:p w14:paraId="674A0D82">
      <w:pPr>
        <w:numPr>
          <w:ilvl w:val="1"/>
          <w:numId w:val="2"/>
        </w:numPr>
        <w:adjustRightInd w:val="0"/>
        <w:snapToGrid w:val="0"/>
        <w:spacing w:line="400" w:lineRule="exact"/>
        <w:ind w:firstLine="424" w:firstLineChars="177"/>
        <w:rPr>
          <w:rFonts w:ascii="宋体" w:hAnsi="宋体" w:cs="宋体"/>
          <w:kern w:val="0"/>
          <w:sz w:val="24"/>
        </w:rPr>
      </w:pPr>
      <w:r>
        <w:rPr>
          <w:rFonts w:hint="eastAsia" w:ascii="宋体" w:hAnsi="宋体" w:cs="宋体"/>
          <w:kern w:val="0"/>
          <w:sz w:val="24"/>
        </w:rPr>
        <w:t>磋商文件的澄清、答复、修改或补充都应该通过本采购代理机构以法定形式发布，采购人非通过本机构，不得擅自澄清、答复、修改或补充磋商文件。</w:t>
      </w:r>
    </w:p>
    <w:p w14:paraId="18466CFE">
      <w:pPr>
        <w:numPr>
          <w:ilvl w:val="0"/>
          <w:numId w:val="2"/>
        </w:numPr>
        <w:adjustRightInd w:val="0"/>
        <w:snapToGrid w:val="0"/>
        <w:spacing w:line="400" w:lineRule="exact"/>
        <w:rPr>
          <w:rFonts w:ascii="宋体" w:hAnsi="宋体" w:cs="宋体"/>
          <w:kern w:val="0"/>
          <w:sz w:val="24"/>
        </w:rPr>
      </w:pPr>
      <w:r>
        <w:rPr>
          <w:rFonts w:hint="eastAsia" w:ascii="宋体" w:hAnsi="宋体" w:cs="宋体"/>
          <w:b/>
          <w:kern w:val="0"/>
          <w:sz w:val="24"/>
        </w:rPr>
        <w:t>供应商应当按照磋商文件的要求编制响应文件。</w:t>
      </w:r>
    </w:p>
    <w:p w14:paraId="5FDA1C4A">
      <w:pPr>
        <w:adjustRightInd w:val="0"/>
        <w:snapToGrid w:val="0"/>
        <w:spacing w:line="400" w:lineRule="exact"/>
        <w:ind w:firstLine="360" w:firstLineChars="150"/>
        <w:rPr>
          <w:rFonts w:ascii="宋体" w:hAnsi="宋体" w:cs="宋体"/>
          <w:kern w:val="0"/>
          <w:sz w:val="24"/>
        </w:rPr>
      </w:pPr>
      <w:r>
        <w:rPr>
          <w:rFonts w:hint="eastAsia" w:ascii="宋体" w:hAnsi="宋体" w:cs="宋体"/>
          <w:kern w:val="0"/>
          <w:sz w:val="24"/>
        </w:rPr>
        <w:t>响应文件应对磋商文件提出的要求和条件作出实质性响应（如对工期、售后服务期、合同主要条款及其它要求等内容作出满足或者优于磋商文件要求和条件的承诺）。</w:t>
      </w:r>
    </w:p>
    <w:p w14:paraId="58B66877">
      <w:pPr>
        <w:numPr>
          <w:ilvl w:val="0"/>
          <w:numId w:val="2"/>
        </w:numPr>
        <w:snapToGrid w:val="0"/>
        <w:spacing w:line="400" w:lineRule="exact"/>
        <w:rPr>
          <w:rFonts w:ascii="宋体" w:hAnsi="宋体" w:cs="宋体"/>
          <w:b/>
          <w:kern w:val="0"/>
          <w:sz w:val="24"/>
        </w:rPr>
      </w:pPr>
      <w:r>
        <w:rPr>
          <w:rFonts w:hint="eastAsia" w:ascii="宋体" w:hAnsi="宋体" w:cs="宋体"/>
          <w:b/>
          <w:kern w:val="0"/>
          <w:sz w:val="24"/>
        </w:rPr>
        <w:t>响应文件的编制要求</w:t>
      </w:r>
    </w:p>
    <w:p w14:paraId="1A1D7624">
      <w:pPr>
        <w:snapToGrid w:val="0"/>
        <w:spacing w:line="400" w:lineRule="exact"/>
        <w:ind w:firstLine="480" w:firstLineChars="200"/>
        <w:rPr>
          <w:rFonts w:ascii="宋体" w:hAnsi="宋体" w:cs="宋体"/>
          <w:kern w:val="0"/>
          <w:sz w:val="24"/>
        </w:rPr>
      </w:pPr>
      <w:r>
        <w:rPr>
          <w:rFonts w:hint="eastAsia" w:ascii="宋体" w:hAnsi="宋体" w:cs="宋体"/>
          <w:kern w:val="0"/>
          <w:sz w:val="24"/>
        </w:rPr>
        <w:t>8.1响应文件分为“电子加密响应文件”，“备份响应文件”（供应商自行选择是否提供），具体内容如下：</w:t>
      </w:r>
    </w:p>
    <w:p w14:paraId="446C974D">
      <w:pPr>
        <w:snapToGrid w:val="0"/>
        <w:spacing w:line="400" w:lineRule="exact"/>
        <w:ind w:firstLine="480" w:firstLineChars="200"/>
        <w:rPr>
          <w:rFonts w:ascii="宋体" w:hAnsi="宋体" w:cs="宋体"/>
          <w:kern w:val="0"/>
          <w:sz w:val="24"/>
        </w:rPr>
      </w:pPr>
      <w:r>
        <w:rPr>
          <w:rFonts w:hint="eastAsia" w:ascii="宋体" w:hAnsi="宋体" w:cs="宋体"/>
          <w:kern w:val="0"/>
          <w:sz w:val="24"/>
        </w:rPr>
        <w:t>8.1.1电子响应文件：按政采云平台项目采购-电子交易操作指南及本磋商文件要求制作、加密并递交，供应商电子交易操作指南详见网址：https://help.zcygov.cn/web/site_2/2018/12-28/2573.html）。</w:t>
      </w:r>
    </w:p>
    <w:p w14:paraId="4FD3D2AC">
      <w:pPr>
        <w:snapToGrid w:val="0"/>
        <w:spacing w:line="400" w:lineRule="exact"/>
        <w:ind w:firstLine="480" w:firstLineChars="200"/>
        <w:rPr>
          <w:rFonts w:ascii="宋体" w:hAnsi="宋体" w:cs="宋体"/>
          <w:kern w:val="0"/>
          <w:sz w:val="24"/>
        </w:rPr>
      </w:pPr>
      <w:r>
        <w:rPr>
          <w:rFonts w:hint="eastAsia" w:ascii="宋体" w:hAnsi="宋体" w:cs="宋体"/>
          <w:kern w:val="0"/>
          <w:sz w:val="24"/>
        </w:rPr>
        <w:t>8.1.2供应商如需提供数据电子备份响应文件（U盘）：以U盘形式提供的数据电子备份响应文件格式及内容须与政采云平台项目采购-电子交易操作指南中制作、加密并递交的电子响应文件格式及内容一致。“备份响应文件”：</w:t>
      </w:r>
      <w:r>
        <w:rPr>
          <w:rFonts w:ascii="宋体" w:hAnsi="宋体" w:cs="宋体"/>
          <w:sz w:val="24"/>
        </w:rPr>
        <w:t>以介质存储的数据电文形式的备份响应文件（bfbs格式），按政采云平台项目采购-电子交易操作指南中上传的电子响应文件格式，以U盘形式存储提供。</w:t>
      </w:r>
      <w:r>
        <w:rPr>
          <w:rFonts w:hint="eastAsia" w:ascii="宋体" w:hAnsi="宋体" w:cs="宋体"/>
          <w:kern w:val="0"/>
          <w:sz w:val="24"/>
        </w:rPr>
        <w:t>其他方式编制的备份响应文件无效。供应商应将数据电子备份响应文件（U盘）形式单独密封、包装应并在包装上标注磋商项目名称、供应商名称并加盖公章。因不按规定密封、包装的数据电子备份响应文件（U盘）而产生的对磋商供应商的不利后果由供应商自行承担。</w:t>
      </w:r>
    </w:p>
    <w:p w14:paraId="582D3AF0">
      <w:pPr>
        <w:snapToGrid w:val="0"/>
        <w:spacing w:line="400" w:lineRule="exact"/>
        <w:ind w:firstLine="360" w:firstLineChars="150"/>
        <w:rPr>
          <w:rFonts w:ascii="宋体" w:hAnsi="宋体" w:cs="宋体"/>
          <w:kern w:val="0"/>
          <w:sz w:val="24"/>
        </w:rPr>
      </w:pPr>
      <w:r>
        <w:rPr>
          <w:rFonts w:hint="eastAsia" w:ascii="宋体" w:hAnsi="宋体" w:cs="宋体"/>
          <w:kern w:val="0"/>
          <w:sz w:val="24"/>
        </w:rPr>
        <w:t>8.2响应文件的效力：</w:t>
      </w:r>
    </w:p>
    <w:p w14:paraId="33C3E284">
      <w:pPr>
        <w:snapToGrid w:val="0"/>
        <w:spacing w:line="400" w:lineRule="exact"/>
        <w:ind w:firstLine="480" w:firstLineChars="200"/>
        <w:rPr>
          <w:rFonts w:ascii="宋体" w:hAnsi="宋体" w:cs="宋体"/>
          <w:kern w:val="0"/>
          <w:sz w:val="24"/>
        </w:rPr>
      </w:pPr>
      <w:r>
        <w:rPr>
          <w:rFonts w:hint="eastAsia" w:ascii="宋体" w:hAnsi="宋体" w:cs="宋体"/>
          <w:kern w:val="0"/>
          <w:sz w:val="24"/>
        </w:rPr>
        <w:t>响应文件的启用：按先后顺位分别为电子响应文件，供应商递交数据电子备份响应文件（U盘）的。整个磋商过程中若因供应商问题造成电子响应文件无法正常解密的，均认定为未提交电子响应文件，作无效磋商处理。若因网络或者其他非供应商问题造成电子响应文件无法正常解密的，启用数据电子备份响应文件（U盘），因供应商自身原因造成数据电子备份响应文件（U盘）无法打开的，作无效磋商处理。若正常解密成功，则数据电子备份响应文件（U盘）不予开启。在下一顺位的响应文件启用时，前一顺位的响应文件自动失效。</w:t>
      </w:r>
    </w:p>
    <w:p w14:paraId="0B61EC0A">
      <w:pPr>
        <w:snapToGrid w:val="0"/>
        <w:spacing w:line="400" w:lineRule="exact"/>
        <w:rPr>
          <w:rFonts w:ascii="宋体" w:hAnsi="宋体"/>
          <w:b/>
          <w:sz w:val="24"/>
        </w:rPr>
      </w:pPr>
      <w:r>
        <w:rPr>
          <w:rFonts w:hint="eastAsia" w:ascii="宋体" w:hAnsi="宋体"/>
          <w:b/>
          <w:sz w:val="24"/>
        </w:rPr>
        <w:t>9.响应文件（包括电子响应文件，供应商递交数据电子备份响应文件（U盘）的）由《资格文件》、《技术、商务、资信及其他文件》和《报价文件》组成，其中电子响应文件中所须加盖公章部分均采用CA签章。</w:t>
      </w:r>
    </w:p>
    <w:p w14:paraId="11CF718F">
      <w:pPr>
        <w:snapToGrid w:val="0"/>
        <w:spacing w:line="400" w:lineRule="exact"/>
        <w:rPr>
          <w:rFonts w:ascii="宋体" w:hAnsi="宋体"/>
          <w:b/>
          <w:sz w:val="24"/>
        </w:rPr>
      </w:pPr>
      <w:r>
        <w:rPr>
          <w:rFonts w:hint="eastAsia" w:ascii="宋体" w:hAnsi="宋体"/>
          <w:b/>
          <w:sz w:val="24"/>
        </w:rPr>
        <w:t>9.1资格文件：</w:t>
      </w:r>
    </w:p>
    <w:p w14:paraId="4006D513">
      <w:pPr>
        <w:snapToGrid w:val="0"/>
        <w:spacing w:line="400" w:lineRule="exact"/>
        <w:ind w:firstLine="520" w:firstLineChars="217"/>
        <w:rPr>
          <w:rFonts w:ascii="宋体" w:hAnsi="宋体"/>
          <w:sz w:val="24"/>
        </w:rPr>
      </w:pPr>
      <w:r>
        <w:rPr>
          <w:rFonts w:hint="eastAsia" w:ascii="宋体" w:hAnsi="宋体"/>
          <w:sz w:val="24"/>
        </w:rPr>
        <w:t xml:space="preserve">（1）有效的营业执照、税务登记证、组织机构代码证或“三证合一”的营业执照或“五证合一”的营业执照或事业单位法人证书；（资格审查条款） </w:t>
      </w:r>
    </w:p>
    <w:p w14:paraId="31FA688E">
      <w:pPr>
        <w:snapToGrid w:val="0"/>
        <w:spacing w:line="400" w:lineRule="exact"/>
        <w:ind w:firstLine="520" w:firstLineChars="217"/>
        <w:rPr>
          <w:rFonts w:ascii="宋体" w:hAnsi="宋体"/>
          <w:sz w:val="24"/>
        </w:rPr>
      </w:pPr>
      <w:r>
        <w:rPr>
          <w:rFonts w:hint="eastAsia" w:ascii="宋体" w:hAnsi="宋体"/>
          <w:sz w:val="24"/>
        </w:rPr>
        <w:t>（2）法定代表人有效身份证明书及身份证或法定代表人授权书及其授权代理人身份证；（资格审查条款）</w:t>
      </w:r>
    </w:p>
    <w:p w14:paraId="57867067">
      <w:pPr>
        <w:snapToGrid w:val="0"/>
        <w:spacing w:line="400" w:lineRule="exact"/>
        <w:ind w:firstLine="520" w:firstLineChars="217"/>
        <w:rPr>
          <w:rFonts w:ascii="宋体" w:hAnsi="宋体"/>
          <w:sz w:val="24"/>
        </w:rPr>
      </w:pPr>
      <w:r>
        <w:rPr>
          <w:rFonts w:hint="eastAsia" w:ascii="宋体" w:hAnsi="宋体"/>
          <w:sz w:val="24"/>
        </w:rPr>
        <w:t>（3）提供自磋商公告发布之后任意时间的“信用中国”（www.creditchina.gov.cn ）、中国政府采购（www.ccgp.gov.cn ）供应商信用查询网页截图（两者缺一不可）；（资格审查条款）</w:t>
      </w:r>
    </w:p>
    <w:p w14:paraId="025C0D40">
      <w:pPr>
        <w:snapToGrid w:val="0"/>
        <w:spacing w:line="400" w:lineRule="exact"/>
        <w:ind w:firstLine="520" w:firstLineChars="217"/>
        <w:rPr>
          <w:rFonts w:ascii="宋体" w:hAnsi="宋体"/>
          <w:sz w:val="24"/>
        </w:rPr>
      </w:pPr>
      <w:r>
        <w:rPr>
          <w:rFonts w:hint="eastAsia" w:ascii="宋体" w:hAnsi="宋体"/>
          <w:sz w:val="24"/>
        </w:rPr>
        <w:t>（4）提供供应商最近三个月企业正常纳税情况和社保基金缴纳情况证明文书；（资格审查条款）；</w:t>
      </w:r>
    </w:p>
    <w:p w14:paraId="589D062C">
      <w:pPr>
        <w:snapToGrid w:val="0"/>
        <w:spacing w:line="400" w:lineRule="exact"/>
        <w:ind w:firstLine="520" w:firstLineChars="217"/>
        <w:rPr>
          <w:rFonts w:ascii="宋体" w:hAnsi="宋体"/>
          <w:sz w:val="24"/>
        </w:rPr>
      </w:pPr>
      <w:r>
        <w:rPr>
          <w:rFonts w:hint="eastAsia" w:ascii="宋体" w:hAnsi="宋体"/>
          <w:sz w:val="24"/>
        </w:rPr>
        <w:t>（5）信用承诺书；（资格审查条款）</w:t>
      </w:r>
    </w:p>
    <w:p w14:paraId="73461133">
      <w:pPr>
        <w:pStyle w:val="2"/>
        <w:snapToGrid w:val="0"/>
        <w:spacing w:after="0" w:line="400" w:lineRule="exact"/>
        <w:ind w:firstLine="241"/>
        <w:rPr>
          <w:rFonts w:hint="eastAsia" w:ascii="宋体" w:hAnsi="宋体"/>
          <w:b/>
          <w:color w:val="0070C0"/>
        </w:rPr>
      </w:pPr>
      <w:r>
        <w:rPr>
          <w:rFonts w:hint="eastAsia" w:ascii="宋体" w:hAnsi="宋体"/>
          <w:b/>
          <w:color w:val="0070C0"/>
        </w:rPr>
        <w:t>（6）提供《中小企业声明函》(监狱企业参加磋商提供《监狱企业声明函》及其相关的证明材料、残疾人福利性单位参加磋商提供《残疾人福利性单位声明函》及其相关的证明材料，视为小型、微型企业，享受小微企业政策扶持)（格式见附件，资格审查条款）；</w:t>
      </w:r>
    </w:p>
    <w:p w14:paraId="33E58E10">
      <w:pPr>
        <w:pStyle w:val="2"/>
        <w:snapToGrid w:val="0"/>
        <w:spacing w:after="0" w:line="400" w:lineRule="exact"/>
        <w:ind w:firstLine="241"/>
      </w:pPr>
      <w:r>
        <w:rPr>
          <w:rFonts w:hint="eastAsia" w:ascii="宋体" w:hAnsi="宋体"/>
          <w:bCs/>
          <w:sz w:val="24"/>
        </w:rPr>
        <w:t>（</w:t>
      </w:r>
      <w:r>
        <w:rPr>
          <w:rFonts w:hint="eastAsia" w:ascii="宋体" w:hAnsi="宋体"/>
          <w:bCs/>
          <w:sz w:val="24"/>
          <w:lang w:val="en-US" w:eastAsia="zh-CN"/>
        </w:rPr>
        <w:t>7</w:t>
      </w:r>
      <w:r>
        <w:rPr>
          <w:rFonts w:hint="eastAsia" w:ascii="宋体" w:hAnsi="宋体"/>
          <w:bCs/>
          <w:sz w:val="24"/>
        </w:rPr>
        <w:t>）供应商认为需要提供的文件和资料。</w:t>
      </w:r>
    </w:p>
    <w:p w14:paraId="3E2058E0">
      <w:pPr>
        <w:snapToGrid w:val="0"/>
        <w:spacing w:line="400" w:lineRule="exact"/>
        <w:rPr>
          <w:rFonts w:ascii="宋体" w:hAnsi="宋体"/>
          <w:b/>
          <w:sz w:val="24"/>
        </w:rPr>
      </w:pPr>
      <w:r>
        <w:rPr>
          <w:rFonts w:hint="eastAsia" w:ascii="宋体" w:hAnsi="宋体"/>
          <w:b/>
          <w:sz w:val="24"/>
        </w:rPr>
        <w:t>9.2技术文件：</w:t>
      </w:r>
    </w:p>
    <w:p w14:paraId="33296608">
      <w:pPr>
        <w:snapToGrid w:val="0"/>
        <w:spacing w:line="400" w:lineRule="exact"/>
        <w:ind w:firstLine="520" w:firstLineChars="217"/>
        <w:jc w:val="left"/>
        <w:rPr>
          <w:rFonts w:ascii="宋体" w:hAnsi="宋体"/>
          <w:sz w:val="24"/>
        </w:rPr>
      </w:pPr>
      <w:r>
        <w:rPr>
          <w:rFonts w:hint="eastAsia" w:ascii="宋体" w:hAnsi="宋体"/>
          <w:sz w:val="24"/>
        </w:rPr>
        <w:t>供应商根据评分办法及标准结合自身情况进行编制。</w:t>
      </w:r>
    </w:p>
    <w:p w14:paraId="137E8126">
      <w:pPr>
        <w:snapToGrid w:val="0"/>
        <w:spacing w:line="400" w:lineRule="exact"/>
        <w:jc w:val="left"/>
        <w:rPr>
          <w:rFonts w:ascii="宋体" w:hAnsi="宋体"/>
          <w:b/>
          <w:sz w:val="24"/>
        </w:rPr>
      </w:pPr>
      <w:r>
        <w:rPr>
          <w:rFonts w:hint="eastAsia" w:ascii="宋体" w:hAnsi="宋体"/>
          <w:b/>
          <w:sz w:val="24"/>
        </w:rPr>
        <w:t>9.3商务、资信及其他文件：</w:t>
      </w:r>
    </w:p>
    <w:p w14:paraId="75A4D919">
      <w:pPr>
        <w:snapToGrid w:val="0"/>
        <w:spacing w:line="400" w:lineRule="exact"/>
        <w:ind w:firstLine="480" w:firstLineChars="200"/>
        <w:rPr>
          <w:rFonts w:ascii="宋体" w:hAnsi="宋体"/>
          <w:bCs/>
          <w:sz w:val="24"/>
        </w:rPr>
      </w:pPr>
      <w:r>
        <w:rPr>
          <w:rFonts w:hint="eastAsia" w:ascii="宋体" w:hAnsi="宋体"/>
          <w:bCs/>
          <w:sz w:val="24"/>
        </w:rPr>
        <w:t>（1）磋商声明书（格式见附件）；</w:t>
      </w:r>
    </w:p>
    <w:p w14:paraId="75518282">
      <w:pPr>
        <w:snapToGrid w:val="0"/>
        <w:spacing w:line="400" w:lineRule="exact"/>
        <w:ind w:firstLine="480" w:firstLineChars="200"/>
        <w:rPr>
          <w:rFonts w:ascii="宋体" w:hAnsi="宋体"/>
          <w:bCs/>
          <w:color w:val="auto"/>
          <w:sz w:val="24"/>
        </w:rPr>
      </w:pPr>
      <w:r>
        <w:rPr>
          <w:rFonts w:hint="eastAsia" w:ascii="宋体" w:hAnsi="宋体"/>
          <w:bCs/>
          <w:sz w:val="24"/>
        </w:rPr>
        <w:t>（2）商务响应表（格</w:t>
      </w:r>
      <w:r>
        <w:rPr>
          <w:rFonts w:hint="eastAsia" w:ascii="宋体" w:hAnsi="宋体"/>
          <w:bCs/>
          <w:color w:val="auto"/>
          <w:sz w:val="24"/>
        </w:rPr>
        <w:t>式见附件）；</w:t>
      </w:r>
    </w:p>
    <w:p w14:paraId="116C44C6">
      <w:pPr>
        <w:snapToGrid w:val="0"/>
        <w:spacing w:line="400" w:lineRule="exact"/>
        <w:ind w:firstLine="480" w:firstLineChars="200"/>
        <w:rPr>
          <w:rFonts w:ascii="宋体" w:hAnsi="宋体"/>
          <w:bCs/>
          <w:color w:val="auto"/>
          <w:sz w:val="24"/>
        </w:rPr>
      </w:pPr>
      <w:r>
        <w:rPr>
          <w:rFonts w:hint="eastAsia" w:ascii="宋体" w:hAnsi="宋体"/>
          <w:bCs/>
          <w:color w:val="auto"/>
          <w:sz w:val="24"/>
        </w:rPr>
        <w:t>（3）磋商供应商情况一览表（格式见附件）；</w:t>
      </w:r>
    </w:p>
    <w:p w14:paraId="05A1ED20">
      <w:pPr>
        <w:snapToGrid w:val="0"/>
        <w:spacing w:line="400" w:lineRule="exact"/>
        <w:ind w:firstLine="480" w:firstLineChars="200"/>
        <w:rPr>
          <w:rFonts w:ascii="宋体" w:hAnsi="宋体"/>
          <w:bCs/>
          <w:color w:val="auto"/>
          <w:sz w:val="24"/>
        </w:rPr>
      </w:pPr>
      <w:r>
        <w:rPr>
          <w:rFonts w:hint="eastAsia" w:ascii="宋体" w:hAnsi="宋体"/>
          <w:bCs/>
          <w:color w:val="auto"/>
          <w:sz w:val="24"/>
        </w:rPr>
        <w:t>（4）与采购单位的配合；（如有，格式自拟）</w:t>
      </w:r>
    </w:p>
    <w:p w14:paraId="1DDA1028">
      <w:pPr>
        <w:snapToGrid w:val="0"/>
        <w:spacing w:line="400" w:lineRule="exact"/>
        <w:ind w:firstLine="480" w:firstLineChars="200"/>
        <w:rPr>
          <w:rFonts w:ascii="宋体" w:hAnsi="宋体"/>
          <w:bCs/>
          <w:color w:val="auto"/>
          <w:sz w:val="24"/>
        </w:rPr>
      </w:pPr>
      <w:r>
        <w:rPr>
          <w:rFonts w:hint="eastAsia" w:ascii="宋体" w:hAnsi="宋体"/>
          <w:bCs/>
          <w:color w:val="auto"/>
          <w:sz w:val="24"/>
        </w:rPr>
        <w:t>（5）合理化建议；（如有，格式自拟）</w:t>
      </w:r>
    </w:p>
    <w:p w14:paraId="5BC0ECA5">
      <w:pPr>
        <w:snapToGrid w:val="0"/>
        <w:spacing w:line="400" w:lineRule="exact"/>
        <w:ind w:firstLine="480" w:firstLineChars="200"/>
        <w:rPr>
          <w:rFonts w:ascii="宋体" w:hAnsi="宋体"/>
          <w:bCs/>
          <w:color w:val="auto"/>
          <w:sz w:val="24"/>
        </w:rPr>
      </w:pPr>
      <w:r>
        <w:rPr>
          <w:rFonts w:hint="eastAsia" w:ascii="宋体" w:hAnsi="宋体"/>
          <w:bCs/>
          <w:color w:val="auto"/>
          <w:sz w:val="24"/>
        </w:rPr>
        <w:t>（6）企业实力；（如有，格式自拟）</w:t>
      </w:r>
    </w:p>
    <w:p w14:paraId="0DCC6E4B">
      <w:pPr>
        <w:snapToGrid w:val="0"/>
        <w:spacing w:line="400" w:lineRule="exact"/>
        <w:ind w:firstLine="480" w:firstLineChars="200"/>
        <w:rPr>
          <w:rFonts w:ascii="宋体" w:hAnsi="宋体"/>
          <w:bCs/>
          <w:color w:val="auto"/>
          <w:sz w:val="24"/>
        </w:rPr>
      </w:pPr>
      <w:r>
        <w:rPr>
          <w:rFonts w:hint="eastAsia" w:ascii="宋体" w:hAnsi="宋体"/>
          <w:bCs/>
          <w:color w:val="auto"/>
          <w:sz w:val="24"/>
        </w:rPr>
        <w:t>（7）企业业绩；（格式见附件）</w:t>
      </w:r>
    </w:p>
    <w:p w14:paraId="4C2DD48A">
      <w:pPr>
        <w:snapToGrid w:val="0"/>
        <w:spacing w:line="400" w:lineRule="exact"/>
        <w:ind w:firstLine="480" w:firstLineChars="200"/>
        <w:rPr>
          <w:rFonts w:ascii="宋体" w:hAnsi="宋体"/>
          <w:bCs/>
          <w:sz w:val="24"/>
        </w:rPr>
      </w:pPr>
      <w:r>
        <w:rPr>
          <w:rFonts w:hint="eastAsia" w:ascii="宋体" w:hAnsi="宋体"/>
          <w:bCs/>
          <w:color w:val="auto"/>
          <w:sz w:val="24"/>
        </w:rPr>
        <w:t>（8）提供实质性的优惠条件或服务措施；（</w:t>
      </w:r>
      <w:r>
        <w:rPr>
          <w:rFonts w:hint="eastAsia" w:ascii="宋体" w:hAnsi="宋体"/>
          <w:bCs/>
          <w:sz w:val="24"/>
        </w:rPr>
        <w:t>如有，格式自拟）</w:t>
      </w:r>
    </w:p>
    <w:p w14:paraId="75C86935">
      <w:pPr>
        <w:snapToGrid w:val="0"/>
        <w:spacing w:line="400" w:lineRule="exact"/>
        <w:ind w:firstLine="480" w:firstLineChars="200"/>
        <w:rPr>
          <w:rFonts w:ascii="宋体" w:hAnsi="宋体"/>
          <w:bCs/>
          <w:sz w:val="24"/>
        </w:rPr>
      </w:pPr>
      <w:r>
        <w:rPr>
          <w:rFonts w:hint="eastAsia" w:ascii="宋体" w:hAnsi="宋体"/>
          <w:bCs/>
          <w:sz w:val="24"/>
        </w:rPr>
        <w:t>（9）供应商认为需要提供的文件和资料。</w:t>
      </w:r>
    </w:p>
    <w:p w14:paraId="5328A032">
      <w:pPr>
        <w:snapToGrid w:val="0"/>
        <w:spacing w:line="400" w:lineRule="exact"/>
        <w:jc w:val="left"/>
        <w:rPr>
          <w:rFonts w:ascii="宋体" w:hAnsi="宋体"/>
          <w:b/>
          <w:bCs/>
          <w:sz w:val="24"/>
        </w:rPr>
      </w:pPr>
      <w:r>
        <w:rPr>
          <w:rFonts w:hint="eastAsia" w:ascii="宋体" w:hAnsi="宋体"/>
          <w:b/>
          <w:bCs/>
          <w:sz w:val="24"/>
        </w:rPr>
        <w:t>9.4报价文件：</w:t>
      </w:r>
    </w:p>
    <w:p w14:paraId="3DD0C753">
      <w:pPr>
        <w:snapToGrid w:val="0"/>
        <w:spacing w:line="400" w:lineRule="exact"/>
        <w:ind w:firstLine="480" w:firstLineChars="200"/>
        <w:jc w:val="left"/>
        <w:rPr>
          <w:rFonts w:ascii="宋体" w:hAnsi="宋体"/>
          <w:b/>
          <w:bCs/>
          <w:sz w:val="24"/>
        </w:rPr>
      </w:pPr>
      <w:r>
        <w:rPr>
          <w:rFonts w:hint="eastAsia" w:ascii="宋体" w:hAnsi="宋体"/>
          <w:sz w:val="24"/>
        </w:rPr>
        <w:t>（1）</w:t>
      </w:r>
      <w:r>
        <w:rPr>
          <w:rFonts w:hint="eastAsia" w:ascii="宋体" w:hAnsi="宋体"/>
          <w:bCs/>
          <w:sz w:val="24"/>
        </w:rPr>
        <w:t>竞标函；</w:t>
      </w:r>
    </w:p>
    <w:p w14:paraId="764A4A32">
      <w:pPr>
        <w:snapToGrid w:val="0"/>
        <w:spacing w:line="400" w:lineRule="exact"/>
        <w:ind w:firstLine="480" w:firstLineChars="200"/>
        <w:jc w:val="left"/>
        <w:rPr>
          <w:rFonts w:ascii="宋体" w:hAnsi="宋体"/>
          <w:bCs/>
          <w:sz w:val="24"/>
        </w:rPr>
      </w:pPr>
      <w:r>
        <w:rPr>
          <w:rFonts w:hint="eastAsia" w:ascii="宋体" w:hAnsi="宋体"/>
          <w:bCs/>
          <w:sz w:val="24"/>
        </w:rPr>
        <w:t>（2）磋商报价一览表（首次报价）；</w:t>
      </w:r>
    </w:p>
    <w:p w14:paraId="3C4233DF">
      <w:pPr>
        <w:snapToGrid w:val="0"/>
        <w:spacing w:line="400" w:lineRule="exact"/>
        <w:ind w:firstLine="480" w:firstLineChars="200"/>
        <w:rPr>
          <w:rFonts w:ascii="宋体" w:hAnsi="宋体"/>
          <w:sz w:val="24"/>
        </w:rPr>
      </w:pPr>
      <w:r>
        <w:rPr>
          <w:rFonts w:hint="eastAsia" w:ascii="宋体" w:hAnsi="宋体"/>
          <w:sz w:val="24"/>
        </w:rPr>
        <w:t>（3）</w:t>
      </w:r>
      <w:r>
        <w:rPr>
          <w:rFonts w:hint="eastAsia" w:ascii="宋体" w:hAnsi="宋体" w:cs="宋体"/>
          <w:sz w:val="24"/>
        </w:rPr>
        <w:t>磋商代理服务费承诺函；</w:t>
      </w:r>
    </w:p>
    <w:p w14:paraId="59F7BDD3">
      <w:pPr>
        <w:snapToGrid w:val="0"/>
        <w:spacing w:line="400" w:lineRule="exact"/>
        <w:ind w:firstLine="480" w:firstLineChars="200"/>
        <w:jc w:val="left"/>
        <w:rPr>
          <w:rFonts w:ascii="宋体" w:hAnsi="宋体"/>
          <w:sz w:val="24"/>
        </w:rPr>
      </w:pPr>
      <w:r>
        <w:rPr>
          <w:rFonts w:hint="eastAsia" w:ascii="宋体" w:hAnsi="宋体"/>
          <w:sz w:val="24"/>
        </w:rPr>
        <w:t>（4）供应商针对报价需要说明的其他文件和说明。</w:t>
      </w:r>
    </w:p>
    <w:p w14:paraId="79403765">
      <w:pPr>
        <w:snapToGrid w:val="0"/>
        <w:spacing w:line="400" w:lineRule="exact"/>
        <w:ind w:firstLine="482" w:firstLineChars="200"/>
        <w:jc w:val="left"/>
        <w:rPr>
          <w:rFonts w:ascii="宋体" w:hAnsi="宋体"/>
          <w:b/>
          <w:sz w:val="24"/>
        </w:rPr>
      </w:pPr>
      <w:r>
        <w:rPr>
          <w:rFonts w:hint="eastAsia" w:ascii="宋体" w:hAnsi="宋体"/>
          <w:b/>
          <w:sz w:val="24"/>
        </w:rPr>
        <w:t>▲注：1）上述内容本采购文件中有提供格式的，供应商须参照格式进行编制（格式中要求提供相关证明材料的还需后附相关证明材料），并按要求进行签章，否则视为未提供；</w:t>
      </w:r>
    </w:p>
    <w:p w14:paraId="45221911">
      <w:pPr>
        <w:snapToGrid w:val="0"/>
        <w:spacing w:line="400" w:lineRule="exact"/>
        <w:ind w:firstLine="482" w:firstLineChars="200"/>
        <w:jc w:val="left"/>
        <w:rPr>
          <w:rFonts w:ascii="宋体" w:hAnsi="宋体"/>
          <w:b/>
          <w:sz w:val="24"/>
        </w:rPr>
      </w:pPr>
      <w:r>
        <w:rPr>
          <w:rFonts w:hint="eastAsia" w:ascii="宋体" w:hAnsi="宋体"/>
          <w:b/>
          <w:sz w:val="24"/>
        </w:rPr>
        <w:t>2）采购文件未提供格式的，请各供应商自行拟定格式，并加盖单位公章并由法定代表人或其授权代表签署（签字或盖章），否则视为未提供；</w:t>
      </w:r>
    </w:p>
    <w:p w14:paraId="7308E9DF">
      <w:pPr>
        <w:snapToGrid w:val="0"/>
        <w:spacing w:line="400" w:lineRule="exact"/>
        <w:ind w:firstLine="482" w:firstLineChars="200"/>
        <w:jc w:val="left"/>
        <w:rPr>
          <w:rFonts w:ascii="宋体" w:hAnsi="宋体"/>
          <w:b/>
          <w:sz w:val="24"/>
        </w:rPr>
      </w:pPr>
      <w:r>
        <w:rPr>
          <w:rFonts w:hint="eastAsia" w:ascii="宋体" w:hAnsi="宋体"/>
          <w:b/>
          <w:sz w:val="24"/>
        </w:rPr>
        <w:t>3）可以提供复制件的相关证明材料必须加盖供应商公章，否则视为未提供（例如：各类资格资质证书、业绩材料等）；</w:t>
      </w:r>
    </w:p>
    <w:p w14:paraId="029A4269">
      <w:pPr>
        <w:snapToGrid w:val="0"/>
        <w:spacing w:line="400" w:lineRule="exact"/>
        <w:ind w:firstLine="480" w:firstLineChars="200"/>
        <w:jc w:val="left"/>
        <w:rPr>
          <w:rFonts w:ascii="宋体" w:hAnsi="宋体"/>
          <w:sz w:val="24"/>
          <w:szCs w:val="20"/>
        </w:rPr>
      </w:pPr>
      <w:r>
        <w:rPr>
          <w:rFonts w:hint="eastAsia" w:ascii="宋体" w:hAnsi="宋体"/>
          <w:sz w:val="24"/>
        </w:rPr>
        <w:t>▲①磋商响应文件以及磋商供应商与采购方就有关磋商事宜的所有来往函电，均应以中文汉语书写。除签名、盖章、专用名称等特殊情形外，以中文汉语以外的文字表述的磋商响应文件视同未提供。</w:t>
      </w:r>
    </w:p>
    <w:p w14:paraId="7FCDFF21">
      <w:pPr>
        <w:snapToGrid w:val="0"/>
        <w:spacing w:line="400" w:lineRule="exact"/>
        <w:ind w:firstLine="480" w:firstLineChars="200"/>
        <w:jc w:val="left"/>
        <w:rPr>
          <w:rFonts w:ascii="宋体" w:hAnsi="宋体"/>
          <w:sz w:val="24"/>
          <w:szCs w:val="20"/>
        </w:rPr>
      </w:pPr>
      <w:r>
        <w:rPr>
          <w:rFonts w:hint="eastAsia" w:ascii="宋体" w:hAnsi="宋体"/>
          <w:sz w:val="24"/>
        </w:rPr>
        <w:t>▲②磋商计量单位，竞争性磋商文件已有明确规定的，使用竞争性磋商文件规定的计量单位；竞争性磋商文件没有规定的，应采用中华人民共和国法定计量单位（货币单位：人民币元），否则视同未响应。</w:t>
      </w:r>
    </w:p>
    <w:p w14:paraId="0E0F8DAA">
      <w:pPr>
        <w:snapToGrid w:val="0"/>
        <w:spacing w:line="400" w:lineRule="exact"/>
        <w:rPr>
          <w:rFonts w:ascii="宋体" w:hAnsi="宋体"/>
          <w:sz w:val="24"/>
        </w:rPr>
      </w:pPr>
      <w:r>
        <w:rPr>
          <w:rFonts w:hint="eastAsia" w:ascii="宋体" w:hAnsi="宋体"/>
          <w:b/>
          <w:sz w:val="24"/>
        </w:rPr>
        <w:t>10</w:t>
      </w:r>
      <w:r>
        <w:rPr>
          <w:rFonts w:hint="eastAsia" w:ascii="宋体" w:hAnsi="宋体"/>
          <w:sz w:val="24"/>
        </w:rPr>
        <w:t>.磋商报价说明</w:t>
      </w:r>
    </w:p>
    <w:p w14:paraId="3A992690">
      <w:pPr>
        <w:snapToGrid w:val="0"/>
        <w:spacing w:line="400" w:lineRule="exact"/>
        <w:ind w:firstLine="482" w:firstLineChars="200"/>
        <w:rPr>
          <w:rFonts w:ascii="宋体" w:hAnsi="宋体" w:cs="宋体"/>
          <w:b/>
          <w:sz w:val="24"/>
        </w:rPr>
      </w:pPr>
      <w:r>
        <w:rPr>
          <w:rFonts w:hint="eastAsia" w:ascii="宋体" w:hAnsi="宋体" w:cs="宋体"/>
          <w:b/>
          <w:bCs/>
          <w:sz w:val="24"/>
        </w:rPr>
        <w:t>10.</w:t>
      </w:r>
      <w:r>
        <w:rPr>
          <w:rFonts w:hint="eastAsia" w:ascii="宋体" w:hAnsi="宋体" w:cs="宋体"/>
          <w:b/>
          <w:sz w:val="24"/>
        </w:rPr>
        <w:t>1本项目采购预算</w:t>
      </w:r>
      <w:r>
        <w:rPr>
          <w:rFonts w:hint="eastAsia" w:ascii="宋体" w:hAnsi="宋体"/>
          <w:b/>
          <w:bCs/>
          <w:color w:val="000000"/>
          <w:sz w:val="24"/>
        </w:rPr>
        <w:t>（最高限价）</w:t>
      </w:r>
      <w:r>
        <w:rPr>
          <w:rFonts w:hint="eastAsia" w:ascii="宋体" w:hAnsi="宋体" w:cs="宋体"/>
          <w:b/>
          <w:sz w:val="24"/>
        </w:rPr>
        <w:t>：</w:t>
      </w:r>
      <w:r>
        <w:rPr>
          <w:rFonts w:hint="eastAsia" w:ascii="宋体" w:hAnsi="宋体"/>
          <w:b/>
          <w:bCs/>
          <w:color w:val="000000"/>
          <w:sz w:val="24"/>
        </w:rPr>
        <w:t>首次报价和最终报价均不得超过采购预算（最高限价），否则作无效磋商处理；</w:t>
      </w:r>
    </w:p>
    <w:p w14:paraId="7287E1C3">
      <w:pPr>
        <w:snapToGrid w:val="0"/>
        <w:spacing w:line="400" w:lineRule="exact"/>
        <w:ind w:firstLine="480" w:firstLineChars="200"/>
        <w:jc w:val="left"/>
        <w:rPr>
          <w:rFonts w:ascii="宋体" w:hAnsi="宋体" w:cs="宋体"/>
          <w:sz w:val="24"/>
        </w:rPr>
      </w:pPr>
      <w:r>
        <w:rPr>
          <w:rFonts w:hint="eastAsia" w:ascii="宋体" w:hAnsi="宋体" w:cs="宋体"/>
          <w:sz w:val="24"/>
        </w:rPr>
        <w:t>10.2 磋商采购单位不接受任何选择性的方案；</w:t>
      </w:r>
    </w:p>
    <w:p w14:paraId="3049C74E">
      <w:pPr>
        <w:snapToGrid w:val="0"/>
        <w:spacing w:line="400" w:lineRule="exact"/>
        <w:ind w:firstLine="480" w:firstLineChars="200"/>
        <w:jc w:val="left"/>
        <w:rPr>
          <w:rFonts w:ascii="宋体" w:hAnsi="宋体" w:cs="宋体"/>
          <w:sz w:val="24"/>
        </w:rPr>
      </w:pPr>
      <w:r>
        <w:rPr>
          <w:rFonts w:hint="eastAsia" w:ascii="宋体" w:hAnsi="宋体" w:cs="宋体"/>
          <w:sz w:val="24"/>
        </w:rPr>
        <w:t>10.3 磋商报价指完成项目的各种费用及必要的保险费用和各项税金等所有费用的总和，应为履行合同的最终价格，其市场风险由供应商承担；</w:t>
      </w:r>
    </w:p>
    <w:p w14:paraId="11214E95">
      <w:pPr>
        <w:snapToGrid w:val="0"/>
        <w:spacing w:line="400" w:lineRule="exact"/>
        <w:ind w:firstLine="480" w:firstLineChars="200"/>
        <w:jc w:val="left"/>
        <w:rPr>
          <w:rFonts w:ascii="宋体" w:hAnsi="宋体" w:cs="宋体"/>
          <w:sz w:val="24"/>
        </w:rPr>
      </w:pPr>
      <w:r>
        <w:rPr>
          <w:rFonts w:hint="eastAsia" w:ascii="宋体" w:hAnsi="宋体" w:cs="宋体"/>
          <w:sz w:val="24"/>
        </w:rPr>
        <w:t>10.4 供应商要按磋商项目内容、数量及服务要求，就采购事项按格式要求规范填写，</w:t>
      </w:r>
    </w:p>
    <w:p w14:paraId="70E62F7B">
      <w:pPr>
        <w:snapToGrid w:val="0"/>
        <w:spacing w:line="400" w:lineRule="exact"/>
        <w:jc w:val="left"/>
        <w:rPr>
          <w:rFonts w:ascii="宋体" w:hAnsi="宋体" w:cs="宋体"/>
          <w:sz w:val="24"/>
        </w:rPr>
      </w:pPr>
      <w:r>
        <w:rPr>
          <w:rFonts w:hint="eastAsia" w:ascii="宋体" w:hAnsi="宋体" w:cs="宋体"/>
          <w:sz w:val="24"/>
        </w:rPr>
        <w:t>并由法定代表人或授权代理人签署，未经磋商采购单位书面同意，不得随意更改项目名称、数量、服务内容等，否则将被视为无效磋商；</w:t>
      </w:r>
    </w:p>
    <w:p w14:paraId="58CB2986">
      <w:pPr>
        <w:snapToGrid w:val="0"/>
        <w:spacing w:line="400" w:lineRule="exact"/>
        <w:ind w:firstLine="480" w:firstLineChars="200"/>
        <w:jc w:val="left"/>
        <w:rPr>
          <w:rFonts w:ascii="宋体" w:hAnsi="宋体" w:cs="宋体"/>
          <w:sz w:val="24"/>
        </w:rPr>
      </w:pPr>
      <w:r>
        <w:rPr>
          <w:rFonts w:hint="eastAsia" w:ascii="宋体" w:hAnsi="宋体" w:cs="宋体"/>
          <w:sz w:val="24"/>
        </w:rPr>
        <w:t>10.5 供应商如需用外汇购入的采购货物，须折合人民币计入总报价中（含税价），但应申明免税价格并注明成交后采购人应办理的有关手续。</w:t>
      </w:r>
    </w:p>
    <w:p w14:paraId="39CAC656">
      <w:pPr>
        <w:snapToGrid w:val="0"/>
        <w:spacing w:line="400" w:lineRule="exact"/>
        <w:ind w:firstLine="480" w:firstLineChars="200"/>
        <w:jc w:val="left"/>
        <w:rPr>
          <w:rFonts w:ascii="宋体" w:hAnsi="宋体"/>
          <w:b/>
          <w:sz w:val="24"/>
        </w:rPr>
      </w:pPr>
      <w:r>
        <w:rPr>
          <w:rFonts w:hint="eastAsia" w:ascii="宋体" w:hAnsi="宋体" w:cs="宋体"/>
          <w:sz w:val="24"/>
        </w:rPr>
        <w:t>10.6</w:t>
      </w:r>
      <w:r>
        <w:rPr>
          <w:rFonts w:hint="eastAsia" w:ascii="宋体" w:hAnsi="宋体" w:cs="宋体"/>
          <w:b/>
          <w:sz w:val="24"/>
        </w:rPr>
        <w:t>磋商报价分二轮进行，首次报价在响应文件中体现；最终报价由各供应商在规定时间内通过政采云平台在线完成；</w:t>
      </w:r>
      <w:r>
        <w:rPr>
          <w:rFonts w:hint="eastAsia" w:ascii="宋体" w:hAnsi="宋体"/>
          <w:b/>
          <w:sz w:val="24"/>
        </w:rPr>
        <w:t>若因系统原因无法在线磋商、报价时，可通过如下方式：代理机构通过电子邮箱（hzgsjzzx@163.com）向各供应商指定的电子邮箱发送最终报价的通知函，供应商在收到此函后</w:t>
      </w:r>
      <w:r>
        <w:rPr>
          <w:rFonts w:ascii="宋体" w:hAnsi="宋体"/>
          <w:b/>
          <w:sz w:val="24"/>
        </w:rPr>
        <w:t>30</w:t>
      </w:r>
      <w:r>
        <w:rPr>
          <w:rFonts w:hint="eastAsia" w:ascii="宋体" w:hAnsi="宋体"/>
          <w:b/>
          <w:sz w:val="24"/>
        </w:rPr>
        <w:t>分钟内通过指定的电子邮箱进行最后报价，最后报价应按照本磋商文件规定的格式并以邮件的形式提供，且由法定代表人或其授权代表签字确认并加盖公章，最后报价由代理机构统一提交至磋商小组，并宣读最后报价，采购人及监督人在最后报价表上签字确认。</w:t>
      </w:r>
    </w:p>
    <w:p w14:paraId="07221A12">
      <w:pPr>
        <w:snapToGrid w:val="0"/>
        <w:spacing w:line="400" w:lineRule="exact"/>
        <w:ind w:firstLine="482" w:firstLineChars="200"/>
        <w:jc w:val="left"/>
        <w:rPr>
          <w:rFonts w:ascii="宋体" w:hAnsi="宋体" w:cs="宋体"/>
          <w:b/>
          <w:sz w:val="24"/>
        </w:rPr>
      </w:pPr>
      <w:r>
        <w:rPr>
          <w:rFonts w:hint="eastAsia" w:ascii="宋体" w:hAnsi="宋体" w:cs="宋体"/>
          <w:b/>
          <w:sz w:val="24"/>
        </w:rPr>
        <w:t>10.7各供应商应事先做好充足准备 ，如未能在规定的时间内提供《最后报价文件》，作自动放弃处理。</w:t>
      </w:r>
    </w:p>
    <w:p w14:paraId="3F5D90E2">
      <w:pPr>
        <w:snapToGrid w:val="0"/>
        <w:spacing w:line="400" w:lineRule="exact"/>
        <w:ind w:firstLine="480" w:firstLineChars="200"/>
        <w:jc w:val="left"/>
        <w:rPr>
          <w:rFonts w:ascii="宋体" w:hAnsi="宋体" w:cs="宋体"/>
          <w:sz w:val="24"/>
        </w:rPr>
      </w:pPr>
      <w:r>
        <w:rPr>
          <w:rFonts w:hint="eastAsia" w:ascii="宋体" w:hAnsi="宋体" w:cs="宋体"/>
          <w:sz w:val="24"/>
        </w:rPr>
        <w:t>10.8 响应文件中的所有报价均以人民币（元）为单位；</w:t>
      </w:r>
    </w:p>
    <w:p w14:paraId="3D0A1DAB">
      <w:pPr>
        <w:snapToGrid w:val="0"/>
        <w:spacing w:line="400" w:lineRule="exact"/>
        <w:ind w:firstLine="480" w:firstLineChars="200"/>
        <w:jc w:val="left"/>
        <w:rPr>
          <w:rFonts w:ascii="宋体" w:hAnsi="宋体" w:cs="宋体"/>
          <w:sz w:val="24"/>
        </w:rPr>
      </w:pPr>
      <w:r>
        <w:rPr>
          <w:rFonts w:hint="eastAsia" w:ascii="宋体" w:hAnsi="宋体" w:cs="宋体"/>
          <w:sz w:val="24"/>
        </w:rPr>
        <w:t>10.9 磋商采购单位不接受备选方案。</w:t>
      </w:r>
    </w:p>
    <w:p w14:paraId="13200350">
      <w:pPr>
        <w:snapToGrid w:val="0"/>
        <w:spacing w:line="400" w:lineRule="exact"/>
        <w:ind w:firstLine="480" w:firstLineChars="200"/>
        <w:rPr>
          <w:rFonts w:ascii="宋体" w:hAnsi="宋体" w:cs="宋体"/>
          <w:color w:val="auto"/>
          <w:sz w:val="24"/>
        </w:rPr>
      </w:pPr>
      <w:r>
        <w:rPr>
          <w:rFonts w:hint="eastAsia" w:ascii="宋体" w:hAnsi="宋体" w:cs="宋体"/>
          <w:color w:val="auto"/>
          <w:sz w:val="24"/>
        </w:rPr>
        <w:t>10.10本</w:t>
      </w:r>
      <w:r>
        <w:rPr>
          <w:rFonts w:hint="eastAsia" w:ascii="宋体" w:hAnsi="宋体" w:cs="宋体"/>
          <w:color w:val="auto"/>
          <w:sz w:val="24"/>
          <w:lang w:val="en-US" w:eastAsia="zh-CN"/>
        </w:rPr>
        <w:t>项目</w:t>
      </w:r>
      <w:r>
        <w:rPr>
          <w:rFonts w:hint="eastAsia" w:ascii="宋体" w:hAnsi="宋体" w:cs="宋体"/>
          <w:color w:val="auto"/>
          <w:sz w:val="24"/>
        </w:rPr>
        <w:t>设有</w:t>
      </w:r>
      <w:r>
        <w:rPr>
          <w:rFonts w:hint="eastAsia" w:ascii="宋体" w:hAnsi="宋体" w:cs="宋体"/>
          <w:b/>
          <w:color w:val="auto"/>
          <w:sz w:val="24"/>
          <w:u w:val="single"/>
        </w:rPr>
        <w:t>最高限价为￥1710000元</w:t>
      </w:r>
      <w:r>
        <w:rPr>
          <w:rFonts w:hint="eastAsia" w:ascii="宋体" w:hAnsi="宋体" w:cs="宋体"/>
          <w:color w:val="auto"/>
          <w:sz w:val="24"/>
        </w:rPr>
        <w:t>，供应商的有效报价高于最高限价的，则该报价作为无效磋商，其余为有效磋商报价。</w:t>
      </w:r>
    </w:p>
    <w:p w14:paraId="1668BC09">
      <w:pPr>
        <w:snapToGrid w:val="0"/>
        <w:spacing w:line="400" w:lineRule="exact"/>
        <w:ind w:firstLine="482" w:firstLineChars="200"/>
        <w:jc w:val="left"/>
        <w:rPr>
          <w:rFonts w:ascii="Tahoma" w:hAnsi="Tahoma"/>
          <w:b/>
          <w:sz w:val="24"/>
        </w:rPr>
      </w:pPr>
      <w:r>
        <w:rPr>
          <w:rFonts w:hint="eastAsia" w:ascii="宋体" w:hAnsi="宋体" w:cs="宋体"/>
          <w:b/>
          <w:bCs/>
          <w:sz w:val="24"/>
          <w:szCs w:val="28"/>
        </w:rPr>
        <w:t>10.11</w:t>
      </w:r>
      <w:r>
        <w:rPr>
          <w:rFonts w:hint="eastAsia" w:ascii="宋体" w:hAnsi="宋体" w:cs="宋体"/>
          <w:b/>
          <w:sz w:val="24"/>
        </w:rPr>
        <w:t>成交公示结束后，成交供应商须提供与磋商文件确定的采购清单（如有）、最终报价金额明细表（如有），并经采购人确认签字后方可签订合同。（与最终报价金额一致的采购清单其各项综合单价金额不得高于首次报价</w:t>
      </w:r>
      <w:r>
        <w:rPr>
          <w:rFonts w:hint="eastAsia" w:ascii="Tahoma" w:hAnsi="Tahoma"/>
          <w:b/>
          <w:sz w:val="24"/>
        </w:rPr>
        <w:t>时提供的采购清单各项综合单价金额）</w:t>
      </w:r>
    </w:p>
    <w:p w14:paraId="08D3B166">
      <w:pPr>
        <w:snapToGrid w:val="0"/>
        <w:spacing w:line="400" w:lineRule="exact"/>
        <w:rPr>
          <w:rFonts w:ascii="宋体" w:hAnsi="宋体"/>
          <w:sz w:val="24"/>
        </w:rPr>
      </w:pPr>
      <w:bookmarkStart w:id="12" w:name="_Toc452995901"/>
      <w:r>
        <w:rPr>
          <w:rFonts w:hint="eastAsia" w:ascii="宋体" w:hAnsi="宋体"/>
          <w:b/>
          <w:sz w:val="24"/>
        </w:rPr>
        <w:t>11</w:t>
      </w:r>
      <w:r>
        <w:rPr>
          <w:rFonts w:hint="eastAsia" w:ascii="宋体" w:hAnsi="宋体"/>
          <w:sz w:val="24"/>
        </w:rPr>
        <w:t>.磋商有效期</w:t>
      </w:r>
    </w:p>
    <w:p w14:paraId="4E767FA0">
      <w:pPr>
        <w:tabs>
          <w:tab w:val="left" w:pos="1440"/>
          <w:tab w:val="left" w:pos="1620"/>
        </w:tabs>
        <w:snapToGrid w:val="0"/>
        <w:spacing w:line="400" w:lineRule="exact"/>
        <w:ind w:firstLine="480" w:firstLineChars="200"/>
        <w:rPr>
          <w:rFonts w:ascii="宋体" w:hAnsi="宋体"/>
          <w:bCs/>
          <w:sz w:val="24"/>
        </w:rPr>
      </w:pPr>
      <w:r>
        <w:rPr>
          <w:rFonts w:hint="eastAsia" w:ascii="宋体" w:hAnsi="宋体"/>
          <w:sz w:val="24"/>
        </w:rPr>
        <w:t>11.1</w:t>
      </w:r>
      <w:r>
        <w:rPr>
          <w:rFonts w:hint="eastAsia" w:ascii="宋体" w:hAnsi="宋体"/>
          <w:bCs/>
          <w:sz w:val="24"/>
        </w:rPr>
        <w:t>自磋商开始之日起60天内。有效期短于这个规定期限的响应文件，将被拒绝。</w:t>
      </w:r>
    </w:p>
    <w:p w14:paraId="0A39FEC0">
      <w:pPr>
        <w:tabs>
          <w:tab w:val="left" w:pos="1440"/>
          <w:tab w:val="left" w:pos="1620"/>
        </w:tabs>
        <w:snapToGrid w:val="0"/>
        <w:spacing w:line="400" w:lineRule="exact"/>
        <w:ind w:firstLine="480" w:firstLineChars="200"/>
      </w:pPr>
      <w:r>
        <w:rPr>
          <w:rFonts w:hint="eastAsia" w:ascii="宋体" w:hAnsi="宋体"/>
          <w:sz w:val="24"/>
        </w:rPr>
        <w:t>11.2</w:t>
      </w:r>
      <w:r>
        <w:rPr>
          <w:rFonts w:hint="eastAsia" w:ascii="宋体" w:hAnsi="宋体"/>
          <w:color w:val="000000"/>
          <w:sz w:val="24"/>
        </w:rPr>
        <w:t>在特殊情况下，采购代理机构在原定磋商有效期内，可以根据需要以书面形式向供应商提出延长磋商有效期的要求，供应商须以书面形式予以答复。同意延长磋商有效期的供应商既不能要求也不允许修改其响应文件。</w:t>
      </w:r>
    </w:p>
    <w:p w14:paraId="50DD9C50">
      <w:pPr>
        <w:snapToGrid w:val="0"/>
        <w:spacing w:line="400" w:lineRule="exact"/>
        <w:rPr>
          <w:rFonts w:ascii="宋体" w:hAnsi="宋体"/>
          <w:sz w:val="24"/>
        </w:rPr>
      </w:pPr>
      <w:r>
        <w:rPr>
          <w:rFonts w:hint="eastAsia" w:ascii="宋体" w:hAnsi="宋体"/>
          <w:b/>
          <w:sz w:val="24"/>
        </w:rPr>
        <w:t>12.</w:t>
      </w:r>
      <w:r>
        <w:rPr>
          <w:rFonts w:hint="eastAsia" w:ascii="宋体" w:hAnsi="宋体"/>
          <w:sz w:val="24"/>
        </w:rPr>
        <w:t>响应文件份数和签署</w:t>
      </w:r>
      <w:bookmarkStart w:id="13" w:name="_Toc452995898"/>
      <w:r>
        <w:rPr>
          <w:rFonts w:hint="eastAsia" w:ascii="宋体" w:hAnsi="宋体"/>
          <w:sz w:val="24"/>
        </w:rPr>
        <w:t>：</w:t>
      </w:r>
    </w:p>
    <w:p w14:paraId="3AAAD972">
      <w:pPr>
        <w:snapToGrid w:val="0"/>
        <w:spacing w:line="400" w:lineRule="exact"/>
        <w:ind w:firstLine="544" w:firstLineChars="227"/>
        <w:rPr>
          <w:rFonts w:ascii="宋体" w:hAnsi="宋体"/>
          <w:sz w:val="24"/>
        </w:rPr>
      </w:pPr>
      <w:r>
        <w:rPr>
          <w:rFonts w:hint="eastAsia" w:ascii="宋体" w:hAnsi="宋体"/>
          <w:sz w:val="24"/>
        </w:rPr>
        <w:t>12.1电子响应文件：</w:t>
      </w:r>
    </w:p>
    <w:p w14:paraId="03199EFF">
      <w:pPr>
        <w:snapToGrid w:val="0"/>
        <w:spacing w:line="400" w:lineRule="exact"/>
        <w:ind w:firstLine="544" w:firstLineChars="227"/>
        <w:rPr>
          <w:rFonts w:ascii="宋体" w:hAnsi="宋体"/>
          <w:sz w:val="24"/>
        </w:rPr>
      </w:pPr>
      <w:r>
        <w:rPr>
          <w:rFonts w:hint="eastAsia" w:ascii="宋体" w:hAnsi="宋体"/>
          <w:sz w:val="24"/>
        </w:rPr>
        <w:t>供应商应根据“政采云供应商项目采购-电子招投标操作指南”及本磋商文件规定的格式和顺序编制电子响应文件并进行关联定位，若因响应文件内容不完整、编排混乱导致磋商文件被误读、漏读或者查找不到相关内容的，是供应商的责任。凡是参加两个或者以上标项磋商的，响应文件必须按标项分别制作。</w:t>
      </w:r>
    </w:p>
    <w:p w14:paraId="5D549A02">
      <w:pPr>
        <w:snapToGrid w:val="0"/>
        <w:spacing w:line="400" w:lineRule="exact"/>
        <w:ind w:firstLine="544" w:firstLineChars="227"/>
        <w:rPr>
          <w:rFonts w:ascii="宋体" w:hAnsi="宋体"/>
          <w:sz w:val="24"/>
        </w:rPr>
      </w:pPr>
      <w:r>
        <w:rPr>
          <w:rFonts w:hint="eastAsia" w:ascii="宋体" w:hAnsi="宋体"/>
          <w:sz w:val="24"/>
        </w:rPr>
        <w:t>12.2.供应商如需提供数据电子备份响应文件（U盘）：</w:t>
      </w:r>
    </w:p>
    <w:p w14:paraId="7B67F6DE">
      <w:pPr>
        <w:snapToGrid w:val="0"/>
        <w:spacing w:line="400" w:lineRule="exact"/>
        <w:ind w:firstLine="544" w:firstLineChars="227"/>
        <w:rPr>
          <w:rFonts w:ascii="宋体" w:hAnsi="宋体"/>
          <w:sz w:val="24"/>
        </w:rPr>
      </w:pPr>
      <w:r>
        <w:rPr>
          <w:rFonts w:hint="eastAsia" w:ascii="宋体" w:hAnsi="宋体"/>
          <w:sz w:val="24"/>
        </w:rPr>
        <w:t>电子响应文件的备份文件以U盘形式存储。数据电子备份响应文件格式及内容须与政采云平台项目采购-电子交易操作指南中制作、加密并递交的电子响应文件格式及内容一致。数据电子备份响应文件（U盘）应包含《资格文件》、《技术、商务、资信及其他文件》和《报价文件》，供应商应将数据电子备份响应文件（U盘）形式单独密封、包装并在包装上标注磋商项目名称、供应商名称并加盖公章。因不按规定密封、包装的数据电子备份响应文件（U盘）而产生的对磋商供应商的不利后果由供应商自行承担。其中《资格文件》、《技术、商务、资信及其他文件》均不得体现报价部分内容。凡是参加两个或者以上标项磋商的，必须按标项分别单独密封、包装、单独提交。</w:t>
      </w:r>
    </w:p>
    <w:p w14:paraId="3E1D5D35">
      <w:pPr>
        <w:snapToGrid w:val="0"/>
        <w:spacing w:line="400" w:lineRule="exact"/>
        <w:ind w:firstLine="544" w:firstLineChars="227"/>
        <w:rPr>
          <w:rFonts w:ascii="宋体" w:hAnsi="宋体"/>
          <w:sz w:val="24"/>
        </w:rPr>
      </w:pPr>
      <w:r>
        <w:rPr>
          <w:rFonts w:hint="eastAsia" w:ascii="宋体" w:hAnsi="宋体"/>
          <w:sz w:val="24"/>
        </w:rPr>
        <w:t>12.3其他：</w:t>
      </w:r>
    </w:p>
    <w:p w14:paraId="160A9DC3">
      <w:pPr>
        <w:snapToGrid w:val="0"/>
        <w:spacing w:line="400" w:lineRule="exact"/>
        <w:ind w:firstLine="544" w:firstLineChars="227"/>
        <w:rPr>
          <w:rFonts w:ascii="宋体" w:hAnsi="宋体"/>
          <w:sz w:val="24"/>
        </w:rPr>
      </w:pPr>
      <w:r>
        <w:rPr>
          <w:rFonts w:hint="eastAsia" w:ascii="宋体" w:hAnsi="宋体"/>
          <w:sz w:val="24"/>
        </w:rPr>
        <w:t>12.3.1响应文件需按竞争性磋商文件要求的格式填写并签字盖章。</w:t>
      </w:r>
    </w:p>
    <w:p w14:paraId="7CA5754B">
      <w:pPr>
        <w:snapToGrid w:val="0"/>
        <w:spacing w:line="400" w:lineRule="exact"/>
        <w:ind w:firstLine="544" w:firstLineChars="227"/>
        <w:rPr>
          <w:rFonts w:ascii="宋体" w:hAnsi="宋体"/>
          <w:sz w:val="24"/>
        </w:rPr>
      </w:pPr>
      <w:r>
        <w:rPr>
          <w:rFonts w:hint="eastAsia" w:ascii="宋体" w:hAnsi="宋体"/>
          <w:sz w:val="24"/>
        </w:rPr>
        <w:t>12.3.2响应文件不应涂改或行间插字和增删, 如有修改，修改处须加盖供应商的公章或由法定代表人或其授权代理人签字或盖章。响应文件因字迹潦草或表达不清所引起的后果由供应商负责。</w:t>
      </w:r>
    </w:p>
    <w:p w14:paraId="635A9989">
      <w:pPr>
        <w:snapToGrid w:val="0"/>
        <w:spacing w:line="400" w:lineRule="exact"/>
        <w:ind w:firstLine="544" w:firstLineChars="227"/>
        <w:rPr>
          <w:rFonts w:ascii="宋体" w:hAnsi="宋体"/>
          <w:sz w:val="24"/>
        </w:rPr>
      </w:pPr>
      <w:r>
        <w:rPr>
          <w:rFonts w:hint="eastAsia" w:ascii="宋体" w:hAnsi="宋体"/>
          <w:sz w:val="24"/>
        </w:rPr>
        <w:t>12.4响应文件的签章</w:t>
      </w:r>
    </w:p>
    <w:p w14:paraId="6C0E14FE">
      <w:pPr>
        <w:snapToGrid w:val="0"/>
        <w:spacing w:line="400" w:lineRule="exact"/>
        <w:ind w:firstLine="544" w:firstLineChars="227"/>
        <w:rPr>
          <w:rFonts w:ascii="宋体" w:hAnsi="宋体"/>
          <w:sz w:val="24"/>
        </w:rPr>
      </w:pPr>
      <w:r>
        <w:rPr>
          <w:rFonts w:hint="eastAsia" w:ascii="宋体" w:hAnsi="宋体"/>
          <w:sz w:val="24"/>
        </w:rPr>
        <w:t>12.4.1 响应文件的签章见《前附表》；</w:t>
      </w:r>
    </w:p>
    <w:p w14:paraId="2EA66695">
      <w:pPr>
        <w:snapToGrid w:val="0"/>
        <w:spacing w:line="400" w:lineRule="exact"/>
        <w:ind w:firstLine="544" w:firstLineChars="227"/>
        <w:rPr>
          <w:rFonts w:ascii="宋体" w:hAnsi="宋体"/>
          <w:sz w:val="24"/>
        </w:rPr>
      </w:pPr>
      <w:r>
        <w:rPr>
          <w:rFonts w:hint="eastAsia" w:ascii="宋体" w:hAnsi="宋体"/>
          <w:sz w:val="24"/>
        </w:rPr>
        <w:t>12.4.2 响应文件应由供应商法定代表人或其授权代理人签字（或盖章），并加盖供应商公章。</w:t>
      </w:r>
    </w:p>
    <w:p w14:paraId="6FFAF429">
      <w:pPr>
        <w:snapToGrid w:val="0"/>
        <w:spacing w:line="400" w:lineRule="exact"/>
        <w:ind w:firstLine="544" w:firstLineChars="227"/>
        <w:rPr>
          <w:rFonts w:ascii="宋体" w:hAnsi="宋体"/>
          <w:sz w:val="24"/>
        </w:rPr>
      </w:pPr>
      <w:r>
        <w:rPr>
          <w:rFonts w:hint="eastAsia" w:ascii="宋体" w:hAnsi="宋体"/>
          <w:sz w:val="24"/>
        </w:rPr>
        <w:t>12.4.3 参与在线磋商时如遇平台技术问题详询400-881-7190。</w:t>
      </w:r>
    </w:p>
    <w:p w14:paraId="34FC3748">
      <w:pPr>
        <w:snapToGrid w:val="0"/>
        <w:spacing w:line="400" w:lineRule="exact"/>
        <w:ind w:firstLine="544" w:firstLineChars="227"/>
        <w:rPr>
          <w:rFonts w:ascii="宋体" w:hAnsi="宋体"/>
          <w:sz w:val="24"/>
        </w:rPr>
      </w:pPr>
      <w:r>
        <w:rPr>
          <w:rFonts w:hint="eastAsia" w:ascii="宋体" w:hAnsi="宋体"/>
          <w:sz w:val="24"/>
        </w:rPr>
        <w:t>12.5响应文件的份数：见《前附表》。</w:t>
      </w:r>
    </w:p>
    <w:p w14:paraId="67948EE7">
      <w:pPr>
        <w:pStyle w:val="5"/>
        <w:snapToGrid w:val="0"/>
        <w:spacing w:before="0" w:after="0" w:line="400" w:lineRule="exact"/>
        <w:jc w:val="center"/>
        <w:rPr>
          <w:rFonts w:ascii="宋体" w:hAnsi="宋体" w:eastAsia="宋体"/>
          <w:sz w:val="28"/>
          <w:szCs w:val="28"/>
        </w:rPr>
      </w:pPr>
      <w:bookmarkStart w:id="14" w:name="_Toc72487174"/>
      <w:r>
        <w:rPr>
          <w:rFonts w:hint="eastAsia" w:ascii="宋体" w:hAnsi="宋体" w:eastAsia="宋体"/>
          <w:kern w:val="44"/>
          <w:sz w:val="28"/>
          <w:szCs w:val="28"/>
        </w:rPr>
        <w:t>三、响应文件的上传、提交</w:t>
      </w:r>
      <w:bookmarkEnd w:id="13"/>
      <w:bookmarkEnd w:id="14"/>
    </w:p>
    <w:p w14:paraId="69573499">
      <w:pPr>
        <w:tabs>
          <w:tab w:val="left" w:pos="720"/>
        </w:tabs>
        <w:snapToGrid w:val="0"/>
        <w:spacing w:line="400" w:lineRule="exact"/>
        <w:ind w:firstLine="480" w:firstLineChars="200"/>
        <w:rPr>
          <w:rFonts w:ascii="宋体" w:hAnsi="宋体"/>
          <w:sz w:val="24"/>
        </w:rPr>
      </w:pPr>
      <w:r>
        <w:rPr>
          <w:rFonts w:hint="eastAsia" w:ascii="宋体" w:hAnsi="宋体"/>
          <w:sz w:val="24"/>
        </w:rPr>
        <w:t>13．响应文件”的上传、递交：见《前附表》。</w:t>
      </w:r>
    </w:p>
    <w:p w14:paraId="213532AD">
      <w:pPr>
        <w:tabs>
          <w:tab w:val="left" w:pos="720"/>
        </w:tabs>
        <w:snapToGrid w:val="0"/>
        <w:spacing w:line="400" w:lineRule="exact"/>
        <w:ind w:firstLine="480" w:firstLineChars="200"/>
        <w:rPr>
          <w:rFonts w:ascii="宋体" w:hAnsi="宋体"/>
          <w:sz w:val="24"/>
        </w:rPr>
      </w:pPr>
      <w:r>
        <w:rPr>
          <w:rFonts w:hint="eastAsia" w:ascii="宋体" w:hAnsi="宋体"/>
          <w:sz w:val="24"/>
        </w:rPr>
        <w:t>14.“电子加密响应文件”解密和异常情况处理：</w:t>
      </w:r>
    </w:p>
    <w:p w14:paraId="51B47D75">
      <w:pPr>
        <w:tabs>
          <w:tab w:val="left" w:pos="720"/>
        </w:tabs>
        <w:snapToGrid w:val="0"/>
        <w:spacing w:line="400" w:lineRule="exact"/>
        <w:ind w:firstLine="840" w:firstLineChars="350"/>
        <w:rPr>
          <w:rFonts w:ascii="宋体" w:hAnsi="宋体"/>
          <w:sz w:val="24"/>
        </w:rPr>
      </w:pPr>
      <w:r>
        <w:rPr>
          <w:rFonts w:hint="eastAsia" w:ascii="宋体" w:hAnsi="宋体"/>
          <w:sz w:val="24"/>
        </w:rPr>
        <w:t>“电子加密响应文件”解密：见《前附表》。</w:t>
      </w:r>
    </w:p>
    <w:p w14:paraId="01B336BC">
      <w:pPr>
        <w:tabs>
          <w:tab w:val="left" w:pos="720"/>
        </w:tabs>
        <w:snapToGrid w:val="0"/>
        <w:spacing w:line="400" w:lineRule="exact"/>
        <w:ind w:firstLine="480" w:firstLineChars="200"/>
        <w:rPr>
          <w:rFonts w:ascii="宋体" w:hAnsi="宋体"/>
          <w:sz w:val="24"/>
        </w:rPr>
      </w:pPr>
      <w:r>
        <w:rPr>
          <w:rFonts w:hint="eastAsia" w:ascii="宋体" w:hAnsi="宋体"/>
          <w:sz w:val="24"/>
        </w:rPr>
        <w:t>15.响应文件的补充、修改或撤回</w:t>
      </w:r>
    </w:p>
    <w:p w14:paraId="59D7406E">
      <w:pPr>
        <w:tabs>
          <w:tab w:val="left" w:pos="720"/>
        </w:tabs>
        <w:snapToGrid w:val="0"/>
        <w:spacing w:line="400" w:lineRule="exact"/>
        <w:ind w:firstLine="480" w:firstLineChars="200"/>
        <w:rPr>
          <w:rFonts w:ascii="宋体" w:hAnsi="宋体"/>
          <w:sz w:val="24"/>
        </w:rPr>
      </w:pPr>
      <w:r>
        <w:rPr>
          <w:rFonts w:hint="eastAsia" w:ascii="宋体" w:hAnsi="宋体"/>
          <w:sz w:val="24"/>
        </w:rPr>
        <w:t>15.1 供应商应当在磋商截止时间前完成响应文件的上传、递交，并可以补充、修改或者撤回响应文件。补充或者修改响应文件的，应当先行撤回原文件，补充、修改后重新上传、递交。磋商截止时间前未完成上传、递交的，视为撤回响应文件。磋商截止时间后递交的响应文件，“政采云平台”将予以拒收。</w:t>
      </w:r>
    </w:p>
    <w:p w14:paraId="03699582">
      <w:pPr>
        <w:tabs>
          <w:tab w:val="left" w:pos="720"/>
        </w:tabs>
        <w:snapToGrid w:val="0"/>
        <w:spacing w:line="400" w:lineRule="exact"/>
        <w:ind w:firstLine="480" w:firstLineChars="200"/>
        <w:rPr>
          <w:rFonts w:ascii="宋体" w:hAnsi="宋体"/>
          <w:sz w:val="24"/>
        </w:rPr>
      </w:pPr>
      <w:r>
        <w:rPr>
          <w:rFonts w:hint="eastAsia" w:ascii="宋体" w:hAnsi="宋体"/>
          <w:sz w:val="24"/>
        </w:rPr>
        <w:t>15.2 磋商截止时间后，供应商不得撤回、修改《响应文件》。</w:t>
      </w:r>
    </w:p>
    <w:p w14:paraId="38DA2885">
      <w:pPr>
        <w:tabs>
          <w:tab w:val="left" w:pos="720"/>
        </w:tabs>
        <w:snapToGrid w:val="0"/>
        <w:spacing w:line="400" w:lineRule="exact"/>
        <w:ind w:firstLine="480" w:firstLineChars="200"/>
        <w:rPr>
          <w:rFonts w:ascii="宋体" w:hAnsi="宋体"/>
          <w:sz w:val="24"/>
        </w:rPr>
      </w:pPr>
      <w:r>
        <w:rPr>
          <w:rFonts w:hint="eastAsia" w:ascii="宋体" w:hAnsi="宋体"/>
          <w:sz w:val="24"/>
        </w:rPr>
        <w:t>16、响应文件的备选方案</w:t>
      </w:r>
    </w:p>
    <w:p w14:paraId="40B02E31">
      <w:pPr>
        <w:tabs>
          <w:tab w:val="left" w:pos="720"/>
        </w:tabs>
        <w:snapToGrid w:val="0"/>
        <w:spacing w:line="400" w:lineRule="exact"/>
        <w:ind w:firstLine="480" w:firstLineChars="200"/>
        <w:rPr>
          <w:rFonts w:ascii="宋体" w:hAnsi="宋体"/>
          <w:sz w:val="24"/>
        </w:rPr>
      </w:pPr>
      <w:r>
        <w:rPr>
          <w:rFonts w:hint="eastAsia" w:ascii="宋体" w:hAnsi="宋体"/>
          <w:sz w:val="24"/>
        </w:rPr>
        <w:t>供应商不得递交任何的响应备选（替代）方案，否则其响应文件将作无效磋商处理。与“电子加密响应文件”同时生成的“备份响应文件”不是磋商备选方案。</w:t>
      </w:r>
    </w:p>
    <w:p w14:paraId="7434841B">
      <w:pPr>
        <w:tabs>
          <w:tab w:val="left" w:pos="720"/>
        </w:tabs>
        <w:snapToGrid w:val="0"/>
        <w:spacing w:line="400" w:lineRule="exact"/>
        <w:ind w:firstLine="480" w:firstLineChars="200"/>
        <w:rPr>
          <w:rFonts w:ascii="宋体" w:hAnsi="宋体"/>
          <w:sz w:val="24"/>
        </w:rPr>
      </w:pPr>
      <w:r>
        <w:rPr>
          <w:rFonts w:hint="eastAsia" w:ascii="宋体" w:hAnsi="宋体"/>
          <w:sz w:val="24"/>
        </w:rPr>
        <w:t>17.响应截止期</w:t>
      </w:r>
    </w:p>
    <w:p w14:paraId="0DF4B5AA">
      <w:pPr>
        <w:tabs>
          <w:tab w:val="left" w:pos="720"/>
        </w:tabs>
        <w:snapToGrid w:val="0"/>
        <w:spacing w:line="400" w:lineRule="exact"/>
        <w:ind w:firstLine="480" w:firstLineChars="200"/>
        <w:rPr>
          <w:rFonts w:ascii="宋体" w:hAnsi="宋体"/>
          <w:sz w:val="24"/>
        </w:rPr>
      </w:pPr>
      <w:r>
        <w:rPr>
          <w:rFonts w:hint="eastAsia" w:ascii="宋体" w:hAnsi="宋体"/>
          <w:sz w:val="24"/>
        </w:rPr>
        <w:t>17.1供应商应按前附表规定的时间、地点将响应文件文件上传按政采云平台项目采购-电子交易操作指南及本磋商文件要求制作、加密并递交，超过上传时间的视为放弃投标资格，作无效磋商处理；通过“政采云平台”上传递交的“电子加密响应文件”无法按时解密，供应商递交了备份响应文件的，以备份响应文件为依据，否则视为磋商响应文件撤回。</w:t>
      </w:r>
    </w:p>
    <w:p w14:paraId="33A8F5DE">
      <w:pPr>
        <w:snapToGrid w:val="0"/>
        <w:spacing w:line="400" w:lineRule="exact"/>
        <w:ind w:firstLine="480" w:firstLineChars="200"/>
        <w:rPr>
          <w:rFonts w:ascii="宋体" w:hAnsi="宋体"/>
          <w:sz w:val="24"/>
        </w:rPr>
      </w:pPr>
      <w:r>
        <w:rPr>
          <w:rFonts w:hint="eastAsia" w:ascii="宋体" w:hAnsi="宋体"/>
          <w:sz w:val="24"/>
        </w:rPr>
        <w:t>17.2供应商如需提交数据电子备份响应文件（U盘）的，应当在规定时间前</w:t>
      </w:r>
      <w:r>
        <w:rPr>
          <w:rFonts w:ascii="宋体" w:hAnsi="宋体"/>
          <w:sz w:val="24"/>
        </w:rPr>
        <w:t>采用信封等形式单独密封、包装</w:t>
      </w:r>
      <w:r>
        <w:rPr>
          <w:rFonts w:hint="eastAsia" w:ascii="宋体" w:hAnsi="宋体"/>
          <w:sz w:val="24"/>
        </w:rPr>
        <w:t>并在包装上标注磋商项目名称、供应商名称</w:t>
      </w:r>
      <w:r>
        <w:rPr>
          <w:rFonts w:ascii="宋体" w:hAnsi="宋体"/>
          <w:sz w:val="24"/>
        </w:rPr>
        <w:t>、项目编号及“开标时启封”字样</w:t>
      </w:r>
      <w:r>
        <w:rPr>
          <w:rFonts w:hint="eastAsia" w:ascii="宋体" w:hAnsi="宋体"/>
          <w:sz w:val="24"/>
        </w:rPr>
        <w:t>并加盖公章。</w:t>
      </w:r>
    </w:p>
    <w:p w14:paraId="4EB4E5DC">
      <w:pPr>
        <w:snapToGrid w:val="0"/>
        <w:spacing w:line="400" w:lineRule="exact"/>
        <w:ind w:firstLine="480" w:firstLineChars="200"/>
        <w:rPr>
          <w:rFonts w:ascii="宋体" w:hAnsi="宋体"/>
          <w:sz w:val="24"/>
        </w:rPr>
      </w:pPr>
      <w:r>
        <w:rPr>
          <w:rFonts w:hint="eastAsia" w:ascii="宋体" w:hAnsi="宋体"/>
          <w:sz w:val="24"/>
        </w:rPr>
        <w:t>17.2.1供应商如需提交数据电子备份响应文件（U盘）的，可采取下列两种方式递交：</w:t>
      </w:r>
    </w:p>
    <w:p w14:paraId="6E8CB193">
      <w:pPr>
        <w:snapToGrid w:val="0"/>
        <w:spacing w:line="400" w:lineRule="exact"/>
        <w:ind w:firstLine="480" w:firstLineChars="200"/>
        <w:rPr>
          <w:rFonts w:ascii="宋体" w:hAnsi="宋体"/>
          <w:sz w:val="24"/>
        </w:rPr>
      </w:pPr>
      <w:r>
        <w:rPr>
          <w:rFonts w:hint="eastAsia" w:ascii="宋体" w:hAnsi="宋体"/>
          <w:sz w:val="24"/>
        </w:rPr>
        <w:t>（1）如</w:t>
      </w:r>
      <w:r>
        <w:rPr>
          <w:rFonts w:ascii="宋体" w:hAnsi="宋体"/>
          <w:sz w:val="24"/>
        </w:rPr>
        <w:t>通过邮寄快递方式送达，邮寄地址为：</w:t>
      </w:r>
      <w:r>
        <w:rPr>
          <w:rFonts w:hint="eastAsia" w:ascii="宋体" w:hAnsi="宋体"/>
          <w:sz w:val="24"/>
        </w:rPr>
        <w:t>杭州广厦建筑咨询有限公司</w:t>
      </w:r>
      <w:r>
        <w:rPr>
          <w:rFonts w:ascii="宋体" w:hAnsi="宋体"/>
          <w:sz w:val="24"/>
        </w:rPr>
        <w:t>湖州分公司</w:t>
      </w:r>
      <w:r>
        <w:rPr>
          <w:rFonts w:hint="eastAsia" w:ascii="宋体" w:hAnsi="宋体"/>
          <w:sz w:val="24"/>
        </w:rPr>
        <w:t>（浙江省湖州市南浔区南浔镇年丰路浔南新村三期三幢二单元三楼）</w:t>
      </w:r>
      <w:r>
        <w:rPr>
          <w:rFonts w:ascii="宋体" w:hAnsi="宋体"/>
          <w:sz w:val="24"/>
        </w:rPr>
        <w:t>，联系人：沈先生，联系电话： 0572-</w:t>
      </w:r>
      <w:r>
        <w:rPr>
          <w:rFonts w:hint="eastAsia" w:ascii="宋体" w:hAnsi="宋体"/>
          <w:sz w:val="24"/>
        </w:rPr>
        <w:t>3065566</w:t>
      </w:r>
      <w:r>
        <w:rPr>
          <w:rFonts w:ascii="宋体" w:hAnsi="宋体"/>
          <w:sz w:val="24"/>
        </w:rPr>
        <w:t>。邮寄截止时间：</w:t>
      </w:r>
      <w:r>
        <w:rPr>
          <w:rFonts w:hint="eastAsia" w:ascii="宋体" w:hAnsi="宋体"/>
          <w:sz w:val="24"/>
        </w:rPr>
        <w:t>供应商</w:t>
      </w:r>
      <w:r>
        <w:rPr>
          <w:rFonts w:ascii="宋体" w:hAnsi="宋体"/>
          <w:sz w:val="24"/>
        </w:rPr>
        <w:t>应于</w:t>
      </w:r>
      <w:r>
        <w:rPr>
          <w:rFonts w:hint="eastAsia" w:ascii="宋体" w:hAnsi="宋体"/>
          <w:b/>
          <w:color w:val="FF0000"/>
          <w:sz w:val="24"/>
          <w:lang w:eastAsia="zh-CN"/>
        </w:rPr>
        <w:t>2025年</w:t>
      </w:r>
      <w:r>
        <w:rPr>
          <w:rFonts w:hint="eastAsia" w:ascii="宋体" w:hAnsi="宋体"/>
          <w:b/>
          <w:color w:val="FF0000"/>
          <w:sz w:val="24"/>
          <w:lang w:val="en-US" w:eastAsia="zh-CN"/>
        </w:rPr>
        <w:t>**</w:t>
      </w:r>
      <w:r>
        <w:rPr>
          <w:rFonts w:ascii="宋体" w:hAnsi="宋体"/>
          <w:b/>
          <w:color w:val="FF0000"/>
          <w:sz w:val="24"/>
        </w:rPr>
        <w:t>月</w:t>
      </w:r>
      <w:r>
        <w:rPr>
          <w:rFonts w:hint="eastAsia" w:ascii="宋体" w:hAnsi="宋体"/>
          <w:b/>
          <w:color w:val="FF0000"/>
          <w:sz w:val="24"/>
          <w:lang w:val="en-US" w:eastAsia="zh-CN"/>
        </w:rPr>
        <w:t>**</w:t>
      </w:r>
      <w:r>
        <w:rPr>
          <w:rFonts w:ascii="宋体" w:hAnsi="宋体"/>
          <w:b/>
          <w:color w:val="FF0000"/>
          <w:sz w:val="24"/>
        </w:rPr>
        <w:t>日</w:t>
      </w:r>
      <w:r>
        <w:rPr>
          <w:rFonts w:hint="eastAsia" w:ascii="宋体" w:hAnsi="宋体"/>
          <w:b/>
          <w:color w:val="FF0000"/>
          <w:sz w:val="24"/>
        </w:rPr>
        <w:t>16</w:t>
      </w:r>
      <w:r>
        <w:rPr>
          <w:rFonts w:ascii="宋体" w:hAnsi="宋体"/>
          <w:b/>
          <w:color w:val="FF0000"/>
          <w:sz w:val="24"/>
        </w:rPr>
        <w:t>:</w:t>
      </w:r>
      <w:r>
        <w:rPr>
          <w:rFonts w:hint="eastAsia" w:ascii="宋体" w:hAnsi="宋体"/>
          <w:b/>
          <w:color w:val="FF0000"/>
          <w:sz w:val="24"/>
        </w:rPr>
        <w:t>3</w:t>
      </w:r>
      <w:r>
        <w:rPr>
          <w:rFonts w:ascii="宋体" w:hAnsi="宋体"/>
          <w:b/>
          <w:color w:val="FF0000"/>
          <w:sz w:val="24"/>
        </w:rPr>
        <w:t>0</w:t>
      </w:r>
      <w:r>
        <w:rPr>
          <w:rFonts w:ascii="宋体" w:hAnsi="宋体"/>
          <w:color w:val="FF0000"/>
          <w:sz w:val="24"/>
        </w:rPr>
        <w:t>时</w:t>
      </w:r>
      <w:r>
        <w:rPr>
          <w:rFonts w:ascii="宋体" w:hAnsi="宋体"/>
          <w:sz w:val="24"/>
        </w:rPr>
        <w:t>前准时送达，逾期不予受理。截止磋商时间前，</w:t>
      </w:r>
      <w:r>
        <w:rPr>
          <w:rFonts w:hint="eastAsia" w:ascii="宋体" w:hAnsi="宋体"/>
          <w:sz w:val="24"/>
        </w:rPr>
        <w:t>采购</w:t>
      </w:r>
      <w:r>
        <w:rPr>
          <w:rFonts w:ascii="宋体" w:hAnsi="宋体"/>
          <w:sz w:val="24"/>
        </w:rPr>
        <w:t>人由二名人员（一名接收人、一名监督人员）统一负责接收数据电子备份响应文件（U盘）至专门的监控室，二人均在接收记录单上对数据电子备份响应文件（U盘）快递包裹的相关情况签字确认，与</w:t>
      </w:r>
      <w:r>
        <w:rPr>
          <w:rFonts w:hint="eastAsia" w:ascii="宋体" w:hAnsi="宋体"/>
          <w:sz w:val="24"/>
        </w:rPr>
        <w:t>磋商</w:t>
      </w:r>
      <w:r>
        <w:rPr>
          <w:rFonts w:ascii="宋体" w:hAnsi="宋体"/>
          <w:sz w:val="24"/>
        </w:rPr>
        <w:t>资料一并归档。</w:t>
      </w:r>
    </w:p>
    <w:p w14:paraId="1849B843">
      <w:pPr>
        <w:snapToGrid w:val="0"/>
        <w:spacing w:line="400" w:lineRule="exact"/>
        <w:ind w:firstLine="480" w:firstLineChars="200"/>
        <w:rPr>
          <w:rFonts w:ascii="宋体" w:hAnsi="宋体"/>
          <w:sz w:val="24"/>
        </w:rPr>
      </w:pPr>
      <w:r>
        <w:rPr>
          <w:rFonts w:hint="eastAsia" w:ascii="宋体" w:hAnsi="宋体"/>
          <w:sz w:val="24"/>
        </w:rPr>
        <w:t>（2）</w:t>
      </w:r>
      <w:r>
        <w:rPr>
          <w:rFonts w:ascii="宋体" w:hAnsi="宋体"/>
          <w:sz w:val="24"/>
        </w:rPr>
        <w:t>如现场提交备份响应文件（</w:t>
      </w:r>
      <w:r>
        <w:rPr>
          <w:rFonts w:hint="eastAsia" w:ascii="宋体" w:hAnsi="宋体"/>
          <w:sz w:val="24"/>
        </w:rPr>
        <w:t>U盘</w:t>
      </w:r>
      <w:r>
        <w:rPr>
          <w:rFonts w:ascii="宋体" w:hAnsi="宋体"/>
          <w:sz w:val="24"/>
        </w:rPr>
        <w:t>）的，</w:t>
      </w:r>
      <w:r>
        <w:rPr>
          <w:rFonts w:hint="eastAsia" w:ascii="宋体" w:hAnsi="宋体"/>
          <w:sz w:val="24"/>
        </w:rPr>
        <w:t>应在响应截止时间前于磋商现场以密封、包装的形式递交</w:t>
      </w:r>
      <w:r>
        <w:rPr>
          <w:rFonts w:ascii="宋体" w:hAnsi="宋体"/>
          <w:sz w:val="24"/>
        </w:rPr>
        <w:t>，逾期不予受理。</w:t>
      </w:r>
    </w:p>
    <w:p w14:paraId="34E7631C">
      <w:pPr>
        <w:snapToGrid w:val="0"/>
        <w:spacing w:line="400" w:lineRule="exact"/>
        <w:ind w:firstLine="480" w:firstLineChars="200"/>
        <w:rPr>
          <w:rFonts w:ascii="宋体" w:hAnsi="宋体"/>
          <w:sz w:val="24"/>
        </w:rPr>
      </w:pPr>
      <w:r>
        <w:rPr>
          <w:rFonts w:hint="eastAsia" w:ascii="宋体" w:hAnsi="宋体"/>
          <w:sz w:val="24"/>
        </w:rPr>
        <w:t>17.3因网络或其他非供应商问题造成电子响应文件未成功解密，且供应商提供了数据电子备份响应文件（U盘）的，以数据电子备份响应文件（U盘）作为评审依据，否则视为电子响应文件撤回，作无效标处理。电子响应文件已成功解密的，数据电子备份响应文件（U盘）自动失效，不予启封。</w:t>
      </w:r>
    </w:p>
    <w:p w14:paraId="7EDD7032">
      <w:pPr>
        <w:snapToGrid w:val="0"/>
        <w:spacing w:line="400" w:lineRule="exact"/>
        <w:ind w:firstLine="482" w:firstLineChars="200"/>
        <w:rPr>
          <w:rFonts w:ascii="宋体" w:hAnsi="宋体"/>
          <w:b/>
          <w:sz w:val="24"/>
        </w:rPr>
      </w:pPr>
      <w:r>
        <w:rPr>
          <w:rFonts w:hint="eastAsia" w:ascii="宋体" w:hAnsi="宋体"/>
          <w:b/>
          <w:sz w:val="24"/>
        </w:rPr>
        <w:t>17.4整个磋商过程中若因供应商问题造成电子响应文件无法正常解密的，均认定为未提交电子响应文件，作无效磋商处理。若因网络或者其他非供应商问题造成电子响应文件无法正常解密的，启用数据电子备份响应文件（U盘），因供应商自身原因造成数据电子备份响应文件（U盘）无法打开的，作无效磋商处理。若正常解密成功，则数据电子备份响应文件（U盘）不予开启。在下一顺位的响应文件启用时，前一顺位的响应文件自动失效；</w:t>
      </w:r>
    </w:p>
    <w:p w14:paraId="55B28280">
      <w:pPr>
        <w:tabs>
          <w:tab w:val="left" w:pos="720"/>
        </w:tabs>
        <w:snapToGrid w:val="0"/>
        <w:spacing w:line="400" w:lineRule="exact"/>
        <w:ind w:firstLine="480" w:firstLineChars="200"/>
        <w:rPr>
          <w:rFonts w:ascii="宋体" w:hAnsi="宋体"/>
          <w:sz w:val="24"/>
        </w:rPr>
      </w:pPr>
      <w:r>
        <w:rPr>
          <w:rFonts w:hint="eastAsia" w:ascii="宋体" w:hAnsi="宋体"/>
          <w:sz w:val="24"/>
        </w:rPr>
        <w:t>17.5采购人可以按本须知规定以补充通知的方式，酌情延长递交响应文件的截止日期。在上述情况下，采购人与供应商以前在磋商截止期方面的全部权利、责任和义务，将适用于延长至新的投标截止期。</w:t>
      </w:r>
    </w:p>
    <w:p w14:paraId="2CF95F78">
      <w:pPr>
        <w:pStyle w:val="5"/>
        <w:snapToGrid w:val="0"/>
        <w:spacing w:before="0" w:after="0" w:line="400" w:lineRule="exact"/>
        <w:jc w:val="center"/>
        <w:rPr>
          <w:rFonts w:ascii="宋体" w:hAnsi="宋体" w:eastAsia="宋体"/>
          <w:sz w:val="28"/>
          <w:szCs w:val="28"/>
        </w:rPr>
      </w:pPr>
      <w:bookmarkStart w:id="15" w:name="_Toc72487175"/>
      <w:bookmarkStart w:id="16" w:name="_Toc452995899"/>
      <w:r>
        <w:rPr>
          <w:rFonts w:hint="eastAsia" w:ascii="宋体" w:hAnsi="宋体" w:eastAsia="宋体"/>
          <w:kern w:val="44"/>
          <w:sz w:val="28"/>
          <w:szCs w:val="28"/>
        </w:rPr>
        <w:t>四、</w:t>
      </w:r>
      <w:r>
        <w:rPr>
          <w:rFonts w:hint="eastAsia" w:ascii="宋体" w:hAnsi="宋体" w:eastAsia="宋体"/>
          <w:sz w:val="28"/>
          <w:szCs w:val="28"/>
        </w:rPr>
        <w:t>磋商</w:t>
      </w:r>
      <w:r>
        <w:rPr>
          <w:rFonts w:hint="eastAsia" w:ascii="宋体" w:hAnsi="宋体" w:eastAsia="宋体"/>
          <w:spacing w:val="14"/>
          <w:sz w:val="28"/>
          <w:szCs w:val="28"/>
        </w:rPr>
        <w:t>规则、</w:t>
      </w:r>
      <w:r>
        <w:rPr>
          <w:rFonts w:hint="eastAsia" w:ascii="宋体" w:hAnsi="宋体" w:eastAsia="宋体"/>
          <w:sz w:val="28"/>
          <w:szCs w:val="28"/>
        </w:rPr>
        <w:t>程序</w:t>
      </w:r>
      <w:bookmarkEnd w:id="15"/>
      <w:bookmarkEnd w:id="16"/>
    </w:p>
    <w:p w14:paraId="72C7B1F3">
      <w:pPr>
        <w:snapToGrid w:val="0"/>
        <w:spacing w:line="400" w:lineRule="exact"/>
        <w:rPr>
          <w:rFonts w:ascii="宋体" w:hAnsi="宋体"/>
          <w:sz w:val="24"/>
        </w:rPr>
      </w:pPr>
      <w:r>
        <w:rPr>
          <w:rFonts w:hint="eastAsia" w:ascii="宋体" w:hAnsi="宋体"/>
          <w:b/>
          <w:sz w:val="24"/>
        </w:rPr>
        <w:t>18.</w:t>
      </w:r>
      <w:r>
        <w:rPr>
          <w:rFonts w:hint="eastAsia" w:ascii="宋体" w:hAnsi="宋体"/>
          <w:sz w:val="24"/>
        </w:rPr>
        <w:t>磋商规则</w:t>
      </w:r>
    </w:p>
    <w:p w14:paraId="5DBE633C">
      <w:pPr>
        <w:snapToGrid w:val="0"/>
        <w:spacing w:line="400" w:lineRule="exact"/>
        <w:ind w:firstLine="480" w:firstLineChars="200"/>
        <w:rPr>
          <w:rFonts w:ascii="宋体" w:hAnsi="宋体"/>
          <w:sz w:val="24"/>
        </w:rPr>
      </w:pPr>
      <w:r>
        <w:rPr>
          <w:rFonts w:hint="eastAsia" w:ascii="宋体" w:hAnsi="宋体"/>
          <w:sz w:val="24"/>
        </w:rPr>
        <w:t>18.1采购代理机构将于本须知前附表规定的时间和地点召开磋商会，所有供应商均应准时参加磋商会。如到现场参加磋商会的供应商的法定代表人或其授权代理人应出具其有效身份证明、授权委托书。供应商的法定代表人或其授权代理人未参加磋商会或迟到的，事后不得对采购相关人员、磋商过程和磋商结果提出异议；</w:t>
      </w:r>
    </w:p>
    <w:p w14:paraId="038B56F0">
      <w:pPr>
        <w:snapToGrid w:val="0"/>
        <w:spacing w:line="400" w:lineRule="exact"/>
        <w:ind w:firstLine="480" w:firstLineChars="200"/>
        <w:rPr>
          <w:rFonts w:ascii="宋体" w:hAnsi="宋体"/>
          <w:sz w:val="24"/>
        </w:rPr>
      </w:pPr>
      <w:r>
        <w:rPr>
          <w:rFonts w:hint="eastAsia" w:ascii="宋体" w:hAnsi="宋体"/>
          <w:sz w:val="24"/>
        </w:rPr>
        <w:t>18.2磋商会由磋商代理机构主持。</w:t>
      </w:r>
    </w:p>
    <w:p w14:paraId="25D3EFC0">
      <w:pPr>
        <w:snapToGrid w:val="0"/>
        <w:spacing w:line="400" w:lineRule="exact"/>
        <w:ind w:firstLine="480" w:firstLineChars="200"/>
        <w:rPr>
          <w:rFonts w:ascii="宋体" w:hAnsi="宋体"/>
          <w:sz w:val="24"/>
        </w:rPr>
      </w:pPr>
      <w:r>
        <w:rPr>
          <w:rFonts w:hint="eastAsia" w:ascii="宋体" w:hAnsi="宋体"/>
          <w:sz w:val="24"/>
        </w:rPr>
        <w:t>18.3对供应商的磋商文件出现下列情况之一的，按照无效磋商处理：</w:t>
      </w:r>
    </w:p>
    <w:p w14:paraId="622796B5">
      <w:pPr>
        <w:snapToGrid w:val="0"/>
        <w:spacing w:line="400" w:lineRule="exact"/>
        <w:ind w:firstLine="482" w:firstLineChars="200"/>
        <w:rPr>
          <w:rFonts w:ascii="宋体" w:hAnsi="宋体"/>
          <w:b/>
          <w:sz w:val="24"/>
        </w:rPr>
      </w:pPr>
      <w:r>
        <w:rPr>
          <w:rFonts w:hint="eastAsia" w:ascii="宋体" w:hAnsi="宋体"/>
          <w:b/>
          <w:sz w:val="24"/>
        </w:rPr>
        <w:t>18.3.1响应文件逾期上传、递交或未按规定的上传、递交的；</w:t>
      </w:r>
    </w:p>
    <w:p w14:paraId="766DE05C">
      <w:pPr>
        <w:snapToGrid w:val="0"/>
        <w:spacing w:line="400" w:lineRule="exact"/>
        <w:ind w:firstLine="482" w:firstLineChars="200"/>
        <w:rPr>
          <w:rFonts w:ascii="宋体" w:hAnsi="宋体"/>
          <w:b/>
          <w:sz w:val="24"/>
        </w:rPr>
      </w:pPr>
      <w:r>
        <w:rPr>
          <w:rFonts w:hint="eastAsia" w:ascii="宋体" w:hAnsi="宋体"/>
          <w:b/>
          <w:sz w:val="24"/>
        </w:rPr>
        <w:t>18.3.2未按照磋商文件规定的要求签署、盖章的；</w:t>
      </w:r>
    </w:p>
    <w:p w14:paraId="2B0225B8">
      <w:pPr>
        <w:snapToGrid w:val="0"/>
        <w:spacing w:line="400" w:lineRule="exact"/>
        <w:ind w:firstLine="482" w:firstLineChars="200"/>
        <w:rPr>
          <w:rFonts w:ascii="宋体" w:hAnsi="宋体"/>
          <w:b/>
          <w:sz w:val="24"/>
        </w:rPr>
      </w:pPr>
      <w:r>
        <w:rPr>
          <w:rFonts w:hint="eastAsia" w:ascii="宋体" w:hAnsi="宋体"/>
          <w:b/>
          <w:sz w:val="24"/>
        </w:rPr>
        <w:t>18.3.3不具备磋商文件中规定的资格条件要求的；</w:t>
      </w:r>
    </w:p>
    <w:p w14:paraId="43FCBC8F">
      <w:pPr>
        <w:snapToGrid w:val="0"/>
        <w:spacing w:line="400" w:lineRule="exact"/>
        <w:ind w:firstLine="482" w:firstLineChars="200"/>
        <w:rPr>
          <w:rFonts w:ascii="宋体" w:hAnsi="宋体"/>
          <w:b/>
          <w:sz w:val="24"/>
        </w:rPr>
      </w:pPr>
      <w:r>
        <w:rPr>
          <w:rFonts w:hint="eastAsia" w:ascii="宋体" w:hAnsi="宋体"/>
          <w:b/>
          <w:sz w:val="24"/>
        </w:rPr>
        <w:t>18.3.4供应商提交两份或两份以上内容不同的响应文件，或在一份响应文件中对同一磋商项目有两个或两个以上报价的；</w:t>
      </w:r>
    </w:p>
    <w:p w14:paraId="12E6F05D">
      <w:pPr>
        <w:snapToGrid w:val="0"/>
        <w:spacing w:line="400" w:lineRule="exact"/>
        <w:ind w:firstLine="482" w:firstLineChars="200"/>
        <w:rPr>
          <w:rFonts w:ascii="宋体" w:hAnsi="宋体"/>
          <w:b/>
          <w:snapToGrid w:val="0"/>
          <w:sz w:val="24"/>
        </w:rPr>
      </w:pPr>
      <w:r>
        <w:rPr>
          <w:rFonts w:hint="eastAsia" w:ascii="宋体" w:hAnsi="宋体"/>
          <w:b/>
          <w:sz w:val="24"/>
        </w:rPr>
        <w:t>18.3.5响应文件</w:t>
      </w:r>
      <w:r>
        <w:rPr>
          <w:rFonts w:hint="eastAsia" w:ascii="宋体" w:hAnsi="宋体"/>
          <w:b/>
          <w:snapToGrid w:val="0"/>
          <w:sz w:val="24"/>
        </w:rPr>
        <w:t>载明的采购项目完成期限不满足磋商文件规定的期限，采购人不能接受的；</w:t>
      </w:r>
    </w:p>
    <w:p w14:paraId="1629DF68">
      <w:pPr>
        <w:snapToGrid w:val="0"/>
        <w:spacing w:line="400" w:lineRule="exact"/>
        <w:ind w:firstLine="482" w:firstLineChars="200"/>
        <w:rPr>
          <w:rFonts w:ascii="宋体" w:hAnsi="宋体"/>
          <w:b/>
          <w:snapToGrid w:val="0"/>
          <w:sz w:val="24"/>
        </w:rPr>
      </w:pPr>
      <w:r>
        <w:rPr>
          <w:rFonts w:hint="eastAsia" w:ascii="宋体" w:hAnsi="宋体"/>
          <w:b/>
          <w:sz w:val="24"/>
        </w:rPr>
        <w:t>18.3.</w:t>
      </w:r>
      <w:r>
        <w:rPr>
          <w:rFonts w:hint="eastAsia" w:ascii="宋体" w:hAnsi="宋体"/>
          <w:b/>
          <w:snapToGrid w:val="0"/>
          <w:sz w:val="24"/>
        </w:rPr>
        <w:t>6</w:t>
      </w:r>
      <w:r>
        <w:rPr>
          <w:rFonts w:hint="eastAsia" w:ascii="宋体" w:hAnsi="宋体"/>
          <w:b/>
          <w:sz w:val="24"/>
        </w:rPr>
        <w:t>响应文件</w:t>
      </w:r>
      <w:r>
        <w:rPr>
          <w:rFonts w:hint="eastAsia" w:ascii="宋体" w:hAnsi="宋体"/>
          <w:b/>
          <w:snapToGrid w:val="0"/>
          <w:sz w:val="24"/>
        </w:rPr>
        <w:t>载明的采购项目磋商有效期、保修期少于磋商文件规定期限的；</w:t>
      </w:r>
    </w:p>
    <w:p w14:paraId="7AEB78A3">
      <w:pPr>
        <w:snapToGrid w:val="0"/>
        <w:spacing w:line="400" w:lineRule="exact"/>
        <w:ind w:firstLine="482" w:firstLineChars="200"/>
        <w:rPr>
          <w:rFonts w:ascii="宋体" w:hAnsi="宋体"/>
          <w:b/>
          <w:sz w:val="24"/>
        </w:rPr>
      </w:pPr>
      <w:r>
        <w:rPr>
          <w:rFonts w:hint="eastAsia" w:ascii="宋体" w:hAnsi="宋体"/>
          <w:b/>
          <w:sz w:val="24"/>
        </w:rPr>
        <w:t>18.3.7响应文件未响应磋商文件规定的付款方式的；</w:t>
      </w:r>
    </w:p>
    <w:p w14:paraId="7BDC19C6">
      <w:pPr>
        <w:snapToGrid w:val="0"/>
        <w:spacing w:line="400" w:lineRule="exact"/>
        <w:ind w:firstLine="482" w:firstLineChars="200"/>
        <w:rPr>
          <w:rFonts w:ascii="宋体" w:hAnsi="宋体"/>
          <w:b/>
          <w:snapToGrid w:val="0"/>
          <w:sz w:val="24"/>
        </w:rPr>
      </w:pPr>
      <w:r>
        <w:rPr>
          <w:rFonts w:hint="eastAsia" w:ascii="宋体" w:hAnsi="宋体"/>
          <w:b/>
          <w:sz w:val="24"/>
        </w:rPr>
        <w:t>18.3.8磋商货物（服务）的</w:t>
      </w:r>
      <w:r>
        <w:rPr>
          <w:rFonts w:hint="eastAsia" w:ascii="宋体" w:hAnsi="宋体"/>
          <w:b/>
          <w:snapToGrid w:val="0"/>
          <w:sz w:val="24"/>
        </w:rPr>
        <w:t>技术规范、技术标准明显不符合国家强制性要求的；</w:t>
      </w:r>
    </w:p>
    <w:p w14:paraId="6EE7B4B7">
      <w:pPr>
        <w:snapToGrid w:val="0"/>
        <w:spacing w:line="400" w:lineRule="exact"/>
        <w:ind w:firstLine="482" w:firstLineChars="200"/>
        <w:rPr>
          <w:rFonts w:ascii="宋体" w:hAnsi="宋体"/>
          <w:b/>
          <w:snapToGrid w:val="0"/>
          <w:sz w:val="24"/>
        </w:rPr>
      </w:pPr>
      <w:r>
        <w:rPr>
          <w:rFonts w:hint="eastAsia" w:ascii="宋体" w:hAnsi="宋体"/>
          <w:b/>
          <w:sz w:val="24"/>
        </w:rPr>
        <w:t>18.3.</w:t>
      </w:r>
      <w:r>
        <w:rPr>
          <w:rFonts w:hint="eastAsia" w:ascii="宋体" w:hAnsi="宋体"/>
          <w:b/>
          <w:snapToGrid w:val="0"/>
          <w:sz w:val="24"/>
        </w:rPr>
        <w:t>9磋商</w:t>
      </w:r>
      <w:r>
        <w:rPr>
          <w:rFonts w:hint="eastAsia" w:ascii="宋体" w:hAnsi="宋体"/>
          <w:b/>
          <w:sz w:val="24"/>
        </w:rPr>
        <w:t>货物（服务）</w:t>
      </w:r>
      <w:r>
        <w:rPr>
          <w:rFonts w:hint="eastAsia" w:ascii="宋体" w:hAnsi="宋体"/>
          <w:b/>
          <w:snapToGrid w:val="0"/>
          <w:sz w:val="24"/>
        </w:rPr>
        <w:t>载明的验收标准和方法等不符合国家规定及磋商文件要求的；</w:t>
      </w:r>
    </w:p>
    <w:p w14:paraId="7D1FB648">
      <w:pPr>
        <w:snapToGrid w:val="0"/>
        <w:spacing w:line="400" w:lineRule="exact"/>
        <w:ind w:firstLine="482" w:firstLineChars="200"/>
        <w:rPr>
          <w:rFonts w:ascii="宋体" w:hAnsi="宋体"/>
          <w:b/>
          <w:color w:val="FF0000"/>
          <w:sz w:val="24"/>
        </w:rPr>
      </w:pPr>
      <w:r>
        <w:rPr>
          <w:rFonts w:hint="eastAsia" w:ascii="宋体" w:hAnsi="宋体"/>
          <w:b/>
          <w:sz w:val="24"/>
        </w:rPr>
        <w:t>18.3.10</w:t>
      </w:r>
      <w:r>
        <w:rPr>
          <w:rFonts w:hint="eastAsia" w:ascii="宋体" w:hAnsi="宋体"/>
          <w:b/>
          <w:color w:val="000000"/>
          <w:sz w:val="24"/>
        </w:rPr>
        <w:t>响应文件字迹模糊辨认不清的（磋商小组一致认为难以确认）；</w:t>
      </w:r>
    </w:p>
    <w:p w14:paraId="07D2CB95">
      <w:pPr>
        <w:snapToGrid w:val="0"/>
        <w:spacing w:line="400" w:lineRule="exact"/>
        <w:ind w:firstLine="482" w:firstLineChars="200"/>
        <w:rPr>
          <w:rFonts w:ascii="宋体" w:hAnsi="宋体"/>
          <w:b/>
          <w:sz w:val="24"/>
        </w:rPr>
      </w:pPr>
      <w:r>
        <w:rPr>
          <w:rFonts w:hint="eastAsia" w:ascii="宋体" w:hAnsi="宋体"/>
          <w:b/>
          <w:color w:val="000000"/>
          <w:sz w:val="24"/>
        </w:rPr>
        <w:t>18.</w:t>
      </w:r>
      <w:r>
        <w:rPr>
          <w:rFonts w:hint="eastAsia" w:ascii="宋体" w:hAnsi="宋体"/>
          <w:b/>
          <w:sz w:val="24"/>
        </w:rPr>
        <w:t>3.11供应商的法定代表人或其授权代理人未能准时参加磋商会议的；</w:t>
      </w:r>
    </w:p>
    <w:p w14:paraId="1615BDD2">
      <w:pPr>
        <w:snapToGrid w:val="0"/>
        <w:spacing w:line="400" w:lineRule="exact"/>
        <w:ind w:firstLine="482" w:firstLineChars="200"/>
        <w:rPr>
          <w:rFonts w:ascii="宋体" w:hAnsi="宋体"/>
          <w:b/>
          <w:sz w:val="24"/>
        </w:rPr>
      </w:pPr>
      <w:r>
        <w:rPr>
          <w:rFonts w:hint="eastAsia" w:ascii="宋体" w:hAnsi="宋体"/>
          <w:b/>
          <w:sz w:val="24"/>
        </w:rPr>
        <w:t>18.3.12供应商未能在线参与磋商的；</w:t>
      </w:r>
    </w:p>
    <w:p w14:paraId="281F2DBC">
      <w:pPr>
        <w:snapToGrid w:val="0"/>
        <w:spacing w:line="400" w:lineRule="exact"/>
        <w:ind w:firstLine="482" w:firstLineChars="200"/>
        <w:rPr>
          <w:rFonts w:ascii="宋体" w:hAnsi="宋体"/>
          <w:b/>
          <w:kern w:val="0"/>
          <w:sz w:val="24"/>
        </w:rPr>
      </w:pPr>
      <w:r>
        <w:rPr>
          <w:rFonts w:hint="eastAsia" w:ascii="宋体" w:hAnsi="宋体"/>
          <w:b/>
          <w:sz w:val="24"/>
        </w:rPr>
        <w:t>18.3.</w:t>
      </w:r>
      <w:r>
        <w:rPr>
          <w:rFonts w:hint="eastAsia" w:ascii="宋体" w:hAnsi="宋体"/>
          <w:b/>
          <w:snapToGrid w:val="0"/>
          <w:sz w:val="24"/>
        </w:rPr>
        <w:t>13</w:t>
      </w:r>
      <w:r>
        <w:rPr>
          <w:rFonts w:hint="eastAsia" w:ascii="宋体" w:hAnsi="宋体"/>
          <w:b/>
          <w:kern w:val="0"/>
          <w:sz w:val="24"/>
        </w:rPr>
        <w:t>提供不真实资料的；</w:t>
      </w:r>
    </w:p>
    <w:p w14:paraId="35AEBECA">
      <w:pPr>
        <w:snapToGrid w:val="0"/>
        <w:spacing w:line="400" w:lineRule="exact"/>
        <w:ind w:firstLine="472" w:firstLineChars="196"/>
        <w:rPr>
          <w:rFonts w:ascii="宋体" w:hAnsi="宋体"/>
          <w:b/>
          <w:snapToGrid w:val="0"/>
          <w:sz w:val="24"/>
        </w:rPr>
      </w:pPr>
      <w:r>
        <w:rPr>
          <w:rFonts w:hint="eastAsia" w:ascii="宋体" w:hAnsi="宋体"/>
          <w:b/>
          <w:sz w:val="24"/>
        </w:rPr>
        <w:t>18.3.</w:t>
      </w:r>
      <w:r>
        <w:rPr>
          <w:rFonts w:hint="eastAsia" w:ascii="宋体" w:hAnsi="宋体"/>
          <w:b/>
          <w:snapToGrid w:val="0"/>
          <w:sz w:val="24"/>
        </w:rPr>
        <w:t>14</w:t>
      </w:r>
      <w:r>
        <w:rPr>
          <w:rFonts w:hint="eastAsia" w:ascii="宋体" w:hAnsi="宋体"/>
          <w:b/>
          <w:sz w:val="24"/>
        </w:rPr>
        <w:t>磋商服务的</w:t>
      </w:r>
      <w:r>
        <w:rPr>
          <w:rFonts w:hint="eastAsia" w:ascii="宋体" w:hAnsi="宋体"/>
          <w:b/>
          <w:snapToGrid w:val="0"/>
          <w:sz w:val="24"/>
        </w:rPr>
        <w:t>服务指标、参数等存在实质性偏离</w:t>
      </w:r>
      <w:r>
        <w:rPr>
          <w:rFonts w:hint="eastAsia" w:ascii="宋体" w:hAnsi="宋体"/>
          <w:b/>
          <w:sz w:val="24"/>
        </w:rPr>
        <w:t>（磋商小组一致认定）</w:t>
      </w:r>
      <w:r>
        <w:rPr>
          <w:rFonts w:hint="eastAsia" w:ascii="宋体" w:hAnsi="宋体"/>
          <w:b/>
          <w:snapToGrid w:val="0"/>
          <w:sz w:val="24"/>
        </w:rPr>
        <w:t>的；</w:t>
      </w:r>
    </w:p>
    <w:p w14:paraId="3D325065">
      <w:pPr>
        <w:snapToGrid w:val="0"/>
        <w:spacing w:line="400" w:lineRule="exact"/>
        <w:ind w:firstLine="472" w:firstLineChars="196"/>
        <w:rPr>
          <w:rFonts w:ascii="宋体" w:hAnsi="宋体" w:cs="宋体"/>
          <w:b/>
          <w:snapToGrid w:val="0"/>
          <w:sz w:val="24"/>
        </w:rPr>
      </w:pPr>
      <w:r>
        <w:rPr>
          <w:rFonts w:hint="eastAsia" w:ascii="宋体" w:hAnsi="宋体" w:cs="宋体"/>
          <w:b/>
          <w:snapToGrid w:val="0"/>
          <w:sz w:val="24"/>
        </w:rPr>
        <w:t>18.3.15未响应磋商文件中“▲”实质性条款；</w:t>
      </w:r>
    </w:p>
    <w:p w14:paraId="4A317975">
      <w:pPr>
        <w:snapToGrid w:val="0"/>
        <w:spacing w:line="400" w:lineRule="exact"/>
        <w:ind w:firstLine="472" w:firstLineChars="196"/>
        <w:rPr>
          <w:rFonts w:ascii="宋体" w:hAnsi="宋体" w:cs="宋体"/>
          <w:b/>
          <w:snapToGrid w:val="0"/>
          <w:sz w:val="24"/>
        </w:rPr>
      </w:pPr>
      <w:r>
        <w:rPr>
          <w:rFonts w:hint="eastAsia" w:ascii="宋体" w:hAnsi="宋体" w:cs="宋体"/>
          <w:b/>
          <w:snapToGrid w:val="0"/>
          <w:sz w:val="24"/>
        </w:rPr>
        <w:t>18.3.16最后报价超过最高限价或采购预算的；</w:t>
      </w:r>
    </w:p>
    <w:p w14:paraId="2244816A">
      <w:pPr>
        <w:snapToGrid w:val="0"/>
        <w:spacing w:line="400" w:lineRule="exact"/>
        <w:ind w:firstLine="472" w:firstLineChars="196"/>
        <w:rPr>
          <w:rFonts w:ascii="宋体" w:hAnsi="宋体" w:cs="宋体"/>
          <w:b/>
          <w:snapToGrid w:val="0"/>
          <w:sz w:val="24"/>
        </w:rPr>
      </w:pPr>
      <w:r>
        <w:rPr>
          <w:rFonts w:hint="eastAsia" w:ascii="宋体" w:hAnsi="宋体" w:cs="宋体"/>
          <w:b/>
          <w:snapToGrid w:val="0"/>
          <w:sz w:val="24"/>
        </w:rPr>
        <w:t>18.3.17未改变磋商文件磋商需求的情况下，二次报价高于首次报价或最后报价高于二次报价的；</w:t>
      </w:r>
    </w:p>
    <w:p w14:paraId="6B8E1380">
      <w:pPr>
        <w:snapToGrid w:val="0"/>
        <w:spacing w:line="400" w:lineRule="exact"/>
        <w:ind w:firstLine="472" w:firstLineChars="196"/>
        <w:rPr>
          <w:rFonts w:ascii="宋体" w:hAnsi="宋体" w:cs="宋体"/>
          <w:b/>
          <w:snapToGrid w:val="0"/>
          <w:sz w:val="24"/>
        </w:rPr>
      </w:pPr>
      <w:r>
        <w:rPr>
          <w:rFonts w:hint="eastAsia" w:ascii="宋体" w:hAnsi="宋体" w:cs="宋体"/>
          <w:b/>
          <w:snapToGrid w:val="0"/>
          <w:sz w:val="24"/>
        </w:rPr>
        <w:t>18.3.18未提供信用承诺书的；</w:t>
      </w:r>
    </w:p>
    <w:p w14:paraId="01E338AF">
      <w:pPr>
        <w:pStyle w:val="17"/>
        <w:snapToGrid w:val="0"/>
        <w:spacing w:line="420" w:lineRule="exact"/>
        <w:ind w:firstLine="482"/>
        <w:rPr>
          <w:rFonts w:ascii="宋体" w:eastAsia="宋体" w:cs="宋体"/>
          <w:b/>
          <w:snapToGrid w:val="0"/>
          <w:sz w:val="24"/>
        </w:rPr>
      </w:pPr>
      <w:r>
        <w:rPr>
          <w:rFonts w:hint="eastAsia" w:ascii="宋体" w:eastAsia="宋体" w:cs="宋体"/>
          <w:b/>
          <w:snapToGrid w:val="0"/>
          <w:sz w:val="24"/>
        </w:rPr>
        <w:t>18.3.19供应商提供的《中小企业声明函》未采用本采购文件附件的模板；</w:t>
      </w:r>
    </w:p>
    <w:p w14:paraId="78A21858">
      <w:pPr>
        <w:pStyle w:val="17"/>
        <w:snapToGrid w:val="0"/>
        <w:spacing w:line="420" w:lineRule="exact"/>
        <w:ind w:firstLine="482"/>
        <w:rPr>
          <w:rFonts w:ascii="宋体" w:eastAsia="宋体" w:cs="宋体"/>
          <w:b/>
          <w:snapToGrid w:val="0"/>
          <w:sz w:val="24"/>
        </w:rPr>
      </w:pPr>
      <w:r>
        <w:rPr>
          <w:rFonts w:hint="eastAsia" w:ascii="宋体" w:eastAsia="宋体" w:cs="宋体"/>
          <w:b/>
          <w:snapToGrid w:val="0"/>
          <w:sz w:val="24"/>
        </w:rPr>
        <w:t>18.3.20供应商提供的《中小企业声明函》未填写完整的；</w:t>
      </w:r>
    </w:p>
    <w:p w14:paraId="24A914A8">
      <w:pPr>
        <w:pStyle w:val="17"/>
        <w:snapToGrid w:val="0"/>
        <w:spacing w:line="420" w:lineRule="exact"/>
        <w:ind w:firstLine="482"/>
        <w:rPr>
          <w:rFonts w:ascii="宋体" w:eastAsia="宋体" w:cs="宋体"/>
          <w:b/>
          <w:snapToGrid w:val="0"/>
          <w:sz w:val="24"/>
        </w:rPr>
      </w:pPr>
      <w:r>
        <w:rPr>
          <w:rFonts w:hint="eastAsia" w:ascii="宋体" w:eastAsia="宋体" w:cs="宋体"/>
          <w:b/>
          <w:snapToGrid w:val="0"/>
          <w:sz w:val="24"/>
        </w:rPr>
        <w:t>18.3.21供应商未如实填写《中小企业声明函》的；</w:t>
      </w:r>
    </w:p>
    <w:p w14:paraId="1C6F787A">
      <w:pPr>
        <w:pStyle w:val="17"/>
        <w:snapToGrid w:val="0"/>
        <w:spacing w:line="420" w:lineRule="exact"/>
        <w:ind w:firstLine="482"/>
        <w:rPr>
          <w:rFonts w:ascii="宋体" w:eastAsia="宋体" w:cs="宋体"/>
          <w:b/>
          <w:snapToGrid w:val="0"/>
          <w:sz w:val="24"/>
        </w:rPr>
      </w:pPr>
      <w:r>
        <w:rPr>
          <w:rFonts w:hint="eastAsia" w:ascii="宋体" w:eastAsia="宋体" w:cs="宋体"/>
          <w:b/>
          <w:snapToGrid w:val="0"/>
          <w:sz w:val="24"/>
        </w:rPr>
        <w:t>18.3.22法律、法规、规章及省级以上规范性文件等规定的其他情形。</w:t>
      </w:r>
    </w:p>
    <w:p w14:paraId="340488DE">
      <w:pPr>
        <w:snapToGrid w:val="0"/>
        <w:spacing w:line="400" w:lineRule="exact"/>
        <w:rPr>
          <w:rFonts w:ascii="宋体" w:hAnsi="宋体"/>
          <w:sz w:val="24"/>
        </w:rPr>
      </w:pPr>
      <w:r>
        <w:rPr>
          <w:rFonts w:hint="eastAsia" w:ascii="宋体" w:hAnsi="宋体"/>
          <w:b/>
          <w:sz w:val="24"/>
        </w:rPr>
        <w:t>19</w:t>
      </w:r>
      <w:r>
        <w:rPr>
          <w:rFonts w:hint="eastAsia" w:ascii="宋体" w:hAnsi="宋体"/>
          <w:sz w:val="24"/>
        </w:rPr>
        <w:t>.磋商小组与磋商原则</w:t>
      </w:r>
    </w:p>
    <w:p w14:paraId="74E2D485">
      <w:pPr>
        <w:snapToGrid w:val="0"/>
        <w:spacing w:line="400" w:lineRule="exact"/>
        <w:ind w:firstLine="480" w:firstLineChars="200"/>
        <w:rPr>
          <w:rFonts w:ascii="宋体" w:hAnsi="宋体"/>
          <w:sz w:val="24"/>
        </w:rPr>
      </w:pPr>
      <w:r>
        <w:rPr>
          <w:rFonts w:hint="eastAsia" w:ascii="宋体" w:hAnsi="宋体"/>
          <w:sz w:val="24"/>
        </w:rPr>
        <w:t>磋商小组由磋商采购单位依法组建，负责磋商活动。磋商小组遵循公平、公正、科学合理，竞争择优的原则。</w:t>
      </w:r>
    </w:p>
    <w:p w14:paraId="57DEBF83">
      <w:pPr>
        <w:snapToGrid w:val="0"/>
        <w:spacing w:line="400" w:lineRule="exact"/>
        <w:ind w:firstLine="482" w:firstLineChars="200"/>
        <w:rPr>
          <w:rFonts w:ascii="宋体" w:hAnsi="宋体"/>
          <w:b/>
          <w:sz w:val="24"/>
        </w:rPr>
      </w:pPr>
      <w:r>
        <w:rPr>
          <w:rFonts w:ascii="宋体" w:hAnsi="宋体"/>
          <w:b/>
          <w:sz w:val="24"/>
        </w:rPr>
        <w:t>本项目磋商小组由采购人按《浙江省财政厅关于印发浙江省政府采购评审专家管理办法的通知》第四章第十八条规定抽取评审专家。</w:t>
      </w:r>
    </w:p>
    <w:p w14:paraId="49CE8592">
      <w:pPr>
        <w:snapToGrid w:val="0"/>
        <w:spacing w:line="400" w:lineRule="exact"/>
        <w:rPr>
          <w:rFonts w:ascii="宋体" w:hAnsi="宋体"/>
          <w:sz w:val="24"/>
        </w:rPr>
      </w:pPr>
      <w:r>
        <w:rPr>
          <w:rFonts w:hint="eastAsia" w:ascii="宋体" w:hAnsi="宋体"/>
          <w:b/>
          <w:sz w:val="24"/>
        </w:rPr>
        <w:t>20</w:t>
      </w:r>
      <w:r>
        <w:rPr>
          <w:rFonts w:hint="eastAsia" w:ascii="宋体" w:hAnsi="宋体"/>
          <w:sz w:val="24"/>
        </w:rPr>
        <w:t>.磋商过程的保密</w:t>
      </w:r>
    </w:p>
    <w:p w14:paraId="53FA7888">
      <w:pPr>
        <w:snapToGrid w:val="0"/>
        <w:spacing w:line="400" w:lineRule="exact"/>
        <w:ind w:firstLine="480" w:firstLineChars="200"/>
        <w:rPr>
          <w:rFonts w:ascii="宋体" w:hAnsi="宋体"/>
          <w:sz w:val="24"/>
        </w:rPr>
      </w:pPr>
      <w:r>
        <w:rPr>
          <w:rFonts w:hint="eastAsia" w:ascii="宋体" w:hAnsi="宋体"/>
          <w:sz w:val="24"/>
        </w:rPr>
        <w:t>20.1磋商会开始后，直至授予成交供应商合同为止，凡属于对响应文件的审查、澄清、评判和比较的有关资料、成交候选供应商的推荐情况及与磋商有关的其他任何情况均依法严格保密。</w:t>
      </w:r>
    </w:p>
    <w:p w14:paraId="29576B23">
      <w:pPr>
        <w:snapToGrid w:val="0"/>
        <w:spacing w:line="400" w:lineRule="exact"/>
        <w:ind w:firstLine="480" w:firstLineChars="200"/>
        <w:rPr>
          <w:rFonts w:ascii="宋体" w:hAnsi="宋体"/>
          <w:sz w:val="24"/>
        </w:rPr>
      </w:pPr>
      <w:r>
        <w:rPr>
          <w:rFonts w:hint="eastAsia" w:ascii="宋体" w:hAnsi="宋体"/>
          <w:sz w:val="24"/>
        </w:rPr>
        <w:t>20.2在响应文件的评判和比较、成交候选供应商推荐以及授予合同的过程中，供应商向磋商采购单位和磋商小组施加影响的任何行为，都将会导致其磋商被拒绝。</w:t>
      </w:r>
    </w:p>
    <w:p w14:paraId="5B97DD11">
      <w:pPr>
        <w:snapToGrid w:val="0"/>
        <w:spacing w:line="400" w:lineRule="exact"/>
        <w:ind w:firstLine="480" w:firstLineChars="200"/>
        <w:rPr>
          <w:rFonts w:ascii="宋体" w:hAnsi="宋体"/>
          <w:sz w:val="24"/>
        </w:rPr>
      </w:pPr>
      <w:r>
        <w:rPr>
          <w:rFonts w:hint="eastAsia" w:ascii="宋体" w:hAnsi="宋体"/>
          <w:sz w:val="24"/>
        </w:rPr>
        <w:t>20.3磋商小组分别与磋商各供应商进行商务资信、技术及价格磋商。在磋商过程中，磋商小组成员不得透露其他磋商供应商的磋商信息，严守商业秘密。</w:t>
      </w:r>
    </w:p>
    <w:p w14:paraId="026B046E">
      <w:pPr>
        <w:snapToGrid w:val="0"/>
        <w:spacing w:line="400" w:lineRule="exact"/>
        <w:ind w:firstLine="480" w:firstLineChars="200"/>
        <w:rPr>
          <w:rFonts w:ascii="宋体" w:hAnsi="宋体"/>
          <w:sz w:val="24"/>
        </w:rPr>
      </w:pPr>
      <w:r>
        <w:rPr>
          <w:rFonts w:hint="eastAsia" w:ascii="宋体" w:hAnsi="宋体"/>
          <w:sz w:val="24"/>
        </w:rPr>
        <w:t>20.4 供应商有下列情形之一的，视为供应商串通磋商，其磋商无效：</w:t>
      </w:r>
    </w:p>
    <w:p w14:paraId="0DEFF4E2">
      <w:pPr>
        <w:snapToGrid w:val="0"/>
        <w:spacing w:line="400" w:lineRule="exact"/>
        <w:ind w:firstLine="480" w:firstLineChars="200"/>
        <w:rPr>
          <w:rFonts w:ascii="宋体" w:hAnsi="宋体"/>
          <w:sz w:val="24"/>
        </w:rPr>
      </w:pPr>
      <w:r>
        <w:rPr>
          <w:rFonts w:hint="eastAsia" w:ascii="宋体" w:hAnsi="宋体"/>
          <w:sz w:val="24"/>
        </w:rPr>
        <w:t>20.4.1 不同供应商的响应文件由同一单位或者个人编制；</w:t>
      </w:r>
    </w:p>
    <w:p w14:paraId="606BA86B">
      <w:pPr>
        <w:snapToGrid w:val="0"/>
        <w:spacing w:line="400" w:lineRule="exact"/>
        <w:ind w:firstLine="480" w:firstLineChars="200"/>
        <w:rPr>
          <w:rFonts w:ascii="宋体" w:hAnsi="宋体"/>
          <w:sz w:val="24"/>
        </w:rPr>
      </w:pPr>
      <w:r>
        <w:rPr>
          <w:rFonts w:hint="eastAsia" w:ascii="宋体" w:hAnsi="宋体"/>
          <w:sz w:val="24"/>
        </w:rPr>
        <w:t>20.4.2 不同供应商委托同一单位或者个人办理磋商事宜；</w:t>
      </w:r>
    </w:p>
    <w:p w14:paraId="00024237">
      <w:pPr>
        <w:snapToGrid w:val="0"/>
        <w:spacing w:line="400" w:lineRule="exact"/>
        <w:ind w:firstLine="480" w:firstLineChars="200"/>
        <w:rPr>
          <w:rFonts w:ascii="宋体" w:hAnsi="宋体"/>
          <w:sz w:val="24"/>
        </w:rPr>
      </w:pPr>
      <w:r>
        <w:rPr>
          <w:rFonts w:hint="eastAsia" w:ascii="宋体" w:hAnsi="宋体"/>
          <w:sz w:val="24"/>
        </w:rPr>
        <w:t>20.4.3 不同供应商的响应文件载明的项目管理成员或者联系人员为同一人；</w:t>
      </w:r>
    </w:p>
    <w:p w14:paraId="221A132C">
      <w:pPr>
        <w:snapToGrid w:val="0"/>
        <w:spacing w:line="400" w:lineRule="exact"/>
        <w:ind w:firstLine="480" w:firstLineChars="200"/>
        <w:rPr>
          <w:rFonts w:ascii="宋体" w:hAnsi="宋体"/>
          <w:sz w:val="24"/>
        </w:rPr>
      </w:pPr>
      <w:r>
        <w:rPr>
          <w:rFonts w:hint="eastAsia" w:ascii="宋体" w:hAnsi="宋体"/>
          <w:sz w:val="24"/>
        </w:rPr>
        <w:t>20.4.4 不同供应商的响应文件异常一致或者磋商报价呈规律性差异；</w:t>
      </w:r>
    </w:p>
    <w:p w14:paraId="71690B65">
      <w:pPr>
        <w:snapToGrid w:val="0"/>
        <w:spacing w:line="400" w:lineRule="exact"/>
        <w:ind w:firstLine="480" w:firstLineChars="200"/>
        <w:rPr>
          <w:rFonts w:ascii="宋体" w:hAnsi="宋体"/>
          <w:sz w:val="24"/>
        </w:rPr>
      </w:pPr>
      <w:r>
        <w:rPr>
          <w:rFonts w:hint="eastAsia" w:ascii="宋体" w:hAnsi="宋体"/>
          <w:sz w:val="24"/>
        </w:rPr>
        <w:t>20.4.5 不同供应商的数据电子备份响应文件（U 盘）相互混装。</w:t>
      </w:r>
    </w:p>
    <w:p w14:paraId="050E57A1">
      <w:pPr>
        <w:snapToGrid w:val="0"/>
        <w:spacing w:line="400" w:lineRule="exact"/>
        <w:ind w:firstLine="480" w:firstLineChars="200"/>
        <w:rPr>
          <w:rFonts w:ascii="宋体" w:hAnsi="宋体"/>
          <w:sz w:val="24"/>
        </w:rPr>
      </w:pPr>
      <w:r>
        <w:rPr>
          <w:rFonts w:hint="eastAsia" w:ascii="宋体" w:hAnsi="宋体"/>
          <w:sz w:val="24"/>
        </w:rPr>
        <w:t>20.5 供应商有下列情形之一的，属于恶意串通，其磋商无效：</w:t>
      </w:r>
    </w:p>
    <w:p w14:paraId="26B78FB3">
      <w:pPr>
        <w:snapToGrid w:val="0"/>
        <w:spacing w:line="400" w:lineRule="exact"/>
        <w:ind w:firstLine="480" w:firstLineChars="200"/>
        <w:rPr>
          <w:rFonts w:ascii="宋体" w:hAnsi="宋体"/>
          <w:sz w:val="24"/>
        </w:rPr>
      </w:pPr>
      <w:r>
        <w:rPr>
          <w:rFonts w:hint="eastAsia" w:ascii="宋体" w:hAnsi="宋体"/>
          <w:sz w:val="24"/>
        </w:rPr>
        <w:t>20.5.1 供应商直接或者间接从采购人或者采购代理机构处获得其他供应商的相关情况并修改其响应文件；</w:t>
      </w:r>
    </w:p>
    <w:p w14:paraId="4B4631E8">
      <w:pPr>
        <w:snapToGrid w:val="0"/>
        <w:spacing w:line="400" w:lineRule="exact"/>
        <w:ind w:firstLine="480" w:firstLineChars="200"/>
        <w:rPr>
          <w:rFonts w:ascii="宋体" w:hAnsi="宋体"/>
          <w:sz w:val="24"/>
        </w:rPr>
      </w:pPr>
      <w:r>
        <w:rPr>
          <w:rFonts w:hint="eastAsia" w:ascii="宋体" w:hAnsi="宋体"/>
          <w:sz w:val="24"/>
        </w:rPr>
        <w:t>20.5.2 供应商按照采购人或者采购代理机构的授意撤换、修改响应文件；</w:t>
      </w:r>
    </w:p>
    <w:p w14:paraId="4A15947D">
      <w:pPr>
        <w:snapToGrid w:val="0"/>
        <w:spacing w:line="400" w:lineRule="exact"/>
        <w:ind w:firstLine="480" w:firstLineChars="200"/>
        <w:rPr>
          <w:rFonts w:ascii="宋体" w:hAnsi="宋体"/>
          <w:sz w:val="24"/>
        </w:rPr>
      </w:pPr>
      <w:r>
        <w:rPr>
          <w:rFonts w:hint="eastAsia" w:ascii="宋体" w:hAnsi="宋体"/>
          <w:sz w:val="24"/>
        </w:rPr>
        <w:t>20.5.3 供应商之间协商报价、技术方案等响应文件的实质性内容；</w:t>
      </w:r>
    </w:p>
    <w:p w14:paraId="193F86C5">
      <w:pPr>
        <w:snapToGrid w:val="0"/>
        <w:spacing w:line="400" w:lineRule="exact"/>
        <w:ind w:firstLine="480" w:firstLineChars="200"/>
        <w:rPr>
          <w:rFonts w:ascii="宋体" w:hAnsi="宋体"/>
          <w:sz w:val="24"/>
        </w:rPr>
      </w:pPr>
      <w:r>
        <w:rPr>
          <w:rFonts w:hint="eastAsia" w:ascii="宋体" w:hAnsi="宋体"/>
          <w:sz w:val="24"/>
        </w:rPr>
        <w:t>20.5.4 属于同一集团、协会、商会等组织成员的供应商按照该组织要求协同参加政府采购活动；</w:t>
      </w:r>
    </w:p>
    <w:p w14:paraId="5D6F4166">
      <w:pPr>
        <w:snapToGrid w:val="0"/>
        <w:spacing w:line="400" w:lineRule="exact"/>
        <w:ind w:firstLine="480" w:firstLineChars="200"/>
        <w:rPr>
          <w:rFonts w:ascii="宋体" w:hAnsi="宋体"/>
          <w:sz w:val="24"/>
        </w:rPr>
      </w:pPr>
      <w:r>
        <w:rPr>
          <w:rFonts w:hint="eastAsia" w:ascii="宋体" w:hAnsi="宋体"/>
          <w:sz w:val="24"/>
        </w:rPr>
        <w:t>20.5.5 供应商之间事先约定由某一特定供应商中标、成交；</w:t>
      </w:r>
    </w:p>
    <w:p w14:paraId="5F633356">
      <w:pPr>
        <w:snapToGrid w:val="0"/>
        <w:spacing w:line="400" w:lineRule="exact"/>
        <w:ind w:firstLine="480" w:firstLineChars="200"/>
        <w:rPr>
          <w:rFonts w:ascii="宋体" w:hAnsi="宋体"/>
          <w:sz w:val="24"/>
        </w:rPr>
      </w:pPr>
      <w:r>
        <w:rPr>
          <w:rFonts w:hint="eastAsia" w:ascii="宋体" w:hAnsi="宋体"/>
          <w:sz w:val="24"/>
        </w:rPr>
        <w:t>20.5.6 供应商之间商定部分供应商放弃参加政府采购活动或者放弃中标、成交；</w:t>
      </w:r>
    </w:p>
    <w:p w14:paraId="528AEF00">
      <w:pPr>
        <w:snapToGrid w:val="0"/>
        <w:spacing w:line="400" w:lineRule="exact"/>
        <w:ind w:firstLine="480" w:firstLineChars="200"/>
        <w:rPr>
          <w:rFonts w:ascii="宋体" w:hAnsi="宋体"/>
          <w:sz w:val="24"/>
        </w:rPr>
      </w:pPr>
      <w:r>
        <w:rPr>
          <w:rFonts w:hint="eastAsia" w:ascii="宋体" w:hAnsi="宋体"/>
          <w:sz w:val="24"/>
        </w:rPr>
        <w:t>20.5.7 供应商与采购人或者采购代理机构之间、供应商相互之间，为谋求特定供应商中标、成交或者排斥其他供应商的其他串通行为。</w:t>
      </w:r>
    </w:p>
    <w:p w14:paraId="074C0C85">
      <w:pPr>
        <w:snapToGrid w:val="0"/>
        <w:spacing w:line="400" w:lineRule="exact"/>
        <w:rPr>
          <w:rFonts w:ascii="宋体" w:hAnsi="宋体"/>
          <w:spacing w:val="14"/>
          <w:sz w:val="24"/>
        </w:rPr>
      </w:pPr>
      <w:r>
        <w:rPr>
          <w:rFonts w:hint="eastAsia" w:ascii="宋体" w:hAnsi="宋体"/>
          <w:b/>
          <w:sz w:val="24"/>
        </w:rPr>
        <w:t>21.</w:t>
      </w:r>
      <w:r>
        <w:rPr>
          <w:rFonts w:hint="eastAsia" w:ascii="宋体" w:hAnsi="宋体"/>
          <w:spacing w:val="14"/>
          <w:sz w:val="24"/>
        </w:rPr>
        <w:t>响应文件的澄清、说明和补正</w:t>
      </w:r>
    </w:p>
    <w:p w14:paraId="4891DDC5">
      <w:pPr>
        <w:snapToGrid w:val="0"/>
        <w:spacing w:line="400" w:lineRule="exact"/>
        <w:ind w:firstLine="360" w:firstLineChars="150"/>
        <w:rPr>
          <w:rFonts w:ascii="宋体" w:hAnsi="宋体"/>
          <w:sz w:val="24"/>
        </w:rPr>
      </w:pPr>
      <w:r>
        <w:rPr>
          <w:rFonts w:hint="eastAsia" w:ascii="宋体" w:hAnsi="宋体"/>
          <w:sz w:val="24"/>
        </w:rPr>
        <w:t>评审中需要供应商对响应文件作出澄清、说明或者补正的，评审小组和供应商通过电子交易平台交换数据电文。给予供应商30分钟提交澄清说明或补正的时间，供应商已经明确表示澄清说明或补正完毕的除外。</w:t>
      </w:r>
    </w:p>
    <w:p w14:paraId="07A6C176">
      <w:pPr>
        <w:snapToGrid w:val="0"/>
        <w:spacing w:line="400" w:lineRule="exact"/>
        <w:rPr>
          <w:rFonts w:ascii="宋体" w:hAnsi="宋体"/>
          <w:sz w:val="24"/>
        </w:rPr>
      </w:pPr>
      <w:r>
        <w:rPr>
          <w:rFonts w:hint="eastAsia" w:ascii="宋体" w:hAnsi="宋体"/>
          <w:b/>
          <w:sz w:val="24"/>
        </w:rPr>
        <w:t>22.</w:t>
      </w:r>
      <w:r>
        <w:rPr>
          <w:rFonts w:hint="eastAsia" w:ascii="宋体" w:hAnsi="宋体"/>
          <w:spacing w:val="14"/>
          <w:sz w:val="24"/>
        </w:rPr>
        <w:t>磋商程序与方法</w:t>
      </w:r>
    </w:p>
    <w:p w14:paraId="2234EE40">
      <w:pPr>
        <w:snapToGrid w:val="0"/>
        <w:spacing w:line="400" w:lineRule="exact"/>
        <w:ind w:firstLine="480" w:firstLineChars="200"/>
        <w:rPr>
          <w:rFonts w:ascii="宋体" w:hAnsi="宋体"/>
          <w:sz w:val="24"/>
        </w:rPr>
      </w:pPr>
      <w:r>
        <w:rPr>
          <w:rFonts w:hint="eastAsia" w:ascii="宋体" w:hAnsi="宋体"/>
          <w:sz w:val="24"/>
        </w:rPr>
        <w:t>22.1资格性审查</w:t>
      </w:r>
    </w:p>
    <w:p w14:paraId="2B12D243">
      <w:pPr>
        <w:snapToGrid w:val="0"/>
        <w:spacing w:line="400" w:lineRule="exact"/>
        <w:ind w:firstLine="480" w:firstLineChars="200"/>
        <w:rPr>
          <w:rFonts w:ascii="宋体" w:hAnsi="宋体"/>
          <w:sz w:val="24"/>
        </w:rPr>
      </w:pPr>
      <w:r>
        <w:rPr>
          <w:rFonts w:hint="eastAsia" w:ascii="宋体" w:hAnsi="宋体"/>
          <w:sz w:val="24"/>
        </w:rPr>
        <w:t>代理机构依据法律、法规和磋商文件规定，对响应文件中的资格证明等进行审查，以确定磋商供应商是否具备磋商资格。</w:t>
      </w:r>
    </w:p>
    <w:p w14:paraId="03EFBD65">
      <w:pPr>
        <w:snapToGrid w:val="0"/>
        <w:spacing w:line="400" w:lineRule="exact"/>
        <w:ind w:firstLine="480" w:firstLineChars="200"/>
        <w:rPr>
          <w:rFonts w:ascii="宋体" w:hAnsi="宋体"/>
          <w:sz w:val="24"/>
        </w:rPr>
      </w:pPr>
      <w:r>
        <w:rPr>
          <w:rFonts w:hint="eastAsia" w:ascii="宋体" w:hAnsi="宋体"/>
          <w:sz w:val="24"/>
        </w:rPr>
        <w:t>22.2初步审查</w:t>
      </w:r>
    </w:p>
    <w:p w14:paraId="18C7BCD6">
      <w:pPr>
        <w:snapToGrid w:val="0"/>
        <w:spacing w:line="400" w:lineRule="exact"/>
        <w:ind w:firstLine="480" w:firstLineChars="200"/>
        <w:rPr>
          <w:rFonts w:ascii="宋体" w:hAnsi="宋体"/>
          <w:sz w:val="24"/>
        </w:rPr>
      </w:pPr>
      <w:r>
        <w:rPr>
          <w:rFonts w:hint="eastAsia" w:ascii="宋体" w:hAnsi="宋体"/>
          <w:sz w:val="24"/>
        </w:rPr>
        <w:t>磋商小组对通过资格性检查的磋商供应商进行</w:t>
      </w:r>
      <w:r>
        <w:rPr>
          <w:rFonts w:hint="eastAsia" w:ascii="宋体" w:hAnsi="宋体"/>
          <w:bCs/>
          <w:sz w:val="24"/>
        </w:rPr>
        <w:t>符合性</w:t>
      </w:r>
      <w:r>
        <w:rPr>
          <w:rFonts w:hint="eastAsia" w:ascii="宋体" w:hAnsi="宋体"/>
          <w:sz w:val="24"/>
        </w:rPr>
        <w:t>检查。依据磋商文件的规定，从响应文件的有效性、完整性和对磋商文件的响应程度进行初步审查，以确定是否对磋商文件的实质性要求作出响应。</w:t>
      </w:r>
    </w:p>
    <w:p w14:paraId="6A80F36B">
      <w:pPr>
        <w:snapToGrid w:val="0"/>
        <w:spacing w:line="400" w:lineRule="exact"/>
        <w:ind w:firstLine="480" w:firstLineChars="200"/>
        <w:rPr>
          <w:rFonts w:ascii="宋体" w:hAnsi="宋体"/>
          <w:sz w:val="24"/>
        </w:rPr>
      </w:pPr>
      <w:r>
        <w:rPr>
          <w:rFonts w:hint="eastAsia" w:ascii="宋体" w:hAnsi="宋体"/>
          <w:sz w:val="24"/>
        </w:rPr>
        <w:t>22.3磋商小组根据磋商文件的内容与各供应商分别进行磋商，各磋商供应商在线答复的同时，须对磋商中所涉及的澄清、修改、承诺等补充资料等在合理期限内通过电子邮件、传真等书面形式提交至磋商小组，其书面文件必须由磋商供应商的法定代表人签字（或签章），作为响应文件的补充。如该磋商供应商成为成交供应商，则该磋商供应商的响应文件（含所有补充资料）将作为合同的组成部分。</w:t>
      </w:r>
    </w:p>
    <w:p w14:paraId="16BCB589">
      <w:pPr>
        <w:snapToGrid w:val="0"/>
        <w:spacing w:line="400" w:lineRule="exact"/>
        <w:ind w:firstLine="480" w:firstLineChars="200"/>
        <w:rPr>
          <w:rFonts w:ascii="宋体" w:hAnsi="宋体"/>
          <w:sz w:val="24"/>
        </w:rPr>
      </w:pPr>
      <w:r>
        <w:rPr>
          <w:rFonts w:hint="eastAsia" w:ascii="宋体" w:hAnsi="宋体"/>
          <w:sz w:val="24"/>
        </w:rPr>
        <w:t>22.4响应文件计算错误的修正</w:t>
      </w:r>
    </w:p>
    <w:p w14:paraId="518A809E">
      <w:pPr>
        <w:snapToGrid w:val="0"/>
        <w:spacing w:line="400" w:lineRule="exact"/>
        <w:ind w:firstLine="480" w:firstLineChars="200"/>
        <w:rPr>
          <w:rFonts w:ascii="宋体" w:hAnsi="宋体"/>
          <w:sz w:val="24"/>
        </w:rPr>
      </w:pPr>
      <w:r>
        <w:rPr>
          <w:rFonts w:hint="eastAsia" w:ascii="宋体" w:hAnsi="宋体"/>
          <w:sz w:val="24"/>
        </w:rPr>
        <w:t>22.4.1响应文件中磋商报价一览表内容与响应文件中磋商分项报价表内容不一致的，以磋商报价一览表为准；</w:t>
      </w:r>
    </w:p>
    <w:p w14:paraId="37C4BFE0">
      <w:pPr>
        <w:snapToGrid w:val="0"/>
        <w:spacing w:line="400" w:lineRule="exact"/>
        <w:ind w:firstLine="480" w:firstLineChars="200"/>
        <w:rPr>
          <w:rFonts w:ascii="宋体" w:hAnsi="宋体"/>
          <w:sz w:val="24"/>
        </w:rPr>
      </w:pPr>
      <w:r>
        <w:rPr>
          <w:rFonts w:hint="eastAsia" w:ascii="宋体" w:hAnsi="宋体"/>
          <w:sz w:val="24"/>
        </w:rPr>
        <w:t>22.4.2响应文件的大写金额和小写金额不一致的，以大写金额为准；</w:t>
      </w:r>
    </w:p>
    <w:p w14:paraId="578EEBC6">
      <w:pPr>
        <w:snapToGrid w:val="0"/>
        <w:spacing w:line="400" w:lineRule="exact"/>
        <w:ind w:firstLine="480" w:firstLineChars="200"/>
        <w:rPr>
          <w:rFonts w:ascii="宋体" w:hAnsi="宋体"/>
          <w:spacing w:val="-8"/>
          <w:sz w:val="24"/>
        </w:rPr>
      </w:pPr>
      <w:r>
        <w:rPr>
          <w:rFonts w:hint="eastAsia" w:ascii="宋体" w:hAnsi="宋体"/>
          <w:sz w:val="24"/>
        </w:rPr>
        <w:t>22.4.3总</w:t>
      </w:r>
      <w:r>
        <w:rPr>
          <w:rFonts w:hint="eastAsia" w:ascii="宋体" w:hAnsi="宋体"/>
          <w:spacing w:val="-8"/>
          <w:sz w:val="24"/>
        </w:rPr>
        <w:t>价金额与按单价汇总金额不一致的，以单价金额计算结果为准;</w:t>
      </w:r>
    </w:p>
    <w:p w14:paraId="0103B0E8">
      <w:pPr>
        <w:snapToGrid w:val="0"/>
        <w:spacing w:line="400" w:lineRule="exact"/>
        <w:ind w:firstLine="480" w:firstLineChars="200"/>
        <w:rPr>
          <w:rFonts w:ascii="宋体" w:hAnsi="宋体"/>
          <w:sz w:val="24"/>
        </w:rPr>
      </w:pPr>
      <w:r>
        <w:rPr>
          <w:rFonts w:hint="eastAsia" w:ascii="宋体" w:hAnsi="宋体"/>
          <w:sz w:val="24"/>
        </w:rPr>
        <w:t>22.4.4单价金额小数点有明显错位的，应以总价为准，并修改单价；</w:t>
      </w:r>
    </w:p>
    <w:p w14:paraId="7747EBCC">
      <w:pPr>
        <w:snapToGrid w:val="0"/>
        <w:spacing w:line="400" w:lineRule="exact"/>
        <w:ind w:firstLine="480" w:firstLineChars="200"/>
        <w:rPr>
          <w:rFonts w:ascii="宋体" w:hAnsi="宋体"/>
          <w:sz w:val="24"/>
        </w:rPr>
      </w:pPr>
      <w:r>
        <w:rPr>
          <w:rFonts w:hint="eastAsia" w:ascii="宋体" w:hAnsi="宋体"/>
          <w:sz w:val="24"/>
        </w:rPr>
        <w:t>22.4.5对不同文字文本响应文件的解释发生异议的，以中文文本为准。</w:t>
      </w:r>
    </w:p>
    <w:p w14:paraId="0A4A1CFC">
      <w:pPr>
        <w:snapToGrid w:val="0"/>
        <w:spacing w:line="400" w:lineRule="exact"/>
        <w:ind w:firstLine="480" w:firstLineChars="200"/>
        <w:rPr>
          <w:rFonts w:ascii="宋体" w:hAnsi="宋体"/>
          <w:sz w:val="24"/>
        </w:rPr>
      </w:pPr>
      <w:r>
        <w:rPr>
          <w:rFonts w:hint="eastAsia" w:ascii="宋体" w:hAnsi="宋体"/>
          <w:sz w:val="24"/>
        </w:rPr>
        <w:t>22.5商务资信、技术部分磋商结束后，采购代理机构将联系供应商进行二次报价。</w:t>
      </w:r>
    </w:p>
    <w:p w14:paraId="0B5524C0">
      <w:pPr>
        <w:snapToGrid w:val="0"/>
        <w:spacing w:line="400" w:lineRule="exact"/>
        <w:ind w:firstLine="480" w:firstLineChars="200"/>
        <w:rPr>
          <w:rFonts w:ascii="宋体" w:hAnsi="宋体"/>
          <w:bCs/>
          <w:sz w:val="24"/>
        </w:rPr>
      </w:pPr>
      <w:r>
        <w:rPr>
          <w:rFonts w:hint="eastAsia" w:ascii="宋体" w:hAnsi="宋体"/>
          <w:sz w:val="24"/>
        </w:rPr>
        <w:t>22.6</w:t>
      </w:r>
      <w:r>
        <w:rPr>
          <w:rFonts w:hint="eastAsia" w:ascii="宋体" w:hAnsi="宋体"/>
          <w:bCs/>
          <w:sz w:val="24"/>
        </w:rPr>
        <w:t>确定成交供应商</w:t>
      </w:r>
    </w:p>
    <w:p w14:paraId="5CD22D5B">
      <w:pPr>
        <w:snapToGrid w:val="0"/>
        <w:spacing w:line="400" w:lineRule="exact"/>
        <w:ind w:firstLine="482" w:firstLineChars="200"/>
        <w:rPr>
          <w:rFonts w:ascii="宋体" w:hAnsi="宋体"/>
          <w:b/>
          <w:sz w:val="24"/>
        </w:rPr>
      </w:pPr>
      <w:r>
        <w:rPr>
          <w:rFonts w:hint="eastAsia" w:ascii="宋体" w:hAnsi="宋体"/>
          <w:b/>
          <w:sz w:val="24"/>
        </w:rPr>
        <w:t>本项目由采购人根据磋商小组提交的《评审报告》，通过“政府采购云平台”依法确定成交人。</w:t>
      </w:r>
    </w:p>
    <w:p w14:paraId="68F51657">
      <w:pPr>
        <w:snapToGrid w:val="0"/>
        <w:spacing w:line="400" w:lineRule="exact"/>
        <w:ind w:firstLine="480" w:firstLineChars="200"/>
        <w:rPr>
          <w:rFonts w:ascii="宋体" w:hAnsi="宋体"/>
          <w:sz w:val="24"/>
        </w:rPr>
      </w:pPr>
      <w:r>
        <w:rPr>
          <w:rFonts w:hint="eastAsia" w:ascii="宋体" w:hAnsi="宋体"/>
          <w:sz w:val="24"/>
        </w:rPr>
        <w:t>22.6.1采购代理机构将在评审结束之日起2个工作日内将评审报告送交采购人。采购人将在收到评审报告之日起5个工作日内在评审报告推荐的成交候选供应商中按顺序确定成交人，并将确认意见以书面形式回复采购代理机构。</w:t>
      </w:r>
    </w:p>
    <w:p w14:paraId="15BB7BA7">
      <w:pPr>
        <w:snapToGrid w:val="0"/>
        <w:spacing w:line="400" w:lineRule="exact"/>
        <w:ind w:firstLine="480" w:firstLineChars="200"/>
        <w:rPr>
          <w:rFonts w:ascii="宋体" w:hAnsi="宋体"/>
          <w:sz w:val="24"/>
        </w:rPr>
      </w:pPr>
      <w:r>
        <w:rPr>
          <w:rFonts w:hint="eastAsia" w:ascii="宋体" w:hAnsi="宋体"/>
          <w:sz w:val="24"/>
        </w:rPr>
        <w:t>22.6.2采购人及采购组织机构不对评审结果做任何解释。</w:t>
      </w:r>
    </w:p>
    <w:p w14:paraId="11008502">
      <w:pPr>
        <w:snapToGrid w:val="0"/>
        <w:spacing w:line="400" w:lineRule="exact"/>
        <w:ind w:firstLine="482" w:firstLineChars="200"/>
        <w:rPr>
          <w:rFonts w:ascii="宋体" w:hAnsi="宋体"/>
          <w:bCs/>
          <w:sz w:val="24"/>
        </w:rPr>
      </w:pPr>
      <w:r>
        <w:rPr>
          <w:rFonts w:hint="eastAsia" w:ascii="宋体" w:hAnsi="宋体"/>
          <w:b/>
          <w:sz w:val="24"/>
        </w:rPr>
        <w:t>23.</w:t>
      </w:r>
      <w:r>
        <w:rPr>
          <w:rFonts w:hint="eastAsia" w:ascii="宋体" w:hAnsi="宋体"/>
          <w:bCs/>
          <w:sz w:val="24"/>
        </w:rPr>
        <w:t>采购结果公告和成交通知书签发</w:t>
      </w:r>
    </w:p>
    <w:p w14:paraId="439632B2">
      <w:pPr>
        <w:snapToGrid w:val="0"/>
        <w:spacing w:line="400" w:lineRule="exact"/>
        <w:ind w:firstLine="480" w:firstLineChars="200"/>
        <w:rPr>
          <w:rFonts w:ascii="宋体" w:hAnsi="宋体"/>
          <w:color w:val="FF0000"/>
          <w:sz w:val="24"/>
        </w:rPr>
      </w:pPr>
      <w:r>
        <w:rPr>
          <w:rFonts w:hint="eastAsia" w:ascii="宋体" w:hAnsi="宋体"/>
          <w:sz w:val="24"/>
        </w:rPr>
        <w:t>23.1采购代理机构将在成交人确定之日起2个工作日内向成交人签发《成交通知书》，同时在省级以上人民政府财政部门指定的媒体（浙江政府采购网）上公告采购结果。</w:t>
      </w:r>
    </w:p>
    <w:p w14:paraId="6DE620E0">
      <w:pPr>
        <w:snapToGrid w:val="0"/>
        <w:spacing w:line="400" w:lineRule="exact"/>
        <w:ind w:firstLine="482" w:firstLineChars="200"/>
        <w:rPr>
          <w:rFonts w:ascii="宋体" w:hAnsi="宋体"/>
          <w:b/>
          <w:sz w:val="24"/>
        </w:rPr>
      </w:pPr>
      <w:r>
        <w:rPr>
          <w:rFonts w:hint="eastAsia" w:ascii="宋体" w:hAnsi="宋体"/>
          <w:b/>
          <w:sz w:val="24"/>
        </w:rPr>
        <w:t>23.2根据浙江省财政厅《</w:t>
      </w:r>
      <w:r>
        <w:rPr>
          <w:rFonts w:ascii="宋体" w:hAnsi="宋体"/>
          <w:b/>
          <w:sz w:val="24"/>
        </w:rPr>
        <w:t>关于印发浙江省政府采购供应商注册及诚信管理暂行办法的通知</w:t>
      </w:r>
      <w:r>
        <w:rPr>
          <w:rFonts w:hint="eastAsia" w:ascii="宋体" w:hAnsi="宋体"/>
          <w:b/>
          <w:sz w:val="24"/>
        </w:rPr>
        <w:t>》[</w:t>
      </w:r>
      <w:r>
        <w:rPr>
          <w:rFonts w:ascii="宋体" w:hAnsi="宋体"/>
          <w:b/>
          <w:sz w:val="24"/>
        </w:rPr>
        <w:t>浙财采监字〔2009〕28号</w:t>
      </w:r>
      <w:r>
        <w:rPr>
          <w:rFonts w:hint="eastAsia" w:ascii="宋体" w:hAnsi="宋体"/>
          <w:b/>
          <w:sz w:val="24"/>
        </w:rPr>
        <w:t>]精神，成交供应商在领取成交通知书前，必须完成在《浙江政府采购网》上完成供应商的注册工作，经初审、终审及公示后方可正式领取成交通知书。</w:t>
      </w:r>
    </w:p>
    <w:p w14:paraId="7E3FC420">
      <w:pPr>
        <w:snapToGrid w:val="0"/>
        <w:spacing w:line="400" w:lineRule="exact"/>
        <w:ind w:firstLine="482" w:firstLineChars="200"/>
        <w:rPr>
          <w:rFonts w:ascii="宋体" w:hAnsi="宋体"/>
          <w:b/>
          <w:sz w:val="24"/>
        </w:rPr>
      </w:pPr>
      <w:r>
        <w:rPr>
          <w:rFonts w:hint="eastAsia" w:ascii="宋体" w:hAnsi="宋体"/>
          <w:b/>
          <w:sz w:val="24"/>
        </w:rPr>
        <w:t>23.3根据湖建专项办[2011]1号文件的规定,如属于廉洁谈话范围的项目,须由拟成交供应商的法定代表人或其授权人接受廉洁谈话,并由法定代表人签订《廉洁承诺书》, 《廉洁承诺书》经法定代表人签字并加盖公章送达廉政监察组后,政府采购代理机构方可凭由廉政监察组签发的《廉洁承诺书签订告知书》向成交供应商发出成交通知书。</w:t>
      </w:r>
    </w:p>
    <w:p w14:paraId="391FC76B">
      <w:pPr>
        <w:snapToGrid w:val="0"/>
        <w:spacing w:line="400" w:lineRule="exact"/>
        <w:ind w:firstLine="480" w:firstLineChars="200"/>
        <w:rPr>
          <w:rFonts w:ascii="宋体" w:hAnsi="宋体"/>
          <w:sz w:val="24"/>
        </w:rPr>
      </w:pPr>
      <w:r>
        <w:rPr>
          <w:rFonts w:hint="eastAsia" w:ascii="宋体" w:hAnsi="宋体"/>
          <w:sz w:val="24"/>
        </w:rPr>
        <w:t>23.4成交通知书发出后，成交人无正当理由不得放弃承包。</w:t>
      </w:r>
    </w:p>
    <w:p w14:paraId="6632E9D8">
      <w:pPr>
        <w:snapToGrid w:val="0"/>
        <w:spacing w:line="400" w:lineRule="exact"/>
        <w:ind w:firstLine="482" w:firstLineChars="200"/>
        <w:rPr>
          <w:rFonts w:ascii="宋体" w:hAnsi="宋体"/>
          <w:bCs/>
          <w:sz w:val="24"/>
        </w:rPr>
      </w:pPr>
      <w:r>
        <w:rPr>
          <w:rFonts w:hint="eastAsia" w:ascii="宋体" w:hAnsi="宋体"/>
          <w:b/>
          <w:sz w:val="24"/>
        </w:rPr>
        <w:t>24.</w:t>
      </w:r>
      <w:r>
        <w:rPr>
          <w:rFonts w:hint="eastAsia" w:ascii="宋体" w:hAnsi="宋体"/>
          <w:bCs/>
          <w:sz w:val="24"/>
        </w:rPr>
        <w:t>废标</w:t>
      </w:r>
    </w:p>
    <w:p w14:paraId="1F27E68C">
      <w:pPr>
        <w:snapToGrid w:val="0"/>
        <w:spacing w:line="400" w:lineRule="exact"/>
        <w:ind w:firstLine="480" w:firstLineChars="200"/>
        <w:rPr>
          <w:rFonts w:ascii="宋体" w:hAnsi="宋体"/>
          <w:bCs/>
          <w:sz w:val="24"/>
        </w:rPr>
      </w:pPr>
      <w:r>
        <w:rPr>
          <w:rFonts w:hint="eastAsia" w:ascii="宋体" w:hAnsi="宋体"/>
          <w:bCs/>
          <w:sz w:val="24"/>
        </w:rPr>
        <w:t>在磋商中，出现下列情形之一的，应予废标：</w:t>
      </w:r>
    </w:p>
    <w:p w14:paraId="5BB54580">
      <w:pPr>
        <w:snapToGrid w:val="0"/>
        <w:spacing w:line="400" w:lineRule="exact"/>
        <w:ind w:firstLine="480" w:firstLineChars="200"/>
        <w:rPr>
          <w:rFonts w:ascii="宋体" w:hAnsi="宋体"/>
          <w:bCs/>
          <w:sz w:val="24"/>
        </w:rPr>
      </w:pPr>
      <w:r>
        <w:rPr>
          <w:rFonts w:hint="eastAsia" w:ascii="宋体" w:hAnsi="宋体"/>
          <w:sz w:val="24"/>
        </w:rPr>
        <w:t>24.1符合专业条件的供应商或者对磋商文件作实质响应的供应商不足三家的（特殊情况经审批同意的除外）；</w:t>
      </w:r>
    </w:p>
    <w:p w14:paraId="3EEF85E4">
      <w:pPr>
        <w:snapToGrid w:val="0"/>
        <w:spacing w:line="400" w:lineRule="exact"/>
        <w:ind w:firstLine="480" w:firstLineChars="200"/>
        <w:rPr>
          <w:rFonts w:ascii="宋体" w:hAnsi="宋体"/>
          <w:bCs/>
          <w:sz w:val="24"/>
        </w:rPr>
      </w:pPr>
      <w:r>
        <w:rPr>
          <w:rFonts w:hint="eastAsia" w:ascii="宋体" w:hAnsi="宋体"/>
          <w:bCs/>
          <w:sz w:val="24"/>
        </w:rPr>
        <w:t>24.2出现影响采购公正的违法、违规行为的；</w:t>
      </w:r>
    </w:p>
    <w:p w14:paraId="6494A1F7">
      <w:pPr>
        <w:snapToGrid w:val="0"/>
        <w:spacing w:line="400" w:lineRule="exact"/>
        <w:ind w:firstLine="480" w:firstLineChars="200"/>
        <w:rPr>
          <w:rFonts w:ascii="宋体" w:hAnsi="宋体"/>
          <w:bCs/>
          <w:sz w:val="24"/>
        </w:rPr>
      </w:pPr>
      <w:r>
        <w:rPr>
          <w:rFonts w:hint="eastAsia" w:ascii="宋体" w:hAnsi="宋体"/>
          <w:bCs/>
          <w:sz w:val="24"/>
        </w:rPr>
        <w:t>24.3因重大变故，采购任务取消的;</w:t>
      </w:r>
    </w:p>
    <w:p w14:paraId="1096FAA5">
      <w:pPr>
        <w:snapToGrid w:val="0"/>
        <w:spacing w:line="400" w:lineRule="exact"/>
        <w:ind w:firstLine="480" w:firstLineChars="200"/>
        <w:rPr>
          <w:rFonts w:ascii="宋体" w:hAnsi="宋体"/>
          <w:bCs/>
          <w:sz w:val="24"/>
        </w:rPr>
      </w:pPr>
      <w:r>
        <w:rPr>
          <w:rFonts w:hint="eastAsia" w:ascii="宋体" w:hAnsi="宋体"/>
          <w:bCs/>
          <w:sz w:val="24"/>
        </w:rPr>
        <w:t>24.4磋商供应商的报价均超采购预算或最高限价的，采购人不能支付的;</w:t>
      </w:r>
    </w:p>
    <w:p w14:paraId="24DA1983">
      <w:pPr>
        <w:snapToGrid w:val="0"/>
        <w:spacing w:line="400" w:lineRule="exact"/>
        <w:ind w:firstLine="480" w:firstLineChars="200"/>
        <w:rPr>
          <w:rFonts w:ascii="宋体" w:hAnsi="宋体"/>
          <w:sz w:val="24"/>
        </w:rPr>
      </w:pPr>
      <w:r>
        <w:rPr>
          <w:rFonts w:hint="eastAsia" w:ascii="宋体" w:hAnsi="宋体"/>
          <w:bCs/>
          <w:sz w:val="24"/>
        </w:rPr>
        <w:t>24.5</w:t>
      </w:r>
      <w:r>
        <w:rPr>
          <w:rFonts w:hint="eastAsia" w:ascii="宋体" w:hAnsi="宋体"/>
          <w:bCs/>
          <w:snapToGrid w:val="0"/>
          <w:sz w:val="24"/>
        </w:rPr>
        <w:t>法律、法规、规章等规定的其他情形除外。</w:t>
      </w:r>
    </w:p>
    <w:p w14:paraId="0F3B8677">
      <w:pPr>
        <w:snapToGrid w:val="0"/>
        <w:spacing w:line="400" w:lineRule="exact"/>
        <w:ind w:firstLine="480" w:firstLineChars="200"/>
        <w:rPr>
          <w:rFonts w:ascii="宋体" w:hAnsi="宋体"/>
          <w:sz w:val="24"/>
        </w:rPr>
      </w:pPr>
      <w:r>
        <w:rPr>
          <w:rFonts w:hint="eastAsia" w:ascii="宋体" w:hAnsi="宋体"/>
          <w:sz w:val="24"/>
        </w:rPr>
        <w:t>废标后，磋商采购单位将废标理由通知所有磋商供应商。</w:t>
      </w:r>
    </w:p>
    <w:p w14:paraId="0998766B">
      <w:pPr>
        <w:snapToGrid w:val="0"/>
        <w:spacing w:line="400" w:lineRule="exact"/>
        <w:ind w:firstLine="536" w:firstLineChars="200"/>
        <w:rPr>
          <w:rFonts w:ascii="宋体" w:hAnsi="宋体"/>
          <w:bCs/>
          <w:spacing w:val="14"/>
          <w:sz w:val="24"/>
        </w:rPr>
      </w:pPr>
      <w:r>
        <w:rPr>
          <w:rFonts w:hint="eastAsia" w:ascii="宋体" w:hAnsi="宋体"/>
          <w:bCs/>
          <w:spacing w:val="14"/>
          <w:sz w:val="24"/>
        </w:rPr>
        <w:t>本磋商规则及</w:t>
      </w:r>
      <w:r>
        <w:rPr>
          <w:rFonts w:hint="eastAsia" w:ascii="宋体" w:hAnsi="宋体"/>
          <w:bCs/>
          <w:sz w:val="24"/>
        </w:rPr>
        <w:t>程序</w:t>
      </w:r>
      <w:r>
        <w:rPr>
          <w:rFonts w:hint="eastAsia" w:ascii="宋体" w:hAnsi="宋体"/>
          <w:bCs/>
          <w:spacing w:val="14"/>
          <w:sz w:val="24"/>
        </w:rPr>
        <w:t>只适用于本项目磋商文件。</w:t>
      </w:r>
      <w:bookmarkStart w:id="17" w:name="_Toc452995900"/>
    </w:p>
    <w:p w14:paraId="4ACC99A5">
      <w:pPr>
        <w:pStyle w:val="5"/>
        <w:snapToGrid w:val="0"/>
        <w:spacing w:before="0" w:after="0" w:line="400" w:lineRule="exact"/>
        <w:jc w:val="center"/>
        <w:rPr>
          <w:rFonts w:ascii="宋体" w:hAnsi="宋体" w:eastAsia="宋体"/>
          <w:spacing w:val="14"/>
          <w:sz w:val="28"/>
          <w:szCs w:val="28"/>
        </w:rPr>
      </w:pPr>
      <w:bookmarkStart w:id="18" w:name="_Toc72487176"/>
      <w:r>
        <w:rPr>
          <w:rFonts w:hint="eastAsia" w:ascii="宋体" w:hAnsi="宋体" w:eastAsia="宋体"/>
          <w:spacing w:val="14"/>
          <w:sz w:val="28"/>
          <w:szCs w:val="28"/>
        </w:rPr>
        <w:t>五、授予合同</w:t>
      </w:r>
      <w:bookmarkEnd w:id="17"/>
      <w:bookmarkEnd w:id="18"/>
    </w:p>
    <w:p w14:paraId="2BD578AB">
      <w:pPr>
        <w:snapToGrid w:val="0"/>
        <w:spacing w:line="400" w:lineRule="exact"/>
        <w:rPr>
          <w:rFonts w:ascii="宋体" w:hAnsi="宋体"/>
          <w:sz w:val="24"/>
        </w:rPr>
      </w:pPr>
      <w:r>
        <w:rPr>
          <w:rFonts w:hint="eastAsia" w:ascii="宋体" w:hAnsi="宋体"/>
          <w:b/>
          <w:sz w:val="24"/>
        </w:rPr>
        <w:t>25.</w:t>
      </w:r>
      <w:r>
        <w:rPr>
          <w:rFonts w:hint="eastAsia" w:ascii="宋体" w:hAnsi="宋体"/>
          <w:sz w:val="24"/>
        </w:rPr>
        <w:t>授予合同的依据</w:t>
      </w:r>
    </w:p>
    <w:p w14:paraId="5E028E14">
      <w:pPr>
        <w:snapToGrid w:val="0"/>
        <w:spacing w:line="400" w:lineRule="exact"/>
        <w:ind w:firstLine="480" w:firstLineChars="200"/>
        <w:rPr>
          <w:rFonts w:ascii="宋体" w:hAnsi="宋体"/>
          <w:sz w:val="24"/>
        </w:rPr>
      </w:pPr>
      <w:r>
        <w:rPr>
          <w:rFonts w:hint="eastAsia" w:ascii="宋体" w:hAnsi="宋体"/>
          <w:sz w:val="24"/>
        </w:rPr>
        <w:t>25</w:t>
      </w:r>
      <w:r>
        <w:rPr>
          <w:rFonts w:hint="eastAsia" w:ascii="宋体" w:hAnsi="宋体"/>
          <w:bCs/>
          <w:sz w:val="24"/>
        </w:rPr>
        <w:t>.1</w:t>
      </w:r>
      <w:r>
        <w:rPr>
          <w:rFonts w:hint="eastAsia" w:ascii="宋体" w:hAnsi="宋体"/>
          <w:sz w:val="24"/>
        </w:rPr>
        <w:t>磋商采购单位签发的成交通知书；</w:t>
      </w:r>
    </w:p>
    <w:p w14:paraId="3C6C0CEF">
      <w:pPr>
        <w:snapToGrid w:val="0"/>
        <w:spacing w:line="400" w:lineRule="exact"/>
        <w:ind w:firstLine="480" w:firstLineChars="200"/>
        <w:rPr>
          <w:rFonts w:ascii="宋体" w:hAnsi="宋体"/>
          <w:sz w:val="24"/>
        </w:rPr>
      </w:pPr>
      <w:r>
        <w:rPr>
          <w:rFonts w:hint="eastAsia" w:ascii="宋体" w:hAnsi="宋体"/>
          <w:sz w:val="24"/>
        </w:rPr>
        <w:t>25</w:t>
      </w:r>
      <w:r>
        <w:rPr>
          <w:rFonts w:hint="eastAsia" w:ascii="宋体" w:hAnsi="宋体"/>
          <w:bCs/>
          <w:sz w:val="24"/>
        </w:rPr>
        <w:t>.2</w:t>
      </w:r>
      <w:r>
        <w:rPr>
          <w:rFonts w:hint="eastAsia" w:ascii="宋体" w:hAnsi="宋体"/>
          <w:sz w:val="24"/>
        </w:rPr>
        <w:t>磋商文件、磋商文件的修改及补充通知（函）；</w:t>
      </w:r>
    </w:p>
    <w:p w14:paraId="033CC8D0">
      <w:pPr>
        <w:snapToGrid w:val="0"/>
        <w:spacing w:line="400" w:lineRule="exact"/>
        <w:ind w:firstLine="480" w:firstLineChars="200"/>
        <w:rPr>
          <w:rFonts w:ascii="宋体" w:hAnsi="宋体"/>
          <w:sz w:val="24"/>
        </w:rPr>
      </w:pPr>
      <w:r>
        <w:rPr>
          <w:rFonts w:hint="eastAsia" w:ascii="宋体" w:hAnsi="宋体"/>
          <w:sz w:val="24"/>
        </w:rPr>
        <w:t>25</w:t>
      </w:r>
      <w:r>
        <w:rPr>
          <w:rFonts w:hint="eastAsia" w:ascii="宋体" w:hAnsi="宋体"/>
          <w:bCs/>
          <w:sz w:val="24"/>
        </w:rPr>
        <w:t>.3</w:t>
      </w:r>
      <w:r>
        <w:rPr>
          <w:rFonts w:hint="eastAsia" w:ascii="宋体" w:hAnsi="宋体"/>
          <w:sz w:val="24"/>
        </w:rPr>
        <w:t>响应文件和磋商时磋商供应商作出的书面澄清、说明、纠正、承诺等；</w:t>
      </w:r>
    </w:p>
    <w:p w14:paraId="168CBCEE">
      <w:pPr>
        <w:snapToGrid w:val="0"/>
        <w:spacing w:line="400" w:lineRule="exact"/>
        <w:rPr>
          <w:rFonts w:ascii="宋体" w:hAnsi="宋体"/>
          <w:bCs/>
          <w:sz w:val="24"/>
        </w:rPr>
      </w:pPr>
      <w:r>
        <w:rPr>
          <w:rFonts w:hint="eastAsia" w:ascii="宋体" w:hAnsi="宋体"/>
          <w:b/>
          <w:bCs/>
          <w:sz w:val="24"/>
        </w:rPr>
        <w:t>26</w:t>
      </w:r>
      <w:r>
        <w:rPr>
          <w:rFonts w:hint="eastAsia" w:ascii="宋体" w:hAnsi="宋体"/>
          <w:b/>
          <w:sz w:val="24"/>
        </w:rPr>
        <w:t>.</w:t>
      </w:r>
      <w:r>
        <w:rPr>
          <w:rFonts w:hint="eastAsia" w:ascii="宋体" w:hAnsi="宋体"/>
          <w:bCs/>
          <w:sz w:val="24"/>
        </w:rPr>
        <w:t>合同签订</w:t>
      </w:r>
    </w:p>
    <w:p w14:paraId="4EF5855C">
      <w:pPr>
        <w:snapToGrid w:val="0"/>
        <w:spacing w:line="400" w:lineRule="exact"/>
        <w:ind w:firstLine="480" w:firstLineChars="200"/>
        <w:rPr>
          <w:rFonts w:ascii="宋体" w:hAnsi="宋体"/>
          <w:bCs/>
          <w:sz w:val="24"/>
        </w:rPr>
      </w:pPr>
      <w:r>
        <w:rPr>
          <w:rFonts w:hint="eastAsia" w:ascii="宋体" w:hAnsi="宋体"/>
          <w:bCs/>
          <w:sz w:val="24"/>
        </w:rPr>
        <w:t>26.1成交供应商与采购人应按成交通知书中规定的时间、地点签订合同，否则应承担相应的法律责任。</w:t>
      </w:r>
    </w:p>
    <w:p w14:paraId="0034812A">
      <w:pPr>
        <w:snapToGrid w:val="0"/>
        <w:spacing w:line="400" w:lineRule="exact"/>
        <w:ind w:firstLine="480" w:firstLineChars="200"/>
        <w:rPr>
          <w:rFonts w:ascii="宋体" w:hAnsi="宋体"/>
          <w:b/>
          <w:bCs/>
          <w:sz w:val="24"/>
        </w:rPr>
      </w:pPr>
      <w:r>
        <w:rPr>
          <w:rFonts w:hint="eastAsia" w:ascii="宋体" w:hAnsi="宋体"/>
          <w:bCs/>
          <w:sz w:val="24"/>
        </w:rPr>
        <w:t>26.2磋商文件、成交供应商的响应文件及磋商过程中有关澄清文件和承诺均为合同附件。</w:t>
      </w:r>
    </w:p>
    <w:p w14:paraId="5DCFDA4F">
      <w:pPr>
        <w:snapToGrid w:val="0"/>
        <w:spacing w:line="400" w:lineRule="exact"/>
        <w:ind w:firstLine="480" w:firstLineChars="200"/>
        <w:rPr>
          <w:rFonts w:ascii="宋体" w:hAnsi="宋体"/>
          <w:sz w:val="24"/>
        </w:rPr>
      </w:pPr>
      <w:r>
        <w:rPr>
          <w:rFonts w:hint="eastAsia" w:ascii="宋体" w:hAnsi="宋体"/>
          <w:sz w:val="24"/>
        </w:rPr>
        <w:t>26</w:t>
      </w:r>
      <w:r>
        <w:rPr>
          <w:rFonts w:ascii="宋体" w:hAnsi="宋体"/>
          <w:sz w:val="24"/>
        </w:rPr>
        <w:t>.</w:t>
      </w:r>
      <w:r>
        <w:rPr>
          <w:rFonts w:hint="eastAsia" w:ascii="宋体" w:hAnsi="宋体"/>
          <w:sz w:val="24"/>
        </w:rPr>
        <w:t>3</w:t>
      </w:r>
      <w:r>
        <w:rPr>
          <w:rFonts w:hint="eastAsia" w:ascii="宋体" w:hAnsi="宋体"/>
          <w:snapToGrid w:val="0"/>
          <w:sz w:val="24"/>
        </w:rPr>
        <w:t>采购人与成交供应商将根据《中华人民共和国民法典》的规定，依据磋商文件和成交供应商的响应文件签订书面合同。</w:t>
      </w:r>
    </w:p>
    <w:p w14:paraId="202A0624">
      <w:pPr>
        <w:snapToGrid w:val="0"/>
        <w:spacing w:line="400" w:lineRule="exact"/>
        <w:ind w:firstLine="480" w:firstLineChars="200"/>
        <w:rPr>
          <w:rFonts w:ascii="宋体" w:hAnsi="宋体"/>
          <w:sz w:val="24"/>
        </w:rPr>
      </w:pPr>
      <w:r>
        <w:rPr>
          <w:rFonts w:hint="eastAsia" w:ascii="宋体" w:hAnsi="宋体"/>
          <w:sz w:val="24"/>
        </w:rPr>
        <w:t>26</w:t>
      </w:r>
      <w:r>
        <w:rPr>
          <w:rFonts w:ascii="宋体" w:hAnsi="宋体"/>
          <w:sz w:val="24"/>
        </w:rPr>
        <w:t>.</w:t>
      </w:r>
      <w:r>
        <w:rPr>
          <w:rFonts w:hint="eastAsia" w:ascii="宋体" w:hAnsi="宋体"/>
          <w:sz w:val="24"/>
        </w:rPr>
        <w:t>4采购人</w:t>
      </w:r>
      <w:r>
        <w:rPr>
          <w:rFonts w:ascii="宋体" w:hAnsi="宋体"/>
          <w:sz w:val="24"/>
        </w:rPr>
        <w:t>如不与</w:t>
      </w:r>
      <w:r>
        <w:rPr>
          <w:rFonts w:hint="eastAsia" w:ascii="宋体" w:hAnsi="宋体"/>
          <w:snapToGrid w:val="0"/>
          <w:sz w:val="24"/>
        </w:rPr>
        <w:t>成交</w:t>
      </w:r>
      <w:r>
        <w:rPr>
          <w:rFonts w:ascii="宋体" w:hAnsi="宋体"/>
          <w:sz w:val="24"/>
        </w:rPr>
        <w:t>供应商订立合同，或者</w:t>
      </w:r>
      <w:r>
        <w:rPr>
          <w:rFonts w:hint="eastAsia" w:ascii="宋体" w:hAnsi="宋体"/>
          <w:sz w:val="24"/>
        </w:rPr>
        <w:t>采购</w:t>
      </w:r>
      <w:r>
        <w:rPr>
          <w:rFonts w:ascii="宋体" w:hAnsi="宋体"/>
          <w:sz w:val="24"/>
        </w:rPr>
        <w:t>人、</w:t>
      </w:r>
      <w:r>
        <w:rPr>
          <w:rFonts w:hint="eastAsia" w:ascii="宋体" w:hAnsi="宋体"/>
          <w:snapToGrid w:val="0"/>
          <w:sz w:val="24"/>
        </w:rPr>
        <w:t>成交</w:t>
      </w:r>
      <w:r>
        <w:rPr>
          <w:rFonts w:ascii="宋体" w:hAnsi="宋体"/>
          <w:sz w:val="24"/>
        </w:rPr>
        <w:t>供应商订立背离合同实质性内容的协议，</w:t>
      </w:r>
      <w:r>
        <w:rPr>
          <w:rFonts w:hint="eastAsia" w:ascii="宋体" w:hAnsi="宋体"/>
          <w:sz w:val="24"/>
        </w:rPr>
        <w:t>由政府有关部门责令改正，</w:t>
      </w:r>
      <w:r>
        <w:rPr>
          <w:rFonts w:ascii="宋体" w:hAnsi="宋体"/>
          <w:sz w:val="24"/>
        </w:rPr>
        <w:t>同时依法承担相应法律责任</w:t>
      </w:r>
      <w:r>
        <w:rPr>
          <w:rFonts w:hint="eastAsia" w:ascii="宋体" w:hAnsi="宋体"/>
          <w:sz w:val="24"/>
        </w:rPr>
        <w:t>；</w:t>
      </w:r>
    </w:p>
    <w:p w14:paraId="473A6C27">
      <w:pPr>
        <w:snapToGrid w:val="0"/>
        <w:spacing w:line="400" w:lineRule="exact"/>
        <w:ind w:firstLine="480" w:firstLineChars="200"/>
        <w:rPr>
          <w:rFonts w:ascii="宋体" w:hAnsi="宋体"/>
          <w:sz w:val="24"/>
        </w:rPr>
      </w:pPr>
      <w:r>
        <w:rPr>
          <w:rFonts w:hint="eastAsia" w:ascii="宋体" w:hAnsi="宋体"/>
          <w:sz w:val="24"/>
        </w:rPr>
        <w:t>26</w:t>
      </w:r>
      <w:r>
        <w:rPr>
          <w:rFonts w:ascii="宋体" w:hAnsi="宋体"/>
          <w:sz w:val="24"/>
        </w:rPr>
        <w:t>.</w:t>
      </w:r>
      <w:r>
        <w:rPr>
          <w:rFonts w:hint="eastAsia" w:ascii="宋体" w:hAnsi="宋体"/>
          <w:sz w:val="24"/>
        </w:rPr>
        <w:t>5</w:t>
      </w:r>
      <w:r>
        <w:rPr>
          <w:rFonts w:hint="eastAsia" w:ascii="宋体" w:hAnsi="宋体"/>
          <w:snapToGrid w:val="0"/>
          <w:sz w:val="24"/>
        </w:rPr>
        <w:t>成交</w:t>
      </w:r>
      <w:r>
        <w:rPr>
          <w:rFonts w:ascii="宋体" w:hAnsi="宋体"/>
          <w:sz w:val="24"/>
        </w:rPr>
        <w:t>供应商如不按规定与</w:t>
      </w:r>
      <w:r>
        <w:rPr>
          <w:rFonts w:hint="eastAsia" w:ascii="宋体" w:hAnsi="宋体"/>
          <w:sz w:val="24"/>
        </w:rPr>
        <w:t>采购</w:t>
      </w:r>
      <w:r>
        <w:rPr>
          <w:rFonts w:ascii="宋体" w:hAnsi="宋体"/>
          <w:sz w:val="24"/>
        </w:rPr>
        <w:t>人订立合同，则</w:t>
      </w:r>
      <w:r>
        <w:rPr>
          <w:rFonts w:hint="eastAsia" w:ascii="宋体" w:hAnsi="宋体"/>
          <w:sz w:val="24"/>
        </w:rPr>
        <w:t>磋商采购单位</w:t>
      </w:r>
      <w:r>
        <w:rPr>
          <w:rFonts w:ascii="宋体" w:hAnsi="宋体"/>
          <w:sz w:val="24"/>
        </w:rPr>
        <w:t>将废除授标，给</w:t>
      </w:r>
      <w:r>
        <w:rPr>
          <w:rFonts w:hint="eastAsia" w:ascii="宋体" w:hAnsi="宋体"/>
          <w:sz w:val="24"/>
        </w:rPr>
        <w:t>磋商采购单位</w:t>
      </w:r>
      <w:r>
        <w:rPr>
          <w:rFonts w:ascii="宋体" w:hAnsi="宋体"/>
          <w:sz w:val="24"/>
        </w:rPr>
        <w:t>造成的损失超过</w:t>
      </w:r>
      <w:r>
        <w:rPr>
          <w:rFonts w:hint="eastAsia" w:ascii="宋体" w:hAnsi="宋体"/>
          <w:sz w:val="24"/>
        </w:rPr>
        <w:t>竞标</w:t>
      </w:r>
      <w:r>
        <w:rPr>
          <w:rFonts w:ascii="宋体" w:hAnsi="宋体"/>
          <w:sz w:val="24"/>
        </w:rPr>
        <w:t>担保数额的，还应当对超过部分予以赔偿，同时依法承担相应法律责任。</w:t>
      </w:r>
    </w:p>
    <w:p w14:paraId="7A4BA560">
      <w:pPr>
        <w:snapToGrid w:val="0"/>
        <w:spacing w:line="400" w:lineRule="exact"/>
        <w:ind w:firstLine="480" w:firstLineChars="200"/>
        <w:rPr>
          <w:rFonts w:ascii="宋体" w:hAnsi="宋体"/>
          <w:sz w:val="24"/>
        </w:rPr>
      </w:pPr>
      <w:r>
        <w:rPr>
          <w:rFonts w:hint="eastAsia" w:ascii="宋体" w:hAnsi="宋体"/>
          <w:sz w:val="24"/>
        </w:rPr>
        <w:t>26</w:t>
      </w:r>
      <w:r>
        <w:rPr>
          <w:rFonts w:ascii="宋体" w:hAnsi="宋体"/>
          <w:sz w:val="24"/>
        </w:rPr>
        <w:t>.</w:t>
      </w:r>
      <w:r>
        <w:rPr>
          <w:rFonts w:hint="eastAsia" w:ascii="宋体" w:hAnsi="宋体"/>
          <w:sz w:val="24"/>
        </w:rPr>
        <w:t>6</w:t>
      </w:r>
      <w:r>
        <w:rPr>
          <w:rFonts w:hint="eastAsia" w:ascii="宋体" w:hAnsi="宋体"/>
          <w:snapToGrid w:val="0"/>
          <w:sz w:val="24"/>
        </w:rPr>
        <w:t>成交</w:t>
      </w:r>
      <w:r>
        <w:rPr>
          <w:rFonts w:ascii="宋体" w:hAnsi="宋体"/>
          <w:sz w:val="24"/>
        </w:rPr>
        <w:t>供应商应当按照合同约定履行义务，完成</w:t>
      </w:r>
      <w:r>
        <w:rPr>
          <w:rFonts w:hint="eastAsia" w:ascii="宋体" w:hAnsi="宋体"/>
          <w:snapToGrid w:val="0"/>
          <w:sz w:val="24"/>
        </w:rPr>
        <w:t>成交</w:t>
      </w:r>
      <w:r>
        <w:rPr>
          <w:rFonts w:ascii="宋体" w:hAnsi="宋体"/>
          <w:sz w:val="24"/>
        </w:rPr>
        <w:t>项目</w:t>
      </w:r>
      <w:r>
        <w:rPr>
          <w:rFonts w:hint="eastAsia" w:ascii="宋体" w:hAnsi="宋体"/>
          <w:sz w:val="24"/>
        </w:rPr>
        <w:t>各项工作</w:t>
      </w:r>
      <w:r>
        <w:rPr>
          <w:rFonts w:ascii="宋体" w:hAnsi="宋体"/>
          <w:sz w:val="24"/>
        </w:rPr>
        <w:t>，不得将</w:t>
      </w:r>
      <w:r>
        <w:rPr>
          <w:rFonts w:hint="eastAsia" w:ascii="宋体" w:hAnsi="宋体"/>
          <w:snapToGrid w:val="0"/>
          <w:sz w:val="24"/>
        </w:rPr>
        <w:t>成交</w:t>
      </w:r>
      <w:r>
        <w:rPr>
          <w:rFonts w:ascii="宋体" w:hAnsi="宋体"/>
          <w:sz w:val="24"/>
        </w:rPr>
        <w:t>项目</w:t>
      </w:r>
      <w:r>
        <w:rPr>
          <w:rFonts w:hint="eastAsia" w:ascii="宋体" w:hAnsi="宋体"/>
          <w:sz w:val="24"/>
        </w:rPr>
        <w:t>违法</w:t>
      </w:r>
      <w:r>
        <w:rPr>
          <w:rFonts w:ascii="宋体" w:hAnsi="宋体"/>
          <w:sz w:val="24"/>
        </w:rPr>
        <w:t>转让（转包）给他人</w:t>
      </w:r>
      <w:r>
        <w:rPr>
          <w:rFonts w:hint="eastAsia" w:ascii="宋体" w:hAnsi="宋体"/>
          <w:sz w:val="24"/>
        </w:rPr>
        <w:t>；</w:t>
      </w:r>
    </w:p>
    <w:p w14:paraId="4FDC6481">
      <w:pPr>
        <w:snapToGrid w:val="0"/>
        <w:spacing w:line="400" w:lineRule="exact"/>
        <w:ind w:firstLine="480" w:firstLineChars="200"/>
        <w:rPr>
          <w:rFonts w:ascii="宋体" w:hAnsi="宋体"/>
          <w:sz w:val="24"/>
        </w:rPr>
      </w:pPr>
      <w:r>
        <w:rPr>
          <w:rFonts w:hint="eastAsia" w:ascii="宋体" w:hAnsi="宋体"/>
          <w:sz w:val="24"/>
        </w:rPr>
        <w:t>26</w:t>
      </w:r>
      <w:r>
        <w:rPr>
          <w:rFonts w:ascii="宋体" w:hAnsi="宋体"/>
          <w:sz w:val="24"/>
        </w:rPr>
        <w:t>.</w:t>
      </w:r>
      <w:r>
        <w:rPr>
          <w:rFonts w:hint="eastAsia" w:ascii="宋体" w:hAnsi="宋体"/>
          <w:sz w:val="24"/>
        </w:rPr>
        <w:t>7</w:t>
      </w:r>
      <w:r>
        <w:rPr>
          <w:rFonts w:ascii="宋体" w:hAnsi="宋体"/>
          <w:sz w:val="24"/>
        </w:rPr>
        <w:t>如果</w:t>
      </w:r>
      <w:r>
        <w:rPr>
          <w:rFonts w:hint="eastAsia" w:ascii="宋体" w:hAnsi="宋体"/>
          <w:snapToGrid w:val="0"/>
          <w:sz w:val="24"/>
        </w:rPr>
        <w:t>成交</w:t>
      </w:r>
      <w:r>
        <w:rPr>
          <w:rFonts w:hint="eastAsia" w:ascii="宋体" w:hAnsi="宋体"/>
          <w:sz w:val="24"/>
        </w:rPr>
        <w:t>供应商</w:t>
      </w:r>
      <w:r>
        <w:rPr>
          <w:rFonts w:ascii="宋体" w:hAnsi="宋体"/>
          <w:sz w:val="24"/>
        </w:rPr>
        <w:t>未能遵守本须知第</w:t>
      </w:r>
      <w:r>
        <w:rPr>
          <w:rFonts w:hint="eastAsia" w:ascii="宋体" w:hAnsi="宋体"/>
          <w:sz w:val="24"/>
        </w:rPr>
        <w:t>26.5</w:t>
      </w:r>
      <w:r>
        <w:rPr>
          <w:rFonts w:ascii="宋体" w:hAnsi="宋体"/>
          <w:sz w:val="24"/>
        </w:rPr>
        <w:t>条的规定，则可取消其</w:t>
      </w:r>
      <w:r>
        <w:rPr>
          <w:rFonts w:hint="eastAsia" w:ascii="宋体" w:hAnsi="宋体"/>
          <w:snapToGrid w:val="0"/>
          <w:sz w:val="24"/>
        </w:rPr>
        <w:t>成交</w:t>
      </w:r>
      <w:r>
        <w:rPr>
          <w:rFonts w:ascii="宋体" w:hAnsi="宋体"/>
          <w:sz w:val="24"/>
        </w:rPr>
        <w:t>资格。在此情况下，可将合同授予</w:t>
      </w:r>
      <w:r>
        <w:rPr>
          <w:rFonts w:hint="eastAsia" w:ascii="宋体" w:hAnsi="宋体"/>
          <w:sz w:val="24"/>
        </w:rPr>
        <w:t>排序在</w:t>
      </w:r>
      <w:r>
        <w:rPr>
          <w:rFonts w:hint="eastAsia" w:ascii="宋体" w:hAnsi="宋体"/>
          <w:snapToGrid w:val="0"/>
          <w:sz w:val="24"/>
        </w:rPr>
        <w:t>成交</w:t>
      </w:r>
      <w:r>
        <w:rPr>
          <w:rFonts w:hint="eastAsia" w:ascii="宋体" w:hAnsi="宋体"/>
          <w:sz w:val="24"/>
        </w:rPr>
        <w:t>供应商之后的第一位</w:t>
      </w:r>
      <w:r>
        <w:rPr>
          <w:rFonts w:hint="eastAsia" w:ascii="宋体" w:hAnsi="宋体"/>
          <w:snapToGrid w:val="0"/>
          <w:sz w:val="24"/>
        </w:rPr>
        <w:t>成交</w:t>
      </w:r>
      <w:r>
        <w:rPr>
          <w:rFonts w:hint="eastAsia" w:ascii="宋体" w:hAnsi="宋体"/>
          <w:sz w:val="24"/>
        </w:rPr>
        <w:t>候选供应商</w:t>
      </w:r>
      <w:r>
        <w:rPr>
          <w:rFonts w:ascii="宋体" w:hAnsi="宋体"/>
          <w:sz w:val="24"/>
        </w:rPr>
        <w:t>。</w:t>
      </w:r>
    </w:p>
    <w:p w14:paraId="75687487">
      <w:pPr>
        <w:snapToGrid w:val="0"/>
        <w:spacing w:line="400" w:lineRule="exact"/>
        <w:ind w:firstLine="480" w:firstLineChars="200"/>
        <w:rPr>
          <w:rFonts w:ascii="宋体" w:hAnsi="宋体"/>
          <w:bCs/>
          <w:sz w:val="24"/>
        </w:rPr>
      </w:pPr>
      <w:r>
        <w:rPr>
          <w:rFonts w:hint="eastAsia" w:ascii="宋体" w:hAnsi="宋体"/>
          <w:bCs/>
          <w:sz w:val="24"/>
        </w:rPr>
        <w:t>26.8自合同签订之日起七个工作日内，成交供应商需将合同副本送采购代理机构存档。</w:t>
      </w:r>
    </w:p>
    <w:p w14:paraId="7348EE7C">
      <w:pPr>
        <w:snapToGrid w:val="0"/>
        <w:spacing w:line="400" w:lineRule="exact"/>
        <w:ind w:firstLine="480" w:firstLineChars="200"/>
        <w:rPr>
          <w:rFonts w:ascii="宋体" w:hAnsi="宋体"/>
          <w:sz w:val="24"/>
        </w:rPr>
      </w:pPr>
      <w:r>
        <w:rPr>
          <w:rFonts w:hint="eastAsia" w:ascii="宋体" w:hAnsi="宋体"/>
          <w:sz w:val="24"/>
        </w:rPr>
        <w:t>27.履约保证金</w:t>
      </w:r>
    </w:p>
    <w:p w14:paraId="78739196">
      <w:pPr>
        <w:snapToGrid w:val="0"/>
        <w:spacing w:line="400" w:lineRule="exact"/>
        <w:ind w:firstLine="480" w:firstLineChars="200"/>
        <w:rPr>
          <w:rFonts w:ascii="宋体" w:hAnsi="宋体"/>
          <w:sz w:val="24"/>
        </w:rPr>
      </w:pPr>
      <w:r>
        <w:rPr>
          <w:rFonts w:hint="eastAsia" w:ascii="宋体" w:hAnsi="宋体"/>
          <w:sz w:val="24"/>
        </w:rPr>
        <w:t>按本须知前附表要求进行缴纳。</w:t>
      </w:r>
    </w:p>
    <w:p w14:paraId="1A8641D6">
      <w:bookmarkStart w:id="19" w:name="_Toc72487177"/>
    </w:p>
    <w:p w14:paraId="6F5F6119">
      <w:pPr>
        <w:pStyle w:val="2"/>
        <w:ind w:firstLine="240"/>
      </w:pPr>
    </w:p>
    <w:p w14:paraId="18E1CEE0"/>
    <w:p w14:paraId="3366C6A3">
      <w:pPr>
        <w:pStyle w:val="2"/>
        <w:ind w:firstLine="240"/>
      </w:pPr>
    </w:p>
    <w:p w14:paraId="3C6300D5"/>
    <w:p w14:paraId="23B11C50">
      <w:pPr>
        <w:pStyle w:val="2"/>
        <w:ind w:firstLine="240"/>
      </w:pPr>
    </w:p>
    <w:p w14:paraId="55B08D03"/>
    <w:p w14:paraId="61974E6D">
      <w:pPr>
        <w:pStyle w:val="2"/>
        <w:ind w:firstLine="240"/>
      </w:pPr>
    </w:p>
    <w:p w14:paraId="686A1939"/>
    <w:p w14:paraId="39E4A851">
      <w:pPr>
        <w:pStyle w:val="2"/>
        <w:ind w:firstLine="240"/>
      </w:pPr>
    </w:p>
    <w:p w14:paraId="4652A6AF"/>
    <w:p w14:paraId="3AF23B16">
      <w:pPr>
        <w:pStyle w:val="2"/>
        <w:ind w:firstLine="240"/>
      </w:pPr>
    </w:p>
    <w:p w14:paraId="52D8B0C8"/>
    <w:p w14:paraId="63AA63FD">
      <w:pPr>
        <w:pStyle w:val="2"/>
        <w:ind w:firstLine="240"/>
      </w:pPr>
    </w:p>
    <w:p w14:paraId="2B225067"/>
    <w:p w14:paraId="28C68124">
      <w:pPr>
        <w:pStyle w:val="2"/>
        <w:ind w:firstLine="240"/>
      </w:pPr>
    </w:p>
    <w:p w14:paraId="229FDDE6"/>
    <w:p w14:paraId="1DD29129">
      <w:pPr>
        <w:pStyle w:val="2"/>
        <w:ind w:firstLine="240"/>
      </w:pPr>
    </w:p>
    <w:p w14:paraId="79654BCE"/>
    <w:p w14:paraId="1B0E88BA">
      <w:pPr>
        <w:pStyle w:val="2"/>
        <w:ind w:firstLine="240"/>
      </w:pPr>
    </w:p>
    <w:p w14:paraId="0CCE97BF">
      <w:pPr>
        <w:pStyle w:val="2"/>
        <w:ind w:firstLine="0" w:firstLineChars="0"/>
      </w:pPr>
    </w:p>
    <w:p w14:paraId="0C12C954">
      <w:pPr>
        <w:pStyle w:val="4"/>
        <w:spacing w:before="120" w:after="120" w:line="240" w:lineRule="auto"/>
        <w:jc w:val="center"/>
        <w:rPr>
          <w:rFonts w:ascii="宋体" w:hAnsi="宋体"/>
          <w:sz w:val="32"/>
          <w:szCs w:val="32"/>
        </w:rPr>
      </w:pPr>
      <w:r>
        <w:rPr>
          <w:rFonts w:hint="eastAsia" w:ascii="宋体" w:hAnsi="宋体"/>
          <w:sz w:val="32"/>
          <w:szCs w:val="32"/>
        </w:rPr>
        <w:t xml:space="preserve">第二章  </w:t>
      </w:r>
      <w:bookmarkEnd w:id="12"/>
      <w:r>
        <w:rPr>
          <w:rFonts w:hint="eastAsia" w:ascii="宋体" w:hAnsi="宋体"/>
          <w:sz w:val="32"/>
          <w:szCs w:val="32"/>
        </w:rPr>
        <w:t>磋商需求</w:t>
      </w:r>
      <w:bookmarkEnd w:id="19"/>
    </w:p>
    <w:p w14:paraId="42035837">
      <w:pPr>
        <w:pStyle w:val="19"/>
        <w:widowControl/>
        <w:snapToGrid w:val="0"/>
        <w:spacing w:before="156" w:after="156"/>
        <w:outlineLvl w:val="0"/>
        <w:rPr>
          <w:rFonts w:hAnsi="宋体"/>
          <w:b/>
          <w:color w:val="auto"/>
        </w:rPr>
      </w:pPr>
      <w:bookmarkStart w:id="20" w:name="_Toc452995903"/>
      <w:bookmarkStart w:id="21" w:name="_Toc152043787"/>
      <w:r>
        <w:rPr>
          <w:rFonts w:hint="eastAsia" w:hAnsi="宋体"/>
          <w:b/>
          <w:color w:val="auto"/>
        </w:rPr>
        <w:t>一、项目概况</w:t>
      </w:r>
    </w:p>
    <w:p w14:paraId="6B76433E">
      <w:pPr>
        <w:pStyle w:val="3"/>
        <w:autoSpaceDE w:val="0"/>
        <w:spacing w:after="0" w:line="440" w:lineRule="exact"/>
        <w:ind w:firstLine="480" w:firstLineChars="200"/>
        <w:rPr>
          <w:bCs/>
          <w:color w:val="auto"/>
          <w:sz w:val="24"/>
        </w:rPr>
      </w:pPr>
      <w:r>
        <w:rPr>
          <w:rFonts w:hint="eastAsia"/>
          <w:bCs/>
          <w:color w:val="auto"/>
          <w:sz w:val="24"/>
        </w:rPr>
        <w:t>南浔经济开发区(东迁街道)辖区范围 75 平方公里，常住人口及流动人口达 11 万余人，区域大、场所多、人口密集，城市管理压力较大。为进一步强化城市精细化管理水平，护航开发区(东迁街道)经济社会发展，根据辖区实际，需通过社会化服务，协助开展城市管理服务，提升城市精细化管理水平。</w:t>
      </w:r>
    </w:p>
    <w:p w14:paraId="184D7944">
      <w:pPr>
        <w:snapToGrid w:val="0"/>
        <w:spacing w:line="400" w:lineRule="exact"/>
        <w:rPr>
          <w:rFonts w:ascii="宋体" w:hAnsi="宋体"/>
          <w:b/>
          <w:color w:val="auto"/>
          <w:sz w:val="24"/>
        </w:rPr>
      </w:pPr>
      <w:r>
        <w:rPr>
          <w:rFonts w:hint="eastAsia" w:ascii="宋体" w:hAnsi="宋体"/>
          <w:b/>
          <w:color w:val="auto"/>
          <w:sz w:val="24"/>
        </w:rPr>
        <w:t>二、</w:t>
      </w:r>
      <w:r>
        <w:rPr>
          <w:rFonts w:hint="eastAsia" w:ascii="宋体" w:hAnsi="宋体"/>
          <w:b/>
          <w:bCs/>
          <w:color w:val="auto"/>
          <w:sz w:val="24"/>
        </w:rPr>
        <w:t>总体要求</w:t>
      </w:r>
    </w:p>
    <w:p w14:paraId="0DA0588F">
      <w:pPr>
        <w:pStyle w:val="32"/>
        <w:shd w:val="clear" w:color="auto" w:fill="FFFFFF"/>
        <w:spacing w:before="0" w:beforeAutospacing="0" w:after="0" w:afterAutospacing="0" w:line="400" w:lineRule="exact"/>
        <w:ind w:firstLine="482" w:firstLineChars="200"/>
        <w:rPr>
          <w:b/>
          <w:bCs/>
          <w:color w:val="auto"/>
          <w:shd w:val="clear" w:color="auto" w:fill="FFFFFF"/>
        </w:rPr>
      </w:pPr>
      <w:r>
        <w:rPr>
          <w:rFonts w:hint="eastAsia"/>
          <w:b/>
          <w:bCs/>
          <w:color w:val="auto"/>
          <w:shd w:val="clear" w:color="auto" w:fill="FFFFFF"/>
        </w:rPr>
        <w:t>（一）指导思想</w:t>
      </w:r>
    </w:p>
    <w:p w14:paraId="2EDE4D72">
      <w:pPr>
        <w:spacing w:line="400" w:lineRule="exact"/>
        <w:ind w:firstLine="480"/>
        <w:rPr>
          <w:rFonts w:ascii="宋体" w:hAnsi="宋体"/>
          <w:color w:val="auto"/>
          <w:kern w:val="0"/>
          <w:sz w:val="24"/>
        </w:rPr>
      </w:pPr>
      <w:r>
        <w:rPr>
          <w:rFonts w:hint="eastAsia" w:ascii="宋体" w:hAnsi="宋体"/>
          <w:color w:val="auto"/>
          <w:kern w:val="0"/>
          <w:sz w:val="24"/>
        </w:rPr>
        <w:t>坚持以人民为中心，全面贯彻党的二十大和二</w:t>
      </w:r>
      <w:r>
        <w:rPr>
          <w:rFonts w:hint="eastAsia" w:ascii="宋体" w:hAnsi="宋体"/>
          <w:bCs/>
          <w:color w:val="auto"/>
          <w:sz w:val="24"/>
        </w:rPr>
        <w:t>十届历次会议精神，坚持和发展新时代“枫桥经验”，深入推进“在湖州看见美丽中国”实干争先主题实践，</w:t>
      </w:r>
      <w:r>
        <w:rPr>
          <w:rFonts w:hint="eastAsia" w:ascii="宋体" w:hAnsi="宋体"/>
          <w:color w:val="auto"/>
          <w:kern w:val="0"/>
          <w:sz w:val="24"/>
        </w:rPr>
        <w:t>按照“政府主导、部门联动、社会参与、建管并重”原则，</w:t>
      </w:r>
      <w:r>
        <w:rPr>
          <w:rFonts w:hint="eastAsia" w:ascii="宋体" w:hAnsi="宋体"/>
          <w:bCs/>
          <w:color w:val="auto"/>
          <w:sz w:val="24"/>
        </w:rPr>
        <w:t>积极探索城市管理新模式，不断提升政府公共服务和社会参与服务能力，全方位提升城市风貌品质，确保城市公共空间清爽、干净、有序、安全，不断增强人民群众获得感、幸福感、安全感，</w:t>
      </w:r>
      <w:r>
        <w:rPr>
          <w:rFonts w:hint="eastAsia" w:ascii="宋体" w:hAnsi="宋体"/>
          <w:color w:val="auto"/>
          <w:kern w:val="0"/>
          <w:sz w:val="24"/>
        </w:rPr>
        <w:t>更高效地保障人民群众安居乐业。</w:t>
      </w:r>
    </w:p>
    <w:p w14:paraId="6CF22B04">
      <w:pPr>
        <w:pStyle w:val="32"/>
        <w:shd w:val="clear" w:color="auto" w:fill="FFFFFF"/>
        <w:spacing w:before="0" w:beforeAutospacing="0" w:after="0" w:afterAutospacing="0" w:line="400" w:lineRule="exact"/>
        <w:ind w:firstLine="472" w:firstLineChars="196"/>
        <w:rPr>
          <w:b/>
          <w:bCs/>
          <w:color w:val="auto"/>
          <w:shd w:val="clear" w:color="auto" w:fill="FFFFFF"/>
        </w:rPr>
      </w:pPr>
      <w:r>
        <w:rPr>
          <w:rFonts w:hint="eastAsia"/>
          <w:b/>
          <w:bCs/>
          <w:color w:val="auto"/>
          <w:shd w:val="clear" w:color="auto" w:fill="FFFFFF"/>
        </w:rPr>
        <w:t>（二）“城市管理”服务协调分流处置管理目标</w:t>
      </w:r>
    </w:p>
    <w:p w14:paraId="58ADEA3F">
      <w:pPr>
        <w:spacing w:line="400" w:lineRule="exact"/>
        <w:rPr>
          <w:rFonts w:ascii="宋体" w:hAnsi="宋体"/>
          <w:color w:val="auto"/>
          <w:kern w:val="0"/>
          <w:sz w:val="24"/>
        </w:rPr>
      </w:pPr>
      <w:r>
        <w:rPr>
          <w:rFonts w:hint="eastAsia" w:ascii="宋体" w:hAnsi="宋体"/>
          <w:color w:val="auto"/>
          <w:kern w:val="0"/>
          <w:sz w:val="24"/>
        </w:rPr>
        <w:t xml:space="preserve">    根据市、区城管委的统一部署，对城市管理事务进行科学分析研判、分类分级分流处置，“城市管理服务”协调分流处置、化解处理效率，确保“城市管理”协调事务得到快速处置、高效化解。</w:t>
      </w:r>
    </w:p>
    <w:p w14:paraId="4D33BE12">
      <w:pPr>
        <w:adjustRightInd w:val="0"/>
        <w:spacing w:line="400" w:lineRule="exact"/>
        <w:jc w:val="left"/>
        <w:textAlignment w:val="baseline"/>
        <w:rPr>
          <w:rFonts w:ascii="宋体" w:hAnsi="宋体"/>
          <w:b/>
          <w:bCs/>
          <w:color w:val="auto"/>
          <w:sz w:val="24"/>
        </w:rPr>
      </w:pPr>
      <w:r>
        <w:rPr>
          <w:rFonts w:hint="eastAsia" w:ascii="宋体" w:hAnsi="宋体"/>
          <w:b/>
          <w:bCs/>
          <w:color w:val="auto"/>
          <w:sz w:val="24"/>
        </w:rPr>
        <w:t>三、主要工作内容（包括但不限于）</w:t>
      </w:r>
    </w:p>
    <w:p w14:paraId="3F0A35DD">
      <w:pPr>
        <w:pStyle w:val="32"/>
        <w:shd w:val="clear" w:color="auto" w:fill="FFFFFF"/>
        <w:spacing w:before="0" w:beforeAutospacing="0" w:after="0" w:afterAutospacing="0" w:line="400" w:lineRule="exact"/>
        <w:ind w:firstLine="480" w:firstLineChars="200"/>
        <w:rPr>
          <w:color w:val="auto"/>
          <w:shd w:val="clear" w:color="auto" w:fill="FFFFFF"/>
        </w:rPr>
      </w:pPr>
      <w:r>
        <w:rPr>
          <w:rFonts w:hint="eastAsia"/>
          <w:color w:val="auto"/>
          <w:shd w:val="clear" w:color="auto" w:fill="FFFFFF"/>
        </w:rPr>
        <w:t>1、工作内容：</w:t>
      </w:r>
    </w:p>
    <w:p w14:paraId="3E5C307E">
      <w:pPr>
        <w:spacing w:line="400" w:lineRule="exact"/>
        <w:ind w:firstLine="480" w:firstLineChars="200"/>
        <w:rPr>
          <w:rFonts w:ascii="宋体" w:hAnsi="宋体"/>
          <w:color w:val="auto"/>
          <w:kern w:val="0"/>
          <w:sz w:val="24"/>
        </w:rPr>
      </w:pPr>
      <w:r>
        <w:rPr>
          <w:rFonts w:hint="eastAsia" w:ascii="宋体" w:hAnsi="宋体"/>
          <w:color w:val="auto"/>
          <w:kern w:val="0"/>
          <w:sz w:val="24"/>
        </w:rPr>
        <w:t>1）“城市管理类”现场及时发现、精准高效处置，防止因不及时掌握现场而导致城市管理缺位情况；</w:t>
      </w:r>
    </w:p>
    <w:p w14:paraId="6AD6576E">
      <w:pPr>
        <w:spacing w:line="400" w:lineRule="exact"/>
        <w:ind w:firstLine="480" w:firstLineChars="200"/>
        <w:rPr>
          <w:rFonts w:ascii="宋体" w:hAnsi="宋体"/>
          <w:color w:val="auto"/>
          <w:kern w:val="0"/>
          <w:sz w:val="24"/>
        </w:rPr>
      </w:pPr>
      <w:r>
        <w:rPr>
          <w:rFonts w:hint="eastAsia" w:ascii="宋体" w:hAnsi="宋体"/>
          <w:color w:val="auto"/>
          <w:kern w:val="0"/>
          <w:sz w:val="24"/>
        </w:rPr>
        <w:t>2）对反复性城市管理痛点问题派驻管理，及时有效现场化解，防止矛盾激化升级造成社会面纠纷；增设网格化管理点位，定期跟踪回访和宣传教育；</w:t>
      </w:r>
    </w:p>
    <w:p w14:paraId="77F2FC66">
      <w:pPr>
        <w:spacing w:line="400" w:lineRule="exact"/>
        <w:ind w:firstLine="480" w:firstLineChars="200"/>
        <w:rPr>
          <w:rFonts w:ascii="宋体" w:hAnsi="宋体"/>
          <w:color w:val="auto"/>
          <w:kern w:val="0"/>
          <w:sz w:val="24"/>
        </w:rPr>
      </w:pPr>
      <w:r>
        <w:rPr>
          <w:rFonts w:hint="eastAsia" w:ascii="宋体" w:hAnsi="宋体"/>
          <w:color w:val="auto"/>
          <w:kern w:val="0"/>
          <w:sz w:val="24"/>
        </w:rPr>
        <w:t>3）协作城市管理主体深入基层走访巡查，主动发现城市管理盲点、风险隐患等，及时有效完善摸底排查等细节工作；</w:t>
      </w:r>
    </w:p>
    <w:p w14:paraId="71AC4BA2">
      <w:pPr>
        <w:spacing w:line="400" w:lineRule="exact"/>
        <w:ind w:firstLine="480" w:firstLineChars="200"/>
        <w:rPr>
          <w:rFonts w:ascii="宋体" w:hAnsi="宋体"/>
          <w:color w:val="auto"/>
          <w:kern w:val="0"/>
          <w:sz w:val="24"/>
        </w:rPr>
      </w:pPr>
      <w:r>
        <w:rPr>
          <w:rFonts w:hint="eastAsia" w:ascii="宋体" w:hAnsi="宋体"/>
          <w:color w:val="auto"/>
          <w:kern w:val="0"/>
          <w:sz w:val="24"/>
        </w:rPr>
        <w:t>4）其他有关城市管理服务类工作。</w:t>
      </w:r>
    </w:p>
    <w:p w14:paraId="53C3E837">
      <w:pPr>
        <w:autoSpaceDE w:val="0"/>
        <w:autoSpaceDN w:val="0"/>
        <w:spacing w:line="400" w:lineRule="exact"/>
        <w:ind w:firstLine="480" w:firstLineChars="200"/>
        <w:rPr>
          <w:rFonts w:ascii="宋体" w:hAnsi="宋体"/>
          <w:color w:val="auto"/>
          <w:kern w:val="0"/>
          <w:sz w:val="24"/>
        </w:rPr>
      </w:pPr>
      <w:r>
        <w:rPr>
          <w:rFonts w:hint="eastAsia" w:ascii="宋体" w:hAnsi="宋体"/>
          <w:color w:val="auto"/>
          <w:kern w:val="0"/>
          <w:sz w:val="24"/>
        </w:rPr>
        <w:t>2、工作对象：城市管理主体部门推送的符合“城市管理类”协调事务。</w:t>
      </w:r>
    </w:p>
    <w:p w14:paraId="593D6FEC">
      <w:pPr>
        <w:pStyle w:val="34"/>
        <w:widowControl/>
        <w:spacing w:line="400" w:lineRule="exact"/>
        <w:ind w:left="0" w:leftChars="0" w:firstLine="480"/>
        <w:rPr>
          <w:rFonts w:ascii="宋体" w:eastAsia="宋体"/>
          <w:color w:val="auto"/>
          <w:kern w:val="0"/>
          <w:sz w:val="24"/>
        </w:rPr>
      </w:pPr>
      <w:r>
        <w:rPr>
          <w:rFonts w:hint="eastAsia" w:ascii="宋体" w:eastAsia="宋体"/>
          <w:color w:val="auto"/>
          <w:kern w:val="0"/>
          <w:sz w:val="24"/>
        </w:rPr>
        <w:t>3、每年处理数量：不少于20000起。</w:t>
      </w:r>
    </w:p>
    <w:p w14:paraId="648EA33F">
      <w:pPr>
        <w:spacing w:line="400" w:lineRule="exact"/>
        <w:ind w:firstLine="482" w:firstLineChars="200"/>
        <w:rPr>
          <w:rFonts w:ascii="宋体" w:hAnsi="宋体"/>
          <w:b/>
          <w:bCs/>
          <w:color w:val="auto"/>
          <w:sz w:val="24"/>
        </w:rPr>
      </w:pPr>
      <w:r>
        <w:rPr>
          <w:rFonts w:hint="eastAsia" w:ascii="宋体" w:hAnsi="宋体"/>
          <w:b/>
          <w:bCs/>
          <w:color w:val="auto"/>
          <w:sz w:val="24"/>
        </w:rPr>
        <w:t>四、项目需求</w:t>
      </w:r>
    </w:p>
    <w:p w14:paraId="4C447C86">
      <w:pPr>
        <w:spacing w:line="400" w:lineRule="exact"/>
        <w:ind w:firstLine="482" w:firstLineChars="200"/>
        <w:rPr>
          <w:rFonts w:ascii="宋体" w:hAnsi="宋体"/>
          <w:b/>
          <w:bCs/>
          <w:color w:val="auto"/>
          <w:sz w:val="24"/>
        </w:rPr>
      </w:pPr>
      <w:r>
        <w:rPr>
          <w:rFonts w:hint="eastAsia" w:ascii="宋体" w:hAnsi="宋体"/>
          <w:b/>
          <w:bCs/>
          <w:color w:val="auto"/>
          <w:sz w:val="24"/>
        </w:rPr>
        <w:t>（一）服务要求:</w:t>
      </w:r>
    </w:p>
    <w:p w14:paraId="30A2EADD">
      <w:pPr>
        <w:spacing w:line="400" w:lineRule="exact"/>
        <w:ind w:firstLine="480" w:firstLineChars="200"/>
        <w:rPr>
          <w:rFonts w:ascii="宋体" w:hAnsi="宋体"/>
          <w:color w:val="auto"/>
          <w:sz w:val="24"/>
        </w:rPr>
      </w:pPr>
      <w:r>
        <w:rPr>
          <w:rFonts w:hint="eastAsia" w:ascii="宋体" w:hAnsi="宋体"/>
          <w:color w:val="auto"/>
          <w:sz w:val="24"/>
        </w:rPr>
        <w:t>1、供应商具备完善的管理制度和工作流程，具备较强的保障能力和应急服务能力，由供应商按磋商方案及合同约定提供服务项目实施人员，在采购人指派下开展各项工作。</w:t>
      </w:r>
    </w:p>
    <w:p w14:paraId="55BA2C2E">
      <w:pPr>
        <w:spacing w:line="400" w:lineRule="exact"/>
        <w:ind w:firstLine="480" w:firstLineChars="200"/>
        <w:rPr>
          <w:rFonts w:ascii="宋体" w:hAnsi="宋体"/>
          <w:color w:val="auto"/>
          <w:sz w:val="24"/>
        </w:rPr>
      </w:pPr>
      <w:r>
        <w:rPr>
          <w:rFonts w:hint="eastAsia" w:ascii="宋体" w:hAnsi="宋体"/>
          <w:color w:val="auto"/>
          <w:sz w:val="24"/>
        </w:rPr>
        <w:t>2、供应商具备履行项目的人才储备能力，能确保项目服务稳定，项目服务人员工作连续性。城市管理协调工作具有较强连贯性，需要项目服务人员稳定持续工作。服务项目期间，采购人不支持供应商为项目所有实施人员提供的年休假、婚假、产假等，项目服务人员因各种原因导致无法连续工作的，供应商负责提供补充或替换人员。</w:t>
      </w:r>
    </w:p>
    <w:p w14:paraId="0026563A">
      <w:pPr>
        <w:spacing w:line="400" w:lineRule="exact"/>
        <w:ind w:firstLine="480" w:firstLineChars="200"/>
        <w:rPr>
          <w:rFonts w:ascii="宋体" w:hAnsi="宋体"/>
          <w:color w:val="auto"/>
          <w:sz w:val="24"/>
        </w:rPr>
      </w:pPr>
      <w:r>
        <w:rPr>
          <w:rFonts w:hint="eastAsia" w:ascii="宋体" w:hAnsi="宋体"/>
          <w:color w:val="auto"/>
          <w:sz w:val="24"/>
        </w:rPr>
        <w:t>3、供应商服务人员统一着装以及处置城市管理服务必要的装备由供应商自行配备，另外供应商需考虑项目实施过程中所需的交通用汽车。</w:t>
      </w:r>
    </w:p>
    <w:p w14:paraId="589C7CF1">
      <w:pPr>
        <w:autoSpaceDE w:val="0"/>
        <w:autoSpaceDN w:val="0"/>
        <w:spacing w:line="400" w:lineRule="exact"/>
        <w:ind w:firstLine="480" w:firstLineChars="200"/>
        <w:rPr>
          <w:rFonts w:ascii="宋体" w:hAnsi="宋体"/>
          <w:color w:val="auto"/>
          <w:kern w:val="0"/>
          <w:sz w:val="24"/>
        </w:rPr>
      </w:pPr>
      <w:r>
        <w:rPr>
          <w:rFonts w:hint="eastAsia" w:ascii="宋体" w:hAnsi="宋体"/>
          <w:color w:val="auto"/>
          <w:kern w:val="0"/>
          <w:sz w:val="24"/>
        </w:rPr>
        <w:t>4、检查、考核</w:t>
      </w:r>
    </w:p>
    <w:p w14:paraId="5B18E950">
      <w:pPr>
        <w:autoSpaceDE w:val="0"/>
        <w:autoSpaceDN w:val="0"/>
        <w:spacing w:line="400" w:lineRule="exact"/>
        <w:ind w:firstLine="480" w:firstLineChars="200"/>
        <w:rPr>
          <w:rFonts w:ascii="宋体" w:hAnsi="宋体"/>
          <w:b/>
          <w:bCs/>
          <w:color w:val="auto"/>
          <w:sz w:val="24"/>
        </w:rPr>
      </w:pPr>
      <w:r>
        <w:rPr>
          <w:rFonts w:hint="eastAsia" w:ascii="宋体" w:hAnsi="宋体"/>
          <w:color w:val="auto"/>
          <w:kern w:val="0"/>
          <w:sz w:val="24"/>
        </w:rPr>
        <w:t>合同期内采购人中标服务商的服务质量进行考核,若达不到采购人规定要求,采购人对中标服务商提出限期整改。限期整改仍达不到采购人要求的,采购人有权终止合同,成交服务商返还采购人已经支付的费用,并由成交服务商承担合同价款30%违约金,造成采购人其他损失的由承包人继续承担赔偿责任。</w:t>
      </w:r>
    </w:p>
    <w:p w14:paraId="768C8CC4">
      <w:pPr>
        <w:pStyle w:val="32"/>
        <w:shd w:val="clear" w:color="auto" w:fill="FFFFFF"/>
        <w:spacing w:before="0" w:beforeAutospacing="0" w:after="0" w:afterAutospacing="0" w:line="400" w:lineRule="exact"/>
        <w:ind w:left="480"/>
        <w:rPr>
          <w:color w:val="auto"/>
          <w:shd w:val="clear" w:color="auto" w:fill="FFFFFF"/>
        </w:rPr>
      </w:pPr>
      <w:r>
        <w:rPr>
          <w:rFonts w:hint="eastAsia"/>
          <w:b/>
          <w:bCs/>
          <w:color w:val="auto"/>
          <w:shd w:val="clear" w:color="auto" w:fill="FFFFFF"/>
        </w:rPr>
        <w:t>（二）人员要求</w:t>
      </w:r>
    </w:p>
    <w:p w14:paraId="43526433">
      <w:pPr>
        <w:spacing w:line="400" w:lineRule="exact"/>
        <w:ind w:firstLine="480" w:firstLineChars="200"/>
        <w:rPr>
          <w:rFonts w:ascii="宋体" w:hAnsi="宋体"/>
          <w:color w:val="auto"/>
          <w:kern w:val="0"/>
          <w:sz w:val="24"/>
        </w:rPr>
      </w:pPr>
      <w:r>
        <w:rPr>
          <w:rFonts w:hint="eastAsia" w:ascii="宋体" w:hAnsi="宋体"/>
          <w:color w:val="auto"/>
          <w:kern w:val="0"/>
          <w:sz w:val="24"/>
        </w:rPr>
        <w:t>1、根据“城市管理服务”协调处置、调处的需求，要求配置完整的人员构架服务体系（如接收、派单、处置、协调、跟踪等），在本项目服务周期内必须保障人员的稳定性，且须指定一名项目总负责人，有团队管理经验，协助采购人完成管理工作。</w:t>
      </w:r>
    </w:p>
    <w:p w14:paraId="7F821D93">
      <w:pPr>
        <w:autoSpaceDE w:val="0"/>
        <w:autoSpaceDN w:val="0"/>
        <w:spacing w:line="400" w:lineRule="exact"/>
        <w:ind w:firstLine="480" w:firstLineChars="200"/>
        <w:rPr>
          <w:rFonts w:ascii="宋体" w:hAnsi="宋体"/>
          <w:color w:val="auto"/>
          <w:kern w:val="0"/>
          <w:sz w:val="24"/>
        </w:rPr>
      </w:pPr>
      <w:r>
        <w:rPr>
          <w:rFonts w:hint="eastAsia" w:ascii="宋体" w:hAnsi="宋体"/>
          <w:color w:val="auto"/>
          <w:kern w:val="0"/>
          <w:sz w:val="24"/>
        </w:rPr>
        <w:t>▲2、要求服务人员较强的法律专业知识和群众工作能力，具有矛盾纠纷调处化解经验或者两年以上汽车驾驶年限以上、无同等以上交通事故、重大交通违法行为等相关专业背景为佳。</w:t>
      </w:r>
    </w:p>
    <w:p w14:paraId="6D366929">
      <w:pPr>
        <w:autoSpaceDE w:val="0"/>
        <w:autoSpaceDN w:val="0"/>
        <w:spacing w:line="400" w:lineRule="exact"/>
        <w:ind w:firstLine="480" w:firstLineChars="200"/>
        <w:rPr>
          <w:rFonts w:ascii="宋体" w:hAnsi="宋体"/>
          <w:color w:val="auto"/>
          <w:kern w:val="0"/>
          <w:sz w:val="24"/>
        </w:rPr>
      </w:pPr>
      <w:r>
        <w:rPr>
          <w:rFonts w:hint="eastAsia" w:ascii="宋体" w:hAnsi="宋体"/>
          <w:color w:val="auto"/>
          <w:kern w:val="0"/>
          <w:sz w:val="24"/>
        </w:rPr>
        <w:t>3、服务人员具有较强的团队协作能力、沟通能力、表达能力，工作责任心强；服从命令，听从指挥，遵守各项规章制度；具有信息安全及保密意识。</w:t>
      </w:r>
    </w:p>
    <w:p w14:paraId="3EAAD5B9">
      <w:pPr>
        <w:spacing w:line="400" w:lineRule="exact"/>
        <w:ind w:firstLine="480" w:firstLineChars="200"/>
        <w:rPr>
          <w:rFonts w:ascii="宋体" w:hAnsi="宋体"/>
          <w:color w:val="auto"/>
          <w:kern w:val="0"/>
          <w:sz w:val="24"/>
        </w:rPr>
      </w:pPr>
      <w:r>
        <w:rPr>
          <w:rFonts w:hint="eastAsia" w:ascii="宋体" w:hAnsi="宋体"/>
          <w:color w:val="auto"/>
          <w:kern w:val="0"/>
          <w:sz w:val="24"/>
        </w:rPr>
        <w:t>4、项目服务人员职责包括但不限于：与南浔区综合行政执法局东迁中队的沟通对接、工作人员必须按时间节点保质保量完成项目任务。</w:t>
      </w:r>
    </w:p>
    <w:p w14:paraId="4B702C71">
      <w:pPr>
        <w:spacing w:line="400" w:lineRule="exact"/>
        <w:ind w:firstLine="480" w:firstLineChars="200"/>
        <w:rPr>
          <w:rFonts w:ascii="宋体" w:hAnsi="宋体"/>
          <w:color w:val="auto"/>
          <w:kern w:val="0"/>
          <w:sz w:val="24"/>
        </w:rPr>
      </w:pPr>
      <w:r>
        <w:rPr>
          <w:rFonts w:hint="eastAsia" w:ascii="宋体" w:hAnsi="宋体"/>
          <w:color w:val="auto"/>
          <w:kern w:val="0"/>
          <w:sz w:val="24"/>
        </w:rPr>
        <w:t>5、服务人员要严格按照采购人要求的工作时间出勤，不得迟到、早退，无故缺勤。接受采购人的业务培训，如培训后不能胜任工作或不服从采购人指派,采购人有权更换服务人员。</w:t>
      </w:r>
    </w:p>
    <w:p w14:paraId="1097D354">
      <w:pPr>
        <w:spacing w:line="400" w:lineRule="exact"/>
        <w:ind w:firstLine="482" w:firstLineChars="200"/>
        <w:rPr>
          <w:rFonts w:ascii="宋体" w:hAnsi="宋体"/>
          <w:b/>
          <w:bCs/>
          <w:color w:val="auto"/>
          <w:sz w:val="24"/>
        </w:rPr>
      </w:pPr>
      <w:r>
        <w:rPr>
          <w:rFonts w:hint="eastAsia" w:ascii="宋体" w:hAnsi="宋体"/>
          <w:b/>
          <w:bCs/>
          <w:color w:val="auto"/>
          <w:sz w:val="24"/>
        </w:rPr>
        <w:t xml:space="preserve">（三）考核要求 </w:t>
      </w:r>
    </w:p>
    <w:p w14:paraId="6DF50E1A">
      <w:pPr>
        <w:spacing w:line="400" w:lineRule="exact"/>
        <w:ind w:firstLine="480" w:firstLineChars="200"/>
        <w:rPr>
          <w:rFonts w:ascii="宋体" w:hAnsi="宋体"/>
          <w:color w:val="auto"/>
          <w:sz w:val="24"/>
        </w:rPr>
      </w:pPr>
      <w:r>
        <w:rPr>
          <w:rFonts w:hint="eastAsia" w:ascii="宋体" w:hAnsi="宋体"/>
          <w:color w:val="auto"/>
          <w:sz w:val="24"/>
        </w:rPr>
        <w:t>1、为能使供应商提供优质服务，通过实施日常考核促进供应商业务工作水平长期的保持和不断的提升，约束其工作开展，确保工作质量符合南浔区综合行政执法局东迁中队要求，同时为供应商人力资源优化配置、薪酬分配、教育培训、员工职业生涯规划提供必要的依据，激励员工不断改进绩效，提高供应商整体绩效，实现员工和供应商的共同发展。</w:t>
      </w:r>
    </w:p>
    <w:p w14:paraId="616268D2">
      <w:pPr>
        <w:spacing w:line="400" w:lineRule="exact"/>
        <w:ind w:firstLine="480" w:firstLineChars="200"/>
        <w:rPr>
          <w:rFonts w:ascii="宋体" w:hAnsi="宋体"/>
          <w:color w:val="auto"/>
          <w:sz w:val="24"/>
        </w:rPr>
      </w:pPr>
      <w:r>
        <w:rPr>
          <w:rFonts w:hint="eastAsia" w:ascii="宋体" w:hAnsi="宋体"/>
          <w:color w:val="auto"/>
          <w:sz w:val="24"/>
        </w:rPr>
        <w:t>2、供应商应加强对服务人员的管理，确保采购人各岗位的服务质量。对供应商的考核内容包括以下七方面：考勤打卡、工作业绩、客户投诉、专项工作完成情况、明察暗访、费用使用与结算、业务培训等。对服务人员需制定绩效考核制度，按月进行考核，由供应商、采购人分管负责人共同参与评分，对供应商的考核分与管理费挂钩。</w:t>
      </w:r>
    </w:p>
    <w:p w14:paraId="5174B077">
      <w:pPr>
        <w:spacing w:line="400" w:lineRule="exact"/>
        <w:ind w:firstLine="480" w:firstLineChars="200"/>
        <w:rPr>
          <w:rFonts w:ascii="宋体" w:hAnsi="宋体"/>
          <w:color w:val="auto"/>
          <w:sz w:val="24"/>
        </w:rPr>
      </w:pPr>
      <w:r>
        <w:rPr>
          <w:rFonts w:hint="eastAsia" w:ascii="宋体" w:hAnsi="宋体"/>
          <w:bCs/>
          <w:color w:val="auto"/>
          <w:sz w:val="24"/>
        </w:rPr>
        <w:t>具体考核办法另行制定</w:t>
      </w:r>
      <w:r>
        <w:rPr>
          <w:rFonts w:hint="eastAsia" w:ascii="宋体" w:hAnsi="宋体"/>
          <w:color w:val="auto"/>
          <w:sz w:val="24"/>
        </w:rPr>
        <w:t>。</w:t>
      </w:r>
    </w:p>
    <w:p w14:paraId="65CC85F9">
      <w:pPr>
        <w:pStyle w:val="19"/>
        <w:widowControl/>
        <w:snapToGrid w:val="0"/>
        <w:spacing w:before="156" w:after="156"/>
        <w:outlineLvl w:val="0"/>
        <w:rPr>
          <w:rFonts w:hAnsi="宋体"/>
          <w:b/>
          <w:color w:val="auto"/>
        </w:rPr>
      </w:pPr>
      <w:r>
        <w:rPr>
          <w:rFonts w:hint="eastAsia" w:hAnsi="宋体"/>
          <w:b/>
          <w:color w:val="auto"/>
        </w:rPr>
        <w:t>三、商务要求表</w:t>
      </w:r>
    </w:p>
    <w:tbl>
      <w:tblPr>
        <w:tblStyle w:val="35"/>
        <w:tblW w:w="9720"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1752"/>
        <w:gridCol w:w="7968"/>
      </w:tblGrid>
      <w:tr w14:paraId="6F4E333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74" w:hRule="atLeast"/>
        </w:trPr>
        <w:tc>
          <w:tcPr>
            <w:tcW w:w="1752" w:type="dxa"/>
            <w:tcBorders>
              <w:top w:val="single" w:color="auto" w:sz="4" w:space="0"/>
              <w:left w:val="single" w:color="auto" w:sz="4" w:space="0"/>
              <w:bottom w:val="single" w:color="auto" w:sz="4" w:space="0"/>
              <w:right w:val="single" w:color="auto" w:sz="4" w:space="0"/>
            </w:tcBorders>
            <w:vAlign w:val="center"/>
          </w:tcPr>
          <w:p w14:paraId="54B1C39F">
            <w:pPr>
              <w:spacing w:line="400" w:lineRule="exact"/>
              <w:jc w:val="center"/>
              <w:rPr>
                <w:rFonts w:ascii="宋体" w:hAnsi="宋体"/>
                <w:color w:val="auto"/>
                <w:sz w:val="24"/>
              </w:rPr>
            </w:pPr>
            <w:r>
              <w:rPr>
                <w:rFonts w:hint="eastAsia" w:ascii="宋体" w:hAnsi="宋体"/>
                <w:color w:val="auto"/>
                <w:sz w:val="24"/>
              </w:rPr>
              <w:t>▲项目磋商报价要求</w:t>
            </w:r>
          </w:p>
        </w:tc>
        <w:tc>
          <w:tcPr>
            <w:tcW w:w="7967" w:type="dxa"/>
            <w:tcBorders>
              <w:top w:val="single" w:color="auto" w:sz="4" w:space="0"/>
              <w:left w:val="nil"/>
              <w:bottom w:val="single" w:color="auto" w:sz="4" w:space="0"/>
              <w:right w:val="single" w:color="auto" w:sz="4" w:space="0"/>
            </w:tcBorders>
            <w:vAlign w:val="center"/>
          </w:tcPr>
          <w:p w14:paraId="6B383800">
            <w:pPr>
              <w:spacing w:line="400" w:lineRule="exact"/>
              <w:rPr>
                <w:rFonts w:ascii="宋体" w:hAnsi="宋体"/>
                <w:color w:val="auto"/>
                <w:sz w:val="24"/>
              </w:rPr>
            </w:pPr>
            <w:r>
              <w:rPr>
                <w:rFonts w:hint="eastAsia" w:ascii="宋体" w:hAnsi="宋体"/>
                <w:color w:val="auto"/>
                <w:sz w:val="24"/>
              </w:rPr>
              <w:t>1、磋商报价为完成整个项目的报价，包括人员工资薪酬（如项目负责人、管理联络人员、后勤保障人员等）、人工管理费、加班费、餐饮费、差旅费、住宿费、宣传用品、防疫用品、培训费用、办公费用、交通费用、安全责任风险所需考虑的费用、保险费用、税金等所有费用，供应商所投报的磋商报价为供应商所能承受的整个项目的报价(为本采购项目总价)，如有漏项，视同已包含在其它项目中，合同总价和单价不做调整。</w:t>
            </w:r>
          </w:p>
          <w:p w14:paraId="5848992D">
            <w:pPr>
              <w:spacing w:line="400" w:lineRule="exact"/>
              <w:rPr>
                <w:rFonts w:ascii="宋体" w:hAnsi="宋体"/>
                <w:color w:val="auto"/>
                <w:sz w:val="24"/>
              </w:rPr>
            </w:pPr>
            <w:r>
              <w:rPr>
                <w:rFonts w:hint="eastAsia" w:ascii="宋体" w:hAnsi="宋体"/>
                <w:color w:val="auto"/>
                <w:sz w:val="24"/>
              </w:rPr>
              <w:t>2、按国家规定由承包人缴纳的各种税收已包含在磋商总价内，由成交供应商向税务机关缴纳。</w:t>
            </w:r>
          </w:p>
          <w:p w14:paraId="5B0DBD9B">
            <w:pPr>
              <w:pStyle w:val="3"/>
              <w:widowControl/>
              <w:spacing w:after="0" w:line="400" w:lineRule="exact"/>
              <w:rPr>
                <w:rFonts w:cs="宋体"/>
                <w:color w:val="auto"/>
                <w:sz w:val="24"/>
              </w:rPr>
            </w:pPr>
            <w:r>
              <w:rPr>
                <w:rFonts w:cs="宋体"/>
                <w:color w:val="auto"/>
                <w:sz w:val="24"/>
              </w:rPr>
              <w:t>3</w:t>
            </w:r>
            <w:r>
              <w:rPr>
                <w:rFonts w:hint="eastAsia"/>
                <w:color w:val="auto"/>
                <w:sz w:val="24"/>
              </w:rPr>
              <w:t>、项目的整体服务周期为</w:t>
            </w:r>
            <w:r>
              <w:rPr>
                <w:rFonts w:hint="eastAsia"/>
                <w:b/>
                <w:color w:val="auto"/>
                <w:sz w:val="24"/>
              </w:rPr>
              <w:t>壹年</w:t>
            </w:r>
            <w:r>
              <w:rPr>
                <w:rFonts w:hint="eastAsia"/>
                <w:color w:val="auto"/>
                <w:sz w:val="24"/>
              </w:rPr>
              <w:t>，在服务期间所需提供的一切工作费用由供应商在磋商报价中自行考虑。</w:t>
            </w:r>
          </w:p>
        </w:tc>
      </w:tr>
      <w:tr w14:paraId="4473BEF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149" w:hRule="atLeast"/>
        </w:trPr>
        <w:tc>
          <w:tcPr>
            <w:tcW w:w="1752" w:type="dxa"/>
            <w:tcBorders>
              <w:top w:val="single" w:color="auto" w:sz="4" w:space="0"/>
              <w:left w:val="single" w:color="auto" w:sz="4" w:space="0"/>
              <w:bottom w:val="single" w:color="auto" w:sz="4" w:space="0"/>
              <w:right w:val="single" w:color="auto" w:sz="4" w:space="0"/>
            </w:tcBorders>
            <w:vAlign w:val="center"/>
          </w:tcPr>
          <w:p w14:paraId="6E6BE6A3">
            <w:pPr>
              <w:autoSpaceDE w:val="0"/>
              <w:autoSpaceDN w:val="0"/>
              <w:spacing w:line="400" w:lineRule="exact"/>
              <w:jc w:val="center"/>
              <w:rPr>
                <w:rFonts w:ascii="宋体" w:hAnsi="宋体"/>
                <w:color w:val="auto"/>
                <w:sz w:val="24"/>
              </w:rPr>
            </w:pPr>
            <w:r>
              <w:rPr>
                <w:rFonts w:hint="eastAsia" w:ascii="宋体" w:hAnsi="宋体"/>
                <w:color w:val="auto"/>
                <w:sz w:val="24"/>
              </w:rPr>
              <w:t>服务期间</w:t>
            </w:r>
          </w:p>
        </w:tc>
        <w:tc>
          <w:tcPr>
            <w:tcW w:w="7967" w:type="dxa"/>
            <w:tcBorders>
              <w:top w:val="single" w:color="auto" w:sz="4" w:space="0"/>
              <w:left w:val="nil"/>
              <w:bottom w:val="single" w:color="auto" w:sz="4" w:space="0"/>
              <w:right w:val="single" w:color="auto" w:sz="4" w:space="0"/>
            </w:tcBorders>
            <w:vAlign w:val="center"/>
          </w:tcPr>
          <w:p w14:paraId="1FB19934">
            <w:pPr>
              <w:spacing w:line="400" w:lineRule="exact"/>
              <w:rPr>
                <w:rFonts w:ascii="宋体" w:hAnsi="宋体"/>
                <w:color w:val="auto"/>
                <w:sz w:val="24"/>
              </w:rPr>
            </w:pPr>
            <w:r>
              <w:rPr>
                <w:rFonts w:hint="eastAsia" w:ascii="宋体" w:hAnsi="宋体"/>
                <w:color w:val="auto"/>
                <w:sz w:val="24"/>
              </w:rPr>
              <w:t>1、供应商具备履行项目的人才储备能力，能确保项目服务稳定，项目服务人员工作连续性。城市管理服务协调工作要求具有一定的法律知识和较强群众工作能力，需要项目服务人员稳定持续工作。服务项目期间，采购人不支持供应商为项目所有实施人员提供的年休假、婚假、产假等，项目服务人员因各种原因导致无法连续工作的，供应商负责提供补充或替换人员。</w:t>
            </w:r>
          </w:p>
          <w:p w14:paraId="15F36F6A">
            <w:pPr>
              <w:spacing w:line="400" w:lineRule="exact"/>
              <w:rPr>
                <w:rFonts w:ascii="宋体" w:hAnsi="宋体"/>
                <w:color w:val="auto"/>
                <w:sz w:val="24"/>
              </w:rPr>
            </w:pPr>
            <w:r>
              <w:rPr>
                <w:rFonts w:hint="eastAsia" w:ascii="宋体" w:hAnsi="宋体"/>
                <w:color w:val="auto"/>
                <w:sz w:val="24"/>
              </w:rPr>
              <w:t>2、根据城市管理服务协调工作对人员需求，要求配置完整的人员构架服务体系（如项目负责人、联络保障人员等），在本项目服务周期内必须保障人员的稳定性，且须指定一名项目总负责人，有团队管理经验，协助采购人完成管理工作。</w:t>
            </w:r>
          </w:p>
          <w:p w14:paraId="5D2B241A">
            <w:pPr>
              <w:spacing w:line="400" w:lineRule="exact"/>
              <w:rPr>
                <w:rFonts w:ascii="宋体" w:hAnsi="宋体"/>
                <w:color w:val="auto"/>
                <w:sz w:val="24"/>
              </w:rPr>
            </w:pPr>
            <w:r>
              <w:rPr>
                <w:rFonts w:hint="eastAsia" w:ascii="宋体" w:hAnsi="宋体"/>
                <w:color w:val="auto"/>
                <w:sz w:val="24"/>
              </w:rPr>
              <w:t>3、供应商服务人员的统一服装、处置城市管理服务必要的装备等由供应商自行配备，另外供应商需考虑项目实施过程中所需的交通用汽车。</w:t>
            </w:r>
          </w:p>
          <w:p w14:paraId="7DEF340D">
            <w:pPr>
              <w:spacing w:line="400" w:lineRule="exact"/>
              <w:rPr>
                <w:rFonts w:ascii="宋体" w:hAnsi="宋体"/>
                <w:color w:val="auto"/>
                <w:sz w:val="24"/>
              </w:rPr>
            </w:pPr>
            <w:r>
              <w:rPr>
                <w:rFonts w:hint="eastAsia" w:ascii="宋体" w:hAnsi="宋体"/>
                <w:color w:val="auto"/>
                <w:sz w:val="24"/>
              </w:rPr>
              <w:t>4、服务期内，与办公设备及车辆维修、车辆油耗相关的所有费用由供应商负责。</w:t>
            </w:r>
          </w:p>
        </w:tc>
      </w:tr>
      <w:tr w14:paraId="342DA88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149" w:hRule="atLeast"/>
        </w:trPr>
        <w:tc>
          <w:tcPr>
            <w:tcW w:w="1752" w:type="dxa"/>
            <w:tcBorders>
              <w:top w:val="single" w:color="auto" w:sz="4" w:space="0"/>
              <w:left w:val="single" w:color="auto" w:sz="4" w:space="0"/>
              <w:bottom w:val="single" w:color="auto" w:sz="4" w:space="0"/>
              <w:right w:val="single" w:color="auto" w:sz="4" w:space="0"/>
            </w:tcBorders>
            <w:vAlign w:val="center"/>
          </w:tcPr>
          <w:p w14:paraId="566C46A2">
            <w:pPr>
              <w:autoSpaceDE w:val="0"/>
              <w:autoSpaceDN w:val="0"/>
              <w:spacing w:line="400" w:lineRule="exact"/>
              <w:jc w:val="center"/>
              <w:rPr>
                <w:rFonts w:ascii="宋体" w:hAnsi="宋体"/>
                <w:color w:val="auto"/>
                <w:sz w:val="24"/>
              </w:rPr>
            </w:pPr>
            <w:r>
              <w:rPr>
                <w:rFonts w:hint="eastAsia" w:ascii="宋体" w:hAnsi="宋体"/>
                <w:color w:val="auto"/>
                <w:sz w:val="24"/>
              </w:rPr>
              <w:t>服务标准及要求</w:t>
            </w:r>
          </w:p>
        </w:tc>
        <w:tc>
          <w:tcPr>
            <w:tcW w:w="7967" w:type="dxa"/>
            <w:tcBorders>
              <w:top w:val="single" w:color="auto" w:sz="4" w:space="0"/>
              <w:left w:val="nil"/>
              <w:bottom w:val="single" w:color="auto" w:sz="4" w:space="0"/>
              <w:right w:val="single" w:color="auto" w:sz="4" w:space="0"/>
            </w:tcBorders>
            <w:vAlign w:val="center"/>
          </w:tcPr>
          <w:p w14:paraId="413427B6">
            <w:pPr>
              <w:spacing w:line="400" w:lineRule="exact"/>
              <w:rPr>
                <w:rFonts w:ascii="宋体" w:hAnsi="宋体"/>
                <w:color w:val="auto"/>
                <w:sz w:val="24"/>
              </w:rPr>
            </w:pPr>
            <w:r>
              <w:rPr>
                <w:rFonts w:hint="eastAsia" w:ascii="宋体" w:hAnsi="宋体"/>
                <w:color w:val="auto"/>
                <w:sz w:val="24"/>
              </w:rPr>
              <w:t>1、验收将依据合同及其附件，国家相关规范、标准，以及湖州市相关管理规定，由采购人确定的时间和方式进行验收。</w:t>
            </w:r>
          </w:p>
          <w:p w14:paraId="076AC389">
            <w:pPr>
              <w:spacing w:line="400" w:lineRule="exact"/>
              <w:rPr>
                <w:rFonts w:ascii="宋体" w:hAnsi="宋体"/>
                <w:color w:val="auto"/>
                <w:sz w:val="24"/>
              </w:rPr>
            </w:pPr>
            <w:r>
              <w:rPr>
                <w:rFonts w:hint="eastAsia" w:ascii="宋体" w:hAnsi="宋体"/>
                <w:color w:val="auto"/>
                <w:sz w:val="24"/>
              </w:rPr>
              <w:t>2、具体验收标准和流程：采购人对供应商提供的参与项目服务人员进行筛选，符合项目条件且能胜任采购人所需项目岗位工作的，予以留任。在项目履行期间内，采购人对供应商留任人员定期考核，并根据考核内容出具项目验收文件。</w:t>
            </w:r>
          </w:p>
          <w:p w14:paraId="30FA7F4D">
            <w:pPr>
              <w:spacing w:line="400" w:lineRule="exact"/>
              <w:rPr>
                <w:rFonts w:ascii="宋体" w:hAnsi="宋体"/>
                <w:color w:val="auto"/>
                <w:sz w:val="24"/>
              </w:rPr>
            </w:pPr>
            <w:r>
              <w:rPr>
                <w:rFonts w:hint="eastAsia" w:ascii="宋体" w:hAnsi="宋体"/>
                <w:color w:val="auto"/>
                <w:sz w:val="24"/>
              </w:rPr>
              <w:t>3、供应商应提交的验收资料：供应商提供参与项目服务人员的相关资料；供应商留任人员的工作日志、考勤表等。</w:t>
            </w:r>
          </w:p>
          <w:p w14:paraId="4396201C">
            <w:pPr>
              <w:spacing w:line="400" w:lineRule="exact"/>
              <w:rPr>
                <w:rFonts w:ascii="宋体" w:hAnsi="宋体"/>
                <w:color w:val="auto"/>
                <w:sz w:val="24"/>
              </w:rPr>
            </w:pPr>
            <w:r>
              <w:rPr>
                <w:rFonts w:hint="eastAsia" w:ascii="宋体" w:hAnsi="宋体"/>
                <w:color w:val="auto"/>
                <w:sz w:val="24"/>
              </w:rPr>
              <w:t>4、供应商应根据采购人要求组织有关人员按照相关要求进行验收，验收合格的，由采购人出具项目验收证明。验收不合格的，供应商依约承担违约责任。</w:t>
            </w:r>
          </w:p>
        </w:tc>
      </w:tr>
      <w:tr w14:paraId="31755A6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149" w:hRule="atLeast"/>
        </w:trPr>
        <w:tc>
          <w:tcPr>
            <w:tcW w:w="1752" w:type="dxa"/>
            <w:tcBorders>
              <w:top w:val="single" w:color="auto" w:sz="4" w:space="0"/>
              <w:left w:val="single" w:color="auto" w:sz="4" w:space="0"/>
              <w:bottom w:val="single" w:color="auto" w:sz="4" w:space="0"/>
              <w:right w:val="single" w:color="auto" w:sz="4" w:space="0"/>
            </w:tcBorders>
            <w:vAlign w:val="center"/>
          </w:tcPr>
          <w:p w14:paraId="7C242923">
            <w:pPr>
              <w:snapToGrid w:val="0"/>
              <w:spacing w:line="400" w:lineRule="exact"/>
              <w:jc w:val="center"/>
              <w:rPr>
                <w:rFonts w:ascii="宋体" w:hAnsi="宋体"/>
                <w:color w:val="auto"/>
                <w:sz w:val="24"/>
              </w:rPr>
            </w:pPr>
            <w:r>
              <w:rPr>
                <w:rFonts w:hint="eastAsia" w:ascii="宋体" w:hAnsi="宋体"/>
                <w:color w:val="auto"/>
                <w:sz w:val="24"/>
              </w:rPr>
              <w:t>付款办法</w:t>
            </w:r>
          </w:p>
        </w:tc>
        <w:tc>
          <w:tcPr>
            <w:tcW w:w="7967" w:type="dxa"/>
            <w:tcBorders>
              <w:top w:val="single" w:color="auto" w:sz="4" w:space="0"/>
              <w:left w:val="nil"/>
              <w:bottom w:val="single" w:color="auto" w:sz="4" w:space="0"/>
              <w:right w:val="single" w:color="auto" w:sz="4" w:space="0"/>
            </w:tcBorders>
            <w:vAlign w:val="center"/>
          </w:tcPr>
          <w:p w14:paraId="7812814D">
            <w:pPr>
              <w:pStyle w:val="19"/>
              <w:widowControl/>
              <w:snapToGrid w:val="0"/>
              <w:spacing w:before="156" w:after="156"/>
              <w:outlineLvl w:val="0"/>
              <w:rPr>
                <w:rFonts w:hAnsi="宋体"/>
                <w:b/>
                <w:color w:val="auto"/>
              </w:rPr>
            </w:pPr>
            <w:r>
              <w:rPr>
                <w:rFonts w:hint="eastAsia" w:hAnsi="宋体"/>
                <w:b/>
                <w:color w:val="auto"/>
              </w:rPr>
              <w:t>合同签订后7个工作日内，采购人收到成交供应商提供的同等金额的正规税务发票后，向成交供应商支付预付款（即合同款的40%）；服务费按季度支付，每季度支付合同总金额的20%，在下一季度第一个月15日之前支付（预付款每季度平均扣回）；余款待服务期满后根据考核情况进行支付（考核内容根据工作内容、人员安排等制定）。</w:t>
            </w:r>
          </w:p>
        </w:tc>
      </w:tr>
    </w:tbl>
    <w:p w14:paraId="4E597559">
      <w:pPr>
        <w:snapToGrid w:val="0"/>
        <w:spacing w:line="400" w:lineRule="exact"/>
        <w:jc w:val="left"/>
        <w:rPr>
          <w:rFonts w:ascii="宋体" w:hAnsi="宋体"/>
          <w:b/>
          <w:bCs/>
          <w:color w:val="auto"/>
          <w:sz w:val="24"/>
        </w:rPr>
      </w:pPr>
      <w:r>
        <w:rPr>
          <w:rFonts w:hint="eastAsia" w:ascii="宋体" w:hAnsi="宋体"/>
          <w:b/>
          <w:bCs/>
          <w:color w:val="auto"/>
          <w:sz w:val="24"/>
        </w:rPr>
        <w:t>四、其他要求</w:t>
      </w:r>
    </w:p>
    <w:p w14:paraId="779A6FFB">
      <w:pPr>
        <w:autoSpaceDE w:val="0"/>
        <w:autoSpaceDN w:val="0"/>
        <w:adjustRightInd w:val="0"/>
        <w:snapToGrid w:val="0"/>
        <w:spacing w:line="400" w:lineRule="exact"/>
        <w:ind w:firstLine="480" w:firstLineChars="200"/>
        <w:rPr>
          <w:rFonts w:ascii="宋体" w:hAnsi="宋体"/>
          <w:color w:val="auto"/>
          <w:kern w:val="28"/>
          <w:sz w:val="24"/>
        </w:rPr>
      </w:pPr>
      <w:r>
        <w:rPr>
          <w:rFonts w:hint="eastAsia" w:ascii="宋体" w:hAnsi="宋体"/>
          <w:color w:val="auto"/>
          <w:sz w:val="24"/>
        </w:rPr>
        <w:t>1</w:t>
      </w:r>
      <w:r>
        <w:rPr>
          <w:rFonts w:hint="eastAsia" w:ascii="宋体" w:hAnsi="宋体"/>
          <w:color w:val="auto"/>
          <w:kern w:val="28"/>
          <w:sz w:val="24"/>
        </w:rPr>
        <w:t>、成交供应商在服务期内造成采购人或第三方人员相关损失的，由成交供应商承担。</w:t>
      </w:r>
    </w:p>
    <w:p w14:paraId="116AE9BE">
      <w:pPr>
        <w:autoSpaceDE w:val="0"/>
        <w:autoSpaceDN w:val="0"/>
        <w:adjustRightInd w:val="0"/>
        <w:snapToGrid w:val="0"/>
        <w:spacing w:line="400" w:lineRule="exact"/>
        <w:ind w:firstLine="480" w:firstLineChars="200"/>
        <w:rPr>
          <w:rFonts w:ascii="宋体" w:hAnsi="宋体"/>
          <w:color w:val="auto"/>
          <w:kern w:val="28"/>
          <w:sz w:val="24"/>
        </w:rPr>
      </w:pPr>
      <w:r>
        <w:rPr>
          <w:rFonts w:hint="eastAsia" w:ascii="宋体" w:hAnsi="宋体"/>
          <w:color w:val="auto"/>
          <w:kern w:val="28"/>
          <w:sz w:val="24"/>
        </w:rPr>
        <w:t>2、本项目采购标的对应的中小企业划分标准所属行业为</w:t>
      </w:r>
      <w:r>
        <w:rPr>
          <w:rFonts w:hint="eastAsia" w:ascii="宋体" w:hAnsi="宋体" w:eastAsia="宋体" w:cs="Times New Roman"/>
          <w:b/>
          <w:color w:val="auto"/>
          <w:kern w:val="28"/>
          <w:sz w:val="24"/>
          <w:lang w:val="en-US" w:eastAsia="zh-CN"/>
        </w:rPr>
        <w:t>租赁和商务服务业</w:t>
      </w:r>
      <w:r>
        <w:rPr>
          <w:rFonts w:hint="eastAsia" w:ascii="宋体" w:hAnsi="宋体"/>
          <w:b/>
          <w:color w:val="auto"/>
          <w:kern w:val="28"/>
          <w:sz w:val="24"/>
        </w:rPr>
        <w:t>行业</w:t>
      </w:r>
      <w:r>
        <w:rPr>
          <w:rFonts w:hint="eastAsia" w:ascii="宋体" w:hAnsi="宋体"/>
          <w:color w:val="auto"/>
          <w:kern w:val="28"/>
          <w:sz w:val="24"/>
        </w:rPr>
        <w:t>。</w:t>
      </w:r>
    </w:p>
    <w:p w14:paraId="5A65998E">
      <w:pPr>
        <w:autoSpaceDE w:val="0"/>
        <w:autoSpaceDN w:val="0"/>
        <w:adjustRightInd w:val="0"/>
        <w:snapToGrid w:val="0"/>
        <w:spacing w:line="400" w:lineRule="exact"/>
        <w:ind w:firstLine="480" w:firstLineChars="200"/>
        <w:rPr>
          <w:rFonts w:ascii="宋体" w:hAnsi="宋体"/>
          <w:color w:val="auto"/>
          <w:kern w:val="28"/>
          <w:sz w:val="24"/>
        </w:rPr>
      </w:pPr>
      <w:r>
        <w:rPr>
          <w:rFonts w:hint="eastAsia" w:ascii="宋体" w:hAnsi="宋体"/>
          <w:color w:val="auto"/>
          <w:kern w:val="28"/>
          <w:sz w:val="24"/>
        </w:rPr>
        <w:t>3、依据《政府采购促进中小企业发展管理办法》（财库【2020】46号）规定享受扶持政策获得政府采购合同的，小微企业不得将合同分包给大中型企业，中型企业不得将合同分包给大型企业。</w:t>
      </w:r>
    </w:p>
    <w:p w14:paraId="436E880C">
      <w:pPr>
        <w:snapToGrid w:val="0"/>
        <w:spacing w:line="440" w:lineRule="exact"/>
        <w:ind w:firstLine="480" w:firstLineChars="200"/>
        <w:outlineLvl w:val="1"/>
        <w:rPr>
          <w:rFonts w:ascii="宋体" w:hAnsi="宋体"/>
          <w:color w:val="auto"/>
          <w:kern w:val="28"/>
          <w:sz w:val="24"/>
        </w:rPr>
      </w:pPr>
      <w:r>
        <w:rPr>
          <w:rFonts w:hint="eastAsia" w:ascii="宋体" w:hAnsi="宋体"/>
          <w:color w:val="auto"/>
          <w:kern w:val="28"/>
          <w:sz w:val="24"/>
        </w:rPr>
        <w:t>4、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0608A80">
      <w:pPr>
        <w:snapToGrid w:val="0"/>
        <w:spacing w:line="440" w:lineRule="exact"/>
        <w:ind w:firstLine="480" w:firstLineChars="200"/>
        <w:outlineLvl w:val="1"/>
        <w:rPr>
          <w:rFonts w:ascii="宋体" w:hAnsi="宋体"/>
          <w:color w:val="auto"/>
          <w:kern w:val="28"/>
          <w:sz w:val="24"/>
        </w:rPr>
      </w:pPr>
      <w:r>
        <w:rPr>
          <w:rFonts w:hint="eastAsia" w:ascii="宋体" w:hAnsi="宋体"/>
          <w:color w:val="auto"/>
          <w:kern w:val="28"/>
          <w:sz w:val="24"/>
        </w:rPr>
        <w:t>5、符合中小企业划分标准的个体工商户，在政府采购活动中视同中小企业。</w:t>
      </w:r>
    </w:p>
    <w:p w14:paraId="1F52DE46">
      <w:pPr>
        <w:snapToGrid w:val="0"/>
        <w:spacing w:line="440" w:lineRule="exact"/>
        <w:ind w:firstLine="480" w:firstLineChars="200"/>
        <w:outlineLvl w:val="1"/>
        <w:rPr>
          <w:rFonts w:ascii="宋体" w:hAnsi="宋体"/>
          <w:color w:val="auto"/>
          <w:kern w:val="28"/>
          <w:sz w:val="24"/>
        </w:rPr>
      </w:pPr>
      <w:r>
        <w:rPr>
          <w:rFonts w:hint="eastAsia" w:ascii="宋体" w:hAnsi="宋体"/>
          <w:color w:val="auto"/>
          <w:kern w:val="28"/>
          <w:sz w:val="24"/>
        </w:rPr>
        <w:t>6、在政府采购活动中，供应商提供的货物、工程或者服务符合下列情形的，享受本办法规定的中小企业扶持政策：</w:t>
      </w:r>
    </w:p>
    <w:p w14:paraId="22CB36CF">
      <w:pPr>
        <w:snapToGrid w:val="0"/>
        <w:spacing w:line="440" w:lineRule="exact"/>
        <w:ind w:firstLine="480" w:firstLineChars="200"/>
        <w:outlineLvl w:val="1"/>
        <w:rPr>
          <w:rFonts w:ascii="宋体" w:hAnsi="宋体"/>
          <w:color w:val="auto"/>
          <w:kern w:val="28"/>
          <w:sz w:val="24"/>
        </w:rPr>
      </w:pPr>
      <w:r>
        <w:rPr>
          <w:rFonts w:hint="eastAsia" w:ascii="宋体" w:hAnsi="宋体"/>
          <w:color w:val="auto"/>
          <w:kern w:val="28"/>
          <w:sz w:val="24"/>
        </w:rPr>
        <w:t>7、在货物采购项目中，货物由中小企业制造，即货物由中小企业生产且使用该中小企业商号或者注册商标；</w:t>
      </w:r>
    </w:p>
    <w:p w14:paraId="20550329">
      <w:pPr>
        <w:snapToGrid w:val="0"/>
        <w:spacing w:line="440" w:lineRule="exact"/>
        <w:ind w:firstLine="480" w:firstLineChars="200"/>
        <w:outlineLvl w:val="1"/>
        <w:rPr>
          <w:rFonts w:ascii="宋体" w:hAnsi="宋体"/>
          <w:color w:val="auto"/>
          <w:kern w:val="28"/>
          <w:sz w:val="24"/>
        </w:rPr>
      </w:pPr>
      <w:r>
        <w:rPr>
          <w:rFonts w:hint="eastAsia" w:ascii="宋体" w:hAnsi="宋体"/>
          <w:color w:val="auto"/>
          <w:kern w:val="28"/>
          <w:sz w:val="24"/>
        </w:rPr>
        <w:t>8、在工程采购项目中，工程由中小企业承建，即工程施工单位为中小企业；</w:t>
      </w:r>
    </w:p>
    <w:p w14:paraId="5A6785BD">
      <w:pPr>
        <w:snapToGrid w:val="0"/>
        <w:spacing w:line="440" w:lineRule="exact"/>
        <w:ind w:firstLine="480" w:firstLineChars="200"/>
        <w:outlineLvl w:val="1"/>
        <w:rPr>
          <w:rFonts w:ascii="宋体" w:hAnsi="宋体"/>
          <w:color w:val="auto"/>
          <w:kern w:val="28"/>
          <w:sz w:val="24"/>
        </w:rPr>
      </w:pPr>
      <w:r>
        <w:rPr>
          <w:rFonts w:hint="eastAsia" w:ascii="宋体" w:hAnsi="宋体"/>
          <w:color w:val="auto"/>
          <w:kern w:val="28"/>
          <w:sz w:val="24"/>
        </w:rPr>
        <w:t>9、在服务采购项目中，服务由中小企业承接，即提供服务的人员为中小企业依照《中华人民共和国劳动合同法》订立劳动合同的从业人员。</w:t>
      </w:r>
    </w:p>
    <w:p w14:paraId="595CE615">
      <w:pPr>
        <w:snapToGrid w:val="0"/>
        <w:spacing w:line="440" w:lineRule="exact"/>
        <w:ind w:firstLine="480" w:firstLineChars="200"/>
        <w:outlineLvl w:val="1"/>
        <w:rPr>
          <w:rFonts w:ascii="宋体" w:hAnsi="宋体"/>
          <w:color w:val="auto"/>
          <w:kern w:val="28"/>
          <w:sz w:val="24"/>
        </w:rPr>
      </w:pPr>
      <w:r>
        <w:rPr>
          <w:rFonts w:hint="eastAsia" w:ascii="宋体" w:hAnsi="宋体"/>
          <w:color w:val="auto"/>
          <w:kern w:val="28"/>
          <w:sz w:val="24"/>
        </w:rPr>
        <w:t>10、在货物采购项目中，供应商提供的货物既有中小企业制造货物，也有大型企业制造货物的，不享受本办法规定的中小企业扶持政策。</w:t>
      </w:r>
    </w:p>
    <w:p w14:paraId="44944834">
      <w:pPr>
        <w:snapToGrid w:val="0"/>
        <w:spacing w:line="440" w:lineRule="exact"/>
        <w:ind w:firstLine="480" w:firstLineChars="200"/>
        <w:outlineLvl w:val="1"/>
        <w:rPr>
          <w:rFonts w:ascii="宋体" w:hAnsi="宋体"/>
          <w:color w:val="auto"/>
          <w:kern w:val="28"/>
          <w:sz w:val="24"/>
        </w:rPr>
      </w:pPr>
      <w:r>
        <w:rPr>
          <w:rFonts w:hint="eastAsia" w:ascii="宋体" w:hAnsi="宋体"/>
          <w:color w:val="auto"/>
          <w:kern w:val="28"/>
          <w:sz w:val="24"/>
        </w:rPr>
        <w:t>11、以联合体形式参加政府采购活动，联合体各方均为中小企业的，联合体视同中小企业。其中，联合体各方均为小微企业的，联合体视同小微企业。</w:t>
      </w:r>
    </w:p>
    <w:p w14:paraId="1B98F502">
      <w:pPr>
        <w:snapToGrid w:val="0"/>
        <w:spacing w:line="440" w:lineRule="exact"/>
        <w:ind w:firstLine="480" w:firstLineChars="200"/>
        <w:outlineLvl w:val="1"/>
        <w:rPr>
          <w:rFonts w:ascii="宋体" w:hAnsi="宋体"/>
          <w:color w:val="auto"/>
          <w:kern w:val="28"/>
          <w:sz w:val="24"/>
        </w:rPr>
      </w:pPr>
      <w:r>
        <w:rPr>
          <w:rFonts w:hint="eastAsia" w:ascii="宋体" w:hAnsi="宋体"/>
          <w:color w:val="auto"/>
          <w:kern w:val="28"/>
          <w:sz w:val="24"/>
        </w:rPr>
        <w:t>12、监狱企业参加政府采购提供《监狱企业声明函》（见附件）及其相关的充分的证明材料的，视为小型、微型企业，享受小微企业政策扶持；监狱企业属于小型、微型企业的，不重复享受政策。</w:t>
      </w:r>
    </w:p>
    <w:p w14:paraId="7F6A27B3">
      <w:pPr>
        <w:snapToGrid w:val="0"/>
        <w:spacing w:line="440" w:lineRule="exact"/>
        <w:ind w:firstLine="480" w:firstLineChars="200"/>
        <w:outlineLvl w:val="1"/>
        <w:rPr>
          <w:rFonts w:ascii="宋体" w:hAnsi="宋体"/>
          <w:color w:val="auto"/>
          <w:kern w:val="28"/>
          <w:sz w:val="24"/>
        </w:rPr>
      </w:pPr>
      <w:r>
        <w:rPr>
          <w:rFonts w:hint="eastAsia" w:ascii="宋体" w:hAnsi="宋体"/>
          <w:color w:val="auto"/>
          <w:kern w:val="28"/>
          <w:sz w:val="24"/>
        </w:rPr>
        <w:t>13、残疾人福利性单位参加政府采购提供《残疾人福利性单位声明函》（格式见附件），视为小型、微型企业，享受小微企业政策扶持；残疾人福利性单位属于小型、微型企业的，不重复享受政策。</w:t>
      </w:r>
    </w:p>
    <w:p w14:paraId="27D9F12C">
      <w:pPr>
        <w:snapToGrid w:val="0"/>
        <w:spacing w:line="440" w:lineRule="exact"/>
        <w:ind w:firstLine="480" w:firstLineChars="200"/>
        <w:outlineLvl w:val="1"/>
        <w:rPr>
          <w:rFonts w:ascii="宋体" w:hAnsi="宋体"/>
          <w:color w:val="auto"/>
          <w:kern w:val="28"/>
          <w:sz w:val="24"/>
        </w:rPr>
      </w:pPr>
      <w:r>
        <w:rPr>
          <w:rFonts w:hint="eastAsia" w:ascii="宋体" w:hAnsi="宋体"/>
          <w:color w:val="auto"/>
          <w:kern w:val="28"/>
          <w:sz w:val="24"/>
        </w:rPr>
        <w:t>14、根据《政府采购促进中小企业发展管理办法》（财库【2020】46号）第二十条规定，供应商按照该办法规定提供声明函内容不实的，属于提供虚假材料谋取中标、成交，依照《中华人民共和国政府采购法》等国家有关规定追究相应责任。适用招标投标法的政府采购工程建设项目，供应商按照该办法规定提供声明函内容不实的，属于弄虚作假骗取中标，依照《中华人民共和国招标投标法》等国家有关规定追究相应责任。</w:t>
      </w:r>
    </w:p>
    <w:p w14:paraId="6C349D54">
      <w:pPr>
        <w:autoSpaceDE w:val="0"/>
        <w:autoSpaceDN w:val="0"/>
        <w:adjustRightInd w:val="0"/>
        <w:snapToGrid w:val="0"/>
        <w:spacing w:line="400" w:lineRule="exact"/>
        <w:ind w:firstLine="480" w:firstLineChars="200"/>
        <w:rPr>
          <w:rFonts w:ascii="宋体" w:hAnsi="宋体"/>
          <w:color w:val="auto"/>
          <w:kern w:val="28"/>
          <w:sz w:val="24"/>
        </w:rPr>
      </w:pPr>
      <w:r>
        <w:rPr>
          <w:rFonts w:hint="eastAsia" w:ascii="宋体" w:hAnsi="宋体"/>
          <w:color w:val="auto"/>
          <w:kern w:val="28"/>
          <w:sz w:val="24"/>
        </w:rPr>
        <w:t>15、项目实施过程中要求供应商不存在任何侵权问题，如出现侵权造成的法律后果，由供应商负责。</w:t>
      </w:r>
    </w:p>
    <w:p w14:paraId="43312726">
      <w:pPr>
        <w:autoSpaceDE w:val="0"/>
        <w:autoSpaceDN w:val="0"/>
        <w:adjustRightInd w:val="0"/>
        <w:snapToGrid w:val="0"/>
        <w:spacing w:line="400" w:lineRule="exact"/>
        <w:ind w:firstLine="480" w:firstLineChars="200"/>
        <w:rPr>
          <w:rFonts w:ascii="宋体" w:hAnsi="宋体"/>
          <w:color w:val="auto"/>
          <w:kern w:val="28"/>
          <w:sz w:val="24"/>
        </w:rPr>
      </w:pPr>
    </w:p>
    <w:p w14:paraId="5F59B814">
      <w:pPr>
        <w:pStyle w:val="2"/>
        <w:spacing w:after="0" w:line="400" w:lineRule="exact"/>
        <w:ind w:firstLine="240"/>
        <w:rPr>
          <w:color w:val="FF0000"/>
        </w:rPr>
      </w:pPr>
      <w:bookmarkStart w:id="22" w:name="_Toc72487181"/>
    </w:p>
    <w:p w14:paraId="07B8714B">
      <w:pPr>
        <w:spacing w:line="400" w:lineRule="exact"/>
      </w:pPr>
    </w:p>
    <w:p w14:paraId="2BD3E294">
      <w:pPr>
        <w:pStyle w:val="2"/>
        <w:spacing w:after="0" w:line="400" w:lineRule="exact"/>
        <w:ind w:firstLine="240"/>
      </w:pPr>
    </w:p>
    <w:p w14:paraId="1BED42D6">
      <w:pPr>
        <w:spacing w:line="400" w:lineRule="exact"/>
      </w:pPr>
    </w:p>
    <w:p w14:paraId="71AEB48F">
      <w:pPr>
        <w:pStyle w:val="2"/>
        <w:ind w:firstLine="240"/>
      </w:pPr>
    </w:p>
    <w:p w14:paraId="037B3B74"/>
    <w:p w14:paraId="2C3932C3">
      <w:pPr>
        <w:pStyle w:val="2"/>
        <w:ind w:firstLine="240"/>
      </w:pPr>
    </w:p>
    <w:p w14:paraId="4CFEE26A"/>
    <w:p w14:paraId="2AB01CA4">
      <w:pPr>
        <w:pStyle w:val="2"/>
        <w:ind w:firstLine="240"/>
      </w:pPr>
    </w:p>
    <w:p w14:paraId="3E049990"/>
    <w:p w14:paraId="151A2F9C"/>
    <w:p w14:paraId="152A418E">
      <w:pPr>
        <w:pStyle w:val="2"/>
        <w:ind w:firstLine="240"/>
      </w:pPr>
    </w:p>
    <w:p w14:paraId="04667132"/>
    <w:p w14:paraId="2E1558AD">
      <w:pPr>
        <w:pStyle w:val="2"/>
        <w:ind w:firstLine="240"/>
      </w:pPr>
    </w:p>
    <w:p w14:paraId="2A0C19E0"/>
    <w:p w14:paraId="3C39F5D9">
      <w:pPr>
        <w:pStyle w:val="2"/>
        <w:ind w:firstLine="240"/>
      </w:pPr>
    </w:p>
    <w:p w14:paraId="5B545421"/>
    <w:p w14:paraId="130F5DE3">
      <w:pPr>
        <w:pStyle w:val="2"/>
        <w:ind w:firstLine="240"/>
      </w:pPr>
    </w:p>
    <w:p w14:paraId="5AFF0CB4">
      <w:pPr>
        <w:pStyle w:val="4"/>
        <w:spacing w:before="120" w:after="120" w:line="240" w:lineRule="auto"/>
        <w:jc w:val="center"/>
        <w:rPr>
          <w:sz w:val="32"/>
          <w:szCs w:val="32"/>
        </w:rPr>
      </w:pPr>
      <w:r>
        <w:rPr>
          <w:rFonts w:hint="eastAsia" w:ascii="宋体" w:hAnsi="宋体"/>
          <w:sz w:val="32"/>
          <w:szCs w:val="32"/>
        </w:rPr>
        <w:t xml:space="preserve">第三章  </w:t>
      </w:r>
      <w:bookmarkEnd w:id="20"/>
      <w:bookmarkEnd w:id="21"/>
      <w:r>
        <w:rPr>
          <w:rFonts w:hint="eastAsia"/>
          <w:sz w:val="32"/>
          <w:szCs w:val="32"/>
        </w:rPr>
        <w:t>合同主要条款</w:t>
      </w:r>
      <w:bookmarkEnd w:id="22"/>
    </w:p>
    <w:p w14:paraId="66C6D271">
      <w:pPr>
        <w:spacing w:line="500" w:lineRule="exact"/>
        <w:jc w:val="center"/>
        <w:rPr>
          <w:rFonts w:ascii="宋体" w:hAnsi="宋体" w:cs="宋体"/>
          <w:b/>
          <w:sz w:val="30"/>
          <w:szCs w:val="30"/>
        </w:rPr>
      </w:pPr>
      <w:r>
        <w:rPr>
          <w:rFonts w:hint="eastAsia" w:ascii="宋体" w:hAnsi="宋体" w:cs="宋体"/>
          <w:b/>
          <w:sz w:val="30"/>
          <w:szCs w:val="30"/>
        </w:rPr>
        <w:t>（以最终合同为准）</w:t>
      </w:r>
    </w:p>
    <w:p w14:paraId="5A5D5FFF">
      <w:pPr>
        <w:pStyle w:val="19"/>
        <w:tabs>
          <w:tab w:val="left" w:pos="1200"/>
        </w:tabs>
        <w:spacing w:before="156" w:after="156"/>
        <w:jc w:val="center"/>
        <w:rPr>
          <w:b/>
          <w:sz w:val="36"/>
          <w:szCs w:val="36"/>
          <w:highlight w:val="green"/>
        </w:rPr>
      </w:pPr>
      <w:r>
        <w:rPr>
          <w:rFonts w:hint="eastAsia"/>
          <w:b/>
          <w:sz w:val="36"/>
          <w:szCs w:val="36"/>
          <w:highlight w:val="green"/>
        </w:rPr>
        <w:t>浙江省政府采购合同指引（服务）</w:t>
      </w:r>
    </w:p>
    <w:p w14:paraId="37C0C243">
      <w:pPr>
        <w:spacing w:line="360" w:lineRule="auto"/>
        <w:jc w:val="center"/>
        <w:rPr>
          <w:rFonts w:ascii="宋体" w:hAnsi="宋体"/>
          <w:b/>
          <w:bCs/>
          <w:szCs w:val="21"/>
        </w:rPr>
      </w:pPr>
      <w:r>
        <w:rPr>
          <w:rFonts w:hint="eastAsia" w:ascii="宋体" w:hAnsi="宋体"/>
          <w:b/>
          <w:bCs/>
          <w:szCs w:val="21"/>
        </w:rPr>
        <w:t>财政审批编号:      竞争性磋商文件编号:</w:t>
      </w:r>
    </w:p>
    <w:p w14:paraId="64F777A1">
      <w:pPr>
        <w:pStyle w:val="19"/>
        <w:spacing w:before="156" w:after="156" w:line="500" w:lineRule="exact"/>
        <w:ind w:firstLine="480" w:firstLineChars="200"/>
        <w:rPr>
          <w:rFonts w:hAnsi="宋体" w:cs="宋体"/>
          <w:u w:val="single"/>
        </w:rPr>
      </w:pPr>
      <w:r>
        <w:rPr>
          <w:rFonts w:hint="eastAsia" w:hAnsi="宋体" w:cs="宋体"/>
        </w:rPr>
        <w:t>项目名称：                        项目编号：            合同编号：</w:t>
      </w:r>
    </w:p>
    <w:p w14:paraId="0F5636B5">
      <w:pPr>
        <w:pStyle w:val="19"/>
        <w:spacing w:before="156" w:after="156" w:line="500" w:lineRule="exact"/>
        <w:ind w:firstLine="480" w:firstLineChars="200"/>
        <w:rPr>
          <w:rFonts w:hAnsi="宋体" w:cs="宋体"/>
          <w:u w:val="single"/>
        </w:rPr>
      </w:pPr>
      <w:r>
        <w:rPr>
          <w:rFonts w:hint="eastAsia" w:hAnsi="宋体" w:cs="宋体"/>
        </w:rPr>
        <w:t>甲方（采购人）：</w:t>
      </w:r>
      <w:r>
        <w:rPr>
          <w:rFonts w:hint="eastAsia" w:hAnsi="宋体" w:cs="宋体"/>
          <w:b/>
          <w:u w:val="single"/>
        </w:rPr>
        <w:t xml:space="preserve">                </w:t>
      </w:r>
    </w:p>
    <w:p w14:paraId="40FF04E9">
      <w:pPr>
        <w:pStyle w:val="19"/>
        <w:spacing w:before="156" w:after="156" w:line="500" w:lineRule="exact"/>
        <w:ind w:firstLine="480" w:firstLineChars="200"/>
        <w:rPr>
          <w:rFonts w:hAnsi="宋体" w:cs="宋体"/>
          <w:u w:val="single"/>
        </w:rPr>
      </w:pPr>
      <w:r>
        <w:rPr>
          <w:rFonts w:hint="eastAsia" w:hAnsi="宋体" w:cs="宋体"/>
        </w:rPr>
        <w:t>乙方（成交供应商）：</w:t>
      </w:r>
      <w:r>
        <w:rPr>
          <w:rFonts w:hint="eastAsia" w:hAnsi="宋体" w:cs="宋体"/>
          <w:b/>
          <w:u w:val="single"/>
        </w:rPr>
        <w:t xml:space="preserve">            </w:t>
      </w:r>
    </w:p>
    <w:p w14:paraId="4F01A4F3">
      <w:pPr>
        <w:pStyle w:val="19"/>
        <w:spacing w:before="156" w:after="156" w:line="500" w:lineRule="exact"/>
        <w:ind w:firstLine="480" w:firstLineChars="200"/>
        <w:rPr>
          <w:rFonts w:hAnsi="宋体" w:cs="宋体"/>
        </w:rPr>
      </w:pPr>
      <w:r>
        <w:rPr>
          <w:rFonts w:hint="eastAsia" w:hAnsi="宋体" w:cs="宋体"/>
        </w:rPr>
        <w:t>甲乙双方根据</w:t>
      </w:r>
      <w:r>
        <w:rPr>
          <w:rFonts w:hint="eastAsia" w:hAnsi="宋体" w:cs="宋体"/>
          <w:b/>
          <w:u w:val="single"/>
        </w:rPr>
        <w:t xml:space="preserve">            有限公司</w:t>
      </w:r>
      <w:r>
        <w:rPr>
          <w:rFonts w:hint="eastAsia" w:hAnsi="宋体" w:cs="宋体"/>
        </w:rPr>
        <w:t>关于</w:t>
      </w:r>
      <w:r>
        <w:rPr>
          <w:rFonts w:hint="eastAsia"/>
          <w:b/>
          <w:bCs/>
          <w:kern w:val="0"/>
          <w:u w:val="single"/>
        </w:rPr>
        <w:t xml:space="preserve">             项目</w:t>
      </w:r>
      <w:r>
        <w:rPr>
          <w:rFonts w:hint="eastAsia" w:hAnsi="宋体" w:cs="宋体"/>
        </w:rPr>
        <w:t>公开磋商的结果，签署本合同。</w:t>
      </w:r>
    </w:p>
    <w:p w14:paraId="3C8AB792">
      <w:pPr>
        <w:spacing w:line="360" w:lineRule="auto"/>
        <w:rPr>
          <w:rFonts w:ascii="宋体" w:hAnsi="宋体"/>
          <w:b/>
          <w:bCs/>
          <w:sz w:val="24"/>
        </w:rPr>
      </w:pPr>
      <w:r>
        <w:rPr>
          <w:rFonts w:hint="eastAsia" w:ascii="宋体" w:hAnsi="宋体"/>
          <w:b/>
          <w:bCs/>
          <w:sz w:val="24"/>
        </w:rPr>
        <w:t>1.定义</w:t>
      </w:r>
    </w:p>
    <w:p w14:paraId="2BFAE5D1">
      <w:pPr>
        <w:spacing w:line="360" w:lineRule="auto"/>
        <w:ind w:firstLine="480" w:firstLineChars="200"/>
        <w:rPr>
          <w:rFonts w:ascii="宋体" w:hAnsi="宋体"/>
          <w:sz w:val="24"/>
        </w:rPr>
      </w:pPr>
      <w:r>
        <w:rPr>
          <w:rFonts w:hint="eastAsia" w:ascii="宋体" w:hAnsi="宋体"/>
          <w:sz w:val="24"/>
        </w:rPr>
        <w:t>本合同中的下列术语应解释为：</w:t>
      </w:r>
    </w:p>
    <w:p w14:paraId="4BFE0810">
      <w:pPr>
        <w:spacing w:line="440" w:lineRule="exact"/>
        <w:ind w:firstLine="480" w:firstLineChars="200"/>
        <w:rPr>
          <w:rFonts w:ascii="宋体" w:hAnsi="宋体"/>
          <w:sz w:val="24"/>
        </w:rPr>
      </w:pPr>
      <w:r>
        <w:rPr>
          <w:rFonts w:hint="eastAsia" w:ascii="宋体" w:hAnsi="宋体"/>
          <w:sz w:val="24"/>
        </w:rPr>
        <w:t>1.1“合同”系指供需双方签署的、合同格式中载明的供需双方所达成的协议，包括所有的附件、附录和构成合同的所有文件；</w:t>
      </w:r>
    </w:p>
    <w:p w14:paraId="56CBD0BD">
      <w:pPr>
        <w:spacing w:line="440" w:lineRule="exact"/>
        <w:ind w:firstLine="480" w:firstLineChars="200"/>
        <w:rPr>
          <w:rFonts w:ascii="宋体" w:hAnsi="宋体"/>
          <w:sz w:val="24"/>
        </w:rPr>
      </w:pPr>
      <w:r>
        <w:rPr>
          <w:rFonts w:hint="eastAsia" w:ascii="宋体" w:hAnsi="宋体"/>
          <w:sz w:val="24"/>
        </w:rPr>
        <w:t>1.2“合同价”系指根据合同规定，采购人在供应商完全履行合同义务后应付给的价格；</w:t>
      </w:r>
    </w:p>
    <w:p w14:paraId="61A5AB96">
      <w:pPr>
        <w:spacing w:line="440" w:lineRule="exact"/>
        <w:ind w:firstLine="480" w:firstLineChars="200"/>
        <w:rPr>
          <w:rFonts w:ascii="宋体" w:hAnsi="宋体"/>
          <w:sz w:val="24"/>
        </w:rPr>
      </w:pPr>
      <w:r>
        <w:rPr>
          <w:rFonts w:hint="eastAsia" w:ascii="宋体" w:hAnsi="宋体"/>
          <w:sz w:val="24"/>
        </w:rPr>
        <w:t>1.3“货物”系指供应商根据合同规定向采购人提供的一切货物、质量保证书和其他技术资料及技术参数；</w:t>
      </w:r>
    </w:p>
    <w:p w14:paraId="4405B33B">
      <w:pPr>
        <w:spacing w:line="440" w:lineRule="exact"/>
        <w:ind w:firstLine="480" w:firstLineChars="200"/>
        <w:rPr>
          <w:rFonts w:ascii="宋体" w:hAnsi="宋体"/>
          <w:sz w:val="24"/>
        </w:rPr>
      </w:pPr>
      <w:r>
        <w:rPr>
          <w:rFonts w:hint="eastAsia" w:ascii="宋体" w:hAnsi="宋体"/>
          <w:sz w:val="24"/>
        </w:rPr>
        <w:t>1.4“服务”系指根据合同规定供应商承担与供货有关的辅助服务，如运输、装卸、安装、保险以及其他的服务，例如安装、调试提供技术援助、培训和其他类似的义务；</w:t>
      </w:r>
    </w:p>
    <w:p w14:paraId="3B06D8F6">
      <w:pPr>
        <w:spacing w:line="440" w:lineRule="exact"/>
        <w:ind w:firstLine="480" w:firstLineChars="200"/>
        <w:rPr>
          <w:rFonts w:ascii="宋体" w:hAnsi="宋体"/>
          <w:sz w:val="24"/>
        </w:rPr>
      </w:pPr>
      <w:r>
        <w:rPr>
          <w:rFonts w:hint="eastAsia" w:ascii="宋体" w:hAnsi="宋体"/>
          <w:sz w:val="24"/>
        </w:rPr>
        <w:t>1.5“采购人”系指</w:t>
      </w:r>
      <w:r>
        <w:rPr>
          <w:rFonts w:hint="eastAsia" w:ascii="宋体" w:hAnsi="宋体"/>
          <w:bCs/>
          <w:sz w:val="24"/>
        </w:rPr>
        <w:t>具体使用货物和接受服务的使用单位；</w:t>
      </w:r>
    </w:p>
    <w:p w14:paraId="20EA5BA7">
      <w:pPr>
        <w:spacing w:line="440" w:lineRule="exact"/>
        <w:ind w:firstLine="480" w:firstLineChars="200"/>
        <w:rPr>
          <w:rFonts w:ascii="宋体" w:hAnsi="宋体"/>
          <w:sz w:val="24"/>
        </w:rPr>
      </w:pPr>
      <w:r>
        <w:rPr>
          <w:rFonts w:hint="eastAsia" w:ascii="宋体" w:hAnsi="宋体"/>
          <w:sz w:val="24"/>
        </w:rPr>
        <w:t>1.6“供应商”系指根据合同规定提供采购项目货物和服务的具有法人资格的公司、企业或实体；</w:t>
      </w:r>
    </w:p>
    <w:p w14:paraId="1AB72FEC">
      <w:pPr>
        <w:spacing w:line="440" w:lineRule="exact"/>
        <w:ind w:firstLine="480" w:firstLineChars="200"/>
        <w:rPr>
          <w:rFonts w:ascii="宋体" w:hAnsi="宋体"/>
          <w:sz w:val="24"/>
        </w:rPr>
      </w:pPr>
      <w:r>
        <w:rPr>
          <w:rFonts w:hint="eastAsia" w:ascii="宋体" w:hAnsi="宋体"/>
          <w:sz w:val="24"/>
        </w:rPr>
        <w:t>1.7“财政审批编号”系指南浔区财政局审批编号。</w:t>
      </w:r>
    </w:p>
    <w:p w14:paraId="1379067E">
      <w:pPr>
        <w:spacing w:line="440" w:lineRule="exact"/>
        <w:rPr>
          <w:rFonts w:ascii="宋体" w:hAnsi="宋体"/>
          <w:b/>
          <w:bCs/>
          <w:sz w:val="24"/>
        </w:rPr>
      </w:pPr>
      <w:r>
        <w:rPr>
          <w:rFonts w:hint="eastAsia" w:ascii="宋体" w:hAnsi="宋体"/>
          <w:b/>
          <w:bCs/>
          <w:sz w:val="24"/>
        </w:rPr>
        <w:t>2.合同项目与内容</w:t>
      </w:r>
    </w:p>
    <w:p w14:paraId="4B130970">
      <w:pPr>
        <w:spacing w:line="440" w:lineRule="exact"/>
        <w:ind w:firstLine="482" w:firstLineChars="200"/>
        <w:rPr>
          <w:rFonts w:hint="eastAsia" w:ascii="宋体" w:hAnsi="宋体" w:eastAsia="宋体"/>
          <w:b/>
          <w:bCs/>
          <w:sz w:val="24"/>
          <w:lang w:eastAsia="zh-CN"/>
        </w:rPr>
      </w:pPr>
      <w:r>
        <w:rPr>
          <w:rFonts w:hint="eastAsia" w:ascii="宋体" w:hAnsi="宋体"/>
          <w:b/>
          <w:bCs/>
          <w:sz w:val="24"/>
          <w:lang w:eastAsia="zh-CN"/>
        </w:rPr>
        <w:t>南浔经济开发区2025年城市管理服务项目</w:t>
      </w:r>
    </w:p>
    <w:p w14:paraId="4E65F12D">
      <w:pPr>
        <w:spacing w:line="440" w:lineRule="exact"/>
        <w:ind w:firstLine="482" w:firstLineChars="200"/>
        <w:rPr>
          <w:rFonts w:ascii="宋体" w:hAnsi="宋体"/>
          <w:b/>
          <w:bCs/>
          <w:sz w:val="24"/>
        </w:rPr>
      </w:pPr>
      <w:r>
        <w:rPr>
          <w:rFonts w:hint="eastAsia" w:ascii="宋体" w:hAnsi="宋体"/>
          <w:b/>
          <w:bCs/>
          <w:sz w:val="24"/>
        </w:rPr>
        <w:t>合同金额：</w:t>
      </w:r>
      <w:r>
        <w:rPr>
          <w:rFonts w:hint="eastAsia" w:ascii="宋体" w:hAnsi="宋体"/>
          <w:b/>
          <w:bCs/>
          <w:sz w:val="24"/>
          <w:u w:val="single"/>
        </w:rPr>
        <w:t xml:space="preserve">             元（大写：                      ）</w:t>
      </w:r>
    </w:p>
    <w:p w14:paraId="47082D09">
      <w:pPr>
        <w:spacing w:line="440" w:lineRule="exact"/>
        <w:rPr>
          <w:rFonts w:ascii="宋体" w:hAnsi="宋体"/>
          <w:b/>
          <w:bCs/>
          <w:sz w:val="24"/>
        </w:rPr>
      </w:pPr>
      <w:r>
        <w:rPr>
          <w:rFonts w:hint="eastAsia" w:ascii="宋体" w:hAnsi="宋体"/>
          <w:b/>
          <w:bCs/>
          <w:sz w:val="24"/>
        </w:rPr>
        <w:t>3.服务时间与服务地点</w:t>
      </w:r>
    </w:p>
    <w:p w14:paraId="7148A21C">
      <w:pPr>
        <w:spacing w:line="440" w:lineRule="exact"/>
        <w:ind w:firstLine="480" w:firstLineChars="200"/>
        <w:rPr>
          <w:rFonts w:ascii="宋体" w:hAnsi="宋体"/>
          <w:sz w:val="24"/>
        </w:rPr>
      </w:pPr>
      <w:r>
        <w:rPr>
          <w:rFonts w:hint="eastAsia" w:ascii="宋体" w:hAnsi="宋体"/>
          <w:sz w:val="24"/>
        </w:rPr>
        <w:t>服务时间：详见磋商文件要求；</w:t>
      </w:r>
    </w:p>
    <w:p w14:paraId="2F423201">
      <w:pPr>
        <w:spacing w:line="440" w:lineRule="exact"/>
        <w:ind w:firstLine="480" w:firstLineChars="200"/>
        <w:rPr>
          <w:rFonts w:ascii="宋体" w:hAnsi="宋体"/>
          <w:sz w:val="24"/>
        </w:rPr>
      </w:pPr>
      <w:r>
        <w:rPr>
          <w:rFonts w:hint="eastAsia" w:ascii="宋体" w:hAnsi="宋体"/>
          <w:sz w:val="24"/>
        </w:rPr>
        <w:t>服务地点：由采购单位指定。</w:t>
      </w:r>
    </w:p>
    <w:p w14:paraId="16CFAF71">
      <w:pPr>
        <w:spacing w:line="440" w:lineRule="exact"/>
        <w:rPr>
          <w:rFonts w:ascii="宋体" w:hAnsi="宋体"/>
          <w:b/>
          <w:bCs/>
          <w:sz w:val="24"/>
        </w:rPr>
      </w:pPr>
      <w:r>
        <w:rPr>
          <w:rFonts w:hint="eastAsia" w:ascii="宋体" w:hAnsi="宋体"/>
          <w:b/>
          <w:bCs/>
          <w:sz w:val="24"/>
        </w:rPr>
        <w:t>4.签署合同的要求</w:t>
      </w:r>
    </w:p>
    <w:p w14:paraId="234A61C6">
      <w:pPr>
        <w:spacing w:line="440" w:lineRule="exact"/>
        <w:ind w:firstLine="480" w:firstLineChars="200"/>
        <w:rPr>
          <w:rFonts w:ascii="宋体" w:hAnsi="宋体"/>
          <w:bCs/>
          <w:sz w:val="24"/>
        </w:rPr>
      </w:pPr>
      <w:r>
        <w:rPr>
          <w:rFonts w:hint="eastAsia" w:ascii="宋体" w:hAnsi="宋体"/>
          <w:bCs/>
          <w:sz w:val="24"/>
        </w:rPr>
        <w:t>4.1 供应商必须按照响应文件和询标过程中承诺的条款以及中标通知书中规定的时间、地点与采购人签订合同；</w:t>
      </w:r>
    </w:p>
    <w:p w14:paraId="3FEF1BAA">
      <w:pPr>
        <w:spacing w:line="440" w:lineRule="exact"/>
        <w:ind w:firstLine="480" w:firstLineChars="200"/>
        <w:rPr>
          <w:rFonts w:ascii="宋体" w:hAnsi="宋体"/>
          <w:bCs/>
          <w:sz w:val="24"/>
        </w:rPr>
      </w:pPr>
      <w:r>
        <w:rPr>
          <w:rFonts w:hint="eastAsia" w:ascii="宋体" w:hAnsi="宋体"/>
          <w:bCs/>
          <w:sz w:val="24"/>
        </w:rPr>
        <w:t>4.</w:t>
      </w:r>
      <w:r>
        <w:rPr>
          <w:rFonts w:ascii="宋体" w:hAnsi="宋体"/>
          <w:bCs/>
          <w:sz w:val="24"/>
        </w:rPr>
        <w:t>2</w:t>
      </w:r>
      <w:r>
        <w:rPr>
          <w:rFonts w:hint="eastAsia" w:ascii="宋体" w:hAnsi="宋体"/>
          <w:bCs/>
          <w:sz w:val="24"/>
        </w:rPr>
        <w:t xml:space="preserve"> 所签订的合同内容不得对招标文件和供应商的响应文件作实质性修改；</w:t>
      </w:r>
    </w:p>
    <w:p w14:paraId="242A4364">
      <w:pPr>
        <w:spacing w:line="440" w:lineRule="exact"/>
        <w:ind w:firstLine="480" w:firstLineChars="200"/>
        <w:rPr>
          <w:rFonts w:ascii="宋体" w:hAnsi="宋体"/>
          <w:bCs/>
          <w:sz w:val="24"/>
        </w:rPr>
      </w:pPr>
      <w:r>
        <w:rPr>
          <w:rFonts w:hint="eastAsia" w:ascii="宋体" w:hAnsi="宋体"/>
          <w:bCs/>
          <w:sz w:val="24"/>
        </w:rPr>
        <w:t>4.</w:t>
      </w:r>
      <w:r>
        <w:rPr>
          <w:rFonts w:ascii="宋体" w:hAnsi="宋体"/>
          <w:bCs/>
          <w:sz w:val="24"/>
        </w:rPr>
        <w:t>3</w:t>
      </w:r>
      <w:r>
        <w:rPr>
          <w:rFonts w:hint="eastAsia" w:ascii="宋体" w:hAnsi="宋体"/>
          <w:bCs/>
          <w:sz w:val="24"/>
        </w:rPr>
        <w:t xml:space="preserve"> 采购人不得向供应商提出任何不合理的要求，作为签订合同的条件，不得与供应商私下订立背离合同实质性内容的协议；</w:t>
      </w:r>
    </w:p>
    <w:p w14:paraId="6A93FFF2">
      <w:pPr>
        <w:spacing w:line="440" w:lineRule="exact"/>
        <w:ind w:firstLine="480" w:firstLineChars="200"/>
        <w:rPr>
          <w:rFonts w:ascii="宋体" w:hAnsi="宋体"/>
          <w:bCs/>
          <w:sz w:val="24"/>
        </w:rPr>
      </w:pPr>
      <w:r>
        <w:rPr>
          <w:rFonts w:hint="eastAsia" w:ascii="宋体" w:hAnsi="宋体"/>
          <w:bCs/>
          <w:sz w:val="24"/>
        </w:rPr>
        <w:t>4.</w:t>
      </w:r>
      <w:r>
        <w:rPr>
          <w:rFonts w:ascii="宋体" w:hAnsi="宋体"/>
          <w:bCs/>
          <w:sz w:val="24"/>
        </w:rPr>
        <w:t>4</w:t>
      </w:r>
      <w:r>
        <w:rPr>
          <w:rFonts w:hint="eastAsia" w:ascii="宋体" w:hAnsi="宋体"/>
          <w:bCs/>
          <w:sz w:val="24"/>
        </w:rPr>
        <w:t xml:space="preserve"> 自采购合同签订之日起7个工作日内，将采购合同副本送本项目招标代理机构存档。</w:t>
      </w:r>
    </w:p>
    <w:p w14:paraId="3DD03FF4">
      <w:pPr>
        <w:spacing w:line="440" w:lineRule="exact"/>
        <w:rPr>
          <w:rFonts w:ascii="宋体" w:hAnsi="宋体"/>
          <w:b/>
          <w:bCs/>
          <w:sz w:val="24"/>
        </w:rPr>
      </w:pPr>
      <w:r>
        <w:rPr>
          <w:rFonts w:hint="eastAsia" w:ascii="宋体" w:hAnsi="宋体"/>
          <w:b/>
          <w:bCs/>
          <w:sz w:val="24"/>
        </w:rPr>
        <w:t>5.技术规范</w:t>
      </w:r>
    </w:p>
    <w:p w14:paraId="12B62916">
      <w:pPr>
        <w:spacing w:line="440" w:lineRule="exact"/>
        <w:ind w:firstLine="480" w:firstLineChars="200"/>
        <w:rPr>
          <w:rFonts w:ascii="宋体" w:hAnsi="宋体"/>
          <w:sz w:val="24"/>
        </w:rPr>
      </w:pPr>
      <w:r>
        <w:rPr>
          <w:rFonts w:hint="eastAsia" w:ascii="宋体" w:hAnsi="宋体"/>
          <w:sz w:val="24"/>
        </w:rPr>
        <w:t>本合同执行国家及本省、市现行项目实施及验收规范及有关条例、实施办法等。</w:t>
      </w:r>
    </w:p>
    <w:p w14:paraId="3D142EBF">
      <w:pPr>
        <w:spacing w:line="440" w:lineRule="exact"/>
        <w:ind w:firstLine="480" w:firstLineChars="200"/>
        <w:rPr>
          <w:rFonts w:ascii="宋体" w:hAnsi="宋体"/>
          <w:sz w:val="24"/>
        </w:rPr>
      </w:pPr>
      <w:r>
        <w:rPr>
          <w:rFonts w:hint="eastAsia" w:ascii="宋体" w:hAnsi="宋体"/>
          <w:sz w:val="24"/>
        </w:rPr>
        <w:t>提供和交付的服务技术规范应与招标文件规定的技术规范相一致。</w:t>
      </w:r>
    </w:p>
    <w:p w14:paraId="31B18E8C">
      <w:pPr>
        <w:spacing w:line="440" w:lineRule="exact"/>
        <w:rPr>
          <w:rFonts w:ascii="宋体" w:hAnsi="宋体"/>
          <w:b/>
          <w:bCs/>
          <w:sz w:val="24"/>
        </w:rPr>
      </w:pPr>
      <w:r>
        <w:rPr>
          <w:rFonts w:hint="eastAsia" w:ascii="宋体" w:hAnsi="宋体"/>
          <w:b/>
          <w:bCs/>
          <w:sz w:val="24"/>
        </w:rPr>
        <w:t>6.知识产权</w:t>
      </w:r>
    </w:p>
    <w:p w14:paraId="3692523E">
      <w:pPr>
        <w:spacing w:line="440" w:lineRule="exact"/>
        <w:ind w:firstLine="480" w:firstLineChars="200"/>
        <w:rPr>
          <w:rFonts w:ascii="宋体" w:hAnsi="宋体"/>
          <w:sz w:val="24"/>
        </w:rPr>
      </w:pPr>
      <w:r>
        <w:rPr>
          <w:rFonts w:hint="eastAsia" w:ascii="宋体" w:hAnsi="宋体"/>
          <w:sz w:val="24"/>
        </w:rPr>
        <w:t>供应商保证所提供的服务及货物均不存在知识产权纠纷。供应商应保证采购人在使用时不受第三方提出侵犯其专利权、商标权等知识产权的诉讼。</w:t>
      </w:r>
    </w:p>
    <w:p w14:paraId="1AD37250">
      <w:pPr>
        <w:spacing w:line="440" w:lineRule="exact"/>
        <w:rPr>
          <w:rFonts w:ascii="宋体" w:hAnsi="宋体"/>
          <w:b/>
          <w:bCs/>
          <w:sz w:val="24"/>
        </w:rPr>
      </w:pPr>
      <w:r>
        <w:rPr>
          <w:rFonts w:hint="eastAsia" w:ascii="宋体" w:hAnsi="宋体"/>
          <w:b/>
          <w:bCs/>
          <w:sz w:val="24"/>
        </w:rPr>
        <w:t>7.工作考核及付款方式</w:t>
      </w:r>
    </w:p>
    <w:p w14:paraId="7515DEFF">
      <w:pPr>
        <w:autoSpaceDE w:val="0"/>
        <w:autoSpaceDN w:val="0"/>
        <w:adjustRightInd w:val="0"/>
        <w:snapToGrid w:val="0"/>
        <w:spacing w:line="440" w:lineRule="exact"/>
        <w:ind w:firstLine="480" w:firstLineChars="200"/>
        <w:rPr>
          <w:rFonts w:ascii="宋体" w:hAnsi="宋体"/>
          <w:sz w:val="24"/>
        </w:rPr>
      </w:pPr>
      <w:r>
        <w:rPr>
          <w:rFonts w:hint="eastAsia" w:ascii="宋体" w:hAnsi="宋体"/>
          <w:sz w:val="24"/>
        </w:rPr>
        <w:t>根据《保障中小企业款项支付条例》</w:t>
      </w:r>
      <w:r>
        <w:rPr>
          <w:rFonts w:ascii="宋体" w:hAnsi="宋体"/>
          <w:sz w:val="24"/>
        </w:rPr>
        <w:t>、</w:t>
      </w:r>
      <w:r>
        <w:rPr>
          <w:rFonts w:hint="eastAsia" w:ascii="宋体" w:hAnsi="宋体"/>
          <w:sz w:val="24"/>
        </w:rPr>
        <w:t>省财政厅《关于坚决打赢疫情防控阻击战进一步做好政府采购资金支持企业发展工作的通知》（浙财采监【2020】3号）、省财政厅《关于进一步发挥政府采购政策功能全力推动经济稳进提质的通知书》（浙财采监【2022】3号）及要求《关于进一步加大政府采购支持中小企业力度助力扎实稳住经济的通知》（浙财采监【2022】8号）,制定如以下付款方式：</w:t>
      </w:r>
    </w:p>
    <w:p w14:paraId="617C7387">
      <w:pPr>
        <w:snapToGrid w:val="0"/>
        <w:spacing w:line="440" w:lineRule="exact"/>
        <w:ind w:firstLine="482" w:firstLineChars="200"/>
        <w:rPr>
          <w:rFonts w:ascii="宋体" w:hAnsi="宋体"/>
          <w:b/>
          <w:color w:val="FF0000"/>
          <w:sz w:val="24"/>
        </w:rPr>
      </w:pPr>
      <w:r>
        <w:rPr>
          <w:rFonts w:hint="eastAsia" w:ascii="宋体" w:hAnsi="宋体"/>
          <w:b/>
          <w:color w:val="FF0000"/>
          <w:sz w:val="24"/>
        </w:rPr>
        <w:t>付款方式：合同签订后7个工作日内，采购人收到成交供应商提供的同等金额的正规税务发票后，向成交供应商支付预付款（即合同款的40%）；服务费按季度支付，每季度支付合同总金额的20%，在下一季度第一个月15日之前支付（预付款每季度平均扣回）；余款待服务期满后根据考核情况进行支付（考核内容根据工作内容、人员安排等制定）。</w:t>
      </w:r>
    </w:p>
    <w:p w14:paraId="740A8451">
      <w:pPr>
        <w:snapToGrid w:val="0"/>
        <w:spacing w:line="440" w:lineRule="exact"/>
        <w:ind w:firstLine="480" w:firstLineChars="200"/>
        <w:rPr>
          <w:rFonts w:ascii="宋体" w:hAnsi="宋体"/>
          <w:sz w:val="24"/>
        </w:rPr>
      </w:pPr>
      <w:r>
        <w:rPr>
          <w:rFonts w:hint="eastAsia" w:ascii="宋体" w:hAnsi="宋体"/>
          <w:sz w:val="24"/>
        </w:rPr>
        <w:t>采购人应自收到供应商开具的发票后7日内将上述相关款项支付到合同约定的供应商账户。</w:t>
      </w:r>
    </w:p>
    <w:p w14:paraId="794D7DCC">
      <w:pPr>
        <w:snapToGrid w:val="0"/>
        <w:spacing w:line="440" w:lineRule="exact"/>
        <w:ind w:firstLine="480" w:firstLineChars="200"/>
        <w:rPr>
          <w:rFonts w:ascii="宋体" w:hAnsi="宋体"/>
          <w:sz w:val="24"/>
        </w:rPr>
      </w:pPr>
      <w:r>
        <w:rPr>
          <w:rFonts w:hint="eastAsia" w:ascii="宋体" w:hAnsi="宋体"/>
          <w:sz w:val="24"/>
        </w:rPr>
        <w:t>采购人在向供应商支付预付款之前，有权要求供应商向采购人提供与预付款金额相对应的担保措施，担保措施可以是银行、保险公司等金融机构出具的预付款保函或其他担保措施。</w:t>
      </w:r>
    </w:p>
    <w:p w14:paraId="7BF710B5">
      <w:pPr>
        <w:snapToGrid w:val="0"/>
        <w:spacing w:line="440" w:lineRule="exact"/>
        <w:ind w:firstLine="480" w:firstLineChars="200"/>
        <w:rPr>
          <w:rFonts w:ascii="宋体" w:hAnsi="宋体"/>
          <w:sz w:val="24"/>
        </w:rPr>
      </w:pPr>
      <w:r>
        <w:rPr>
          <w:rFonts w:hint="eastAsia" w:ascii="宋体" w:hAnsi="宋体"/>
          <w:sz w:val="24"/>
        </w:rPr>
        <w:t>在签订合同时，供应商明确表示无需预付款或者主动要求降低预付款比例的，采购单位可不适用前述规定。</w:t>
      </w:r>
    </w:p>
    <w:p w14:paraId="7278F115">
      <w:pPr>
        <w:spacing w:line="440" w:lineRule="exact"/>
        <w:rPr>
          <w:rFonts w:ascii="宋体" w:hAnsi="宋体"/>
          <w:sz w:val="24"/>
        </w:rPr>
      </w:pPr>
      <w:r>
        <w:rPr>
          <w:rFonts w:hint="eastAsia" w:ascii="宋体" w:hAnsi="宋体"/>
          <w:b/>
          <w:bCs/>
          <w:sz w:val="24"/>
        </w:rPr>
        <w:t>8.支付</w:t>
      </w:r>
      <w:r>
        <w:rPr>
          <w:rFonts w:hint="eastAsia" w:ascii="宋体" w:hAnsi="宋体"/>
          <w:sz w:val="24"/>
        </w:rPr>
        <w:t>：支付应使用人民币；</w:t>
      </w:r>
    </w:p>
    <w:p w14:paraId="639D82A3">
      <w:pPr>
        <w:spacing w:line="440" w:lineRule="exact"/>
        <w:rPr>
          <w:rFonts w:ascii="宋体" w:hAnsi="宋体"/>
          <w:b/>
          <w:bCs/>
          <w:sz w:val="24"/>
        </w:rPr>
      </w:pPr>
      <w:r>
        <w:rPr>
          <w:rFonts w:hint="eastAsia" w:ascii="宋体" w:hAnsi="宋体"/>
          <w:b/>
          <w:bCs/>
          <w:sz w:val="24"/>
        </w:rPr>
        <w:t>9.技术服务</w:t>
      </w:r>
    </w:p>
    <w:p w14:paraId="4FB47DC1">
      <w:pPr>
        <w:spacing w:line="440" w:lineRule="exact"/>
        <w:ind w:firstLine="480" w:firstLineChars="200"/>
        <w:rPr>
          <w:rFonts w:ascii="宋体" w:hAnsi="宋体"/>
          <w:sz w:val="24"/>
        </w:rPr>
      </w:pPr>
      <w:r>
        <w:rPr>
          <w:rFonts w:hint="eastAsia" w:ascii="宋体" w:hAnsi="宋体"/>
          <w:sz w:val="24"/>
        </w:rPr>
        <w:t>供应商应负责安排采购人相关人员进行操作、维修的培训。具体时间及培训内容在磋商时由供应商提出建议；</w:t>
      </w:r>
    </w:p>
    <w:p w14:paraId="53A3E832">
      <w:pPr>
        <w:spacing w:line="440" w:lineRule="exact"/>
        <w:rPr>
          <w:rFonts w:ascii="宋体" w:hAnsi="宋体"/>
          <w:b/>
          <w:bCs/>
          <w:sz w:val="24"/>
        </w:rPr>
      </w:pPr>
      <w:r>
        <w:rPr>
          <w:rFonts w:hint="eastAsia" w:ascii="宋体" w:hAnsi="宋体"/>
          <w:b/>
          <w:bCs/>
          <w:sz w:val="24"/>
        </w:rPr>
        <w:t>10.售后服务及承诺</w:t>
      </w:r>
    </w:p>
    <w:p w14:paraId="2D9BCF38">
      <w:pPr>
        <w:spacing w:line="440" w:lineRule="exact"/>
        <w:ind w:firstLine="480" w:firstLineChars="200"/>
        <w:rPr>
          <w:rFonts w:ascii="宋体" w:hAnsi="宋体"/>
          <w:bCs/>
          <w:sz w:val="24"/>
        </w:rPr>
      </w:pPr>
      <w:r>
        <w:rPr>
          <w:rFonts w:hint="eastAsia" w:ascii="宋体" w:hAnsi="宋体"/>
          <w:bCs/>
          <w:sz w:val="24"/>
        </w:rPr>
        <w:t>10.1供应商应明确承诺售后服务各项内容和措施，提供详细的服务地点、联系人、电话等有关资料；</w:t>
      </w:r>
    </w:p>
    <w:p w14:paraId="53C73C15">
      <w:pPr>
        <w:spacing w:line="440" w:lineRule="exact"/>
        <w:ind w:firstLine="480" w:firstLineChars="200"/>
        <w:rPr>
          <w:rFonts w:ascii="宋体" w:hAnsi="宋体"/>
          <w:bCs/>
          <w:sz w:val="24"/>
        </w:rPr>
      </w:pPr>
      <w:r>
        <w:rPr>
          <w:rFonts w:hint="eastAsia" w:ascii="宋体" w:hAnsi="宋体"/>
          <w:bCs/>
          <w:sz w:val="24"/>
        </w:rPr>
        <w:t>10.2</w:t>
      </w:r>
      <w:r>
        <w:rPr>
          <w:rFonts w:hint="eastAsia" w:ascii="宋体" w:hAnsi="宋体"/>
          <w:b/>
          <w:bCs/>
          <w:sz w:val="24"/>
        </w:rPr>
        <w:t>服务期限：详见磋商文件要求</w:t>
      </w:r>
      <w:r>
        <w:rPr>
          <w:rFonts w:hint="eastAsia" w:ascii="宋体" w:hAnsi="宋体"/>
          <w:bCs/>
          <w:sz w:val="24"/>
        </w:rPr>
        <w:t>。在服务期内，因服务质量所发生的一切费用均由供应商承担；</w:t>
      </w:r>
    </w:p>
    <w:p w14:paraId="4E1C7D7E">
      <w:pPr>
        <w:spacing w:line="440" w:lineRule="exact"/>
        <w:rPr>
          <w:rFonts w:ascii="宋体" w:hAnsi="宋体"/>
          <w:b/>
          <w:bCs/>
          <w:sz w:val="24"/>
        </w:rPr>
      </w:pPr>
      <w:r>
        <w:rPr>
          <w:rFonts w:hint="eastAsia" w:ascii="宋体" w:hAnsi="宋体"/>
          <w:b/>
          <w:bCs/>
          <w:sz w:val="24"/>
        </w:rPr>
        <w:t>11.履约保证及后续服务</w:t>
      </w:r>
    </w:p>
    <w:p w14:paraId="3CA38368">
      <w:pPr>
        <w:snapToGrid w:val="0"/>
        <w:spacing w:line="440" w:lineRule="exact"/>
        <w:ind w:firstLine="482" w:firstLineChars="200"/>
        <w:rPr>
          <w:rFonts w:ascii="宋体" w:hAnsi="宋体"/>
          <w:b/>
          <w:sz w:val="24"/>
        </w:rPr>
      </w:pPr>
      <w:r>
        <w:rPr>
          <w:rFonts w:hint="eastAsia" w:ascii="宋体" w:hAnsi="宋体"/>
          <w:b/>
          <w:sz w:val="24"/>
        </w:rPr>
        <w:t>1</w:t>
      </w:r>
      <w:r>
        <w:rPr>
          <w:rFonts w:ascii="宋体" w:hAnsi="宋体"/>
          <w:b/>
          <w:sz w:val="24"/>
        </w:rPr>
        <w:t>1.1</w:t>
      </w:r>
      <w:r>
        <w:rPr>
          <w:rFonts w:hint="eastAsia" w:ascii="宋体" w:hAnsi="宋体"/>
          <w:b/>
          <w:sz w:val="24"/>
        </w:rPr>
        <w:t>本项目无须提供履约保证金。</w:t>
      </w:r>
    </w:p>
    <w:p w14:paraId="61805FD3">
      <w:pPr>
        <w:snapToGrid w:val="0"/>
        <w:spacing w:line="440" w:lineRule="exact"/>
        <w:ind w:firstLine="480" w:firstLineChars="200"/>
        <w:rPr>
          <w:rFonts w:ascii="宋体" w:hAnsi="宋体"/>
          <w:sz w:val="24"/>
        </w:rPr>
      </w:pPr>
      <w:r>
        <w:rPr>
          <w:rFonts w:hint="eastAsia" w:ascii="宋体" w:hAnsi="宋体"/>
          <w:sz w:val="24"/>
        </w:rPr>
        <w:t>1</w:t>
      </w:r>
      <w:r>
        <w:rPr>
          <w:rFonts w:ascii="宋体" w:hAnsi="宋体"/>
          <w:sz w:val="24"/>
        </w:rPr>
        <w:t>1.</w:t>
      </w:r>
      <w:r>
        <w:rPr>
          <w:sz w:val="24"/>
        </w:rPr>
        <w:t>2</w:t>
      </w:r>
      <w:r>
        <w:rPr>
          <w:rFonts w:ascii="宋体" w:hAnsi="宋体"/>
          <w:sz w:val="24"/>
        </w:rPr>
        <w:t>采购人成立验收小组，按照采购合同的约定对成交供应商履约情况进行验收。 按照采购合同的约定对每一项技术、服务、安全标准的履约情况进行确认。验收结束后，应当出具验收书，列明各项标准的验收情况及项目总体评价，由验收双方共同签署。大型或者复杂的项目，应当邀请国家认可的质量检测机构参加验收工作。验收方成员应当在验收书上签字，并承担相应的法律责任。如果发现与合同中要求不符，成交供应商须承担由此发生的一切损失和费用，并接受相应的处理。</w:t>
      </w:r>
    </w:p>
    <w:p w14:paraId="1FDB2A8C">
      <w:pPr>
        <w:snapToGrid w:val="0"/>
        <w:spacing w:line="440" w:lineRule="exact"/>
        <w:ind w:firstLine="480" w:firstLineChars="200"/>
        <w:rPr>
          <w:rFonts w:ascii="宋体" w:hAnsi="宋体"/>
          <w:sz w:val="24"/>
        </w:rPr>
      </w:pPr>
      <w:r>
        <w:rPr>
          <w:rFonts w:hint="eastAsia" w:ascii="宋体" w:hAnsi="宋体"/>
          <w:sz w:val="24"/>
        </w:rPr>
        <w:t>1</w:t>
      </w:r>
      <w:r>
        <w:rPr>
          <w:rFonts w:ascii="宋体" w:hAnsi="宋体"/>
          <w:sz w:val="24"/>
        </w:rPr>
        <w:t>1.</w:t>
      </w:r>
      <w:r>
        <w:rPr>
          <w:sz w:val="24"/>
        </w:rPr>
        <w:t>3</w:t>
      </w:r>
      <w:r>
        <w:rPr>
          <w:rFonts w:ascii="宋体" w:hAnsi="宋体"/>
          <w:sz w:val="24"/>
        </w:rPr>
        <w:t>采购人可以邀请参加本项目的其他供应商或者第三方机构参与验收，参与验收的供应商或者第三方机构的意见作为验收书的参考资料一并存档。</w:t>
      </w:r>
    </w:p>
    <w:p w14:paraId="72D785F0">
      <w:pPr>
        <w:spacing w:line="440" w:lineRule="exact"/>
        <w:ind w:firstLine="470" w:firstLineChars="196"/>
        <w:rPr>
          <w:rFonts w:ascii="宋体" w:hAnsi="宋体"/>
          <w:bCs/>
          <w:sz w:val="24"/>
        </w:rPr>
      </w:pPr>
      <w:r>
        <w:rPr>
          <w:rFonts w:hint="eastAsia" w:ascii="宋体" w:hAnsi="宋体"/>
          <w:sz w:val="24"/>
        </w:rPr>
        <w:t>1</w:t>
      </w:r>
      <w:r>
        <w:rPr>
          <w:rFonts w:ascii="宋体" w:hAnsi="宋体"/>
          <w:sz w:val="24"/>
        </w:rPr>
        <w:t>1.</w:t>
      </w:r>
      <w:r>
        <w:rPr>
          <w:sz w:val="24"/>
        </w:rPr>
        <w:t>4</w:t>
      </w:r>
      <w:r>
        <w:rPr>
          <w:rFonts w:ascii="宋体" w:hAnsi="宋体"/>
          <w:sz w:val="24"/>
        </w:rPr>
        <w:t>验收合格的项目，采购人将根据采购合同的约定及时向成交供应商支付采购资金。验收不合格的，采购人将依法及时处理</w:t>
      </w:r>
      <w:r>
        <w:rPr>
          <w:rFonts w:hint="eastAsia" w:ascii="宋体" w:hAnsi="宋体"/>
          <w:bCs/>
          <w:sz w:val="24"/>
        </w:rPr>
        <w:t>。</w:t>
      </w:r>
    </w:p>
    <w:p w14:paraId="65106EF7">
      <w:pPr>
        <w:spacing w:line="440" w:lineRule="exact"/>
        <w:rPr>
          <w:rFonts w:ascii="宋体" w:hAnsi="宋体"/>
          <w:b/>
          <w:bCs/>
          <w:sz w:val="24"/>
        </w:rPr>
      </w:pPr>
      <w:r>
        <w:rPr>
          <w:rFonts w:hint="eastAsia" w:ascii="宋体" w:hAnsi="宋体"/>
          <w:b/>
          <w:bCs/>
          <w:sz w:val="24"/>
        </w:rPr>
        <w:t>12.违约责任</w:t>
      </w:r>
    </w:p>
    <w:p w14:paraId="7D54D4A8">
      <w:pPr>
        <w:spacing w:line="440" w:lineRule="exact"/>
        <w:ind w:firstLine="480" w:firstLineChars="200"/>
        <w:rPr>
          <w:rFonts w:ascii="宋体" w:hAnsi="宋体"/>
          <w:bCs/>
          <w:sz w:val="24"/>
        </w:rPr>
      </w:pPr>
      <w:r>
        <w:rPr>
          <w:rFonts w:hint="eastAsia" w:ascii="宋体" w:hAnsi="宋体"/>
          <w:bCs/>
          <w:sz w:val="24"/>
        </w:rPr>
        <w:t>12.1 采购人无正当理由拒收接受服务的，采购人向供应商偿付合同款项百分之五作为违约金。</w:t>
      </w:r>
    </w:p>
    <w:p w14:paraId="1C9EAE9D">
      <w:pPr>
        <w:spacing w:line="440" w:lineRule="exact"/>
        <w:ind w:firstLine="480" w:firstLineChars="200"/>
        <w:rPr>
          <w:rFonts w:ascii="宋体" w:hAnsi="宋体"/>
          <w:bCs/>
          <w:sz w:val="24"/>
        </w:rPr>
      </w:pPr>
      <w:r>
        <w:rPr>
          <w:rFonts w:hint="eastAsia" w:ascii="宋体" w:hAnsi="宋体"/>
          <w:bCs/>
          <w:sz w:val="24"/>
        </w:rPr>
        <w:t>12.2 采购人无故逾期验收和办理款项支付手续的,采购人应按逾期付款总额每日万分之五向供应商支付违约金。</w:t>
      </w:r>
    </w:p>
    <w:p w14:paraId="1E67A7C7">
      <w:pPr>
        <w:spacing w:line="440" w:lineRule="exact"/>
        <w:ind w:firstLine="480" w:firstLineChars="200"/>
        <w:rPr>
          <w:rFonts w:ascii="宋体" w:hAnsi="宋体"/>
          <w:bCs/>
          <w:sz w:val="24"/>
        </w:rPr>
      </w:pPr>
      <w:r>
        <w:rPr>
          <w:rFonts w:hint="eastAsia" w:ascii="宋体" w:hAnsi="宋体"/>
          <w:bCs/>
          <w:sz w:val="24"/>
        </w:rPr>
        <w:t>12.3 供应商不按约定提供服务的，每日向采购人支付千分之六违约金。逾期提供服务超过约定日期10个工作日的，采购人可解除本合同。供应商因逾期提供服务或因其他违约行为导致采购人解除合同的，供应商应向采购人支付合同总值5%的违约金，如造成采购人损失超过违约金的，超出部分由供应商继续承担赔偿责任。</w:t>
      </w:r>
    </w:p>
    <w:p w14:paraId="5BC4D9FA">
      <w:pPr>
        <w:spacing w:line="440" w:lineRule="exact"/>
        <w:ind w:firstLine="480" w:firstLineChars="200"/>
        <w:rPr>
          <w:rFonts w:ascii="宋体" w:hAnsi="宋体"/>
          <w:bCs/>
          <w:sz w:val="24"/>
        </w:rPr>
      </w:pPr>
      <w:r>
        <w:rPr>
          <w:rFonts w:ascii="宋体" w:hAnsi="宋体"/>
          <w:bCs/>
          <w:sz w:val="24"/>
        </w:rPr>
        <w:t>12.4</w:t>
      </w:r>
      <w:r>
        <w:rPr>
          <w:rFonts w:hint="eastAsia" w:ascii="宋体" w:hAnsi="宋体"/>
          <w:sz w:val="24"/>
        </w:rPr>
        <w:t>如供应商提供的服务或与服务相关的物品存在知识产权纠纷而导致本合同无法继续履行，在采购人发函要求解决相关知识产权问题后7日内仍未解决的，则采购人有权单方终止本合同的履行，并要求供应商承担相应赔偿责任。</w:t>
      </w:r>
    </w:p>
    <w:p w14:paraId="0418DE19">
      <w:pPr>
        <w:spacing w:line="440" w:lineRule="exact"/>
        <w:rPr>
          <w:rFonts w:ascii="宋体" w:hAnsi="宋体"/>
          <w:b/>
          <w:bCs/>
          <w:sz w:val="24"/>
        </w:rPr>
      </w:pPr>
      <w:r>
        <w:rPr>
          <w:rFonts w:hint="eastAsia" w:ascii="宋体" w:hAnsi="宋体"/>
          <w:b/>
          <w:bCs/>
          <w:sz w:val="24"/>
        </w:rPr>
        <w:t>13.不可抗力事件处理</w:t>
      </w:r>
    </w:p>
    <w:p w14:paraId="25E58F6A">
      <w:pPr>
        <w:spacing w:line="440" w:lineRule="exact"/>
        <w:ind w:firstLine="480" w:firstLineChars="200"/>
        <w:rPr>
          <w:rFonts w:ascii="宋体" w:hAnsi="宋体"/>
          <w:bCs/>
          <w:sz w:val="24"/>
        </w:rPr>
      </w:pPr>
      <w:r>
        <w:rPr>
          <w:rFonts w:hint="eastAsia" w:ascii="宋体" w:hAnsi="宋体"/>
          <w:bCs/>
          <w:sz w:val="24"/>
        </w:rPr>
        <w:t>13.1 在合同有效期内，任何一方因不可抗力事件导致不能履行合同，则合同履行期可延长，其延长期与不可抗力影响期相同。</w:t>
      </w:r>
    </w:p>
    <w:p w14:paraId="5A86E758">
      <w:pPr>
        <w:spacing w:line="440" w:lineRule="exact"/>
        <w:ind w:firstLine="480" w:firstLineChars="200"/>
        <w:rPr>
          <w:rFonts w:ascii="宋体" w:hAnsi="宋体"/>
          <w:bCs/>
          <w:sz w:val="24"/>
        </w:rPr>
      </w:pPr>
      <w:r>
        <w:rPr>
          <w:rFonts w:hint="eastAsia" w:ascii="宋体" w:hAnsi="宋体"/>
          <w:bCs/>
          <w:sz w:val="24"/>
        </w:rPr>
        <w:t>13.2 不可抗力事件发生后，应立即通知对方，并寄送有关权威机构出具的证明。</w:t>
      </w:r>
    </w:p>
    <w:p w14:paraId="033DD36C">
      <w:pPr>
        <w:spacing w:line="440" w:lineRule="exact"/>
        <w:ind w:firstLine="480" w:firstLineChars="200"/>
        <w:rPr>
          <w:rFonts w:ascii="宋体" w:hAnsi="宋体"/>
          <w:bCs/>
          <w:sz w:val="24"/>
        </w:rPr>
      </w:pPr>
      <w:r>
        <w:rPr>
          <w:rFonts w:hint="eastAsia" w:ascii="宋体" w:hAnsi="宋体"/>
          <w:bCs/>
          <w:sz w:val="24"/>
        </w:rPr>
        <w:t>13.3 不可抗力事件延续120天以上，双方应通过友好协商，确定是否继续履行合同。</w:t>
      </w:r>
    </w:p>
    <w:p w14:paraId="6D79498E">
      <w:pPr>
        <w:spacing w:line="440" w:lineRule="exact"/>
        <w:rPr>
          <w:rFonts w:ascii="宋体" w:hAnsi="宋体"/>
          <w:bCs/>
          <w:sz w:val="24"/>
        </w:rPr>
      </w:pPr>
      <w:r>
        <w:rPr>
          <w:rFonts w:hint="eastAsia" w:ascii="宋体" w:hAnsi="宋体"/>
          <w:b/>
          <w:bCs/>
          <w:sz w:val="24"/>
        </w:rPr>
        <w:t>14.争议解决</w:t>
      </w:r>
    </w:p>
    <w:p w14:paraId="221DB2E2">
      <w:pPr>
        <w:spacing w:line="440" w:lineRule="exact"/>
        <w:ind w:firstLine="480" w:firstLineChars="200"/>
        <w:rPr>
          <w:rFonts w:ascii="宋体" w:hAnsi="宋体"/>
          <w:sz w:val="24"/>
        </w:rPr>
      </w:pPr>
      <w:r>
        <w:rPr>
          <w:rFonts w:hint="eastAsia" w:ascii="宋体" w:hAnsi="宋体"/>
          <w:sz w:val="24"/>
        </w:rPr>
        <w:t>14.1在执行本合同中所发生的或与本合同有关的一切争端，合同双方应通过友好协商解决，经过协商仍不能解决，双方选择通过下列第</w:t>
      </w:r>
      <w:r>
        <w:rPr>
          <w:rFonts w:hint="eastAsia" w:ascii="宋体" w:hAnsi="宋体"/>
          <w:sz w:val="24"/>
          <w:u w:val="single"/>
        </w:rPr>
        <w:t>（1）</w:t>
      </w:r>
      <w:r>
        <w:rPr>
          <w:rFonts w:hint="eastAsia" w:ascii="宋体" w:hAnsi="宋体"/>
          <w:sz w:val="24"/>
        </w:rPr>
        <w:t>种方式解决：</w:t>
      </w:r>
    </w:p>
    <w:p w14:paraId="104036D3">
      <w:pPr>
        <w:spacing w:line="440" w:lineRule="exact"/>
        <w:ind w:firstLine="480" w:firstLineChars="200"/>
        <w:rPr>
          <w:rFonts w:ascii="宋体" w:hAnsi="宋体"/>
          <w:sz w:val="24"/>
        </w:rPr>
      </w:pPr>
      <w:r>
        <w:rPr>
          <w:rFonts w:hint="eastAsia" w:ascii="宋体" w:hAnsi="宋体"/>
          <w:sz w:val="24"/>
        </w:rPr>
        <w:t>（1）将争端提交湖州仲裁委员会仲裁</w:t>
      </w:r>
    </w:p>
    <w:p w14:paraId="096EF721">
      <w:pPr>
        <w:spacing w:line="440" w:lineRule="exact"/>
        <w:ind w:firstLine="480" w:firstLineChars="200"/>
        <w:rPr>
          <w:rFonts w:ascii="宋体" w:hAnsi="宋体"/>
          <w:sz w:val="24"/>
        </w:rPr>
      </w:pPr>
      <w:r>
        <w:rPr>
          <w:rFonts w:hint="eastAsia" w:ascii="宋体" w:hAnsi="宋体"/>
          <w:sz w:val="24"/>
        </w:rPr>
        <w:t>（2）直接向采购人所在地有管辖权的人民法院起诉。</w:t>
      </w:r>
    </w:p>
    <w:p w14:paraId="7373A390">
      <w:pPr>
        <w:spacing w:line="440" w:lineRule="exact"/>
        <w:ind w:firstLine="480" w:firstLineChars="200"/>
        <w:rPr>
          <w:rFonts w:ascii="宋体" w:hAnsi="宋体"/>
          <w:sz w:val="24"/>
        </w:rPr>
      </w:pPr>
      <w:r>
        <w:rPr>
          <w:rFonts w:hint="eastAsia" w:ascii="宋体" w:hAnsi="宋体"/>
          <w:sz w:val="24"/>
        </w:rPr>
        <w:t>14.</w:t>
      </w:r>
      <w:r>
        <w:rPr>
          <w:rFonts w:ascii="宋体" w:hAnsi="宋体"/>
          <w:sz w:val="24"/>
        </w:rPr>
        <w:t>2</w:t>
      </w:r>
      <w:r>
        <w:rPr>
          <w:rFonts w:hint="eastAsia" w:ascii="宋体" w:hAnsi="宋体"/>
          <w:sz w:val="24"/>
        </w:rPr>
        <w:t>仲裁费用或诉讼费用应由败诉方负担。</w:t>
      </w:r>
    </w:p>
    <w:p w14:paraId="5DD17323">
      <w:pPr>
        <w:spacing w:line="440" w:lineRule="exact"/>
        <w:ind w:firstLine="480" w:firstLineChars="200"/>
        <w:rPr>
          <w:rFonts w:ascii="宋体" w:hAnsi="宋体"/>
          <w:sz w:val="24"/>
        </w:rPr>
      </w:pPr>
      <w:r>
        <w:rPr>
          <w:rFonts w:hint="eastAsia" w:ascii="宋体" w:hAnsi="宋体"/>
          <w:sz w:val="24"/>
        </w:rPr>
        <w:t>14.</w:t>
      </w:r>
      <w:r>
        <w:rPr>
          <w:rFonts w:ascii="宋体" w:hAnsi="宋体"/>
          <w:sz w:val="24"/>
        </w:rPr>
        <w:t>3</w:t>
      </w:r>
      <w:r>
        <w:rPr>
          <w:rFonts w:hint="eastAsia" w:ascii="宋体" w:hAnsi="宋体"/>
          <w:sz w:val="24"/>
        </w:rPr>
        <w:t>在仲裁或诉讼期间，除进行仲裁或诉讼的部分外，本合同其它部分应继续执行。</w:t>
      </w:r>
    </w:p>
    <w:p w14:paraId="18C46470">
      <w:pPr>
        <w:spacing w:line="440" w:lineRule="exact"/>
        <w:rPr>
          <w:rFonts w:ascii="宋体" w:hAnsi="宋体"/>
          <w:b/>
          <w:bCs/>
          <w:sz w:val="24"/>
        </w:rPr>
      </w:pPr>
      <w:r>
        <w:rPr>
          <w:rFonts w:hint="eastAsia" w:ascii="宋体" w:hAnsi="宋体"/>
          <w:b/>
          <w:bCs/>
          <w:sz w:val="24"/>
        </w:rPr>
        <w:t>15.转让或分包</w:t>
      </w:r>
    </w:p>
    <w:p w14:paraId="50539335">
      <w:pPr>
        <w:spacing w:line="440" w:lineRule="exact"/>
        <w:ind w:firstLine="480" w:firstLineChars="200"/>
        <w:rPr>
          <w:rFonts w:ascii="宋体" w:hAnsi="宋体"/>
          <w:sz w:val="24"/>
        </w:rPr>
      </w:pPr>
      <w:r>
        <w:rPr>
          <w:rFonts w:hint="eastAsia" w:ascii="宋体" w:hAnsi="宋体"/>
          <w:sz w:val="24"/>
        </w:rPr>
        <w:t>15.1本合同范围的服务，应由供应商提供，不得转让他人供应；</w:t>
      </w:r>
    </w:p>
    <w:p w14:paraId="6D55BCC1">
      <w:pPr>
        <w:spacing w:line="440" w:lineRule="exact"/>
        <w:ind w:firstLine="480" w:firstLineChars="200"/>
        <w:rPr>
          <w:rFonts w:ascii="宋体" w:hAnsi="宋体"/>
          <w:sz w:val="24"/>
        </w:rPr>
      </w:pPr>
      <w:r>
        <w:rPr>
          <w:rFonts w:hint="eastAsia" w:ascii="宋体" w:hAnsi="宋体"/>
          <w:sz w:val="24"/>
        </w:rPr>
        <w:t>15.2除非得到采购人的书面同意后，供应商可以将其中部分依法分包给他人供应和实施。采购人有绝对权力阻止分包。虽然采购人之前未有阻止分包，采购人仍有权在任何时候拒绝任何分包人，有权要求任何分包人脱离本货物的供应和服务，并不承担任何赔偿责任。</w:t>
      </w:r>
    </w:p>
    <w:p w14:paraId="165CCF70">
      <w:pPr>
        <w:spacing w:line="440" w:lineRule="exact"/>
        <w:ind w:firstLine="480" w:firstLineChars="200"/>
        <w:rPr>
          <w:rFonts w:ascii="宋体" w:hAnsi="宋体"/>
          <w:sz w:val="24"/>
        </w:rPr>
      </w:pPr>
      <w:r>
        <w:rPr>
          <w:rFonts w:hint="eastAsia" w:ascii="宋体" w:hAnsi="宋体"/>
          <w:sz w:val="24"/>
        </w:rPr>
        <w:t>15.3本合同全部或部分的分包不能减轻供应商承担的责任，供应商仍须将分包人的任何行动、错误或疏忽当作是自己完成的并负全责；</w:t>
      </w:r>
    </w:p>
    <w:p w14:paraId="59F925FF">
      <w:pPr>
        <w:spacing w:line="440" w:lineRule="exact"/>
        <w:ind w:firstLine="480" w:firstLineChars="200"/>
        <w:rPr>
          <w:rFonts w:ascii="宋体" w:hAnsi="宋体"/>
          <w:sz w:val="24"/>
        </w:rPr>
      </w:pPr>
      <w:r>
        <w:rPr>
          <w:rFonts w:ascii="宋体" w:hAnsi="宋体"/>
          <w:sz w:val="24"/>
        </w:rPr>
        <w:t>15</w:t>
      </w:r>
      <w:r>
        <w:rPr>
          <w:rFonts w:hint="eastAsia" w:ascii="宋体" w:hAnsi="宋体"/>
          <w:sz w:val="24"/>
        </w:rPr>
        <w:t>.4在任何分包合同中，须注明分包人按分包合同的范围履行，在供应商按本合同的履行终止时（不论任何原因），亦同时一并终止；</w:t>
      </w:r>
    </w:p>
    <w:p w14:paraId="227A2903">
      <w:pPr>
        <w:spacing w:line="440" w:lineRule="exact"/>
        <w:ind w:firstLine="480" w:firstLineChars="200"/>
        <w:rPr>
          <w:rFonts w:ascii="宋体" w:hAnsi="宋体"/>
          <w:sz w:val="24"/>
        </w:rPr>
      </w:pPr>
      <w:r>
        <w:rPr>
          <w:rFonts w:hint="eastAsia" w:ascii="宋体" w:hAnsi="宋体"/>
          <w:sz w:val="24"/>
        </w:rPr>
        <w:t>15.5如有转让和未经采购人同意的分包行为，采购人有权给予终止合同。</w:t>
      </w:r>
    </w:p>
    <w:p w14:paraId="0081DF55">
      <w:pPr>
        <w:spacing w:line="440" w:lineRule="exact"/>
        <w:rPr>
          <w:rFonts w:ascii="宋体" w:hAnsi="宋体"/>
          <w:b/>
          <w:bCs/>
          <w:sz w:val="24"/>
        </w:rPr>
      </w:pPr>
      <w:r>
        <w:rPr>
          <w:rFonts w:hint="eastAsia" w:ascii="宋体" w:hAnsi="宋体"/>
          <w:b/>
          <w:bCs/>
          <w:sz w:val="24"/>
        </w:rPr>
        <w:t>16.适用法律</w:t>
      </w:r>
    </w:p>
    <w:p w14:paraId="6A076BB5">
      <w:pPr>
        <w:spacing w:line="440" w:lineRule="exact"/>
        <w:ind w:firstLine="480" w:firstLineChars="200"/>
        <w:rPr>
          <w:rFonts w:ascii="宋体" w:hAnsi="宋体"/>
          <w:bCs/>
          <w:sz w:val="24"/>
        </w:rPr>
      </w:pPr>
      <w:r>
        <w:rPr>
          <w:rFonts w:hint="eastAsia" w:ascii="宋体" w:hAnsi="宋体"/>
          <w:sz w:val="24"/>
        </w:rPr>
        <w:t>合同适用法律有《中华人民共和国政府采购法》、《中华人民共和国民法典》、《中华人民共和国产品质量法》和浙江省有关条例等。</w:t>
      </w:r>
    </w:p>
    <w:p w14:paraId="2EB16DB5">
      <w:pPr>
        <w:spacing w:line="440" w:lineRule="exact"/>
        <w:rPr>
          <w:rFonts w:ascii="宋体" w:hAnsi="宋体"/>
          <w:b/>
          <w:bCs/>
          <w:sz w:val="24"/>
        </w:rPr>
      </w:pPr>
      <w:r>
        <w:rPr>
          <w:rFonts w:hint="eastAsia" w:ascii="宋体" w:hAnsi="宋体"/>
          <w:b/>
          <w:bCs/>
          <w:sz w:val="24"/>
        </w:rPr>
        <w:t>17.合同生效及其他</w:t>
      </w:r>
    </w:p>
    <w:p w14:paraId="1CDDD7E2">
      <w:pPr>
        <w:spacing w:line="440" w:lineRule="exact"/>
        <w:ind w:firstLine="480" w:firstLineChars="200"/>
        <w:rPr>
          <w:rFonts w:ascii="宋体" w:hAnsi="宋体"/>
          <w:bCs/>
          <w:sz w:val="24"/>
        </w:rPr>
      </w:pPr>
      <w:r>
        <w:rPr>
          <w:rFonts w:hint="eastAsia" w:ascii="宋体" w:hAnsi="宋体"/>
          <w:bCs/>
          <w:sz w:val="24"/>
        </w:rPr>
        <w:t>17.1本合同经双方法人及法定代表人签字盖章生效；</w:t>
      </w:r>
    </w:p>
    <w:p w14:paraId="6EF5EBDA">
      <w:pPr>
        <w:spacing w:line="440" w:lineRule="exact"/>
        <w:ind w:firstLine="480" w:firstLineChars="200"/>
        <w:rPr>
          <w:rFonts w:ascii="宋体" w:hAnsi="宋体"/>
          <w:bCs/>
          <w:sz w:val="24"/>
        </w:rPr>
      </w:pPr>
      <w:r>
        <w:rPr>
          <w:rFonts w:hint="eastAsia" w:ascii="宋体" w:hAnsi="宋体"/>
          <w:bCs/>
          <w:sz w:val="24"/>
        </w:rPr>
        <w:t>17.2本合同一式伍份，供应商、采购人各执俩份；采购代理机构壹份。</w:t>
      </w:r>
    </w:p>
    <w:p w14:paraId="1C854729">
      <w:pPr>
        <w:spacing w:line="520" w:lineRule="exact"/>
        <w:ind w:firstLine="480" w:firstLineChars="200"/>
        <w:contextualSpacing/>
        <w:rPr>
          <w:rFonts w:ascii="宋体" w:hAnsi="宋体"/>
          <w:sz w:val="24"/>
        </w:rPr>
      </w:pPr>
    </w:p>
    <w:p w14:paraId="36817428">
      <w:pPr>
        <w:tabs>
          <w:tab w:val="left" w:pos="1440"/>
        </w:tabs>
        <w:spacing w:line="440" w:lineRule="exact"/>
        <w:ind w:firstLine="480" w:firstLineChars="200"/>
        <w:rPr>
          <w:rFonts w:ascii="宋体" w:hAnsi="宋体"/>
          <w:sz w:val="24"/>
        </w:rPr>
      </w:pPr>
    </w:p>
    <w:p w14:paraId="188F6E0C">
      <w:pPr>
        <w:pStyle w:val="2"/>
        <w:ind w:firstLine="240"/>
      </w:pPr>
    </w:p>
    <w:p w14:paraId="0F40795E"/>
    <w:p w14:paraId="14FF5840">
      <w:pPr>
        <w:tabs>
          <w:tab w:val="left" w:pos="1440"/>
        </w:tabs>
        <w:spacing w:line="440" w:lineRule="exact"/>
        <w:ind w:firstLine="480" w:firstLineChars="200"/>
        <w:rPr>
          <w:rFonts w:ascii="宋体" w:hAnsi="宋体"/>
          <w:sz w:val="24"/>
        </w:rPr>
      </w:pPr>
      <w:r>
        <w:rPr>
          <w:rFonts w:hint="eastAsia" w:ascii="宋体" w:hAnsi="宋体"/>
          <w:sz w:val="24"/>
        </w:rPr>
        <w:t>甲方：                                   乙方：</w:t>
      </w:r>
    </w:p>
    <w:p w14:paraId="7432BD8F">
      <w:pPr>
        <w:tabs>
          <w:tab w:val="left" w:pos="1440"/>
        </w:tabs>
        <w:spacing w:line="440" w:lineRule="exact"/>
        <w:ind w:firstLine="480" w:firstLineChars="200"/>
        <w:rPr>
          <w:rFonts w:ascii="宋体" w:hAnsi="宋体"/>
          <w:sz w:val="24"/>
        </w:rPr>
      </w:pPr>
      <w:r>
        <w:rPr>
          <w:rFonts w:hint="eastAsia" w:ascii="宋体" w:hAnsi="宋体"/>
          <w:sz w:val="24"/>
        </w:rPr>
        <w:t>地址：                                   地址：</w:t>
      </w:r>
    </w:p>
    <w:p w14:paraId="25E32186">
      <w:pPr>
        <w:tabs>
          <w:tab w:val="left" w:pos="1440"/>
        </w:tabs>
        <w:spacing w:line="440" w:lineRule="exact"/>
        <w:ind w:firstLine="480" w:firstLineChars="200"/>
        <w:rPr>
          <w:rFonts w:ascii="宋体" w:hAnsi="宋体"/>
          <w:sz w:val="24"/>
        </w:rPr>
      </w:pPr>
      <w:r>
        <w:rPr>
          <w:rFonts w:hint="eastAsia" w:ascii="宋体" w:hAnsi="宋体"/>
          <w:sz w:val="24"/>
        </w:rPr>
        <w:t>法定代表人：                             法定代表人：</w:t>
      </w:r>
    </w:p>
    <w:p w14:paraId="32ACAD1F">
      <w:pPr>
        <w:tabs>
          <w:tab w:val="left" w:pos="1440"/>
        </w:tabs>
        <w:spacing w:line="440" w:lineRule="exact"/>
        <w:ind w:firstLine="480" w:firstLineChars="200"/>
        <w:rPr>
          <w:rFonts w:ascii="宋体" w:hAnsi="宋体"/>
          <w:sz w:val="24"/>
        </w:rPr>
      </w:pPr>
      <w:r>
        <w:rPr>
          <w:rFonts w:hint="eastAsia" w:ascii="宋体" w:hAnsi="宋体"/>
          <w:sz w:val="24"/>
        </w:rPr>
        <w:t>电话：                                   电话：</w:t>
      </w:r>
    </w:p>
    <w:p w14:paraId="171BB6D6">
      <w:pPr>
        <w:tabs>
          <w:tab w:val="left" w:pos="1440"/>
        </w:tabs>
        <w:spacing w:line="440" w:lineRule="exact"/>
        <w:ind w:firstLine="480" w:firstLineChars="200"/>
        <w:rPr>
          <w:rFonts w:ascii="宋体" w:hAnsi="宋体"/>
          <w:sz w:val="24"/>
        </w:rPr>
      </w:pPr>
      <w:r>
        <w:rPr>
          <w:rFonts w:hint="eastAsia" w:ascii="宋体" w:hAnsi="宋体"/>
          <w:sz w:val="24"/>
        </w:rPr>
        <w:t>传真：                                   传真：</w:t>
      </w:r>
    </w:p>
    <w:p w14:paraId="72340E8B">
      <w:pPr>
        <w:tabs>
          <w:tab w:val="left" w:pos="1440"/>
        </w:tabs>
        <w:spacing w:line="440" w:lineRule="exact"/>
        <w:ind w:firstLine="480" w:firstLineChars="200"/>
        <w:rPr>
          <w:rFonts w:ascii="宋体" w:hAnsi="宋体"/>
          <w:sz w:val="24"/>
        </w:rPr>
      </w:pPr>
      <w:r>
        <w:rPr>
          <w:rFonts w:hint="eastAsia" w:ascii="宋体" w:hAnsi="宋体"/>
          <w:sz w:val="24"/>
        </w:rPr>
        <w:t>开户银行：                               开户银行：</w:t>
      </w:r>
    </w:p>
    <w:p w14:paraId="6F8305AB">
      <w:pPr>
        <w:tabs>
          <w:tab w:val="left" w:pos="1440"/>
        </w:tabs>
        <w:spacing w:line="440" w:lineRule="exact"/>
        <w:ind w:firstLine="480" w:firstLineChars="200"/>
        <w:rPr>
          <w:rFonts w:ascii="宋体" w:hAnsi="宋体"/>
          <w:sz w:val="24"/>
        </w:rPr>
      </w:pPr>
      <w:r>
        <w:rPr>
          <w:rFonts w:hint="eastAsia" w:ascii="宋体" w:hAnsi="宋体"/>
          <w:sz w:val="24"/>
        </w:rPr>
        <w:t>账号：                                   账号：</w:t>
      </w:r>
    </w:p>
    <w:p w14:paraId="50CA423E">
      <w:pPr>
        <w:spacing w:line="440" w:lineRule="exact"/>
        <w:ind w:firstLine="480" w:firstLineChars="200"/>
        <w:rPr>
          <w:rFonts w:ascii="宋体" w:hAnsi="宋体"/>
          <w:sz w:val="24"/>
        </w:rPr>
      </w:pPr>
      <w:r>
        <w:rPr>
          <w:rFonts w:hint="eastAsia" w:ascii="宋体" w:hAnsi="宋体"/>
          <w:sz w:val="24"/>
        </w:rPr>
        <w:t>邮编：                                   邮编</w:t>
      </w:r>
    </w:p>
    <w:p w14:paraId="4D884373">
      <w:pPr>
        <w:spacing w:line="440" w:lineRule="exact"/>
        <w:ind w:firstLine="480" w:firstLineChars="200"/>
        <w:rPr>
          <w:rFonts w:ascii="宋体" w:hAnsi="宋体"/>
          <w:sz w:val="24"/>
        </w:rPr>
      </w:pPr>
      <w:r>
        <w:rPr>
          <w:rFonts w:hint="eastAsia" w:ascii="宋体" w:hAnsi="宋体"/>
          <w:sz w:val="24"/>
        </w:rPr>
        <w:t>日期：                                   日期：</w:t>
      </w:r>
    </w:p>
    <w:p w14:paraId="7D65768C">
      <w:pPr>
        <w:spacing w:line="400" w:lineRule="exact"/>
        <w:ind w:firstLine="480" w:firstLineChars="200"/>
        <w:rPr>
          <w:rFonts w:ascii="宋体" w:hAnsi="宋体"/>
          <w:sz w:val="24"/>
        </w:rPr>
      </w:pPr>
    </w:p>
    <w:p w14:paraId="41A5254D">
      <w:pPr>
        <w:widowControl/>
        <w:jc w:val="left"/>
        <w:rPr>
          <w:rFonts w:ascii="宋体" w:hAnsi="宋体"/>
          <w:sz w:val="24"/>
        </w:rPr>
      </w:pPr>
    </w:p>
    <w:p w14:paraId="03881327">
      <w:pPr>
        <w:pStyle w:val="2"/>
        <w:ind w:firstLine="240"/>
      </w:pPr>
    </w:p>
    <w:p w14:paraId="0A8783BC">
      <w:pPr>
        <w:spacing w:line="530" w:lineRule="exact"/>
        <w:jc w:val="center"/>
        <w:rPr>
          <w:rFonts w:ascii="仿宋" w:hAnsi="仿宋" w:eastAsia="仿宋"/>
          <w:b/>
          <w:color w:val="000000"/>
          <w:sz w:val="28"/>
          <w:szCs w:val="28"/>
        </w:rPr>
      </w:pPr>
    </w:p>
    <w:p w14:paraId="0ED60709">
      <w:pPr>
        <w:pStyle w:val="2"/>
        <w:ind w:firstLine="240"/>
      </w:pPr>
    </w:p>
    <w:p w14:paraId="036F975D">
      <w:pPr>
        <w:tabs>
          <w:tab w:val="left" w:pos="1440"/>
        </w:tabs>
        <w:spacing w:line="530" w:lineRule="exact"/>
        <w:jc w:val="center"/>
        <w:rPr>
          <w:rFonts w:ascii="宋体" w:hAnsi="宋体"/>
          <w:b/>
          <w:color w:val="000000"/>
          <w:sz w:val="24"/>
        </w:rPr>
      </w:pPr>
      <w:r>
        <w:rPr>
          <w:rFonts w:hint="eastAsia" w:ascii="宋体" w:hAnsi="宋体"/>
          <w:b/>
          <w:color w:val="000000"/>
          <w:sz w:val="24"/>
        </w:rPr>
        <w:t>注：本合同仅作参考文本，具体以双方签订的正式合同为准，合同内容不得违背本磋商</w:t>
      </w:r>
    </w:p>
    <w:p w14:paraId="7DF4D942">
      <w:pPr>
        <w:adjustRightInd w:val="0"/>
        <w:spacing w:line="530" w:lineRule="exact"/>
        <w:contextualSpacing/>
        <w:jc w:val="center"/>
        <w:rPr>
          <w:rFonts w:ascii="宋体" w:hAnsi="宋体" w:cs="宋体"/>
          <w:bCs/>
          <w:sz w:val="30"/>
          <w:szCs w:val="30"/>
        </w:rPr>
      </w:pPr>
      <w:r>
        <w:rPr>
          <w:rFonts w:hint="eastAsia" w:ascii="宋体" w:hAnsi="宋体"/>
          <w:b/>
          <w:color w:val="000000"/>
          <w:sz w:val="24"/>
        </w:rPr>
        <w:t>文件实质性要求。</w:t>
      </w:r>
      <w:bookmarkStart w:id="23" w:name="_Toc72487182"/>
      <w:bookmarkStart w:id="24" w:name="_Toc452995904"/>
    </w:p>
    <w:p w14:paraId="097B377E">
      <w:pPr>
        <w:pStyle w:val="2"/>
        <w:ind w:firstLine="240"/>
      </w:pPr>
    </w:p>
    <w:p w14:paraId="05BEC4E2"/>
    <w:p w14:paraId="15864C02">
      <w:pPr>
        <w:pStyle w:val="2"/>
        <w:ind w:firstLine="240"/>
      </w:pPr>
    </w:p>
    <w:p w14:paraId="0BC49514"/>
    <w:p w14:paraId="0B0BEA7D">
      <w:pPr>
        <w:pStyle w:val="2"/>
        <w:ind w:firstLine="240"/>
      </w:pPr>
    </w:p>
    <w:p w14:paraId="424D96BF"/>
    <w:p w14:paraId="32B9B423">
      <w:pPr>
        <w:pStyle w:val="2"/>
        <w:ind w:firstLine="240"/>
      </w:pPr>
    </w:p>
    <w:p w14:paraId="5DCFD29B">
      <w:pPr>
        <w:pStyle w:val="4"/>
        <w:spacing w:before="120" w:after="120" w:line="240" w:lineRule="auto"/>
        <w:jc w:val="center"/>
        <w:rPr>
          <w:rFonts w:ascii="宋体" w:hAnsi="宋体"/>
          <w:sz w:val="32"/>
          <w:szCs w:val="32"/>
        </w:rPr>
      </w:pPr>
      <w:r>
        <w:rPr>
          <w:rFonts w:hint="eastAsia" w:ascii="宋体" w:hAnsi="宋体"/>
          <w:sz w:val="32"/>
          <w:szCs w:val="32"/>
        </w:rPr>
        <w:t>第四章  响应文件格式</w:t>
      </w:r>
      <w:bookmarkEnd w:id="23"/>
      <w:bookmarkEnd w:id="24"/>
    </w:p>
    <w:p w14:paraId="00DEDAB2"/>
    <w:p w14:paraId="2D79AA31">
      <w:pPr>
        <w:jc w:val="center"/>
        <w:rPr>
          <w:rFonts w:ascii="宋体" w:hAnsi="宋体"/>
          <w:b/>
          <w:sz w:val="30"/>
          <w:szCs w:val="30"/>
        </w:rPr>
      </w:pPr>
      <w:bookmarkStart w:id="25" w:name="_Toc452995905"/>
      <w:r>
        <w:rPr>
          <w:rFonts w:hint="eastAsia" w:ascii="宋体" w:hAnsi="宋体"/>
          <w:b/>
          <w:sz w:val="30"/>
          <w:szCs w:val="30"/>
        </w:rPr>
        <w:t>具体内容参照响应文件的组成(未提供格式的格式自拟)</w:t>
      </w:r>
    </w:p>
    <w:p w14:paraId="41CD2061">
      <w:pPr>
        <w:rPr>
          <w:rFonts w:ascii="宋体" w:hAnsi="宋体"/>
          <w:b/>
          <w:sz w:val="30"/>
          <w:szCs w:val="30"/>
        </w:rPr>
      </w:pPr>
    </w:p>
    <w:p w14:paraId="0822A5A1">
      <w:pPr>
        <w:rPr>
          <w:rFonts w:ascii="宋体" w:hAnsi="宋体"/>
          <w:b/>
          <w:sz w:val="30"/>
          <w:szCs w:val="30"/>
        </w:rPr>
      </w:pPr>
    </w:p>
    <w:p w14:paraId="02F7B6BF">
      <w:pPr>
        <w:rPr>
          <w:rFonts w:ascii="宋体" w:hAnsi="宋体"/>
          <w:b/>
          <w:sz w:val="30"/>
          <w:szCs w:val="30"/>
        </w:rPr>
      </w:pPr>
      <w:r>
        <w:rPr>
          <w:rFonts w:hint="eastAsia" w:ascii="宋体" w:hAnsi="宋体"/>
          <w:b/>
          <w:sz w:val="30"/>
          <w:szCs w:val="30"/>
        </w:rPr>
        <w:t>一、</w:t>
      </w:r>
      <w:r>
        <w:rPr>
          <w:rFonts w:hint="eastAsia" w:ascii="宋体" w:hAnsi="宋体"/>
          <w:b/>
          <w:sz w:val="28"/>
          <w:szCs w:val="28"/>
        </w:rPr>
        <w:t>资格文件/技术、商务、资信及其他文件封面格式</w:t>
      </w:r>
    </w:p>
    <w:p w14:paraId="44F6705D">
      <w:pPr>
        <w:ind w:left="6764" w:leftChars="496" w:hanging="5722" w:hangingChars="1900"/>
        <w:rPr>
          <w:rFonts w:ascii="宋体" w:hAnsi="宋体"/>
          <w:b/>
          <w:sz w:val="30"/>
          <w:szCs w:val="30"/>
        </w:rPr>
      </w:pPr>
    </w:p>
    <w:p w14:paraId="57CD198C">
      <w:pPr>
        <w:ind w:firstLine="1494" w:firstLineChars="496"/>
        <w:rPr>
          <w:rFonts w:ascii="宋体" w:hAnsi="宋体"/>
          <w:b/>
          <w:sz w:val="30"/>
          <w:szCs w:val="30"/>
        </w:rPr>
      </w:pPr>
    </w:p>
    <w:p w14:paraId="636B3F80">
      <w:pPr>
        <w:jc w:val="center"/>
        <w:rPr>
          <w:rFonts w:ascii="宋体" w:hAnsi="宋体"/>
          <w:b/>
          <w:bCs/>
          <w:sz w:val="44"/>
          <w:szCs w:val="44"/>
        </w:rPr>
      </w:pPr>
      <w:r>
        <w:rPr>
          <w:rFonts w:hint="eastAsia" w:ascii="宋体" w:hAnsi="宋体"/>
          <w:b/>
          <w:bCs/>
          <w:sz w:val="44"/>
          <w:szCs w:val="44"/>
        </w:rPr>
        <w:t>资格文件/技术、商务、资信及其他文件</w:t>
      </w:r>
    </w:p>
    <w:p w14:paraId="715D8055">
      <w:pPr>
        <w:jc w:val="center"/>
        <w:rPr>
          <w:rFonts w:ascii="宋体" w:hAnsi="宋体"/>
          <w:b/>
          <w:sz w:val="30"/>
          <w:szCs w:val="30"/>
        </w:rPr>
      </w:pPr>
    </w:p>
    <w:p w14:paraId="71FBC599">
      <w:pPr>
        <w:jc w:val="center"/>
        <w:rPr>
          <w:rFonts w:ascii="宋体" w:hAnsi="宋体"/>
          <w:b/>
          <w:sz w:val="30"/>
          <w:szCs w:val="30"/>
        </w:rPr>
      </w:pPr>
    </w:p>
    <w:p w14:paraId="3C06D5E8">
      <w:pPr>
        <w:rPr>
          <w:rFonts w:ascii="宋体" w:hAnsi="宋体"/>
          <w:b/>
          <w:sz w:val="30"/>
          <w:szCs w:val="30"/>
        </w:rPr>
      </w:pPr>
      <w:r>
        <w:rPr>
          <w:rFonts w:hint="eastAsia" w:ascii="宋体" w:hAnsi="宋体"/>
          <w:b/>
          <w:sz w:val="30"/>
          <w:szCs w:val="30"/>
        </w:rPr>
        <w:t xml:space="preserve">项目名称： </w:t>
      </w:r>
    </w:p>
    <w:p w14:paraId="706490FC">
      <w:pPr>
        <w:rPr>
          <w:rFonts w:ascii="宋体" w:hAnsi="宋体"/>
          <w:b/>
          <w:sz w:val="30"/>
          <w:szCs w:val="30"/>
        </w:rPr>
      </w:pPr>
      <w:r>
        <w:rPr>
          <w:rFonts w:hint="eastAsia" w:ascii="宋体" w:hAnsi="宋体"/>
          <w:b/>
          <w:sz w:val="30"/>
          <w:szCs w:val="30"/>
        </w:rPr>
        <w:t>项目编号：</w:t>
      </w:r>
    </w:p>
    <w:p w14:paraId="095E7691">
      <w:pPr>
        <w:rPr>
          <w:rFonts w:ascii="宋体" w:hAnsi="宋体"/>
          <w:b/>
          <w:sz w:val="30"/>
          <w:szCs w:val="30"/>
        </w:rPr>
      </w:pPr>
      <w:r>
        <w:rPr>
          <w:rFonts w:hint="eastAsia" w:ascii="宋体" w:hAnsi="宋体"/>
          <w:b/>
          <w:sz w:val="30"/>
          <w:szCs w:val="30"/>
        </w:rPr>
        <w:t xml:space="preserve">供应商名称： </w:t>
      </w:r>
    </w:p>
    <w:p w14:paraId="03472576">
      <w:pPr>
        <w:rPr>
          <w:rFonts w:ascii="宋体" w:hAnsi="宋体"/>
          <w:b/>
          <w:sz w:val="30"/>
          <w:szCs w:val="30"/>
        </w:rPr>
      </w:pPr>
      <w:r>
        <w:rPr>
          <w:rFonts w:hint="eastAsia" w:ascii="宋体" w:hAnsi="宋体"/>
          <w:b/>
          <w:sz w:val="30"/>
          <w:szCs w:val="30"/>
        </w:rPr>
        <w:t xml:space="preserve">供应商地址： </w:t>
      </w:r>
    </w:p>
    <w:p w14:paraId="283EA2C4">
      <w:pPr>
        <w:ind w:firstLine="1494" w:firstLineChars="496"/>
        <w:rPr>
          <w:rFonts w:ascii="宋体" w:hAnsi="宋体"/>
          <w:b/>
          <w:sz w:val="30"/>
          <w:szCs w:val="30"/>
        </w:rPr>
      </w:pPr>
    </w:p>
    <w:p w14:paraId="57500A90">
      <w:pPr>
        <w:ind w:firstLine="1494" w:firstLineChars="496"/>
        <w:rPr>
          <w:rFonts w:ascii="宋体" w:hAnsi="宋体"/>
          <w:b/>
          <w:sz w:val="30"/>
          <w:szCs w:val="30"/>
        </w:rPr>
      </w:pPr>
    </w:p>
    <w:p w14:paraId="75F63E40">
      <w:pPr>
        <w:ind w:firstLine="1494" w:firstLineChars="496"/>
        <w:rPr>
          <w:rFonts w:ascii="宋体" w:hAnsi="宋体"/>
          <w:b/>
          <w:sz w:val="30"/>
          <w:szCs w:val="30"/>
        </w:rPr>
      </w:pPr>
    </w:p>
    <w:p w14:paraId="57CE7192">
      <w:pPr>
        <w:ind w:firstLine="1494" w:firstLineChars="496"/>
        <w:rPr>
          <w:rFonts w:ascii="宋体" w:hAnsi="宋体"/>
          <w:b/>
          <w:sz w:val="30"/>
          <w:szCs w:val="30"/>
        </w:rPr>
      </w:pPr>
    </w:p>
    <w:p w14:paraId="58DAA6B1">
      <w:pPr>
        <w:ind w:firstLine="1494" w:firstLineChars="496"/>
        <w:rPr>
          <w:rFonts w:ascii="宋体" w:hAnsi="宋体"/>
          <w:b/>
          <w:sz w:val="30"/>
          <w:szCs w:val="30"/>
        </w:rPr>
      </w:pPr>
      <w:r>
        <w:rPr>
          <w:rFonts w:hint="eastAsia" w:ascii="宋体" w:hAnsi="宋体"/>
          <w:b/>
          <w:sz w:val="30"/>
          <w:szCs w:val="30"/>
        </w:rPr>
        <w:t xml:space="preserve">                          年  月  日</w:t>
      </w:r>
    </w:p>
    <w:p w14:paraId="51617CF0">
      <w:pPr>
        <w:rPr>
          <w:rFonts w:ascii="宋体" w:hAnsi="宋体"/>
          <w:b/>
          <w:szCs w:val="21"/>
        </w:rPr>
      </w:pPr>
    </w:p>
    <w:p w14:paraId="37293080">
      <w:pPr>
        <w:rPr>
          <w:rFonts w:ascii="宋体" w:hAnsi="宋体"/>
          <w:b/>
          <w:szCs w:val="21"/>
        </w:rPr>
      </w:pPr>
    </w:p>
    <w:p w14:paraId="5628C6AD">
      <w:pPr>
        <w:rPr>
          <w:rFonts w:ascii="宋体" w:hAnsi="宋体"/>
          <w:b/>
          <w:szCs w:val="21"/>
        </w:rPr>
      </w:pPr>
    </w:p>
    <w:p w14:paraId="572C21C9">
      <w:pPr>
        <w:rPr>
          <w:rFonts w:ascii="宋体" w:hAnsi="宋体"/>
          <w:b/>
          <w:sz w:val="30"/>
          <w:szCs w:val="30"/>
        </w:rPr>
      </w:pPr>
    </w:p>
    <w:p w14:paraId="477638AE">
      <w:pPr>
        <w:spacing w:line="360" w:lineRule="auto"/>
        <w:ind w:firstLine="562" w:firstLineChars="200"/>
        <w:jc w:val="left"/>
        <w:rPr>
          <w:rFonts w:ascii="宋体" w:hAnsi="宋体"/>
          <w:b/>
          <w:sz w:val="28"/>
          <w:szCs w:val="28"/>
        </w:rPr>
      </w:pPr>
      <w:r>
        <w:rPr>
          <w:rFonts w:hint="eastAsia" w:ascii="宋体" w:hAnsi="宋体"/>
          <w:b/>
          <w:sz w:val="28"/>
          <w:szCs w:val="28"/>
        </w:rPr>
        <w:t>二、资格、技术、商务、</w:t>
      </w:r>
      <w:r>
        <w:rPr>
          <w:rFonts w:hint="eastAsia" w:ascii="宋体" w:hAnsi="宋体"/>
          <w:b/>
          <w:bCs/>
          <w:sz w:val="28"/>
          <w:szCs w:val="28"/>
        </w:rPr>
        <w:t>资信</w:t>
      </w:r>
      <w:r>
        <w:rPr>
          <w:rFonts w:hint="eastAsia" w:ascii="宋体" w:hAnsi="宋体"/>
          <w:b/>
          <w:sz w:val="28"/>
          <w:szCs w:val="28"/>
        </w:rPr>
        <w:t>目录：</w:t>
      </w:r>
    </w:p>
    <w:p w14:paraId="2F914741">
      <w:pPr>
        <w:spacing w:line="400" w:lineRule="exact"/>
        <w:ind w:firstLine="480" w:firstLineChars="200"/>
        <w:jc w:val="left"/>
        <w:rPr>
          <w:rFonts w:ascii="宋体" w:hAnsi="宋体" w:cs="宋体"/>
          <w:sz w:val="24"/>
        </w:rPr>
      </w:pPr>
      <w:r>
        <w:rPr>
          <w:rFonts w:hint="eastAsia" w:ascii="宋体" w:hAnsi="宋体"/>
          <w:sz w:val="24"/>
        </w:rPr>
        <w:t>具体内容参照响应文件的组成。</w:t>
      </w:r>
    </w:p>
    <w:p w14:paraId="5BB0CE03">
      <w:pPr>
        <w:spacing w:line="360" w:lineRule="auto"/>
        <w:ind w:firstLine="482" w:firstLineChars="200"/>
        <w:jc w:val="left"/>
        <w:rPr>
          <w:rFonts w:ascii="宋体" w:hAnsi="宋体"/>
          <w:b/>
          <w:color w:val="000000"/>
          <w:sz w:val="24"/>
        </w:rPr>
      </w:pPr>
    </w:p>
    <w:p w14:paraId="049219E4">
      <w:pPr>
        <w:spacing w:line="360" w:lineRule="auto"/>
        <w:ind w:firstLine="482" w:firstLineChars="200"/>
        <w:jc w:val="left"/>
        <w:rPr>
          <w:rFonts w:ascii="宋体" w:hAnsi="宋体"/>
          <w:b/>
          <w:color w:val="000000"/>
          <w:sz w:val="24"/>
        </w:rPr>
      </w:pPr>
    </w:p>
    <w:p w14:paraId="51CBF923">
      <w:pPr>
        <w:spacing w:line="360" w:lineRule="auto"/>
        <w:ind w:firstLine="482" w:firstLineChars="200"/>
        <w:jc w:val="left"/>
        <w:rPr>
          <w:rFonts w:ascii="宋体" w:hAnsi="宋体"/>
          <w:b/>
          <w:color w:val="000000"/>
          <w:sz w:val="24"/>
        </w:rPr>
      </w:pPr>
    </w:p>
    <w:p w14:paraId="1D0273F2">
      <w:pPr>
        <w:spacing w:line="360" w:lineRule="auto"/>
        <w:ind w:firstLine="482" w:firstLineChars="200"/>
        <w:jc w:val="left"/>
        <w:rPr>
          <w:rFonts w:ascii="宋体" w:hAnsi="宋体"/>
          <w:b/>
          <w:color w:val="000000"/>
          <w:sz w:val="24"/>
        </w:rPr>
      </w:pPr>
    </w:p>
    <w:p w14:paraId="161643D2">
      <w:pPr>
        <w:spacing w:line="360" w:lineRule="auto"/>
        <w:ind w:firstLine="482" w:firstLineChars="200"/>
        <w:jc w:val="left"/>
        <w:rPr>
          <w:rFonts w:ascii="宋体" w:hAnsi="宋体"/>
          <w:b/>
          <w:color w:val="000000"/>
          <w:sz w:val="24"/>
        </w:rPr>
      </w:pPr>
    </w:p>
    <w:p w14:paraId="42E45CA8">
      <w:pPr>
        <w:spacing w:line="360" w:lineRule="auto"/>
        <w:ind w:firstLine="482" w:firstLineChars="200"/>
        <w:jc w:val="left"/>
        <w:rPr>
          <w:rFonts w:ascii="宋体" w:hAnsi="宋体"/>
          <w:b/>
          <w:color w:val="000000"/>
          <w:sz w:val="24"/>
        </w:rPr>
      </w:pPr>
    </w:p>
    <w:p w14:paraId="0237C361">
      <w:pPr>
        <w:spacing w:line="360" w:lineRule="auto"/>
        <w:ind w:firstLine="482" w:firstLineChars="200"/>
        <w:jc w:val="left"/>
        <w:rPr>
          <w:rFonts w:ascii="宋体" w:hAnsi="宋体"/>
          <w:b/>
          <w:color w:val="000000"/>
          <w:sz w:val="24"/>
        </w:rPr>
      </w:pPr>
    </w:p>
    <w:p w14:paraId="47F6C909">
      <w:pPr>
        <w:spacing w:line="360" w:lineRule="auto"/>
        <w:ind w:firstLine="482" w:firstLineChars="200"/>
        <w:jc w:val="left"/>
        <w:rPr>
          <w:rFonts w:ascii="宋体" w:hAnsi="宋体"/>
          <w:b/>
          <w:color w:val="000000"/>
          <w:sz w:val="24"/>
        </w:rPr>
      </w:pPr>
    </w:p>
    <w:p w14:paraId="3F4F01D4">
      <w:pPr>
        <w:spacing w:line="360" w:lineRule="auto"/>
        <w:ind w:firstLine="482" w:firstLineChars="200"/>
        <w:jc w:val="left"/>
        <w:rPr>
          <w:rFonts w:ascii="宋体" w:hAnsi="宋体"/>
          <w:b/>
          <w:color w:val="000000"/>
          <w:sz w:val="24"/>
        </w:rPr>
      </w:pPr>
    </w:p>
    <w:p w14:paraId="0FB5D398">
      <w:pPr>
        <w:spacing w:line="360" w:lineRule="auto"/>
        <w:ind w:firstLine="482" w:firstLineChars="200"/>
        <w:jc w:val="left"/>
        <w:rPr>
          <w:rFonts w:ascii="宋体" w:hAnsi="宋体"/>
          <w:b/>
          <w:color w:val="000000"/>
          <w:sz w:val="24"/>
        </w:rPr>
      </w:pPr>
    </w:p>
    <w:p w14:paraId="13072F9A">
      <w:pPr>
        <w:spacing w:line="360" w:lineRule="auto"/>
        <w:ind w:firstLine="482" w:firstLineChars="200"/>
        <w:jc w:val="left"/>
        <w:rPr>
          <w:rFonts w:ascii="宋体" w:hAnsi="宋体"/>
          <w:b/>
          <w:color w:val="000000"/>
          <w:sz w:val="24"/>
        </w:rPr>
      </w:pPr>
    </w:p>
    <w:p w14:paraId="2C309FAD">
      <w:pPr>
        <w:spacing w:line="360" w:lineRule="auto"/>
        <w:ind w:firstLine="482" w:firstLineChars="200"/>
        <w:jc w:val="left"/>
        <w:rPr>
          <w:rFonts w:ascii="宋体" w:hAnsi="宋体"/>
          <w:b/>
          <w:color w:val="000000"/>
          <w:sz w:val="24"/>
        </w:rPr>
      </w:pPr>
    </w:p>
    <w:p w14:paraId="200D380B">
      <w:pPr>
        <w:spacing w:line="360" w:lineRule="auto"/>
        <w:ind w:firstLine="482" w:firstLineChars="200"/>
        <w:jc w:val="left"/>
        <w:rPr>
          <w:rFonts w:ascii="宋体" w:hAnsi="宋体"/>
          <w:b/>
          <w:color w:val="000000"/>
          <w:sz w:val="24"/>
        </w:rPr>
      </w:pPr>
    </w:p>
    <w:p w14:paraId="4499B433">
      <w:pPr>
        <w:spacing w:line="360" w:lineRule="auto"/>
        <w:ind w:firstLine="482" w:firstLineChars="200"/>
        <w:jc w:val="left"/>
        <w:rPr>
          <w:rFonts w:ascii="宋体" w:hAnsi="宋体"/>
          <w:b/>
          <w:color w:val="000000"/>
          <w:sz w:val="24"/>
        </w:rPr>
      </w:pPr>
    </w:p>
    <w:p w14:paraId="1B4541CF">
      <w:pPr>
        <w:spacing w:line="360" w:lineRule="auto"/>
        <w:ind w:firstLine="482" w:firstLineChars="200"/>
        <w:jc w:val="left"/>
        <w:rPr>
          <w:rFonts w:ascii="宋体" w:hAnsi="宋体"/>
          <w:b/>
          <w:color w:val="000000"/>
          <w:sz w:val="24"/>
        </w:rPr>
      </w:pPr>
    </w:p>
    <w:p w14:paraId="06629312">
      <w:pPr>
        <w:spacing w:line="360" w:lineRule="auto"/>
        <w:ind w:firstLine="482" w:firstLineChars="200"/>
        <w:jc w:val="left"/>
        <w:rPr>
          <w:rFonts w:ascii="宋体" w:hAnsi="宋体"/>
          <w:b/>
          <w:color w:val="000000"/>
          <w:sz w:val="24"/>
        </w:rPr>
      </w:pPr>
    </w:p>
    <w:p w14:paraId="0B1E97B0">
      <w:pPr>
        <w:spacing w:line="360" w:lineRule="auto"/>
        <w:ind w:firstLine="482" w:firstLineChars="200"/>
        <w:jc w:val="left"/>
        <w:rPr>
          <w:rFonts w:ascii="宋体" w:hAnsi="宋体"/>
          <w:b/>
          <w:color w:val="000000"/>
          <w:sz w:val="24"/>
        </w:rPr>
      </w:pPr>
    </w:p>
    <w:p w14:paraId="0A02C392">
      <w:pPr>
        <w:spacing w:line="360" w:lineRule="auto"/>
        <w:ind w:firstLine="482" w:firstLineChars="200"/>
        <w:jc w:val="left"/>
        <w:rPr>
          <w:rFonts w:ascii="宋体" w:hAnsi="宋体"/>
          <w:b/>
          <w:color w:val="000000"/>
          <w:sz w:val="24"/>
        </w:rPr>
      </w:pPr>
    </w:p>
    <w:p w14:paraId="3B5A30CA">
      <w:pPr>
        <w:spacing w:line="360" w:lineRule="auto"/>
        <w:ind w:firstLine="482" w:firstLineChars="200"/>
        <w:jc w:val="left"/>
        <w:rPr>
          <w:rFonts w:ascii="宋体" w:hAnsi="宋体"/>
          <w:b/>
          <w:color w:val="000000"/>
          <w:sz w:val="24"/>
        </w:rPr>
      </w:pPr>
    </w:p>
    <w:p w14:paraId="5F652459">
      <w:pPr>
        <w:spacing w:line="360" w:lineRule="auto"/>
        <w:ind w:firstLine="482" w:firstLineChars="200"/>
        <w:jc w:val="left"/>
        <w:rPr>
          <w:rFonts w:ascii="宋体" w:hAnsi="宋体"/>
          <w:b/>
          <w:color w:val="000000"/>
          <w:sz w:val="24"/>
        </w:rPr>
      </w:pPr>
    </w:p>
    <w:p w14:paraId="65F25B6C">
      <w:pPr>
        <w:spacing w:line="360" w:lineRule="auto"/>
        <w:ind w:firstLine="482" w:firstLineChars="200"/>
        <w:jc w:val="left"/>
        <w:rPr>
          <w:rFonts w:ascii="宋体" w:hAnsi="宋体"/>
          <w:b/>
          <w:color w:val="000000"/>
          <w:sz w:val="24"/>
        </w:rPr>
      </w:pPr>
    </w:p>
    <w:p w14:paraId="3870D16C">
      <w:pPr>
        <w:spacing w:line="360" w:lineRule="auto"/>
        <w:ind w:firstLine="482" w:firstLineChars="200"/>
        <w:jc w:val="left"/>
        <w:rPr>
          <w:rFonts w:ascii="宋体" w:hAnsi="宋体"/>
          <w:b/>
          <w:color w:val="000000"/>
          <w:sz w:val="24"/>
        </w:rPr>
      </w:pPr>
    </w:p>
    <w:p w14:paraId="45BEDE66">
      <w:pPr>
        <w:pStyle w:val="2"/>
        <w:ind w:firstLine="240"/>
      </w:pPr>
    </w:p>
    <w:p w14:paraId="1B2E2C91">
      <w:pPr>
        <w:spacing w:line="360" w:lineRule="auto"/>
        <w:ind w:firstLine="562" w:firstLineChars="200"/>
        <w:jc w:val="left"/>
        <w:rPr>
          <w:rFonts w:ascii="宋体" w:hAnsi="宋体"/>
          <w:b/>
          <w:color w:val="000000"/>
          <w:sz w:val="28"/>
          <w:szCs w:val="28"/>
        </w:rPr>
      </w:pPr>
    </w:p>
    <w:p w14:paraId="6BE14EDA">
      <w:pPr>
        <w:spacing w:line="360" w:lineRule="auto"/>
        <w:jc w:val="left"/>
        <w:rPr>
          <w:rFonts w:ascii="宋体" w:hAnsi="宋体"/>
          <w:b/>
          <w:color w:val="000000"/>
          <w:sz w:val="28"/>
          <w:szCs w:val="28"/>
        </w:rPr>
      </w:pPr>
    </w:p>
    <w:p w14:paraId="100E8883">
      <w:pPr>
        <w:pStyle w:val="2"/>
        <w:ind w:firstLine="240"/>
      </w:pPr>
    </w:p>
    <w:p w14:paraId="5FDE27B8">
      <w:pPr>
        <w:snapToGrid w:val="0"/>
        <w:spacing w:beforeLines="50" w:after="50"/>
        <w:jc w:val="left"/>
        <w:rPr>
          <w:rFonts w:ascii="宋体" w:hAnsi="宋体"/>
          <w:b/>
          <w:sz w:val="24"/>
        </w:rPr>
      </w:pPr>
      <w:r>
        <w:rPr>
          <w:rFonts w:hint="eastAsia" w:ascii="宋体" w:hAnsi="宋体"/>
          <w:b/>
          <w:sz w:val="24"/>
        </w:rPr>
        <w:t>资格文件格式：</w:t>
      </w:r>
    </w:p>
    <w:p w14:paraId="4B1E84D5">
      <w:pPr>
        <w:pStyle w:val="13"/>
        <w:spacing w:line="700" w:lineRule="exact"/>
        <w:ind w:firstLine="0"/>
        <w:jc w:val="center"/>
        <w:rPr>
          <w:rFonts w:ascii="宋体" w:hAnsi="宋体" w:cs="宋体"/>
          <w:b/>
          <w:bCs/>
          <w:spacing w:val="24"/>
          <w:sz w:val="28"/>
          <w:szCs w:val="28"/>
        </w:rPr>
      </w:pPr>
      <w:r>
        <w:rPr>
          <w:rFonts w:hint="eastAsia" w:ascii="宋体" w:hAnsi="宋体" w:cs="宋体"/>
          <w:b/>
          <w:bCs/>
          <w:spacing w:val="24"/>
          <w:sz w:val="28"/>
          <w:szCs w:val="28"/>
        </w:rPr>
        <w:t>1、法定代表人有效身份证明书</w:t>
      </w:r>
    </w:p>
    <w:p w14:paraId="5903AB87">
      <w:pPr>
        <w:pStyle w:val="13"/>
        <w:spacing w:line="700" w:lineRule="exact"/>
        <w:ind w:firstLine="513" w:firstLineChars="156"/>
        <w:jc w:val="center"/>
        <w:rPr>
          <w:rFonts w:ascii="宋体" w:hAnsi="宋体" w:cs="宋体"/>
          <w:b/>
          <w:bCs/>
          <w:spacing w:val="24"/>
          <w:sz w:val="28"/>
          <w:szCs w:val="28"/>
        </w:rPr>
      </w:pPr>
    </w:p>
    <w:p w14:paraId="321117F1">
      <w:pPr>
        <w:pStyle w:val="13"/>
        <w:spacing w:line="500" w:lineRule="exact"/>
        <w:ind w:firstLine="513" w:firstLineChars="156"/>
        <w:jc w:val="center"/>
        <w:rPr>
          <w:rFonts w:ascii="宋体" w:hAnsi="宋体" w:cs="宋体"/>
          <w:b/>
          <w:bCs/>
          <w:spacing w:val="24"/>
          <w:sz w:val="28"/>
          <w:szCs w:val="28"/>
        </w:rPr>
      </w:pPr>
    </w:p>
    <w:p w14:paraId="2DF57138">
      <w:pPr>
        <w:pStyle w:val="13"/>
        <w:spacing w:line="500" w:lineRule="exact"/>
        <w:ind w:firstLineChars="175"/>
        <w:rPr>
          <w:rFonts w:ascii="宋体" w:hAnsi="宋体" w:cs="宋体"/>
          <w:sz w:val="24"/>
        </w:rPr>
      </w:pPr>
      <w:r>
        <w:rPr>
          <w:rFonts w:hint="eastAsia" w:ascii="宋体" w:hAnsi="宋体" w:cs="宋体"/>
          <w:sz w:val="24"/>
          <w:u w:val="single"/>
        </w:rPr>
        <w:t xml:space="preserve">          </w:t>
      </w:r>
      <w:r>
        <w:rPr>
          <w:rFonts w:hint="eastAsia" w:ascii="宋体" w:hAnsi="宋体" w:cs="宋体"/>
          <w:sz w:val="24"/>
        </w:rPr>
        <w:t>（姓名）是</w:t>
      </w:r>
      <w:r>
        <w:rPr>
          <w:rFonts w:hint="eastAsia" w:ascii="宋体" w:hAnsi="宋体" w:cs="宋体"/>
          <w:sz w:val="24"/>
          <w:u w:val="single"/>
        </w:rPr>
        <w:t xml:space="preserve">                 </w:t>
      </w:r>
      <w:r>
        <w:rPr>
          <w:rFonts w:hint="eastAsia" w:ascii="宋体" w:hAnsi="宋体" w:cs="宋体"/>
          <w:sz w:val="24"/>
        </w:rPr>
        <w:t>（单位全称）的法定代表人，身份证号码为</w:t>
      </w:r>
      <w:r>
        <w:rPr>
          <w:rFonts w:hint="eastAsia" w:ascii="宋体" w:hAnsi="宋体" w:cs="宋体"/>
          <w:sz w:val="24"/>
          <w:u w:val="single"/>
        </w:rPr>
        <w:t xml:space="preserve">                  </w:t>
      </w:r>
      <w:r>
        <w:rPr>
          <w:rFonts w:hint="eastAsia" w:ascii="宋体" w:hAnsi="宋体" w:cs="宋体"/>
          <w:sz w:val="24"/>
        </w:rPr>
        <w:t>。</w:t>
      </w:r>
    </w:p>
    <w:p w14:paraId="6BC66DD0">
      <w:pPr>
        <w:pStyle w:val="13"/>
        <w:spacing w:line="500" w:lineRule="exact"/>
        <w:ind w:firstLine="480" w:firstLineChars="200"/>
        <w:rPr>
          <w:rFonts w:ascii="宋体" w:hAnsi="宋体" w:cs="宋体"/>
          <w:sz w:val="24"/>
        </w:rPr>
      </w:pPr>
      <w:r>
        <w:rPr>
          <w:rFonts w:hint="eastAsia" w:ascii="宋体" w:hAnsi="宋体" w:cs="宋体"/>
          <w:sz w:val="24"/>
        </w:rPr>
        <w:t>特此证明。</w:t>
      </w:r>
    </w:p>
    <w:p w14:paraId="0A522EBB">
      <w:pPr>
        <w:pStyle w:val="13"/>
        <w:spacing w:line="500" w:lineRule="exact"/>
        <w:ind w:firstLine="374" w:firstLineChars="156"/>
        <w:rPr>
          <w:rFonts w:ascii="宋体" w:hAnsi="宋体" w:cs="宋体"/>
          <w:sz w:val="24"/>
        </w:rPr>
      </w:pPr>
    </w:p>
    <w:p w14:paraId="04E7AA0E">
      <w:pPr>
        <w:pStyle w:val="13"/>
        <w:spacing w:line="500" w:lineRule="exact"/>
        <w:ind w:firstLine="374" w:firstLineChars="156"/>
        <w:rPr>
          <w:rFonts w:ascii="宋体" w:hAnsi="宋体" w:cs="宋体"/>
          <w:sz w:val="24"/>
        </w:rPr>
      </w:pPr>
    </w:p>
    <w:p w14:paraId="5E42E31F">
      <w:pPr>
        <w:pStyle w:val="13"/>
        <w:spacing w:line="500" w:lineRule="exact"/>
        <w:ind w:firstLine="374" w:firstLineChars="156"/>
        <w:rPr>
          <w:rFonts w:ascii="宋体" w:hAnsi="宋体" w:cs="宋体"/>
          <w:sz w:val="24"/>
        </w:rPr>
      </w:pPr>
    </w:p>
    <w:p w14:paraId="7DFECA85">
      <w:pPr>
        <w:pStyle w:val="13"/>
        <w:spacing w:line="500" w:lineRule="exact"/>
        <w:ind w:firstLine="374" w:firstLineChars="156"/>
        <w:rPr>
          <w:rFonts w:ascii="宋体" w:hAnsi="宋体" w:cs="宋体"/>
          <w:sz w:val="24"/>
        </w:rPr>
      </w:pPr>
    </w:p>
    <w:p w14:paraId="4122BF49">
      <w:pPr>
        <w:pStyle w:val="13"/>
        <w:spacing w:line="500" w:lineRule="exact"/>
        <w:ind w:firstLine="374" w:firstLineChars="156"/>
        <w:rPr>
          <w:rFonts w:ascii="宋体" w:hAnsi="宋体" w:cs="宋体"/>
          <w:sz w:val="24"/>
        </w:rPr>
      </w:pPr>
    </w:p>
    <w:p w14:paraId="7B5E9017">
      <w:pPr>
        <w:pStyle w:val="13"/>
        <w:spacing w:line="500" w:lineRule="exact"/>
        <w:ind w:firstLine="374" w:firstLineChars="156"/>
        <w:rPr>
          <w:rFonts w:ascii="宋体" w:hAnsi="宋体" w:cs="宋体"/>
          <w:sz w:val="24"/>
        </w:rPr>
      </w:pPr>
    </w:p>
    <w:p w14:paraId="52330D32">
      <w:pPr>
        <w:pStyle w:val="13"/>
        <w:spacing w:line="500" w:lineRule="exact"/>
        <w:ind w:firstLine="0"/>
        <w:rPr>
          <w:rFonts w:ascii="宋体" w:hAnsi="宋体" w:cs="宋体"/>
          <w:sz w:val="24"/>
        </w:rPr>
      </w:pPr>
      <w:r>
        <w:rPr>
          <w:rFonts w:hint="eastAsia" w:ascii="宋体" w:hAnsi="宋体" w:cs="宋体"/>
          <w:sz w:val="24"/>
        </w:rPr>
        <w:t>供应商：</w:t>
      </w:r>
      <w:r>
        <w:rPr>
          <w:rFonts w:hint="eastAsia" w:ascii="宋体" w:hAnsi="宋体" w:cs="宋体"/>
          <w:sz w:val="24"/>
          <w:u w:val="single"/>
        </w:rPr>
        <w:t xml:space="preserve">                  </w:t>
      </w:r>
      <w:r>
        <w:rPr>
          <w:rFonts w:hint="eastAsia" w:ascii="宋体" w:hAnsi="宋体" w:cs="宋体"/>
          <w:sz w:val="24"/>
        </w:rPr>
        <w:t xml:space="preserve">（盖章）                     </w:t>
      </w:r>
    </w:p>
    <w:p w14:paraId="64D0CD58">
      <w:pPr>
        <w:pStyle w:val="13"/>
        <w:spacing w:line="500" w:lineRule="exact"/>
        <w:ind w:firstLine="0"/>
        <w:rPr>
          <w:rFonts w:ascii="宋体" w:hAnsi="宋体" w:cs="宋体"/>
          <w:sz w:val="24"/>
        </w:rPr>
      </w:pPr>
      <w:r>
        <w:rPr>
          <w:rFonts w:hint="eastAsia" w:ascii="宋体" w:hAnsi="宋体" w:cs="宋体"/>
          <w:sz w:val="24"/>
        </w:rPr>
        <w:t>法定代表人（签名或盖章）：</w:t>
      </w:r>
      <w:r>
        <w:rPr>
          <w:rFonts w:hint="eastAsia" w:hAnsi="宋体" w:cs="宋体"/>
          <w:u w:val="single"/>
        </w:rPr>
        <w:t xml:space="preserve">                                            </w:t>
      </w:r>
    </w:p>
    <w:p w14:paraId="557773C4">
      <w:pPr>
        <w:pStyle w:val="13"/>
        <w:spacing w:line="500" w:lineRule="exact"/>
        <w:ind w:firstLine="0"/>
        <w:rPr>
          <w:rFonts w:ascii="宋体" w:hAnsi="宋体" w:cs="宋体"/>
          <w:sz w:val="24"/>
        </w:rPr>
      </w:pPr>
      <w:r>
        <w:rPr>
          <w:rFonts w:hint="eastAsia" w:ascii="宋体" w:hAnsi="宋体" w:cs="宋体"/>
          <w:sz w:val="24"/>
        </w:rPr>
        <w:t>日  期：    年   月   日</w:t>
      </w:r>
    </w:p>
    <w:p w14:paraId="7CB53637">
      <w:pPr>
        <w:pStyle w:val="13"/>
        <w:spacing w:line="500" w:lineRule="exact"/>
        <w:ind w:firstLine="436" w:firstLineChars="156"/>
        <w:jc w:val="center"/>
        <w:rPr>
          <w:rFonts w:ascii="宋体" w:hAnsi="宋体" w:cs="宋体"/>
          <w:sz w:val="28"/>
          <w:szCs w:val="28"/>
        </w:rPr>
      </w:pPr>
    </w:p>
    <w:p w14:paraId="03437694">
      <w:pPr>
        <w:pStyle w:val="13"/>
        <w:spacing w:line="500" w:lineRule="exact"/>
        <w:ind w:firstLine="0"/>
        <w:rPr>
          <w:rFonts w:ascii="宋体" w:hAnsi="宋体" w:cs="宋体"/>
          <w:sz w:val="28"/>
          <w:szCs w:val="28"/>
        </w:rPr>
      </w:pPr>
      <w:r>
        <w:rPr>
          <w:rFonts w:hint="eastAsia" w:ascii="宋体" w:hAnsi="宋体" w:cs="宋体"/>
          <w:sz w:val="28"/>
          <w:szCs w:val="28"/>
        </w:rPr>
        <w:t>————————————————————————————--------</w:t>
      </w:r>
    </w:p>
    <w:p w14:paraId="45764B21">
      <w:pPr>
        <w:pStyle w:val="13"/>
        <w:spacing w:line="500" w:lineRule="exact"/>
        <w:ind w:firstLine="436" w:firstLineChars="156"/>
        <w:jc w:val="center"/>
        <w:rPr>
          <w:rFonts w:ascii="宋体" w:hAnsi="宋体" w:cs="宋体"/>
          <w:sz w:val="28"/>
          <w:szCs w:val="28"/>
        </w:rPr>
      </w:pPr>
    </w:p>
    <w:p w14:paraId="48DE89CE">
      <w:pPr>
        <w:pStyle w:val="13"/>
        <w:spacing w:line="500" w:lineRule="exact"/>
        <w:ind w:firstLine="374" w:firstLineChars="156"/>
        <w:jc w:val="center"/>
        <w:rPr>
          <w:rFonts w:ascii="宋体" w:hAnsi="宋体" w:cs="宋体"/>
          <w:sz w:val="24"/>
          <w:szCs w:val="24"/>
        </w:rPr>
      </w:pPr>
      <w:r>
        <w:rPr>
          <w:rFonts w:hint="eastAsia" w:ascii="宋体" w:hAnsi="宋体" w:cs="宋体"/>
          <w:sz w:val="24"/>
          <w:szCs w:val="24"/>
        </w:rPr>
        <w:t>法人代表有效身份证</w:t>
      </w:r>
    </w:p>
    <w:p w14:paraId="36DB12BC">
      <w:pPr>
        <w:pStyle w:val="13"/>
        <w:spacing w:line="600" w:lineRule="exact"/>
        <w:ind w:firstLine="0"/>
        <w:jc w:val="center"/>
        <w:rPr>
          <w:rFonts w:ascii="宋体" w:hAnsi="宋体"/>
          <w:b/>
          <w:bCs/>
          <w:spacing w:val="24"/>
          <w:sz w:val="32"/>
          <w:szCs w:val="32"/>
        </w:rPr>
      </w:pPr>
    </w:p>
    <w:p w14:paraId="459F1F82">
      <w:pPr>
        <w:pStyle w:val="13"/>
        <w:spacing w:line="600" w:lineRule="exact"/>
        <w:ind w:firstLine="0"/>
        <w:jc w:val="center"/>
        <w:rPr>
          <w:rFonts w:ascii="宋体" w:hAnsi="宋体"/>
          <w:b/>
          <w:bCs/>
          <w:spacing w:val="24"/>
          <w:sz w:val="32"/>
          <w:szCs w:val="32"/>
        </w:rPr>
      </w:pPr>
    </w:p>
    <w:p w14:paraId="7231FA6D">
      <w:pPr>
        <w:pStyle w:val="13"/>
        <w:spacing w:line="600" w:lineRule="exact"/>
        <w:ind w:firstLine="0"/>
        <w:jc w:val="center"/>
        <w:rPr>
          <w:rFonts w:ascii="宋体" w:hAnsi="宋体"/>
          <w:b/>
          <w:bCs/>
          <w:spacing w:val="24"/>
          <w:sz w:val="32"/>
          <w:szCs w:val="32"/>
        </w:rPr>
      </w:pPr>
    </w:p>
    <w:p w14:paraId="281A2B2E">
      <w:pPr>
        <w:pStyle w:val="13"/>
        <w:spacing w:line="600" w:lineRule="exact"/>
        <w:ind w:firstLine="0"/>
        <w:jc w:val="center"/>
        <w:rPr>
          <w:rFonts w:ascii="宋体" w:hAnsi="宋体"/>
          <w:b/>
          <w:bCs/>
          <w:spacing w:val="24"/>
          <w:sz w:val="32"/>
          <w:szCs w:val="32"/>
        </w:rPr>
      </w:pPr>
    </w:p>
    <w:p w14:paraId="2BD8286E">
      <w:pPr>
        <w:pStyle w:val="13"/>
        <w:spacing w:line="600" w:lineRule="exact"/>
        <w:ind w:firstLine="0"/>
        <w:rPr>
          <w:rFonts w:ascii="宋体" w:hAnsi="宋体"/>
          <w:b/>
          <w:bCs/>
          <w:spacing w:val="24"/>
          <w:sz w:val="30"/>
          <w:szCs w:val="30"/>
        </w:rPr>
      </w:pPr>
    </w:p>
    <w:p w14:paraId="43DB90AD">
      <w:pPr>
        <w:pStyle w:val="13"/>
        <w:spacing w:line="600" w:lineRule="exact"/>
        <w:ind w:firstLine="0"/>
        <w:jc w:val="center"/>
        <w:rPr>
          <w:rFonts w:ascii="宋体" w:hAnsi="宋体"/>
          <w:b/>
          <w:bCs/>
          <w:spacing w:val="24"/>
          <w:sz w:val="28"/>
          <w:szCs w:val="28"/>
        </w:rPr>
      </w:pPr>
      <w:r>
        <w:rPr>
          <w:rFonts w:hint="eastAsia" w:ascii="宋体" w:hAnsi="宋体"/>
          <w:b/>
          <w:bCs/>
          <w:spacing w:val="24"/>
          <w:sz w:val="28"/>
          <w:szCs w:val="28"/>
        </w:rPr>
        <w:t>2、法定代表人授权委托书</w:t>
      </w:r>
    </w:p>
    <w:p w14:paraId="098D9ED7">
      <w:pPr>
        <w:spacing w:line="600" w:lineRule="exact"/>
        <w:ind w:firstLine="600" w:firstLineChars="200"/>
        <w:rPr>
          <w:rFonts w:ascii="宋体" w:hAnsi="宋体"/>
          <w:sz w:val="30"/>
        </w:rPr>
      </w:pPr>
    </w:p>
    <w:p w14:paraId="1CC510FD">
      <w:pPr>
        <w:spacing w:line="600" w:lineRule="exact"/>
        <w:ind w:firstLine="480" w:firstLineChars="200"/>
        <w:rPr>
          <w:rFonts w:ascii="宋体" w:hAnsi="宋体"/>
          <w:color w:val="000000"/>
          <w:sz w:val="24"/>
        </w:rPr>
      </w:pPr>
      <w:r>
        <w:rPr>
          <w:rFonts w:hint="eastAsia" w:ascii="宋体" w:hAnsi="宋体"/>
          <w:color w:val="000000"/>
          <w:sz w:val="24"/>
        </w:rPr>
        <w:t>本授权委托书声明，我</w:t>
      </w:r>
      <w:r>
        <w:rPr>
          <w:rFonts w:hint="eastAsia" w:ascii="宋体" w:hAnsi="宋体"/>
          <w:color w:val="000000"/>
          <w:sz w:val="24"/>
          <w:u w:val="single"/>
        </w:rPr>
        <w:t xml:space="preserve">      </w:t>
      </w:r>
      <w:r>
        <w:rPr>
          <w:rFonts w:hint="eastAsia" w:ascii="宋体" w:hAnsi="宋体"/>
          <w:color w:val="000000"/>
          <w:sz w:val="24"/>
        </w:rPr>
        <w:t>（姓名）系</w:t>
      </w:r>
      <w:r>
        <w:rPr>
          <w:rFonts w:hint="eastAsia" w:ascii="宋体" w:hAnsi="宋体"/>
          <w:color w:val="000000"/>
          <w:sz w:val="24"/>
          <w:u w:val="single"/>
        </w:rPr>
        <w:t xml:space="preserve">              </w:t>
      </w:r>
      <w:r>
        <w:rPr>
          <w:rFonts w:hint="eastAsia" w:ascii="宋体" w:hAnsi="宋体"/>
          <w:color w:val="000000"/>
          <w:sz w:val="24"/>
        </w:rPr>
        <w:t>（供应商名称）的法定代表人，现授权委托本单位的在职职工</w:t>
      </w:r>
      <w:r>
        <w:rPr>
          <w:rFonts w:hint="eastAsia" w:ascii="宋体" w:hAnsi="宋体"/>
          <w:color w:val="000000"/>
          <w:sz w:val="24"/>
          <w:u w:val="single"/>
        </w:rPr>
        <w:t xml:space="preserve">        </w:t>
      </w:r>
      <w:r>
        <w:rPr>
          <w:rFonts w:hint="eastAsia" w:ascii="宋体" w:hAnsi="宋体"/>
          <w:color w:val="000000"/>
          <w:sz w:val="24"/>
        </w:rPr>
        <w:t xml:space="preserve"> （姓名）为我单位代理人，以本单位的名义参加</w:t>
      </w:r>
      <w:r>
        <w:rPr>
          <w:rFonts w:hint="eastAsia" w:ascii="宋体" w:hAnsi="宋体"/>
          <w:color w:val="000000"/>
          <w:sz w:val="24"/>
          <w:u w:val="single"/>
        </w:rPr>
        <w:t xml:space="preserve">         </w:t>
      </w:r>
      <w:r>
        <w:rPr>
          <w:rFonts w:hint="eastAsia" w:ascii="宋体" w:hAnsi="宋体"/>
          <w:color w:val="000000"/>
          <w:sz w:val="24"/>
        </w:rPr>
        <w:t>（采购机构名称）的</w:t>
      </w:r>
      <w:r>
        <w:rPr>
          <w:rFonts w:hint="eastAsia" w:ascii="宋体" w:hAnsi="宋体"/>
          <w:color w:val="000000"/>
          <w:sz w:val="24"/>
          <w:u w:val="single"/>
        </w:rPr>
        <w:t xml:space="preserve">               </w:t>
      </w:r>
      <w:r>
        <w:rPr>
          <w:rFonts w:hint="eastAsia" w:ascii="宋体" w:hAnsi="宋体"/>
          <w:color w:val="000000"/>
          <w:sz w:val="24"/>
        </w:rPr>
        <w:t>项目的磋商活动。被授权代理人在磋商、评审、合同谈判过程中所签署的一切文件和处理与之有关的一切事务，我均予以承认。</w:t>
      </w:r>
    </w:p>
    <w:p w14:paraId="4878A238">
      <w:pPr>
        <w:spacing w:line="600" w:lineRule="exact"/>
        <w:ind w:firstLine="480" w:firstLineChars="200"/>
        <w:rPr>
          <w:rFonts w:ascii="宋体" w:hAnsi="宋体"/>
          <w:sz w:val="24"/>
        </w:rPr>
      </w:pPr>
      <w:r>
        <w:rPr>
          <w:rFonts w:hint="eastAsia" w:ascii="宋体" w:hAnsi="宋体"/>
          <w:sz w:val="24"/>
        </w:rPr>
        <w:t>代理人无转委托权，特此委托。</w:t>
      </w:r>
    </w:p>
    <w:p w14:paraId="74B811C1">
      <w:pPr>
        <w:spacing w:after="156" w:line="600" w:lineRule="exact"/>
        <w:rPr>
          <w:rFonts w:ascii="宋体" w:hAnsi="宋体"/>
          <w:b/>
          <w:color w:val="000000"/>
          <w:sz w:val="24"/>
        </w:rPr>
      </w:pPr>
    </w:p>
    <w:p w14:paraId="45B9B83C">
      <w:pPr>
        <w:spacing w:line="600" w:lineRule="exact"/>
        <w:ind w:left="2698" w:leftChars="1285" w:firstLine="960" w:firstLineChars="400"/>
        <w:rPr>
          <w:rFonts w:ascii="宋体" w:hAnsi="宋体"/>
          <w:color w:val="000000"/>
          <w:sz w:val="24"/>
          <w:u w:val="single"/>
        </w:rPr>
      </w:pPr>
      <w:r>
        <w:rPr>
          <w:rFonts w:hint="eastAsia" w:ascii="宋体" w:hAnsi="宋体"/>
          <w:color w:val="000000"/>
          <w:sz w:val="24"/>
        </w:rPr>
        <w:t>代理人：</w:t>
      </w:r>
      <w:r>
        <w:rPr>
          <w:rFonts w:hint="eastAsia" w:ascii="宋体" w:hAnsi="宋体"/>
          <w:color w:val="000000"/>
          <w:sz w:val="24"/>
          <w:u w:val="single"/>
        </w:rPr>
        <w:t xml:space="preserve">                （签字或盖章）   </w:t>
      </w:r>
    </w:p>
    <w:p w14:paraId="46037467">
      <w:pPr>
        <w:spacing w:line="600" w:lineRule="exact"/>
        <w:ind w:left="2698" w:leftChars="1285" w:firstLine="960" w:firstLineChars="400"/>
        <w:rPr>
          <w:rFonts w:ascii="宋体" w:hAnsi="宋体"/>
          <w:color w:val="000000"/>
          <w:sz w:val="24"/>
          <w:u w:val="single"/>
        </w:rPr>
      </w:pPr>
      <w:r>
        <w:rPr>
          <w:rFonts w:hint="eastAsia" w:ascii="宋体" w:hAnsi="宋体"/>
          <w:color w:val="000000"/>
          <w:sz w:val="24"/>
        </w:rPr>
        <w:t>身份证号码：</w:t>
      </w:r>
      <w:r>
        <w:rPr>
          <w:rFonts w:hint="eastAsia" w:ascii="宋体" w:hAnsi="宋体"/>
          <w:color w:val="000000"/>
          <w:sz w:val="24"/>
          <w:u w:val="single"/>
        </w:rPr>
        <w:t xml:space="preserve">                             </w:t>
      </w:r>
    </w:p>
    <w:p w14:paraId="3748478F">
      <w:pPr>
        <w:spacing w:line="600" w:lineRule="exact"/>
        <w:ind w:left="2698" w:leftChars="1285" w:firstLine="960" w:firstLineChars="400"/>
        <w:rPr>
          <w:rFonts w:ascii="宋体" w:hAnsi="宋体"/>
          <w:color w:val="000000"/>
          <w:sz w:val="24"/>
          <w:u w:val="single"/>
        </w:rPr>
      </w:pPr>
      <w:r>
        <w:rPr>
          <w:rFonts w:hint="eastAsia" w:ascii="宋体" w:hAnsi="宋体"/>
          <w:color w:val="000000"/>
          <w:sz w:val="24"/>
        </w:rPr>
        <w:t>职  务：</w:t>
      </w:r>
      <w:r>
        <w:rPr>
          <w:rFonts w:hint="eastAsia" w:ascii="宋体" w:hAnsi="宋体"/>
          <w:color w:val="000000"/>
          <w:sz w:val="24"/>
          <w:u w:val="single"/>
        </w:rPr>
        <w:t xml:space="preserve">                                 </w:t>
      </w:r>
    </w:p>
    <w:p w14:paraId="3FB26156">
      <w:pPr>
        <w:spacing w:line="600" w:lineRule="exact"/>
        <w:ind w:left="2698" w:leftChars="1285" w:firstLine="960" w:firstLineChars="400"/>
        <w:rPr>
          <w:rFonts w:ascii="宋体" w:hAnsi="宋体"/>
          <w:color w:val="000000"/>
          <w:sz w:val="24"/>
        </w:rPr>
      </w:pPr>
      <w:r>
        <w:rPr>
          <w:rFonts w:hint="eastAsia" w:ascii="宋体" w:hAnsi="宋体"/>
          <w:color w:val="000000"/>
          <w:sz w:val="24"/>
        </w:rPr>
        <w:t>供应商：</w:t>
      </w:r>
      <w:r>
        <w:rPr>
          <w:rFonts w:hint="eastAsia" w:ascii="宋体" w:hAnsi="宋体"/>
          <w:color w:val="000000"/>
          <w:sz w:val="24"/>
          <w:u w:val="single"/>
        </w:rPr>
        <w:t xml:space="preserve">                      （盖章）   </w:t>
      </w:r>
    </w:p>
    <w:p w14:paraId="7192AC76">
      <w:pPr>
        <w:spacing w:line="600" w:lineRule="exact"/>
        <w:rPr>
          <w:rFonts w:ascii="宋体" w:hAnsi="宋体"/>
          <w:color w:val="000000"/>
          <w:sz w:val="24"/>
          <w:u w:val="single"/>
        </w:rPr>
      </w:pPr>
      <w:r>
        <w:rPr>
          <w:rFonts w:hint="eastAsia" w:ascii="宋体" w:hAnsi="宋体"/>
          <w:color w:val="000000"/>
          <w:sz w:val="24"/>
        </w:rPr>
        <w:t xml:space="preserve">                               法定代表人：</w:t>
      </w:r>
      <w:r>
        <w:rPr>
          <w:rFonts w:hint="eastAsia" w:ascii="宋体" w:hAnsi="宋体"/>
          <w:color w:val="000000"/>
          <w:sz w:val="24"/>
          <w:u w:val="single"/>
        </w:rPr>
        <w:t xml:space="preserve">             （签名或盖章） </w:t>
      </w:r>
    </w:p>
    <w:p w14:paraId="24E9D9F2">
      <w:pPr>
        <w:pStyle w:val="13"/>
        <w:spacing w:line="600" w:lineRule="exact"/>
        <w:ind w:firstLine="3720" w:firstLineChars="1550"/>
        <w:rPr>
          <w:rFonts w:ascii="宋体" w:hAnsi="宋体"/>
          <w:sz w:val="24"/>
          <w:szCs w:val="24"/>
        </w:rPr>
      </w:pPr>
      <w:r>
        <w:rPr>
          <w:rFonts w:hint="eastAsia" w:ascii="宋体" w:hAnsi="宋体"/>
          <w:sz w:val="24"/>
          <w:szCs w:val="24"/>
        </w:rPr>
        <w:t>日    期：    年   月   日</w:t>
      </w:r>
    </w:p>
    <w:p w14:paraId="1122C3E1">
      <w:pPr>
        <w:pStyle w:val="13"/>
        <w:spacing w:line="600" w:lineRule="exact"/>
        <w:ind w:firstLine="374" w:firstLineChars="156"/>
        <w:rPr>
          <w:rFonts w:ascii="宋体" w:hAnsi="宋体"/>
          <w:sz w:val="24"/>
          <w:szCs w:val="24"/>
        </w:rPr>
      </w:pPr>
      <w:r>
        <w:rPr>
          <w:rFonts w:hint="eastAsia" w:ascii="宋体" w:hAnsi="宋体"/>
          <w:sz w:val="24"/>
          <w:szCs w:val="24"/>
        </w:rPr>
        <w:t>——————————————————————————————-----------</w:t>
      </w:r>
    </w:p>
    <w:p w14:paraId="33579092">
      <w:pPr>
        <w:pStyle w:val="13"/>
        <w:spacing w:line="600" w:lineRule="exact"/>
        <w:ind w:firstLine="0"/>
        <w:jc w:val="center"/>
        <w:rPr>
          <w:rFonts w:ascii="宋体" w:hAnsi="宋体"/>
          <w:sz w:val="24"/>
          <w:szCs w:val="24"/>
        </w:rPr>
      </w:pPr>
      <w:r>
        <w:rPr>
          <w:rFonts w:hint="eastAsia" w:ascii="宋体" w:hAnsi="宋体"/>
          <w:sz w:val="24"/>
          <w:szCs w:val="24"/>
        </w:rPr>
        <w:t>代理人有效身份证（正反面）</w:t>
      </w:r>
    </w:p>
    <w:p w14:paraId="72058416">
      <w:pPr>
        <w:pStyle w:val="13"/>
        <w:spacing w:line="500" w:lineRule="exact"/>
        <w:ind w:firstLine="468" w:firstLineChars="156"/>
        <w:jc w:val="center"/>
        <w:rPr>
          <w:rFonts w:ascii="宋体" w:hAnsi="宋体"/>
          <w:sz w:val="30"/>
          <w:szCs w:val="24"/>
        </w:rPr>
      </w:pPr>
    </w:p>
    <w:p w14:paraId="235232EE">
      <w:pPr>
        <w:snapToGrid w:val="0"/>
        <w:spacing w:before="50" w:afterLines="50" w:line="360" w:lineRule="exact"/>
        <w:jc w:val="left"/>
        <w:rPr>
          <w:rFonts w:ascii="宋体" w:hAnsi="宋体"/>
          <w:color w:val="000000"/>
          <w:sz w:val="28"/>
          <w:szCs w:val="28"/>
        </w:rPr>
      </w:pPr>
    </w:p>
    <w:p w14:paraId="31D4D289">
      <w:pPr>
        <w:pStyle w:val="13"/>
        <w:spacing w:line="600" w:lineRule="exact"/>
        <w:ind w:firstLine="0"/>
        <w:jc w:val="center"/>
        <w:rPr>
          <w:rFonts w:ascii="宋体" w:hAnsi="宋体"/>
          <w:b/>
          <w:color w:val="000000"/>
          <w:sz w:val="24"/>
          <w:szCs w:val="24"/>
        </w:rPr>
      </w:pPr>
      <w:r>
        <w:rPr>
          <w:rFonts w:hint="eastAsia" w:ascii="宋体" w:hAnsi="宋体"/>
          <w:b/>
          <w:color w:val="000000"/>
          <w:sz w:val="24"/>
          <w:szCs w:val="24"/>
        </w:rPr>
        <w:t>（后附代理人最近一个月个人社保缴纳证明文件）</w:t>
      </w:r>
    </w:p>
    <w:p w14:paraId="38F5F4D8">
      <w:pPr>
        <w:pStyle w:val="13"/>
        <w:spacing w:line="640" w:lineRule="exact"/>
        <w:ind w:firstLine="0"/>
        <w:jc w:val="center"/>
        <w:rPr>
          <w:rFonts w:ascii="宋体" w:hAnsi="宋体"/>
          <w:b/>
          <w:bCs/>
          <w:color w:val="000000"/>
          <w:spacing w:val="24"/>
          <w:sz w:val="28"/>
          <w:szCs w:val="28"/>
        </w:rPr>
      </w:pPr>
    </w:p>
    <w:p w14:paraId="0ED1AC79">
      <w:pPr>
        <w:pStyle w:val="13"/>
        <w:spacing w:line="640" w:lineRule="exact"/>
        <w:ind w:firstLine="0"/>
        <w:jc w:val="center"/>
        <w:rPr>
          <w:rFonts w:ascii="宋体" w:hAnsi="宋体"/>
          <w:b/>
          <w:bCs/>
          <w:color w:val="000000"/>
          <w:spacing w:val="24"/>
          <w:sz w:val="28"/>
          <w:szCs w:val="28"/>
        </w:rPr>
      </w:pPr>
    </w:p>
    <w:p w14:paraId="7E65500A">
      <w:pPr>
        <w:pStyle w:val="13"/>
        <w:spacing w:line="640" w:lineRule="exact"/>
        <w:ind w:firstLine="0"/>
        <w:jc w:val="center"/>
        <w:rPr>
          <w:rFonts w:ascii="宋体" w:hAnsi="宋体"/>
          <w:color w:val="000000"/>
          <w:sz w:val="24"/>
          <w:szCs w:val="24"/>
        </w:rPr>
      </w:pPr>
      <w:r>
        <w:rPr>
          <w:rFonts w:hint="eastAsia" w:ascii="宋体" w:hAnsi="宋体"/>
          <w:b/>
          <w:bCs/>
          <w:color w:val="000000"/>
          <w:spacing w:val="24"/>
          <w:sz w:val="28"/>
          <w:szCs w:val="28"/>
        </w:rPr>
        <w:t>3、信用承诺书</w:t>
      </w:r>
    </w:p>
    <w:p w14:paraId="17CD74B9">
      <w:pPr>
        <w:tabs>
          <w:tab w:val="left" w:pos="1650"/>
        </w:tabs>
        <w:spacing w:line="640" w:lineRule="exact"/>
        <w:ind w:firstLine="480" w:firstLineChars="200"/>
        <w:jc w:val="left"/>
        <w:rPr>
          <w:rFonts w:ascii="宋体" w:hAnsi="宋体"/>
          <w:sz w:val="24"/>
        </w:rPr>
      </w:pP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（供应商）现参加</w:t>
      </w:r>
      <w:r>
        <w:rPr>
          <w:rFonts w:ascii="宋体" w:hAnsi="宋体"/>
          <w:sz w:val="24"/>
          <w:u w:val="single"/>
        </w:rPr>
        <w:t xml:space="preserve">               </w:t>
      </w:r>
      <w:r>
        <w:rPr>
          <w:rFonts w:hint="eastAsia" w:ascii="宋体" w:hAnsi="宋体"/>
          <w:sz w:val="24"/>
        </w:rPr>
        <w:t>（采购项目）政府采购活动，郑重承诺如下：</w:t>
      </w:r>
    </w:p>
    <w:p w14:paraId="3D793451">
      <w:pPr>
        <w:tabs>
          <w:tab w:val="left" w:pos="1650"/>
        </w:tabs>
        <w:spacing w:line="640" w:lineRule="exact"/>
        <w:ind w:firstLine="630"/>
        <w:rPr>
          <w:rFonts w:ascii="宋体" w:hAnsi="宋体"/>
          <w:sz w:val="24"/>
        </w:rPr>
      </w:pPr>
      <w:r>
        <w:rPr>
          <w:rFonts w:hint="eastAsia" w:ascii="宋体" w:hAnsi="宋体"/>
          <w:sz w:val="24"/>
        </w:rPr>
        <w:t>1、对所提供的资料合法性、真实性、准确性和有效性负责；</w:t>
      </w:r>
    </w:p>
    <w:p w14:paraId="39104520">
      <w:pPr>
        <w:tabs>
          <w:tab w:val="left" w:pos="1650"/>
        </w:tabs>
        <w:spacing w:line="640" w:lineRule="exact"/>
        <w:ind w:firstLine="630"/>
        <w:rPr>
          <w:rFonts w:ascii="宋体" w:hAnsi="宋体"/>
          <w:sz w:val="24"/>
        </w:rPr>
      </w:pPr>
      <w:r>
        <w:rPr>
          <w:rFonts w:hint="eastAsia" w:ascii="宋体" w:hAnsi="宋体"/>
          <w:sz w:val="24"/>
        </w:rPr>
        <w:t>2、严格按照国家法律、法规和规章，依法开展相关经济活动，全面履行应尽的责任和义务；</w:t>
      </w:r>
    </w:p>
    <w:p w14:paraId="37CA4210">
      <w:pPr>
        <w:tabs>
          <w:tab w:val="left" w:pos="1650"/>
        </w:tabs>
        <w:spacing w:line="640" w:lineRule="exact"/>
        <w:ind w:firstLine="630"/>
        <w:rPr>
          <w:rFonts w:ascii="宋体" w:hAnsi="宋体"/>
          <w:sz w:val="24"/>
        </w:rPr>
      </w:pPr>
      <w:r>
        <w:rPr>
          <w:rFonts w:hint="eastAsia" w:ascii="宋体" w:hAnsi="宋体"/>
          <w:sz w:val="24"/>
        </w:rPr>
        <w:t>3、加强自我约束、自我规范、自我管理，不制假售假、不虚假宣传、不违约毁约、不恶意逃债、不偷税漏税，诚信依法经营；</w:t>
      </w:r>
    </w:p>
    <w:p w14:paraId="1EDC6F55">
      <w:pPr>
        <w:tabs>
          <w:tab w:val="left" w:pos="1650"/>
        </w:tabs>
        <w:spacing w:line="640" w:lineRule="exact"/>
        <w:ind w:firstLine="630"/>
        <w:rPr>
          <w:rFonts w:ascii="宋体" w:hAnsi="宋体"/>
          <w:sz w:val="24"/>
        </w:rPr>
      </w:pPr>
      <w:r>
        <w:rPr>
          <w:rFonts w:hint="eastAsia" w:ascii="宋体" w:hAnsi="宋体"/>
          <w:sz w:val="24"/>
        </w:rPr>
        <w:t>4、自愿接受行政主管部门的依法检查、违背承诺约定将自愿承担违约责任，并接受法律法规和相关部门规章制度的惩戒和约束；</w:t>
      </w:r>
    </w:p>
    <w:p w14:paraId="65476C65">
      <w:pPr>
        <w:tabs>
          <w:tab w:val="left" w:pos="1650"/>
        </w:tabs>
        <w:spacing w:line="640" w:lineRule="exact"/>
        <w:ind w:firstLine="630"/>
        <w:rPr>
          <w:rFonts w:ascii="宋体" w:hAnsi="宋体"/>
          <w:sz w:val="24"/>
        </w:rPr>
      </w:pPr>
      <w:r>
        <w:rPr>
          <w:rFonts w:hint="eastAsia" w:ascii="宋体" w:hAnsi="宋体"/>
          <w:sz w:val="24"/>
        </w:rPr>
        <w:t>5、按照信用信息管理有关要求，本单位（个人）同意将以上承诺在信用湖州网站公示，若违背以上承诺，依据相关规定记入企业（个人）信用档案；性质严重的，承担相应法律后果和责任，并依法依规列入严重失信名单。</w:t>
      </w:r>
    </w:p>
    <w:p w14:paraId="217A5E60">
      <w:pPr>
        <w:tabs>
          <w:tab w:val="left" w:pos="1650"/>
        </w:tabs>
        <w:spacing w:line="640" w:lineRule="exact"/>
        <w:rPr>
          <w:rFonts w:ascii="宋体" w:hAnsi="宋体"/>
          <w:sz w:val="24"/>
          <w:u w:val="single"/>
        </w:rPr>
      </w:pPr>
    </w:p>
    <w:p w14:paraId="3BE79519">
      <w:pPr>
        <w:tabs>
          <w:tab w:val="left" w:pos="1650"/>
        </w:tabs>
        <w:spacing w:line="640" w:lineRule="exact"/>
        <w:rPr>
          <w:rFonts w:ascii="宋体" w:hAnsi="宋体"/>
          <w:sz w:val="24"/>
          <w:u w:val="single"/>
        </w:rPr>
      </w:pPr>
    </w:p>
    <w:p w14:paraId="40CA1709">
      <w:pPr>
        <w:pStyle w:val="78"/>
        <w:spacing w:before="0" w:beforeAutospacing="0" w:after="0" w:afterAutospacing="0" w:line="640" w:lineRule="exact"/>
        <w:ind w:firstLine="600" w:firstLineChars="250"/>
        <w:rPr>
          <w:rFonts w:cs="Times New Roman"/>
          <w:color w:val="000000"/>
          <w:spacing w:val="-7"/>
        </w:rPr>
      </w:pPr>
      <w:r>
        <w:rPr>
          <w:rFonts w:hint="eastAsia" w:cs="Times New Roman"/>
          <w:kern w:val="2"/>
        </w:rPr>
        <w:t>统一社会信用代码：</w:t>
      </w:r>
      <w:r>
        <w:rPr>
          <w:rFonts w:cs="Times New Roman"/>
          <w:color w:val="000000"/>
          <w:spacing w:val="-7"/>
          <w:u w:val="single"/>
        </w:rPr>
        <w:t xml:space="preserve">                      </w:t>
      </w:r>
      <w:r>
        <w:rPr>
          <w:rFonts w:cs="Times New Roman"/>
          <w:color w:val="000000"/>
          <w:spacing w:val="-7"/>
        </w:rPr>
        <w:t xml:space="preserve"> </w:t>
      </w:r>
    </w:p>
    <w:p w14:paraId="7633EC8D">
      <w:pPr>
        <w:pStyle w:val="78"/>
        <w:spacing w:before="0" w:beforeAutospacing="0" w:after="0" w:afterAutospacing="0" w:line="640" w:lineRule="exact"/>
        <w:rPr>
          <w:rFonts w:cs="Times New Roman"/>
          <w:color w:val="000000"/>
        </w:rPr>
      </w:pPr>
      <w:r>
        <w:rPr>
          <w:rFonts w:cs="Times New Roman"/>
          <w:color w:val="000000"/>
        </w:rPr>
        <w:t xml:space="preserve">    </w:t>
      </w:r>
    </w:p>
    <w:p w14:paraId="64184F23">
      <w:pPr>
        <w:pStyle w:val="78"/>
        <w:spacing w:before="0" w:beforeAutospacing="0" w:after="0" w:afterAutospacing="0" w:line="640" w:lineRule="exact"/>
        <w:ind w:right="240" w:firstLine="3960" w:firstLineChars="1650"/>
        <w:rPr>
          <w:rFonts w:cs="Times New Roman"/>
          <w:kern w:val="2"/>
        </w:rPr>
      </w:pPr>
      <w:r>
        <w:rPr>
          <w:rFonts w:hint="eastAsia" w:cs="Times New Roman"/>
          <w:kern w:val="2"/>
        </w:rPr>
        <w:t>承诺单位</w:t>
      </w:r>
      <w:r>
        <w:rPr>
          <w:rFonts w:cs="Times New Roman"/>
          <w:kern w:val="2"/>
        </w:rPr>
        <w:t>/</w:t>
      </w:r>
      <w:r>
        <w:rPr>
          <w:rFonts w:hint="eastAsia" w:cs="Times New Roman"/>
          <w:kern w:val="2"/>
        </w:rPr>
        <w:t>个人：</w:t>
      </w:r>
      <w:r>
        <w:rPr>
          <w:rFonts w:hint="eastAsia" w:cs="Times New Roman"/>
          <w:kern w:val="2"/>
          <w:u w:val="single"/>
        </w:rPr>
        <w:t xml:space="preserve">              </w:t>
      </w:r>
      <w:r>
        <w:rPr>
          <w:rFonts w:hint="eastAsia" w:cs="Times New Roman"/>
          <w:kern w:val="2"/>
        </w:rPr>
        <w:t>（盖章</w:t>
      </w:r>
      <w:r>
        <w:rPr>
          <w:rFonts w:cs="Times New Roman"/>
          <w:kern w:val="2"/>
        </w:rPr>
        <w:t>/</w:t>
      </w:r>
      <w:r>
        <w:rPr>
          <w:rFonts w:hint="eastAsia" w:cs="Times New Roman"/>
          <w:kern w:val="2"/>
        </w:rPr>
        <w:t>签名）</w:t>
      </w:r>
    </w:p>
    <w:p w14:paraId="7D7DCBC0">
      <w:pPr>
        <w:spacing w:line="640" w:lineRule="exact"/>
        <w:rPr>
          <w:rFonts w:ascii="宋体" w:hAnsi="宋体"/>
          <w:sz w:val="24"/>
        </w:rPr>
      </w:pPr>
      <w:r>
        <w:rPr>
          <w:rFonts w:ascii="宋体" w:hAnsi="宋体"/>
          <w:sz w:val="24"/>
        </w:rPr>
        <w:t xml:space="preserve">                            </w:t>
      </w:r>
      <w:r>
        <w:rPr>
          <w:rFonts w:hint="eastAsia" w:ascii="宋体" w:hAnsi="宋体"/>
          <w:sz w:val="24"/>
        </w:rPr>
        <w:t xml:space="preserve">       时        间：     年   月   日</w:t>
      </w:r>
    </w:p>
    <w:p w14:paraId="432E333F">
      <w:pPr>
        <w:pStyle w:val="13"/>
        <w:spacing w:line="600" w:lineRule="exact"/>
        <w:ind w:firstLine="0"/>
        <w:jc w:val="center"/>
        <w:rPr>
          <w:rFonts w:ascii="宋体" w:hAnsi="宋体"/>
          <w:color w:val="000000"/>
          <w:sz w:val="24"/>
          <w:szCs w:val="24"/>
        </w:rPr>
      </w:pPr>
    </w:p>
    <w:p w14:paraId="647BE7FA">
      <w:pPr>
        <w:snapToGrid w:val="0"/>
        <w:spacing w:beforeLines="50" w:after="50"/>
        <w:jc w:val="center"/>
        <w:rPr>
          <w:rFonts w:ascii="宋体" w:hAnsi="宋体"/>
          <w:color w:val="000000"/>
          <w:sz w:val="24"/>
        </w:rPr>
      </w:pPr>
    </w:p>
    <w:p w14:paraId="5D6D6254">
      <w:pPr>
        <w:pStyle w:val="2"/>
        <w:ind w:firstLine="240"/>
      </w:pPr>
    </w:p>
    <w:p w14:paraId="0CFCA751">
      <w:pPr>
        <w:snapToGrid w:val="0"/>
        <w:spacing w:beforeLines="50" w:after="50"/>
        <w:jc w:val="left"/>
        <w:rPr>
          <w:rFonts w:ascii="宋体" w:hAnsi="宋体"/>
          <w:b/>
          <w:sz w:val="24"/>
        </w:rPr>
      </w:pPr>
      <w:r>
        <w:rPr>
          <w:rFonts w:hint="eastAsia" w:ascii="宋体" w:hAnsi="宋体"/>
          <w:b/>
          <w:sz w:val="24"/>
        </w:rPr>
        <w:t>技术文件格式：</w:t>
      </w:r>
    </w:p>
    <w:p w14:paraId="6A54D70D">
      <w:pPr>
        <w:snapToGrid w:val="0"/>
        <w:spacing w:beforeLines="50" w:after="50"/>
        <w:jc w:val="center"/>
        <w:rPr>
          <w:rFonts w:ascii="宋体" w:hAnsi="宋体"/>
          <w:b/>
          <w:sz w:val="32"/>
          <w:szCs w:val="32"/>
        </w:rPr>
      </w:pPr>
    </w:p>
    <w:p w14:paraId="3BDB78B7">
      <w:pPr>
        <w:snapToGrid w:val="0"/>
        <w:spacing w:beforeLines="50" w:after="50"/>
        <w:jc w:val="center"/>
        <w:rPr>
          <w:rFonts w:ascii="宋体" w:hAnsi="宋体"/>
          <w:b/>
          <w:sz w:val="32"/>
          <w:szCs w:val="32"/>
        </w:rPr>
      </w:pPr>
    </w:p>
    <w:p w14:paraId="0A926666">
      <w:pPr>
        <w:snapToGrid w:val="0"/>
        <w:spacing w:beforeLines="50" w:after="50"/>
        <w:jc w:val="center"/>
        <w:rPr>
          <w:rFonts w:ascii="宋体" w:hAnsi="宋体"/>
          <w:b/>
          <w:sz w:val="32"/>
          <w:szCs w:val="32"/>
        </w:rPr>
      </w:pPr>
    </w:p>
    <w:p w14:paraId="27950E6C">
      <w:pPr>
        <w:snapToGrid w:val="0"/>
        <w:spacing w:beforeLines="50" w:after="50"/>
        <w:jc w:val="center"/>
        <w:rPr>
          <w:rFonts w:ascii="宋体" w:hAnsi="宋体"/>
          <w:b/>
          <w:sz w:val="32"/>
          <w:szCs w:val="32"/>
        </w:rPr>
      </w:pPr>
    </w:p>
    <w:p w14:paraId="1E51943D">
      <w:pPr>
        <w:snapToGrid w:val="0"/>
        <w:spacing w:beforeLines="50" w:after="50"/>
        <w:jc w:val="center"/>
        <w:rPr>
          <w:rFonts w:ascii="宋体" w:hAnsi="宋体"/>
          <w:b/>
          <w:sz w:val="32"/>
          <w:szCs w:val="32"/>
        </w:rPr>
      </w:pPr>
    </w:p>
    <w:p w14:paraId="40948C22">
      <w:pPr>
        <w:snapToGrid w:val="0"/>
        <w:spacing w:beforeLines="50" w:after="50"/>
        <w:jc w:val="center"/>
        <w:rPr>
          <w:rFonts w:ascii="宋体" w:hAnsi="宋体"/>
          <w:b/>
          <w:sz w:val="28"/>
          <w:szCs w:val="28"/>
        </w:rPr>
      </w:pPr>
      <w:r>
        <w:rPr>
          <w:rFonts w:hint="eastAsia" w:ascii="宋体" w:hAnsi="宋体"/>
          <w:b/>
          <w:sz w:val="28"/>
          <w:szCs w:val="28"/>
        </w:rPr>
        <w:t>供应商根据“响应文件组成及评分标准要求”自拟格式</w:t>
      </w:r>
    </w:p>
    <w:p w14:paraId="5F7EF832">
      <w:pPr>
        <w:snapToGrid w:val="0"/>
        <w:spacing w:beforeLines="50" w:after="50"/>
        <w:jc w:val="center"/>
        <w:rPr>
          <w:rFonts w:ascii="宋体" w:hAnsi="宋体"/>
          <w:b/>
          <w:sz w:val="32"/>
          <w:szCs w:val="32"/>
        </w:rPr>
      </w:pPr>
    </w:p>
    <w:p w14:paraId="0EE0FE33">
      <w:pPr>
        <w:snapToGrid w:val="0"/>
        <w:spacing w:beforeLines="50" w:after="50"/>
        <w:jc w:val="center"/>
        <w:rPr>
          <w:rFonts w:ascii="宋体" w:hAnsi="宋体"/>
          <w:b/>
          <w:sz w:val="32"/>
          <w:szCs w:val="32"/>
        </w:rPr>
      </w:pPr>
    </w:p>
    <w:p w14:paraId="46145878">
      <w:pPr>
        <w:snapToGrid w:val="0"/>
        <w:spacing w:beforeLines="50" w:after="50"/>
        <w:jc w:val="center"/>
        <w:rPr>
          <w:rFonts w:ascii="宋体" w:hAnsi="宋体"/>
          <w:b/>
          <w:sz w:val="32"/>
          <w:szCs w:val="32"/>
        </w:rPr>
      </w:pPr>
    </w:p>
    <w:p w14:paraId="4DB429F4">
      <w:pPr>
        <w:snapToGrid w:val="0"/>
        <w:spacing w:beforeLines="50" w:after="50"/>
        <w:jc w:val="center"/>
        <w:rPr>
          <w:rFonts w:ascii="宋体" w:hAnsi="宋体"/>
          <w:b/>
          <w:sz w:val="32"/>
          <w:szCs w:val="32"/>
        </w:rPr>
      </w:pPr>
    </w:p>
    <w:p w14:paraId="50932CD1">
      <w:pPr>
        <w:snapToGrid w:val="0"/>
        <w:spacing w:beforeLines="50" w:after="50"/>
        <w:jc w:val="center"/>
        <w:rPr>
          <w:rFonts w:ascii="宋体" w:hAnsi="宋体"/>
          <w:b/>
          <w:sz w:val="32"/>
          <w:szCs w:val="32"/>
        </w:rPr>
      </w:pPr>
    </w:p>
    <w:p w14:paraId="059A19C3">
      <w:pPr>
        <w:snapToGrid w:val="0"/>
        <w:spacing w:beforeLines="50" w:after="50"/>
        <w:jc w:val="center"/>
        <w:rPr>
          <w:rFonts w:ascii="宋体" w:hAnsi="宋体"/>
          <w:b/>
          <w:sz w:val="32"/>
          <w:szCs w:val="32"/>
        </w:rPr>
      </w:pPr>
    </w:p>
    <w:p w14:paraId="51ACA460">
      <w:pPr>
        <w:snapToGrid w:val="0"/>
        <w:spacing w:beforeLines="50" w:after="50"/>
        <w:jc w:val="center"/>
        <w:rPr>
          <w:rFonts w:ascii="宋体" w:hAnsi="宋体"/>
          <w:b/>
          <w:sz w:val="32"/>
          <w:szCs w:val="32"/>
        </w:rPr>
      </w:pPr>
    </w:p>
    <w:p w14:paraId="21D96CA0">
      <w:pPr>
        <w:snapToGrid w:val="0"/>
        <w:spacing w:beforeLines="50" w:after="50"/>
        <w:jc w:val="center"/>
        <w:rPr>
          <w:rFonts w:ascii="宋体" w:hAnsi="宋体"/>
          <w:b/>
          <w:sz w:val="32"/>
          <w:szCs w:val="32"/>
        </w:rPr>
      </w:pPr>
    </w:p>
    <w:p w14:paraId="2A661A8A">
      <w:pPr>
        <w:snapToGrid w:val="0"/>
        <w:spacing w:beforeLines="50" w:after="50"/>
        <w:jc w:val="center"/>
        <w:rPr>
          <w:rFonts w:ascii="宋体" w:hAnsi="宋体"/>
          <w:b/>
          <w:sz w:val="32"/>
          <w:szCs w:val="32"/>
        </w:rPr>
      </w:pPr>
    </w:p>
    <w:p w14:paraId="4200D351">
      <w:pPr>
        <w:snapToGrid w:val="0"/>
        <w:spacing w:beforeLines="50" w:after="50"/>
        <w:jc w:val="center"/>
        <w:rPr>
          <w:rFonts w:ascii="宋体" w:hAnsi="宋体"/>
          <w:b/>
          <w:sz w:val="32"/>
          <w:szCs w:val="32"/>
        </w:rPr>
      </w:pPr>
    </w:p>
    <w:p w14:paraId="63E2CBB1">
      <w:pPr>
        <w:snapToGrid w:val="0"/>
        <w:spacing w:beforeLines="50" w:after="50"/>
        <w:jc w:val="center"/>
        <w:rPr>
          <w:rFonts w:ascii="宋体" w:hAnsi="宋体"/>
          <w:b/>
          <w:sz w:val="32"/>
          <w:szCs w:val="32"/>
        </w:rPr>
      </w:pPr>
    </w:p>
    <w:p w14:paraId="541B4CF9">
      <w:pPr>
        <w:snapToGrid w:val="0"/>
        <w:spacing w:beforeLines="50" w:after="50"/>
        <w:jc w:val="center"/>
        <w:rPr>
          <w:rFonts w:ascii="宋体" w:hAnsi="宋体"/>
          <w:b/>
          <w:sz w:val="32"/>
          <w:szCs w:val="32"/>
        </w:rPr>
      </w:pPr>
    </w:p>
    <w:p w14:paraId="031EED72">
      <w:pPr>
        <w:pStyle w:val="2"/>
        <w:ind w:firstLine="240"/>
      </w:pPr>
    </w:p>
    <w:p w14:paraId="3132A869">
      <w:pPr>
        <w:snapToGrid w:val="0"/>
        <w:spacing w:beforeLines="50" w:after="50"/>
        <w:jc w:val="center"/>
        <w:rPr>
          <w:rFonts w:ascii="宋体" w:hAnsi="宋体"/>
          <w:b/>
          <w:sz w:val="32"/>
          <w:szCs w:val="32"/>
        </w:rPr>
      </w:pPr>
    </w:p>
    <w:p w14:paraId="2C6254FF">
      <w:pPr>
        <w:snapToGrid w:val="0"/>
        <w:spacing w:beforeLines="50" w:after="50"/>
        <w:jc w:val="center"/>
        <w:rPr>
          <w:rFonts w:ascii="宋体" w:hAnsi="宋体"/>
          <w:b/>
          <w:sz w:val="32"/>
          <w:szCs w:val="32"/>
        </w:rPr>
      </w:pPr>
    </w:p>
    <w:p w14:paraId="6C3AA690">
      <w:pPr>
        <w:snapToGrid w:val="0"/>
        <w:spacing w:beforeLines="50" w:after="50"/>
        <w:jc w:val="center"/>
        <w:rPr>
          <w:rFonts w:ascii="宋体" w:hAnsi="宋体"/>
          <w:b/>
          <w:sz w:val="32"/>
          <w:szCs w:val="32"/>
        </w:rPr>
      </w:pPr>
    </w:p>
    <w:p w14:paraId="5F99A671">
      <w:pPr>
        <w:pStyle w:val="2"/>
        <w:ind w:firstLine="240"/>
      </w:pPr>
    </w:p>
    <w:p w14:paraId="2032AFF7">
      <w:pPr>
        <w:pStyle w:val="2"/>
        <w:ind w:firstLine="240"/>
      </w:pPr>
    </w:p>
    <w:p w14:paraId="5933D377">
      <w:pPr>
        <w:snapToGrid w:val="0"/>
        <w:spacing w:beforeLines="50" w:after="50"/>
        <w:jc w:val="left"/>
        <w:rPr>
          <w:rFonts w:ascii="宋体" w:hAnsi="宋体"/>
          <w:b/>
          <w:sz w:val="24"/>
        </w:rPr>
      </w:pPr>
      <w:r>
        <w:rPr>
          <w:rFonts w:hint="eastAsia" w:ascii="宋体" w:hAnsi="宋体"/>
          <w:b/>
          <w:sz w:val="24"/>
        </w:rPr>
        <w:t>商务、资信及其他文件格式：</w:t>
      </w:r>
    </w:p>
    <w:p w14:paraId="41610587">
      <w:pPr>
        <w:spacing w:line="400" w:lineRule="exact"/>
        <w:jc w:val="center"/>
        <w:rPr>
          <w:rFonts w:ascii="宋体" w:hAnsi="宋体"/>
          <w:b/>
          <w:sz w:val="30"/>
          <w:szCs w:val="30"/>
        </w:rPr>
      </w:pPr>
    </w:p>
    <w:p w14:paraId="19C9B1A9">
      <w:pPr>
        <w:spacing w:line="400" w:lineRule="exact"/>
        <w:jc w:val="center"/>
        <w:rPr>
          <w:rFonts w:ascii="宋体" w:hAnsi="宋体"/>
          <w:b/>
          <w:sz w:val="30"/>
          <w:szCs w:val="30"/>
        </w:rPr>
      </w:pPr>
      <w:r>
        <w:rPr>
          <w:rFonts w:hint="eastAsia" w:ascii="宋体" w:hAnsi="宋体"/>
          <w:b/>
          <w:sz w:val="30"/>
          <w:szCs w:val="30"/>
        </w:rPr>
        <w:t>磋商声明书</w:t>
      </w:r>
    </w:p>
    <w:p w14:paraId="4EA7B6F4">
      <w:pPr>
        <w:spacing w:line="400" w:lineRule="exact"/>
        <w:jc w:val="center"/>
        <w:rPr>
          <w:rFonts w:ascii="宋体" w:hAnsi="宋体"/>
          <w:b/>
          <w:sz w:val="24"/>
          <w:szCs w:val="20"/>
        </w:rPr>
      </w:pPr>
    </w:p>
    <w:p w14:paraId="29AAD2DF">
      <w:pPr>
        <w:snapToGrid w:val="0"/>
        <w:spacing w:line="360" w:lineRule="auto"/>
        <w:rPr>
          <w:rFonts w:ascii="宋体" w:hAnsi="宋体"/>
          <w:sz w:val="24"/>
        </w:rPr>
      </w:pPr>
    </w:p>
    <w:p w14:paraId="69029647">
      <w:pPr>
        <w:snapToGrid w:val="0"/>
        <w:spacing w:line="360" w:lineRule="auto"/>
        <w:rPr>
          <w:rFonts w:ascii="宋体" w:hAnsi="宋体"/>
          <w:sz w:val="24"/>
        </w:rPr>
      </w:pPr>
      <w:r>
        <w:rPr>
          <w:rFonts w:hint="eastAsia" w:ascii="宋体" w:hAnsi="宋体"/>
          <w:sz w:val="24"/>
        </w:rPr>
        <w:t>致：</w:t>
      </w:r>
      <w:r>
        <w:rPr>
          <w:rFonts w:hint="eastAsia" w:ascii="宋体" w:hAnsi="宋体"/>
          <w:sz w:val="24"/>
          <w:u w:val="single"/>
        </w:rPr>
        <w:t xml:space="preserve">                         </w:t>
      </w:r>
      <w:r>
        <w:rPr>
          <w:rFonts w:hint="eastAsia" w:ascii="宋体" w:hAnsi="宋体"/>
          <w:sz w:val="24"/>
        </w:rPr>
        <w:t>（磋商采购单位名称）：</w:t>
      </w:r>
    </w:p>
    <w:p w14:paraId="6C7DB995">
      <w:pPr>
        <w:snapToGrid w:val="0"/>
        <w:spacing w:line="360" w:lineRule="auto"/>
        <w:ind w:firstLine="480" w:firstLineChars="200"/>
        <w:rPr>
          <w:rFonts w:ascii="宋体" w:hAnsi="宋体"/>
          <w:sz w:val="24"/>
        </w:rPr>
      </w:pPr>
      <w:r>
        <w:rPr>
          <w:rFonts w:hint="eastAsia" w:ascii="宋体" w:hAnsi="宋体"/>
          <w:sz w:val="24"/>
        </w:rPr>
        <w:t>我方</w:t>
      </w:r>
      <w:r>
        <w:rPr>
          <w:rFonts w:hint="eastAsia" w:ascii="宋体" w:hAnsi="宋体"/>
          <w:sz w:val="24"/>
          <w:u w:val="single"/>
        </w:rPr>
        <w:t xml:space="preserve">                     </w:t>
      </w:r>
      <w:r>
        <w:rPr>
          <w:rFonts w:hint="eastAsia" w:ascii="宋体" w:hAnsi="宋体"/>
          <w:sz w:val="24"/>
        </w:rPr>
        <w:t>（供应商名称）系中华人民共和国合法企业，经营地址</w:t>
      </w:r>
      <w:r>
        <w:rPr>
          <w:rFonts w:ascii="宋体" w:hAnsi="宋体"/>
          <w:sz w:val="24"/>
          <w:u w:val="single"/>
        </w:rPr>
        <w:t xml:space="preserve">                               </w:t>
      </w:r>
      <w:r>
        <w:rPr>
          <w:rFonts w:hint="eastAsia" w:ascii="宋体" w:hAnsi="宋体"/>
          <w:sz w:val="24"/>
        </w:rPr>
        <w:t>。</w:t>
      </w:r>
    </w:p>
    <w:p w14:paraId="7566F7CC">
      <w:pPr>
        <w:snapToGrid w:val="0"/>
        <w:spacing w:line="360" w:lineRule="auto"/>
        <w:ind w:firstLine="480" w:firstLineChars="200"/>
        <w:rPr>
          <w:rFonts w:ascii="宋体" w:hAnsi="宋体"/>
          <w:sz w:val="24"/>
        </w:rPr>
      </w:pPr>
      <w:r>
        <w:rPr>
          <w:rFonts w:hint="eastAsia" w:ascii="宋体" w:hAnsi="宋体"/>
          <w:sz w:val="24"/>
        </w:rPr>
        <w:t>我</w:t>
      </w:r>
      <w:r>
        <w:rPr>
          <w:rFonts w:hint="eastAsia" w:ascii="宋体" w:hAnsi="宋体"/>
          <w:sz w:val="24"/>
          <w:u w:val="single"/>
        </w:rPr>
        <w:t xml:space="preserve">            </w:t>
      </w:r>
      <w:r>
        <w:rPr>
          <w:rFonts w:hint="eastAsia" w:ascii="宋体" w:hAnsi="宋体"/>
          <w:sz w:val="24"/>
        </w:rPr>
        <w:t>（姓名）系</w:t>
      </w:r>
      <w:r>
        <w:rPr>
          <w:rFonts w:hint="eastAsia" w:ascii="宋体" w:hAnsi="宋体"/>
          <w:sz w:val="24"/>
          <w:u w:val="single"/>
        </w:rPr>
        <w:t xml:space="preserve">                 </w:t>
      </w:r>
      <w:r>
        <w:rPr>
          <w:rFonts w:hint="eastAsia" w:ascii="宋体" w:hAnsi="宋体"/>
          <w:sz w:val="24"/>
        </w:rPr>
        <w:t>（供应商名称）的法定代表人，我方愿意参加贵方组织的</w:t>
      </w:r>
      <w:r>
        <w:rPr>
          <w:rFonts w:hint="eastAsia" w:ascii="宋体" w:hAnsi="宋体"/>
          <w:sz w:val="24"/>
          <w:u w:val="single"/>
        </w:rPr>
        <w:t xml:space="preserve">                    </w:t>
      </w:r>
      <w:r>
        <w:rPr>
          <w:rFonts w:hint="eastAsia" w:ascii="宋体" w:hAnsi="宋体"/>
          <w:sz w:val="24"/>
        </w:rPr>
        <w:t>项目的竞争性磋商，为便于贵方公正、择优地确定成交人及其磋商产品和服务，我方就本次竞争性磋商有关事项郑重声明如下：</w:t>
      </w:r>
    </w:p>
    <w:p w14:paraId="3C7C84A4">
      <w:pPr>
        <w:snapToGrid w:val="0"/>
        <w:spacing w:line="360" w:lineRule="auto"/>
        <w:ind w:firstLine="480" w:firstLineChars="200"/>
        <w:rPr>
          <w:rFonts w:ascii="宋体" w:hAnsi="宋体"/>
          <w:sz w:val="24"/>
        </w:rPr>
      </w:pPr>
      <w:r>
        <w:rPr>
          <w:rFonts w:ascii="宋体" w:hAnsi="宋体"/>
          <w:sz w:val="24"/>
        </w:rPr>
        <w:t>1</w:t>
      </w:r>
      <w:r>
        <w:rPr>
          <w:rFonts w:hint="eastAsia" w:ascii="宋体" w:hAnsi="宋体"/>
          <w:sz w:val="24"/>
        </w:rPr>
        <w:t>.</w:t>
      </w:r>
      <w:r>
        <w:rPr>
          <w:rFonts w:ascii="宋体" w:hAnsi="宋体"/>
          <w:sz w:val="24"/>
        </w:rPr>
        <w:t>我方向贵方提交的所有</w:t>
      </w:r>
      <w:r>
        <w:rPr>
          <w:rFonts w:hint="eastAsia" w:ascii="宋体" w:hAnsi="宋体"/>
          <w:sz w:val="24"/>
        </w:rPr>
        <w:t>磋商响应</w:t>
      </w:r>
      <w:r>
        <w:rPr>
          <w:rFonts w:ascii="宋体" w:hAnsi="宋体"/>
          <w:sz w:val="24"/>
        </w:rPr>
        <w:t>文件、资料都是准确的和真实的</w:t>
      </w:r>
      <w:r>
        <w:rPr>
          <w:rFonts w:hint="eastAsia" w:ascii="宋体" w:hAnsi="宋体"/>
          <w:sz w:val="24"/>
        </w:rPr>
        <w:t>。</w:t>
      </w:r>
    </w:p>
    <w:p w14:paraId="4F28E481">
      <w:pPr>
        <w:snapToGrid w:val="0"/>
        <w:spacing w:line="360" w:lineRule="auto"/>
        <w:ind w:firstLine="480" w:firstLineChars="200"/>
        <w:rPr>
          <w:rFonts w:ascii="宋体" w:hAnsi="宋体"/>
          <w:sz w:val="24"/>
        </w:rPr>
      </w:pPr>
      <w:r>
        <w:rPr>
          <w:rFonts w:ascii="宋体" w:hAnsi="宋体"/>
          <w:sz w:val="24"/>
        </w:rPr>
        <w:t>2</w:t>
      </w:r>
      <w:r>
        <w:rPr>
          <w:rFonts w:hint="eastAsia" w:ascii="宋体" w:hAnsi="宋体"/>
          <w:sz w:val="24"/>
        </w:rPr>
        <w:t>.</w:t>
      </w:r>
      <w:r>
        <w:rPr>
          <w:rFonts w:ascii="宋体" w:hAnsi="宋体"/>
          <w:sz w:val="24"/>
        </w:rPr>
        <w:t>我方不是采购人的附属机构；在获知本项目采购信息后，与采购人聘请的为此项目提供咨询服务的公司及其附属机构没有任何联系。</w:t>
      </w:r>
    </w:p>
    <w:p w14:paraId="5BB363A9">
      <w:pPr>
        <w:snapToGrid w:val="0"/>
        <w:spacing w:line="360" w:lineRule="auto"/>
        <w:ind w:firstLine="480" w:firstLineChars="200"/>
        <w:rPr>
          <w:rFonts w:ascii="宋体" w:hAnsi="宋体"/>
          <w:sz w:val="24"/>
        </w:rPr>
      </w:pPr>
      <w:r>
        <w:rPr>
          <w:rFonts w:hint="eastAsia" w:ascii="宋体" w:hAnsi="宋体"/>
          <w:sz w:val="24"/>
        </w:rPr>
        <w:t>3.以上事项如有虚假或隐瞒，我方愿意承担一切后果，并不再寻求任何旨在减轻或免除法律责任的辩解。</w:t>
      </w:r>
    </w:p>
    <w:p w14:paraId="2F12899E">
      <w:pPr>
        <w:pStyle w:val="18"/>
        <w:tabs>
          <w:tab w:val="left" w:pos="939"/>
        </w:tabs>
        <w:snapToGrid w:val="0"/>
        <w:spacing w:line="400" w:lineRule="exact"/>
        <w:ind w:left="773" w:leftChars="150" w:hanging="458" w:hangingChars="191"/>
        <w:rPr>
          <w:rFonts w:ascii="宋体" w:hAnsi="宋体"/>
          <w:sz w:val="24"/>
        </w:rPr>
      </w:pPr>
    </w:p>
    <w:p w14:paraId="7FF86FE2">
      <w:pPr>
        <w:pStyle w:val="82"/>
        <w:snapToGrid w:val="0"/>
        <w:spacing w:beforeLines="50" w:line="400" w:lineRule="exact"/>
        <w:ind w:firstLine="200"/>
        <w:rPr>
          <w:rFonts w:ascii="宋体" w:hAnsi="宋体"/>
        </w:rPr>
      </w:pPr>
    </w:p>
    <w:p w14:paraId="30FE8DD5">
      <w:pPr>
        <w:snapToGrid w:val="0"/>
        <w:spacing w:line="360" w:lineRule="auto"/>
        <w:ind w:firstLine="480" w:firstLineChars="200"/>
        <w:rPr>
          <w:rFonts w:ascii="宋体" w:hAnsi="宋体"/>
          <w:sz w:val="24"/>
          <w:u w:val="single"/>
        </w:rPr>
      </w:pPr>
      <w:r>
        <w:rPr>
          <w:rFonts w:hint="eastAsia" w:ascii="宋体" w:hAnsi="宋体"/>
          <w:sz w:val="24"/>
        </w:rPr>
        <w:t>法定代表人（签字或盖章）：</w:t>
      </w:r>
      <w:r>
        <w:rPr>
          <w:rFonts w:ascii="宋体" w:hAnsi="宋体"/>
          <w:sz w:val="24"/>
          <w:u w:val="single"/>
        </w:rPr>
        <w:t xml:space="preserve">             </w:t>
      </w:r>
    </w:p>
    <w:p w14:paraId="37371A37">
      <w:pPr>
        <w:snapToGrid w:val="0"/>
        <w:spacing w:line="360" w:lineRule="auto"/>
        <w:ind w:firstLine="480" w:firstLineChars="200"/>
        <w:rPr>
          <w:rFonts w:ascii="宋体" w:hAnsi="宋体"/>
          <w:sz w:val="24"/>
        </w:rPr>
      </w:pPr>
      <w:r>
        <w:rPr>
          <w:rFonts w:hint="eastAsia" w:ascii="宋体" w:hAnsi="宋体"/>
          <w:sz w:val="24"/>
        </w:rPr>
        <w:t>供应商公章：</w:t>
      </w:r>
      <w:r>
        <w:rPr>
          <w:rFonts w:ascii="宋体" w:hAnsi="宋体"/>
          <w:sz w:val="24"/>
          <w:u w:val="single"/>
        </w:rPr>
        <w:t xml:space="preserve">                   </w:t>
      </w:r>
      <w:r>
        <w:rPr>
          <w:rFonts w:hint="eastAsia" w:ascii="宋体" w:hAnsi="宋体"/>
          <w:sz w:val="24"/>
          <w:u w:val="single"/>
        </w:rPr>
        <w:t xml:space="preserve">    </w:t>
      </w:r>
      <w:r>
        <w:rPr>
          <w:rFonts w:ascii="宋体" w:hAnsi="宋体"/>
          <w:sz w:val="24"/>
          <w:u w:val="single"/>
        </w:rPr>
        <w:t xml:space="preserve">    </w:t>
      </w:r>
    </w:p>
    <w:p w14:paraId="4B4097B5">
      <w:pPr>
        <w:snapToGrid w:val="0"/>
        <w:spacing w:beforeLines="50" w:after="50"/>
        <w:ind w:firstLine="240" w:firstLineChars="100"/>
        <w:rPr>
          <w:rFonts w:ascii="宋体" w:hAnsi="宋体"/>
          <w:sz w:val="24"/>
        </w:rPr>
      </w:pPr>
    </w:p>
    <w:p w14:paraId="63E6F1C5">
      <w:pPr>
        <w:snapToGrid w:val="0"/>
        <w:spacing w:beforeLines="50" w:after="50"/>
        <w:ind w:firstLine="240" w:firstLineChars="100"/>
        <w:rPr>
          <w:rFonts w:ascii="宋体" w:hAnsi="宋体"/>
          <w:sz w:val="24"/>
        </w:rPr>
      </w:pPr>
    </w:p>
    <w:p w14:paraId="5599DFC9">
      <w:pPr>
        <w:spacing w:line="400" w:lineRule="exact"/>
        <w:rPr>
          <w:rFonts w:ascii="宋体" w:hAnsi="宋体"/>
          <w:b/>
          <w:bCs/>
          <w:spacing w:val="14"/>
          <w:sz w:val="30"/>
        </w:rPr>
      </w:pPr>
      <w:r>
        <w:rPr>
          <w:rFonts w:ascii="宋体" w:hAnsi="宋体"/>
          <w:sz w:val="24"/>
        </w:rPr>
        <w:t xml:space="preserve">  年    月    日</w:t>
      </w:r>
    </w:p>
    <w:p w14:paraId="0236DEAB">
      <w:pPr>
        <w:snapToGrid w:val="0"/>
        <w:spacing w:beforeLines="50" w:after="50"/>
        <w:jc w:val="left"/>
        <w:rPr>
          <w:rFonts w:ascii="宋体" w:hAnsi="宋体"/>
          <w:b/>
          <w:sz w:val="32"/>
          <w:szCs w:val="32"/>
        </w:rPr>
      </w:pPr>
    </w:p>
    <w:p w14:paraId="7666B416">
      <w:pPr>
        <w:pStyle w:val="2"/>
        <w:ind w:firstLine="240"/>
      </w:pPr>
    </w:p>
    <w:p w14:paraId="0C599E8B">
      <w:pPr>
        <w:snapToGrid w:val="0"/>
        <w:spacing w:beforeLines="50" w:after="50"/>
        <w:jc w:val="center"/>
        <w:rPr>
          <w:rFonts w:ascii="宋体" w:hAnsi="宋体"/>
          <w:b/>
          <w:sz w:val="32"/>
          <w:szCs w:val="32"/>
        </w:rPr>
      </w:pPr>
    </w:p>
    <w:p w14:paraId="19403790">
      <w:pPr>
        <w:pStyle w:val="2"/>
        <w:ind w:firstLine="240"/>
      </w:pPr>
    </w:p>
    <w:p w14:paraId="47AA76BE">
      <w:pPr>
        <w:pStyle w:val="2"/>
        <w:ind w:firstLine="240"/>
      </w:pPr>
    </w:p>
    <w:p w14:paraId="78491DF3">
      <w:pPr>
        <w:pStyle w:val="13"/>
        <w:spacing w:line="700" w:lineRule="exact"/>
        <w:ind w:firstLine="0"/>
        <w:jc w:val="center"/>
        <w:rPr>
          <w:rFonts w:ascii="宋体" w:hAnsi="宋体"/>
          <w:b/>
          <w:sz w:val="28"/>
          <w:szCs w:val="28"/>
        </w:rPr>
      </w:pPr>
      <w:r>
        <w:rPr>
          <w:rFonts w:hint="eastAsia" w:ascii="宋体" w:hAnsi="宋体"/>
          <w:b/>
          <w:sz w:val="28"/>
          <w:szCs w:val="28"/>
        </w:rPr>
        <w:t>磋商供应商情况一览表</w:t>
      </w:r>
    </w:p>
    <w:tbl>
      <w:tblPr>
        <w:tblStyle w:val="35"/>
        <w:tblW w:w="938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88"/>
        <w:gridCol w:w="1018"/>
        <w:gridCol w:w="1161"/>
        <w:gridCol w:w="938"/>
        <w:gridCol w:w="223"/>
        <w:gridCol w:w="1161"/>
        <w:gridCol w:w="251"/>
        <w:gridCol w:w="910"/>
        <w:gridCol w:w="710"/>
        <w:gridCol w:w="165"/>
        <w:gridCol w:w="960"/>
      </w:tblGrid>
      <w:tr w14:paraId="7629B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9385" w:type="dxa"/>
            <w:gridSpan w:val="11"/>
            <w:vAlign w:val="center"/>
          </w:tcPr>
          <w:p w14:paraId="322B6AAD">
            <w:pPr>
              <w:spacing w:line="480" w:lineRule="exact"/>
              <w:jc w:val="center"/>
              <w:rPr>
                <w:rFonts w:ascii="宋体" w:hAnsi="宋体"/>
                <w:sz w:val="24"/>
              </w:rPr>
            </w:pPr>
            <w:r>
              <w:rPr>
                <w:rFonts w:ascii="宋体" w:hAnsi="宋体"/>
                <w:sz w:val="24"/>
              </w:rPr>
              <w:t>企业情况</w:t>
            </w:r>
          </w:p>
        </w:tc>
      </w:tr>
      <w:tr w14:paraId="798AF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888" w:type="dxa"/>
            <w:vAlign w:val="center"/>
          </w:tcPr>
          <w:p w14:paraId="481C9C58">
            <w:pPr>
              <w:spacing w:line="480" w:lineRule="exact"/>
              <w:jc w:val="center"/>
              <w:rPr>
                <w:rFonts w:ascii="宋体" w:hAnsi="宋体"/>
                <w:sz w:val="24"/>
              </w:rPr>
            </w:pPr>
            <w:r>
              <w:rPr>
                <w:rFonts w:ascii="宋体" w:hAnsi="宋体"/>
                <w:sz w:val="24"/>
              </w:rPr>
              <w:t>单位名称</w:t>
            </w:r>
          </w:p>
        </w:tc>
        <w:tc>
          <w:tcPr>
            <w:tcW w:w="7497" w:type="dxa"/>
            <w:gridSpan w:val="10"/>
            <w:vAlign w:val="center"/>
          </w:tcPr>
          <w:p w14:paraId="3371E051">
            <w:pPr>
              <w:spacing w:line="480" w:lineRule="exact"/>
              <w:jc w:val="center"/>
              <w:rPr>
                <w:rFonts w:ascii="宋体" w:hAnsi="宋体"/>
                <w:sz w:val="24"/>
              </w:rPr>
            </w:pPr>
          </w:p>
        </w:tc>
      </w:tr>
      <w:tr w14:paraId="3E570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888" w:type="dxa"/>
            <w:vAlign w:val="center"/>
          </w:tcPr>
          <w:p w14:paraId="3F933AB7">
            <w:pPr>
              <w:spacing w:line="480" w:lineRule="exact"/>
              <w:jc w:val="center"/>
              <w:rPr>
                <w:rFonts w:ascii="宋体" w:hAnsi="宋体"/>
                <w:sz w:val="24"/>
              </w:rPr>
            </w:pPr>
            <w:r>
              <w:rPr>
                <w:rFonts w:ascii="宋体" w:hAnsi="宋体"/>
                <w:sz w:val="24"/>
              </w:rPr>
              <w:t>地  址</w:t>
            </w:r>
          </w:p>
        </w:tc>
        <w:tc>
          <w:tcPr>
            <w:tcW w:w="4752" w:type="dxa"/>
            <w:gridSpan w:val="6"/>
            <w:vAlign w:val="center"/>
          </w:tcPr>
          <w:p w14:paraId="6AB841BF">
            <w:pPr>
              <w:spacing w:line="480" w:lineRule="exact"/>
              <w:jc w:val="center"/>
              <w:rPr>
                <w:rFonts w:ascii="宋体" w:hAnsi="宋体"/>
                <w:sz w:val="24"/>
              </w:rPr>
            </w:pPr>
          </w:p>
        </w:tc>
        <w:tc>
          <w:tcPr>
            <w:tcW w:w="1620" w:type="dxa"/>
            <w:gridSpan w:val="2"/>
            <w:vAlign w:val="center"/>
          </w:tcPr>
          <w:p w14:paraId="51A77BDA">
            <w:pPr>
              <w:spacing w:line="480" w:lineRule="exact"/>
              <w:jc w:val="center"/>
              <w:rPr>
                <w:rFonts w:ascii="宋体" w:hAnsi="宋体"/>
                <w:sz w:val="24"/>
              </w:rPr>
            </w:pPr>
            <w:r>
              <w:rPr>
                <w:rFonts w:ascii="宋体" w:hAnsi="宋体"/>
                <w:sz w:val="24"/>
              </w:rPr>
              <w:t>法定代表人</w:t>
            </w:r>
          </w:p>
        </w:tc>
        <w:tc>
          <w:tcPr>
            <w:tcW w:w="1125" w:type="dxa"/>
            <w:gridSpan w:val="2"/>
            <w:vAlign w:val="center"/>
          </w:tcPr>
          <w:p w14:paraId="072A3189">
            <w:pPr>
              <w:spacing w:line="480" w:lineRule="exact"/>
              <w:jc w:val="center"/>
              <w:rPr>
                <w:rFonts w:ascii="宋体" w:hAnsi="宋体"/>
                <w:sz w:val="24"/>
              </w:rPr>
            </w:pPr>
          </w:p>
        </w:tc>
      </w:tr>
      <w:tr w14:paraId="6CDE4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888" w:type="dxa"/>
            <w:vAlign w:val="center"/>
          </w:tcPr>
          <w:p w14:paraId="2ED55456">
            <w:pPr>
              <w:spacing w:line="480" w:lineRule="exact"/>
              <w:jc w:val="center"/>
              <w:rPr>
                <w:rFonts w:ascii="宋体" w:hAnsi="宋体"/>
                <w:sz w:val="24"/>
              </w:rPr>
            </w:pPr>
            <w:r>
              <w:rPr>
                <w:rFonts w:ascii="宋体" w:hAnsi="宋体"/>
                <w:sz w:val="24"/>
              </w:rPr>
              <w:t>成立时间</w:t>
            </w:r>
          </w:p>
        </w:tc>
        <w:tc>
          <w:tcPr>
            <w:tcW w:w="4752" w:type="dxa"/>
            <w:gridSpan w:val="6"/>
            <w:vAlign w:val="center"/>
          </w:tcPr>
          <w:p w14:paraId="0AD4CC71">
            <w:pPr>
              <w:spacing w:line="480" w:lineRule="exact"/>
              <w:jc w:val="center"/>
              <w:rPr>
                <w:rFonts w:ascii="宋体" w:hAnsi="宋体"/>
                <w:sz w:val="24"/>
              </w:rPr>
            </w:pPr>
          </w:p>
        </w:tc>
        <w:tc>
          <w:tcPr>
            <w:tcW w:w="1620" w:type="dxa"/>
            <w:gridSpan w:val="2"/>
            <w:vAlign w:val="center"/>
          </w:tcPr>
          <w:p w14:paraId="769E1D2A">
            <w:pPr>
              <w:spacing w:line="480" w:lineRule="exact"/>
              <w:jc w:val="center"/>
              <w:rPr>
                <w:rFonts w:ascii="宋体" w:hAnsi="宋体"/>
                <w:sz w:val="24"/>
              </w:rPr>
            </w:pPr>
            <w:r>
              <w:rPr>
                <w:rFonts w:ascii="宋体" w:hAnsi="宋体"/>
                <w:sz w:val="24"/>
              </w:rPr>
              <w:t>注册资本</w:t>
            </w:r>
          </w:p>
        </w:tc>
        <w:tc>
          <w:tcPr>
            <w:tcW w:w="1125" w:type="dxa"/>
            <w:gridSpan w:val="2"/>
            <w:vAlign w:val="center"/>
          </w:tcPr>
          <w:p w14:paraId="64552931">
            <w:pPr>
              <w:spacing w:line="480" w:lineRule="exact"/>
              <w:jc w:val="center"/>
              <w:rPr>
                <w:rFonts w:ascii="宋体" w:hAnsi="宋体"/>
                <w:sz w:val="24"/>
              </w:rPr>
            </w:pPr>
          </w:p>
        </w:tc>
      </w:tr>
      <w:tr w14:paraId="34ED1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888" w:type="dxa"/>
            <w:vAlign w:val="center"/>
          </w:tcPr>
          <w:p w14:paraId="4479F96A">
            <w:pPr>
              <w:spacing w:line="480" w:lineRule="exact"/>
              <w:jc w:val="center"/>
              <w:rPr>
                <w:rFonts w:ascii="宋体" w:hAnsi="宋体"/>
                <w:sz w:val="24"/>
              </w:rPr>
            </w:pPr>
            <w:r>
              <w:rPr>
                <w:rFonts w:ascii="宋体" w:hAnsi="宋体"/>
                <w:sz w:val="24"/>
              </w:rPr>
              <w:t>开户银行</w:t>
            </w:r>
          </w:p>
        </w:tc>
        <w:tc>
          <w:tcPr>
            <w:tcW w:w="3117" w:type="dxa"/>
            <w:gridSpan w:val="3"/>
            <w:vAlign w:val="center"/>
          </w:tcPr>
          <w:p w14:paraId="56ADA388">
            <w:pPr>
              <w:spacing w:line="480" w:lineRule="exact"/>
              <w:jc w:val="center"/>
              <w:rPr>
                <w:rFonts w:ascii="宋体" w:hAnsi="宋体"/>
                <w:sz w:val="24"/>
              </w:rPr>
            </w:pPr>
          </w:p>
        </w:tc>
        <w:tc>
          <w:tcPr>
            <w:tcW w:w="1635" w:type="dxa"/>
            <w:gridSpan w:val="3"/>
            <w:vAlign w:val="center"/>
          </w:tcPr>
          <w:p w14:paraId="18BF40E7">
            <w:pPr>
              <w:spacing w:line="480" w:lineRule="exact"/>
              <w:jc w:val="center"/>
              <w:rPr>
                <w:rFonts w:ascii="宋体" w:hAnsi="宋体"/>
                <w:sz w:val="24"/>
              </w:rPr>
            </w:pPr>
            <w:r>
              <w:rPr>
                <w:rFonts w:ascii="宋体" w:hAnsi="宋体"/>
                <w:sz w:val="24"/>
              </w:rPr>
              <w:t>账  号</w:t>
            </w:r>
          </w:p>
        </w:tc>
        <w:tc>
          <w:tcPr>
            <w:tcW w:w="2745" w:type="dxa"/>
            <w:gridSpan w:val="4"/>
            <w:vAlign w:val="center"/>
          </w:tcPr>
          <w:p w14:paraId="668F010A">
            <w:pPr>
              <w:spacing w:line="480" w:lineRule="exact"/>
              <w:jc w:val="center"/>
              <w:rPr>
                <w:rFonts w:ascii="宋体" w:hAnsi="宋体"/>
                <w:sz w:val="24"/>
              </w:rPr>
            </w:pPr>
          </w:p>
        </w:tc>
      </w:tr>
      <w:tr w14:paraId="48CF7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888" w:type="dxa"/>
            <w:vAlign w:val="center"/>
          </w:tcPr>
          <w:p w14:paraId="4A3218FE">
            <w:pPr>
              <w:spacing w:line="480" w:lineRule="exact"/>
              <w:jc w:val="center"/>
              <w:rPr>
                <w:rFonts w:ascii="宋体" w:hAnsi="宋体"/>
                <w:sz w:val="24"/>
              </w:rPr>
            </w:pPr>
            <w:r>
              <w:rPr>
                <w:rFonts w:ascii="宋体" w:hAnsi="宋体"/>
                <w:sz w:val="24"/>
              </w:rPr>
              <w:t>联系电话</w:t>
            </w:r>
          </w:p>
        </w:tc>
        <w:tc>
          <w:tcPr>
            <w:tcW w:w="7497" w:type="dxa"/>
            <w:gridSpan w:val="10"/>
            <w:vAlign w:val="center"/>
          </w:tcPr>
          <w:p w14:paraId="5FA1F0D6">
            <w:pPr>
              <w:spacing w:line="480" w:lineRule="exact"/>
              <w:jc w:val="center"/>
              <w:rPr>
                <w:rFonts w:ascii="宋体" w:hAnsi="宋体"/>
                <w:sz w:val="24"/>
              </w:rPr>
            </w:pPr>
          </w:p>
        </w:tc>
      </w:tr>
      <w:tr w14:paraId="7CE0D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888" w:type="dxa"/>
            <w:vAlign w:val="center"/>
          </w:tcPr>
          <w:p w14:paraId="27747FED">
            <w:pPr>
              <w:spacing w:line="480" w:lineRule="exact"/>
              <w:jc w:val="center"/>
              <w:rPr>
                <w:rFonts w:ascii="宋体" w:hAnsi="宋体"/>
                <w:sz w:val="24"/>
              </w:rPr>
            </w:pPr>
            <w:r>
              <w:rPr>
                <w:rFonts w:ascii="宋体" w:hAnsi="宋体"/>
                <w:sz w:val="24"/>
              </w:rPr>
              <w:t>企业总人数</w:t>
            </w:r>
          </w:p>
        </w:tc>
        <w:tc>
          <w:tcPr>
            <w:tcW w:w="1018" w:type="dxa"/>
            <w:vAlign w:val="center"/>
          </w:tcPr>
          <w:p w14:paraId="6CB9B558">
            <w:pPr>
              <w:spacing w:line="480" w:lineRule="exact"/>
              <w:jc w:val="center"/>
              <w:rPr>
                <w:rFonts w:ascii="宋体" w:hAnsi="宋体"/>
                <w:sz w:val="24"/>
              </w:rPr>
            </w:pPr>
          </w:p>
        </w:tc>
        <w:tc>
          <w:tcPr>
            <w:tcW w:w="1161" w:type="dxa"/>
            <w:vAlign w:val="center"/>
          </w:tcPr>
          <w:p w14:paraId="319DCE64">
            <w:pPr>
              <w:spacing w:line="480" w:lineRule="exact"/>
              <w:jc w:val="center"/>
              <w:rPr>
                <w:rFonts w:ascii="宋体" w:hAnsi="宋体"/>
                <w:sz w:val="24"/>
              </w:rPr>
            </w:pPr>
            <w:r>
              <w:rPr>
                <w:rFonts w:ascii="宋体" w:hAnsi="宋体"/>
                <w:sz w:val="24"/>
              </w:rPr>
              <w:t>管理</w:t>
            </w:r>
          </w:p>
          <w:p w14:paraId="3DED5AD7">
            <w:pPr>
              <w:spacing w:line="480" w:lineRule="exact"/>
              <w:jc w:val="center"/>
              <w:rPr>
                <w:rFonts w:ascii="宋体" w:hAnsi="宋体"/>
                <w:sz w:val="24"/>
              </w:rPr>
            </w:pPr>
            <w:r>
              <w:rPr>
                <w:rFonts w:ascii="宋体" w:hAnsi="宋体"/>
                <w:sz w:val="24"/>
              </w:rPr>
              <w:t>人员</w:t>
            </w:r>
          </w:p>
        </w:tc>
        <w:tc>
          <w:tcPr>
            <w:tcW w:w="1161" w:type="dxa"/>
            <w:gridSpan w:val="2"/>
            <w:vAlign w:val="center"/>
          </w:tcPr>
          <w:p w14:paraId="27BAE969">
            <w:pPr>
              <w:spacing w:line="480" w:lineRule="exact"/>
              <w:jc w:val="center"/>
              <w:rPr>
                <w:rFonts w:ascii="宋体" w:hAnsi="宋体"/>
                <w:sz w:val="24"/>
              </w:rPr>
            </w:pPr>
          </w:p>
        </w:tc>
        <w:tc>
          <w:tcPr>
            <w:tcW w:w="1161" w:type="dxa"/>
            <w:vAlign w:val="center"/>
          </w:tcPr>
          <w:p w14:paraId="6584C0DA">
            <w:pPr>
              <w:spacing w:line="480" w:lineRule="exact"/>
              <w:jc w:val="center"/>
              <w:rPr>
                <w:rFonts w:ascii="宋体" w:hAnsi="宋体"/>
                <w:sz w:val="24"/>
              </w:rPr>
            </w:pPr>
            <w:r>
              <w:rPr>
                <w:rFonts w:ascii="宋体" w:hAnsi="宋体"/>
                <w:sz w:val="24"/>
              </w:rPr>
              <w:t>技术</w:t>
            </w:r>
          </w:p>
          <w:p w14:paraId="2A1EA437">
            <w:pPr>
              <w:spacing w:line="480" w:lineRule="exact"/>
              <w:jc w:val="center"/>
              <w:rPr>
                <w:rFonts w:ascii="宋体" w:hAnsi="宋体"/>
                <w:sz w:val="24"/>
              </w:rPr>
            </w:pPr>
            <w:r>
              <w:rPr>
                <w:rFonts w:ascii="宋体" w:hAnsi="宋体"/>
                <w:sz w:val="24"/>
              </w:rPr>
              <w:t>人员</w:t>
            </w:r>
          </w:p>
        </w:tc>
        <w:tc>
          <w:tcPr>
            <w:tcW w:w="1161" w:type="dxa"/>
            <w:gridSpan w:val="2"/>
            <w:vAlign w:val="center"/>
          </w:tcPr>
          <w:p w14:paraId="52334BB3">
            <w:pPr>
              <w:spacing w:line="480" w:lineRule="exact"/>
              <w:jc w:val="center"/>
              <w:rPr>
                <w:rFonts w:ascii="宋体" w:hAnsi="宋体"/>
                <w:sz w:val="24"/>
              </w:rPr>
            </w:pPr>
          </w:p>
        </w:tc>
        <w:tc>
          <w:tcPr>
            <w:tcW w:w="875" w:type="dxa"/>
            <w:gridSpan w:val="2"/>
            <w:vAlign w:val="center"/>
          </w:tcPr>
          <w:p w14:paraId="6B8E918F">
            <w:pPr>
              <w:spacing w:line="480" w:lineRule="exact"/>
              <w:jc w:val="center"/>
              <w:rPr>
                <w:rFonts w:ascii="宋体" w:hAnsi="宋体"/>
                <w:sz w:val="24"/>
              </w:rPr>
            </w:pPr>
            <w:r>
              <w:rPr>
                <w:rFonts w:ascii="宋体" w:hAnsi="宋体"/>
                <w:sz w:val="24"/>
              </w:rPr>
              <w:t>职工</w:t>
            </w:r>
          </w:p>
          <w:p w14:paraId="26DF1A83">
            <w:pPr>
              <w:spacing w:line="480" w:lineRule="exact"/>
              <w:jc w:val="center"/>
              <w:rPr>
                <w:rFonts w:ascii="宋体" w:hAnsi="宋体"/>
                <w:sz w:val="24"/>
              </w:rPr>
            </w:pPr>
            <w:r>
              <w:rPr>
                <w:rFonts w:ascii="宋体" w:hAnsi="宋体"/>
                <w:sz w:val="24"/>
              </w:rPr>
              <w:t>人员</w:t>
            </w:r>
          </w:p>
        </w:tc>
        <w:tc>
          <w:tcPr>
            <w:tcW w:w="960" w:type="dxa"/>
            <w:vAlign w:val="center"/>
          </w:tcPr>
          <w:p w14:paraId="4BA01E9A">
            <w:pPr>
              <w:spacing w:line="480" w:lineRule="exact"/>
              <w:jc w:val="center"/>
              <w:rPr>
                <w:rFonts w:ascii="宋体" w:hAnsi="宋体"/>
                <w:sz w:val="24"/>
              </w:rPr>
            </w:pPr>
          </w:p>
        </w:tc>
      </w:tr>
      <w:tr w14:paraId="0F003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888" w:type="dxa"/>
            <w:vAlign w:val="center"/>
          </w:tcPr>
          <w:p w14:paraId="3B1DEC4E">
            <w:pPr>
              <w:spacing w:line="480" w:lineRule="exact"/>
              <w:jc w:val="center"/>
              <w:rPr>
                <w:rFonts w:ascii="宋体" w:hAnsi="宋体"/>
                <w:sz w:val="24"/>
              </w:rPr>
            </w:pPr>
            <w:r>
              <w:rPr>
                <w:rFonts w:ascii="宋体" w:hAnsi="宋体"/>
                <w:sz w:val="24"/>
              </w:rPr>
              <w:t>经营范围</w:t>
            </w:r>
          </w:p>
        </w:tc>
        <w:tc>
          <w:tcPr>
            <w:tcW w:w="7497" w:type="dxa"/>
            <w:gridSpan w:val="10"/>
            <w:vAlign w:val="center"/>
          </w:tcPr>
          <w:p w14:paraId="06BEC951">
            <w:pPr>
              <w:spacing w:line="480" w:lineRule="exact"/>
              <w:jc w:val="center"/>
              <w:rPr>
                <w:rFonts w:ascii="宋体" w:hAnsi="宋体"/>
                <w:sz w:val="24"/>
              </w:rPr>
            </w:pPr>
          </w:p>
        </w:tc>
      </w:tr>
      <w:tr w14:paraId="78F56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94" w:hRule="atLeast"/>
        </w:trPr>
        <w:tc>
          <w:tcPr>
            <w:tcW w:w="1888" w:type="dxa"/>
            <w:tcBorders>
              <w:bottom w:val="single" w:color="auto" w:sz="4" w:space="0"/>
            </w:tcBorders>
            <w:vAlign w:val="center"/>
          </w:tcPr>
          <w:p w14:paraId="746C5C00">
            <w:pPr>
              <w:spacing w:line="480" w:lineRule="exact"/>
              <w:jc w:val="center"/>
              <w:rPr>
                <w:rFonts w:ascii="宋体" w:hAnsi="宋体"/>
                <w:color w:val="auto"/>
                <w:sz w:val="24"/>
              </w:rPr>
            </w:pPr>
            <w:r>
              <w:rPr>
                <w:rFonts w:ascii="宋体" w:hAnsi="宋体"/>
                <w:color w:val="auto"/>
                <w:sz w:val="24"/>
              </w:rPr>
              <w:t>企业现有的资质证书</w:t>
            </w:r>
          </w:p>
        </w:tc>
        <w:tc>
          <w:tcPr>
            <w:tcW w:w="7497" w:type="dxa"/>
            <w:gridSpan w:val="10"/>
            <w:tcBorders>
              <w:bottom w:val="single" w:color="auto" w:sz="4" w:space="0"/>
            </w:tcBorders>
            <w:vAlign w:val="center"/>
          </w:tcPr>
          <w:p w14:paraId="00C96666">
            <w:pPr>
              <w:spacing w:line="480" w:lineRule="exact"/>
              <w:jc w:val="center"/>
              <w:rPr>
                <w:rFonts w:ascii="宋体" w:hAnsi="宋体"/>
                <w:color w:val="auto"/>
                <w:sz w:val="24"/>
              </w:rPr>
            </w:pPr>
          </w:p>
        </w:tc>
      </w:tr>
    </w:tbl>
    <w:p w14:paraId="19664EB1">
      <w:pPr>
        <w:spacing w:line="480" w:lineRule="exact"/>
        <w:rPr>
          <w:rFonts w:ascii="宋体" w:hAnsi="宋体"/>
          <w:color w:val="auto"/>
          <w:sz w:val="24"/>
        </w:rPr>
      </w:pPr>
      <w:r>
        <w:rPr>
          <w:rFonts w:ascii="宋体" w:hAnsi="宋体"/>
          <w:color w:val="auto"/>
          <w:sz w:val="24"/>
        </w:rPr>
        <w:t>注：表格不能满足时可自行增加。</w:t>
      </w:r>
    </w:p>
    <w:p w14:paraId="519085BD">
      <w:pPr>
        <w:snapToGrid w:val="0"/>
        <w:spacing w:beforeLines="50"/>
        <w:rPr>
          <w:rFonts w:ascii="宋体" w:hAnsi="宋体"/>
          <w:color w:val="auto"/>
          <w:sz w:val="24"/>
        </w:rPr>
      </w:pPr>
    </w:p>
    <w:p w14:paraId="160DF673">
      <w:pPr>
        <w:snapToGrid w:val="0"/>
        <w:spacing w:beforeLines="50"/>
        <w:rPr>
          <w:rFonts w:ascii="宋体" w:hAnsi="宋体"/>
          <w:color w:val="auto"/>
          <w:sz w:val="24"/>
        </w:rPr>
      </w:pPr>
    </w:p>
    <w:p w14:paraId="18819ED2">
      <w:pPr>
        <w:snapToGrid w:val="0"/>
        <w:spacing w:beforeLines="50"/>
        <w:rPr>
          <w:rFonts w:ascii="宋体" w:hAnsi="宋体"/>
          <w:color w:val="auto"/>
          <w:sz w:val="24"/>
          <w:szCs w:val="20"/>
          <w:u w:val="single"/>
        </w:rPr>
      </w:pPr>
      <w:r>
        <w:rPr>
          <w:rFonts w:ascii="宋体" w:hAnsi="宋体"/>
          <w:color w:val="auto"/>
          <w:sz w:val="24"/>
        </w:rPr>
        <w:t>法定代表人或</w:t>
      </w:r>
      <w:r>
        <w:rPr>
          <w:rFonts w:hint="eastAsia" w:ascii="宋体" w:hAnsi="宋体"/>
          <w:color w:val="auto"/>
          <w:sz w:val="24"/>
        </w:rPr>
        <w:t>其</w:t>
      </w:r>
      <w:r>
        <w:rPr>
          <w:rFonts w:ascii="宋体" w:hAnsi="宋体"/>
          <w:color w:val="auto"/>
          <w:sz w:val="24"/>
        </w:rPr>
        <w:t>授权</w:t>
      </w:r>
      <w:r>
        <w:rPr>
          <w:rFonts w:hint="eastAsia" w:ascii="宋体" w:hAnsi="宋体"/>
          <w:color w:val="auto"/>
          <w:sz w:val="24"/>
        </w:rPr>
        <w:t>代理人（</w:t>
      </w:r>
      <w:r>
        <w:rPr>
          <w:rFonts w:ascii="宋体" w:hAnsi="宋体"/>
          <w:color w:val="auto"/>
          <w:sz w:val="24"/>
        </w:rPr>
        <w:t>签字</w:t>
      </w:r>
      <w:r>
        <w:rPr>
          <w:rFonts w:hint="eastAsia" w:ascii="宋体" w:hAnsi="宋体"/>
          <w:color w:val="auto"/>
          <w:sz w:val="24"/>
        </w:rPr>
        <w:t>或盖章）</w:t>
      </w:r>
      <w:r>
        <w:rPr>
          <w:rFonts w:ascii="宋体" w:hAnsi="宋体"/>
          <w:color w:val="auto"/>
          <w:sz w:val="24"/>
        </w:rPr>
        <w:t>：</w:t>
      </w:r>
    </w:p>
    <w:p w14:paraId="770FDD69">
      <w:pPr>
        <w:snapToGrid w:val="0"/>
        <w:spacing w:beforeLines="50" w:after="50"/>
        <w:rPr>
          <w:rFonts w:ascii="宋体" w:hAnsi="宋体"/>
          <w:color w:val="auto"/>
          <w:sz w:val="24"/>
        </w:rPr>
      </w:pPr>
      <w:r>
        <w:rPr>
          <w:rFonts w:hint="eastAsia" w:ascii="宋体" w:hAnsi="宋体"/>
          <w:color w:val="auto"/>
          <w:sz w:val="24"/>
        </w:rPr>
        <w:t>供应商</w:t>
      </w:r>
      <w:r>
        <w:rPr>
          <w:rFonts w:ascii="宋体" w:hAnsi="宋体"/>
          <w:color w:val="auto"/>
          <w:sz w:val="24"/>
        </w:rPr>
        <w:t>公章：</w:t>
      </w:r>
    </w:p>
    <w:p w14:paraId="5A385FD0">
      <w:pPr>
        <w:snapToGrid w:val="0"/>
        <w:spacing w:beforeLines="50" w:after="50"/>
        <w:ind w:firstLine="6240" w:firstLineChars="2600"/>
        <w:rPr>
          <w:rFonts w:ascii="宋体" w:hAnsi="宋体"/>
          <w:color w:val="auto"/>
          <w:sz w:val="24"/>
        </w:rPr>
      </w:pPr>
    </w:p>
    <w:p w14:paraId="55526D19">
      <w:pPr>
        <w:snapToGrid w:val="0"/>
        <w:spacing w:beforeLines="50" w:after="50"/>
        <w:ind w:firstLine="6240" w:firstLineChars="2600"/>
        <w:rPr>
          <w:rFonts w:ascii="宋体" w:hAnsi="宋体"/>
          <w:color w:val="auto"/>
          <w:sz w:val="24"/>
          <w:szCs w:val="20"/>
        </w:rPr>
      </w:pPr>
      <w:r>
        <w:rPr>
          <w:rFonts w:ascii="宋体" w:hAnsi="宋体"/>
          <w:color w:val="auto"/>
          <w:sz w:val="24"/>
        </w:rPr>
        <w:t>年    月    日</w:t>
      </w:r>
    </w:p>
    <w:p w14:paraId="7F2DA409">
      <w:pPr>
        <w:snapToGrid w:val="0"/>
        <w:spacing w:beforeLines="50" w:after="50"/>
        <w:jc w:val="center"/>
        <w:rPr>
          <w:rFonts w:ascii="宋体" w:hAnsi="宋体"/>
          <w:b/>
          <w:color w:val="auto"/>
          <w:sz w:val="32"/>
          <w:szCs w:val="32"/>
        </w:rPr>
      </w:pPr>
    </w:p>
    <w:p w14:paraId="648B8D5F">
      <w:pPr>
        <w:snapToGrid w:val="0"/>
        <w:spacing w:beforeLines="50" w:after="50"/>
        <w:jc w:val="center"/>
        <w:rPr>
          <w:rFonts w:ascii="宋体" w:hAnsi="宋体"/>
          <w:b/>
          <w:color w:val="auto"/>
          <w:sz w:val="32"/>
          <w:szCs w:val="32"/>
        </w:rPr>
      </w:pPr>
    </w:p>
    <w:p w14:paraId="3C07CCA0">
      <w:pPr>
        <w:snapToGrid w:val="0"/>
        <w:spacing w:before="50"/>
        <w:jc w:val="center"/>
        <w:rPr>
          <w:rFonts w:ascii="宋体" w:hAnsi="宋体"/>
          <w:b/>
          <w:color w:val="auto"/>
          <w:sz w:val="30"/>
          <w:szCs w:val="30"/>
        </w:rPr>
      </w:pPr>
    </w:p>
    <w:p w14:paraId="70634FDC">
      <w:pPr>
        <w:snapToGrid w:val="0"/>
        <w:spacing w:before="50"/>
        <w:jc w:val="center"/>
        <w:rPr>
          <w:rFonts w:ascii="宋体" w:hAnsi="宋体"/>
          <w:b/>
          <w:color w:val="auto"/>
          <w:sz w:val="30"/>
          <w:szCs w:val="30"/>
        </w:rPr>
      </w:pPr>
      <w:r>
        <w:rPr>
          <w:rFonts w:hint="eastAsia" w:ascii="宋体" w:hAnsi="宋体"/>
          <w:b/>
          <w:color w:val="auto"/>
          <w:sz w:val="30"/>
          <w:szCs w:val="30"/>
        </w:rPr>
        <w:t>商务响应表：</w:t>
      </w:r>
    </w:p>
    <w:p w14:paraId="5997B3B1">
      <w:pPr>
        <w:snapToGrid w:val="0"/>
        <w:spacing w:line="520" w:lineRule="exact"/>
        <w:jc w:val="left"/>
        <w:rPr>
          <w:rFonts w:ascii="宋体" w:hAnsi="宋体"/>
          <w:color w:val="auto"/>
          <w:sz w:val="24"/>
        </w:rPr>
      </w:pPr>
    </w:p>
    <w:p w14:paraId="71121A10">
      <w:pPr>
        <w:snapToGrid w:val="0"/>
        <w:spacing w:line="520" w:lineRule="exact"/>
        <w:jc w:val="left"/>
        <w:rPr>
          <w:rFonts w:ascii="宋体" w:hAnsi="宋体"/>
          <w:color w:val="auto"/>
          <w:sz w:val="24"/>
          <w:u w:val="single"/>
        </w:rPr>
      </w:pPr>
      <w:r>
        <w:rPr>
          <w:rFonts w:hint="eastAsia" w:ascii="宋体" w:hAnsi="宋体"/>
          <w:color w:val="auto"/>
          <w:sz w:val="24"/>
        </w:rPr>
        <w:t>项目名称：</w:t>
      </w:r>
    </w:p>
    <w:tbl>
      <w:tblPr>
        <w:tblStyle w:val="35"/>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098"/>
        <w:gridCol w:w="2713"/>
        <w:gridCol w:w="1447"/>
        <w:gridCol w:w="2854"/>
      </w:tblGrid>
      <w:tr w14:paraId="557F98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2098" w:type="dxa"/>
            <w:tcBorders>
              <w:top w:val="single" w:color="auto" w:sz="4" w:space="0"/>
              <w:left w:val="single" w:color="auto" w:sz="4" w:space="0"/>
              <w:bottom w:val="single" w:color="auto" w:sz="4" w:space="0"/>
              <w:right w:val="single" w:color="auto" w:sz="4" w:space="0"/>
            </w:tcBorders>
            <w:vAlign w:val="center"/>
          </w:tcPr>
          <w:p w14:paraId="0696C606">
            <w:pPr>
              <w:snapToGrid w:val="0"/>
              <w:spacing w:line="520" w:lineRule="exact"/>
              <w:jc w:val="center"/>
              <w:rPr>
                <w:rFonts w:ascii="宋体" w:hAnsi="宋体"/>
                <w:b/>
                <w:bCs/>
                <w:color w:val="auto"/>
                <w:sz w:val="24"/>
              </w:rPr>
            </w:pPr>
            <w:r>
              <w:rPr>
                <w:rFonts w:hint="eastAsia" w:ascii="宋体" w:hAnsi="宋体"/>
                <w:b/>
                <w:bCs/>
                <w:color w:val="auto"/>
                <w:sz w:val="24"/>
              </w:rPr>
              <w:t>项目</w:t>
            </w:r>
          </w:p>
        </w:tc>
        <w:tc>
          <w:tcPr>
            <w:tcW w:w="2713" w:type="dxa"/>
            <w:tcBorders>
              <w:top w:val="single" w:color="auto" w:sz="4" w:space="0"/>
              <w:left w:val="single" w:color="auto" w:sz="4" w:space="0"/>
              <w:bottom w:val="single" w:color="auto" w:sz="4" w:space="0"/>
              <w:right w:val="single" w:color="auto" w:sz="4" w:space="0"/>
            </w:tcBorders>
            <w:vAlign w:val="center"/>
          </w:tcPr>
          <w:p w14:paraId="3646D461">
            <w:pPr>
              <w:snapToGrid w:val="0"/>
              <w:spacing w:line="520" w:lineRule="exact"/>
              <w:jc w:val="center"/>
              <w:rPr>
                <w:rFonts w:ascii="宋体" w:hAnsi="宋体"/>
                <w:b/>
                <w:bCs/>
                <w:color w:val="auto"/>
                <w:sz w:val="24"/>
              </w:rPr>
            </w:pPr>
            <w:r>
              <w:rPr>
                <w:rFonts w:hint="eastAsia" w:ascii="宋体" w:hAnsi="宋体"/>
                <w:b/>
                <w:bCs/>
                <w:color w:val="auto"/>
                <w:sz w:val="24"/>
              </w:rPr>
              <w:t>磋商文件要求</w:t>
            </w:r>
          </w:p>
        </w:tc>
        <w:tc>
          <w:tcPr>
            <w:tcW w:w="1447" w:type="dxa"/>
            <w:tcBorders>
              <w:top w:val="single" w:color="auto" w:sz="4" w:space="0"/>
              <w:left w:val="single" w:color="auto" w:sz="4" w:space="0"/>
              <w:bottom w:val="single" w:color="auto" w:sz="4" w:space="0"/>
              <w:right w:val="single" w:color="auto" w:sz="4" w:space="0"/>
            </w:tcBorders>
            <w:vAlign w:val="center"/>
          </w:tcPr>
          <w:p w14:paraId="7E6A72B7">
            <w:pPr>
              <w:snapToGrid w:val="0"/>
              <w:spacing w:line="520" w:lineRule="exact"/>
              <w:jc w:val="center"/>
              <w:rPr>
                <w:rFonts w:ascii="宋体" w:hAnsi="宋体"/>
                <w:b/>
                <w:bCs/>
                <w:color w:val="auto"/>
                <w:sz w:val="24"/>
              </w:rPr>
            </w:pPr>
            <w:r>
              <w:rPr>
                <w:rFonts w:hint="eastAsia" w:ascii="宋体" w:hAnsi="宋体"/>
                <w:b/>
                <w:bCs/>
                <w:color w:val="auto"/>
                <w:sz w:val="24"/>
              </w:rPr>
              <w:t>是否响应</w:t>
            </w:r>
          </w:p>
        </w:tc>
        <w:tc>
          <w:tcPr>
            <w:tcW w:w="2854" w:type="dxa"/>
            <w:tcBorders>
              <w:top w:val="single" w:color="auto" w:sz="4" w:space="0"/>
              <w:left w:val="single" w:color="auto" w:sz="4" w:space="0"/>
              <w:bottom w:val="single" w:color="auto" w:sz="4" w:space="0"/>
              <w:right w:val="single" w:color="auto" w:sz="4" w:space="0"/>
            </w:tcBorders>
            <w:vAlign w:val="center"/>
          </w:tcPr>
          <w:p w14:paraId="2C8EBB67">
            <w:pPr>
              <w:snapToGrid w:val="0"/>
              <w:spacing w:line="520" w:lineRule="exact"/>
              <w:jc w:val="center"/>
              <w:rPr>
                <w:rFonts w:ascii="宋体" w:hAnsi="宋体"/>
                <w:b/>
                <w:bCs/>
                <w:color w:val="auto"/>
                <w:sz w:val="24"/>
              </w:rPr>
            </w:pPr>
            <w:r>
              <w:rPr>
                <w:rFonts w:hint="eastAsia" w:ascii="宋体" w:hAnsi="宋体"/>
                <w:b/>
                <w:bCs/>
                <w:color w:val="auto"/>
                <w:sz w:val="24"/>
              </w:rPr>
              <w:t>供应商的承诺或说明</w:t>
            </w:r>
          </w:p>
        </w:tc>
      </w:tr>
      <w:tr w14:paraId="5D962D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0" w:hRule="atLeast"/>
        </w:trPr>
        <w:tc>
          <w:tcPr>
            <w:tcW w:w="2098" w:type="dxa"/>
            <w:tcBorders>
              <w:top w:val="single" w:color="auto" w:sz="4" w:space="0"/>
              <w:left w:val="single" w:color="auto" w:sz="4" w:space="0"/>
              <w:bottom w:val="single" w:color="auto" w:sz="4" w:space="0"/>
              <w:right w:val="single" w:color="auto" w:sz="4" w:space="0"/>
            </w:tcBorders>
            <w:vAlign w:val="center"/>
          </w:tcPr>
          <w:p w14:paraId="376871FE">
            <w:pPr>
              <w:snapToGrid w:val="0"/>
              <w:spacing w:line="520" w:lineRule="exact"/>
              <w:jc w:val="center"/>
              <w:rPr>
                <w:rFonts w:ascii="宋体" w:hAnsi="宋体"/>
                <w:color w:val="auto"/>
                <w:sz w:val="24"/>
              </w:rPr>
            </w:pPr>
            <w:r>
              <w:rPr>
                <w:rFonts w:hint="eastAsia" w:ascii="宋体" w:hAnsi="宋体"/>
                <w:color w:val="auto"/>
                <w:sz w:val="24"/>
              </w:rPr>
              <w:t>服务期限</w:t>
            </w:r>
          </w:p>
        </w:tc>
        <w:tc>
          <w:tcPr>
            <w:tcW w:w="2713" w:type="dxa"/>
            <w:tcBorders>
              <w:top w:val="single" w:color="auto" w:sz="4" w:space="0"/>
              <w:left w:val="single" w:color="auto" w:sz="4" w:space="0"/>
              <w:bottom w:val="single" w:color="auto" w:sz="4" w:space="0"/>
              <w:right w:val="single" w:color="auto" w:sz="4" w:space="0"/>
            </w:tcBorders>
          </w:tcPr>
          <w:p w14:paraId="0F994A48">
            <w:pPr>
              <w:snapToGrid w:val="0"/>
              <w:spacing w:line="520" w:lineRule="exact"/>
              <w:rPr>
                <w:rFonts w:ascii="宋体" w:hAnsi="宋体"/>
                <w:color w:val="auto"/>
                <w:sz w:val="24"/>
              </w:rPr>
            </w:pPr>
          </w:p>
        </w:tc>
        <w:tc>
          <w:tcPr>
            <w:tcW w:w="1447" w:type="dxa"/>
            <w:tcBorders>
              <w:top w:val="single" w:color="auto" w:sz="4" w:space="0"/>
              <w:left w:val="single" w:color="auto" w:sz="4" w:space="0"/>
              <w:bottom w:val="single" w:color="auto" w:sz="4" w:space="0"/>
              <w:right w:val="single" w:color="auto" w:sz="4" w:space="0"/>
            </w:tcBorders>
          </w:tcPr>
          <w:p w14:paraId="2237C866">
            <w:pPr>
              <w:snapToGrid w:val="0"/>
              <w:spacing w:line="520" w:lineRule="exact"/>
              <w:rPr>
                <w:rFonts w:ascii="宋体" w:hAnsi="宋体"/>
                <w:color w:val="auto"/>
                <w:sz w:val="24"/>
              </w:rPr>
            </w:pPr>
          </w:p>
        </w:tc>
        <w:tc>
          <w:tcPr>
            <w:tcW w:w="2854" w:type="dxa"/>
            <w:tcBorders>
              <w:top w:val="single" w:color="auto" w:sz="4" w:space="0"/>
              <w:left w:val="single" w:color="auto" w:sz="4" w:space="0"/>
              <w:bottom w:val="single" w:color="auto" w:sz="4" w:space="0"/>
              <w:right w:val="single" w:color="auto" w:sz="4" w:space="0"/>
            </w:tcBorders>
          </w:tcPr>
          <w:p w14:paraId="40C72086">
            <w:pPr>
              <w:snapToGrid w:val="0"/>
              <w:spacing w:line="520" w:lineRule="exact"/>
              <w:rPr>
                <w:rFonts w:ascii="宋体" w:hAnsi="宋体"/>
                <w:color w:val="auto"/>
                <w:sz w:val="24"/>
              </w:rPr>
            </w:pPr>
          </w:p>
        </w:tc>
      </w:tr>
      <w:tr w14:paraId="1EE775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0" w:hRule="atLeast"/>
        </w:trPr>
        <w:tc>
          <w:tcPr>
            <w:tcW w:w="2098" w:type="dxa"/>
            <w:tcBorders>
              <w:top w:val="single" w:color="auto" w:sz="4" w:space="0"/>
              <w:left w:val="single" w:color="auto" w:sz="4" w:space="0"/>
              <w:bottom w:val="single" w:color="auto" w:sz="4" w:space="0"/>
              <w:right w:val="single" w:color="auto" w:sz="4" w:space="0"/>
            </w:tcBorders>
            <w:vAlign w:val="center"/>
          </w:tcPr>
          <w:p w14:paraId="7FD79528">
            <w:pPr>
              <w:snapToGrid w:val="0"/>
              <w:spacing w:line="520" w:lineRule="exact"/>
              <w:jc w:val="center"/>
              <w:rPr>
                <w:rFonts w:ascii="宋体" w:hAnsi="宋体"/>
                <w:color w:val="auto"/>
                <w:sz w:val="24"/>
              </w:rPr>
            </w:pPr>
            <w:r>
              <w:rPr>
                <w:rFonts w:hint="eastAsia" w:ascii="宋体" w:hAnsi="宋体"/>
                <w:color w:val="auto"/>
                <w:sz w:val="24"/>
              </w:rPr>
              <w:t>付款方式</w:t>
            </w:r>
          </w:p>
        </w:tc>
        <w:tc>
          <w:tcPr>
            <w:tcW w:w="2713" w:type="dxa"/>
            <w:tcBorders>
              <w:top w:val="single" w:color="auto" w:sz="4" w:space="0"/>
              <w:left w:val="single" w:color="auto" w:sz="4" w:space="0"/>
              <w:bottom w:val="single" w:color="auto" w:sz="4" w:space="0"/>
              <w:right w:val="single" w:color="auto" w:sz="4" w:space="0"/>
            </w:tcBorders>
          </w:tcPr>
          <w:p w14:paraId="4507A75D">
            <w:pPr>
              <w:snapToGrid w:val="0"/>
              <w:spacing w:line="520" w:lineRule="exact"/>
              <w:rPr>
                <w:rFonts w:ascii="宋体" w:hAnsi="宋体"/>
                <w:color w:val="auto"/>
                <w:sz w:val="24"/>
              </w:rPr>
            </w:pPr>
          </w:p>
        </w:tc>
        <w:tc>
          <w:tcPr>
            <w:tcW w:w="1447" w:type="dxa"/>
            <w:tcBorders>
              <w:top w:val="single" w:color="auto" w:sz="4" w:space="0"/>
              <w:left w:val="single" w:color="auto" w:sz="4" w:space="0"/>
              <w:bottom w:val="single" w:color="auto" w:sz="4" w:space="0"/>
              <w:right w:val="single" w:color="auto" w:sz="4" w:space="0"/>
            </w:tcBorders>
          </w:tcPr>
          <w:p w14:paraId="58F83FEE">
            <w:pPr>
              <w:snapToGrid w:val="0"/>
              <w:spacing w:line="520" w:lineRule="exact"/>
              <w:rPr>
                <w:rFonts w:ascii="宋体" w:hAnsi="宋体"/>
                <w:color w:val="auto"/>
                <w:sz w:val="24"/>
              </w:rPr>
            </w:pPr>
          </w:p>
        </w:tc>
        <w:tc>
          <w:tcPr>
            <w:tcW w:w="2854" w:type="dxa"/>
            <w:tcBorders>
              <w:top w:val="single" w:color="auto" w:sz="4" w:space="0"/>
              <w:left w:val="single" w:color="auto" w:sz="4" w:space="0"/>
              <w:bottom w:val="single" w:color="auto" w:sz="4" w:space="0"/>
              <w:right w:val="single" w:color="auto" w:sz="4" w:space="0"/>
            </w:tcBorders>
          </w:tcPr>
          <w:p w14:paraId="2F6700F3">
            <w:pPr>
              <w:snapToGrid w:val="0"/>
              <w:spacing w:line="520" w:lineRule="exact"/>
              <w:rPr>
                <w:rFonts w:ascii="宋体" w:hAnsi="宋体"/>
                <w:color w:val="auto"/>
                <w:sz w:val="24"/>
              </w:rPr>
            </w:pPr>
          </w:p>
        </w:tc>
      </w:tr>
      <w:tr w14:paraId="5D0E17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0" w:hRule="atLeast"/>
        </w:trPr>
        <w:tc>
          <w:tcPr>
            <w:tcW w:w="2098" w:type="dxa"/>
            <w:tcBorders>
              <w:top w:val="single" w:color="auto" w:sz="4" w:space="0"/>
              <w:left w:val="single" w:color="auto" w:sz="4" w:space="0"/>
              <w:bottom w:val="single" w:color="auto" w:sz="4" w:space="0"/>
              <w:right w:val="single" w:color="auto" w:sz="4" w:space="0"/>
            </w:tcBorders>
          </w:tcPr>
          <w:p w14:paraId="3854AB8A">
            <w:pPr>
              <w:snapToGrid w:val="0"/>
              <w:spacing w:line="520" w:lineRule="exact"/>
              <w:jc w:val="center"/>
              <w:rPr>
                <w:rFonts w:ascii="宋体" w:hAnsi="宋体"/>
                <w:color w:val="auto"/>
                <w:sz w:val="24"/>
              </w:rPr>
            </w:pPr>
            <w:r>
              <w:rPr>
                <w:rFonts w:hint="eastAsia" w:ascii="宋体" w:hAnsi="宋体"/>
                <w:color w:val="auto"/>
                <w:sz w:val="24"/>
              </w:rPr>
              <w:t>其他</w:t>
            </w:r>
          </w:p>
        </w:tc>
        <w:tc>
          <w:tcPr>
            <w:tcW w:w="2713" w:type="dxa"/>
            <w:tcBorders>
              <w:top w:val="single" w:color="auto" w:sz="4" w:space="0"/>
              <w:left w:val="single" w:color="auto" w:sz="4" w:space="0"/>
              <w:bottom w:val="single" w:color="auto" w:sz="4" w:space="0"/>
              <w:right w:val="single" w:color="auto" w:sz="4" w:space="0"/>
            </w:tcBorders>
          </w:tcPr>
          <w:p w14:paraId="56DBF1FE">
            <w:pPr>
              <w:snapToGrid w:val="0"/>
              <w:spacing w:line="520" w:lineRule="exact"/>
              <w:rPr>
                <w:rFonts w:ascii="宋体" w:hAnsi="宋体"/>
                <w:color w:val="auto"/>
                <w:sz w:val="24"/>
              </w:rPr>
            </w:pPr>
          </w:p>
        </w:tc>
        <w:tc>
          <w:tcPr>
            <w:tcW w:w="1447" w:type="dxa"/>
            <w:tcBorders>
              <w:top w:val="single" w:color="auto" w:sz="4" w:space="0"/>
              <w:left w:val="single" w:color="auto" w:sz="4" w:space="0"/>
              <w:bottom w:val="single" w:color="auto" w:sz="4" w:space="0"/>
              <w:right w:val="single" w:color="auto" w:sz="4" w:space="0"/>
            </w:tcBorders>
          </w:tcPr>
          <w:p w14:paraId="5A8C60E0">
            <w:pPr>
              <w:snapToGrid w:val="0"/>
              <w:spacing w:line="520" w:lineRule="exact"/>
              <w:rPr>
                <w:rFonts w:ascii="宋体" w:hAnsi="宋体"/>
                <w:color w:val="auto"/>
                <w:sz w:val="24"/>
              </w:rPr>
            </w:pPr>
          </w:p>
        </w:tc>
        <w:tc>
          <w:tcPr>
            <w:tcW w:w="2854" w:type="dxa"/>
            <w:tcBorders>
              <w:top w:val="single" w:color="auto" w:sz="4" w:space="0"/>
              <w:left w:val="single" w:color="auto" w:sz="4" w:space="0"/>
              <w:bottom w:val="single" w:color="auto" w:sz="4" w:space="0"/>
              <w:right w:val="single" w:color="auto" w:sz="4" w:space="0"/>
            </w:tcBorders>
          </w:tcPr>
          <w:p w14:paraId="474CB12B">
            <w:pPr>
              <w:snapToGrid w:val="0"/>
              <w:spacing w:line="520" w:lineRule="exact"/>
              <w:rPr>
                <w:rFonts w:ascii="宋体" w:hAnsi="宋体"/>
                <w:color w:val="auto"/>
                <w:sz w:val="24"/>
              </w:rPr>
            </w:pPr>
          </w:p>
        </w:tc>
      </w:tr>
      <w:tr w14:paraId="39CCF5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0" w:hRule="atLeast"/>
        </w:trPr>
        <w:tc>
          <w:tcPr>
            <w:tcW w:w="2098" w:type="dxa"/>
            <w:tcBorders>
              <w:top w:val="single" w:color="auto" w:sz="4" w:space="0"/>
              <w:left w:val="single" w:color="auto" w:sz="4" w:space="0"/>
              <w:bottom w:val="single" w:color="auto" w:sz="4" w:space="0"/>
              <w:right w:val="single" w:color="auto" w:sz="4" w:space="0"/>
            </w:tcBorders>
          </w:tcPr>
          <w:p w14:paraId="23BE1617">
            <w:pPr>
              <w:snapToGrid w:val="0"/>
              <w:spacing w:line="520" w:lineRule="exact"/>
              <w:jc w:val="center"/>
              <w:rPr>
                <w:rFonts w:ascii="宋体" w:hAnsi="宋体"/>
                <w:color w:val="auto"/>
                <w:sz w:val="24"/>
              </w:rPr>
            </w:pPr>
            <w:r>
              <w:rPr>
                <w:rFonts w:ascii="宋体" w:hAnsi="宋体"/>
                <w:color w:val="auto"/>
                <w:sz w:val="24"/>
              </w:rPr>
              <w:t>……</w:t>
            </w:r>
          </w:p>
        </w:tc>
        <w:tc>
          <w:tcPr>
            <w:tcW w:w="2713" w:type="dxa"/>
            <w:tcBorders>
              <w:top w:val="single" w:color="auto" w:sz="4" w:space="0"/>
              <w:left w:val="single" w:color="auto" w:sz="4" w:space="0"/>
              <w:bottom w:val="single" w:color="auto" w:sz="4" w:space="0"/>
              <w:right w:val="single" w:color="auto" w:sz="4" w:space="0"/>
            </w:tcBorders>
          </w:tcPr>
          <w:p w14:paraId="32F901AF">
            <w:pPr>
              <w:snapToGrid w:val="0"/>
              <w:spacing w:line="520" w:lineRule="exact"/>
              <w:rPr>
                <w:rFonts w:ascii="宋体" w:hAnsi="宋体"/>
                <w:color w:val="auto"/>
                <w:sz w:val="24"/>
              </w:rPr>
            </w:pPr>
          </w:p>
        </w:tc>
        <w:tc>
          <w:tcPr>
            <w:tcW w:w="1447" w:type="dxa"/>
            <w:tcBorders>
              <w:top w:val="single" w:color="auto" w:sz="4" w:space="0"/>
              <w:left w:val="single" w:color="auto" w:sz="4" w:space="0"/>
              <w:bottom w:val="single" w:color="auto" w:sz="4" w:space="0"/>
              <w:right w:val="single" w:color="auto" w:sz="4" w:space="0"/>
            </w:tcBorders>
          </w:tcPr>
          <w:p w14:paraId="033CAC24">
            <w:pPr>
              <w:snapToGrid w:val="0"/>
              <w:spacing w:line="520" w:lineRule="exact"/>
              <w:rPr>
                <w:rFonts w:ascii="宋体" w:hAnsi="宋体"/>
                <w:color w:val="auto"/>
                <w:sz w:val="24"/>
              </w:rPr>
            </w:pPr>
          </w:p>
        </w:tc>
        <w:tc>
          <w:tcPr>
            <w:tcW w:w="2854" w:type="dxa"/>
            <w:tcBorders>
              <w:top w:val="single" w:color="auto" w:sz="4" w:space="0"/>
              <w:left w:val="single" w:color="auto" w:sz="4" w:space="0"/>
              <w:bottom w:val="single" w:color="auto" w:sz="4" w:space="0"/>
              <w:right w:val="single" w:color="auto" w:sz="4" w:space="0"/>
            </w:tcBorders>
          </w:tcPr>
          <w:p w14:paraId="15C2B39C">
            <w:pPr>
              <w:snapToGrid w:val="0"/>
              <w:spacing w:line="520" w:lineRule="exact"/>
              <w:rPr>
                <w:rFonts w:ascii="宋体" w:hAnsi="宋体"/>
                <w:color w:val="auto"/>
                <w:sz w:val="24"/>
              </w:rPr>
            </w:pPr>
          </w:p>
        </w:tc>
      </w:tr>
      <w:tr w14:paraId="5162EF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0" w:hRule="atLeast"/>
        </w:trPr>
        <w:tc>
          <w:tcPr>
            <w:tcW w:w="2098" w:type="dxa"/>
            <w:tcBorders>
              <w:top w:val="single" w:color="auto" w:sz="4" w:space="0"/>
              <w:left w:val="single" w:color="auto" w:sz="4" w:space="0"/>
              <w:bottom w:val="single" w:color="auto" w:sz="4" w:space="0"/>
              <w:right w:val="single" w:color="auto" w:sz="4" w:space="0"/>
            </w:tcBorders>
          </w:tcPr>
          <w:p w14:paraId="1EF4C236">
            <w:pPr>
              <w:snapToGrid w:val="0"/>
              <w:spacing w:line="520" w:lineRule="exact"/>
              <w:jc w:val="center"/>
              <w:rPr>
                <w:rFonts w:ascii="宋体" w:hAnsi="宋体"/>
                <w:color w:val="auto"/>
                <w:sz w:val="24"/>
              </w:rPr>
            </w:pPr>
          </w:p>
        </w:tc>
        <w:tc>
          <w:tcPr>
            <w:tcW w:w="2713" w:type="dxa"/>
            <w:tcBorders>
              <w:top w:val="single" w:color="auto" w:sz="4" w:space="0"/>
              <w:left w:val="single" w:color="auto" w:sz="4" w:space="0"/>
              <w:bottom w:val="single" w:color="auto" w:sz="4" w:space="0"/>
              <w:right w:val="single" w:color="auto" w:sz="4" w:space="0"/>
            </w:tcBorders>
          </w:tcPr>
          <w:p w14:paraId="4EEDFC9C">
            <w:pPr>
              <w:snapToGrid w:val="0"/>
              <w:spacing w:line="520" w:lineRule="exact"/>
              <w:rPr>
                <w:rFonts w:ascii="宋体" w:hAnsi="宋体"/>
                <w:color w:val="auto"/>
                <w:sz w:val="24"/>
              </w:rPr>
            </w:pPr>
          </w:p>
        </w:tc>
        <w:tc>
          <w:tcPr>
            <w:tcW w:w="1447" w:type="dxa"/>
            <w:tcBorders>
              <w:top w:val="single" w:color="auto" w:sz="4" w:space="0"/>
              <w:left w:val="single" w:color="auto" w:sz="4" w:space="0"/>
              <w:bottom w:val="single" w:color="auto" w:sz="4" w:space="0"/>
              <w:right w:val="single" w:color="auto" w:sz="4" w:space="0"/>
            </w:tcBorders>
          </w:tcPr>
          <w:p w14:paraId="14C1726A">
            <w:pPr>
              <w:snapToGrid w:val="0"/>
              <w:spacing w:line="520" w:lineRule="exact"/>
              <w:rPr>
                <w:rFonts w:ascii="宋体" w:hAnsi="宋体"/>
                <w:color w:val="auto"/>
                <w:sz w:val="24"/>
              </w:rPr>
            </w:pPr>
          </w:p>
        </w:tc>
        <w:tc>
          <w:tcPr>
            <w:tcW w:w="2854" w:type="dxa"/>
            <w:tcBorders>
              <w:top w:val="single" w:color="auto" w:sz="4" w:space="0"/>
              <w:left w:val="single" w:color="auto" w:sz="4" w:space="0"/>
              <w:bottom w:val="single" w:color="auto" w:sz="4" w:space="0"/>
              <w:right w:val="single" w:color="auto" w:sz="4" w:space="0"/>
            </w:tcBorders>
          </w:tcPr>
          <w:p w14:paraId="2368D943">
            <w:pPr>
              <w:snapToGrid w:val="0"/>
              <w:spacing w:line="520" w:lineRule="exact"/>
              <w:rPr>
                <w:rFonts w:ascii="宋体" w:hAnsi="宋体"/>
                <w:color w:val="auto"/>
                <w:sz w:val="24"/>
              </w:rPr>
            </w:pPr>
          </w:p>
        </w:tc>
      </w:tr>
      <w:tr w14:paraId="14CB61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0" w:hRule="atLeast"/>
        </w:trPr>
        <w:tc>
          <w:tcPr>
            <w:tcW w:w="2098" w:type="dxa"/>
            <w:tcBorders>
              <w:top w:val="single" w:color="auto" w:sz="4" w:space="0"/>
              <w:left w:val="single" w:color="auto" w:sz="4" w:space="0"/>
              <w:bottom w:val="single" w:color="auto" w:sz="4" w:space="0"/>
              <w:right w:val="single" w:color="auto" w:sz="4" w:space="0"/>
            </w:tcBorders>
          </w:tcPr>
          <w:p w14:paraId="41AA9DBC">
            <w:pPr>
              <w:snapToGrid w:val="0"/>
              <w:spacing w:line="520" w:lineRule="exact"/>
              <w:jc w:val="center"/>
              <w:rPr>
                <w:rFonts w:ascii="宋体" w:hAnsi="宋体"/>
                <w:color w:val="auto"/>
                <w:sz w:val="24"/>
              </w:rPr>
            </w:pPr>
          </w:p>
        </w:tc>
        <w:tc>
          <w:tcPr>
            <w:tcW w:w="2713" w:type="dxa"/>
            <w:tcBorders>
              <w:top w:val="single" w:color="auto" w:sz="4" w:space="0"/>
              <w:left w:val="single" w:color="auto" w:sz="4" w:space="0"/>
              <w:bottom w:val="single" w:color="auto" w:sz="4" w:space="0"/>
              <w:right w:val="single" w:color="auto" w:sz="4" w:space="0"/>
            </w:tcBorders>
          </w:tcPr>
          <w:p w14:paraId="626B784C">
            <w:pPr>
              <w:snapToGrid w:val="0"/>
              <w:spacing w:line="520" w:lineRule="exact"/>
              <w:rPr>
                <w:rFonts w:ascii="宋体" w:hAnsi="宋体"/>
                <w:color w:val="auto"/>
                <w:sz w:val="24"/>
              </w:rPr>
            </w:pPr>
          </w:p>
        </w:tc>
        <w:tc>
          <w:tcPr>
            <w:tcW w:w="1447" w:type="dxa"/>
            <w:tcBorders>
              <w:top w:val="single" w:color="auto" w:sz="4" w:space="0"/>
              <w:left w:val="single" w:color="auto" w:sz="4" w:space="0"/>
              <w:bottom w:val="single" w:color="auto" w:sz="4" w:space="0"/>
              <w:right w:val="single" w:color="auto" w:sz="4" w:space="0"/>
            </w:tcBorders>
          </w:tcPr>
          <w:p w14:paraId="0AAF3F64">
            <w:pPr>
              <w:snapToGrid w:val="0"/>
              <w:spacing w:line="520" w:lineRule="exact"/>
              <w:rPr>
                <w:rFonts w:ascii="宋体" w:hAnsi="宋体"/>
                <w:color w:val="auto"/>
                <w:sz w:val="24"/>
              </w:rPr>
            </w:pPr>
          </w:p>
        </w:tc>
        <w:tc>
          <w:tcPr>
            <w:tcW w:w="2854" w:type="dxa"/>
            <w:tcBorders>
              <w:top w:val="single" w:color="auto" w:sz="4" w:space="0"/>
              <w:left w:val="single" w:color="auto" w:sz="4" w:space="0"/>
              <w:bottom w:val="single" w:color="auto" w:sz="4" w:space="0"/>
              <w:right w:val="single" w:color="auto" w:sz="4" w:space="0"/>
            </w:tcBorders>
          </w:tcPr>
          <w:p w14:paraId="63492D6C">
            <w:pPr>
              <w:snapToGrid w:val="0"/>
              <w:spacing w:line="520" w:lineRule="exact"/>
              <w:rPr>
                <w:rFonts w:ascii="宋体" w:hAnsi="宋体"/>
                <w:color w:val="auto"/>
                <w:sz w:val="24"/>
              </w:rPr>
            </w:pPr>
          </w:p>
        </w:tc>
      </w:tr>
    </w:tbl>
    <w:p w14:paraId="2DCEE075">
      <w:pPr>
        <w:snapToGrid w:val="0"/>
        <w:spacing w:line="520" w:lineRule="exact"/>
        <w:jc w:val="left"/>
        <w:rPr>
          <w:rFonts w:ascii="宋体" w:hAnsi="宋体"/>
          <w:color w:val="auto"/>
          <w:sz w:val="24"/>
        </w:rPr>
      </w:pPr>
      <w:r>
        <w:rPr>
          <w:rFonts w:hint="eastAsia" w:ascii="宋体" w:hAnsi="宋体"/>
          <w:color w:val="auto"/>
          <w:sz w:val="24"/>
        </w:rPr>
        <w:t>供应商（盖章）：</w:t>
      </w:r>
    </w:p>
    <w:p w14:paraId="43285B90">
      <w:pPr>
        <w:snapToGrid w:val="0"/>
        <w:spacing w:line="520" w:lineRule="exact"/>
        <w:jc w:val="left"/>
        <w:rPr>
          <w:rFonts w:ascii="宋体" w:hAnsi="宋体"/>
          <w:color w:val="auto"/>
          <w:sz w:val="24"/>
        </w:rPr>
      </w:pPr>
      <w:r>
        <w:rPr>
          <w:rFonts w:hint="eastAsia" w:ascii="宋体" w:hAnsi="宋体"/>
          <w:color w:val="auto"/>
          <w:sz w:val="24"/>
        </w:rPr>
        <w:t>法定代表人或其授权代理人（签字或盖章）:</w:t>
      </w:r>
    </w:p>
    <w:p w14:paraId="3B4CA814">
      <w:pPr>
        <w:snapToGrid w:val="0"/>
        <w:spacing w:line="520" w:lineRule="exact"/>
        <w:jc w:val="left"/>
        <w:rPr>
          <w:rFonts w:ascii="宋体" w:hAnsi="宋体"/>
          <w:color w:val="auto"/>
          <w:sz w:val="24"/>
        </w:rPr>
      </w:pPr>
      <w:r>
        <w:rPr>
          <w:rFonts w:hint="eastAsia" w:ascii="宋体" w:hAnsi="宋体"/>
          <w:color w:val="auto"/>
          <w:sz w:val="24"/>
        </w:rPr>
        <w:t>日期：</w:t>
      </w:r>
      <w:r>
        <w:rPr>
          <w:rFonts w:hint="eastAsia" w:ascii="宋体" w:hAnsi="宋体"/>
          <w:color w:val="auto"/>
          <w:sz w:val="24"/>
          <w:lang w:eastAsia="zh-CN"/>
        </w:rPr>
        <w:t>2025年</w:t>
      </w:r>
      <w:r>
        <w:rPr>
          <w:rFonts w:hint="eastAsia" w:ascii="宋体" w:hAnsi="宋体"/>
          <w:color w:val="auto"/>
          <w:sz w:val="24"/>
        </w:rPr>
        <w:t xml:space="preserve">  月   日</w:t>
      </w:r>
    </w:p>
    <w:p w14:paraId="04906395">
      <w:pPr>
        <w:snapToGrid w:val="0"/>
        <w:spacing w:line="520" w:lineRule="exact"/>
        <w:jc w:val="left"/>
        <w:rPr>
          <w:rFonts w:ascii="宋体" w:hAnsi="宋体"/>
          <w:sz w:val="28"/>
          <w:szCs w:val="28"/>
        </w:rPr>
      </w:pPr>
    </w:p>
    <w:p w14:paraId="37957551">
      <w:pPr>
        <w:snapToGrid w:val="0"/>
        <w:spacing w:beforeLines="50" w:after="50"/>
        <w:rPr>
          <w:rFonts w:ascii="宋体" w:hAnsi="宋体"/>
          <w:b/>
          <w:sz w:val="24"/>
        </w:rPr>
      </w:pPr>
      <w:r>
        <w:rPr>
          <w:rFonts w:hint="eastAsia" w:ascii="宋体" w:hAnsi="宋体"/>
          <w:b/>
          <w:sz w:val="28"/>
          <w:szCs w:val="28"/>
        </w:rPr>
        <w:t>注：如响应文件其他承诺或方案内容与本响应表不一致，以本表内容为准。</w:t>
      </w:r>
    </w:p>
    <w:p w14:paraId="1730CC58">
      <w:pPr>
        <w:snapToGrid w:val="0"/>
        <w:spacing w:beforeLines="50" w:after="50"/>
        <w:rPr>
          <w:rFonts w:ascii="宋体" w:hAnsi="宋体"/>
          <w:b/>
          <w:sz w:val="24"/>
        </w:rPr>
      </w:pPr>
    </w:p>
    <w:p w14:paraId="20DD5068">
      <w:pPr>
        <w:snapToGrid w:val="0"/>
        <w:spacing w:beforeLines="50" w:after="50"/>
        <w:rPr>
          <w:rFonts w:ascii="宋体" w:hAnsi="宋体"/>
          <w:b/>
          <w:sz w:val="24"/>
        </w:rPr>
      </w:pPr>
    </w:p>
    <w:p w14:paraId="62FD5AF6">
      <w:pPr>
        <w:snapToGrid w:val="0"/>
        <w:spacing w:beforeLines="50" w:after="50"/>
        <w:rPr>
          <w:rFonts w:ascii="宋体" w:hAnsi="宋体"/>
          <w:b/>
          <w:sz w:val="24"/>
        </w:rPr>
      </w:pPr>
    </w:p>
    <w:p w14:paraId="4745CF5D">
      <w:pPr>
        <w:snapToGrid w:val="0"/>
        <w:spacing w:beforeLines="50" w:after="50"/>
        <w:rPr>
          <w:rFonts w:ascii="宋体" w:hAnsi="宋体"/>
          <w:b/>
          <w:sz w:val="24"/>
        </w:rPr>
      </w:pPr>
    </w:p>
    <w:p w14:paraId="61A9CE4D">
      <w:pPr>
        <w:snapToGrid w:val="0"/>
        <w:spacing w:beforeLines="50" w:after="50"/>
        <w:rPr>
          <w:rFonts w:ascii="宋体" w:hAnsi="宋体"/>
          <w:b/>
          <w:sz w:val="24"/>
        </w:rPr>
      </w:pPr>
    </w:p>
    <w:p w14:paraId="4061EDEE">
      <w:pPr>
        <w:snapToGrid w:val="0"/>
        <w:spacing w:beforeLines="50" w:after="50"/>
        <w:rPr>
          <w:rFonts w:ascii="宋体" w:hAnsi="宋体"/>
          <w:b/>
          <w:sz w:val="24"/>
        </w:rPr>
      </w:pPr>
    </w:p>
    <w:p w14:paraId="6F99A2B7">
      <w:pPr>
        <w:pStyle w:val="2"/>
        <w:ind w:firstLine="240"/>
      </w:pPr>
    </w:p>
    <w:p w14:paraId="38B4065E">
      <w:pPr>
        <w:snapToGrid w:val="0"/>
        <w:spacing w:beforeLines="50" w:after="50"/>
        <w:rPr>
          <w:rFonts w:ascii="宋体" w:hAnsi="宋体"/>
          <w:b/>
          <w:sz w:val="24"/>
        </w:rPr>
      </w:pPr>
    </w:p>
    <w:p w14:paraId="3AABE63F">
      <w:pPr>
        <w:pStyle w:val="2"/>
        <w:ind w:firstLine="240"/>
      </w:pPr>
    </w:p>
    <w:p w14:paraId="01553752">
      <w:pPr>
        <w:pStyle w:val="2"/>
        <w:ind w:firstLine="0" w:firstLineChars="0"/>
      </w:pPr>
    </w:p>
    <w:p w14:paraId="768ED376">
      <w:pPr>
        <w:snapToGrid w:val="0"/>
        <w:jc w:val="center"/>
        <w:rPr>
          <w:rFonts w:ascii="宋体" w:hAnsi="宋体"/>
          <w:b/>
          <w:sz w:val="28"/>
          <w:szCs w:val="28"/>
        </w:rPr>
      </w:pPr>
    </w:p>
    <w:p w14:paraId="0B67A51A">
      <w:pPr>
        <w:snapToGrid w:val="0"/>
        <w:jc w:val="center"/>
        <w:rPr>
          <w:rFonts w:ascii="宋体" w:hAnsi="宋体"/>
          <w:b/>
          <w:sz w:val="28"/>
          <w:szCs w:val="28"/>
        </w:rPr>
      </w:pPr>
      <w:r>
        <w:rPr>
          <w:rFonts w:hint="eastAsia" w:ascii="宋体" w:hAnsi="宋体"/>
          <w:b/>
          <w:sz w:val="28"/>
          <w:szCs w:val="28"/>
        </w:rPr>
        <w:t>企业类似业绩一览表</w:t>
      </w:r>
    </w:p>
    <w:p w14:paraId="3178F2D4">
      <w:pPr>
        <w:snapToGrid w:val="0"/>
        <w:jc w:val="center"/>
        <w:rPr>
          <w:rFonts w:ascii="宋体" w:hAnsi="宋体"/>
          <w:b/>
          <w:sz w:val="24"/>
        </w:rPr>
      </w:pP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2"/>
        <w:gridCol w:w="1985"/>
        <w:gridCol w:w="2126"/>
        <w:gridCol w:w="1985"/>
        <w:gridCol w:w="1678"/>
      </w:tblGrid>
      <w:tr w14:paraId="66FD8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0" w:hRule="atLeast"/>
          <w:jc w:val="center"/>
        </w:trPr>
        <w:tc>
          <w:tcPr>
            <w:tcW w:w="772" w:type="dxa"/>
            <w:vAlign w:val="center"/>
          </w:tcPr>
          <w:p w14:paraId="290A4731">
            <w:pPr>
              <w:snapToGrid w:val="0"/>
              <w:spacing w:line="340" w:lineRule="exact"/>
              <w:jc w:val="center"/>
              <w:rPr>
                <w:rFonts w:ascii="宋体"/>
                <w:bCs/>
                <w:szCs w:val="21"/>
              </w:rPr>
            </w:pPr>
            <w:r>
              <w:rPr>
                <w:rFonts w:hint="eastAsia" w:ascii="宋体"/>
                <w:bCs/>
                <w:szCs w:val="21"/>
              </w:rPr>
              <w:t>序号</w:t>
            </w:r>
          </w:p>
        </w:tc>
        <w:tc>
          <w:tcPr>
            <w:tcW w:w="1985" w:type="dxa"/>
            <w:vAlign w:val="center"/>
          </w:tcPr>
          <w:p w14:paraId="4CE69B30">
            <w:pPr>
              <w:snapToGrid w:val="0"/>
              <w:spacing w:line="340" w:lineRule="exact"/>
              <w:jc w:val="center"/>
              <w:rPr>
                <w:rFonts w:ascii="宋体"/>
                <w:bCs/>
                <w:szCs w:val="21"/>
              </w:rPr>
            </w:pPr>
            <w:r>
              <w:rPr>
                <w:rFonts w:hint="eastAsia" w:ascii="宋体" w:hAnsi="宋体"/>
                <w:szCs w:val="21"/>
              </w:rPr>
              <w:t>采购单位名称</w:t>
            </w:r>
          </w:p>
        </w:tc>
        <w:tc>
          <w:tcPr>
            <w:tcW w:w="2126" w:type="dxa"/>
            <w:vAlign w:val="center"/>
          </w:tcPr>
          <w:p w14:paraId="53011EE7">
            <w:pPr>
              <w:snapToGrid w:val="0"/>
              <w:spacing w:line="340" w:lineRule="exact"/>
              <w:jc w:val="center"/>
              <w:rPr>
                <w:rFonts w:ascii="宋体"/>
                <w:bCs/>
                <w:szCs w:val="21"/>
              </w:rPr>
            </w:pPr>
            <w:r>
              <w:rPr>
                <w:rFonts w:hint="eastAsia" w:ascii="宋体" w:hAnsi="宋体"/>
                <w:szCs w:val="21"/>
              </w:rPr>
              <w:t>项目名称</w:t>
            </w:r>
          </w:p>
        </w:tc>
        <w:tc>
          <w:tcPr>
            <w:tcW w:w="1985" w:type="dxa"/>
            <w:vAlign w:val="center"/>
          </w:tcPr>
          <w:p w14:paraId="5CA05DBA">
            <w:pPr>
              <w:snapToGrid w:val="0"/>
              <w:spacing w:line="340" w:lineRule="exact"/>
              <w:jc w:val="center"/>
              <w:rPr>
                <w:rFonts w:ascii="宋体"/>
                <w:bCs/>
                <w:szCs w:val="21"/>
              </w:rPr>
            </w:pPr>
            <w:r>
              <w:rPr>
                <w:rFonts w:hint="eastAsia" w:ascii="宋体"/>
                <w:bCs/>
                <w:szCs w:val="21"/>
              </w:rPr>
              <w:t>项目内容</w:t>
            </w:r>
          </w:p>
        </w:tc>
        <w:tc>
          <w:tcPr>
            <w:tcW w:w="1678" w:type="dxa"/>
            <w:vAlign w:val="center"/>
          </w:tcPr>
          <w:p w14:paraId="342BC59F">
            <w:pPr>
              <w:snapToGrid w:val="0"/>
              <w:spacing w:line="340" w:lineRule="exact"/>
              <w:jc w:val="center"/>
              <w:rPr>
                <w:rFonts w:ascii="宋体"/>
                <w:bCs/>
                <w:szCs w:val="21"/>
              </w:rPr>
            </w:pPr>
            <w:r>
              <w:rPr>
                <w:rFonts w:ascii="宋体"/>
                <w:bCs/>
                <w:szCs w:val="21"/>
              </w:rPr>
              <w:t>合同签订时间</w:t>
            </w:r>
          </w:p>
        </w:tc>
      </w:tr>
      <w:tr w14:paraId="2E7FE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772" w:type="dxa"/>
            <w:vAlign w:val="center"/>
          </w:tcPr>
          <w:p w14:paraId="2AFBF1A9">
            <w:pPr>
              <w:spacing w:line="360" w:lineRule="auto"/>
              <w:jc w:val="center"/>
              <w:rPr>
                <w:rFonts w:ascii="宋体"/>
                <w:sz w:val="24"/>
              </w:rPr>
            </w:pPr>
          </w:p>
        </w:tc>
        <w:tc>
          <w:tcPr>
            <w:tcW w:w="1985" w:type="dxa"/>
            <w:vAlign w:val="center"/>
          </w:tcPr>
          <w:p w14:paraId="04682CE2">
            <w:pPr>
              <w:spacing w:line="360" w:lineRule="auto"/>
              <w:jc w:val="center"/>
              <w:rPr>
                <w:rFonts w:ascii="宋体"/>
                <w:sz w:val="24"/>
              </w:rPr>
            </w:pPr>
          </w:p>
        </w:tc>
        <w:tc>
          <w:tcPr>
            <w:tcW w:w="2126" w:type="dxa"/>
            <w:vAlign w:val="center"/>
          </w:tcPr>
          <w:p w14:paraId="0C822864">
            <w:pPr>
              <w:spacing w:line="360" w:lineRule="auto"/>
              <w:jc w:val="center"/>
              <w:rPr>
                <w:rFonts w:ascii="宋体"/>
                <w:sz w:val="24"/>
              </w:rPr>
            </w:pPr>
          </w:p>
        </w:tc>
        <w:tc>
          <w:tcPr>
            <w:tcW w:w="1985" w:type="dxa"/>
            <w:vAlign w:val="center"/>
          </w:tcPr>
          <w:p w14:paraId="7F4A56BF">
            <w:pPr>
              <w:spacing w:line="360" w:lineRule="auto"/>
              <w:jc w:val="center"/>
              <w:rPr>
                <w:rFonts w:ascii="宋体"/>
                <w:sz w:val="24"/>
              </w:rPr>
            </w:pPr>
          </w:p>
        </w:tc>
        <w:tc>
          <w:tcPr>
            <w:tcW w:w="1678" w:type="dxa"/>
            <w:vAlign w:val="center"/>
          </w:tcPr>
          <w:p w14:paraId="783CDE50">
            <w:pPr>
              <w:spacing w:line="360" w:lineRule="auto"/>
              <w:jc w:val="center"/>
              <w:rPr>
                <w:rFonts w:ascii="宋体"/>
                <w:sz w:val="24"/>
              </w:rPr>
            </w:pPr>
          </w:p>
        </w:tc>
      </w:tr>
      <w:tr w14:paraId="373CE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89" w:hRule="atLeast"/>
          <w:jc w:val="center"/>
        </w:trPr>
        <w:tc>
          <w:tcPr>
            <w:tcW w:w="772" w:type="dxa"/>
            <w:vAlign w:val="center"/>
          </w:tcPr>
          <w:p w14:paraId="593DF915">
            <w:pPr>
              <w:spacing w:line="360" w:lineRule="auto"/>
              <w:jc w:val="center"/>
              <w:rPr>
                <w:rFonts w:ascii="宋体"/>
                <w:sz w:val="24"/>
              </w:rPr>
            </w:pPr>
          </w:p>
        </w:tc>
        <w:tc>
          <w:tcPr>
            <w:tcW w:w="1985" w:type="dxa"/>
            <w:vAlign w:val="center"/>
          </w:tcPr>
          <w:p w14:paraId="1013842A">
            <w:pPr>
              <w:spacing w:line="360" w:lineRule="auto"/>
              <w:jc w:val="center"/>
              <w:rPr>
                <w:rFonts w:ascii="宋体"/>
                <w:sz w:val="24"/>
              </w:rPr>
            </w:pPr>
          </w:p>
        </w:tc>
        <w:tc>
          <w:tcPr>
            <w:tcW w:w="2126" w:type="dxa"/>
            <w:vAlign w:val="center"/>
          </w:tcPr>
          <w:p w14:paraId="08A0552A">
            <w:pPr>
              <w:spacing w:line="360" w:lineRule="auto"/>
              <w:jc w:val="center"/>
              <w:rPr>
                <w:rFonts w:ascii="宋体"/>
                <w:sz w:val="24"/>
              </w:rPr>
            </w:pPr>
          </w:p>
        </w:tc>
        <w:tc>
          <w:tcPr>
            <w:tcW w:w="1985" w:type="dxa"/>
            <w:vAlign w:val="center"/>
          </w:tcPr>
          <w:p w14:paraId="761A2596">
            <w:pPr>
              <w:spacing w:line="360" w:lineRule="auto"/>
              <w:jc w:val="center"/>
              <w:rPr>
                <w:rFonts w:ascii="宋体"/>
                <w:sz w:val="24"/>
              </w:rPr>
            </w:pPr>
          </w:p>
        </w:tc>
        <w:tc>
          <w:tcPr>
            <w:tcW w:w="1678" w:type="dxa"/>
            <w:vAlign w:val="center"/>
          </w:tcPr>
          <w:p w14:paraId="49D0F27A">
            <w:pPr>
              <w:spacing w:line="360" w:lineRule="auto"/>
              <w:jc w:val="center"/>
              <w:rPr>
                <w:rFonts w:ascii="宋体"/>
                <w:sz w:val="24"/>
              </w:rPr>
            </w:pPr>
          </w:p>
        </w:tc>
      </w:tr>
      <w:tr w14:paraId="5182F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772" w:type="dxa"/>
            <w:vAlign w:val="center"/>
          </w:tcPr>
          <w:p w14:paraId="492BBBDA">
            <w:pPr>
              <w:spacing w:line="360" w:lineRule="auto"/>
              <w:jc w:val="center"/>
              <w:rPr>
                <w:rFonts w:ascii="宋体"/>
                <w:sz w:val="24"/>
              </w:rPr>
            </w:pPr>
          </w:p>
        </w:tc>
        <w:tc>
          <w:tcPr>
            <w:tcW w:w="1985" w:type="dxa"/>
            <w:vAlign w:val="center"/>
          </w:tcPr>
          <w:p w14:paraId="22EA06E4">
            <w:pPr>
              <w:spacing w:line="360" w:lineRule="auto"/>
              <w:jc w:val="center"/>
              <w:rPr>
                <w:rFonts w:ascii="宋体"/>
                <w:sz w:val="24"/>
              </w:rPr>
            </w:pPr>
          </w:p>
        </w:tc>
        <w:tc>
          <w:tcPr>
            <w:tcW w:w="2126" w:type="dxa"/>
            <w:vAlign w:val="center"/>
          </w:tcPr>
          <w:p w14:paraId="1387BC71">
            <w:pPr>
              <w:spacing w:line="360" w:lineRule="auto"/>
              <w:jc w:val="center"/>
              <w:rPr>
                <w:rFonts w:ascii="宋体"/>
                <w:sz w:val="24"/>
              </w:rPr>
            </w:pPr>
          </w:p>
        </w:tc>
        <w:tc>
          <w:tcPr>
            <w:tcW w:w="1985" w:type="dxa"/>
            <w:vAlign w:val="center"/>
          </w:tcPr>
          <w:p w14:paraId="0B016323">
            <w:pPr>
              <w:spacing w:line="360" w:lineRule="auto"/>
              <w:jc w:val="center"/>
              <w:rPr>
                <w:rFonts w:ascii="宋体"/>
                <w:sz w:val="24"/>
              </w:rPr>
            </w:pPr>
          </w:p>
        </w:tc>
        <w:tc>
          <w:tcPr>
            <w:tcW w:w="1678" w:type="dxa"/>
            <w:vAlign w:val="center"/>
          </w:tcPr>
          <w:p w14:paraId="3D719D9D">
            <w:pPr>
              <w:spacing w:line="360" w:lineRule="auto"/>
              <w:jc w:val="center"/>
              <w:rPr>
                <w:rFonts w:ascii="宋体"/>
                <w:sz w:val="24"/>
              </w:rPr>
            </w:pPr>
          </w:p>
        </w:tc>
      </w:tr>
      <w:tr w14:paraId="0AD05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772" w:type="dxa"/>
            <w:vAlign w:val="center"/>
          </w:tcPr>
          <w:p w14:paraId="70947BAB">
            <w:pPr>
              <w:spacing w:line="360" w:lineRule="auto"/>
              <w:jc w:val="center"/>
              <w:rPr>
                <w:rFonts w:ascii="宋体"/>
                <w:sz w:val="24"/>
              </w:rPr>
            </w:pPr>
          </w:p>
        </w:tc>
        <w:tc>
          <w:tcPr>
            <w:tcW w:w="1985" w:type="dxa"/>
            <w:vAlign w:val="center"/>
          </w:tcPr>
          <w:p w14:paraId="4831AE33">
            <w:pPr>
              <w:spacing w:line="360" w:lineRule="auto"/>
              <w:jc w:val="center"/>
              <w:rPr>
                <w:rFonts w:ascii="宋体"/>
                <w:sz w:val="24"/>
              </w:rPr>
            </w:pPr>
          </w:p>
        </w:tc>
        <w:tc>
          <w:tcPr>
            <w:tcW w:w="2126" w:type="dxa"/>
            <w:vAlign w:val="center"/>
          </w:tcPr>
          <w:p w14:paraId="148A6B6C">
            <w:pPr>
              <w:spacing w:line="360" w:lineRule="auto"/>
              <w:jc w:val="center"/>
              <w:rPr>
                <w:rFonts w:ascii="宋体"/>
                <w:sz w:val="24"/>
              </w:rPr>
            </w:pPr>
          </w:p>
        </w:tc>
        <w:tc>
          <w:tcPr>
            <w:tcW w:w="1985" w:type="dxa"/>
            <w:vAlign w:val="center"/>
          </w:tcPr>
          <w:p w14:paraId="01F7B28C">
            <w:pPr>
              <w:spacing w:line="360" w:lineRule="auto"/>
              <w:jc w:val="center"/>
              <w:rPr>
                <w:rFonts w:ascii="宋体"/>
                <w:sz w:val="24"/>
              </w:rPr>
            </w:pPr>
          </w:p>
        </w:tc>
        <w:tc>
          <w:tcPr>
            <w:tcW w:w="1678" w:type="dxa"/>
            <w:vAlign w:val="center"/>
          </w:tcPr>
          <w:p w14:paraId="5629E056">
            <w:pPr>
              <w:spacing w:line="360" w:lineRule="auto"/>
              <w:jc w:val="center"/>
              <w:rPr>
                <w:rFonts w:ascii="宋体"/>
                <w:sz w:val="24"/>
              </w:rPr>
            </w:pPr>
          </w:p>
        </w:tc>
      </w:tr>
      <w:tr w14:paraId="665CC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772" w:type="dxa"/>
            <w:vAlign w:val="center"/>
          </w:tcPr>
          <w:p w14:paraId="705D51DD">
            <w:pPr>
              <w:spacing w:line="360" w:lineRule="auto"/>
              <w:jc w:val="center"/>
              <w:rPr>
                <w:rFonts w:ascii="宋体"/>
                <w:sz w:val="24"/>
              </w:rPr>
            </w:pPr>
          </w:p>
        </w:tc>
        <w:tc>
          <w:tcPr>
            <w:tcW w:w="1985" w:type="dxa"/>
            <w:vAlign w:val="center"/>
          </w:tcPr>
          <w:p w14:paraId="0BC3C1CB">
            <w:pPr>
              <w:spacing w:line="360" w:lineRule="auto"/>
              <w:jc w:val="center"/>
              <w:rPr>
                <w:rFonts w:ascii="宋体"/>
                <w:sz w:val="24"/>
              </w:rPr>
            </w:pPr>
          </w:p>
        </w:tc>
        <w:tc>
          <w:tcPr>
            <w:tcW w:w="2126" w:type="dxa"/>
            <w:vAlign w:val="center"/>
          </w:tcPr>
          <w:p w14:paraId="573CFABA">
            <w:pPr>
              <w:spacing w:line="360" w:lineRule="auto"/>
              <w:jc w:val="center"/>
              <w:rPr>
                <w:rFonts w:ascii="宋体"/>
                <w:sz w:val="24"/>
              </w:rPr>
            </w:pPr>
          </w:p>
        </w:tc>
        <w:tc>
          <w:tcPr>
            <w:tcW w:w="1985" w:type="dxa"/>
            <w:vAlign w:val="center"/>
          </w:tcPr>
          <w:p w14:paraId="1C6B1FAE">
            <w:pPr>
              <w:spacing w:line="360" w:lineRule="auto"/>
              <w:jc w:val="center"/>
              <w:rPr>
                <w:rFonts w:ascii="宋体"/>
                <w:sz w:val="24"/>
              </w:rPr>
            </w:pPr>
          </w:p>
        </w:tc>
        <w:tc>
          <w:tcPr>
            <w:tcW w:w="1678" w:type="dxa"/>
            <w:vAlign w:val="center"/>
          </w:tcPr>
          <w:p w14:paraId="690EB2ED">
            <w:pPr>
              <w:spacing w:line="360" w:lineRule="auto"/>
              <w:jc w:val="center"/>
              <w:rPr>
                <w:rFonts w:ascii="宋体"/>
                <w:sz w:val="24"/>
              </w:rPr>
            </w:pPr>
          </w:p>
        </w:tc>
      </w:tr>
      <w:tr w14:paraId="497DC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772" w:type="dxa"/>
            <w:vAlign w:val="center"/>
          </w:tcPr>
          <w:p w14:paraId="3DB727BE">
            <w:pPr>
              <w:spacing w:line="360" w:lineRule="auto"/>
              <w:jc w:val="center"/>
              <w:rPr>
                <w:rFonts w:ascii="宋体"/>
                <w:sz w:val="24"/>
              </w:rPr>
            </w:pPr>
          </w:p>
        </w:tc>
        <w:tc>
          <w:tcPr>
            <w:tcW w:w="1985" w:type="dxa"/>
            <w:vAlign w:val="center"/>
          </w:tcPr>
          <w:p w14:paraId="156B32F6">
            <w:pPr>
              <w:spacing w:line="360" w:lineRule="auto"/>
              <w:jc w:val="center"/>
              <w:rPr>
                <w:rFonts w:ascii="宋体"/>
                <w:sz w:val="24"/>
              </w:rPr>
            </w:pPr>
          </w:p>
        </w:tc>
        <w:tc>
          <w:tcPr>
            <w:tcW w:w="2126" w:type="dxa"/>
            <w:vAlign w:val="center"/>
          </w:tcPr>
          <w:p w14:paraId="7DFC527F">
            <w:pPr>
              <w:spacing w:line="360" w:lineRule="auto"/>
              <w:jc w:val="center"/>
              <w:rPr>
                <w:rFonts w:ascii="宋体"/>
                <w:sz w:val="24"/>
              </w:rPr>
            </w:pPr>
          </w:p>
        </w:tc>
        <w:tc>
          <w:tcPr>
            <w:tcW w:w="1985" w:type="dxa"/>
            <w:vAlign w:val="center"/>
          </w:tcPr>
          <w:p w14:paraId="05956412">
            <w:pPr>
              <w:spacing w:line="360" w:lineRule="auto"/>
              <w:jc w:val="center"/>
              <w:rPr>
                <w:rFonts w:ascii="宋体"/>
                <w:sz w:val="24"/>
              </w:rPr>
            </w:pPr>
          </w:p>
        </w:tc>
        <w:tc>
          <w:tcPr>
            <w:tcW w:w="1678" w:type="dxa"/>
            <w:vAlign w:val="center"/>
          </w:tcPr>
          <w:p w14:paraId="79EB931C">
            <w:pPr>
              <w:spacing w:line="360" w:lineRule="auto"/>
              <w:jc w:val="center"/>
              <w:rPr>
                <w:rFonts w:ascii="宋体"/>
                <w:sz w:val="24"/>
              </w:rPr>
            </w:pPr>
          </w:p>
        </w:tc>
      </w:tr>
      <w:tr w14:paraId="77FB7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772" w:type="dxa"/>
            <w:vAlign w:val="center"/>
          </w:tcPr>
          <w:p w14:paraId="3B64781B">
            <w:pPr>
              <w:spacing w:line="360" w:lineRule="auto"/>
              <w:ind w:firstLine="386" w:firstLineChars="161"/>
              <w:jc w:val="center"/>
              <w:rPr>
                <w:rFonts w:ascii="宋体"/>
                <w:sz w:val="24"/>
              </w:rPr>
            </w:pPr>
          </w:p>
        </w:tc>
        <w:tc>
          <w:tcPr>
            <w:tcW w:w="1985" w:type="dxa"/>
            <w:vAlign w:val="center"/>
          </w:tcPr>
          <w:p w14:paraId="27C2276C">
            <w:pPr>
              <w:spacing w:line="360" w:lineRule="auto"/>
              <w:jc w:val="center"/>
              <w:rPr>
                <w:rFonts w:ascii="宋体"/>
                <w:sz w:val="24"/>
              </w:rPr>
            </w:pPr>
          </w:p>
        </w:tc>
        <w:tc>
          <w:tcPr>
            <w:tcW w:w="2126" w:type="dxa"/>
            <w:vAlign w:val="center"/>
          </w:tcPr>
          <w:p w14:paraId="6172E4C3">
            <w:pPr>
              <w:spacing w:line="360" w:lineRule="auto"/>
              <w:jc w:val="center"/>
              <w:rPr>
                <w:rFonts w:ascii="宋体"/>
                <w:sz w:val="24"/>
              </w:rPr>
            </w:pPr>
          </w:p>
        </w:tc>
        <w:tc>
          <w:tcPr>
            <w:tcW w:w="1985" w:type="dxa"/>
            <w:vAlign w:val="center"/>
          </w:tcPr>
          <w:p w14:paraId="635981F0">
            <w:pPr>
              <w:spacing w:line="360" w:lineRule="auto"/>
              <w:jc w:val="center"/>
              <w:rPr>
                <w:rFonts w:ascii="宋体"/>
                <w:sz w:val="24"/>
              </w:rPr>
            </w:pPr>
          </w:p>
        </w:tc>
        <w:tc>
          <w:tcPr>
            <w:tcW w:w="1678" w:type="dxa"/>
            <w:vAlign w:val="center"/>
          </w:tcPr>
          <w:p w14:paraId="6433BCEA">
            <w:pPr>
              <w:spacing w:line="360" w:lineRule="auto"/>
              <w:jc w:val="center"/>
              <w:rPr>
                <w:rFonts w:ascii="宋体"/>
                <w:sz w:val="24"/>
              </w:rPr>
            </w:pPr>
          </w:p>
        </w:tc>
      </w:tr>
      <w:tr w14:paraId="0D778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772" w:type="dxa"/>
            <w:vAlign w:val="center"/>
          </w:tcPr>
          <w:p w14:paraId="4D9E7516">
            <w:pPr>
              <w:spacing w:line="360" w:lineRule="auto"/>
              <w:ind w:firstLine="386" w:firstLineChars="161"/>
              <w:jc w:val="center"/>
              <w:rPr>
                <w:rFonts w:ascii="宋体"/>
                <w:sz w:val="24"/>
              </w:rPr>
            </w:pPr>
          </w:p>
        </w:tc>
        <w:tc>
          <w:tcPr>
            <w:tcW w:w="1985" w:type="dxa"/>
            <w:vAlign w:val="center"/>
          </w:tcPr>
          <w:p w14:paraId="7FA7BC36">
            <w:pPr>
              <w:spacing w:line="360" w:lineRule="auto"/>
              <w:jc w:val="center"/>
              <w:rPr>
                <w:rFonts w:ascii="宋体"/>
                <w:sz w:val="24"/>
              </w:rPr>
            </w:pPr>
          </w:p>
        </w:tc>
        <w:tc>
          <w:tcPr>
            <w:tcW w:w="2126" w:type="dxa"/>
            <w:vAlign w:val="center"/>
          </w:tcPr>
          <w:p w14:paraId="610AF7A4">
            <w:pPr>
              <w:spacing w:line="360" w:lineRule="auto"/>
              <w:jc w:val="center"/>
              <w:rPr>
                <w:rFonts w:ascii="宋体"/>
                <w:sz w:val="24"/>
              </w:rPr>
            </w:pPr>
          </w:p>
        </w:tc>
        <w:tc>
          <w:tcPr>
            <w:tcW w:w="1985" w:type="dxa"/>
            <w:vAlign w:val="center"/>
          </w:tcPr>
          <w:p w14:paraId="4589AABA">
            <w:pPr>
              <w:spacing w:line="360" w:lineRule="auto"/>
              <w:jc w:val="center"/>
              <w:rPr>
                <w:rFonts w:ascii="宋体"/>
                <w:sz w:val="24"/>
              </w:rPr>
            </w:pPr>
          </w:p>
        </w:tc>
        <w:tc>
          <w:tcPr>
            <w:tcW w:w="1678" w:type="dxa"/>
            <w:vAlign w:val="center"/>
          </w:tcPr>
          <w:p w14:paraId="11783948">
            <w:pPr>
              <w:spacing w:line="360" w:lineRule="auto"/>
              <w:jc w:val="center"/>
              <w:rPr>
                <w:rFonts w:ascii="宋体"/>
                <w:sz w:val="24"/>
              </w:rPr>
            </w:pPr>
          </w:p>
        </w:tc>
      </w:tr>
      <w:tr w14:paraId="11C56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772" w:type="dxa"/>
            <w:vAlign w:val="center"/>
          </w:tcPr>
          <w:p w14:paraId="5DCE1FA2">
            <w:pPr>
              <w:spacing w:line="360" w:lineRule="auto"/>
              <w:ind w:firstLine="386" w:firstLineChars="161"/>
              <w:jc w:val="center"/>
              <w:rPr>
                <w:rFonts w:ascii="宋体"/>
                <w:sz w:val="24"/>
              </w:rPr>
            </w:pPr>
          </w:p>
        </w:tc>
        <w:tc>
          <w:tcPr>
            <w:tcW w:w="1985" w:type="dxa"/>
            <w:vAlign w:val="center"/>
          </w:tcPr>
          <w:p w14:paraId="065A7D4B">
            <w:pPr>
              <w:spacing w:line="360" w:lineRule="auto"/>
              <w:jc w:val="center"/>
              <w:rPr>
                <w:rFonts w:ascii="宋体"/>
                <w:sz w:val="24"/>
              </w:rPr>
            </w:pPr>
          </w:p>
        </w:tc>
        <w:tc>
          <w:tcPr>
            <w:tcW w:w="2126" w:type="dxa"/>
            <w:vAlign w:val="center"/>
          </w:tcPr>
          <w:p w14:paraId="62201C93">
            <w:pPr>
              <w:spacing w:line="360" w:lineRule="auto"/>
              <w:jc w:val="center"/>
              <w:rPr>
                <w:rFonts w:ascii="宋体"/>
                <w:sz w:val="24"/>
              </w:rPr>
            </w:pPr>
          </w:p>
        </w:tc>
        <w:tc>
          <w:tcPr>
            <w:tcW w:w="1985" w:type="dxa"/>
            <w:vAlign w:val="center"/>
          </w:tcPr>
          <w:p w14:paraId="0D7079AB">
            <w:pPr>
              <w:spacing w:line="360" w:lineRule="auto"/>
              <w:jc w:val="center"/>
              <w:rPr>
                <w:rFonts w:ascii="宋体"/>
                <w:sz w:val="24"/>
              </w:rPr>
            </w:pPr>
          </w:p>
        </w:tc>
        <w:tc>
          <w:tcPr>
            <w:tcW w:w="1678" w:type="dxa"/>
            <w:vAlign w:val="center"/>
          </w:tcPr>
          <w:p w14:paraId="5BA5C30A">
            <w:pPr>
              <w:spacing w:line="360" w:lineRule="auto"/>
              <w:jc w:val="center"/>
              <w:rPr>
                <w:rFonts w:ascii="宋体"/>
                <w:sz w:val="24"/>
              </w:rPr>
            </w:pPr>
          </w:p>
        </w:tc>
      </w:tr>
      <w:tr w14:paraId="3E225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772" w:type="dxa"/>
            <w:vAlign w:val="center"/>
          </w:tcPr>
          <w:p w14:paraId="2A2DB548">
            <w:pPr>
              <w:spacing w:line="360" w:lineRule="auto"/>
              <w:ind w:firstLine="386" w:firstLineChars="161"/>
              <w:jc w:val="center"/>
              <w:rPr>
                <w:rFonts w:ascii="宋体"/>
                <w:sz w:val="24"/>
              </w:rPr>
            </w:pPr>
          </w:p>
        </w:tc>
        <w:tc>
          <w:tcPr>
            <w:tcW w:w="1985" w:type="dxa"/>
            <w:vAlign w:val="center"/>
          </w:tcPr>
          <w:p w14:paraId="2430F9B7">
            <w:pPr>
              <w:spacing w:line="360" w:lineRule="auto"/>
              <w:jc w:val="center"/>
              <w:rPr>
                <w:rFonts w:ascii="宋体"/>
                <w:sz w:val="24"/>
              </w:rPr>
            </w:pPr>
          </w:p>
        </w:tc>
        <w:tc>
          <w:tcPr>
            <w:tcW w:w="2126" w:type="dxa"/>
            <w:vAlign w:val="center"/>
          </w:tcPr>
          <w:p w14:paraId="374BD27A">
            <w:pPr>
              <w:spacing w:line="360" w:lineRule="auto"/>
              <w:jc w:val="center"/>
              <w:rPr>
                <w:rFonts w:ascii="宋体"/>
                <w:sz w:val="24"/>
              </w:rPr>
            </w:pPr>
          </w:p>
        </w:tc>
        <w:tc>
          <w:tcPr>
            <w:tcW w:w="1985" w:type="dxa"/>
            <w:vAlign w:val="center"/>
          </w:tcPr>
          <w:p w14:paraId="135EF7A3">
            <w:pPr>
              <w:spacing w:line="360" w:lineRule="auto"/>
              <w:jc w:val="center"/>
              <w:rPr>
                <w:rFonts w:ascii="宋体"/>
                <w:sz w:val="24"/>
              </w:rPr>
            </w:pPr>
          </w:p>
        </w:tc>
        <w:tc>
          <w:tcPr>
            <w:tcW w:w="1678" w:type="dxa"/>
            <w:vAlign w:val="center"/>
          </w:tcPr>
          <w:p w14:paraId="24DC17FE">
            <w:pPr>
              <w:spacing w:line="360" w:lineRule="auto"/>
              <w:jc w:val="center"/>
              <w:rPr>
                <w:rFonts w:ascii="宋体"/>
                <w:sz w:val="24"/>
              </w:rPr>
            </w:pPr>
          </w:p>
        </w:tc>
      </w:tr>
    </w:tbl>
    <w:p w14:paraId="17928392">
      <w:pPr>
        <w:snapToGrid w:val="0"/>
        <w:spacing w:before="50" w:afterLines="50"/>
        <w:rPr>
          <w:rFonts w:ascii="宋体" w:hAnsi="宋体" w:cs="宋体"/>
          <w:sz w:val="24"/>
        </w:rPr>
      </w:pPr>
      <w:r>
        <w:rPr>
          <w:rFonts w:hint="eastAsia" w:ascii="宋体" w:hAnsi="宋体" w:cs="宋体"/>
          <w:sz w:val="24"/>
        </w:rPr>
        <w:t>注：1、业绩要求参考本文件评分标准；</w:t>
      </w:r>
    </w:p>
    <w:p w14:paraId="3803478A">
      <w:pPr>
        <w:snapToGrid w:val="0"/>
        <w:ind w:firstLine="470" w:firstLineChars="196"/>
        <w:jc w:val="left"/>
        <w:rPr>
          <w:rFonts w:ascii="宋体" w:cs="Arial"/>
          <w:sz w:val="24"/>
        </w:rPr>
      </w:pPr>
      <w:r>
        <w:rPr>
          <w:rFonts w:hint="eastAsia" w:ascii="宋体" w:hAnsi="宋体" w:cs="宋体"/>
          <w:sz w:val="24"/>
        </w:rPr>
        <w:t>2、此表仅提供了表格形式，供应商应根据需要准备足够数量的表格来填写。</w:t>
      </w:r>
    </w:p>
    <w:p w14:paraId="09131043">
      <w:pPr>
        <w:spacing w:line="360" w:lineRule="auto"/>
        <w:rPr>
          <w:rFonts w:ascii="宋体"/>
          <w:b/>
          <w:spacing w:val="14"/>
          <w:sz w:val="24"/>
        </w:rPr>
      </w:pPr>
    </w:p>
    <w:p w14:paraId="44310944">
      <w:pPr>
        <w:snapToGrid w:val="0"/>
        <w:jc w:val="left"/>
        <w:rPr>
          <w:rFonts w:ascii="宋体" w:cs="Arial"/>
          <w:sz w:val="24"/>
        </w:rPr>
      </w:pPr>
    </w:p>
    <w:p w14:paraId="1636A6A2">
      <w:pPr>
        <w:snapToGrid w:val="0"/>
        <w:jc w:val="left"/>
        <w:rPr>
          <w:rFonts w:ascii="宋体" w:cs="Arial"/>
          <w:sz w:val="24"/>
        </w:rPr>
      </w:pPr>
    </w:p>
    <w:p w14:paraId="3D5695D3">
      <w:pPr>
        <w:snapToGrid w:val="0"/>
        <w:spacing w:line="520" w:lineRule="exact"/>
        <w:jc w:val="left"/>
        <w:rPr>
          <w:rFonts w:ascii="宋体" w:hAnsi="宋体"/>
          <w:sz w:val="24"/>
        </w:rPr>
      </w:pPr>
      <w:r>
        <w:rPr>
          <w:rFonts w:hint="eastAsia" w:ascii="宋体" w:hAnsi="宋体"/>
          <w:sz w:val="24"/>
        </w:rPr>
        <w:t>供应商（盖章）：</w:t>
      </w:r>
    </w:p>
    <w:p w14:paraId="0DDE5880">
      <w:pPr>
        <w:snapToGrid w:val="0"/>
        <w:spacing w:line="520" w:lineRule="exact"/>
        <w:jc w:val="left"/>
        <w:rPr>
          <w:rFonts w:ascii="宋体" w:hAnsi="宋体"/>
          <w:color w:val="auto"/>
          <w:sz w:val="24"/>
        </w:rPr>
      </w:pPr>
      <w:r>
        <w:rPr>
          <w:rFonts w:hint="eastAsia" w:ascii="宋体" w:hAnsi="宋体"/>
          <w:color w:val="auto"/>
          <w:sz w:val="24"/>
        </w:rPr>
        <w:t>法定代表人或其授权代理人（签字或盖章）:</w:t>
      </w:r>
    </w:p>
    <w:p w14:paraId="59E09DCA">
      <w:pPr>
        <w:snapToGrid w:val="0"/>
        <w:spacing w:line="520" w:lineRule="exact"/>
        <w:jc w:val="left"/>
        <w:rPr>
          <w:rFonts w:ascii="宋体" w:hAnsi="宋体"/>
          <w:color w:val="auto"/>
          <w:sz w:val="24"/>
        </w:rPr>
      </w:pPr>
      <w:r>
        <w:rPr>
          <w:rFonts w:hint="eastAsia" w:ascii="宋体" w:hAnsi="宋体"/>
          <w:color w:val="auto"/>
          <w:sz w:val="24"/>
        </w:rPr>
        <w:t>日期：</w:t>
      </w:r>
      <w:r>
        <w:rPr>
          <w:rFonts w:hint="eastAsia" w:ascii="宋体" w:hAnsi="宋体"/>
          <w:color w:val="auto"/>
          <w:sz w:val="24"/>
          <w:lang w:eastAsia="zh-CN"/>
        </w:rPr>
        <w:t>2025年</w:t>
      </w:r>
      <w:r>
        <w:rPr>
          <w:rFonts w:hint="eastAsia" w:ascii="宋体" w:hAnsi="宋体"/>
          <w:color w:val="auto"/>
          <w:sz w:val="24"/>
        </w:rPr>
        <w:t xml:space="preserve">  月   日</w:t>
      </w:r>
    </w:p>
    <w:p w14:paraId="4539FF25"/>
    <w:p w14:paraId="2852EB96">
      <w:pPr>
        <w:spacing w:line="360" w:lineRule="auto"/>
        <w:rPr>
          <w:rFonts w:ascii="宋体" w:hAnsi="宋体"/>
          <w:b/>
          <w:bCs/>
          <w:color w:val="000000"/>
          <w:sz w:val="28"/>
          <w:szCs w:val="28"/>
        </w:rPr>
      </w:pPr>
      <w:r>
        <w:rPr>
          <w:rFonts w:hint="eastAsia" w:ascii="宋体" w:hAnsi="宋体"/>
          <w:b/>
          <w:bCs/>
          <w:color w:val="000000"/>
          <w:sz w:val="28"/>
          <w:szCs w:val="28"/>
        </w:rPr>
        <w:t>三、报价文件</w:t>
      </w:r>
      <w:r>
        <w:rPr>
          <w:rFonts w:hint="eastAsia" w:ascii="宋体" w:hAnsi="宋体"/>
          <w:b/>
          <w:bCs/>
          <w:sz w:val="28"/>
          <w:szCs w:val="28"/>
          <w:lang w:val="zh-CN"/>
        </w:rPr>
        <w:t>目录</w:t>
      </w:r>
      <w:r>
        <w:rPr>
          <w:rFonts w:hint="eastAsia" w:ascii="宋体" w:hAnsi="宋体"/>
          <w:b/>
          <w:bCs/>
          <w:color w:val="000000"/>
          <w:sz w:val="28"/>
          <w:szCs w:val="28"/>
        </w:rPr>
        <w:t>：</w:t>
      </w:r>
    </w:p>
    <w:p w14:paraId="70DC33AC">
      <w:pPr>
        <w:rPr>
          <w:color w:val="000000"/>
        </w:rPr>
      </w:pPr>
      <w:r>
        <w:rPr>
          <w:rFonts w:hint="eastAsia"/>
        </w:rPr>
        <w:t>具体内容参照响应文件的组成</w:t>
      </w:r>
      <w:r>
        <w:rPr>
          <w:rFonts w:hint="eastAsia"/>
          <w:color w:val="000000"/>
        </w:rPr>
        <w:t>。</w:t>
      </w:r>
    </w:p>
    <w:p w14:paraId="31AE0306">
      <w:pPr>
        <w:spacing w:line="360" w:lineRule="auto"/>
        <w:jc w:val="center"/>
        <w:rPr>
          <w:rFonts w:ascii="宋体" w:hAnsi="宋体"/>
          <w:b/>
          <w:bCs/>
          <w:sz w:val="32"/>
          <w:szCs w:val="32"/>
        </w:rPr>
      </w:pPr>
    </w:p>
    <w:p w14:paraId="224D288D">
      <w:pPr>
        <w:pStyle w:val="2"/>
        <w:ind w:firstLine="321"/>
        <w:rPr>
          <w:rFonts w:ascii="宋体" w:hAnsi="宋体"/>
          <w:b/>
          <w:bCs/>
          <w:sz w:val="32"/>
          <w:szCs w:val="32"/>
        </w:rPr>
      </w:pPr>
    </w:p>
    <w:p w14:paraId="1D58FC6E">
      <w:pPr>
        <w:pStyle w:val="2"/>
        <w:ind w:firstLine="321"/>
        <w:rPr>
          <w:rFonts w:ascii="宋体" w:hAnsi="宋体"/>
          <w:b/>
          <w:bCs/>
          <w:sz w:val="32"/>
          <w:szCs w:val="32"/>
        </w:rPr>
      </w:pPr>
    </w:p>
    <w:p w14:paraId="18E12D26">
      <w:pPr>
        <w:pStyle w:val="2"/>
        <w:ind w:firstLine="321"/>
        <w:rPr>
          <w:rFonts w:ascii="宋体" w:hAnsi="宋体"/>
          <w:b/>
          <w:bCs/>
          <w:sz w:val="32"/>
          <w:szCs w:val="32"/>
        </w:rPr>
      </w:pPr>
    </w:p>
    <w:p w14:paraId="551BF2A7">
      <w:pPr>
        <w:pStyle w:val="2"/>
        <w:ind w:firstLine="321"/>
        <w:rPr>
          <w:rFonts w:ascii="宋体" w:hAnsi="宋体"/>
          <w:b/>
          <w:bCs/>
          <w:sz w:val="32"/>
          <w:szCs w:val="32"/>
        </w:rPr>
      </w:pPr>
    </w:p>
    <w:p w14:paraId="6260092E">
      <w:pPr>
        <w:pStyle w:val="2"/>
        <w:ind w:firstLine="321"/>
        <w:rPr>
          <w:rFonts w:ascii="宋体" w:hAnsi="宋体"/>
          <w:b/>
          <w:bCs/>
          <w:sz w:val="32"/>
          <w:szCs w:val="32"/>
        </w:rPr>
      </w:pPr>
    </w:p>
    <w:p w14:paraId="22564376">
      <w:pPr>
        <w:pStyle w:val="2"/>
        <w:ind w:firstLine="321"/>
        <w:rPr>
          <w:rFonts w:ascii="宋体" w:hAnsi="宋体"/>
          <w:b/>
          <w:bCs/>
          <w:sz w:val="32"/>
          <w:szCs w:val="32"/>
        </w:rPr>
      </w:pPr>
    </w:p>
    <w:p w14:paraId="505A6807">
      <w:pPr>
        <w:pStyle w:val="2"/>
        <w:ind w:firstLine="321"/>
        <w:rPr>
          <w:rFonts w:ascii="宋体" w:hAnsi="宋体"/>
          <w:b/>
          <w:bCs/>
          <w:sz w:val="32"/>
          <w:szCs w:val="32"/>
        </w:rPr>
      </w:pPr>
    </w:p>
    <w:p w14:paraId="111C03A5">
      <w:pPr>
        <w:pStyle w:val="2"/>
        <w:ind w:firstLine="321"/>
        <w:rPr>
          <w:rFonts w:ascii="宋体" w:hAnsi="宋体"/>
          <w:b/>
          <w:bCs/>
          <w:sz w:val="32"/>
          <w:szCs w:val="32"/>
        </w:rPr>
      </w:pPr>
    </w:p>
    <w:p w14:paraId="0724A32D">
      <w:pPr>
        <w:pStyle w:val="2"/>
        <w:ind w:firstLine="321"/>
        <w:rPr>
          <w:rFonts w:ascii="宋体" w:hAnsi="宋体"/>
          <w:b/>
          <w:bCs/>
          <w:sz w:val="32"/>
          <w:szCs w:val="32"/>
        </w:rPr>
      </w:pPr>
    </w:p>
    <w:p w14:paraId="3EEBBAC7">
      <w:pPr>
        <w:pStyle w:val="2"/>
        <w:ind w:firstLine="321"/>
        <w:rPr>
          <w:rFonts w:ascii="宋体" w:hAnsi="宋体"/>
          <w:b/>
          <w:bCs/>
          <w:sz w:val="32"/>
          <w:szCs w:val="32"/>
        </w:rPr>
      </w:pPr>
    </w:p>
    <w:p w14:paraId="6B708221">
      <w:pPr>
        <w:pStyle w:val="2"/>
        <w:ind w:firstLine="321"/>
        <w:rPr>
          <w:rFonts w:ascii="宋体" w:hAnsi="宋体"/>
          <w:b/>
          <w:bCs/>
          <w:sz w:val="32"/>
          <w:szCs w:val="32"/>
        </w:rPr>
      </w:pPr>
    </w:p>
    <w:p w14:paraId="18CBC4D3"/>
    <w:p w14:paraId="31DEB475"/>
    <w:p w14:paraId="471F17DD"/>
    <w:p w14:paraId="527CC2C5"/>
    <w:p w14:paraId="797E40ED"/>
    <w:p w14:paraId="675345D0"/>
    <w:p w14:paraId="7E40EC6A"/>
    <w:p w14:paraId="566B522D"/>
    <w:p w14:paraId="57A30DE9">
      <w:pPr>
        <w:pStyle w:val="2"/>
        <w:ind w:firstLine="321"/>
        <w:rPr>
          <w:rFonts w:ascii="宋体" w:hAnsi="宋体"/>
          <w:b/>
          <w:bCs/>
          <w:sz w:val="32"/>
          <w:szCs w:val="32"/>
        </w:rPr>
      </w:pPr>
    </w:p>
    <w:p w14:paraId="5CEE1BF6">
      <w:pPr>
        <w:snapToGrid w:val="0"/>
        <w:spacing w:before="50" w:afterLines="50"/>
        <w:jc w:val="left"/>
        <w:rPr>
          <w:rFonts w:ascii="宋体" w:hAnsi="宋体"/>
          <w:b/>
          <w:bCs/>
          <w:sz w:val="28"/>
          <w:szCs w:val="28"/>
        </w:rPr>
      </w:pPr>
    </w:p>
    <w:p w14:paraId="29878A7A">
      <w:pPr>
        <w:snapToGrid w:val="0"/>
        <w:spacing w:before="50" w:afterLines="50"/>
        <w:jc w:val="left"/>
        <w:rPr>
          <w:rFonts w:ascii="宋体" w:hAnsi="宋体"/>
          <w:b/>
          <w:bCs/>
          <w:color w:val="000000"/>
          <w:sz w:val="24"/>
        </w:rPr>
      </w:pPr>
    </w:p>
    <w:p w14:paraId="502E703D">
      <w:pPr>
        <w:snapToGrid w:val="0"/>
        <w:spacing w:before="50" w:afterLines="50"/>
        <w:jc w:val="left"/>
        <w:rPr>
          <w:rFonts w:ascii="宋体" w:hAnsi="宋体" w:cs="宋体"/>
          <w:b/>
          <w:bCs/>
          <w:sz w:val="24"/>
        </w:rPr>
      </w:pPr>
      <w:r>
        <w:rPr>
          <w:rFonts w:hint="eastAsia" w:ascii="宋体" w:hAnsi="宋体"/>
          <w:b/>
          <w:bCs/>
          <w:color w:val="000000"/>
          <w:sz w:val="24"/>
        </w:rPr>
        <w:t>报价文件格式：</w:t>
      </w:r>
    </w:p>
    <w:p w14:paraId="376A5C6E">
      <w:pPr>
        <w:spacing w:line="360" w:lineRule="auto"/>
        <w:jc w:val="center"/>
        <w:rPr>
          <w:rFonts w:ascii="宋体" w:hAnsi="宋体"/>
          <w:b/>
          <w:sz w:val="32"/>
          <w:szCs w:val="32"/>
        </w:rPr>
      </w:pPr>
      <w:r>
        <w:rPr>
          <w:rFonts w:hint="eastAsia" w:ascii="宋体" w:hAnsi="宋体"/>
          <w:b/>
          <w:sz w:val="32"/>
          <w:szCs w:val="32"/>
        </w:rPr>
        <w:t>竞 标 函</w:t>
      </w:r>
    </w:p>
    <w:p w14:paraId="2406DD91">
      <w:pPr>
        <w:spacing w:line="360" w:lineRule="auto"/>
        <w:rPr>
          <w:rFonts w:ascii="宋体" w:hAnsi="宋体"/>
          <w:sz w:val="28"/>
          <w:szCs w:val="28"/>
        </w:rPr>
      </w:pPr>
    </w:p>
    <w:p w14:paraId="15C967D3">
      <w:pPr>
        <w:snapToGrid w:val="0"/>
        <w:spacing w:line="460" w:lineRule="exact"/>
        <w:rPr>
          <w:rFonts w:ascii="宋体" w:hAnsi="宋体"/>
          <w:sz w:val="24"/>
          <w:szCs w:val="20"/>
        </w:rPr>
      </w:pPr>
      <w:r>
        <w:rPr>
          <w:rFonts w:hint="eastAsia" w:ascii="宋体" w:hAnsi="宋体"/>
          <w:sz w:val="24"/>
        </w:rPr>
        <w:t>致：</w:t>
      </w:r>
      <w:r>
        <w:rPr>
          <w:rFonts w:hint="eastAsia" w:ascii="宋体" w:hAnsi="宋体"/>
          <w:sz w:val="24"/>
          <w:u w:val="single"/>
        </w:rPr>
        <w:t xml:space="preserve">                             </w:t>
      </w:r>
      <w:r>
        <w:rPr>
          <w:rFonts w:hint="eastAsia" w:ascii="宋体" w:hAnsi="宋体"/>
          <w:sz w:val="24"/>
        </w:rPr>
        <w:t>（磋商采购人名称）：</w:t>
      </w:r>
    </w:p>
    <w:p w14:paraId="2DB7D2AF">
      <w:pPr>
        <w:snapToGrid w:val="0"/>
        <w:spacing w:line="460" w:lineRule="exact"/>
        <w:ind w:firstLine="600" w:firstLineChars="250"/>
        <w:rPr>
          <w:rFonts w:ascii="宋体" w:hAnsi="宋体"/>
          <w:sz w:val="24"/>
          <w:szCs w:val="20"/>
        </w:rPr>
      </w:pPr>
      <w:r>
        <w:rPr>
          <w:rFonts w:hint="eastAsia" w:ascii="宋体" w:hAnsi="宋体"/>
          <w:sz w:val="24"/>
        </w:rPr>
        <w:t>根据贵方为</w:t>
      </w:r>
      <w:r>
        <w:rPr>
          <w:rFonts w:hint="eastAsia" w:ascii="宋体" w:hAnsi="宋体"/>
          <w:sz w:val="24"/>
          <w:u w:val="single"/>
        </w:rPr>
        <w:t xml:space="preserve">                           </w:t>
      </w:r>
      <w:r>
        <w:rPr>
          <w:rFonts w:hint="eastAsia" w:ascii="宋体" w:hAnsi="宋体"/>
          <w:sz w:val="24"/>
        </w:rPr>
        <w:t>项目的磋商公告（项目编号：</w:t>
      </w:r>
      <w:r>
        <w:rPr>
          <w:rFonts w:hint="eastAsia" w:ascii="宋体" w:hAnsi="宋体"/>
          <w:sz w:val="24"/>
          <w:u w:val="single"/>
        </w:rPr>
        <w:t xml:space="preserve">       </w:t>
      </w:r>
      <w:r>
        <w:rPr>
          <w:rFonts w:hint="eastAsia" w:ascii="宋体" w:hAnsi="宋体"/>
          <w:sz w:val="24"/>
        </w:rPr>
        <w:t>），签字代表</w:t>
      </w:r>
      <w:r>
        <w:rPr>
          <w:rFonts w:hint="eastAsia" w:ascii="宋体" w:hAnsi="宋体"/>
          <w:sz w:val="24"/>
          <w:u w:val="single"/>
        </w:rPr>
        <w:t xml:space="preserve">       </w:t>
      </w:r>
      <w:r>
        <w:rPr>
          <w:rFonts w:hint="eastAsia" w:ascii="宋体" w:hAnsi="宋体"/>
          <w:sz w:val="24"/>
        </w:rPr>
        <w:t>（全名）经正式授权并代表供应商</w:t>
      </w:r>
      <w:r>
        <w:rPr>
          <w:rFonts w:hint="eastAsia" w:ascii="宋体" w:hAnsi="宋体"/>
          <w:sz w:val="24"/>
          <w:u w:val="single"/>
        </w:rPr>
        <w:t xml:space="preserve">                </w:t>
      </w:r>
      <w:r>
        <w:rPr>
          <w:rFonts w:hint="eastAsia" w:ascii="宋体" w:hAnsi="宋体"/>
          <w:sz w:val="24"/>
        </w:rPr>
        <w:t>（供应商名称）提交报价文件、技术、商务、资信文件。</w:t>
      </w:r>
    </w:p>
    <w:p w14:paraId="1E6B96BD">
      <w:pPr>
        <w:snapToGrid w:val="0"/>
        <w:spacing w:line="460" w:lineRule="exact"/>
        <w:ind w:firstLine="480" w:firstLineChars="200"/>
        <w:rPr>
          <w:rFonts w:ascii="宋体" w:hAnsi="宋体"/>
          <w:sz w:val="24"/>
          <w:szCs w:val="20"/>
        </w:rPr>
      </w:pPr>
      <w:r>
        <w:rPr>
          <w:rFonts w:hint="eastAsia" w:ascii="宋体" w:hAnsi="宋体"/>
          <w:sz w:val="24"/>
        </w:rPr>
        <w:t>据此函，签字代表宣布同意如下：</w:t>
      </w:r>
    </w:p>
    <w:p w14:paraId="20D30A6C">
      <w:pPr>
        <w:snapToGrid w:val="0"/>
        <w:spacing w:line="460" w:lineRule="exact"/>
        <w:ind w:firstLine="480" w:firstLineChars="200"/>
        <w:rPr>
          <w:rFonts w:ascii="宋体" w:hAnsi="宋体"/>
          <w:sz w:val="24"/>
          <w:szCs w:val="20"/>
        </w:rPr>
      </w:pPr>
      <w:r>
        <w:rPr>
          <w:rFonts w:hint="eastAsia" w:ascii="宋体" w:hAnsi="宋体"/>
          <w:sz w:val="24"/>
        </w:rPr>
        <w:t>1.供应商已详细审查全部“磋商文件”，包括修改文件（如有的话）以及全部参考资料和有关附件，已经了解我方对于磋商文件、采购过程、采购结果有依法进行询问、质疑、投诉的权利及相关渠道和要求。</w:t>
      </w:r>
    </w:p>
    <w:p w14:paraId="3BF8210E">
      <w:pPr>
        <w:snapToGrid w:val="0"/>
        <w:spacing w:line="460" w:lineRule="exact"/>
        <w:ind w:firstLine="480" w:firstLineChars="200"/>
        <w:rPr>
          <w:rFonts w:ascii="宋体" w:hAnsi="宋体"/>
          <w:sz w:val="24"/>
          <w:szCs w:val="20"/>
        </w:rPr>
      </w:pPr>
      <w:r>
        <w:rPr>
          <w:rFonts w:hint="eastAsia" w:ascii="宋体" w:hAnsi="宋体"/>
          <w:sz w:val="24"/>
        </w:rPr>
        <w:t>2.供应商在磋商之前已经与贵方进行了充分的沟通，完全理解并接受磋商文件的各项规定和要求，对磋商文件的合理性、合法性不再有异议。</w:t>
      </w:r>
    </w:p>
    <w:p w14:paraId="775AF438">
      <w:pPr>
        <w:snapToGrid w:val="0"/>
        <w:spacing w:line="460" w:lineRule="exact"/>
        <w:ind w:firstLine="480" w:firstLineChars="200"/>
        <w:rPr>
          <w:rFonts w:ascii="宋体" w:hAnsi="宋体"/>
          <w:sz w:val="24"/>
          <w:szCs w:val="20"/>
        </w:rPr>
      </w:pPr>
      <w:r>
        <w:rPr>
          <w:rFonts w:hint="eastAsia" w:ascii="宋体" w:hAnsi="宋体"/>
          <w:sz w:val="24"/>
        </w:rPr>
        <w:t>3.本磋商有效期自开标日起</w:t>
      </w:r>
      <w:r>
        <w:rPr>
          <w:rFonts w:hint="eastAsia" w:ascii="宋体" w:hAnsi="宋体"/>
          <w:sz w:val="24"/>
          <w:u w:val="single"/>
        </w:rPr>
        <w:t xml:space="preserve"> 60 </w:t>
      </w:r>
      <w:r>
        <w:rPr>
          <w:rFonts w:hint="eastAsia" w:ascii="宋体" w:hAnsi="宋体"/>
          <w:sz w:val="24"/>
        </w:rPr>
        <w:t>个日历天。</w:t>
      </w:r>
    </w:p>
    <w:p w14:paraId="44E9A158">
      <w:pPr>
        <w:snapToGrid w:val="0"/>
        <w:spacing w:line="460" w:lineRule="exact"/>
        <w:ind w:firstLine="480" w:firstLineChars="200"/>
        <w:rPr>
          <w:rFonts w:ascii="宋体" w:hAnsi="宋体"/>
          <w:sz w:val="24"/>
          <w:szCs w:val="20"/>
        </w:rPr>
      </w:pPr>
      <w:r>
        <w:rPr>
          <w:rFonts w:hint="eastAsia" w:ascii="宋体" w:hAnsi="宋体"/>
          <w:sz w:val="24"/>
        </w:rPr>
        <w:t>4.如中标，本响应文件至本项目合同履行完毕止均保持有效，本供应商将按“磋商文件”及政府采购法律、法规的规定履行合同责任和义务。</w:t>
      </w:r>
    </w:p>
    <w:p w14:paraId="36A33526">
      <w:pPr>
        <w:snapToGrid w:val="0"/>
        <w:spacing w:line="460" w:lineRule="exact"/>
        <w:ind w:firstLine="480" w:firstLineChars="200"/>
        <w:rPr>
          <w:rFonts w:ascii="宋体" w:hAnsi="宋体"/>
          <w:sz w:val="24"/>
        </w:rPr>
      </w:pPr>
      <w:r>
        <w:rPr>
          <w:rFonts w:hint="eastAsia" w:ascii="宋体" w:hAnsi="宋体"/>
          <w:sz w:val="24"/>
        </w:rPr>
        <w:t>5.供应商同意按照贵方要求提供与竞标有关的一切数据或资料。</w:t>
      </w:r>
    </w:p>
    <w:p w14:paraId="35207FE8">
      <w:pPr>
        <w:snapToGrid w:val="0"/>
        <w:spacing w:line="460" w:lineRule="exact"/>
        <w:ind w:firstLine="480" w:firstLineChars="200"/>
        <w:rPr>
          <w:rFonts w:ascii="宋体" w:hAnsi="宋体"/>
          <w:sz w:val="24"/>
          <w:szCs w:val="20"/>
        </w:rPr>
      </w:pPr>
      <w:r>
        <w:rPr>
          <w:rFonts w:hint="eastAsia" w:ascii="宋体" w:hAnsi="宋体"/>
          <w:sz w:val="24"/>
        </w:rPr>
        <w:t>6.与本磋商有关的一切正式往来信函请寄：</w:t>
      </w:r>
    </w:p>
    <w:p w14:paraId="074B44E4">
      <w:pPr>
        <w:snapToGrid w:val="0"/>
        <w:spacing w:line="560" w:lineRule="exact"/>
        <w:rPr>
          <w:rFonts w:ascii="宋体" w:hAnsi="宋体"/>
          <w:sz w:val="24"/>
        </w:rPr>
      </w:pPr>
    </w:p>
    <w:p w14:paraId="70C234E1">
      <w:pPr>
        <w:snapToGrid w:val="0"/>
        <w:spacing w:line="560" w:lineRule="exact"/>
        <w:rPr>
          <w:rFonts w:ascii="宋体" w:hAnsi="宋体"/>
          <w:sz w:val="24"/>
          <w:u w:val="single"/>
        </w:rPr>
      </w:pPr>
      <w:r>
        <w:rPr>
          <w:rFonts w:hint="eastAsia" w:ascii="宋体" w:hAnsi="宋体"/>
          <w:sz w:val="24"/>
        </w:rPr>
        <w:t>地址：</w:t>
      </w:r>
      <w:r>
        <w:rPr>
          <w:rFonts w:hint="eastAsia" w:ascii="宋体" w:hAnsi="宋体"/>
          <w:sz w:val="24"/>
          <w:u w:val="single"/>
        </w:rPr>
        <w:t xml:space="preserve">                        </w:t>
      </w:r>
      <w:r>
        <w:rPr>
          <w:rFonts w:hint="eastAsia" w:ascii="宋体" w:hAnsi="宋体"/>
          <w:sz w:val="24"/>
        </w:rPr>
        <w:t>邮编：</w:t>
      </w:r>
      <w:r>
        <w:rPr>
          <w:rFonts w:hint="eastAsia" w:ascii="宋体" w:hAnsi="宋体"/>
          <w:sz w:val="24"/>
          <w:u w:val="single"/>
        </w:rPr>
        <w:t xml:space="preserve">            </w:t>
      </w:r>
    </w:p>
    <w:p w14:paraId="75CCD484">
      <w:pPr>
        <w:snapToGrid w:val="0"/>
        <w:spacing w:line="560" w:lineRule="exact"/>
        <w:rPr>
          <w:rFonts w:ascii="宋体" w:hAnsi="宋体"/>
          <w:sz w:val="24"/>
          <w:szCs w:val="20"/>
        </w:rPr>
      </w:pPr>
      <w:r>
        <w:rPr>
          <w:rFonts w:hint="eastAsia" w:ascii="宋体" w:hAnsi="宋体"/>
          <w:sz w:val="24"/>
        </w:rPr>
        <w:t>电话：</w:t>
      </w:r>
      <w:r>
        <w:rPr>
          <w:rFonts w:hint="eastAsia" w:ascii="宋体" w:hAnsi="宋体"/>
          <w:sz w:val="24"/>
          <w:u w:val="single"/>
        </w:rPr>
        <w:t xml:space="preserve">            </w:t>
      </w:r>
      <w:r>
        <w:rPr>
          <w:rFonts w:hint="eastAsia" w:ascii="宋体" w:hAnsi="宋体"/>
          <w:sz w:val="24"/>
          <w:szCs w:val="20"/>
        </w:rPr>
        <w:t xml:space="preserve">     </w:t>
      </w:r>
      <w:r>
        <w:rPr>
          <w:rFonts w:hint="eastAsia" w:ascii="宋体" w:hAnsi="宋体"/>
          <w:sz w:val="24"/>
        </w:rPr>
        <w:t>传真：</w:t>
      </w:r>
      <w:r>
        <w:rPr>
          <w:rFonts w:hint="eastAsia" w:ascii="宋体" w:hAnsi="宋体"/>
          <w:sz w:val="24"/>
          <w:u w:val="single"/>
        </w:rPr>
        <w:t xml:space="preserve">              </w:t>
      </w:r>
    </w:p>
    <w:p w14:paraId="7893D274">
      <w:pPr>
        <w:snapToGrid w:val="0"/>
        <w:spacing w:line="560" w:lineRule="exact"/>
        <w:rPr>
          <w:rFonts w:ascii="宋体" w:hAnsi="宋体"/>
          <w:sz w:val="24"/>
          <w:szCs w:val="20"/>
        </w:rPr>
      </w:pPr>
      <w:r>
        <w:rPr>
          <w:rFonts w:hint="eastAsia" w:ascii="宋体" w:hAnsi="宋体"/>
          <w:sz w:val="24"/>
        </w:rPr>
        <w:t>开户银行：</w:t>
      </w:r>
      <w:r>
        <w:rPr>
          <w:rFonts w:hint="eastAsia" w:ascii="宋体" w:hAnsi="宋体"/>
          <w:sz w:val="24"/>
          <w:u w:val="single"/>
        </w:rPr>
        <w:t xml:space="preserve">                      </w:t>
      </w:r>
      <w:r>
        <w:rPr>
          <w:rFonts w:hint="eastAsia" w:ascii="宋体" w:hAnsi="宋体"/>
          <w:sz w:val="24"/>
        </w:rPr>
        <w:t xml:space="preserve">   银行账号：</w:t>
      </w:r>
      <w:r>
        <w:rPr>
          <w:rFonts w:hint="eastAsia" w:ascii="宋体" w:hAnsi="宋体"/>
          <w:sz w:val="24"/>
          <w:u w:val="single"/>
        </w:rPr>
        <w:t xml:space="preserve">                    </w:t>
      </w:r>
      <w:r>
        <w:rPr>
          <w:rFonts w:hint="eastAsia" w:ascii="宋体" w:hAnsi="宋体"/>
          <w:sz w:val="24"/>
        </w:rPr>
        <w:t xml:space="preserve"> </w:t>
      </w:r>
    </w:p>
    <w:p w14:paraId="29955B2D">
      <w:pPr>
        <w:snapToGrid w:val="0"/>
        <w:spacing w:line="560" w:lineRule="exact"/>
        <w:rPr>
          <w:rFonts w:ascii="宋体" w:hAnsi="宋体"/>
          <w:sz w:val="24"/>
          <w:u w:val="single"/>
        </w:rPr>
      </w:pPr>
      <w:r>
        <w:rPr>
          <w:rFonts w:hint="eastAsia" w:ascii="宋体" w:hAnsi="宋体"/>
          <w:sz w:val="24"/>
        </w:rPr>
        <w:t>供应商名称(公章):</w:t>
      </w:r>
      <w:r>
        <w:rPr>
          <w:rFonts w:hint="eastAsia" w:ascii="宋体" w:hAnsi="宋体"/>
          <w:sz w:val="24"/>
          <w:u w:val="single"/>
        </w:rPr>
        <w:t xml:space="preserve">                </w:t>
      </w:r>
    </w:p>
    <w:p w14:paraId="2C6FA90F">
      <w:pPr>
        <w:snapToGrid w:val="0"/>
        <w:spacing w:line="560" w:lineRule="exact"/>
        <w:rPr>
          <w:rFonts w:ascii="宋体" w:hAnsi="宋体"/>
          <w:sz w:val="30"/>
          <w:szCs w:val="20"/>
        </w:rPr>
      </w:pPr>
      <w:r>
        <w:rPr>
          <w:rFonts w:hint="eastAsia" w:ascii="宋体" w:hAnsi="宋体"/>
          <w:sz w:val="24"/>
        </w:rPr>
        <w:t>法人代表或其授权代理人（签字或盖章）:</w:t>
      </w:r>
      <w:r>
        <w:rPr>
          <w:rFonts w:hint="eastAsia" w:ascii="宋体" w:hAnsi="宋体"/>
          <w:sz w:val="24"/>
          <w:u w:val="single"/>
        </w:rPr>
        <w:t xml:space="preserve">         </w:t>
      </w:r>
      <w:r>
        <w:rPr>
          <w:rFonts w:hint="eastAsia" w:ascii="宋体" w:hAnsi="宋体"/>
          <w:sz w:val="24"/>
        </w:rPr>
        <w:t xml:space="preserve">    日期: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14:paraId="554F44BD">
      <w:pPr>
        <w:spacing w:line="360" w:lineRule="auto"/>
        <w:jc w:val="center"/>
        <w:rPr>
          <w:rFonts w:ascii="宋体" w:hAnsi="宋体"/>
          <w:b/>
          <w:bCs/>
          <w:sz w:val="32"/>
          <w:szCs w:val="32"/>
        </w:rPr>
      </w:pPr>
    </w:p>
    <w:p w14:paraId="2E766379">
      <w:pPr>
        <w:spacing w:line="360" w:lineRule="auto"/>
        <w:jc w:val="center"/>
        <w:rPr>
          <w:rFonts w:ascii="宋体" w:hAnsi="宋体"/>
          <w:b/>
          <w:bCs/>
          <w:sz w:val="32"/>
          <w:szCs w:val="32"/>
        </w:rPr>
      </w:pPr>
    </w:p>
    <w:p w14:paraId="7357FB8B">
      <w:pPr>
        <w:spacing w:line="360" w:lineRule="auto"/>
        <w:jc w:val="center"/>
        <w:rPr>
          <w:rFonts w:ascii="宋体" w:hAnsi="宋体"/>
          <w:b/>
          <w:bCs/>
          <w:sz w:val="32"/>
          <w:szCs w:val="32"/>
        </w:rPr>
      </w:pPr>
    </w:p>
    <w:p w14:paraId="7C2DAFFA">
      <w:pPr>
        <w:spacing w:line="360" w:lineRule="auto"/>
        <w:jc w:val="center"/>
        <w:rPr>
          <w:rFonts w:ascii="宋体" w:hAnsi="宋体"/>
          <w:b/>
          <w:bCs/>
          <w:sz w:val="32"/>
          <w:szCs w:val="32"/>
        </w:rPr>
      </w:pPr>
      <w:r>
        <w:rPr>
          <w:rFonts w:hint="eastAsia" w:ascii="宋体" w:hAnsi="宋体"/>
          <w:b/>
          <w:bCs/>
          <w:sz w:val="32"/>
          <w:szCs w:val="32"/>
        </w:rPr>
        <w:t>磋商报价一览表（首次报价）</w:t>
      </w:r>
    </w:p>
    <w:p w14:paraId="2FD1E096">
      <w:pPr>
        <w:spacing w:line="500" w:lineRule="exact"/>
        <w:ind w:firstLine="309"/>
        <w:rPr>
          <w:rFonts w:ascii="宋体" w:hAnsi="宋体"/>
          <w:sz w:val="24"/>
        </w:rPr>
      </w:pPr>
      <w:r>
        <w:rPr>
          <w:rFonts w:hint="eastAsia" w:ascii="宋体" w:hAnsi="宋体"/>
          <w:sz w:val="24"/>
        </w:rPr>
        <w:t>供应商全称（加盖公章）：</w:t>
      </w:r>
      <w:r>
        <w:rPr>
          <w:rFonts w:hint="eastAsia" w:hAnsi="宋体" w:cs="宋体"/>
          <w:u w:val="single"/>
        </w:rPr>
        <w:t xml:space="preserve">                                </w:t>
      </w:r>
    </w:p>
    <w:p w14:paraId="0295908A">
      <w:pPr>
        <w:spacing w:line="500" w:lineRule="exact"/>
        <w:ind w:firstLine="309"/>
        <w:rPr>
          <w:rFonts w:ascii="宋体" w:hAnsi="宋体"/>
          <w:sz w:val="24"/>
        </w:rPr>
      </w:pPr>
      <w:r>
        <w:rPr>
          <w:rFonts w:hint="eastAsia" w:ascii="宋体" w:hAnsi="宋体"/>
          <w:sz w:val="24"/>
        </w:rPr>
        <w:t>磋商文件编号：</w:t>
      </w:r>
      <w:r>
        <w:rPr>
          <w:rFonts w:hint="eastAsia" w:hAnsi="宋体" w:cs="宋体"/>
          <w:u w:val="single"/>
        </w:rPr>
        <w:t xml:space="preserve">                                            </w:t>
      </w:r>
    </w:p>
    <w:tbl>
      <w:tblPr>
        <w:tblStyle w:val="3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25"/>
        <w:gridCol w:w="1159"/>
        <w:gridCol w:w="5972"/>
      </w:tblGrid>
      <w:tr w14:paraId="6CC9B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1" w:hRule="atLeast"/>
        </w:trPr>
        <w:tc>
          <w:tcPr>
            <w:tcW w:w="3084" w:type="dxa"/>
            <w:gridSpan w:val="2"/>
            <w:vAlign w:val="center"/>
          </w:tcPr>
          <w:p w14:paraId="65CFB040">
            <w:pPr>
              <w:spacing w:line="500" w:lineRule="exact"/>
              <w:jc w:val="center"/>
              <w:rPr>
                <w:rFonts w:ascii="宋体" w:hAnsi="宋体"/>
                <w:sz w:val="24"/>
              </w:rPr>
            </w:pPr>
            <w:r>
              <w:rPr>
                <w:rFonts w:hint="eastAsia" w:ascii="宋体" w:hAnsi="宋体"/>
                <w:sz w:val="24"/>
              </w:rPr>
              <w:t>项目名称</w:t>
            </w:r>
          </w:p>
        </w:tc>
        <w:tc>
          <w:tcPr>
            <w:tcW w:w="5972" w:type="dxa"/>
            <w:vAlign w:val="center"/>
          </w:tcPr>
          <w:p w14:paraId="0FE9BAEA">
            <w:pPr>
              <w:spacing w:line="500" w:lineRule="exact"/>
              <w:jc w:val="center"/>
              <w:rPr>
                <w:rFonts w:hint="eastAsia" w:ascii="宋体" w:hAnsi="宋体" w:eastAsia="宋体"/>
                <w:sz w:val="24"/>
                <w:lang w:eastAsia="zh-CN"/>
              </w:rPr>
            </w:pPr>
            <w:r>
              <w:rPr>
                <w:rFonts w:hint="eastAsia" w:ascii="宋体" w:hAnsi="宋体"/>
                <w:sz w:val="24"/>
                <w:lang w:eastAsia="zh-CN"/>
              </w:rPr>
              <w:t>南浔经济开发区2025年城市管理服务项目</w:t>
            </w:r>
          </w:p>
        </w:tc>
      </w:tr>
      <w:tr w14:paraId="34563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7" w:hRule="atLeast"/>
        </w:trPr>
        <w:tc>
          <w:tcPr>
            <w:tcW w:w="1925" w:type="dxa"/>
            <w:vMerge w:val="restart"/>
            <w:tcBorders>
              <w:top w:val="single" w:color="auto" w:sz="4" w:space="0"/>
            </w:tcBorders>
            <w:vAlign w:val="center"/>
          </w:tcPr>
          <w:p w14:paraId="0254B30D">
            <w:pPr>
              <w:spacing w:line="500" w:lineRule="exact"/>
              <w:jc w:val="center"/>
              <w:rPr>
                <w:rFonts w:ascii="宋体" w:hAnsi="宋体"/>
                <w:sz w:val="24"/>
              </w:rPr>
            </w:pPr>
            <w:r>
              <w:rPr>
                <w:rFonts w:hint="eastAsia" w:ascii="宋体" w:hAnsi="宋体"/>
                <w:sz w:val="24"/>
              </w:rPr>
              <w:t>磋商总报价</w:t>
            </w:r>
          </w:p>
          <w:p w14:paraId="2F2DC26B">
            <w:pPr>
              <w:spacing w:line="500" w:lineRule="exact"/>
              <w:jc w:val="center"/>
              <w:rPr>
                <w:rFonts w:ascii="宋体" w:hAnsi="宋体"/>
                <w:sz w:val="24"/>
              </w:rPr>
            </w:pPr>
            <w:r>
              <w:rPr>
                <w:rFonts w:hint="eastAsia" w:ascii="宋体" w:hAnsi="宋体"/>
                <w:sz w:val="24"/>
              </w:rPr>
              <w:t>人民币（元）</w:t>
            </w:r>
          </w:p>
        </w:tc>
        <w:tc>
          <w:tcPr>
            <w:tcW w:w="1159" w:type="dxa"/>
            <w:tcBorders>
              <w:top w:val="single" w:color="auto" w:sz="4" w:space="0"/>
            </w:tcBorders>
            <w:vAlign w:val="center"/>
          </w:tcPr>
          <w:p w14:paraId="6F2E7800">
            <w:pPr>
              <w:spacing w:line="500" w:lineRule="exact"/>
              <w:jc w:val="center"/>
              <w:rPr>
                <w:rFonts w:ascii="宋体" w:hAnsi="宋体"/>
                <w:sz w:val="24"/>
              </w:rPr>
            </w:pPr>
            <w:r>
              <w:rPr>
                <w:rFonts w:hint="eastAsia" w:ascii="宋体" w:hAnsi="宋体"/>
                <w:sz w:val="24"/>
              </w:rPr>
              <w:t>小写</w:t>
            </w:r>
          </w:p>
        </w:tc>
        <w:tc>
          <w:tcPr>
            <w:tcW w:w="5972" w:type="dxa"/>
            <w:vAlign w:val="center"/>
          </w:tcPr>
          <w:p w14:paraId="36A46B56">
            <w:pPr>
              <w:spacing w:line="500" w:lineRule="exact"/>
              <w:jc w:val="center"/>
              <w:rPr>
                <w:rFonts w:ascii="宋体" w:hAnsi="宋体"/>
                <w:sz w:val="24"/>
              </w:rPr>
            </w:pPr>
          </w:p>
        </w:tc>
      </w:tr>
      <w:tr w14:paraId="0A146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2" w:hRule="atLeast"/>
        </w:trPr>
        <w:tc>
          <w:tcPr>
            <w:tcW w:w="1925" w:type="dxa"/>
            <w:vMerge w:val="continue"/>
            <w:vAlign w:val="center"/>
          </w:tcPr>
          <w:p w14:paraId="067D38FD">
            <w:pPr>
              <w:spacing w:line="500" w:lineRule="exact"/>
              <w:jc w:val="center"/>
              <w:rPr>
                <w:rFonts w:ascii="宋体" w:hAnsi="宋体"/>
                <w:sz w:val="24"/>
              </w:rPr>
            </w:pPr>
          </w:p>
        </w:tc>
        <w:tc>
          <w:tcPr>
            <w:tcW w:w="1159" w:type="dxa"/>
            <w:vAlign w:val="center"/>
          </w:tcPr>
          <w:p w14:paraId="4C0A2B47">
            <w:pPr>
              <w:spacing w:line="500" w:lineRule="exact"/>
              <w:jc w:val="center"/>
              <w:rPr>
                <w:rFonts w:ascii="宋体" w:hAnsi="宋体"/>
                <w:sz w:val="24"/>
              </w:rPr>
            </w:pPr>
            <w:r>
              <w:rPr>
                <w:rFonts w:hint="eastAsia" w:ascii="宋体" w:hAnsi="宋体"/>
                <w:sz w:val="24"/>
              </w:rPr>
              <w:t>大写</w:t>
            </w:r>
          </w:p>
        </w:tc>
        <w:tc>
          <w:tcPr>
            <w:tcW w:w="5972" w:type="dxa"/>
            <w:vAlign w:val="center"/>
          </w:tcPr>
          <w:p w14:paraId="12C3F417">
            <w:pPr>
              <w:spacing w:line="500" w:lineRule="exact"/>
              <w:jc w:val="center"/>
              <w:rPr>
                <w:rFonts w:ascii="宋体" w:hAnsi="宋体"/>
                <w:sz w:val="24"/>
              </w:rPr>
            </w:pPr>
          </w:p>
        </w:tc>
      </w:tr>
    </w:tbl>
    <w:p w14:paraId="09009949">
      <w:pPr>
        <w:pStyle w:val="13"/>
        <w:spacing w:line="500" w:lineRule="exact"/>
        <w:ind w:firstLine="0"/>
        <w:rPr>
          <w:rFonts w:ascii="宋体" w:hAnsi="宋体"/>
          <w:sz w:val="24"/>
          <w:szCs w:val="24"/>
        </w:rPr>
      </w:pPr>
      <w:r>
        <w:rPr>
          <w:rFonts w:hint="eastAsia" w:ascii="宋体" w:hAnsi="宋体"/>
          <w:sz w:val="24"/>
          <w:szCs w:val="24"/>
        </w:rPr>
        <w:t>注: 1、磋商费用包括项目实施所需的设备、材料、机械、人工费、服务费税费、磋商代理服务费及其他一切费用。</w:t>
      </w:r>
    </w:p>
    <w:p w14:paraId="556BE683">
      <w:pPr>
        <w:pStyle w:val="13"/>
        <w:spacing w:line="500" w:lineRule="exact"/>
        <w:ind w:firstLineChars="175"/>
        <w:rPr>
          <w:rFonts w:ascii="宋体" w:hAnsi="宋体"/>
          <w:sz w:val="24"/>
          <w:szCs w:val="24"/>
        </w:rPr>
      </w:pPr>
      <w:r>
        <w:rPr>
          <w:rFonts w:hint="eastAsia" w:ascii="宋体" w:hAnsi="宋体"/>
          <w:sz w:val="24"/>
          <w:szCs w:val="24"/>
        </w:rPr>
        <w:t>2、不提供此表格的将视为没有实质性响应磋商文件。</w:t>
      </w:r>
    </w:p>
    <w:p w14:paraId="79ECAFF6">
      <w:pPr>
        <w:pStyle w:val="13"/>
        <w:spacing w:line="500" w:lineRule="exact"/>
        <w:ind w:firstLine="0"/>
        <w:rPr>
          <w:rFonts w:ascii="宋体" w:hAnsi="宋体"/>
          <w:sz w:val="24"/>
          <w:szCs w:val="24"/>
        </w:rPr>
      </w:pPr>
    </w:p>
    <w:p w14:paraId="366CD334">
      <w:pPr>
        <w:pStyle w:val="13"/>
        <w:spacing w:line="500" w:lineRule="exact"/>
        <w:ind w:firstLine="0"/>
        <w:rPr>
          <w:rFonts w:ascii="宋体" w:hAnsi="宋体"/>
          <w:sz w:val="24"/>
          <w:szCs w:val="24"/>
        </w:rPr>
      </w:pPr>
    </w:p>
    <w:p w14:paraId="6EACADCD">
      <w:pPr>
        <w:pStyle w:val="13"/>
        <w:spacing w:line="500" w:lineRule="exact"/>
        <w:ind w:firstLine="0"/>
        <w:rPr>
          <w:rFonts w:ascii="宋体" w:hAnsi="宋体"/>
          <w:sz w:val="24"/>
          <w:szCs w:val="24"/>
        </w:rPr>
      </w:pPr>
      <w:r>
        <w:rPr>
          <w:rFonts w:hint="eastAsia" w:ascii="宋体" w:hAnsi="宋体"/>
          <w:sz w:val="24"/>
          <w:szCs w:val="24"/>
        </w:rPr>
        <w:t>供应商（公章）：</w:t>
      </w:r>
      <w:r>
        <w:rPr>
          <w:rFonts w:hint="eastAsia" w:hAnsi="宋体" w:cs="宋体"/>
          <w:u w:val="single"/>
        </w:rPr>
        <w:t xml:space="preserve">                                            </w:t>
      </w:r>
    </w:p>
    <w:p w14:paraId="3D5537BE">
      <w:pPr>
        <w:pStyle w:val="13"/>
        <w:spacing w:line="500" w:lineRule="exact"/>
        <w:ind w:firstLine="0"/>
        <w:rPr>
          <w:rFonts w:ascii="宋体" w:hAnsi="宋体"/>
          <w:sz w:val="24"/>
          <w:szCs w:val="24"/>
        </w:rPr>
      </w:pPr>
      <w:r>
        <w:rPr>
          <w:rFonts w:hint="eastAsia" w:ascii="宋体" w:hAnsi="宋体"/>
          <w:sz w:val="24"/>
          <w:szCs w:val="24"/>
        </w:rPr>
        <w:t>法定代表人或其授权代理人（签字或盖章）：</w:t>
      </w:r>
      <w:r>
        <w:rPr>
          <w:rFonts w:hint="eastAsia" w:hAnsi="宋体" w:cs="宋体"/>
          <w:u w:val="single"/>
        </w:rPr>
        <w:t xml:space="preserve">                </w:t>
      </w:r>
    </w:p>
    <w:p w14:paraId="3237C819">
      <w:pPr>
        <w:pStyle w:val="13"/>
        <w:spacing w:line="500" w:lineRule="exact"/>
        <w:ind w:firstLine="0"/>
        <w:rPr>
          <w:rFonts w:ascii="宋体" w:hAnsi="宋体"/>
          <w:sz w:val="24"/>
          <w:szCs w:val="24"/>
        </w:rPr>
      </w:pPr>
      <w:r>
        <w:rPr>
          <w:rFonts w:hint="eastAsia" w:ascii="宋体" w:hAnsi="宋体"/>
          <w:sz w:val="24"/>
          <w:szCs w:val="24"/>
        </w:rPr>
        <w:t>日期：   年   月  日</w:t>
      </w:r>
    </w:p>
    <w:p w14:paraId="73A90F83">
      <w:pPr>
        <w:pStyle w:val="13"/>
        <w:spacing w:line="500" w:lineRule="exact"/>
        <w:ind w:firstLine="0"/>
        <w:jc w:val="center"/>
        <w:rPr>
          <w:rFonts w:ascii="宋体" w:hAnsi="宋体"/>
          <w:b/>
          <w:spacing w:val="24"/>
          <w:sz w:val="28"/>
          <w:szCs w:val="28"/>
        </w:rPr>
      </w:pPr>
    </w:p>
    <w:p w14:paraId="23F08A8C">
      <w:pPr>
        <w:pStyle w:val="13"/>
        <w:spacing w:line="500" w:lineRule="exact"/>
        <w:ind w:firstLine="0"/>
        <w:jc w:val="center"/>
        <w:rPr>
          <w:rFonts w:ascii="宋体" w:hAnsi="宋体"/>
          <w:b/>
          <w:spacing w:val="24"/>
          <w:sz w:val="28"/>
          <w:szCs w:val="28"/>
        </w:rPr>
      </w:pPr>
    </w:p>
    <w:p w14:paraId="75C9CC3A">
      <w:pPr>
        <w:spacing w:line="360" w:lineRule="auto"/>
        <w:rPr>
          <w:rFonts w:ascii="宋体" w:hAnsi="宋体"/>
          <w:sz w:val="28"/>
          <w:szCs w:val="28"/>
        </w:rPr>
      </w:pPr>
    </w:p>
    <w:p w14:paraId="685C60E7">
      <w:pPr>
        <w:spacing w:line="360" w:lineRule="auto"/>
        <w:rPr>
          <w:rFonts w:ascii="宋体" w:hAnsi="宋体"/>
          <w:sz w:val="28"/>
          <w:szCs w:val="28"/>
        </w:rPr>
      </w:pPr>
    </w:p>
    <w:p w14:paraId="396858E5">
      <w:pPr>
        <w:spacing w:line="360" w:lineRule="auto"/>
        <w:rPr>
          <w:rFonts w:ascii="宋体" w:hAnsi="宋体"/>
          <w:b/>
          <w:sz w:val="30"/>
          <w:szCs w:val="30"/>
        </w:rPr>
      </w:pPr>
    </w:p>
    <w:p w14:paraId="1667CA58">
      <w:pPr>
        <w:pStyle w:val="2"/>
        <w:ind w:firstLine="240"/>
      </w:pPr>
    </w:p>
    <w:p w14:paraId="5A1D4636">
      <w:pPr>
        <w:spacing w:line="360" w:lineRule="auto"/>
        <w:rPr>
          <w:rFonts w:ascii="Calibri" w:hAnsi="Calibri"/>
          <w:sz w:val="24"/>
        </w:rPr>
      </w:pPr>
    </w:p>
    <w:p w14:paraId="71DD7031">
      <w:pPr>
        <w:pStyle w:val="2"/>
        <w:ind w:firstLine="240"/>
      </w:pPr>
    </w:p>
    <w:p w14:paraId="0031C113">
      <w:pPr>
        <w:snapToGrid w:val="0"/>
        <w:spacing w:before="50" w:after="50"/>
        <w:jc w:val="center"/>
        <w:rPr>
          <w:rFonts w:ascii="宋体" w:hAnsi="宋体"/>
          <w:b/>
          <w:sz w:val="28"/>
          <w:szCs w:val="28"/>
        </w:rPr>
      </w:pPr>
      <w:r>
        <w:rPr>
          <w:rFonts w:hint="eastAsia" w:ascii="宋体" w:hAnsi="宋体"/>
          <w:b/>
          <w:sz w:val="28"/>
          <w:szCs w:val="28"/>
        </w:rPr>
        <w:t>政策分相关证明资料：</w:t>
      </w:r>
    </w:p>
    <w:p w14:paraId="7D2A5ADE">
      <w:pPr>
        <w:snapToGrid w:val="0"/>
        <w:spacing w:before="50" w:afterLines="50" w:line="600" w:lineRule="exact"/>
        <w:jc w:val="center"/>
        <w:rPr>
          <w:rFonts w:ascii="宋体" w:hAnsi="宋体"/>
          <w:b/>
          <w:bCs/>
          <w:color w:val="000000"/>
          <w:sz w:val="28"/>
          <w:szCs w:val="28"/>
        </w:rPr>
      </w:pPr>
      <w:r>
        <w:rPr>
          <w:rFonts w:hint="eastAsia" w:ascii="宋体" w:hAnsi="宋体"/>
          <w:b/>
          <w:sz w:val="28"/>
          <w:szCs w:val="28"/>
        </w:rPr>
        <w:t>中小企业声明函</w:t>
      </w:r>
    </w:p>
    <w:p w14:paraId="6B610CDD">
      <w:pPr>
        <w:snapToGrid w:val="0"/>
        <w:spacing w:before="50" w:afterLines="50" w:line="600" w:lineRule="exact"/>
        <w:jc w:val="center"/>
        <w:rPr>
          <w:rFonts w:ascii="宋体" w:hAnsi="宋体"/>
          <w:b/>
          <w:bCs/>
          <w:color w:val="000000"/>
          <w:szCs w:val="28"/>
        </w:rPr>
      </w:pPr>
      <w:r>
        <w:rPr>
          <w:rFonts w:hint="eastAsia" w:ascii="宋体" w:hAnsi="宋体"/>
          <w:b/>
          <w:bCs/>
          <w:color w:val="000000"/>
          <w:szCs w:val="28"/>
        </w:rPr>
        <w:t>（服务）</w:t>
      </w:r>
    </w:p>
    <w:p w14:paraId="72667906">
      <w:pPr>
        <w:tabs>
          <w:tab w:val="left" w:pos="2996"/>
        </w:tabs>
        <w:spacing w:line="600" w:lineRule="exact"/>
        <w:ind w:firstLine="480" w:firstLineChars="200"/>
        <w:rPr>
          <w:rFonts w:ascii="宋体" w:hAnsi="宋体" w:cs="宋体"/>
          <w:sz w:val="24"/>
        </w:rPr>
      </w:pPr>
      <w:r>
        <w:rPr>
          <w:rFonts w:hint="eastAsia" w:ascii="宋体" w:hAnsi="宋体" w:cs="宋体"/>
          <w:sz w:val="24"/>
        </w:rPr>
        <w:t>本公司（联合体）郑重声明，根据《政府采购促进中小企业发展管理办法》（财库[2020]46号）的规定，本公司（联合体）参加</w:t>
      </w:r>
      <w:r>
        <w:rPr>
          <w:rFonts w:hint="eastAsia" w:ascii="宋体" w:hAnsi="宋体" w:cs="宋体"/>
          <w:sz w:val="24"/>
          <w:u w:val="single"/>
        </w:rPr>
        <w:t>_（单位名称）</w:t>
      </w:r>
      <w:r>
        <w:rPr>
          <w:rFonts w:hint="eastAsia" w:ascii="宋体" w:hAnsi="宋体" w:cs="宋体"/>
          <w:sz w:val="24"/>
        </w:rPr>
        <w:t>的</w:t>
      </w:r>
      <w:r>
        <w:rPr>
          <w:rFonts w:hint="eastAsia" w:ascii="宋体" w:hAnsi="宋体" w:cs="宋体"/>
          <w:sz w:val="24"/>
          <w:u w:val="single"/>
        </w:rPr>
        <w:t>_（项目名称）</w:t>
      </w:r>
      <w:r>
        <w:rPr>
          <w:rFonts w:hint="eastAsia" w:ascii="宋体" w:hAnsi="宋体" w:cs="宋体"/>
          <w:sz w:val="24"/>
        </w:rPr>
        <w:t>采购活动，服务全部由符合政策要求的中小企业承接。相关企业（含联合体中的中小企业、签订分包意向协议的中小企图）的具体情况如下：</w:t>
      </w:r>
    </w:p>
    <w:p w14:paraId="7731C843">
      <w:pPr>
        <w:spacing w:line="600" w:lineRule="exact"/>
        <w:ind w:firstLine="480" w:firstLineChars="200"/>
        <w:rPr>
          <w:rFonts w:ascii="宋体" w:hAnsi="宋体" w:cs="仿宋"/>
          <w:kern w:val="0"/>
          <w:sz w:val="24"/>
        </w:rPr>
      </w:pPr>
      <w:r>
        <w:rPr>
          <w:rFonts w:ascii="宋体" w:hAnsi="宋体" w:cs="仿宋"/>
          <w:kern w:val="0"/>
          <w:sz w:val="24"/>
        </w:rPr>
        <w:t xml:space="preserve">1. </w:t>
      </w:r>
      <w:r>
        <w:rPr>
          <w:rFonts w:hint="eastAsia" w:ascii="宋体" w:hAnsi="宋体" w:cs="仿宋"/>
          <w:kern w:val="0"/>
          <w:sz w:val="24"/>
          <w:u w:val="single"/>
        </w:rPr>
        <w:t>（标的名称）</w:t>
      </w:r>
      <w:r>
        <w:rPr>
          <w:rFonts w:ascii="宋体" w:hAnsi="宋体" w:cs="仿宋"/>
          <w:kern w:val="0"/>
          <w:sz w:val="24"/>
        </w:rPr>
        <w:t xml:space="preserve"> </w:t>
      </w:r>
      <w:r>
        <w:rPr>
          <w:rFonts w:hint="eastAsia" w:ascii="宋体" w:hAnsi="宋体" w:cs="仿宋"/>
          <w:kern w:val="0"/>
          <w:sz w:val="24"/>
        </w:rPr>
        <w:t>，属于</w:t>
      </w:r>
      <w:r>
        <w:rPr>
          <w:rFonts w:hint="eastAsia" w:ascii="宋体" w:hAnsi="宋体" w:cs="仿宋"/>
          <w:kern w:val="0"/>
          <w:sz w:val="24"/>
          <w:u w:val="single"/>
        </w:rPr>
        <w:t>（采购文件中明确的所属行业）行业</w:t>
      </w:r>
      <w:r>
        <w:rPr>
          <w:rFonts w:hint="eastAsia" w:ascii="宋体" w:hAnsi="宋体" w:cs="仿宋"/>
          <w:kern w:val="0"/>
          <w:sz w:val="24"/>
        </w:rPr>
        <w:t>；承接企业为</w:t>
      </w:r>
      <w:r>
        <w:rPr>
          <w:rFonts w:hint="eastAsia" w:ascii="宋体" w:hAnsi="宋体" w:cs="仿宋"/>
          <w:kern w:val="0"/>
          <w:sz w:val="24"/>
          <w:u w:val="single"/>
        </w:rPr>
        <w:t>（企业名称）</w:t>
      </w:r>
      <w:r>
        <w:rPr>
          <w:rFonts w:hint="eastAsia" w:ascii="宋体" w:hAnsi="宋体" w:cs="仿宋"/>
          <w:kern w:val="0"/>
          <w:sz w:val="24"/>
        </w:rPr>
        <w:t>，从业人员</w:t>
      </w:r>
      <w:r>
        <w:rPr>
          <w:rFonts w:hint="eastAsia" w:ascii="宋体" w:hAnsi="宋体" w:cs="仿宋"/>
          <w:kern w:val="0"/>
          <w:sz w:val="24"/>
          <w:u w:val="single"/>
        </w:rPr>
        <w:t xml:space="preserve">    </w:t>
      </w:r>
      <w:r>
        <w:rPr>
          <w:rFonts w:hint="eastAsia" w:ascii="宋体" w:hAnsi="宋体" w:cs="仿宋"/>
          <w:kern w:val="0"/>
          <w:sz w:val="24"/>
        </w:rPr>
        <w:t>人，营业收入为</w:t>
      </w:r>
      <w:r>
        <w:rPr>
          <w:rFonts w:hint="eastAsia" w:ascii="宋体" w:hAnsi="宋体" w:cs="仿宋"/>
          <w:kern w:val="0"/>
          <w:sz w:val="24"/>
          <w:u w:val="single"/>
        </w:rPr>
        <w:t xml:space="preserve">     </w:t>
      </w:r>
      <w:r>
        <w:rPr>
          <w:rFonts w:hint="eastAsia" w:ascii="宋体" w:hAnsi="宋体" w:cs="仿宋"/>
          <w:kern w:val="0"/>
          <w:sz w:val="24"/>
        </w:rPr>
        <w:t>万元，资产总额为</w:t>
      </w:r>
      <w:r>
        <w:rPr>
          <w:rFonts w:hint="eastAsia" w:ascii="宋体" w:hAnsi="宋体" w:cs="仿宋"/>
          <w:kern w:val="0"/>
          <w:sz w:val="24"/>
          <w:u w:val="single"/>
        </w:rPr>
        <w:t xml:space="preserve">    </w:t>
      </w:r>
      <w:r>
        <w:rPr>
          <w:rFonts w:hint="eastAsia" w:ascii="宋体" w:hAnsi="宋体" w:cs="仿宋"/>
          <w:kern w:val="0"/>
          <w:sz w:val="24"/>
        </w:rPr>
        <w:t>万元，属于</w:t>
      </w:r>
      <w:r>
        <w:rPr>
          <w:rFonts w:hint="eastAsia" w:ascii="宋体" w:hAnsi="宋体" w:cs="仿宋"/>
          <w:kern w:val="0"/>
          <w:sz w:val="24"/>
          <w:u w:val="single"/>
        </w:rPr>
        <w:t>（中型企业、小型企业、微型企业）</w:t>
      </w:r>
      <w:r>
        <w:rPr>
          <w:rFonts w:hint="eastAsia" w:ascii="宋体" w:hAnsi="宋体" w:cs="仿宋"/>
          <w:kern w:val="0"/>
          <w:sz w:val="24"/>
        </w:rPr>
        <w:t>；</w:t>
      </w:r>
    </w:p>
    <w:p w14:paraId="755D1199">
      <w:pPr>
        <w:spacing w:line="600" w:lineRule="exact"/>
        <w:ind w:firstLine="480" w:firstLineChars="200"/>
        <w:rPr>
          <w:rFonts w:ascii="宋体" w:hAnsi="宋体" w:cs="仿宋"/>
          <w:kern w:val="0"/>
          <w:sz w:val="24"/>
        </w:rPr>
      </w:pPr>
      <w:r>
        <w:rPr>
          <w:rFonts w:ascii="宋体" w:hAnsi="宋体" w:cs="仿宋"/>
          <w:kern w:val="0"/>
          <w:sz w:val="24"/>
        </w:rPr>
        <w:t>2.</w:t>
      </w:r>
      <w:r>
        <w:rPr>
          <w:rFonts w:ascii="宋体" w:hAnsi="宋体" w:cs="仿宋"/>
          <w:kern w:val="0"/>
          <w:sz w:val="24"/>
          <w:u w:val="single"/>
        </w:rPr>
        <w:t xml:space="preserve"> </w:t>
      </w:r>
      <w:r>
        <w:rPr>
          <w:rFonts w:hint="eastAsia" w:ascii="宋体" w:hAnsi="宋体" w:cs="仿宋"/>
          <w:kern w:val="0"/>
          <w:sz w:val="24"/>
          <w:u w:val="single"/>
        </w:rPr>
        <w:t>（标的名称）</w:t>
      </w:r>
      <w:r>
        <w:rPr>
          <w:rFonts w:ascii="宋体" w:hAnsi="宋体" w:cs="仿宋"/>
          <w:kern w:val="0"/>
          <w:sz w:val="24"/>
        </w:rPr>
        <w:t xml:space="preserve"> </w:t>
      </w:r>
      <w:r>
        <w:rPr>
          <w:rFonts w:hint="eastAsia" w:ascii="宋体" w:hAnsi="宋体" w:cs="仿宋"/>
          <w:kern w:val="0"/>
          <w:sz w:val="24"/>
        </w:rPr>
        <w:t>，属于</w:t>
      </w:r>
      <w:r>
        <w:rPr>
          <w:rFonts w:hint="eastAsia" w:ascii="宋体" w:hAnsi="宋体" w:cs="仿宋"/>
          <w:kern w:val="0"/>
          <w:sz w:val="24"/>
          <w:u w:val="single"/>
        </w:rPr>
        <w:t>（采购文件中明确的所属行业）行业</w:t>
      </w:r>
      <w:r>
        <w:rPr>
          <w:rFonts w:hint="eastAsia" w:ascii="宋体" w:hAnsi="宋体" w:cs="仿宋"/>
          <w:kern w:val="0"/>
          <w:sz w:val="24"/>
        </w:rPr>
        <w:t>；承接企业为</w:t>
      </w:r>
      <w:r>
        <w:rPr>
          <w:rFonts w:hint="eastAsia" w:ascii="宋体" w:hAnsi="宋体" w:cs="仿宋"/>
          <w:kern w:val="0"/>
          <w:sz w:val="24"/>
          <w:u w:val="single"/>
        </w:rPr>
        <w:t>（企业名称）</w:t>
      </w:r>
      <w:r>
        <w:rPr>
          <w:rFonts w:hint="eastAsia" w:ascii="宋体" w:hAnsi="宋体" w:cs="仿宋"/>
          <w:kern w:val="0"/>
          <w:sz w:val="24"/>
        </w:rPr>
        <w:t>，从业人员</w:t>
      </w:r>
      <w:r>
        <w:rPr>
          <w:rFonts w:hint="eastAsia" w:ascii="宋体" w:hAnsi="宋体" w:cs="仿宋"/>
          <w:kern w:val="0"/>
          <w:sz w:val="24"/>
          <w:u w:val="single"/>
        </w:rPr>
        <w:t xml:space="preserve">    </w:t>
      </w:r>
      <w:r>
        <w:rPr>
          <w:rFonts w:hint="eastAsia" w:ascii="宋体" w:hAnsi="宋体" w:cs="仿宋"/>
          <w:kern w:val="0"/>
          <w:sz w:val="24"/>
        </w:rPr>
        <w:t>人，营业收入为</w:t>
      </w:r>
      <w:r>
        <w:rPr>
          <w:rFonts w:hint="eastAsia" w:ascii="宋体" w:hAnsi="宋体" w:cs="仿宋"/>
          <w:kern w:val="0"/>
          <w:sz w:val="24"/>
          <w:u w:val="single"/>
        </w:rPr>
        <w:t xml:space="preserve">   </w:t>
      </w:r>
      <w:r>
        <w:rPr>
          <w:rFonts w:hint="eastAsia" w:ascii="宋体" w:hAnsi="宋体" w:cs="仿宋"/>
          <w:kern w:val="0"/>
          <w:sz w:val="24"/>
        </w:rPr>
        <w:t>万元，资产总额为</w:t>
      </w:r>
      <w:r>
        <w:rPr>
          <w:rFonts w:hint="eastAsia" w:ascii="宋体" w:hAnsi="宋体" w:cs="仿宋"/>
          <w:kern w:val="0"/>
          <w:sz w:val="24"/>
          <w:u w:val="single"/>
        </w:rPr>
        <w:t xml:space="preserve">    </w:t>
      </w:r>
      <w:r>
        <w:rPr>
          <w:rFonts w:hint="eastAsia" w:ascii="宋体" w:hAnsi="宋体" w:cs="仿宋"/>
          <w:kern w:val="0"/>
          <w:sz w:val="24"/>
        </w:rPr>
        <w:t>万元，属于</w:t>
      </w:r>
      <w:r>
        <w:rPr>
          <w:rFonts w:hint="eastAsia" w:ascii="宋体" w:hAnsi="宋体" w:cs="仿宋"/>
          <w:kern w:val="0"/>
          <w:sz w:val="24"/>
          <w:u w:val="single"/>
        </w:rPr>
        <w:t>（中型企业、小型企业、微型企业）</w:t>
      </w:r>
      <w:r>
        <w:rPr>
          <w:rFonts w:hint="eastAsia" w:ascii="宋体" w:hAnsi="宋体" w:cs="仿宋"/>
          <w:kern w:val="0"/>
          <w:sz w:val="24"/>
        </w:rPr>
        <w:t>；</w:t>
      </w:r>
    </w:p>
    <w:p w14:paraId="53970C22">
      <w:pPr>
        <w:spacing w:line="600" w:lineRule="exact"/>
        <w:ind w:firstLine="480" w:firstLineChars="200"/>
        <w:rPr>
          <w:rFonts w:ascii="宋体" w:hAnsi="宋体" w:cs="仿宋"/>
          <w:kern w:val="0"/>
          <w:sz w:val="24"/>
        </w:rPr>
      </w:pPr>
      <w:r>
        <w:rPr>
          <w:rFonts w:hint="eastAsia" w:ascii="宋体" w:hAnsi="宋体" w:cs="仿宋"/>
          <w:kern w:val="0"/>
          <w:sz w:val="24"/>
        </w:rPr>
        <w:t>……</w:t>
      </w:r>
    </w:p>
    <w:p w14:paraId="46A9D721">
      <w:pPr>
        <w:spacing w:line="600" w:lineRule="exact"/>
        <w:ind w:firstLine="480" w:firstLineChars="200"/>
        <w:rPr>
          <w:rFonts w:ascii="宋体" w:hAnsi="宋体" w:cs="仿宋"/>
          <w:kern w:val="0"/>
          <w:sz w:val="24"/>
        </w:rPr>
      </w:pPr>
      <w:r>
        <w:rPr>
          <w:rFonts w:hint="eastAsia" w:ascii="宋体" w:hAnsi="宋体" w:cs="仿宋"/>
          <w:kern w:val="0"/>
          <w:sz w:val="24"/>
        </w:rPr>
        <w:t>以上企业，不属于大企业的分支机构，不存在控股股东为大企业的情形，也不存在与大企业的负责人为同一人的情形。</w:t>
      </w:r>
    </w:p>
    <w:p w14:paraId="4AA382E1">
      <w:pPr>
        <w:tabs>
          <w:tab w:val="left" w:pos="2996"/>
        </w:tabs>
        <w:spacing w:line="600" w:lineRule="exact"/>
        <w:ind w:firstLine="480" w:firstLineChars="200"/>
        <w:rPr>
          <w:rFonts w:ascii="宋体" w:hAnsi="宋体" w:cs="宋体"/>
          <w:sz w:val="24"/>
        </w:rPr>
      </w:pPr>
      <w:r>
        <w:rPr>
          <w:rFonts w:hint="eastAsia" w:ascii="宋体" w:hAnsi="宋体" w:cs="仿宋"/>
          <w:kern w:val="0"/>
          <w:sz w:val="24"/>
        </w:rPr>
        <w:t>本企业对上述声明内容的真实性负责。如有虚假，将依法承担相应责任。</w:t>
      </w:r>
    </w:p>
    <w:p w14:paraId="676371DC">
      <w:pPr>
        <w:tabs>
          <w:tab w:val="left" w:pos="2996"/>
        </w:tabs>
        <w:spacing w:line="600" w:lineRule="exact"/>
        <w:ind w:firstLine="480" w:firstLineChars="200"/>
        <w:rPr>
          <w:rFonts w:ascii="宋体" w:hAnsi="宋体" w:cs="宋体"/>
          <w:sz w:val="24"/>
        </w:rPr>
      </w:pPr>
    </w:p>
    <w:p w14:paraId="5ED7A40B">
      <w:pPr>
        <w:tabs>
          <w:tab w:val="left" w:pos="2996"/>
        </w:tabs>
        <w:spacing w:line="600" w:lineRule="exact"/>
        <w:ind w:firstLine="480" w:firstLineChars="200"/>
        <w:rPr>
          <w:rFonts w:ascii="宋体" w:hAnsi="宋体" w:cs="宋体"/>
          <w:sz w:val="24"/>
        </w:rPr>
      </w:pPr>
    </w:p>
    <w:p w14:paraId="58B7BED4">
      <w:pPr>
        <w:spacing w:line="360" w:lineRule="auto"/>
        <w:ind w:firstLine="5640" w:firstLineChars="2350"/>
        <w:rPr>
          <w:rFonts w:ascii="宋体" w:hAnsi="宋体" w:cs="仿宋"/>
          <w:kern w:val="0"/>
          <w:sz w:val="24"/>
          <w:u w:val="single"/>
        </w:rPr>
      </w:pPr>
      <w:r>
        <w:rPr>
          <w:rFonts w:hint="eastAsia" w:ascii="宋体" w:hAnsi="宋体" w:cs="仿宋"/>
          <w:kern w:val="0"/>
          <w:sz w:val="24"/>
        </w:rPr>
        <w:t>企业名称（盖章）：</w:t>
      </w:r>
      <w:r>
        <w:rPr>
          <w:rFonts w:hint="eastAsia" w:ascii="宋体" w:hAnsi="宋体" w:cs="仿宋"/>
          <w:kern w:val="0"/>
          <w:sz w:val="24"/>
          <w:u w:val="single"/>
        </w:rPr>
        <w:t xml:space="preserve">       </w:t>
      </w:r>
    </w:p>
    <w:p w14:paraId="7F40A645">
      <w:pPr>
        <w:spacing w:line="360" w:lineRule="auto"/>
        <w:ind w:firstLine="5640" w:firstLineChars="2350"/>
        <w:rPr>
          <w:rFonts w:ascii="宋体" w:hAnsi="宋体"/>
          <w:bCs/>
          <w:sz w:val="24"/>
          <w:u w:val="single"/>
        </w:rPr>
      </w:pPr>
      <w:r>
        <w:rPr>
          <w:rFonts w:hint="eastAsia" w:ascii="宋体" w:hAnsi="宋体" w:cs="仿宋"/>
          <w:kern w:val="0"/>
          <w:sz w:val="24"/>
        </w:rPr>
        <w:t>日期：</w:t>
      </w:r>
      <w:r>
        <w:rPr>
          <w:rFonts w:hint="eastAsia" w:ascii="宋体" w:hAnsi="宋体" w:cs="仿宋"/>
          <w:kern w:val="0"/>
          <w:sz w:val="24"/>
          <w:u w:val="single"/>
        </w:rPr>
        <w:t xml:space="preserve">                   </w:t>
      </w:r>
    </w:p>
    <w:p w14:paraId="2CDB334D">
      <w:pPr>
        <w:pStyle w:val="2"/>
        <w:ind w:firstLine="0" w:firstLineChars="0"/>
      </w:pPr>
    </w:p>
    <w:p w14:paraId="7A335066"/>
    <w:p w14:paraId="225A1E30">
      <w:pPr>
        <w:snapToGrid w:val="0"/>
        <w:spacing w:before="50" w:afterLines="50" w:line="600" w:lineRule="exact"/>
        <w:jc w:val="center"/>
        <w:rPr>
          <w:rFonts w:ascii="宋体" w:hAnsi="宋体"/>
          <w:b/>
          <w:sz w:val="28"/>
          <w:szCs w:val="28"/>
        </w:rPr>
      </w:pPr>
      <w:r>
        <w:rPr>
          <w:rFonts w:hint="eastAsia" w:ascii="宋体" w:hAnsi="宋体"/>
          <w:b/>
          <w:sz w:val="28"/>
          <w:szCs w:val="28"/>
        </w:rPr>
        <w:t>监狱企业声明函</w:t>
      </w:r>
    </w:p>
    <w:p w14:paraId="622885B0">
      <w:pPr>
        <w:spacing w:line="600" w:lineRule="exact"/>
        <w:ind w:firstLine="480"/>
        <w:jc w:val="center"/>
        <w:rPr>
          <w:rFonts w:ascii="宋体" w:hAnsi="宋体" w:cs="宋体"/>
          <w:sz w:val="24"/>
        </w:rPr>
      </w:pPr>
      <w:r>
        <w:rPr>
          <w:rFonts w:hint="eastAsia" w:ascii="宋体" w:hAnsi="宋体" w:cs="宋体"/>
          <w:sz w:val="24"/>
        </w:rPr>
        <w:t>【非监狱企业的不用提供】</w:t>
      </w:r>
    </w:p>
    <w:p w14:paraId="383F7112">
      <w:pPr>
        <w:spacing w:line="600" w:lineRule="exact"/>
        <w:ind w:firstLine="480"/>
        <w:rPr>
          <w:rFonts w:ascii="宋体" w:hAnsi="宋体" w:cs="宋体"/>
          <w:sz w:val="24"/>
        </w:rPr>
      </w:pPr>
      <w:r>
        <w:rPr>
          <w:rFonts w:hint="eastAsia" w:ascii="宋体" w:hAnsi="宋体" w:cs="宋体"/>
          <w:sz w:val="24"/>
        </w:rPr>
        <w:t>本企业郑重声明，根据《关于政府采购支持监狱企业发展有关间想的通知》(财库[2014]68号）的规定，本企业为监狱企业。</w:t>
      </w:r>
    </w:p>
    <w:p w14:paraId="434CB397">
      <w:pPr>
        <w:spacing w:line="600" w:lineRule="exact"/>
        <w:ind w:firstLine="480"/>
        <w:rPr>
          <w:rFonts w:ascii="宋体" w:hAnsi="宋体" w:cs="宋体"/>
          <w:sz w:val="24"/>
        </w:rPr>
      </w:pPr>
      <w:r>
        <w:rPr>
          <w:rFonts w:hint="eastAsia" w:ascii="宋体" w:hAnsi="宋体" w:cs="宋体"/>
          <w:sz w:val="24"/>
        </w:rPr>
        <w:t>根据上述标准，我企业属于监狱企业的理由为:</w:t>
      </w:r>
      <w:r>
        <w:rPr>
          <w:rFonts w:hint="eastAsia" w:ascii="宋体" w:hAnsi="宋体" w:cs="宋体"/>
          <w:sz w:val="24"/>
          <w:u w:val="single"/>
        </w:rPr>
        <w:t xml:space="preserve">                                 </w:t>
      </w:r>
    </w:p>
    <w:p w14:paraId="661ADEB5">
      <w:pPr>
        <w:spacing w:line="600" w:lineRule="exact"/>
        <w:ind w:firstLine="480"/>
        <w:rPr>
          <w:rFonts w:ascii="宋体" w:hAnsi="宋体" w:cs="宋体"/>
          <w:sz w:val="24"/>
        </w:rPr>
      </w:pPr>
      <w:r>
        <w:rPr>
          <w:rFonts w:hint="eastAsia" w:ascii="宋体" w:hAnsi="宋体" w:cs="宋体"/>
          <w:sz w:val="24"/>
        </w:rPr>
        <w:t>本企业为参加(项目名称:</w:t>
      </w:r>
      <w:r>
        <w:rPr>
          <w:rFonts w:hint="eastAsia" w:ascii="宋体" w:hAnsi="宋体" w:cs="宋体"/>
          <w:sz w:val="24"/>
          <w:u w:val="single"/>
        </w:rPr>
        <w:t xml:space="preserve">                         </w:t>
      </w:r>
      <w:r>
        <w:rPr>
          <w:rFonts w:hint="eastAsia" w:ascii="宋体" w:hAnsi="宋体" w:cs="宋体"/>
          <w:sz w:val="24"/>
        </w:rPr>
        <w:t>) (项目编号:</w:t>
      </w:r>
      <w:r>
        <w:rPr>
          <w:rFonts w:hint="eastAsia" w:ascii="宋体" w:hAnsi="宋体" w:cs="宋体"/>
          <w:sz w:val="24"/>
          <w:u w:val="single"/>
        </w:rPr>
        <w:t xml:space="preserve">            </w:t>
      </w:r>
      <w:r>
        <w:rPr>
          <w:rFonts w:hint="eastAsia" w:ascii="宋体" w:hAnsi="宋体" w:cs="宋体"/>
          <w:sz w:val="24"/>
        </w:rPr>
        <w:t>)采购活动提供本企业的产品。</w:t>
      </w:r>
    </w:p>
    <w:p w14:paraId="22B88CC5">
      <w:pPr>
        <w:spacing w:line="600" w:lineRule="exact"/>
        <w:ind w:firstLine="360" w:firstLineChars="150"/>
        <w:rPr>
          <w:rFonts w:ascii="宋体" w:hAnsi="宋体" w:cs="宋体"/>
          <w:sz w:val="24"/>
        </w:rPr>
      </w:pPr>
      <w:r>
        <w:rPr>
          <w:rFonts w:hint="eastAsia" w:ascii="宋体" w:hAnsi="宋体" w:cs="宋体"/>
          <w:sz w:val="24"/>
        </w:rPr>
        <w:t>本企业对上述声明的真实性负责。如有虚假，将依法承担相应责任。</w:t>
      </w:r>
    </w:p>
    <w:p w14:paraId="1E93BC99">
      <w:pPr>
        <w:spacing w:line="600" w:lineRule="exact"/>
        <w:ind w:firstLine="480"/>
        <w:rPr>
          <w:rFonts w:ascii="宋体" w:hAnsi="宋体" w:cs="宋体"/>
          <w:sz w:val="24"/>
        </w:rPr>
      </w:pPr>
    </w:p>
    <w:p w14:paraId="6356383A">
      <w:pPr>
        <w:spacing w:line="600" w:lineRule="exact"/>
        <w:ind w:firstLine="480"/>
        <w:rPr>
          <w:rFonts w:ascii="宋体" w:hAnsi="宋体" w:cs="宋体"/>
          <w:sz w:val="24"/>
        </w:rPr>
      </w:pPr>
    </w:p>
    <w:p w14:paraId="16B9759D">
      <w:pPr>
        <w:spacing w:line="600" w:lineRule="exact"/>
        <w:ind w:firstLine="480"/>
        <w:rPr>
          <w:rFonts w:ascii="宋体" w:hAnsi="宋体" w:cs="宋体"/>
          <w:sz w:val="24"/>
        </w:rPr>
      </w:pPr>
      <w:r>
        <w:rPr>
          <w:rFonts w:hint="eastAsia" w:ascii="宋体" w:hAnsi="宋体" w:cs="宋体"/>
          <w:sz w:val="24"/>
        </w:rPr>
        <w:t>供应商：_______________（盖章）</w:t>
      </w:r>
    </w:p>
    <w:p w14:paraId="586D6834">
      <w:pPr>
        <w:spacing w:line="600" w:lineRule="exact"/>
        <w:ind w:firstLine="480"/>
        <w:rPr>
          <w:rFonts w:ascii="宋体" w:hAnsi="宋体" w:cs="宋体"/>
          <w:sz w:val="24"/>
        </w:rPr>
      </w:pPr>
      <w:r>
        <w:rPr>
          <w:rFonts w:hint="eastAsia" w:ascii="宋体" w:hAnsi="宋体" w:cs="宋体"/>
          <w:sz w:val="24"/>
        </w:rPr>
        <w:t>法定代表人或其授权代理人（签字或盖章）：</w:t>
      </w:r>
      <w:r>
        <w:rPr>
          <w:rFonts w:hint="eastAsia" w:hAnsi="宋体" w:cs="宋体"/>
          <w:u w:val="single"/>
        </w:rPr>
        <w:t xml:space="preserve">                                   </w:t>
      </w:r>
    </w:p>
    <w:p w14:paraId="4574DDA6">
      <w:pPr>
        <w:spacing w:line="600" w:lineRule="exact"/>
        <w:ind w:firstLine="480"/>
        <w:rPr>
          <w:rFonts w:ascii="宋体" w:hAnsi="宋体" w:cs="宋体"/>
          <w:sz w:val="24"/>
        </w:rPr>
      </w:pPr>
      <w:r>
        <w:rPr>
          <w:rFonts w:hint="eastAsia" w:ascii="宋体" w:hAnsi="宋体" w:cs="宋体"/>
          <w:sz w:val="24"/>
        </w:rPr>
        <w:t>日期：  年  月  日</w:t>
      </w:r>
    </w:p>
    <w:p w14:paraId="104F9B4F">
      <w:pPr>
        <w:spacing w:line="600" w:lineRule="exact"/>
        <w:ind w:firstLine="480"/>
        <w:rPr>
          <w:rFonts w:ascii="宋体" w:hAnsi="宋体" w:cs="宋体"/>
          <w:sz w:val="24"/>
        </w:rPr>
      </w:pPr>
    </w:p>
    <w:p w14:paraId="3CF9DCB0">
      <w:pPr>
        <w:spacing w:line="600" w:lineRule="exact"/>
        <w:ind w:firstLine="480"/>
        <w:rPr>
          <w:rFonts w:ascii="宋体" w:hAnsi="宋体" w:cs="宋体"/>
          <w:sz w:val="24"/>
        </w:rPr>
      </w:pPr>
      <w:r>
        <w:rPr>
          <w:rFonts w:hint="eastAsia" w:ascii="宋体" w:hAnsi="宋体" w:cs="宋体"/>
          <w:sz w:val="24"/>
        </w:rPr>
        <w:t>监狱企业参加政府采购活动时，应当提供由省级以上监狱管理局、戒毒管理局(含新疆生产建设兵团)出具的属于监狱企业的证明文件；</w:t>
      </w:r>
    </w:p>
    <w:p w14:paraId="2BB79455">
      <w:pPr>
        <w:spacing w:line="600" w:lineRule="exact"/>
        <w:ind w:firstLine="480"/>
        <w:rPr>
          <w:rFonts w:ascii="宋体" w:hAnsi="宋体" w:cs="宋体"/>
          <w:sz w:val="24"/>
        </w:rPr>
      </w:pPr>
      <w:r>
        <w:rPr>
          <w:rFonts w:hint="eastAsia" w:ascii="宋体" w:hAnsi="宋体" w:cs="宋体"/>
          <w:sz w:val="24"/>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5D4D993A">
      <w:pPr>
        <w:snapToGrid w:val="0"/>
        <w:spacing w:before="50" w:afterLines="50" w:line="600" w:lineRule="exact"/>
        <w:rPr>
          <w:rFonts w:ascii="宋体" w:hAnsi="宋体"/>
          <w:b/>
          <w:bCs/>
          <w:color w:val="000000"/>
          <w:sz w:val="24"/>
        </w:rPr>
      </w:pPr>
    </w:p>
    <w:p w14:paraId="03788FF3">
      <w:pPr>
        <w:snapToGrid w:val="0"/>
        <w:spacing w:before="50" w:afterLines="50" w:line="600" w:lineRule="exact"/>
        <w:rPr>
          <w:rFonts w:ascii="宋体" w:hAnsi="宋体"/>
          <w:b/>
          <w:bCs/>
          <w:color w:val="000000"/>
          <w:sz w:val="24"/>
        </w:rPr>
      </w:pPr>
    </w:p>
    <w:p w14:paraId="78B8F61F">
      <w:pPr>
        <w:snapToGrid w:val="0"/>
        <w:spacing w:before="50" w:afterLines="50" w:line="600" w:lineRule="exact"/>
        <w:ind w:firstLine="480"/>
        <w:jc w:val="center"/>
        <w:rPr>
          <w:rFonts w:ascii="宋体" w:hAnsi="宋体"/>
          <w:b/>
          <w:bCs/>
          <w:color w:val="000000"/>
          <w:sz w:val="28"/>
          <w:szCs w:val="28"/>
        </w:rPr>
      </w:pPr>
      <w:r>
        <w:rPr>
          <w:rFonts w:hint="eastAsia" w:ascii="宋体" w:hAnsi="宋体"/>
          <w:b/>
          <w:bCs/>
          <w:color w:val="000000"/>
          <w:sz w:val="28"/>
          <w:szCs w:val="28"/>
        </w:rPr>
        <w:t>残疾人福利性单位声明函</w:t>
      </w:r>
    </w:p>
    <w:p w14:paraId="6FAF4B16">
      <w:pPr>
        <w:spacing w:line="600" w:lineRule="exact"/>
        <w:ind w:firstLine="480"/>
        <w:jc w:val="center"/>
        <w:rPr>
          <w:rFonts w:ascii="宋体" w:hAnsi="宋体" w:cs="宋体"/>
          <w:sz w:val="24"/>
        </w:rPr>
      </w:pPr>
      <w:r>
        <w:rPr>
          <w:rFonts w:hint="eastAsia" w:ascii="宋体" w:hAnsi="宋体" w:cs="宋体"/>
          <w:sz w:val="24"/>
        </w:rPr>
        <w:t>【非残疾人福利性单位不用提供】</w:t>
      </w:r>
    </w:p>
    <w:p w14:paraId="0070B222">
      <w:pPr>
        <w:spacing w:line="600" w:lineRule="exact"/>
        <w:ind w:firstLine="480"/>
        <w:rPr>
          <w:rFonts w:ascii="宋体" w:hAnsi="宋体" w:cs="宋体"/>
          <w:sz w:val="24"/>
        </w:rPr>
      </w:pPr>
      <w:r>
        <w:rPr>
          <w:rFonts w:hint="eastAsia" w:ascii="宋体" w:hAnsi="宋体" w:cs="宋体"/>
          <w:sz w:val="24"/>
        </w:rPr>
        <w:t>本单位郑重声明，根据《财政部民政部中国残疾人联合会关于促进残疾人就业政府采购政策的通知》(财库(2017) 141号)的规定。本单位为符合条件的残疾人福利性单位，且本单位参加</w:t>
      </w:r>
      <w:r>
        <w:rPr>
          <w:rFonts w:hint="eastAsia" w:ascii="宋体" w:hAnsi="宋体" w:cs="宋体"/>
          <w:sz w:val="24"/>
          <w:u w:val="single"/>
        </w:rPr>
        <w:t xml:space="preserve">              </w:t>
      </w:r>
      <w:r>
        <w:rPr>
          <w:rFonts w:hint="eastAsia" w:ascii="宋体" w:hAnsi="宋体" w:cs="宋体"/>
          <w:sz w:val="24"/>
        </w:rPr>
        <w:t>(采购人名称)单位的</w:t>
      </w:r>
      <w:r>
        <w:rPr>
          <w:rFonts w:hint="eastAsia" w:ascii="宋体" w:hAnsi="宋体" w:cs="宋体"/>
          <w:sz w:val="24"/>
          <w:u w:val="single"/>
        </w:rPr>
        <w:t xml:space="preserve">                       </w:t>
      </w:r>
      <w:r>
        <w:rPr>
          <w:rFonts w:hint="eastAsia" w:ascii="宋体" w:hAnsi="宋体" w:cs="宋体"/>
          <w:sz w:val="24"/>
        </w:rPr>
        <w:t>(项目名称)项目采购活动提供本单位制造的货物(由本单位承担工程/提供服务)，成者提供其他残疾人福利性单位制造的货物(不包括使用非残疾人福利性单位往册商标的货物)。</w:t>
      </w:r>
    </w:p>
    <w:p w14:paraId="245CA86A">
      <w:pPr>
        <w:spacing w:line="600" w:lineRule="exact"/>
        <w:ind w:firstLine="480"/>
        <w:rPr>
          <w:rFonts w:ascii="宋体" w:hAnsi="宋体" w:cs="宋体"/>
          <w:sz w:val="24"/>
        </w:rPr>
      </w:pPr>
      <w:r>
        <w:rPr>
          <w:rFonts w:hint="eastAsia" w:ascii="宋体" w:hAnsi="宋体" w:cs="宋体"/>
          <w:sz w:val="24"/>
        </w:rPr>
        <w:t>本单位对上述声明的真实性负责，如有虚假，将依法承担相应责任。</w:t>
      </w:r>
    </w:p>
    <w:p w14:paraId="228A8AF7">
      <w:pPr>
        <w:spacing w:line="600" w:lineRule="exact"/>
        <w:ind w:firstLine="480"/>
        <w:rPr>
          <w:rFonts w:ascii="宋体" w:hAnsi="宋体" w:cs="宋体"/>
          <w:sz w:val="24"/>
        </w:rPr>
      </w:pPr>
    </w:p>
    <w:p w14:paraId="780F8BB2">
      <w:pPr>
        <w:spacing w:line="600" w:lineRule="exact"/>
        <w:ind w:firstLine="480"/>
        <w:rPr>
          <w:rFonts w:ascii="宋体" w:hAnsi="宋体" w:cs="宋体"/>
          <w:sz w:val="24"/>
        </w:rPr>
      </w:pPr>
    </w:p>
    <w:p w14:paraId="3A4E89A3">
      <w:pPr>
        <w:spacing w:line="600" w:lineRule="exact"/>
        <w:ind w:firstLine="480"/>
        <w:rPr>
          <w:rFonts w:ascii="宋体" w:hAnsi="宋体" w:cs="宋体"/>
          <w:sz w:val="24"/>
        </w:rPr>
      </w:pPr>
      <w:r>
        <w:rPr>
          <w:rFonts w:hint="eastAsia" w:ascii="宋体" w:hAnsi="宋体" w:cs="宋体"/>
          <w:sz w:val="24"/>
        </w:rPr>
        <w:t>供应商：_______________（盖章）</w:t>
      </w:r>
    </w:p>
    <w:p w14:paraId="6DC51DA2">
      <w:pPr>
        <w:spacing w:line="600" w:lineRule="exact"/>
        <w:ind w:firstLine="480"/>
        <w:rPr>
          <w:rFonts w:ascii="宋体" w:hAnsi="宋体" w:cs="宋体"/>
          <w:sz w:val="24"/>
        </w:rPr>
      </w:pPr>
      <w:r>
        <w:rPr>
          <w:rFonts w:hint="eastAsia" w:ascii="宋体" w:hAnsi="宋体" w:cs="宋体"/>
          <w:sz w:val="24"/>
        </w:rPr>
        <w:t>法定代表人或其授权代理人（签字或盖章）：</w:t>
      </w:r>
      <w:r>
        <w:rPr>
          <w:rFonts w:hint="eastAsia" w:hAnsi="宋体" w:cs="宋体"/>
          <w:u w:val="single"/>
        </w:rPr>
        <w:t xml:space="preserve">                             </w:t>
      </w:r>
    </w:p>
    <w:p w14:paraId="6514E2E8">
      <w:pPr>
        <w:snapToGrid w:val="0"/>
        <w:spacing w:before="50"/>
        <w:jc w:val="center"/>
        <w:rPr>
          <w:rFonts w:ascii="宋体" w:hAnsi="宋体" w:cs="宋体"/>
          <w:sz w:val="24"/>
        </w:rPr>
      </w:pPr>
      <w:r>
        <w:rPr>
          <w:rFonts w:hint="eastAsia" w:ascii="宋体" w:hAnsi="宋体" w:cs="宋体"/>
          <w:sz w:val="24"/>
        </w:rPr>
        <w:t>日期：  年  月  日</w:t>
      </w:r>
    </w:p>
    <w:p w14:paraId="52EDD8B6">
      <w:pPr>
        <w:snapToGrid w:val="0"/>
        <w:spacing w:before="50"/>
        <w:jc w:val="center"/>
        <w:rPr>
          <w:rFonts w:ascii="宋体" w:hAnsi="宋体" w:cs="宋体"/>
          <w:sz w:val="24"/>
        </w:rPr>
      </w:pPr>
    </w:p>
    <w:p w14:paraId="37BF4C97">
      <w:pPr>
        <w:snapToGrid w:val="0"/>
        <w:spacing w:before="50"/>
        <w:jc w:val="center"/>
        <w:rPr>
          <w:rFonts w:ascii="宋体" w:hAnsi="宋体" w:cs="宋体"/>
          <w:sz w:val="24"/>
        </w:rPr>
      </w:pPr>
    </w:p>
    <w:p w14:paraId="03B2323B">
      <w:pPr>
        <w:snapToGrid w:val="0"/>
        <w:spacing w:before="50"/>
        <w:jc w:val="center"/>
        <w:rPr>
          <w:rFonts w:ascii="宋体" w:hAnsi="宋体" w:cs="宋体"/>
          <w:sz w:val="24"/>
        </w:rPr>
      </w:pPr>
    </w:p>
    <w:p w14:paraId="5DD8351A">
      <w:pPr>
        <w:snapToGrid w:val="0"/>
        <w:spacing w:before="50"/>
        <w:jc w:val="center"/>
        <w:rPr>
          <w:rFonts w:ascii="宋体" w:hAnsi="宋体" w:cs="宋体"/>
          <w:sz w:val="24"/>
        </w:rPr>
      </w:pPr>
    </w:p>
    <w:p w14:paraId="2F4DB3E7">
      <w:pPr>
        <w:snapToGrid w:val="0"/>
        <w:spacing w:before="50"/>
        <w:jc w:val="center"/>
        <w:rPr>
          <w:rFonts w:ascii="宋体" w:hAnsi="宋体" w:cs="宋体"/>
          <w:sz w:val="24"/>
        </w:rPr>
      </w:pPr>
    </w:p>
    <w:p w14:paraId="28FC2C0C">
      <w:pPr>
        <w:snapToGrid w:val="0"/>
        <w:spacing w:before="50"/>
        <w:jc w:val="center"/>
        <w:rPr>
          <w:rFonts w:ascii="宋体" w:hAnsi="宋体" w:cs="宋体"/>
          <w:sz w:val="24"/>
        </w:rPr>
      </w:pPr>
    </w:p>
    <w:p w14:paraId="7D76E175">
      <w:pPr>
        <w:snapToGrid w:val="0"/>
        <w:spacing w:before="50"/>
        <w:jc w:val="center"/>
        <w:rPr>
          <w:rFonts w:ascii="宋体" w:hAnsi="宋体" w:cs="宋体"/>
          <w:sz w:val="24"/>
        </w:rPr>
      </w:pPr>
    </w:p>
    <w:p w14:paraId="1255C6F4">
      <w:pPr>
        <w:snapToGrid w:val="0"/>
        <w:spacing w:before="50"/>
        <w:jc w:val="center"/>
        <w:rPr>
          <w:rFonts w:ascii="宋体" w:hAnsi="宋体" w:cs="宋体"/>
          <w:sz w:val="24"/>
        </w:rPr>
      </w:pPr>
    </w:p>
    <w:p w14:paraId="21800A02">
      <w:pPr>
        <w:snapToGrid w:val="0"/>
        <w:spacing w:before="50"/>
        <w:jc w:val="center"/>
        <w:rPr>
          <w:rFonts w:ascii="宋体" w:hAnsi="宋体" w:cs="宋体"/>
          <w:sz w:val="24"/>
        </w:rPr>
      </w:pPr>
    </w:p>
    <w:p w14:paraId="00ADE896">
      <w:pPr>
        <w:snapToGrid w:val="0"/>
        <w:spacing w:before="50"/>
        <w:jc w:val="center"/>
        <w:rPr>
          <w:rFonts w:ascii="宋体" w:hAnsi="宋体" w:cs="宋体"/>
          <w:sz w:val="24"/>
        </w:rPr>
      </w:pPr>
    </w:p>
    <w:p w14:paraId="650AEA3C">
      <w:pPr>
        <w:snapToGrid w:val="0"/>
        <w:spacing w:before="50"/>
        <w:jc w:val="center"/>
        <w:rPr>
          <w:rFonts w:ascii="宋体" w:hAnsi="宋体" w:cs="宋体"/>
          <w:sz w:val="24"/>
        </w:rPr>
      </w:pPr>
    </w:p>
    <w:p w14:paraId="32AC061E">
      <w:pPr>
        <w:snapToGrid w:val="0"/>
        <w:spacing w:before="50"/>
        <w:jc w:val="center"/>
        <w:rPr>
          <w:rFonts w:ascii="宋体" w:hAnsi="宋体" w:cs="宋体"/>
          <w:sz w:val="24"/>
        </w:rPr>
      </w:pPr>
    </w:p>
    <w:p w14:paraId="11C85BFE">
      <w:pPr>
        <w:snapToGrid w:val="0"/>
        <w:spacing w:before="50"/>
        <w:jc w:val="center"/>
        <w:rPr>
          <w:rFonts w:ascii="宋体" w:hAnsi="宋体" w:cs="宋体"/>
          <w:sz w:val="24"/>
        </w:rPr>
      </w:pPr>
    </w:p>
    <w:p w14:paraId="4EA547EE">
      <w:pPr>
        <w:snapToGrid w:val="0"/>
        <w:spacing w:before="50"/>
        <w:jc w:val="center"/>
        <w:rPr>
          <w:rFonts w:ascii="宋体" w:hAnsi="宋体" w:cs="宋体"/>
          <w:sz w:val="24"/>
        </w:rPr>
      </w:pPr>
    </w:p>
    <w:p w14:paraId="25A4DE2B">
      <w:pPr>
        <w:snapToGrid w:val="0"/>
        <w:spacing w:before="50"/>
        <w:jc w:val="center"/>
        <w:rPr>
          <w:rFonts w:ascii="宋体" w:hAnsi="宋体" w:cs="宋体"/>
          <w:sz w:val="24"/>
        </w:rPr>
      </w:pPr>
    </w:p>
    <w:p w14:paraId="756FE532">
      <w:pPr>
        <w:snapToGrid w:val="0"/>
        <w:spacing w:before="50"/>
        <w:jc w:val="center"/>
        <w:rPr>
          <w:rFonts w:ascii="宋体" w:hAnsi="宋体" w:cs="宋体"/>
          <w:sz w:val="24"/>
        </w:rPr>
      </w:pPr>
    </w:p>
    <w:p w14:paraId="590CE18A">
      <w:pPr>
        <w:snapToGrid w:val="0"/>
        <w:spacing w:before="50"/>
        <w:jc w:val="center"/>
        <w:rPr>
          <w:rFonts w:ascii="宋体" w:hAnsi="宋体"/>
          <w:b/>
          <w:sz w:val="32"/>
          <w:szCs w:val="32"/>
        </w:rPr>
      </w:pPr>
      <w:r>
        <w:rPr>
          <w:rFonts w:hint="eastAsia" w:ascii="宋体" w:hAnsi="宋体"/>
          <w:b/>
          <w:sz w:val="32"/>
          <w:szCs w:val="32"/>
        </w:rPr>
        <w:t>磋商代理服务费承诺函</w:t>
      </w:r>
    </w:p>
    <w:p w14:paraId="4C8A93F6">
      <w:pPr>
        <w:spacing w:line="400" w:lineRule="exact"/>
        <w:jc w:val="center"/>
        <w:rPr>
          <w:rFonts w:ascii="宋体" w:hAnsi="宋体"/>
          <w:b/>
          <w:sz w:val="24"/>
          <w:szCs w:val="20"/>
        </w:rPr>
      </w:pPr>
    </w:p>
    <w:p w14:paraId="2277E6C9">
      <w:pPr>
        <w:spacing w:line="360" w:lineRule="auto"/>
        <w:rPr>
          <w:rFonts w:ascii="宋体" w:hAnsi="宋体"/>
          <w:sz w:val="24"/>
        </w:rPr>
      </w:pPr>
    </w:p>
    <w:p w14:paraId="02E0CEC8">
      <w:pPr>
        <w:spacing w:line="360" w:lineRule="auto"/>
        <w:rPr>
          <w:rFonts w:ascii="宋体" w:hAnsi="宋体"/>
          <w:sz w:val="24"/>
        </w:rPr>
      </w:pPr>
      <w:r>
        <w:rPr>
          <w:rFonts w:hint="eastAsia" w:ascii="宋体" w:hAnsi="宋体"/>
          <w:sz w:val="24"/>
        </w:rPr>
        <w:t>杭州广厦建筑咨询有限公司：</w:t>
      </w:r>
    </w:p>
    <w:p w14:paraId="0BAA2D75">
      <w:pPr>
        <w:spacing w:line="360" w:lineRule="auto"/>
        <w:ind w:firstLine="570"/>
        <w:rPr>
          <w:rFonts w:ascii="宋体" w:hAnsi="宋体"/>
          <w:sz w:val="24"/>
        </w:rPr>
      </w:pPr>
      <w:r>
        <w:rPr>
          <w:rFonts w:hint="eastAsia" w:ascii="宋体" w:hAnsi="宋体"/>
          <w:sz w:val="24"/>
        </w:rPr>
        <w:t>根据本项目磋商文件规定，一旦由我公司成交，我公司同意按磋商文件规定支付本项目全额磋商代理服务费，在我公司领取成交通知书时一次性向贵公司缴清。</w:t>
      </w:r>
    </w:p>
    <w:p w14:paraId="3AE900A4">
      <w:pPr>
        <w:spacing w:line="360" w:lineRule="auto"/>
        <w:ind w:firstLine="570"/>
        <w:rPr>
          <w:rFonts w:ascii="宋体" w:hAnsi="宋体"/>
          <w:sz w:val="24"/>
        </w:rPr>
      </w:pPr>
    </w:p>
    <w:p w14:paraId="25E50063">
      <w:pPr>
        <w:spacing w:line="360" w:lineRule="auto"/>
        <w:ind w:firstLine="570"/>
        <w:rPr>
          <w:rFonts w:ascii="宋体" w:hAnsi="宋体"/>
          <w:sz w:val="24"/>
        </w:rPr>
      </w:pPr>
      <w:r>
        <w:rPr>
          <w:rFonts w:hint="eastAsia" w:ascii="宋体" w:hAnsi="宋体"/>
          <w:sz w:val="24"/>
        </w:rPr>
        <w:t>本承诺函自开标之日起至本次采购期满有效。</w:t>
      </w:r>
    </w:p>
    <w:p w14:paraId="1F4206E5">
      <w:pPr>
        <w:spacing w:line="360" w:lineRule="auto"/>
        <w:ind w:firstLine="570"/>
        <w:rPr>
          <w:rFonts w:ascii="宋体" w:hAnsi="宋体"/>
          <w:sz w:val="24"/>
        </w:rPr>
      </w:pPr>
    </w:p>
    <w:p w14:paraId="380AF82F">
      <w:pPr>
        <w:spacing w:line="360" w:lineRule="auto"/>
        <w:ind w:firstLine="570"/>
        <w:rPr>
          <w:rFonts w:ascii="宋体" w:hAnsi="宋体"/>
          <w:sz w:val="24"/>
        </w:rPr>
      </w:pPr>
    </w:p>
    <w:p w14:paraId="1DFE1578">
      <w:pPr>
        <w:pStyle w:val="13"/>
        <w:spacing w:line="520" w:lineRule="exact"/>
        <w:ind w:firstLine="3600" w:firstLineChars="1500"/>
        <w:rPr>
          <w:rFonts w:ascii="宋体" w:hAnsi="宋体"/>
          <w:sz w:val="24"/>
          <w:szCs w:val="24"/>
        </w:rPr>
      </w:pPr>
      <w:r>
        <w:rPr>
          <w:rFonts w:hint="eastAsia" w:ascii="宋体" w:hAnsi="宋体"/>
          <w:sz w:val="24"/>
          <w:szCs w:val="24"/>
        </w:rPr>
        <w:t>竞标人：（盖章）</w:t>
      </w:r>
    </w:p>
    <w:p w14:paraId="11BABFB7">
      <w:pPr>
        <w:pStyle w:val="13"/>
        <w:spacing w:line="520" w:lineRule="exact"/>
        <w:ind w:firstLine="3600" w:firstLineChars="1500"/>
        <w:rPr>
          <w:rFonts w:ascii="宋体" w:hAnsi="宋体"/>
          <w:sz w:val="24"/>
          <w:szCs w:val="24"/>
          <w:u w:val="single"/>
        </w:rPr>
      </w:pPr>
      <w:r>
        <w:rPr>
          <w:rFonts w:hint="eastAsia" w:ascii="宋体" w:hAnsi="宋体"/>
          <w:sz w:val="24"/>
          <w:szCs w:val="24"/>
        </w:rPr>
        <w:t>法定代表人或其授权代理人（签字或盖章）：</w:t>
      </w:r>
    </w:p>
    <w:p w14:paraId="09AA3B7D">
      <w:pPr>
        <w:pStyle w:val="13"/>
        <w:spacing w:line="520" w:lineRule="exact"/>
        <w:ind w:firstLine="5880" w:firstLineChars="2800"/>
        <w:rPr>
          <w:rFonts w:ascii="宋体" w:hAnsi="宋体"/>
          <w:b/>
          <w:spacing w:val="14"/>
        </w:rPr>
      </w:pPr>
      <w:r>
        <w:rPr>
          <w:rFonts w:hint="eastAsia" w:ascii="宋体" w:hAnsi="宋体"/>
        </w:rPr>
        <w:t>日期：    年   月   日</w:t>
      </w:r>
    </w:p>
    <w:p w14:paraId="7D56D6F1">
      <w:pPr>
        <w:snapToGrid w:val="0"/>
        <w:jc w:val="center"/>
        <w:rPr>
          <w:rFonts w:ascii="宋体" w:hAnsi="宋体"/>
          <w:b/>
          <w:sz w:val="24"/>
          <w:szCs w:val="20"/>
        </w:rPr>
      </w:pPr>
    </w:p>
    <w:p w14:paraId="1B64BEF9">
      <w:pPr>
        <w:snapToGrid w:val="0"/>
        <w:jc w:val="center"/>
        <w:rPr>
          <w:rFonts w:ascii="宋体" w:hAnsi="宋体"/>
          <w:b/>
          <w:sz w:val="24"/>
          <w:szCs w:val="20"/>
        </w:rPr>
      </w:pPr>
    </w:p>
    <w:p w14:paraId="3456BBD0">
      <w:pPr>
        <w:snapToGrid w:val="0"/>
        <w:jc w:val="center"/>
        <w:rPr>
          <w:rFonts w:ascii="宋体" w:hAnsi="宋体"/>
          <w:b/>
          <w:sz w:val="24"/>
          <w:szCs w:val="20"/>
        </w:rPr>
      </w:pPr>
    </w:p>
    <w:p w14:paraId="45DF1A42">
      <w:pPr>
        <w:snapToGrid w:val="0"/>
        <w:jc w:val="center"/>
        <w:rPr>
          <w:rFonts w:ascii="宋体" w:hAnsi="宋体"/>
          <w:b/>
          <w:sz w:val="24"/>
          <w:szCs w:val="20"/>
        </w:rPr>
      </w:pPr>
    </w:p>
    <w:p w14:paraId="3313FD0F">
      <w:pPr>
        <w:snapToGrid w:val="0"/>
        <w:jc w:val="center"/>
        <w:rPr>
          <w:rFonts w:ascii="宋体" w:hAnsi="宋体"/>
          <w:b/>
          <w:sz w:val="24"/>
          <w:szCs w:val="20"/>
        </w:rPr>
      </w:pPr>
    </w:p>
    <w:p w14:paraId="26490ED3">
      <w:pPr>
        <w:snapToGrid w:val="0"/>
        <w:jc w:val="center"/>
        <w:rPr>
          <w:rFonts w:ascii="宋体" w:hAnsi="宋体"/>
          <w:b/>
          <w:sz w:val="24"/>
          <w:szCs w:val="20"/>
        </w:rPr>
      </w:pPr>
    </w:p>
    <w:p w14:paraId="072BDE98">
      <w:pPr>
        <w:snapToGrid w:val="0"/>
        <w:jc w:val="center"/>
        <w:rPr>
          <w:rFonts w:ascii="宋体" w:hAnsi="宋体"/>
          <w:b/>
          <w:sz w:val="24"/>
          <w:szCs w:val="20"/>
        </w:rPr>
      </w:pPr>
    </w:p>
    <w:p w14:paraId="2BEFA383">
      <w:pPr>
        <w:snapToGrid w:val="0"/>
        <w:jc w:val="center"/>
        <w:rPr>
          <w:rFonts w:ascii="宋体" w:hAnsi="宋体"/>
          <w:b/>
          <w:sz w:val="24"/>
          <w:szCs w:val="20"/>
        </w:rPr>
      </w:pPr>
    </w:p>
    <w:p w14:paraId="51137335">
      <w:pPr>
        <w:pStyle w:val="2"/>
        <w:ind w:firstLine="241"/>
        <w:rPr>
          <w:rFonts w:ascii="宋体" w:hAnsi="宋体"/>
          <w:b/>
          <w:szCs w:val="20"/>
        </w:rPr>
      </w:pPr>
    </w:p>
    <w:p w14:paraId="30141159">
      <w:pPr>
        <w:pStyle w:val="2"/>
        <w:ind w:firstLine="241"/>
        <w:rPr>
          <w:rFonts w:ascii="宋体" w:hAnsi="宋体"/>
          <w:b/>
          <w:szCs w:val="20"/>
        </w:rPr>
      </w:pPr>
    </w:p>
    <w:p w14:paraId="145BBCB8">
      <w:pPr>
        <w:pStyle w:val="2"/>
        <w:ind w:firstLine="241"/>
        <w:rPr>
          <w:rFonts w:ascii="宋体" w:hAnsi="宋体"/>
          <w:b/>
          <w:szCs w:val="20"/>
        </w:rPr>
      </w:pPr>
    </w:p>
    <w:p w14:paraId="36236CA3">
      <w:pPr>
        <w:pStyle w:val="2"/>
        <w:ind w:firstLine="241"/>
        <w:rPr>
          <w:rFonts w:ascii="宋体" w:hAnsi="宋体"/>
          <w:b/>
          <w:szCs w:val="20"/>
        </w:rPr>
      </w:pPr>
    </w:p>
    <w:p w14:paraId="7928BF75">
      <w:pPr>
        <w:snapToGrid w:val="0"/>
        <w:rPr>
          <w:rFonts w:ascii="宋体" w:hAnsi="宋体"/>
          <w:b/>
          <w:sz w:val="24"/>
          <w:szCs w:val="20"/>
        </w:rPr>
      </w:pPr>
    </w:p>
    <w:p w14:paraId="446118F0">
      <w:pPr>
        <w:snapToGrid w:val="0"/>
        <w:spacing w:line="480" w:lineRule="auto"/>
        <w:ind w:left="502"/>
        <w:rPr>
          <w:rFonts w:ascii="宋体" w:hAnsi="宋体" w:cs="宋体"/>
          <w:b/>
          <w:bCs/>
          <w:sz w:val="24"/>
        </w:rPr>
      </w:pPr>
    </w:p>
    <w:p w14:paraId="1CCAFD1B">
      <w:pPr>
        <w:snapToGrid w:val="0"/>
        <w:spacing w:before="50" w:after="50"/>
        <w:jc w:val="center"/>
        <w:rPr>
          <w:rFonts w:ascii="宋体" w:hAnsi="宋体"/>
          <w:b/>
          <w:sz w:val="28"/>
          <w:szCs w:val="28"/>
        </w:rPr>
      </w:pPr>
    </w:p>
    <w:p w14:paraId="3E5038CC">
      <w:pPr>
        <w:pStyle w:val="2"/>
        <w:ind w:firstLine="240"/>
      </w:pPr>
    </w:p>
    <w:p w14:paraId="550A2CCF"/>
    <w:p w14:paraId="5BD2537B">
      <w:pPr>
        <w:pStyle w:val="2"/>
        <w:ind w:firstLine="240"/>
      </w:pPr>
    </w:p>
    <w:p w14:paraId="09D6D788">
      <w:pPr>
        <w:snapToGrid w:val="0"/>
        <w:spacing w:before="50" w:after="50"/>
        <w:jc w:val="center"/>
        <w:rPr>
          <w:rFonts w:ascii="宋体" w:hAnsi="宋体"/>
          <w:b/>
          <w:sz w:val="28"/>
          <w:szCs w:val="28"/>
        </w:rPr>
      </w:pPr>
    </w:p>
    <w:p w14:paraId="5DC1031B">
      <w:pPr>
        <w:spacing w:line="360" w:lineRule="auto"/>
        <w:jc w:val="center"/>
        <w:rPr>
          <w:rFonts w:ascii="宋体" w:hAnsi="宋体"/>
          <w:b/>
          <w:color w:val="000000"/>
          <w:sz w:val="30"/>
          <w:szCs w:val="30"/>
        </w:rPr>
      </w:pPr>
      <w:r>
        <w:rPr>
          <w:rFonts w:hint="eastAsia" w:ascii="宋体" w:hAnsi="宋体"/>
          <w:b/>
          <w:sz w:val="30"/>
          <w:szCs w:val="30"/>
        </w:rPr>
        <w:t>其他部分：</w:t>
      </w:r>
      <w:r>
        <w:rPr>
          <w:rFonts w:hint="eastAsia" w:ascii="宋体" w:hAnsi="宋体"/>
          <w:b/>
          <w:color w:val="000000"/>
          <w:sz w:val="30"/>
          <w:szCs w:val="30"/>
        </w:rPr>
        <w:t>供应商认为要说明的其他内容</w:t>
      </w:r>
    </w:p>
    <w:p w14:paraId="094606E0">
      <w:pPr>
        <w:spacing w:line="360" w:lineRule="auto"/>
        <w:ind w:firstLine="1260" w:firstLineChars="450"/>
        <w:rPr>
          <w:rFonts w:ascii="宋体" w:hAnsi="宋体"/>
          <w:color w:val="000000"/>
          <w:sz w:val="28"/>
          <w:szCs w:val="28"/>
        </w:rPr>
      </w:pPr>
    </w:p>
    <w:p w14:paraId="60B8E75C">
      <w:pPr>
        <w:spacing w:line="360" w:lineRule="auto"/>
        <w:ind w:firstLine="1260" w:firstLineChars="450"/>
        <w:rPr>
          <w:rFonts w:ascii="宋体" w:hAnsi="宋体"/>
          <w:color w:val="000000"/>
          <w:sz w:val="28"/>
          <w:szCs w:val="28"/>
        </w:rPr>
      </w:pPr>
    </w:p>
    <w:p w14:paraId="706D00E6">
      <w:pPr>
        <w:spacing w:line="360" w:lineRule="auto"/>
        <w:rPr>
          <w:rFonts w:ascii="宋体" w:hAnsi="宋体"/>
          <w:color w:val="000000"/>
          <w:sz w:val="28"/>
          <w:szCs w:val="28"/>
        </w:rPr>
      </w:pPr>
    </w:p>
    <w:p w14:paraId="0D465A03">
      <w:pPr>
        <w:spacing w:line="360" w:lineRule="auto"/>
        <w:rPr>
          <w:rFonts w:ascii="宋体" w:hAnsi="宋体"/>
          <w:sz w:val="28"/>
          <w:szCs w:val="28"/>
        </w:rPr>
      </w:pPr>
      <w:r>
        <w:rPr>
          <w:rFonts w:hint="eastAsia" w:ascii="宋体" w:hAnsi="宋体"/>
          <w:sz w:val="28"/>
          <w:szCs w:val="28"/>
        </w:rPr>
        <w:t>供应商全称（加盖公章）：</w:t>
      </w:r>
      <w:r>
        <w:rPr>
          <w:rFonts w:hint="eastAsia" w:hAnsi="宋体" w:cs="宋体"/>
          <w:u w:val="single"/>
        </w:rPr>
        <w:t xml:space="preserve">                                            </w:t>
      </w:r>
    </w:p>
    <w:p w14:paraId="438C7234">
      <w:pPr>
        <w:spacing w:line="360" w:lineRule="auto"/>
        <w:rPr>
          <w:rFonts w:ascii="宋体" w:hAnsi="宋体"/>
          <w:sz w:val="28"/>
          <w:szCs w:val="28"/>
        </w:rPr>
      </w:pPr>
      <w:r>
        <w:rPr>
          <w:rFonts w:hint="eastAsia" w:ascii="宋体" w:hAnsi="宋体"/>
          <w:sz w:val="28"/>
          <w:szCs w:val="28"/>
        </w:rPr>
        <w:t>法定代表人或其授权代理人(</w:t>
      </w:r>
      <w:r>
        <w:rPr>
          <w:rFonts w:hint="eastAsia" w:ascii="宋体" w:hAnsi="宋体"/>
          <w:color w:val="000000"/>
          <w:sz w:val="28"/>
          <w:szCs w:val="28"/>
        </w:rPr>
        <w:t>签字或盖章)</w:t>
      </w:r>
      <w:r>
        <w:rPr>
          <w:rFonts w:hint="eastAsia" w:ascii="宋体" w:hAnsi="宋体"/>
          <w:sz w:val="28"/>
          <w:szCs w:val="28"/>
        </w:rPr>
        <w:t>：</w:t>
      </w:r>
      <w:r>
        <w:rPr>
          <w:rFonts w:hint="eastAsia" w:hAnsi="宋体" w:cs="宋体"/>
          <w:u w:val="single"/>
        </w:rPr>
        <w:t xml:space="preserve">                         </w:t>
      </w:r>
    </w:p>
    <w:p w14:paraId="1D60327A">
      <w:pPr>
        <w:spacing w:line="360" w:lineRule="auto"/>
        <w:rPr>
          <w:rFonts w:ascii="宋体" w:hAnsi="宋体"/>
          <w:sz w:val="28"/>
          <w:szCs w:val="28"/>
        </w:rPr>
      </w:pPr>
      <w:r>
        <w:rPr>
          <w:rFonts w:hint="eastAsia" w:ascii="宋体" w:hAnsi="宋体"/>
          <w:sz w:val="28"/>
          <w:szCs w:val="28"/>
        </w:rPr>
        <w:t>日期：</w:t>
      </w:r>
      <w:r>
        <w:rPr>
          <w:rFonts w:hint="eastAsia" w:ascii="宋体" w:hAnsi="宋体"/>
          <w:sz w:val="28"/>
          <w:szCs w:val="28"/>
          <w:u w:val="single"/>
        </w:rPr>
        <w:t xml:space="preserve">     </w:t>
      </w:r>
      <w:r>
        <w:rPr>
          <w:rFonts w:hint="eastAsia" w:ascii="宋体" w:hAnsi="宋体"/>
          <w:sz w:val="28"/>
          <w:szCs w:val="28"/>
        </w:rPr>
        <w:t>年</w:t>
      </w:r>
      <w:r>
        <w:rPr>
          <w:rFonts w:hint="eastAsia" w:ascii="宋体" w:hAnsi="宋体"/>
          <w:sz w:val="28"/>
          <w:szCs w:val="28"/>
          <w:u w:val="single"/>
        </w:rPr>
        <w:t xml:space="preserve">    </w:t>
      </w:r>
      <w:r>
        <w:rPr>
          <w:rFonts w:hint="eastAsia" w:ascii="宋体" w:hAnsi="宋体"/>
          <w:sz w:val="28"/>
          <w:szCs w:val="28"/>
        </w:rPr>
        <w:t>月</w:t>
      </w:r>
      <w:r>
        <w:rPr>
          <w:rFonts w:hint="eastAsia" w:ascii="宋体" w:hAnsi="宋体"/>
          <w:sz w:val="28"/>
          <w:szCs w:val="28"/>
          <w:u w:val="single"/>
        </w:rPr>
        <w:t xml:space="preserve">    </w:t>
      </w:r>
      <w:r>
        <w:rPr>
          <w:rFonts w:hint="eastAsia" w:ascii="宋体" w:hAnsi="宋体"/>
          <w:sz w:val="28"/>
          <w:szCs w:val="28"/>
        </w:rPr>
        <w:t>日</w:t>
      </w:r>
    </w:p>
    <w:p w14:paraId="1AD69A89">
      <w:pPr>
        <w:spacing w:line="360" w:lineRule="auto"/>
        <w:rPr>
          <w:rFonts w:ascii="宋体" w:hAnsi="宋体"/>
          <w:sz w:val="28"/>
          <w:szCs w:val="28"/>
        </w:rPr>
      </w:pPr>
    </w:p>
    <w:p w14:paraId="4C6AC515"/>
    <w:p w14:paraId="119861A1"/>
    <w:p w14:paraId="4525292A"/>
    <w:p w14:paraId="70E1773E"/>
    <w:p w14:paraId="1DD1E881"/>
    <w:p w14:paraId="54503088"/>
    <w:p w14:paraId="057E175E"/>
    <w:p w14:paraId="18F7BF61"/>
    <w:p w14:paraId="14CE7AEA"/>
    <w:p w14:paraId="4DBD98F7"/>
    <w:p w14:paraId="480332FC">
      <w:pPr>
        <w:pStyle w:val="2"/>
        <w:ind w:firstLine="240"/>
      </w:pPr>
    </w:p>
    <w:p w14:paraId="349BD0D1">
      <w:pPr>
        <w:pStyle w:val="2"/>
        <w:ind w:firstLine="240"/>
      </w:pPr>
    </w:p>
    <w:p w14:paraId="78CB980C">
      <w:pPr>
        <w:pStyle w:val="2"/>
        <w:ind w:firstLine="240"/>
      </w:pPr>
    </w:p>
    <w:p w14:paraId="30AB721B">
      <w:pPr>
        <w:pStyle w:val="2"/>
        <w:ind w:firstLine="240"/>
      </w:pPr>
    </w:p>
    <w:p w14:paraId="6233C473"/>
    <w:p w14:paraId="2CC518B4"/>
    <w:p w14:paraId="75BB8579"/>
    <w:p w14:paraId="66ACB6D1"/>
    <w:p w14:paraId="30BEF797">
      <w:pPr>
        <w:pStyle w:val="2"/>
        <w:ind w:firstLine="240"/>
      </w:pPr>
    </w:p>
    <w:p w14:paraId="210F5F4D"/>
    <w:p w14:paraId="1998CDAB"/>
    <w:p w14:paraId="71F2482F"/>
    <w:p w14:paraId="3707347E">
      <w:pPr>
        <w:pStyle w:val="4"/>
        <w:spacing w:before="0" w:after="0" w:line="520" w:lineRule="exact"/>
        <w:jc w:val="center"/>
        <w:rPr>
          <w:rFonts w:ascii="宋体" w:hAnsi="宋体"/>
          <w:kern w:val="2"/>
          <w:sz w:val="36"/>
          <w:szCs w:val="36"/>
        </w:rPr>
      </w:pPr>
      <w:bookmarkStart w:id="26" w:name="_Toc72487183"/>
      <w:r>
        <w:rPr>
          <w:rFonts w:hint="eastAsia" w:ascii="宋体" w:hAnsi="宋体"/>
          <w:kern w:val="2"/>
          <w:sz w:val="36"/>
          <w:szCs w:val="36"/>
        </w:rPr>
        <w:t>第五章  磋商办法及评分标准</w:t>
      </w:r>
      <w:bookmarkEnd w:id="25"/>
      <w:bookmarkEnd w:id="26"/>
    </w:p>
    <w:p w14:paraId="7AEDB9CC"/>
    <w:p w14:paraId="07949EFD">
      <w:pPr>
        <w:snapToGrid w:val="0"/>
        <w:spacing w:line="500" w:lineRule="exact"/>
        <w:ind w:firstLine="420"/>
        <w:rPr>
          <w:rFonts w:ascii="宋体" w:hAnsi="宋体"/>
          <w:b/>
          <w:bCs/>
          <w:sz w:val="24"/>
        </w:rPr>
      </w:pPr>
      <w:r>
        <w:rPr>
          <w:rFonts w:hint="eastAsia" w:ascii="宋体" w:hAnsi="宋体"/>
          <w:b/>
          <w:bCs/>
          <w:sz w:val="24"/>
        </w:rPr>
        <w:t>为公正、公平、科学地选择成交人，根据《中华人民共和国政府采购法》、《政府采购竞争性磋商采购方式暂行办法》等有关法律法规的规定，并结合本项目的实际，制定本办法。</w:t>
      </w:r>
    </w:p>
    <w:p w14:paraId="3E9C961E">
      <w:pPr>
        <w:snapToGrid w:val="0"/>
        <w:spacing w:line="500" w:lineRule="exact"/>
        <w:ind w:firstLine="420"/>
        <w:rPr>
          <w:rFonts w:ascii="宋体" w:hAnsi="宋体"/>
          <w:b/>
          <w:bCs/>
          <w:sz w:val="24"/>
        </w:rPr>
      </w:pPr>
      <w:r>
        <w:rPr>
          <w:rFonts w:hint="eastAsia" w:ascii="宋体" w:hAnsi="宋体"/>
          <w:b/>
          <w:bCs/>
          <w:sz w:val="24"/>
        </w:rPr>
        <w:t>本办法适用于</w:t>
      </w:r>
      <w:r>
        <w:rPr>
          <w:rFonts w:hint="eastAsia" w:ascii="宋体" w:hAnsi="宋体"/>
          <w:b/>
          <w:bCs/>
          <w:sz w:val="24"/>
          <w:lang w:eastAsia="zh-CN"/>
        </w:rPr>
        <w:t>南浔经济开发区2025年城市管理服务项目</w:t>
      </w:r>
      <w:r>
        <w:rPr>
          <w:rFonts w:hint="eastAsia" w:ascii="宋体" w:hAnsi="宋体"/>
          <w:b/>
          <w:bCs/>
          <w:sz w:val="24"/>
        </w:rPr>
        <w:t>的磋商。</w:t>
      </w:r>
    </w:p>
    <w:p w14:paraId="1AC79994">
      <w:pPr>
        <w:snapToGrid w:val="0"/>
        <w:spacing w:line="500" w:lineRule="exact"/>
        <w:ind w:firstLine="472" w:firstLineChars="196"/>
        <w:rPr>
          <w:rFonts w:ascii="宋体" w:hAnsi="宋体"/>
          <w:b/>
          <w:sz w:val="24"/>
        </w:rPr>
      </w:pPr>
      <w:r>
        <w:rPr>
          <w:rFonts w:hint="eastAsia" w:ascii="宋体" w:hAnsi="宋体"/>
          <w:b/>
          <w:sz w:val="24"/>
        </w:rPr>
        <w:t>一、总则</w:t>
      </w:r>
    </w:p>
    <w:p w14:paraId="01CF97B2">
      <w:pPr>
        <w:snapToGrid w:val="0"/>
        <w:spacing w:line="500" w:lineRule="exact"/>
        <w:ind w:firstLine="482" w:firstLineChars="200"/>
        <w:rPr>
          <w:rFonts w:ascii="宋体" w:hAnsi="宋体"/>
          <w:color w:val="auto"/>
          <w:sz w:val="24"/>
        </w:rPr>
      </w:pPr>
      <w:r>
        <w:rPr>
          <w:rFonts w:hint="eastAsia" w:ascii="宋体" w:hAnsi="宋体"/>
          <w:b/>
          <w:color w:val="auto"/>
          <w:sz w:val="24"/>
        </w:rPr>
        <w:t>本次磋商采用综合评分法，总分为100分，其中价格分10分、技术资信商务分90分。</w:t>
      </w:r>
      <w:r>
        <w:rPr>
          <w:rFonts w:hint="eastAsia" w:ascii="宋体" w:hAnsi="宋体"/>
          <w:color w:val="auto"/>
          <w:sz w:val="24"/>
        </w:rPr>
        <w:t>合格供应商的评审得分为各项目汇总得分，成交候选资格按评审得分由高到低顺序排列，得分相同的，按磋商报价由低到高顺序排列；得分且磋商报价相同的，按技术得分由高到低顺序排列。</w:t>
      </w:r>
      <w:r>
        <w:rPr>
          <w:rFonts w:hint="eastAsia" w:ascii="宋体" w:hAnsi="宋体"/>
          <w:bCs/>
          <w:color w:val="auto"/>
          <w:sz w:val="24"/>
        </w:rPr>
        <w:t>评分过程中采用四舍五入法，并保留小数2位。</w:t>
      </w:r>
    </w:p>
    <w:p w14:paraId="1FBB300C">
      <w:pPr>
        <w:tabs>
          <w:tab w:val="left" w:pos="3870"/>
          <w:tab w:val="left" w:pos="4085"/>
        </w:tabs>
        <w:snapToGrid w:val="0"/>
        <w:spacing w:line="500" w:lineRule="exact"/>
        <w:ind w:firstLine="482" w:firstLineChars="200"/>
        <w:jc w:val="left"/>
        <w:rPr>
          <w:rFonts w:ascii="宋体" w:hAnsi="宋体" w:cs="Arial"/>
          <w:b/>
          <w:color w:val="auto"/>
          <w:sz w:val="24"/>
        </w:rPr>
      </w:pPr>
      <w:r>
        <w:rPr>
          <w:rFonts w:hint="eastAsia" w:ascii="宋体" w:hAnsi="宋体" w:cs="Arial"/>
          <w:b/>
          <w:color w:val="auto"/>
          <w:sz w:val="24"/>
        </w:rPr>
        <w:t>二、</w:t>
      </w:r>
      <w:r>
        <w:rPr>
          <w:rFonts w:hint="eastAsia" w:ascii="宋体" w:hAnsi="宋体"/>
          <w:b/>
          <w:color w:val="auto"/>
          <w:sz w:val="24"/>
        </w:rPr>
        <w:t>计算方法：</w:t>
      </w:r>
    </w:p>
    <w:p w14:paraId="2E64FBA7">
      <w:pPr>
        <w:snapToGrid w:val="0"/>
        <w:spacing w:line="500" w:lineRule="exact"/>
        <w:ind w:firstLine="482" w:firstLineChars="200"/>
        <w:jc w:val="left"/>
        <w:rPr>
          <w:rFonts w:ascii="宋体" w:hAnsi="宋体"/>
          <w:b/>
          <w:bCs/>
          <w:color w:val="auto"/>
          <w:sz w:val="24"/>
        </w:rPr>
      </w:pPr>
      <w:r>
        <w:rPr>
          <w:rFonts w:hint="eastAsia" w:ascii="宋体" w:hAnsi="宋体"/>
          <w:b/>
          <w:bCs/>
          <w:color w:val="auto"/>
          <w:sz w:val="24"/>
        </w:rPr>
        <w:t>（1）价格分：10分</w:t>
      </w:r>
    </w:p>
    <w:p w14:paraId="4B401BFD">
      <w:pPr>
        <w:pStyle w:val="17"/>
        <w:snapToGrid w:val="0"/>
        <w:spacing w:line="500" w:lineRule="exact"/>
        <w:ind w:firstLine="480"/>
        <w:rPr>
          <w:rFonts w:ascii="宋体" w:eastAsia="宋体"/>
          <w:bCs/>
          <w:color w:val="auto"/>
          <w:sz w:val="24"/>
        </w:rPr>
      </w:pPr>
      <w:r>
        <w:rPr>
          <w:rFonts w:hint="eastAsia" w:ascii="宋体" w:eastAsia="宋体"/>
          <w:bCs/>
          <w:color w:val="auto"/>
          <w:sz w:val="24"/>
        </w:rPr>
        <w:t>价格分采用低价优先法计算，取所有技术入围磋商供应商中最终报价最低的磋商报价为评审基准价，其他供应商的价格分按照下列公式计算：</w:t>
      </w:r>
    </w:p>
    <w:p w14:paraId="7FDD8DAC">
      <w:pPr>
        <w:snapToGrid w:val="0"/>
        <w:spacing w:line="500" w:lineRule="exact"/>
        <w:ind w:firstLine="480" w:firstLineChars="200"/>
        <w:rPr>
          <w:rFonts w:ascii="宋体" w:hAnsi="宋体"/>
          <w:color w:val="auto"/>
          <w:sz w:val="24"/>
        </w:rPr>
      </w:pPr>
      <w:r>
        <w:rPr>
          <w:rFonts w:hint="eastAsia" w:ascii="宋体" w:hAnsi="宋体"/>
          <w:color w:val="auto"/>
          <w:sz w:val="24"/>
        </w:rPr>
        <w:t>价格分=（评审基准价/最终磋商报价）×10%×100</w:t>
      </w:r>
    </w:p>
    <w:p w14:paraId="0A70DE49">
      <w:pPr>
        <w:tabs>
          <w:tab w:val="left" w:pos="8280"/>
        </w:tabs>
        <w:snapToGrid w:val="0"/>
        <w:spacing w:line="500" w:lineRule="exact"/>
        <w:ind w:firstLine="482" w:firstLineChars="200"/>
        <w:jc w:val="left"/>
        <w:rPr>
          <w:rFonts w:ascii="宋体" w:hAnsi="宋体" w:cs="宋体"/>
          <w:b/>
          <w:bCs/>
          <w:color w:val="auto"/>
          <w:sz w:val="24"/>
        </w:rPr>
      </w:pPr>
      <w:r>
        <w:rPr>
          <w:rFonts w:hint="eastAsia" w:ascii="宋体" w:hAnsi="宋体" w:cs="宋体"/>
          <w:b/>
          <w:bCs/>
          <w:color w:val="auto"/>
          <w:sz w:val="24"/>
        </w:rPr>
        <w:t>最后报价</w:t>
      </w:r>
      <w:r>
        <w:rPr>
          <w:rFonts w:hint="eastAsia" w:ascii="宋体" w:hAnsi="宋体" w:cs="宋体"/>
          <w:b/>
          <w:color w:val="auto"/>
          <w:sz w:val="24"/>
        </w:rPr>
        <w:t>高于</w:t>
      </w:r>
      <w:r>
        <w:rPr>
          <w:rFonts w:hint="eastAsia" w:ascii="宋体" w:hAnsi="宋体" w:cs="宋体"/>
          <w:b/>
          <w:bCs/>
          <w:color w:val="auto"/>
          <w:sz w:val="24"/>
        </w:rPr>
        <w:t>最高限价的，作无效磋商处理。</w:t>
      </w:r>
    </w:p>
    <w:p w14:paraId="20003290">
      <w:pPr>
        <w:snapToGrid w:val="0"/>
        <w:spacing w:line="500" w:lineRule="exact"/>
        <w:ind w:left="479" w:leftChars="228"/>
        <w:rPr>
          <w:rFonts w:ascii="宋体" w:hAnsi="宋体"/>
          <w:bCs/>
          <w:color w:val="auto"/>
          <w:spacing w:val="14"/>
          <w:sz w:val="24"/>
        </w:rPr>
      </w:pPr>
      <w:r>
        <w:rPr>
          <w:rFonts w:hint="eastAsia" w:ascii="宋体" w:hAnsi="宋体"/>
          <w:b/>
          <w:color w:val="auto"/>
          <w:sz w:val="24"/>
        </w:rPr>
        <w:t>（2）技术分、商务分、资信及其他分90分</w:t>
      </w:r>
    </w:p>
    <w:p w14:paraId="422B1433">
      <w:pPr>
        <w:tabs>
          <w:tab w:val="left" w:pos="1154"/>
        </w:tabs>
        <w:snapToGrid w:val="0"/>
        <w:spacing w:line="500" w:lineRule="exact"/>
        <w:ind w:firstLine="482" w:firstLineChars="200"/>
        <w:rPr>
          <w:rFonts w:ascii="宋体" w:hAnsi="宋体"/>
          <w:b/>
          <w:bCs/>
          <w:color w:val="auto"/>
          <w:sz w:val="24"/>
        </w:rPr>
      </w:pPr>
      <w:r>
        <w:rPr>
          <w:rFonts w:hint="eastAsia" w:ascii="宋体" w:hAnsi="宋体"/>
          <w:b/>
          <w:bCs/>
          <w:color w:val="auto"/>
          <w:sz w:val="24"/>
        </w:rPr>
        <w:t>（3）技术分、商务分、资信及其他分的计算</w:t>
      </w:r>
    </w:p>
    <w:p w14:paraId="76348197">
      <w:pPr>
        <w:snapToGrid w:val="0"/>
        <w:spacing w:line="500" w:lineRule="exact"/>
        <w:ind w:firstLine="480" w:firstLineChars="200"/>
        <w:rPr>
          <w:rFonts w:ascii="宋体" w:hAnsi="宋体"/>
          <w:color w:val="auto"/>
          <w:sz w:val="24"/>
        </w:rPr>
      </w:pPr>
      <w:r>
        <w:rPr>
          <w:rFonts w:hint="eastAsia" w:ascii="宋体" w:hAnsi="宋体"/>
          <w:color w:val="auto"/>
          <w:sz w:val="24"/>
        </w:rPr>
        <w:t>技术、商务、资信及其他分按照磋商小组成员的独立评分结果汇总数的算术平均分计算，计算公式为：</w:t>
      </w:r>
    </w:p>
    <w:p w14:paraId="52831F0B">
      <w:pPr>
        <w:tabs>
          <w:tab w:val="left" w:pos="1154"/>
        </w:tabs>
        <w:snapToGrid w:val="0"/>
        <w:spacing w:line="500" w:lineRule="exact"/>
        <w:ind w:firstLine="480" w:firstLineChars="200"/>
        <w:jc w:val="left"/>
        <w:rPr>
          <w:rFonts w:ascii="宋体" w:hAnsi="宋体"/>
          <w:sz w:val="24"/>
        </w:rPr>
      </w:pPr>
      <w:r>
        <w:rPr>
          <w:rFonts w:hint="eastAsia" w:ascii="宋体" w:hAnsi="宋体"/>
          <w:color w:val="auto"/>
          <w:sz w:val="24"/>
        </w:rPr>
        <w:t>技术、商务、资信及其他分=磋商小组所有成员评分合计数</w:t>
      </w:r>
      <w:r>
        <w:rPr>
          <w:rFonts w:hint="eastAsia" w:ascii="宋体" w:hAnsi="宋体"/>
          <w:sz w:val="24"/>
        </w:rPr>
        <w:t>/磋商小组人员数</w:t>
      </w:r>
    </w:p>
    <w:p w14:paraId="575F2AD4">
      <w:pPr>
        <w:tabs>
          <w:tab w:val="left" w:pos="1154"/>
        </w:tabs>
        <w:snapToGrid w:val="0"/>
        <w:spacing w:line="500" w:lineRule="exact"/>
        <w:jc w:val="left"/>
        <w:rPr>
          <w:rFonts w:hint="eastAsia" w:ascii="宋体" w:hAnsi="宋体"/>
          <w:b/>
          <w:sz w:val="28"/>
          <w:szCs w:val="28"/>
        </w:rPr>
      </w:pPr>
      <w:r>
        <w:rPr>
          <w:rFonts w:hint="eastAsia" w:ascii="宋体" w:hAnsi="宋体"/>
          <w:b/>
          <w:sz w:val="28"/>
          <w:szCs w:val="28"/>
        </w:rPr>
        <w:t>附件：评分表格式（技术分、商务分、资信及其他分，共90分）</w:t>
      </w:r>
    </w:p>
    <w:tbl>
      <w:tblPr>
        <w:tblStyle w:val="35"/>
        <w:tblW w:w="9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0"/>
        <w:gridCol w:w="1598"/>
        <w:gridCol w:w="6249"/>
        <w:gridCol w:w="1053"/>
      </w:tblGrid>
      <w:tr w14:paraId="54E60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640" w:type="dxa"/>
            <w:noWrap w:val="0"/>
            <w:vAlign w:val="center"/>
          </w:tcPr>
          <w:p w14:paraId="395BADD8">
            <w:pPr>
              <w:pageBreakBefore w:val="0"/>
              <w:kinsoku/>
              <w:wordWrap/>
              <w:overflowPunct/>
              <w:topLinePunct w:val="0"/>
              <w:autoSpaceDE/>
              <w:autoSpaceDN/>
              <w:bidi w:val="0"/>
              <w:snapToGrid w:val="0"/>
              <w:spacing w:line="360" w:lineRule="exact"/>
              <w:jc w:val="center"/>
              <w:textAlignment w:val="auto"/>
              <w:rPr>
                <w:rFonts w:ascii="宋体" w:hAnsi="宋体" w:cs="宋体"/>
                <w:b/>
                <w:color w:val="FF0000"/>
                <w:szCs w:val="21"/>
              </w:rPr>
            </w:pPr>
            <w:r>
              <w:rPr>
                <w:rFonts w:hint="eastAsia" w:ascii="宋体" w:hAnsi="宋体" w:cs="宋体"/>
                <w:b/>
                <w:color w:val="FF0000"/>
                <w:szCs w:val="21"/>
              </w:rPr>
              <w:t>序号</w:t>
            </w:r>
          </w:p>
        </w:tc>
        <w:tc>
          <w:tcPr>
            <w:tcW w:w="7847" w:type="dxa"/>
            <w:gridSpan w:val="2"/>
            <w:noWrap w:val="0"/>
            <w:vAlign w:val="center"/>
          </w:tcPr>
          <w:p w14:paraId="5F4AAEB8">
            <w:pPr>
              <w:pageBreakBefore w:val="0"/>
              <w:kinsoku/>
              <w:wordWrap/>
              <w:overflowPunct/>
              <w:topLinePunct w:val="0"/>
              <w:autoSpaceDE/>
              <w:autoSpaceDN/>
              <w:bidi w:val="0"/>
              <w:snapToGrid w:val="0"/>
              <w:spacing w:line="360" w:lineRule="exact"/>
              <w:jc w:val="center"/>
              <w:textAlignment w:val="auto"/>
              <w:rPr>
                <w:rFonts w:ascii="宋体" w:hAnsi="宋体" w:cs="宋体"/>
                <w:b/>
                <w:color w:val="FF0000"/>
                <w:szCs w:val="21"/>
              </w:rPr>
            </w:pPr>
            <w:r>
              <w:rPr>
                <w:rFonts w:hint="eastAsia" w:ascii="宋体" w:hAnsi="宋体" w:cs="宋体"/>
                <w:b/>
                <w:color w:val="FF0000"/>
                <w:szCs w:val="21"/>
              </w:rPr>
              <w:t>评分内容</w:t>
            </w:r>
          </w:p>
        </w:tc>
        <w:tc>
          <w:tcPr>
            <w:tcW w:w="1053" w:type="dxa"/>
            <w:noWrap w:val="0"/>
            <w:vAlign w:val="center"/>
          </w:tcPr>
          <w:p w14:paraId="25EA44BD">
            <w:pPr>
              <w:pageBreakBefore w:val="0"/>
              <w:kinsoku/>
              <w:wordWrap/>
              <w:overflowPunct/>
              <w:topLinePunct w:val="0"/>
              <w:autoSpaceDE/>
              <w:autoSpaceDN/>
              <w:bidi w:val="0"/>
              <w:snapToGrid w:val="0"/>
              <w:spacing w:line="360" w:lineRule="exact"/>
              <w:jc w:val="center"/>
              <w:textAlignment w:val="auto"/>
              <w:rPr>
                <w:rFonts w:ascii="宋体" w:hAnsi="宋体" w:cs="宋体"/>
                <w:b/>
                <w:color w:val="FF0000"/>
                <w:szCs w:val="21"/>
              </w:rPr>
            </w:pPr>
            <w:r>
              <w:rPr>
                <w:rFonts w:hint="eastAsia" w:ascii="宋体" w:hAnsi="宋体" w:cs="宋体"/>
                <w:b/>
                <w:color w:val="FF0000"/>
                <w:szCs w:val="21"/>
              </w:rPr>
              <w:t>分值</w:t>
            </w:r>
          </w:p>
        </w:tc>
      </w:tr>
      <w:tr w14:paraId="281FA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8487" w:type="dxa"/>
            <w:gridSpan w:val="3"/>
            <w:noWrap w:val="0"/>
            <w:vAlign w:val="center"/>
          </w:tcPr>
          <w:p w14:paraId="1A9E1707">
            <w:pPr>
              <w:pageBreakBefore w:val="0"/>
              <w:kinsoku/>
              <w:wordWrap/>
              <w:overflowPunct/>
              <w:topLinePunct w:val="0"/>
              <w:autoSpaceDE/>
              <w:autoSpaceDN/>
              <w:bidi w:val="0"/>
              <w:snapToGrid w:val="0"/>
              <w:spacing w:line="360" w:lineRule="exact"/>
              <w:jc w:val="center"/>
              <w:textAlignment w:val="auto"/>
              <w:rPr>
                <w:rFonts w:ascii="宋体" w:hAnsi="宋体" w:cs="宋体"/>
                <w:b/>
                <w:color w:val="FF0000"/>
                <w:szCs w:val="21"/>
              </w:rPr>
            </w:pPr>
            <w:r>
              <w:rPr>
                <w:rFonts w:hint="eastAsia" w:ascii="宋体" w:hAnsi="宋体" w:cs="宋体"/>
                <w:b/>
                <w:color w:val="FF0000"/>
                <w:szCs w:val="21"/>
              </w:rPr>
              <w:t>技术分</w:t>
            </w:r>
          </w:p>
        </w:tc>
        <w:tc>
          <w:tcPr>
            <w:tcW w:w="1053" w:type="dxa"/>
            <w:noWrap w:val="0"/>
            <w:vAlign w:val="center"/>
          </w:tcPr>
          <w:p w14:paraId="7B84A9BB">
            <w:pPr>
              <w:pageBreakBefore w:val="0"/>
              <w:kinsoku/>
              <w:wordWrap/>
              <w:overflowPunct/>
              <w:topLinePunct w:val="0"/>
              <w:autoSpaceDE/>
              <w:autoSpaceDN/>
              <w:bidi w:val="0"/>
              <w:snapToGrid w:val="0"/>
              <w:spacing w:line="360" w:lineRule="exact"/>
              <w:jc w:val="center"/>
              <w:textAlignment w:val="auto"/>
              <w:rPr>
                <w:rFonts w:ascii="宋体" w:hAnsi="宋体" w:cs="宋体"/>
                <w:b/>
                <w:color w:val="FF0000"/>
                <w:szCs w:val="21"/>
              </w:rPr>
            </w:pPr>
            <w:r>
              <w:rPr>
                <w:rFonts w:hint="eastAsia" w:ascii="宋体" w:hAnsi="宋体" w:cs="宋体"/>
                <w:b/>
                <w:color w:val="FF0000"/>
                <w:szCs w:val="21"/>
              </w:rPr>
              <w:t>7</w:t>
            </w:r>
            <w:r>
              <w:rPr>
                <w:rFonts w:hint="eastAsia" w:ascii="宋体" w:hAnsi="宋体" w:cs="宋体"/>
                <w:b/>
                <w:color w:val="FF0000"/>
                <w:szCs w:val="21"/>
                <w:lang w:val="en-US" w:eastAsia="zh-CN"/>
              </w:rPr>
              <w:t>5</w:t>
            </w:r>
            <w:r>
              <w:rPr>
                <w:rFonts w:hint="eastAsia" w:ascii="宋体" w:hAnsi="宋体" w:cs="宋体"/>
                <w:b/>
                <w:color w:val="FF0000"/>
                <w:szCs w:val="21"/>
              </w:rPr>
              <w:t>分</w:t>
            </w:r>
          </w:p>
        </w:tc>
      </w:tr>
      <w:tr w14:paraId="0E044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640" w:type="dxa"/>
            <w:noWrap w:val="0"/>
            <w:vAlign w:val="center"/>
          </w:tcPr>
          <w:p w14:paraId="1F14275A">
            <w:pPr>
              <w:pageBreakBefore w:val="0"/>
              <w:kinsoku/>
              <w:wordWrap/>
              <w:overflowPunct/>
              <w:topLinePunct w:val="0"/>
              <w:autoSpaceDE/>
              <w:autoSpaceDN/>
              <w:bidi w:val="0"/>
              <w:snapToGrid w:val="0"/>
              <w:spacing w:line="360" w:lineRule="exact"/>
              <w:jc w:val="center"/>
              <w:textAlignment w:val="auto"/>
              <w:rPr>
                <w:rFonts w:ascii="宋体" w:hAnsi="宋体" w:eastAsia="宋体" w:cs="宋体"/>
                <w:b/>
                <w:bCs/>
                <w:color w:val="FF0000"/>
                <w:spacing w:val="8"/>
                <w:szCs w:val="21"/>
                <w:shd w:val="clear" w:color="auto" w:fill="FFFFFF"/>
              </w:rPr>
            </w:pPr>
            <w:r>
              <w:rPr>
                <w:rFonts w:hint="eastAsia" w:ascii="宋体" w:hAnsi="宋体" w:eastAsia="宋体" w:cs="宋体"/>
                <w:b/>
                <w:bCs/>
                <w:color w:val="FF0000"/>
                <w:spacing w:val="8"/>
                <w:szCs w:val="21"/>
                <w:shd w:val="clear" w:color="auto" w:fill="FFFFFF"/>
              </w:rPr>
              <w:t>1</w:t>
            </w:r>
          </w:p>
        </w:tc>
        <w:tc>
          <w:tcPr>
            <w:tcW w:w="1598" w:type="dxa"/>
            <w:noWrap w:val="0"/>
            <w:vAlign w:val="center"/>
          </w:tcPr>
          <w:p w14:paraId="68407CD1">
            <w:pPr>
              <w:pageBreakBefore w:val="0"/>
              <w:kinsoku/>
              <w:wordWrap/>
              <w:overflowPunct/>
              <w:topLinePunct w:val="0"/>
              <w:autoSpaceDE/>
              <w:autoSpaceDN/>
              <w:bidi w:val="0"/>
              <w:adjustRightInd w:val="0"/>
              <w:snapToGrid w:val="0"/>
              <w:spacing w:line="360" w:lineRule="exact"/>
              <w:jc w:val="center"/>
              <w:textAlignment w:val="auto"/>
              <w:rPr>
                <w:rFonts w:ascii="宋体" w:hAnsi="宋体" w:eastAsia="宋体"/>
                <w:b/>
                <w:color w:val="FF0000"/>
                <w:szCs w:val="21"/>
              </w:rPr>
            </w:pPr>
            <w:r>
              <w:rPr>
                <w:rFonts w:hint="eastAsia" w:ascii="宋体" w:hAnsi="宋体" w:eastAsia="宋体"/>
                <w:b/>
                <w:color w:val="FF0000"/>
                <w:szCs w:val="21"/>
              </w:rPr>
              <w:t>项目理解分析</w:t>
            </w:r>
          </w:p>
        </w:tc>
        <w:tc>
          <w:tcPr>
            <w:tcW w:w="6249" w:type="dxa"/>
            <w:noWrap w:val="0"/>
            <w:vAlign w:val="center"/>
          </w:tcPr>
          <w:p w14:paraId="602AEAD6">
            <w:pPr>
              <w:pageBreakBefore w:val="0"/>
              <w:kinsoku/>
              <w:wordWrap/>
              <w:overflowPunct/>
              <w:topLinePunct w:val="0"/>
              <w:autoSpaceDE/>
              <w:autoSpaceDN/>
              <w:bidi w:val="0"/>
              <w:snapToGrid w:val="0"/>
              <w:spacing w:line="360" w:lineRule="exact"/>
              <w:jc w:val="left"/>
              <w:textAlignment w:val="auto"/>
              <w:rPr>
                <w:rFonts w:ascii="宋体" w:hAnsi="宋体" w:eastAsia="宋体" w:cs="宋体"/>
                <w:color w:val="FF0000"/>
                <w:szCs w:val="21"/>
              </w:rPr>
            </w:pPr>
            <w:r>
              <w:rPr>
                <w:rFonts w:hint="eastAsia" w:ascii="宋体" w:hAnsi="宋体" w:eastAsia="宋体" w:cs="宋体"/>
                <w:color w:val="FF0000"/>
                <w:szCs w:val="21"/>
              </w:rPr>
              <w:t>对项目概况及背景的了解程度的深入性、系统性、针对性等进行综合评审，最高得</w:t>
            </w:r>
            <w:r>
              <w:rPr>
                <w:rFonts w:hint="eastAsia" w:ascii="宋体" w:hAnsi="宋体" w:eastAsia="宋体" w:cs="宋体"/>
                <w:color w:val="FF0000"/>
                <w:szCs w:val="21"/>
                <w:lang w:val="en-US" w:eastAsia="zh-CN"/>
              </w:rPr>
              <w:t>5</w:t>
            </w:r>
            <w:r>
              <w:rPr>
                <w:rFonts w:hint="eastAsia" w:ascii="宋体" w:hAnsi="宋体" w:eastAsia="宋体" w:cs="宋体"/>
                <w:color w:val="FF0000"/>
                <w:szCs w:val="21"/>
              </w:rPr>
              <w:t>分，未提供不得分。</w:t>
            </w:r>
          </w:p>
        </w:tc>
        <w:tc>
          <w:tcPr>
            <w:tcW w:w="1053" w:type="dxa"/>
            <w:noWrap w:val="0"/>
            <w:vAlign w:val="center"/>
          </w:tcPr>
          <w:p w14:paraId="6E63DFA3">
            <w:pPr>
              <w:pageBreakBefore w:val="0"/>
              <w:kinsoku/>
              <w:wordWrap/>
              <w:overflowPunct/>
              <w:topLinePunct w:val="0"/>
              <w:autoSpaceDE/>
              <w:autoSpaceDN/>
              <w:bidi w:val="0"/>
              <w:snapToGrid w:val="0"/>
              <w:spacing w:line="360" w:lineRule="exact"/>
              <w:jc w:val="center"/>
              <w:textAlignment w:val="auto"/>
              <w:rPr>
                <w:rFonts w:ascii="宋体" w:hAnsi="宋体" w:cs="宋体"/>
                <w:b/>
                <w:color w:val="FF0000"/>
                <w:szCs w:val="21"/>
              </w:rPr>
            </w:pPr>
            <w:r>
              <w:rPr>
                <w:rFonts w:hint="eastAsia" w:ascii="宋体" w:hAnsi="宋体" w:cs="宋体"/>
                <w:b/>
                <w:color w:val="FF0000"/>
                <w:szCs w:val="21"/>
              </w:rPr>
              <w:t>0-</w:t>
            </w:r>
            <w:r>
              <w:rPr>
                <w:rFonts w:hint="eastAsia" w:ascii="宋体" w:hAnsi="宋体" w:cs="宋体"/>
                <w:b/>
                <w:color w:val="FF0000"/>
                <w:szCs w:val="21"/>
                <w:lang w:val="en-US" w:eastAsia="zh-CN"/>
              </w:rPr>
              <w:t>5</w:t>
            </w:r>
            <w:r>
              <w:rPr>
                <w:rFonts w:hint="eastAsia" w:ascii="宋体" w:hAnsi="宋体" w:cs="宋体"/>
                <w:b/>
                <w:color w:val="FF0000"/>
                <w:szCs w:val="21"/>
              </w:rPr>
              <w:t>分</w:t>
            </w:r>
          </w:p>
        </w:tc>
      </w:tr>
      <w:tr w14:paraId="0E90E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640" w:type="dxa"/>
            <w:noWrap w:val="0"/>
            <w:vAlign w:val="center"/>
          </w:tcPr>
          <w:p w14:paraId="126EB767">
            <w:pPr>
              <w:pageBreakBefore w:val="0"/>
              <w:kinsoku/>
              <w:wordWrap/>
              <w:overflowPunct/>
              <w:topLinePunct w:val="0"/>
              <w:autoSpaceDE/>
              <w:autoSpaceDN/>
              <w:bidi w:val="0"/>
              <w:snapToGrid w:val="0"/>
              <w:spacing w:line="360" w:lineRule="exact"/>
              <w:jc w:val="center"/>
              <w:textAlignment w:val="auto"/>
              <w:rPr>
                <w:rFonts w:ascii="宋体" w:hAnsi="宋体" w:eastAsia="宋体" w:cs="宋体"/>
                <w:b/>
                <w:bCs/>
                <w:color w:val="FF0000"/>
                <w:spacing w:val="8"/>
                <w:szCs w:val="21"/>
                <w:shd w:val="clear" w:color="auto" w:fill="FFFFFF"/>
              </w:rPr>
            </w:pPr>
            <w:r>
              <w:rPr>
                <w:rFonts w:hint="eastAsia" w:ascii="宋体" w:hAnsi="宋体" w:eastAsia="宋体" w:cs="宋体"/>
                <w:b/>
                <w:bCs/>
                <w:color w:val="FF0000"/>
                <w:spacing w:val="8"/>
                <w:szCs w:val="21"/>
                <w:shd w:val="clear" w:color="auto" w:fill="FFFFFF"/>
              </w:rPr>
              <w:t>2</w:t>
            </w:r>
          </w:p>
        </w:tc>
        <w:tc>
          <w:tcPr>
            <w:tcW w:w="1598" w:type="dxa"/>
            <w:noWrap w:val="0"/>
            <w:vAlign w:val="center"/>
          </w:tcPr>
          <w:p w14:paraId="32B3A440">
            <w:pPr>
              <w:pageBreakBefore w:val="0"/>
              <w:kinsoku/>
              <w:wordWrap/>
              <w:overflowPunct/>
              <w:topLinePunct w:val="0"/>
              <w:autoSpaceDE/>
              <w:autoSpaceDN/>
              <w:bidi w:val="0"/>
              <w:spacing w:line="360" w:lineRule="exact"/>
              <w:jc w:val="center"/>
              <w:textAlignment w:val="auto"/>
              <w:rPr>
                <w:rFonts w:ascii="宋体" w:hAnsi="宋体" w:eastAsia="宋体"/>
                <w:b/>
                <w:color w:val="FF0000"/>
                <w:szCs w:val="21"/>
              </w:rPr>
            </w:pPr>
            <w:r>
              <w:rPr>
                <w:rFonts w:hint="eastAsia" w:ascii="宋体" w:hAnsi="宋体" w:eastAsia="宋体"/>
                <w:b/>
                <w:color w:val="FF0000"/>
                <w:szCs w:val="21"/>
              </w:rPr>
              <w:t>项目现状分析与评估</w:t>
            </w:r>
          </w:p>
        </w:tc>
        <w:tc>
          <w:tcPr>
            <w:tcW w:w="6249" w:type="dxa"/>
            <w:noWrap w:val="0"/>
            <w:vAlign w:val="center"/>
          </w:tcPr>
          <w:p w14:paraId="0BEC2B80">
            <w:pPr>
              <w:pageBreakBefore w:val="0"/>
              <w:kinsoku/>
              <w:wordWrap/>
              <w:overflowPunct/>
              <w:topLinePunct w:val="0"/>
              <w:autoSpaceDE/>
              <w:autoSpaceDN/>
              <w:bidi w:val="0"/>
              <w:snapToGrid w:val="0"/>
              <w:spacing w:line="360" w:lineRule="exact"/>
              <w:textAlignment w:val="auto"/>
              <w:rPr>
                <w:rFonts w:ascii="宋体" w:hAnsi="宋体" w:eastAsia="宋体" w:cs="宋体"/>
                <w:color w:val="FF0000"/>
                <w:szCs w:val="21"/>
              </w:rPr>
            </w:pPr>
            <w:r>
              <w:rPr>
                <w:rFonts w:hint="eastAsia" w:ascii="宋体" w:hAnsi="宋体" w:eastAsia="宋体" w:cs="宋体"/>
                <w:color w:val="FF0000"/>
                <w:szCs w:val="21"/>
              </w:rPr>
              <w:t>对项目现状条件进行分析评估，识别优势基础，分析存在问题，根据结论的全面性、深入性、客观性等进行综合评审，最高得</w:t>
            </w:r>
            <w:r>
              <w:rPr>
                <w:rFonts w:hint="eastAsia" w:ascii="宋体" w:hAnsi="宋体" w:eastAsia="宋体" w:cs="宋体"/>
                <w:color w:val="FF0000"/>
                <w:szCs w:val="21"/>
                <w:lang w:val="en-US" w:eastAsia="zh-CN"/>
              </w:rPr>
              <w:t>5</w:t>
            </w:r>
            <w:r>
              <w:rPr>
                <w:rFonts w:hint="eastAsia" w:ascii="宋体" w:hAnsi="宋体" w:eastAsia="宋体" w:cs="宋体"/>
                <w:color w:val="FF0000"/>
                <w:szCs w:val="21"/>
              </w:rPr>
              <w:t>分，未提供不得分。</w:t>
            </w:r>
          </w:p>
        </w:tc>
        <w:tc>
          <w:tcPr>
            <w:tcW w:w="1053" w:type="dxa"/>
            <w:noWrap w:val="0"/>
            <w:vAlign w:val="center"/>
          </w:tcPr>
          <w:p w14:paraId="6890A882">
            <w:pPr>
              <w:pageBreakBefore w:val="0"/>
              <w:kinsoku/>
              <w:wordWrap/>
              <w:overflowPunct/>
              <w:topLinePunct w:val="0"/>
              <w:autoSpaceDE/>
              <w:autoSpaceDN/>
              <w:bidi w:val="0"/>
              <w:snapToGrid w:val="0"/>
              <w:spacing w:line="360" w:lineRule="exact"/>
              <w:jc w:val="center"/>
              <w:textAlignment w:val="auto"/>
              <w:rPr>
                <w:rFonts w:ascii="宋体" w:hAnsi="宋体" w:cs="宋体"/>
                <w:b/>
                <w:color w:val="FF0000"/>
                <w:szCs w:val="21"/>
              </w:rPr>
            </w:pPr>
            <w:r>
              <w:rPr>
                <w:rFonts w:hint="eastAsia" w:ascii="宋体" w:hAnsi="宋体" w:cs="宋体"/>
                <w:b/>
                <w:color w:val="FF0000"/>
                <w:szCs w:val="21"/>
              </w:rPr>
              <w:t>0-</w:t>
            </w:r>
            <w:r>
              <w:rPr>
                <w:rFonts w:hint="eastAsia" w:ascii="宋体" w:hAnsi="宋体" w:cs="宋体"/>
                <w:b/>
                <w:color w:val="FF0000"/>
                <w:szCs w:val="21"/>
                <w:lang w:val="en-US" w:eastAsia="zh-CN"/>
              </w:rPr>
              <w:t>5</w:t>
            </w:r>
            <w:r>
              <w:rPr>
                <w:rFonts w:hint="eastAsia" w:ascii="宋体" w:hAnsi="宋体" w:cs="宋体"/>
                <w:b/>
                <w:color w:val="FF0000"/>
                <w:szCs w:val="21"/>
              </w:rPr>
              <w:t>分</w:t>
            </w:r>
          </w:p>
        </w:tc>
      </w:tr>
      <w:tr w14:paraId="14E5E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640" w:type="dxa"/>
            <w:vMerge w:val="restart"/>
            <w:noWrap w:val="0"/>
            <w:vAlign w:val="center"/>
          </w:tcPr>
          <w:p w14:paraId="3D5C67AC">
            <w:pPr>
              <w:pageBreakBefore w:val="0"/>
              <w:kinsoku/>
              <w:wordWrap/>
              <w:overflowPunct/>
              <w:topLinePunct w:val="0"/>
              <w:autoSpaceDE/>
              <w:autoSpaceDN/>
              <w:bidi w:val="0"/>
              <w:snapToGrid w:val="0"/>
              <w:spacing w:line="360" w:lineRule="exact"/>
              <w:jc w:val="center"/>
              <w:textAlignment w:val="auto"/>
              <w:rPr>
                <w:rFonts w:ascii="宋体" w:hAnsi="宋体" w:eastAsia="宋体" w:cs="宋体"/>
                <w:b/>
                <w:bCs/>
                <w:color w:val="FF0000"/>
                <w:spacing w:val="8"/>
                <w:szCs w:val="21"/>
                <w:shd w:val="clear" w:color="auto" w:fill="FFFFFF"/>
              </w:rPr>
            </w:pPr>
            <w:r>
              <w:rPr>
                <w:rFonts w:hint="eastAsia" w:ascii="宋体" w:hAnsi="宋体" w:eastAsia="宋体" w:cs="宋体"/>
                <w:b/>
                <w:bCs/>
                <w:color w:val="FF0000"/>
                <w:spacing w:val="8"/>
                <w:szCs w:val="21"/>
                <w:shd w:val="clear" w:color="auto" w:fill="FFFFFF"/>
              </w:rPr>
              <w:t>3</w:t>
            </w:r>
          </w:p>
        </w:tc>
        <w:tc>
          <w:tcPr>
            <w:tcW w:w="1598" w:type="dxa"/>
            <w:vMerge w:val="restart"/>
            <w:noWrap w:val="0"/>
            <w:vAlign w:val="center"/>
          </w:tcPr>
          <w:p w14:paraId="4CB76E25">
            <w:pPr>
              <w:pageBreakBefore w:val="0"/>
              <w:kinsoku/>
              <w:wordWrap/>
              <w:overflowPunct/>
              <w:topLinePunct w:val="0"/>
              <w:autoSpaceDE/>
              <w:autoSpaceDN/>
              <w:bidi w:val="0"/>
              <w:spacing w:line="360" w:lineRule="exact"/>
              <w:jc w:val="center"/>
              <w:textAlignment w:val="auto"/>
              <w:rPr>
                <w:rFonts w:ascii="宋体" w:hAnsi="宋体" w:eastAsia="宋体"/>
                <w:b/>
                <w:color w:val="FF0000"/>
                <w:szCs w:val="21"/>
              </w:rPr>
            </w:pPr>
            <w:r>
              <w:rPr>
                <w:rFonts w:ascii="宋体" w:hAnsi="宋体" w:eastAsia="宋体"/>
                <w:b/>
                <w:color w:val="FF0000"/>
                <w:szCs w:val="21"/>
              </w:rPr>
              <w:t>整体服务方案</w:t>
            </w:r>
          </w:p>
        </w:tc>
        <w:tc>
          <w:tcPr>
            <w:tcW w:w="6249" w:type="dxa"/>
            <w:noWrap w:val="0"/>
            <w:vAlign w:val="center"/>
          </w:tcPr>
          <w:p w14:paraId="1FE04D97">
            <w:pPr>
              <w:pageBreakBefore w:val="0"/>
              <w:kinsoku/>
              <w:wordWrap/>
              <w:overflowPunct/>
              <w:topLinePunct w:val="0"/>
              <w:autoSpaceDE/>
              <w:autoSpaceDN/>
              <w:bidi w:val="0"/>
              <w:snapToGrid w:val="0"/>
              <w:spacing w:line="360" w:lineRule="exact"/>
              <w:textAlignment w:val="auto"/>
              <w:rPr>
                <w:rFonts w:hint="eastAsia" w:ascii="宋体" w:hAnsi="宋体" w:cs="宋体"/>
                <w:color w:val="FF0000"/>
                <w:kern w:val="0"/>
                <w:szCs w:val="21"/>
              </w:rPr>
            </w:pPr>
            <w:r>
              <w:rPr>
                <w:rFonts w:hint="eastAsia" w:ascii="宋体" w:hAnsi="宋体" w:eastAsia="宋体"/>
                <w:b/>
                <w:color w:val="FF0000"/>
                <w:szCs w:val="21"/>
              </w:rPr>
              <w:t>1.整体实施方案：</w:t>
            </w:r>
            <w:r>
              <w:rPr>
                <w:rFonts w:hint="eastAsia" w:ascii="宋体" w:hAnsi="宋体" w:eastAsia="宋体" w:cs="宋体"/>
                <w:color w:val="FF0000"/>
                <w:szCs w:val="21"/>
              </w:rPr>
              <w:t>根据供应商提供的针对本项目的实施方案的适用性：实施方案是否能体现出采购人对供应商的要求或明确指出相应的服务措施，是否与项目理解相对应，综合评审</w:t>
            </w:r>
            <w:r>
              <w:rPr>
                <w:rFonts w:hint="eastAsia" w:ascii="宋体" w:hAnsi="宋体" w:cs="宋体"/>
                <w:color w:val="FF0000"/>
                <w:kern w:val="0"/>
                <w:szCs w:val="21"/>
              </w:rPr>
              <w:t>：</w:t>
            </w:r>
          </w:p>
          <w:p w14:paraId="69165FB6">
            <w:pPr>
              <w:pageBreakBefore w:val="0"/>
              <w:kinsoku/>
              <w:wordWrap/>
              <w:overflowPunct/>
              <w:topLinePunct w:val="0"/>
              <w:autoSpaceDE/>
              <w:autoSpaceDN/>
              <w:bidi w:val="0"/>
              <w:snapToGrid w:val="0"/>
              <w:spacing w:line="360" w:lineRule="exact"/>
              <w:textAlignment w:val="auto"/>
              <w:rPr>
                <w:rFonts w:hint="eastAsia" w:ascii="宋体" w:hAnsi="宋体" w:cs="宋体"/>
                <w:color w:val="FF0000"/>
                <w:kern w:val="0"/>
                <w:szCs w:val="21"/>
              </w:rPr>
            </w:pPr>
            <w:r>
              <w:rPr>
                <w:rFonts w:hint="eastAsia" w:ascii="宋体" w:hAnsi="宋体" w:cs="宋体"/>
                <w:color w:val="FF0000"/>
                <w:kern w:val="0"/>
                <w:szCs w:val="21"/>
              </w:rPr>
              <w:t>1.方案完整、科学、合理完全符合本项目要求的得10分；</w:t>
            </w:r>
          </w:p>
          <w:p w14:paraId="02ADF788">
            <w:pPr>
              <w:pageBreakBefore w:val="0"/>
              <w:kinsoku/>
              <w:wordWrap/>
              <w:overflowPunct/>
              <w:topLinePunct w:val="0"/>
              <w:autoSpaceDE/>
              <w:autoSpaceDN/>
              <w:bidi w:val="0"/>
              <w:snapToGrid w:val="0"/>
              <w:spacing w:line="360" w:lineRule="exact"/>
              <w:textAlignment w:val="auto"/>
              <w:rPr>
                <w:rFonts w:hint="eastAsia" w:ascii="宋体" w:hAnsi="宋体" w:cs="宋体"/>
                <w:color w:val="FF0000"/>
                <w:kern w:val="0"/>
                <w:szCs w:val="21"/>
              </w:rPr>
            </w:pPr>
            <w:r>
              <w:rPr>
                <w:rFonts w:hint="eastAsia" w:ascii="宋体" w:hAnsi="宋体" w:cs="宋体"/>
                <w:color w:val="FF0000"/>
                <w:kern w:val="0"/>
                <w:szCs w:val="21"/>
              </w:rPr>
              <w:t>2.方案较完整、科学、合理，全面性较好的得7分；</w:t>
            </w:r>
          </w:p>
          <w:p w14:paraId="16B3DFB9">
            <w:pPr>
              <w:pageBreakBefore w:val="0"/>
              <w:kinsoku/>
              <w:wordWrap/>
              <w:overflowPunct/>
              <w:topLinePunct w:val="0"/>
              <w:autoSpaceDE/>
              <w:autoSpaceDN/>
              <w:bidi w:val="0"/>
              <w:snapToGrid w:val="0"/>
              <w:spacing w:line="360" w:lineRule="exact"/>
              <w:textAlignment w:val="auto"/>
              <w:rPr>
                <w:rFonts w:hint="eastAsia" w:ascii="宋体" w:hAnsi="宋体" w:cs="宋体"/>
                <w:color w:val="FF0000"/>
                <w:kern w:val="0"/>
                <w:szCs w:val="21"/>
              </w:rPr>
            </w:pPr>
            <w:r>
              <w:rPr>
                <w:rFonts w:hint="eastAsia" w:ascii="宋体" w:hAnsi="宋体" w:cs="宋体"/>
                <w:color w:val="FF0000"/>
                <w:kern w:val="0"/>
                <w:szCs w:val="21"/>
              </w:rPr>
              <w:t>3.方案完整、科学、合理性一般，全面性不详细的得5分。</w:t>
            </w:r>
          </w:p>
          <w:p w14:paraId="5B8673A9">
            <w:pPr>
              <w:pageBreakBefore w:val="0"/>
              <w:kinsoku/>
              <w:wordWrap/>
              <w:overflowPunct/>
              <w:topLinePunct w:val="0"/>
              <w:autoSpaceDE/>
              <w:autoSpaceDN/>
              <w:bidi w:val="0"/>
              <w:snapToGrid w:val="0"/>
              <w:spacing w:line="360" w:lineRule="exact"/>
              <w:textAlignment w:val="auto"/>
              <w:rPr>
                <w:rFonts w:ascii="宋体" w:hAnsi="宋体" w:eastAsia="宋体" w:cs="宋体"/>
                <w:color w:val="FF0000"/>
                <w:szCs w:val="21"/>
              </w:rPr>
            </w:pPr>
            <w:r>
              <w:rPr>
                <w:rFonts w:hint="eastAsia" w:hAnsi="宋体" w:cs="宋体"/>
                <w:b/>
                <w:bCs/>
                <w:color w:val="FF0000"/>
                <w:sz w:val="21"/>
                <w:szCs w:val="21"/>
                <w:shd w:val="clear" w:color="auto" w:fill="FFFFFF"/>
                <w:lang w:val="en-US" w:eastAsia="zh-CN"/>
              </w:rPr>
              <w:t>注：未提供不得分。</w:t>
            </w:r>
          </w:p>
        </w:tc>
        <w:tc>
          <w:tcPr>
            <w:tcW w:w="1053" w:type="dxa"/>
            <w:noWrap w:val="0"/>
            <w:vAlign w:val="center"/>
          </w:tcPr>
          <w:p w14:paraId="6D461040">
            <w:pPr>
              <w:pageBreakBefore w:val="0"/>
              <w:kinsoku/>
              <w:wordWrap/>
              <w:overflowPunct/>
              <w:topLinePunct w:val="0"/>
              <w:autoSpaceDE/>
              <w:autoSpaceDN/>
              <w:bidi w:val="0"/>
              <w:snapToGrid w:val="0"/>
              <w:spacing w:line="360" w:lineRule="exact"/>
              <w:jc w:val="center"/>
              <w:textAlignment w:val="auto"/>
              <w:rPr>
                <w:rFonts w:ascii="宋体" w:hAnsi="宋体" w:cs="宋体"/>
                <w:b/>
                <w:color w:val="FF0000"/>
                <w:szCs w:val="21"/>
              </w:rPr>
            </w:pPr>
            <w:r>
              <w:rPr>
                <w:rFonts w:hint="eastAsia" w:ascii="宋体" w:hAnsi="宋体" w:cs="宋体"/>
                <w:b/>
                <w:color w:val="FF0000"/>
                <w:szCs w:val="21"/>
              </w:rPr>
              <w:t>0-</w:t>
            </w:r>
            <w:r>
              <w:rPr>
                <w:rFonts w:hint="eastAsia" w:ascii="宋体" w:hAnsi="宋体" w:cs="宋体"/>
                <w:b/>
                <w:color w:val="FF0000"/>
                <w:szCs w:val="21"/>
                <w:lang w:val="en-US" w:eastAsia="zh-CN"/>
              </w:rPr>
              <w:t>10</w:t>
            </w:r>
            <w:r>
              <w:rPr>
                <w:rFonts w:hint="eastAsia" w:ascii="宋体" w:hAnsi="宋体" w:cs="宋体"/>
                <w:b/>
                <w:color w:val="FF0000"/>
                <w:szCs w:val="21"/>
              </w:rPr>
              <w:t>分</w:t>
            </w:r>
          </w:p>
        </w:tc>
      </w:tr>
      <w:tr w14:paraId="2067B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640" w:type="dxa"/>
            <w:vMerge w:val="continue"/>
            <w:noWrap w:val="0"/>
            <w:vAlign w:val="center"/>
          </w:tcPr>
          <w:p w14:paraId="62EC9A96">
            <w:pPr>
              <w:pageBreakBefore w:val="0"/>
              <w:kinsoku/>
              <w:wordWrap/>
              <w:overflowPunct/>
              <w:topLinePunct w:val="0"/>
              <w:autoSpaceDE/>
              <w:autoSpaceDN/>
              <w:bidi w:val="0"/>
              <w:snapToGrid w:val="0"/>
              <w:spacing w:line="360" w:lineRule="exact"/>
              <w:jc w:val="center"/>
              <w:textAlignment w:val="auto"/>
              <w:rPr>
                <w:rFonts w:ascii="宋体" w:hAnsi="宋体" w:eastAsia="宋体" w:cs="宋体"/>
                <w:b/>
                <w:bCs/>
                <w:color w:val="FF0000"/>
                <w:spacing w:val="8"/>
                <w:szCs w:val="21"/>
                <w:shd w:val="clear" w:color="auto" w:fill="FFFFFF"/>
              </w:rPr>
            </w:pPr>
          </w:p>
        </w:tc>
        <w:tc>
          <w:tcPr>
            <w:tcW w:w="1598" w:type="dxa"/>
            <w:vMerge w:val="continue"/>
            <w:noWrap w:val="0"/>
            <w:vAlign w:val="center"/>
          </w:tcPr>
          <w:p w14:paraId="04D6684B">
            <w:pPr>
              <w:pageBreakBefore w:val="0"/>
              <w:kinsoku/>
              <w:wordWrap/>
              <w:overflowPunct/>
              <w:topLinePunct w:val="0"/>
              <w:autoSpaceDE/>
              <w:autoSpaceDN/>
              <w:bidi w:val="0"/>
              <w:spacing w:line="360" w:lineRule="exact"/>
              <w:jc w:val="center"/>
              <w:textAlignment w:val="auto"/>
              <w:rPr>
                <w:rFonts w:ascii="宋体" w:hAnsi="宋体" w:eastAsia="宋体"/>
                <w:b/>
                <w:color w:val="FF0000"/>
                <w:szCs w:val="21"/>
              </w:rPr>
            </w:pPr>
          </w:p>
        </w:tc>
        <w:tc>
          <w:tcPr>
            <w:tcW w:w="6249" w:type="dxa"/>
            <w:noWrap w:val="0"/>
            <w:vAlign w:val="center"/>
          </w:tcPr>
          <w:p w14:paraId="6760D531">
            <w:pPr>
              <w:pageBreakBefore w:val="0"/>
              <w:kinsoku/>
              <w:wordWrap/>
              <w:overflowPunct/>
              <w:topLinePunct w:val="0"/>
              <w:autoSpaceDE/>
              <w:autoSpaceDN/>
              <w:bidi w:val="0"/>
              <w:snapToGrid w:val="0"/>
              <w:spacing w:line="360" w:lineRule="exact"/>
              <w:textAlignment w:val="auto"/>
              <w:rPr>
                <w:rFonts w:hint="eastAsia" w:ascii="宋体" w:hAnsi="宋体" w:cs="宋体"/>
                <w:color w:val="FF0000"/>
                <w:szCs w:val="21"/>
                <w:shd w:val="clear" w:color="auto" w:fill="FFFFFF"/>
              </w:rPr>
            </w:pPr>
            <w:r>
              <w:rPr>
                <w:rFonts w:hint="eastAsia" w:ascii="宋体" w:hAnsi="宋体" w:eastAsia="宋体" w:cs="宋体"/>
                <w:b/>
                <w:color w:val="FF0000"/>
                <w:szCs w:val="21"/>
              </w:rPr>
              <w:t>2.组织</w:t>
            </w:r>
            <w:r>
              <w:rPr>
                <w:rFonts w:hint="eastAsia" w:ascii="宋体" w:hAnsi="宋体" w:eastAsia="宋体" w:cs="宋体"/>
                <w:b/>
                <w:color w:val="FF0000"/>
                <w:szCs w:val="21"/>
                <w:lang w:val="en-US" w:eastAsia="zh-CN"/>
              </w:rPr>
              <w:t>技术</w:t>
            </w:r>
            <w:r>
              <w:rPr>
                <w:rFonts w:hint="eastAsia" w:ascii="宋体" w:hAnsi="宋体" w:eastAsia="宋体" w:cs="宋体"/>
                <w:b/>
                <w:color w:val="FF0000"/>
                <w:szCs w:val="21"/>
              </w:rPr>
              <w:t>措施</w:t>
            </w:r>
            <w:r>
              <w:rPr>
                <w:rFonts w:hint="eastAsia" w:ascii="宋体" w:hAnsi="宋体" w:eastAsia="宋体" w:cs="宋体"/>
                <w:b/>
                <w:color w:val="FF0000"/>
                <w:szCs w:val="21"/>
                <w:lang w:val="en-US" w:eastAsia="zh-CN"/>
              </w:rPr>
              <w:t>及方案</w:t>
            </w:r>
            <w:r>
              <w:rPr>
                <w:rFonts w:hint="eastAsia" w:ascii="宋体" w:hAnsi="宋体" w:eastAsia="宋体" w:cs="宋体"/>
                <w:color w:val="FF0000"/>
                <w:szCs w:val="21"/>
              </w:rPr>
              <w:t>：根据供应商提供的组织</w:t>
            </w:r>
            <w:r>
              <w:rPr>
                <w:rFonts w:hint="eastAsia" w:ascii="宋体" w:hAnsi="宋体" w:eastAsia="宋体" w:cs="宋体"/>
                <w:color w:val="FF0000"/>
                <w:szCs w:val="21"/>
                <w:lang w:val="en-US" w:eastAsia="zh-CN"/>
              </w:rPr>
              <w:t>技术</w:t>
            </w:r>
            <w:r>
              <w:rPr>
                <w:rFonts w:hint="eastAsia" w:ascii="宋体" w:hAnsi="宋体" w:eastAsia="宋体" w:cs="宋体"/>
                <w:color w:val="FF0000"/>
                <w:szCs w:val="21"/>
              </w:rPr>
              <w:t>措施</w:t>
            </w:r>
            <w:r>
              <w:rPr>
                <w:rFonts w:hint="eastAsia" w:ascii="宋体" w:hAnsi="宋体" w:eastAsia="宋体" w:cs="宋体"/>
                <w:color w:val="FF0000"/>
                <w:szCs w:val="21"/>
                <w:lang w:val="en-US" w:eastAsia="zh-CN"/>
              </w:rPr>
              <w:t>及方案</w:t>
            </w:r>
            <w:r>
              <w:rPr>
                <w:rFonts w:hint="eastAsia" w:ascii="宋体" w:hAnsi="宋体" w:eastAsia="宋体" w:cs="宋体"/>
                <w:color w:val="FF0000"/>
                <w:szCs w:val="21"/>
              </w:rPr>
              <w:t>（包括但不限于班子和人员等），综合评审：</w:t>
            </w:r>
          </w:p>
          <w:p w14:paraId="4ABE90AA">
            <w:pPr>
              <w:pageBreakBefore w:val="0"/>
              <w:kinsoku/>
              <w:wordWrap/>
              <w:overflowPunct/>
              <w:topLinePunct w:val="0"/>
              <w:autoSpaceDE/>
              <w:autoSpaceDN/>
              <w:bidi w:val="0"/>
              <w:snapToGrid w:val="0"/>
              <w:spacing w:line="360" w:lineRule="exact"/>
              <w:textAlignment w:val="auto"/>
              <w:rPr>
                <w:rFonts w:hint="eastAsia" w:ascii="宋体" w:hAnsi="宋体" w:cs="宋体"/>
                <w:color w:val="FF0000"/>
                <w:szCs w:val="21"/>
                <w:shd w:val="clear" w:color="auto" w:fill="FFFFFF"/>
              </w:rPr>
            </w:pPr>
            <w:r>
              <w:rPr>
                <w:rFonts w:hint="eastAsia" w:ascii="宋体" w:hAnsi="宋体" w:cs="宋体"/>
                <w:color w:val="FF0000"/>
                <w:szCs w:val="21"/>
                <w:shd w:val="clear" w:color="auto" w:fill="FFFFFF"/>
              </w:rPr>
              <w:t>1.措施</w:t>
            </w:r>
            <w:r>
              <w:rPr>
                <w:rFonts w:hint="eastAsia" w:ascii="宋体" w:hAnsi="宋体" w:cs="宋体"/>
                <w:color w:val="FF0000"/>
                <w:szCs w:val="21"/>
                <w:shd w:val="clear" w:color="auto" w:fill="FFFFFF"/>
                <w:lang w:val="en-US" w:eastAsia="zh-CN"/>
              </w:rPr>
              <w:t>及方案</w:t>
            </w:r>
            <w:r>
              <w:rPr>
                <w:rFonts w:hint="eastAsia" w:ascii="宋体" w:hAnsi="宋体" w:cs="宋体"/>
                <w:color w:val="FF0000"/>
                <w:szCs w:val="21"/>
                <w:shd w:val="clear" w:color="auto" w:fill="FFFFFF"/>
              </w:rPr>
              <w:t>科学合理完全符合本项目要求的得10分；</w:t>
            </w:r>
          </w:p>
          <w:p w14:paraId="5D516578">
            <w:pPr>
              <w:pageBreakBefore w:val="0"/>
              <w:kinsoku/>
              <w:wordWrap/>
              <w:overflowPunct/>
              <w:topLinePunct w:val="0"/>
              <w:autoSpaceDE/>
              <w:autoSpaceDN/>
              <w:bidi w:val="0"/>
              <w:snapToGrid w:val="0"/>
              <w:spacing w:line="360" w:lineRule="exact"/>
              <w:textAlignment w:val="auto"/>
              <w:rPr>
                <w:rFonts w:hint="eastAsia" w:ascii="宋体" w:hAnsi="宋体" w:cs="宋体"/>
                <w:color w:val="FF0000"/>
                <w:szCs w:val="21"/>
                <w:shd w:val="clear" w:color="auto" w:fill="FFFFFF"/>
              </w:rPr>
            </w:pPr>
            <w:r>
              <w:rPr>
                <w:rFonts w:hint="eastAsia" w:ascii="宋体" w:hAnsi="宋体" w:cs="宋体"/>
                <w:color w:val="FF0000"/>
                <w:szCs w:val="21"/>
                <w:shd w:val="clear" w:color="auto" w:fill="FFFFFF"/>
              </w:rPr>
              <w:t>2.措施</w:t>
            </w:r>
            <w:r>
              <w:rPr>
                <w:rFonts w:hint="eastAsia" w:ascii="宋体" w:hAnsi="宋体" w:cs="宋体"/>
                <w:color w:val="FF0000"/>
                <w:szCs w:val="21"/>
                <w:shd w:val="clear" w:color="auto" w:fill="FFFFFF"/>
                <w:lang w:val="en-US" w:eastAsia="zh-CN"/>
              </w:rPr>
              <w:t>及方案</w:t>
            </w:r>
            <w:r>
              <w:rPr>
                <w:rFonts w:hint="eastAsia" w:ascii="宋体" w:hAnsi="宋体" w:cs="宋体"/>
                <w:color w:val="FF0000"/>
                <w:szCs w:val="21"/>
                <w:shd w:val="clear" w:color="auto" w:fill="FFFFFF"/>
              </w:rPr>
              <w:t>合理性，全面性较好的得7分；</w:t>
            </w:r>
          </w:p>
          <w:p w14:paraId="492DF714">
            <w:pPr>
              <w:pageBreakBefore w:val="0"/>
              <w:kinsoku/>
              <w:wordWrap/>
              <w:overflowPunct/>
              <w:topLinePunct w:val="0"/>
              <w:autoSpaceDE/>
              <w:autoSpaceDN/>
              <w:bidi w:val="0"/>
              <w:snapToGrid w:val="0"/>
              <w:spacing w:line="360" w:lineRule="exact"/>
              <w:textAlignment w:val="auto"/>
              <w:rPr>
                <w:rFonts w:hint="eastAsia" w:ascii="宋体" w:hAnsi="宋体" w:cs="宋体"/>
                <w:color w:val="FF0000"/>
                <w:szCs w:val="21"/>
                <w:shd w:val="clear" w:color="auto" w:fill="FFFFFF"/>
              </w:rPr>
            </w:pPr>
            <w:r>
              <w:rPr>
                <w:rFonts w:hint="eastAsia" w:ascii="宋体" w:hAnsi="宋体" w:cs="宋体"/>
                <w:color w:val="FF0000"/>
                <w:szCs w:val="21"/>
                <w:shd w:val="clear" w:color="auto" w:fill="FFFFFF"/>
              </w:rPr>
              <w:t>3.措施</w:t>
            </w:r>
            <w:r>
              <w:rPr>
                <w:rFonts w:hint="eastAsia" w:ascii="宋体" w:hAnsi="宋体" w:cs="宋体"/>
                <w:color w:val="FF0000"/>
                <w:szCs w:val="21"/>
                <w:shd w:val="clear" w:color="auto" w:fill="FFFFFF"/>
                <w:lang w:val="en-US" w:eastAsia="zh-CN"/>
              </w:rPr>
              <w:t>及方案</w:t>
            </w:r>
            <w:r>
              <w:rPr>
                <w:rFonts w:hint="eastAsia" w:ascii="宋体" w:hAnsi="宋体" w:cs="宋体"/>
                <w:color w:val="FF0000"/>
                <w:szCs w:val="21"/>
                <w:shd w:val="clear" w:color="auto" w:fill="FFFFFF"/>
              </w:rPr>
              <w:t>合理性，全面性不详细的得5分。</w:t>
            </w:r>
          </w:p>
          <w:p w14:paraId="3F0E428C">
            <w:pPr>
              <w:pageBreakBefore w:val="0"/>
              <w:kinsoku/>
              <w:wordWrap/>
              <w:overflowPunct/>
              <w:topLinePunct w:val="0"/>
              <w:autoSpaceDE/>
              <w:autoSpaceDN/>
              <w:bidi w:val="0"/>
              <w:snapToGrid w:val="0"/>
              <w:spacing w:line="360" w:lineRule="exact"/>
              <w:textAlignment w:val="auto"/>
              <w:rPr>
                <w:rFonts w:ascii="宋体" w:hAnsi="宋体" w:eastAsia="宋体" w:cs="宋体"/>
                <w:color w:val="FF0000"/>
                <w:szCs w:val="21"/>
              </w:rPr>
            </w:pPr>
            <w:r>
              <w:rPr>
                <w:rFonts w:hint="eastAsia" w:ascii="宋体" w:hAnsi="宋体" w:cs="宋体"/>
                <w:b/>
                <w:bCs/>
                <w:color w:val="FF0000"/>
                <w:szCs w:val="21"/>
                <w:shd w:val="clear" w:color="auto" w:fill="FFFFFF"/>
              </w:rPr>
              <w:t>注：未提供不得分。</w:t>
            </w:r>
          </w:p>
        </w:tc>
        <w:tc>
          <w:tcPr>
            <w:tcW w:w="1053" w:type="dxa"/>
            <w:noWrap w:val="0"/>
            <w:vAlign w:val="center"/>
          </w:tcPr>
          <w:p w14:paraId="778776F5">
            <w:pPr>
              <w:pageBreakBefore w:val="0"/>
              <w:kinsoku/>
              <w:wordWrap/>
              <w:overflowPunct/>
              <w:topLinePunct w:val="0"/>
              <w:autoSpaceDE/>
              <w:autoSpaceDN/>
              <w:bidi w:val="0"/>
              <w:snapToGrid w:val="0"/>
              <w:spacing w:line="360" w:lineRule="exact"/>
              <w:jc w:val="center"/>
              <w:textAlignment w:val="auto"/>
              <w:rPr>
                <w:rFonts w:ascii="宋体" w:hAnsi="宋体" w:cs="宋体"/>
                <w:b/>
                <w:color w:val="FF0000"/>
                <w:szCs w:val="21"/>
              </w:rPr>
            </w:pPr>
            <w:r>
              <w:rPr>
                <w:rFonts w:hint="eastAsia" w:ascii="宋体" w:hAnsi="宋体" w:cs="宋体"/>
                <w:b/>
                <w:color w:val="FF0000"/>
                <w:szCs w:val="21"/>
              </w:rPr>
              <w:t>0-</w:t>
            </w:r>
            <w:r>
              <w:rPr>
                <w:rFonts w:hint="eastAsia" w:ascii="宋体" w:hAnsi="宋体" w:cs="宋体"/>
                <w:b/>
                <w:color w:val="FF0000"/>
                <w:szCs w:val="21"/>
                <w:lang w:val="en-US" w:eastAsia="zh-CN"/>
              </w:rPr>
              <w:t>10</w:t>
            </w:r>
            <w:r>
              <w:rPr>
                <w:rFonts w:hint="eastAsia" w:ascii="宋体" w:hAnsi="宋体" w:cs="宋体"/>
                <w:b/>
                <w:color w:val="FF0000"/>
                <w:szCs w:val="21"/>
              </w:rPr>
              <w:t>分</w:t>
            </w:r>
          </w:p>
        </w:tc>
      </w:tr>
      <w:tr w14:paraId="3583E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640" w:type="dxa"/>
            <w:vMerge w:val="continue"/>
            <w:noWrap w:val="0"/>
            <w:vAlign w:val="center"/>
          </w:tcPr>
          <w:p w14:paraId="2EE583D2">
            <w:pPr>
              <w:pageBreakBefore w:val="0"/>
              <w:kinsoku/>
              <w:wordWrap/>
              <w:overflowPunct/>
              <w:topLinePunct w:val="0"/>
              <w:autoSpaceDE/>
              <w:autoSpaceDN/>
              <w:bidi w:val="0"/>
              <w:snapToGrid w:val="0"/>
              <w:spacing w:line="360" w:lineRule="exact"/>
              <w:jc w:val="center"/>
              <w:textAlignment w:val="auto"/>
              <w:rPr>
                <w:rFonts w:ascii="宋体" w:hAnsi="宋体" w:eastAsia="宋体" w:cs="宋体"/>
                <w:b/>
                <w:bCs/>
                <w:color w:val="FF0000"/>
                <w:spacing w:val="8"/>
                <w:szCs w:val="21"/>
                <w:shd w:val="clear" w:color="auto" w:fill="FFFFFF"/>
              </w:rPr>
            </w:pPr>
          </w:p>
        </w:tc>
        <w:tc>
          <w:tcPr>
            <w:tcW w:w="1598" w:type="dxa"/>
            <w:vMerge w:val="continue"/>
            <w:noWrap w:val="0"/>
            <w:vAlign w:val="center"/>
          </w:tcPr>
          <w:p w14:paraId="007FD63C">
            <w:pPr>
              <w:pageBreakBefore w:val="0"/>
              <w:kinsoku/>
              <w:wordWrap/>
              <w:overflowPunct/>
              <w:topLinePunct w:val="0"/>
              <w:autoSpaceDE/>
              <w:autoSpaceDN/>
              <w:bidi w:val="0"/>
              <w:adjustRightInd w:val="0"/>
              <w:snapToGrid w:val="0"/>
              <w:spacing w:line="360" w:lineRule="exact"/>
              <w:textAlignment w:val="auto"/>
              <w:rPr>
                <w:rFonts w:ascii="宋体" w:hAnsi="宋体" w:eastAsia="宋体"/>
                <w:b/>
                <w:color w:val="FF0000"/>
                <w:szCs w:val="21"/>
              </w:rPr>
            </w:pPr>
          </w:p>
        </w:tc>
        <w:tc>
          <w:tcPr>
            <w:tcW w:w="6249" w:type="dxa"/>
            <w:noWrap w:val="0"/>
            <w:vAlign w:val="center"/>
          </w:tcPr>
          <w:p w14:paraId="7906ABD3">
            <w:pPr>
              <w:pageBreakBefore w:val="0"/>
              <w:kinsoku/>
              <w:wordWrap/>
              <w:overflowPunct/>
              <w:topLinePunct w:val="0"/>
              <w:autoSpaceDE/>
              <w:autoSpaceDN/>
              <w:bidi w:val="0"/>
              <w:snapToGrid w:val="0"/>
              <w:spacing w:line="360" w:lineRule="exact"/>
              <w:textAlignment w:val="auto"/>
              <w:rPr>
                <w:rFonts w:hint="eastAsia" w:ascii="宋体" w:hAnsi="宋体" w:cs="宋体"/>
                <w:color w:val="FF0000"/>
                <w:szCs w:val="21"/>
                <w:shd w:val="clear" w:color="auto" w:fill="FFFFFF"/>
              </w:rPr>
            </w:pPr>
            <w:r>
              <w:rPr>
                <w:rFonts w:hint="eastAsia" w:ascii="宋体" w:hAnsi="宋体" w:eastAsia="宋体" w:cs="宋体"/>
                <w:b/>
                <w:color w:val="FF0000"/>
                <w:szCs w:val="21"/>
                <w:lang w:val="en-US" w:eastAsia="zh-CN"/>
              </w:rPr>
              <w:t>3</w:t>
            </w:r>
            <w:r>
              <w:rPr>
                <w:rFonts w:hint="eastAsia" w:ascii="宋体" w:hAnsi="宋体" w:eastAsia="宋体" w:cs="宋体"/>
                <w:b/>
                <w:color w:val="FF0000"/>
                <w:szCs w:val="21"/>
              </w:rPr>
              <w:t>.服务保障措施：</w:t>
            </w:r>
            <w:r>
              <w:rPr>
                <w:rFonts w:hint="eastAsia" w:ascii="宋体" w:hAnsi="宋体" w:eastAsia="宋体" w:cs="宋体"/>
                <w:color w:val="FF0000"/>
                <w:szCs w:val="21"/>
              </w:rPr>
              <w:t>供应商提供的确保服务质量的保障措施、组织措施、人员招聘措施及培训措施是否完善有效且切实可行，综合评审</w:t>
            </w:r>
            <w:r>
              <w:rPr>
                <w:rFonts w:hint="eastAsia" w:ascii="宋体" w:hAnsi="宋体" w:cs="宋体"/>
                <w:color w:val="FF0000"/>
                <w:szCs w:val="21"/>
                <w:shd w:val="clear" w:color="auto" w:fill="FFFFFF"/>
              </w:rPr>
              <w:t>：</w:t>
            </w:r>
          </w:p>
          <w:p w14:paraId="62BCF11E">
            <w:pPr>
              <w:pageBreakBefore w:val="0"/>
              <w:kinsoku/>
              <w:wordWrap/>
              <w:overflowPunct/>
              <w:topLinePunct w:val="0"/>
              <w:autoSpaceDE/>
              <w:autoSpaceDN/>
              <w:bidi w:val="0"/>
              <w:snapToGrid w:val="0"/>
              <w:spacing w:line="360" w:lineRule="exact"/>
              <w:textAlignment w:val="auto"/>
              <w:rPr>
                <w:rFonts w:hint="eastAsia" w:ascii="宋体" w:hAnsi="宋体" w:cs="宋体"/>
                <w:color w:val="FF0000"/>
                <w:szCs w:val="21"/>
                <w:shd w:val="clear" w:color="auto" w:fill="FFFFFF"/>
              </w:rPr>
            </w:pPr>
            <w:r>
              <w:rPr>
                <w:rFonts w:hint="eastAsia" w:ascii="宋体" w:hAnsi="宋体" w:cs="宋体"/>
                <w:color w:val="FF0000"/>
                <w:szCs w:val="21"/>
                <w:shd w:val="clear" w:color="auto" w:fill="FFFFFF"/>
              </w:rPr>
              <w:t>1.措施科学合理完全符合本项目要求的得10分；</w:t>
            </w:r>
          </w:p>
          <w:p w14:paraId="0AE17098">
            <w:pPr>
              <w:pageBreakBefore w:val="0"/>
              <w:kinsoku/>
              <w:wordWrap/>
              <w:overflowPunct/>
              <w:topLinePunct w:val="0"/>
              <w:autoSpaceDE/>
              <w:autoSpaceDN/>
              <w:bidi w:val="0"/>
              <w:snapToGrid w:val="0"/>
              <w:spacing w:line="360" w:lineRule="exact"/>
              <w:textAlignment w:val="auto"/>
              <w:rPr>
                <w:rFonts w:hint="eastAsia" w:ascii="宋体" w:hAnsi="宋体" w:cs="宋体"/>
                <w:color w:val="FF0000"/>
                <w:szCs w:val="21"/>
                <w:shd w:val="clear" w:color="auto" w:fill="FFFFFF"/>
              </w:rPr>
            </w:pPr>
            <w:r>
              <w:rPr>
                <w:rFonts w:hint="eastAsia" w:ascii="宋体" w:hAnsi="宋体" w:cs="宋体"/>
                <w:color w:val="FF0000"/>
                <w:szCs w:val="21"/>
                <w:shd w:val="clear" w:color="auto" w:fill="FFFFFF"/>
              </w:rPr>
              <w:t>2.措施合理性，全面性较好的得7分；</w:t>
            </w:r>
          </w:p>
          <w:p w14:paraId="03C2C4EC">
            <w:pPr>
              <w:pageBreakBefore w:val="0"/>
              <w:kinsoku/>
              <w:wordWrap/>
              <w:overflowPunct/>
              <w:topLinePunct w:val="0"/>
              <w:autoSpaceDE/>
              <w:autoSpaceDN/>
              <w:bidi w:val="0"/>
              <w:snapToGrid w:val="0"/>
              <w:spacing w:line="360" w:lineRule="exact"/>
              <w:textAlignment w:val="auto"/>
              <w:rPr>
                <w:rFonts w:hint="eastAsia" w:ascii="宋体" w:hAnsi="宋体" w:cs="宋体"/>
                <w:color w:val="FF0000"/>
                <w:szCs w:val="21"/>
                <w:shd w:val="clear" w:color="auto" w:fill="FFFFFF"/>
              </w:rPr>
            </w:pPr>
            <w:r>
              <w:rPr>
                <w:rFonts w:hint="eastAsia" w:ascii="宋体" w:hAnsi="宋体" w:cs="宋体"/>
                <w:color w:val="FF0000"/>
                <w:szCs w:val="21"/>
                <w:shd w:val="clear" w:color="auto" w:fill="FFFFFF"/>
              </w:rPr>
              <w:t>3.措施合理性，全面性不详细的得5分。</w:t>
            </w:r>
          </w:p>
          <w:p w14:paraId="6F433DB4">
            <w:pPr>
              <w:pageBreakBefore w:val="0"/>
              <w:kinsoku/>
              <w:wordWrap/>
              <w:overflowPunct/>
              <w:topLinePunct w:val="0"/>
              <w:autoSpaceDE/>
              <w:autoSpaceDN/>
              <w:bidi w:val="0"/>
              <w:spacing w:line="360" w:lineRule="exact"/>
              <w:textAlignment w:val="auto"/>
              <w:rPr>
                <w:rFonts w:ascii="宋体" w:hAnsi="宋体" w:eastAsia="宋体" w:cs="宋体"/>
                <w:color w:val="FF0000"/>
                <w:szCs w:val="21"/>
              </w:rPr>
            </w:pPr>
            <w:r>
              <w:rPr>
                <w:rFonts w:hint="eastAsia" w:ascii="宋体" w:hAnsi="宋体" w:cs="宋体"/>
                <w:b/>
                <w:bCs/>
                <w:color w:val="FF0000"/>
                <w:szCs w:val="21"/>
                <w:shd w:val="clear" w:color="auto" w:fill="FFFFFF"/>
              </w:rPr>
              <w:t>注：未提供不得分。</w:t>
            </w:r>
          </w:p>
        </w:tc>
        <w:tc>
          <w:tcPr>
            <w:tcW w:w="1053" w:type="dxa"/>
            <w:noWrap w:val="0"/>
            <w:vAlign w:val="center"/>
          </w:tcPr>
          <w:p w14:paraId="41FA1F02">
            <w:pPr>
              <w:pageBreakBefore w:val="0"/>
              <w:kinsoku/>
              <w:wordWrap/>
              <w:overflowPunct/>
              <w:topLinePunct w:val="0"/>
              <w:autoSpaceDE/>
              <w:autoSpaceDN/>
              <w:bidi w:val="0"/>
              <w:snapToGrid w:val="0"/>
              <w:spacing w:line="360" w:lineRule="exact"/>
              <w:jc w:val="center"/>
              <w:textAlignment w:val="auto"/>
              <w:rPr>
                <w:rFonts w:ascii="宋体" w:hAnsi="宋体" w:cs="宋体"/>
                <w:b/>
                <w:color w:val="FF0000"/>
                <w:szCs w:val="21"/>
              </w:rPr>
            </w:pPr>
            <w:r>
              <w:rPr>
                <w:rFonts w:hint="eastAsia" w:ascii="宋体" w:hAnsi="宋体" w:cs="宋体"/>
                <w:b/>
                <w:color w:val="FF0000"/>
                <w:szCs w:val="21"/>
              </w:rPr>
              <w:t>0-</w:t>
            </w:r>
            <w:r>
              <w:rPr>
                <w:rFonts w:hint="eastAsia" w:ascii="宋体" w:hAnsi="宋体" w:cs="宋体"/>
                <w:b/>
                <w:color w:val="FF0000"/>
                <w:szCs w:val="21"/>
                <w:lang w:val="en-US" w:eastAsia="zh-CN"/>
              </w:rPr>
              <w:t>10</w:t>
            </w:r>
            <w:r>
              <w:rPr>
                <w:rFonts w:hint="eastAsia" w:ascii="宋体" w:hAnsi="宋体" w:cs="宋体"/>
                <w:b/>
                <w:color w:val="FF0000"/>
                <w:szCs w:val="21"/>
              </w:rPr>
              <w:t>分</w:t>
            </w:r>
          </w:p>
        </w:tc>
      </w:tr>
      <w:tr w14:paraId="1BFB3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640" w:type="dxa"/>
            <w:vMerge w:val="continue"/>
            <w:noWrap w:val="0"/>
            <w:vAlign w:val="center"/>
          </w:tcPr>
          <w:p w14:paraId="6E940978">
            <w:pPr>
              <w:pageBreakBefore w:val="0"/>
              <w:kinsoku/>
              <w:wordWrap/>
              <w:overflowPunct/>
              <w:topLinePunct w:val="0"/>
              <w:autoSpaceDE/>
              <w:autoSpaceDN/>
              <w:bidi w:val="0"/>
              <w:snapToGrid w:val="0"/>
              <w:spacing w:line="360" w:lineRule="exact"/>
              <w:jc w:val="center"/>
              <w:textAlignment w:val="auto"/>
              <w:rPr>
                <w:rFonts w:ascii="宋体" w:hAnsi="宋体" w:eastAsia="宋体" w:cs="宋体"/>
                <w:b/>
                <w:bCs/>
                <w:color w:val="FF0000"/>
                <w:spacing w:val="8"/>
                <w:szCs w:val="21"/>
                <w:shd w:val="clear" w:color="auto" w:fill="FFFFFF"/>
              </w:rPr>
            </w:pPr>
          </w:p>
        </w:tc>
        <w:tc>
          <w:tcPr>
            <w:tcW w:w="1598" w:type="dxa"/>
            <w:vMerge w:val="continue"/>
            <w:noWrap w:val="0"/>
            <w:vAlign w:val="center"/>
          </w:tcPr>
          <w:p w14:paraId="29BFF4C5">
            <w:pPr>
              <w:pageBreakBefore w:val="0"/>
              <w:kinsoku/>
              <w:wordWrap/>
              <w:overflowPunct/>
              <w:topLinePunct w:val="0"/>
              <w:autoSpaceDE/>
              <w:autoSpaceDN/>
              <w:bidi w:val="0"/>
              <w:spacing w:line="360" w:lineRule="exact"/>
              <w:jc w:val="center"/>
              <w:textAlignment w:val="auto"/>
              <w:rPr>
                <w:rFonts w:ascii="宋体" w:hAnsi="宋体" w:eastAsia="宋体"/>
                <w:b/>
                <w:color w:val="FF0000"/>
                <w:szCs w:val="21"/>
              </w:rPr>
            </w:pPr>
          </w:p>
        </w:tc>
        <w:tc>
          <w:tcPr>
            <w:tcW w:w="6249" w:type="dxa"/>
            <w:noWrap w:val="0"/>
            <w:vAlign w:val="center"/>
          </w:tcPr>
          <w:p w14:paraId="48B5A09E">
            <w:pPr>
              <w:pageBreakBefore w:val="0"/>
              <w:kinsoku/>
              <w:wordWrap/>
              <w:overflowPunct/>
              <w:topLinePunct w:val="0"/>
              <w:autoSpaceDE/>
              <w:autoSpaceDN/>
              <w:bidi w:val="0"/>
              <w:spacing w:line="360" w:lineRule="exact"/>
              <w:textAlignment w:val="auto"/>
              <w:rPr>
                <w:rFonts w:ascii="宋体" w:hAnsi="宋体" w:eastAsia="宋体" w:cs="宋体"/>
                <w:color w:val="FF0000"/>
                <w:kern w:val="2"/>
                <w:sz w:val="21"/>
                <w:szCs w:val="21"/>
                <w:lang w:val="en-US" w:eastAsia="zh-CN" w:bidi="ar-SA"/>
              </w:rPr>
            </w:pPr>
            <w:r>
              <w:rPr>
                <w:rFonts w:hint="eastAsia" w:ascii="宋体" w:hAnsi="宋体" w:eastAsia="宋体" w:cs="宋体"/>
                <w:b/>
                <w:color w:val="FF0000"/>
                <w:szCs w:val="21"/>
                <w:lang w:val="en-US" w:eastAsia="zh-CN"/>
              </w:rPr>
              <w:t>4</w:t>
            </w:r>
            <w:r>
              <w:rPr>
                <w:rFonts w:hint="eastAsia" w:ascii="宋体" w:hAnsi="宋体" w:eastAsia="宋体" w:cs="宋体"/>
                <w:b/>
                <w:color w:val="FF0000"/>
                <w:szCs w:val="21"/>
              </w:rPr>
              <w:t>.组织架构及工作管理流程：</w:t>
            </w:r>
            <w:r>
              <w:rPr>
                <w:rFonts w:hint="eastAsia" w:ascii="宋体" w:hAnsi="宋体" w:eastAsia="宋体" w:cs="宋体"/>
                <w:color w:val="FF0000"/>
                <w:szCs w:val="21"/>
              </w:rPr>
              <w:t>供应商的服务组织架构及针对本项目的工作管理流程，是否清晰完善、逻辑合理可行，综合评审，最高得</w:t>
            </w:r>
            <w:r>
              <w:rPr>
                <w:rFonts w:hint="eastAsia" w:ascii="宋体" w:hAnsi="宋体" w:eastAsia="宋体" w:cs="宋体"/>
                <w:color w:val="FF0000"/>
                <w:szCs w:val="21"/>
                <w:lang w:val="en-US" w:eastAsia="zh-CN"/>
              </w:rPr>
              <w:t>5</w:t>
            </w:r>
            <w:r>
              <w:rPr>
                <w:rFonts w:hint="eastAsia" w:ascii="宋体" w:hAnsi="宋体" w:eastAsia="宋体" w:cs="宋体"/>
                <w:color w:val="FF0000"/>
                <w:szCs w:val="21"/>
              </w:rPr>
              <w:t>分，未提供不得分。</w:t>
            </w:r>
          </w:p>
        </w:tc>
        <w:tc>
          <w:tcPr>
            <w:tcW w:w="1053" w:type="dxa"/>
            <w:noWrap w:val="0"/>
            <w:vAlign w:val="center"/>
          </w:tcPr>
          <w:p w14:paraId="6B12D245">
            <w:pPr>
              <w:pageBreakBefore w:val="0"/>
              <w:kinsoku/>
              <w:wordWrap/>
              <w:overflowPunct/>
              <w:topLinePunct w:val="0"/>
              <w:autoSpaceDE/>
              <w:autoSpaceDN/>
              <w:bidi w:val="0"/>
              <w:snapToGrid w:val="0"/>
              <w:spacing w:line="360" w:lineRule="exact"/>
              <w:jc w:val="center"/>
              <w:textAlignment w:val="auto"/>
              <w:rPr>
                <w:rFonts w:ascii="宋体" w:hAnsi="宋体" w:cs="宋体"/>
                <w:b/>
                <w:color w:val="FF0000"/>
                <w:kern w:val="2"/>
                <w:sz w:val="21"/>
                <w:szCs w:val="21"/>
                <w:lang w:val="en-US" w:eastAsia="zh-CN" w:bidi="ar-SA"/>
              </w:rPr>
            </w:pPr>
            <w:r>
              <w:rPr>
                <w:rFonts w:hint="eastAsia" w:ascii="宋体" w:hAnsi="宋体" w:cs="宋体"/>
                <w:b/>
                <w:color w:val="FF0000"/>
                <w:szCs w:val="21"/>
              </w:rPr>
              <w:t>0-</w:t>
            </w:r>
            <w:r>
              <w:rPr>
                <w:rFonts w:hint="eastAsia" w:ascii="宋体" w:hAnsi="宋体" w:cs="宋体"/>
                <w:b/>
                <w:color w:val="FF0000"/>
                <w:szCs w:val="21"/>
                <w:lang w:val="en-US" w:eastAsia="zh-CN"/>
              </w:rPr>
              <w:t>5</w:t>
            </w:r>
            <w:r>
              <w:rPr>
                <w:rFonts w:hint="eastAsia" w:ascii="宋体" w:hAnsi="宋体" w:cs="宋体"/>
                <w:b/>
                <w:color w:val="FF0000"/>
                <w:szCs w:val="21"/>
              </w:rPr>
              <w:t>分</w:t>
            </w:r>
          </w:p>
        </w:tc>
      </w:tr>
      <w:tr w14:paraId="5F376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640" w:type="dxa"/>
            <w:vMerge w:val="continue"/>
            <w:noWrap w:val="0"/>
            <w:vAlign w:val="center"/>
          </w:tcPr>
          <w:p w14:paraId="171B4121">
            <w:pPr>
              <w:pageBreakBefore w:val="0"/>
              <w:kinsoku/>
              <w:wordWrap/>
              <w:overflowPunct/>
              <w:topLinePunct w:val="0"/>
              <w:autoSpaceDE/>
              <w:autoSpaceDN/>
              <w:bidi w:val="0"/>
              <w:snapToGrid w:val="0"/>
              <w:spacing w:line="360" w:lineRule="exact"/>
              <w:jc w:val="center"/>
              <w:textAlignment w:val="auto"/>
              <w:rPr>
                <w:rFonts w:ascii="宋体" w:hAnsi="宋体" w:eastAsia="宋体" w:cs="宋体"/>
                <w:b/>
                <w:bCs/>
                <w:color w:val="FF0000"/>
                <w:spacing w:val="8"/>
                <w:szCs w:val="21"/>
                <w:shd w:val="clear" w:color="auto" w:fill="FFFFFF"/>
              </w:rPr>
            </w:pPr>
          </w:p>
        </w:tc>
        <w:tc>
          <w:tcPr>
            <w:tcW w:w="1598" w:type="dxa"/>
            <w:vMerge w:val="continue"/>
            <w:noWrap w:val="0"/>
            <w:vAlign w:val="center"/>
          </w:tcPr>
          <w:p w14:paraId="210A9F98">
            <w:pPr>
              <w:pageBreakBefore w:val="0"/>
              <w:kinsoku/>
              <w:wordWrap/>
              <w:overflowPunct/>
              <w:topLinePunct w:val="0"/>
              <w:autoSpaceDE/>
              <w:autoSpaceDN/>
              <w:bidi w:val="0"/>
              <w:adjustRightInd w:val="0"/>
              <w:snapToGrid w:val="0"/>
              <w:spacing w:line="360" w:lineRule="exact"/>
              <w:jc w:val="center"/>
              <w:textAlignment w:val="auto"/>
              <w:rPr>
                <w:rFonts w:ascii="宋体" w:hAnsi="宋体" w:eastAsia="宋体"/>
                <w:b/>
                <w:color w:val="FF0000"/>
                <w:szCs w:val="21"/>
              </w:rPr>
            </w:pPr>
          </w:p>
        </w:tc>
        <w:tc>
          <w:tcPr>
            <w:tcW w:w="6249" w:type="dxa"/>
            <w:noWrap w:val="0"/>
            <w:vAlign w:val="center"/>
          </w:tcPr>
          <w:p w14:paraId="642AF676">
            <w:pPr>
              <w:pageBreakBefore w:val="0"/>
              <w:kinsoku/>
              <w:wordWrap/>
              <w:overflowPunct/>
              <w:topLinePunct w:val="0"/>
              <w:autoSpaceDE/>
              <w:autoSpaceDN/>
              <w:bidi w:val="0"/>
              <w:spacing w:line="360" w:lineRule="exact"/>
              <w:textAlignment w:val="auto"/>
              <w:rPr>
                <w:rFonts w:ascii="宋体" w:hAnsi="宋体" w:eastAsia="宋体" w:cs="宋体"/>
                <w:color w:val="FF0000"/>
                <w:kern w:val="2"/>
                <w:sz w:val="21"/>
                <w:szCs w:val="21"/>
                <w:lang w:val="en-US" w:eastAsia="zh-CN" w:bidi="ar-SA"/>
              </w:rPr>
            </w:pPr>
            <w:r>
              <w:rPr>
                <w:rFonts w:hint="eastAsia" w:ascii="宋体" w:hAnsi="宋体" w:eastAsia="宋体" w:cs="宋体"/>
                <w:b/>
                <w:color w:val="FF0000"/>
                <w:szCs w:val="21"/>
                <w:lang w:val="en-US" w:eastAsia="zh-CN"/>
              </w:rPr>
              <w:t>5</w:t>
            </w:r>
            <w:r>
              <w:rPr>
                <w:rFonts w:hint="eastAsia" w:ascii="宋体" w:hAnsi="宋体" w:eastAsia="宋体" w:cs="宋体"/>
                <w:b/>
                <w:color w:val="FF0000"/>
                <w:szCs w:val="21"/>
              </w:rPr>
              <w:t>.针对本项目的机制：</w:t>
            </w:r>
            <w:r>
              <w:rPr>
                <w:rFonts w:hint="eastAsia" w:ascii="宋体" w:hAnsi="宋体" w:eastAsia="宋体" w:cs="宋体"/>
                <w:color w:val="FF0000"/>
                <w:szCs w:val="21"/>
              </w:rPr>
              <w:t>针对本项目采取的机制（包括激励机制、监督机制、自我约束机制、信息反馈渠道及处理机制等）是否完善有效且切实可行，综合评审，最高得</w:t>
            </w:r>
            <w:r>
              <w:rPr>
                <w:rFonts w:hint="eastAsia" w:ascii="宋体" w:hAnsi="宋体" w:eastAsia="宋体" w:cs="宋体"/>
                <w:color w:val="FF0000"/>
                <w:szCs w:val="21"/>
                <w:lang w:val="en-US" w:eastAsia="zh-CN"/>
              </w:rPr>
              <w:t>5</w:t>
            </w:r>
            <w:r>
              <w:rPr>
                <w:rFonts w:hint="eastAsia" w:ascii="宋体" w:hAnsi="宋体" w:eastAsia="宋体" w:cs="宋体"/>
                <w:color w:val="FF0000"/>
                <w:szCs w:val="21"/>
              </w:rPr>
              <w:t>分，未提供不得分。</w:t>
            </w:r>
          </w:p>
        </w:tc>
        <w:tc>
          <w:tcPr>
            <w:tcW w:w="1053" w:type="dxa"/>
            <w:noWrap w:val="0"/>
            <w:vAlign w:val="center"/>
          </w:tcPr>
          <w:p w14:paraId="061347FC">
            <w:pPr>
              <w:pageBreakBefore w:val="0"/>
              <w:kinsoku/>
              <w:wordWrap/>
              <w:overflowPunct/>
              <w:topLinePunct w:val="0"/>
              <w:autoSpaceDE/>
              <w:autoSpaceDN/>
              <w:bidi w:val="0"/>
              <w:snapToGrid w:val="0"/>
              <w:spacing w:line="360" w:lineRule="exact"/>
              <w:jc w:val="center"/>
              <w:textAlignment w:val="auto"/>
              <w:rPr>
                <w:rFonts w:ascii="宋体" w:hAnsi="宋体" w:cs="宋体"/>
                <w:b/>
                <w:color w:val="FF0000"/>
                <w:kern w:val="2"/>
                <w:sz w:val="21"/>
                <w:szCs w:val="21"/>
                <w:lang w:val="en-US" w:eastAsia="zh-CN" w:bidi="ar-SA"/>
              </w:rPr>
            </w:pPr>
            <w:r>
              <w:rPr>
                <w:rFonts w:hint="eastAsia" w:ascii="宋体" w:hAnsi="宋体" w:cs="宋体"/>
                <w:b/>
                <w:color w:val="FF0000"/>
                <w:szCs w:val="21"/>
              </w:rPr>
              <w:t>0-</w:t>
            </w:r>
            <w:r>
              <w:rPr>
                <w:rFonts w:hint="eastAsia" w:ascii="宋体" w:hAnsi="宋体" w:cs="宋体"/>
                <w:b/>
                <w:color w:val="FF0000"/>
                <w:szCs w:val="21"/>
                <w:lang w:val="en-US" w:eastAsia="zh-CN"/>
              </w:rPr>
              <w:t>5</w:t>
            </w:r>
            <w:r>
              <w:rPr>
                <w:rFonts w:hint="eastAsia" w:ascii="宋体" w:hAnsi="宋体" w:cs="宋体"/>
                <w:b/>
                <w:color w:val="FF0000"/>
                <w:szCs w:val="21"/>
              </w:rPr>
              <w:t>分</w:t>
            </w:r>
          </w:p>
        </w:tc>
      </w:tr>
      <w:tr w14:paraId="4AEA2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640" w:type="dxa"/>
            <w:vMerge w:val="continue"/>
            <w:noWrap w:val="0"/>
            <w:vAlign w:val="center"/>
          </w:tcPr>
          <w:p w14:paraId="4A63C8E3">
            <w:pPr>
              <w:pageBreakBefore w:val="0"/>
              <w:kinsoku/>
              <w:wordWrap/>
              <w:overflowPunct/>
              <w:topLinePunct w:val="0"/>
              <w:autoSpaceDE/>
              <w:autoSpaceDN/>
              <w:bidi w:val="0"/>
              <w:snapToGrid w:val="0"/>
              <w:spacing w:line="360" w:lineRule="exact"/>
              <w:jc w:val="center"/>
              <w:textAlignment w:val="auto"/>
              <w:rPr>
                <w:rFonts w:ascii="宋体" w:hAnsi="宋体" w:eastAsia="宋体" w:cs="宋体"/>
                <w:b/>
                <w:bCs/>
                <w:color w:val="FF0000"/>
                <w:spacing w:val="8"/>
                <w:szCs w:val="21"/>
                <w:shd w:val="clear" w:color="auto" w:fill="FFFFFF"/>
              </w:rPr>
            </w:pPr>
          </w:p>
        </w:tc>
        <w:tc>
          <w:tcPr>
            <w:tcW w:w="1598" w:type="dxa"/>
            <w:vMerge w:val="continue"/>
            <w:noWrap w:val="0"/>
            <w:vAlign w:val="center"/>
          </w:tcPr>
          <w:p w14:paraId="515F3761">
            <w:pPr>
              <w:pStyle w:val="8"/>
              <w:pageBreakBefore w:val="0"/>
              <w:widowControl/>
              <w:kinsoku/>
              <w:wordWrap/>
              <w:overflowPunct/>
              <w:topLinePunct w:val="0"/>
              <w:autoSpaceDE/>
              <w:autoSpaceDN/>
              <w:bidi w:val="0"/>
              <w:spacing w:before="0" w:after="0" w:line="360" w:lineRule="exact"/>
              <w:jc w:val="center"/>
              <w:textAlignment w:val="auto"/>
              <w:rPr>
                <w:rFonts w:ascii="宋体" w:hAnsi="宋体" w:eastAsia="宋体"/>
                <w:bCs w:val="0"/>
                <w:color w:val="FF0000"/>
                <w:sz w:val="21"/>
                <w:szCs w:val="21"/>
              </w:rPr>
            </w:pPr>
          </w:p>
        </w:tc>
        <w:tc>
          <w:tcPr>
            <w:tcW w:w="6249" w:type="dxa"/>
            <w:noWrap w:val="0"/>
            <w:vAlign w:val="center"/>
          </w:tcPr>
          <w:p w14:paraId="69DF2AEC">
            <w:pPr>
              <w:pageBreakBefore w:val="0"/>
              <w:kinsoku/>
              <w:wordWrap/>
              <w:overflowPunct/>
              <w:topLinePunct w:val="0"/>
              <w:autoSpaceDE/>
              <w:autoSpaceDN/>
              <w:bidi w:val="0"/>
              <w:spacing w:line="360" w:lineRule="exact"/>
              <w:textAlignment w:val="auto"/>
              <w:rPr>
                <w:rFonts w:ascii="宋体" w:hAnsi="宋体" w:eastAsia="宋体" w:cs="宋体"/>
                <w:color w:val="FF0000"/>
                <w:szCs w:val="21"/>
              </w:rPr>
            </w:pPr>
            <w:r>
              <w:rPr>
                <w:rFonts w:hint="eastAsia" w:ascii="宋体" w:hAnsi="宋体" w:eastAsia="宋体" w:cs="宋体"/>
                <w:b/>
                <w:color w:val="FF0000"/>
                <w:szCs w:val="21"/>
                <w:lang w:val="en-US" w:eastAsia="zh-CN"/>
              </w:rPr>
              <w:t>6</w:t>
            </w:r>
            <w:r>
              <w:rPr>
                <w:rFonts w:hint="eastAsia" w:ascii="宋体" w:hAnsi="宋体" w:eastAsia="宋体" w:cs="宋体"/>
                <w:b/>
                <w:color w:val="FF0000"/>
                <w:szCs w:val="21"/>
              </w:rPr>
              <w:t>.管理制度</w:t>
            </w:r>
            <w:r>
              <w:rPr>
                <w:rFonts w:hint="eastAsia" w:ascii="宋体" w:hAnsi="宋体" w:eastAsia="宋体" w:cs="宋体"/>
                <w:color w:val="FF0000"/>
                <w:szCs w:val="21"/>
              </w:rPr>
              <w:t>：供应商提供的各项内部岗位责任制度、管理运作制度、考核制度及标准等是否符合规范，是否科学合理、详细完备，综合评审，最高得</w:t>
            </w:r>
            <w:r>
              <w:rPr>
                <w:rFonts w:hint="eastAsia" w:ascii="宋体" w:hAnsi="宋体" w:eastAsia="宋体" w:cs="宋体"/>
                <w:color w:val="FF0000"/>
                <w:szCs w:val="21"/>
                <w:lang w:val="en-US" w:eastAsia="zh-CN"/>
              </w:rPr>
              <w:t>5</w:t>
            </w:r>
            <w:r>
              <w:rPr>
                <w:rFonts w:hint="eastAsia" w:ascii="宋体" w:hAnsi="宋体" w:eastAsia="宋体" w:cs="宋体"/>
                <w:color w:val="FF0000"/>
                <w:szCs w:val="21"/>
              </w:rPr>
              <w:t>分，未提供不得分。</w:t>
            </w:r>
          </w:p>
        </w:tc>
        <w:tc>
          <w:tcPr>
            <w:tcW w:w="1053" w:type="dxa"/>
            <w:noWrap w:val="0"/>
            <w:vAlign w:val="center"/>
          </w:tcPr>
          <w:p w14:paraId="24B78D46">
            <w:pPr>
              <w:pageBreakBefore w:val="0"/>
              <w:kinsoku/>
              <w:wordWrap/>
              <w:overflowPunct/>
              <w:topLinePunct w:val="0"/>
              <w:autoSpaceDE/>
              <w:autoSpaceDN/>
              <w:bidi w:val="0"/>
              <w:snapToGrid w:val="0"/>
              <w:spacing w:line="360" w:lineRule="exact"/>
              <w:jc w:val="center"/>
              <w:textAlignment w:val="auto"/>
              <w:rPr>
                <w:rFonts w:ascii="宋体" w:hAnsi="宋体" w:cs="宋体"/>
                <w:b/>
                <w:color w:val="FF0000"/>
                <w:szCs w:val="21"/>
              </w:rPr>
            </w:pPr>
            <w:r>
              <w:rPr>
                <w:rFonts w:hint="eastAsia" w:ascii="宋体" w:hAnsi="宋体" w:cs="宋体"/>
                <w:b/>
                <w:color w:val="FF0000"/>
                <w:szCs w:val="21"/>
              </w:rPr>
              <w:t>0-</w:t>
            </w:r>
            <w:r>
              <w:rPr>
                <w:rFonts w:hint="eastAsia" w:ascii="宋体" w:hAnsi="宋体" w:cs="宋体"/>
                <w:b/>
                <w:color w:val="FF0000"/>
                <w:szCs w:val="21"/>
                <w:lang w:val="en-US" w:eastAsia="zh-CN"/>
              </w:rPr>
              <w:t>5</w:t>
            </w:r>
            <w:r>
              <w:rPr>
                <w:rFonts w:hint="eastAsia" w:ascii="宋体" w:hAnsi="宋体" w:cs="宋体"/>
                <w:b/>
                <w:color w:val="FF0000"/>
                <w:szCs w:val="21"/>
              </w:rPr>
              <w:t>分</w:t>
            </w:r>
          </w:p>
        </w:tc>
      </w:tr>
      <w:tr w14:paraId="7AC15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640" w:type="dxa"/>
            <w:vMerge w:val="continue"/>
            <w:noWrap w:val="0"/>
            <w:vAlign w:val="center"/>
          </w:tcPr>
          <w:p w14:paraId="500F16C4">
            <w:pPr>
              <w:pageBreakBefore w:val="0"/>
              <w:kinsoku/>
              <w:wordWrap/>
              <w:overflowPunct/>
              <w:topLinePunct w:val="0"/>
              <w:autoSpaceDE/>
              <w:autoSpaceDN/>
              <w:bidi w:val="0"/>
              <w:snapToGrid w:val="0"/>
              <w:spacing w:line="360" w:lineRule="exact"/>
              <w:jc w:val="center"/>
              <w:textAlignment w:val="auto"/>
              <w:rPr>
                <w:rFonts w:ascii="宋体" w:hAnsi="宋体" w:eastAsia="宋体" w:cs="宋体"/>
                <w:b/>
                <w:bCs/>
                <w:color w:val="FF0000"/>
                <w:spacing w:val="8"/>
                <w:szCs w:val="21"/>
                <w:shd w:val="clear" w:color="auto" w:fill="FFFFFF"/>
              </w:rPr>
            </w:pPr>
          </w:p>
        </w:tc>
        <w:tc>
          <w:tcPr>
            <w:tcW w:w="1598" w:type="dxa"/>
            <w:vMerge w:val="continue"/>
            <w:noWrap w:val="0"/>
            <w:vAlign w:val="center"/>
          </w:tcPr>
          <w:p w14:paraId="26BDB88A">
            <w:pPr>
              <w:pStyle w:val="8"/>
              <w:pageBreakBefore w:val="0"/>
              <w:widowControl/>
              <w:kinsoku/>
              <w:wordWrap/>
              <w:overflowPunct/>
              <w:topLinePunct w:val="0"/>
              <w:autoSpaceDE/>
              <w:autoSpaceDN/>
              <w:bidi w:val="0"/>
              <w:spacing w:before="0" w:after="0" w:line="360" w:lineRule="exact"/>
              <w:jc w:val="center"/>
              <w:textAlignment w:val="auto"/>
              <w:rPr>
                <w:rFonts w:ascii="宋体" w:hAnsi="宋体" w:eastAsia="宋体"/>
                <w:bCs w:val="0"/>
                <w:color w:val="FF0000"/>
                <w:sz w:val="21"/>
                <w:szCs w:val="21"/>
              </w:rPr>
            </w:pPr>
          </w:p>
        </w:tc>
        <w:tc>
          <w:tcPr>
            <w:tcW w:w="6249" w:type="dxa"/>
            <w:noWrap w:val="0"/>
            <w:vAlign w:val="center"/>
          </w:tcPr>
          <w:p w14:paraId="454327C2">
            <w:pPr>
              <w:pageBreakBefore w:val="0"/>
              <w:kinsoku/>
              <w:wordWrap/>
              <w:overflowPunct/>
              <w:topLinePunct w:val="0"/>
              <w:autoSpaceDE/>
              <w:autoSpaceDN/>
              <w:bidi w:val="0"/>
              <w:spacing w:line="360" w:lineRule="exact"/>
              <w:textAlignment w:val="auto"/>
              <w:rPr>
                <w:rFonts w:ascii="宋体" w:hAnsi="宋体" w:eastAsia="宋体" w:cs="宋体"/>
                <w:b/>
                <w:color w:val="FF0000"/>
                <w:szCs w:val="21"/>
              </w:rPr>
            </w:pPr>
            <w:r>
              <w:rPr>
                <w:rFonts w:hint="eastAsia" w:ascii="宋体" w:hAnsi="宋体"/>
                <w:b/>
                <w:color w:val="FF0000"/>
                <w:szCs w:val="21"/>
              </w:rPr>
              <w:t>7.紧急情况措施：</w:t>
            </w:r>
            <w:r>
              <w:rPr>
                <w:rFonts w:hint="eastAsia" w:ascii="宋体" w:hAnsi="宋体"/>
                <w:bCs/>
                <w:color w:val="FF0000"/>
                <w:szCs w:val="21"/>
              </w:rPr>
              <w:t>根据紧急情况、突发事件的应急处理措施、预案以及抵抗风险的措施等，综合评审，最高得</w:t>
            </w:r>
            <w:r>
              <w:rPr>
                <w:rFonts w:hint="eastAsia" w:ascii="宋体" w:hAnsi="宋体"/>
                <w:bCs/>
                <w:color w:val="FF0000"/>
                <w:szCs w:val="21"/>
                <w:lang w:val="en-US" w:eastAsia="zh-CN"/>
              </w:rPr>
              <w:t>5</w:t>
            </w:r>
            <w:r>
              <w:rPr>
                <w:rFonts w:hint="eastAsia" w:ascii="宋体" w:hAnsi="宋体" w:cs="仿宋"/>
                <w:color w:val="FF0000"/>
              </w:rPr>
              <w:t>分</w:t>
            </w:r>
            <w:r>
              <w:rPr>
                <w:rFonts w:hint="eastAsia" w:ascii="宋体" w:hAnsi="宋体"/>
                <w:bCs/>
                <w:color w:val="FF0000"/>
                <w:szCs w:val="21"/>
              </w:rPr>
              <w:t>，未提供不得分。</w:t>
            </w:r>
          </w:p>
        </w:tc>
        <w:tc>
          <w:tcPr>
            <w:tcW w:w="1053" w:type="dxa"/>
            <w:noWrap w:val="0"/>
            <w:vAlign w:val="center"/>
          </w:tcPr>
          <w:p w14:paraId="7B1B4331">
            <w:pPr>
              <w:pageBreakBefore w:val="0"/>
              <w:kinsoku/>
              <w:wordWrap/>
              <w:overflowPunct/>
              <w:topLinePunct w:val="0"/>
              <w:autoSpaceDE/>
              <w:autoSpaceDN/>
              <w:bidi w:val="0"/>
              <w:snapToGrid w:val="0"/>
              <w:spacing w:line="360" w:lineRule="exact"/>
              <w:jc w:val="center"/>
              <w:textAlignment w:val="auto"/>
              <w:rPr>
                <w:rFonts w:ascii="宋体" w:hAnsi="宋体" w:cs="宋体"/>
                <w:b/>
                <w:color w:val="FF0000"/>
                <w:szCs w:val="21"/>
              </w:rPr>
            </w:pPr>
            <w:r>
              <w:rPr>
                <w:rFonts w:hint="eastAsia" w:ascii="宋体" w:hAnsi="宋体" w:cs="宋体"/>
                <w:b/>
                <w:color w:val="FF0000"/>
                <w:szCs w:val="21"/>
              </w:rPr>
              <w:t>0-</w:t>
            </w:r>
            <w:r>
              <w:rPr>
                <w:rFonts w:hint="eastAsia" w:ascii="宋体" w:hAnsi="宋体" w:cs="宋体"/>
                <w:b/>
                <w:color w:val="FF0000"/>
                <w:szCs w:val="21"/>
                <w:lang w:val="en-US" w:eastAsia="zh-CN"/>
              </w:rPr>
              <w:t>5</w:t>
            </w:r>
            <w:r>
              <w:rPr>
                <w:rFonts w:hint="eastAsia" w:ascii="宋体" w:hAnsi="宋体" w:cs="宋体"/>
                <w:b/>
                <w:color w:val="FF0000"/>
                <w:szCs w:val="21"/>
              </w:rPr>
              <w:t>分</w:t>
            </w:r>
          </w:p>
        </w:tc>
      </w:tr>
      <w:tr w14:paraId="54B35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640" w:type="dxa"/>
            <w:vMerge w:val="continue"/>
            <w:noWrap w:val="0"/>
            <w:vAlign w:val="center"/>
          </w:tcPr>
          <w:p w14:paraId="5A3AA20E">
            <w:pPr>
              <w:pageBreakBefore w:val="0"/>
              <w:kinsoku/>
              <w:wordWrap/>
              <w:overflowPunct/>
              <w:topLinePunct w:val="0"/>
              <w:autoSpaceDE/>
              <w:autoSpaceDN/>
              <w:bidi w:val="0"/>
              <w:snapToGrid w:val="0"/>
              <w:spacing w:line="360" w:lineRule="exact"/>
              <w:jc w:val="center"/>
              <w:textAlignment w:val="auto"/>
              <w:rPr>
                <w:rFonts w:ascii="宋体" w:hAnsi="宋体" w:eastAsia="宋体" w:cs="宋体"/>
                <w:b/>
                <w:bCs/>
                <w:color w:val="FF0000"/>
                <w:spacing w:val="8"/>
                <w:szCs w:val="21"/>
                <w:shd w:val="clear" w:color="auto" w:fill="FFFFFF"/>
              </w:rPr>
            </w:pPr>
          </w:p>
        </w:tc>
        <w:tc>
          <w:tcPr>
            <w:tcW w:w="1598" w:type="dxa"/>
            <w:vMerge w:val="continue"/>
            <w:noWrap w:val="0"/>
            <w:vAlign w:val="center"/>
          </w:tcPr>
          <w:p w14:paraId="226E3C78">
            <w:pPr>
              <w:pStyle w:val="8"/>
              <w:pageBreakBefore w:val="0"/>
              <w:widowControl/>
              <w:kinsoku/>
              <w:wordWrap/>
              <w:overflowPunct/>
              <w:topLinePunct w:val="0"/>
              <w:autoSpaceDE/>
              <w:autoSpaceDN/>
              <w:bidi w:val="0"/>
              <w:spacing w:before="0" w:after="0" w:line="360" w:lineRule="exact"/>
              <w:jc w:val="center"/>
              <w:textAlignment w:val="auto"/>
              <w:rPr>
                <w:rFonts w:ascii="宋体" w:hAnsi="宋体" w:eastAsia="宋体"/>
                <w:bCs w:val="0"/>
                <w:color w:val="FF0000"/>
                <w:sz w:val="21"/>
                <w:szCs w:val="21"/>
              </w:rPr>
            </w:pPr>
          </w:p>
        </w:tc>
        <w:tc>
          <w:tcPr>
            <w:tcW w:w="6249" w:type="dxa"/>
            <w:noWrap w:val="0"/>
            <w:vAlign w:val="center"/>
          </w:tcPr>
          <w:p w14:paraId="48BDB933">
            <w:pPr>
              <w:pageBreakBefore w:val="0"/>
              <w:kinsoku/>
              <w:wordWrap/>
              <w:overflowPunct/>
              <w:topLinePunct w:val="0"/>
              <w:autoSpaceDE/>
              <w:autoSpaceDN/>
              <w:bidi w:val="0"/>
              <w:spacing w:line="360" w:lineRule="exact"/>
              <w:textAlignment w:val="auto"/>
              <w:rPr>
                <w:rFonts w:ascii="宋体" w:hAnsi="宋体" w:eastAsia="宋体" w:cs="宋体"/>
                <w:color w:val="FF0000"/>
                <w:szCs w:val="21"/>
              </w:rPr>
            </w:pPr>
            <w:r>
              <w:rPr>
                <w:rFonts w:hint="eastAsia" w:ascii="宋体" w:hAnsi="宋体" w:eastAsia="宋体" w:cs="宋体"/>
                <w:b/>
                <w:color w:val="FF0000"/>
                <w:szCs w:val="21"/>
              </w:rPr>
              <w:t>8.预期的工作目标：</w:t>
            </w:r>
            <w:r>
              <w:rPr>
                <w:rFonts w:hint="eastAsia" w:ascii="宋体" w:hAnsi="宋体" w:eastAsia="宋体" w:cs="宋体"/>
                <w:color w:val="FF0000"/>
                <w:szCs w:val="21"/>
              </w:rPr>
              <w:t>根据供应商提供的针对本项目的预期目标综合评审：预期工作目标的是否满足采购需求，是否切合项目实际情况且能否实现</w:t>
            </w:r>
            <w:r>
              <w:rPr>
                <w:rFonts w:hint="eastAsia" w:ascii="宋体" w:hAnsi="宋体"/>
                <w:bCs/>
                <w:color w:val="FF0000"/>
                <w:szCs w:val="21"/>
              </w:rPr>
              <w:t>等，综合评审，最高得</w:t>
            </w:r>
            <w:r>
              <w:rPr>
                <w:rFonts w:hint="eastAsia" w:ascii="宋体" w:hAnsi="宋体"/>
                <w:bCs/>
                <w:color w:val="FF0000"/>
                <w:szCs w:val="21"/>
                <w:lang w:val="en-US" w:eastAsia="zh-CN"/>
              </w:rPr>
              <w:t>5</w:t>
            </w:r>
            <w:r>
              <w:rPr>
                <w:rFonts w:hint="eastAsia" w:ascii="宋体" w:hAnsi="宋体" w:cs="仿宋"/>
                <w:color w:val="FF0000"/>
              </w:rPr>
              <w:t>分</w:t>
            </w:r>
            <w:r>
              <w:rPr>
                <w:rFonts w:hint="eastAsia" w:ascii="宋体" w:hAnsi="宋体"/>
                <w:bCs/>
                <w:color w:val="FF0000"/>
                <w:szCs w:val="21"/>
              </w:rPr>
              <w:t>，未提供不得分。</w:t>
            </w:r>
          </w:p>
        </w:tc>
        <w:tc>
          <w:tcPr>
            <w:tcW w:w="1053" w:type="dxa"/>
            <w:noWrap w:val="0"/>
            <w:vAlign w:val="center"/>
          </w:tcPr>
          <w:p w14:paraId="3E33CC75">
            <w:pPr>
              <w:pageBreakBefore w:val="0"/>
              <w:kinsoku/>
              <w:wordWrap/>
              <w:overflowPunct/>
              <w:topLinePunct w:val="0"/>
              <w:autoSpaceDE/>
              <w:autoSpaceDN/>
              <w:bidi w:val="0"/>
              <w:snapToGrid w:val="0"/>
              <w:spacing w:line="360" w:lineRule="exact"/>
              <w:jc w:val="center"/>
              <w:textAlignment w:val="auto"/>
              <w:rPr>
                <w:rFonts w:ascii="宋体" w:hAnsi="宋体" w:cs="宋体"/>
                <w:b/>
                <w:color w:val="FF0000"/>
                <w:szCs w:val="21"/>
              </w:rPr>
            </w:pPr>
            <w:r>
              <w:rPr>
                <w:rFonts w:hint="eastAsia" w:ascii="宋体" w:hAnsi="宋体" w:cs="宋体"/>
                <w:b/>
                <w:color w:val="FF0000"/>
                <w:szCs w:val="21"/>
              </w:rPr>
              <w:t>0-</w:t>
            </w:r>
            <w:r>
              <w:rPr>
                <w:rFonts w:hint="eastAsia" w:ascii="宋体" w:hAnsi="宋体" w:cs="宋体"/>
                <w:b/>
                <w:color w:val="FF0000"/>
                <w:szCs w:val="21"/>
                <w:lang w:val="en-US" w:eastAsia="zh-CN"/>
              </w:rPr>
              <w:t>5</w:t>
            </w:r>
            <w:r>
              <w:rPr>
                <w:rFonts w:hint="eastAsia" w:ascii="宋体" w:hAnsi="宋体" w:cs="宋体"/>
                <w:b/>
                <w:color w:val="FF0000"/>
                <w:szCs w:val="21"/>
              </w:rPr>
              <w:t>分</w:t>
            </w:r>
          </w:p>
        </w:tc>
      </w:tr>
      <w:tr w14:paraId="3119B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640" w:type="dxa"/>
            <w:vMerge w:val="continue"/>
            <w:noWrap w:val="0"/>
            <w:vAlign w:val="center"/>
          </w:tcPr>
          <w:p w14:paraId="3F416AF2">
            <w:pPr>
              <w:pageBreakBefore w:val="0"/>
              <w:kinsoku/>
              <w:wordWrap/>
              <w:overflowPunct/>
              <w:topLinePunct w:val="0"/>
              <w:autoSpaceDE/>
              <w:autoSpaceDN/>
              <w:bidi w:val="0"/>
              <w:snapToGrid w:val="0"/>
              <w:spacing w:line="360" w:lineRule="exact"/>
              <w:jc w:val="center"/>
              <w:textAlignment w:val="auto"/>
              <w:rPr>
                <w:rFonts w:ascii="宋体" w:hAnsi="宋体" w:eastAsia="宋体" w:cs="宋体"/>
                <w:b/>
                <w:bCs/>
                <w:color w:val="FF0000"/>
                <w:spacing w:val="8"/>
                <w:szCs w:val="21"/>
                <w:shd w:val="clear" w:color="auto" w:fill="FFFFFF"/>
              </w:rPr>
            </w:pPr>
          </w:p>
        </w:tc>
        <w:tc>
          <w:tcPr>
            <w:tcW w:w="1598" w:type="dxa"/>
            <w:vMerge w:val="continue"/>
            <w:noWrap w:val="0"/>
            <w:vAlign w:val="center"/>
          </w:tcPr>
          <w:p w14:paraId="0C3ED989">
            <w:pPr>
              <w:pStyle w:val="8"/>
              <w:pageBreakBefore w:val="0"/>
              <w:widowControl/>
              <w:kinsoku/>
              <w:wordWrap/>
              <w:overflowPunct/>
              <w:topLinePunct w:val="0"/>
              <w:autoSpaceDE/>
              <w:autoSpaceDN/>
              <w:bidi w:val="0"/>
              <w:spacing w:before="0" w:after="0" w:line="360" w:lineRule="exact"/>
              <w:jc w:val="center"/>
              <w:textAlignment w:val="auto"/>
              <w:rPr>
                <w:rFonts w:ascii="宋体" w:hAnsi="宋体" w:eastAsia="宋体"/>
                <w:bCs w:val="0"/>
                <w:color w:val="FF0000"/>
                <w:sz w:val="21"/>
                <w:szCs w:val="21"/>
              </w:rPr>
            </w:pPr>
          </w:p>
        </w:tc>
        <w:tc>
          <w:tcPr>
            <w:tcW w:w="6249" w:type="dxa"/>
            <w:noWrap w:val="0"/>
            <w:vAlign w:val="center"/>
          </w:tcPr>
          <w:p w14:paraId="3DE9ACDB">
            <w:pPr>
              <w:pageBreakBefore w:val="0"/>
              <w:kinsoku/>
              <w:wordWrap/>
              <w:overflowPunct/>
              <w:topLinePunct w:val="0"/>
              <w:autoSpaceDE/>
              <w:autoSpaceDN/>
              <w:bidi w:val="0"/>
              <w:spacing w:line="360" w:lineRule="exact"/>
              <w:textAlignment w:val="auto"/>
              <w:rPr>
                <w:rFonts w:ascii="宋体" w:hAnsi="宋体" w:eastAsia="宋体" w:cs="宋体"/>
                <w:color w:val="FF0000"/>
                <w:szCs w:val="21"/>
              </w:rPr>
            </w:pPr>
            <w:r>
              <w:rPr>
                <w:rFonts w:hint="eastAsia" w:ascii="宋体" w:hAnsi="宋体" w:eastAsia="宋体" w:cs="宋体"/>
                <w:b/>
                <w:color w:val="FF0000"/>
                <w:szCs w:val="21"/>
              </w:rPr>
              <w:t>9.合理化建议：</w:t>
            </w:r>
            <w:r>
              <w:rPr>
                <w:rFonts w:hint="eastAsia" w:ascii="宋体" w:hAnsi="宋体" w:eastAsia="宋体" w:cs="宋体"/>
                <w:color w:val="FF0000"/>
                <w:szCs w:val="21"/>
              </w:rPr>
              <w:t>根据供应商提供的针对本项目的理解，结合自身专业优势，提出的合理化建议，并根据其提出的建议的可行性、有效性等方面进行综合评审，最高得5分，未提供不得分。</w:t>
            </w:r>
          </w:p>
        </w:tc>
        <w:tc>
          <w:tcPr>
            <w:tcW w:w="1053" w:type="dxa"/>
            <w:noWrap w:val="0"/>
            <w:vAlign w:val="center"/>
          </w:tcPr>
          <w:p w14:paraId="035E71B9">
            <w:pPr>
              <w:pageBreakBefore w:val="0"/>
              <w:kinsoku/>
              <w:wordWrap/>
              <w:overflowPunct/>
              <w:topLinePunct w:val="0"/>
              <w:autoSpaceDE/>
              <w:autoSpaceDN/>
              <w:bidi w:val="0"/>
              <w:snapToGrid w:val="0"/>
              <w:spacing w:line="360" w:lineRule="exact"/>
              <w:jc w:val="center"/>
              <w:textAlignment w:val="auto"/>
              <w:rPr>
                <w:rFonts w:ascii="宋体" w:hAnsi="宋体" w:cs="宋体"/>
                <w:b/>
                <w:color w:val="FF0000"/>
                <w:szCs w:val="21"/>
              </w:rPr>
            </w:pPr>
            <w:r>
              <w:rPr>
                <w:rFonts w:hint="eastAsia" w:ascii="宋体" w:hAnsi="宋体" w:cs="宋体"/>
                <w:b/>
                <w:color w:val="FF0000"/>
                <w:szCs w:val="21"/>
              </w:rPr>
              <w:t>0-5分</w:t>
            </w:r>
          </w:p>
        </w:tc>
      </w:tr>
      <w:tr w14:paraId="0577E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640" w:type="dxa"/>
            <w:noWrap w:val="0"/>
            <w:vAlign w:val="center"/>
          </w:tcPr>
          <w:p w14:paraId="713B1F06">
            <w:pPr>
              <w:pageBreakBefore w:val="0"/>
              <w:kinsoku/>
              <w:wordWrap/>
              <w:overflowPunct/>
              <w:topLinePunct w:val="0"/>
              <w:autoSpaceDE/>
              <w:autoSpaceDN/>
              <w:bidi w:val="0"/>
              <w:snapToGrid w:val="0"/>
              <w:spacing w:line="360" w:lineRule="exact"/>
              <w:jc w:val="center"/>
              <w:textAlignment w:val="auto"/>
              <w:rPr>
                <w:rFonts w:ascii="宋体" w:hAnsi="宋体" w:eastAsia="宋体" w:cs="宋体"/>
                <w:b/>
                <w:color w:val="FF0000"/>
                <w:szCs w:val="21"/>
              </w:rPr>
            </w:pPr>
            <w:r>
              <w:rPr>
                <w:rFonts w:hint="eastAsia" w:ascii="宋体" w:hAnsi="宋体" w:eastAsia="宋体" w:cs="宋体"/>
                <w:b/>
                <w:color w:val="FF0000"/>
                <w:szCs w:val="21"/>
              </w:rPr>
              <w:t>4</w:t>
            </w:r>
          </w:p>
        </w:tc>
        <w:tc>
          <w:tcPr>
            <w:tcW w:w="1598" w:type="dxa"/>
            <w:noWrap w:val="0"/>
            <w:vAlign w:val="center"/>
          </w:tcPr>
          <w:p w14:paraId="03157A66">
            <w:pPr>
              <w:pStyle w:val="3"/>
              <w:pageBreakBefore w:val="0"/>
              <w:kinsoku/>
              <w:wordWrap/>
              <w:overflowPunct/>
              <w:topLinePunct w:val="0"/>
              <w:autoSpaceDE/>
              <w:autoSpaceDN/>
              <w:bidi w:val="0"/>
              <w:spacing w:after="0" w:line="360" w:lineRule="exact"/>
              <w:jc w:val="center"/>
              <w:textAlignment w:val="auto"/>
              <w:rPr>
                <w:rFonts w:cs="宋体"/>
                <w:b/>
                <w:bCs/>
                <w:color w:val="FF0000"/>
                <w:sz w:val="21"/>
                <w:szCs w:val="21"/>
              </w:rPr>
            </w:pPr>
            <w:r>
              <w:rPr>
                <w:rFonts w:hint="eastAsia" w:cs="宋体"/>
                <w:b/>
                <w:bCs/>
                <w:color w:val="FF0000"/>
                <w:sz w:val="21"/>
                <w:szCs w:val="21"/>
              </w:rPr>
              <w:t>安全服务措施</w:t>
            </w:r>
          </w:p>
        </w:tc>
        <w:tc>
          <w:tcPr>
            <w:tcW w:w="6249" w:type="dxa"/>
            <w:noWrap w:val="0"/>
            <w:vAlign w:val="center"/>
          </w:tcPr>
          <w:p w14:paraId="47CEA253">
            <w:pPr>
              <w:pStyle w:val="3"/>
              <w:pageBreakBefore w:val="0"/>
              <w:kinsoku/>
              <w:wordWrap/>
              <w:overflowPunct/>
              <w:topLinePunct w:val="0"/>
              <w:autoSpaceDE/>
              <w:autoSpaceDN/>
              <w:bidi w:val="0"/>
              <w:spacing w:after="0" w:line="360" w:lineRule="exact"/>
              <w:textAlignment w:val="auto"/>
              <w:rPr>
                <w:rFonts w:cs="仿宋"/>
                <w:color w:val="FF0000"/>
                <w:sz w:val="24"/>
              </w:rPr>
            </w:pPr>
            <w:r>
              <w:rPr>
                <w:rFonts w:hint="eastAsia" w:cs="宋体"/>
                <w:color w:val="FF0000"/>
                <w:sz w:val="21"/>
                <w:szCs w:val="21"/>
              </w:rPr>
              <w:t>根据供应商提供的针对本项目的安全服务方案进行</w:t>
            </w:r>
            <w:r>
              <w:rPr>
                <w:rFonts w:hint="eastAsia" w:ascii="宋体" w:hAnsi="宋体" w:eastAsia="宋体" w:cs="宋体"/>
                <w:color w:val="FF0000"/>
                <w:sz w:val="21"/>
                <w:szCs w:val="21"/>
              </w:rPr>
              <w:t>综合评审</w:t>
            </w:r>
            <w:r>
              <w:rPr>
                <w:rFonts w:hint="eastAsia" w:cs="宋体"/>
                <w:color w:val="FF0000"/>
                <w:sz w:val="21"/>
                <w:szCs w:val="21"/>
              </w:rPr>
              <w:t>（根据采购人需要提供安全咨询、安全风险评估等服务，协助采购人做好各类维稳工作，为采购人做好综合会议等活动的安全保卫工作）：安全服务措施考虑</w:t>
            </w:r>
            <w:r>
              <w:rPr>
                <w:rFonts w:hint="eastAsia" w:ascii="宋体" w:hAnsi="宋体" w:eastAsia="宋体" w:cs="宋体"/>
                <w:color w:val="FF0000"/>
                <w:sz w:val="21"/>
                <w:szCs w:val="21"/>
              </w:rPr>
              <w:t>是否</w:t>
            </w:r>
            <w:r>
              <w:rPr>
                <w:rFonts w:hint="eastAsia" w:cs="宋体"/>
                <w:color w:val="FF0000"/>
                <w:sz w:val="21"/>
                <w:szCs w:val="21"/>
              </w:rPr>
              <w:t>全面、科学可</w:t>
            </w:r>
            <w:r>
              <w:rPr>
                <w:rFonts w:hint="eastAsia" w:cs="宋体"/>
                <w:color w:val="FF0000"/>
                <w:sz w:val="21"/>
                <w:szCs w:val="21"/>
              </w:rPr>
              <w:t>行、具有落地实施性</w:t>
            </w:r>
            <w:r>
              <w:rPr>
                <w:rFonts w:hint="eastAsia" w:cs="宋体"/>
                <w:color w:val="FF0000"/>
                <w:sz w:val="21"/>
                <w:szCs w:val="21"/>
                <w:lang w:eastAsia="zh-CN"/>
              </w:rPr>
              <w:t>，</w:t>
            </w:r>
            <w:r>
              <w:rPr>
                <w:rFonts w:hint="eastAsia" w:cs="宋体"/>
                <w:color w:val="FF0000"/>
                <w:sz w:val="21"/>
                <w:szCs w:val="21"/>
              </w:rPr>
              <w:t>综合评审，最高得5分，未提供不得分。</w:t>
            </w:r>
          </w:p>
        </w:tc>
        <w:tc>
          <w:tcPr>
            <w:tcW w:w="1053" w:type="dxa"/>
            <w:noWrap w:val="0"/>
            <w:vAlign w:val="center"/>
          </w:tcPr>
          <w:p w14:paraId="2394CEFD">
            <w:pPr>
              <w:pageBreakBefore w:val="0"/>
              <w:kinsoku/>
              <w:wordWrap/>
              <w:overflowPunct/>
              <w:topLinePunct w:val="0"/>
              <w:autoSpaceDE/>
              <w:autoSpaceDN/>
              <w:bidi w:val="0"/>
              <w:snapToGrid w:val="0"/>
              <w:spacing w:line="360" w:lineRule="exact"/>
              <w:jc w:val="center"/>
              <w:textAlignment w:val="auto"/>
              <w:rPr>
                <w:rFonts w:ascii="宋体" w:hAnsi="宋体" w:cs="宋体"/>
                <w:b/>
                <w:color w:val="FF0000"/>
                <w:szCs w:val="21"/>
              </w:rPr>
            </w:pPr>
            <w:r>
              <w:rPr>
                <w:rFonts w:hint="eastAsia" w:ascii="宋体" w:hAnsi="宋体" w:cs="宋体"/>
                <w:b/>
                <w:color w:val="FF0000"/>
                <w:szCs w:val="21"/>
              </w:rPr>
              <w:t>0-5分</w:t>
            </w:r>
          </w:p>
        </w:tc>
      </w:tr>
      <w:tr w14:paraId="502ACF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8487" w:type="dxa"/>
            <w:gridSpan w:val="3"/>
            <w:noWrap w:val="0"/>
            <w:vAlign w:val="center"/>
          </w:tcPr>
          <w:p w14:paraId="72B0CD02">
            <w:pPr>
              <w:pageBreakBefore w:val="0"/>
              <w:widowControl/>
              <w:kinsoku/>
              <w:wordWrap/>
              <w:overflowPunct/>
              <w:topLinePunct w:val="0"/>
              <w:autoSpaceDE/>
              <w:autoSpaceDN/>
              <w:bidi w:val="0"/>
              <w:snapToGrid w:val="0"/>
              <w:spacing w:line="360" w:lineRule="exact"/>
              <w:jc w:val="center"/>
              <w:textAlignment w:val="auto"/>
              <w:rPr>
                <w:rFonts w:ascii="宋体" w:hAnsi="宋体" w:eastAsia="宋体" w:cs="宋体"/>
                <w:b/>
                <w:color w:val="FF0000"/>
                <w:szCs w:val="21"/>
              </w:rPr>
            </w:pPr>
            <w:r>
              <w:rPr>
                <w:rFonts w:hint="eastAsia" w:ascii="宋体" w:hAnsi="宋体" w:eastAsia="宋体" w:cs="宋体"/>
                <w:b/>
                <w:color w:val="FF0000"/>
                <w:szCs w:val="21"/>
              </w:rPr>
              <w:t>商务、资信及其他分</w:t>
            </w:r>
          </w:p>
        </w:tc>
        <w:tc>
          <w:tcPr>
            <w:tcW w:w="1053" w:type="dxa"/>
            <w:noWrap w:val="0"/>
            <w:vAlign w:val="center"/>
          </w:tcPr>
          <w:p w14:paraId="359E5921">
            <w:pPr>
              <w:pageBreakBefore w:val="0"/>
              <w:widowControl/>
              <w:kinsoku/>
              <w:wordWrap/>
              <w:overflowPunct/>
              <w:topLinePunct w:val="0"/>
              <w:autoSpaceDE/>
              <w:autoSpaceDN/>
              <w:bidi w:val="0"/>
              <w:snapToGrid w:val="0"/>
              <w:spacing w:line="360" w:lineRule="exact"/>
              <w:jc w:val="center"/>
              <w:textAlignment w:val="auto"/>
              <w:rPr>
                <w:rFonts w:ascii="宋体" w:hAnsi="宋体" w:cs="宋体"/>
                <w:b/>
                <w:color w:val="FF0000"/>
                <w:szCs w:val="21"/>
              </w:rPr>
            </w:pPr>
            <w:r>
              <w:rPr>
                <w:rFonts w:hint="eastAsia" w:ascii="宋体" w:hAnsi="宋体" w:cs="宋体"/>
                <w:b/>
                <w:color w:val="FF0000"/>
                <w:szCs w:val="21"/>
              </w:rPr>
              <w:t>1</w:t>
            </w:r>
            <w:r>
              <w:rPr>
                <w:rFonts w:hint="eastAsia" w:ascii="宋体" w:hAnsi="宋体" w:cs="宋体"/>
                <w:b/>
                <w:color w:val="FF0000"/>
                <w:szCs w:val="21"/>
                <w:lang w:val="en-US" w:eastAsia="zh-CN"/>
              </w:rPr>
              <w:t>5</w:t>
            </w:r>
            <w:r>
              <w:rPr>
                <w:rFonts w:hint="eastAsia" w:ascii="宋体" w:hAnsi="宋体" w:cs="宋体"/>
                <w:b/>
                <w:color w:val="FF0000"/>
                <w:szCs w:val="21"/>
              </w:rPr>
              <w:t>分</w:t>
            </w:r>
          </w:p>
        </w:tc>
      </w:tr>
      <w:tr w14:paraId="47059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 w:hRule="atLeast"/>
          <w:jc w:val="center"/>
        </w:trPr>
        <w:tc>
          <w:tcPr>
            <w:tcW w:w="640" w:type="dxa"/>
            <w:noWrap w:val="0"/>
            <w:vAlign w:val="center"/>
          </w:tcPr>
          <w:p w14:paraId="5ADE34BA">
            <w:pPr>
              <w:pageBreakBefore w:val="0"/>
              <w:kinsoku/>
              <w:wordWrap/>
              <w:overflowPunct/>
              <w:topLinePunct w:val="0"/>
              <w:autoSpaceDE/>
              <w:autoSpaceDN/>
              <w:bidi w:val="0"/>
              <w:snapToGrid w:val="0"/>
              <w:spacing w:line="360" w:lineRule="exact"/>
              <w:jc w:val="center"/>
              <w:textAlignment w:val="auto"/>
              <w:rPr>
                <w:rFonts w:ascii="宋体" w:hAnsi="宋体" w:eastAsia="宋体" w:cs="宋体"/>
                <w:b/>
                <w:color w:val="FF0000"/>
                <w:szCs w:val="21"/>
              </w:rPr>
            </w:pPr>
            <w:r>
              <w:rPr>
                <w:rFonts w:hint="eastAsia" w:ascii="宋体" w:hAnsi="宋体" w:eastAsia="宋体" w:cs="宋体"/>
                <w:b/>
                <w:color w:val="FF0000"/>
                <w:szCs w:val="21"/>
              </w:rPr>
              <w:t>5</w:t>
            </w:r>
          </w:p>
        </w:tc>
        <w:tc>
          <w:tcPr>
            <w:tcW w:w="1598" w:type="dxa"/>
            <w:noWrap w:val="0"/>
            <w:vAlign w:val="center"/>
          </w:tcPr>
          <w:p w14:paraId="34C1A69F">
            <w:pPr>
              <w:pageBreakBefore w:val="0"/>
              <w:tabs>
                <w:tab w:val="left" w:pos="1080"/>
              </w:tabs>
              <w:kinsoku/>
              <w:wordWrap/>
              <w:overflowPunct/>
              <w:topLinePunct w:val="0"/>
              <w:autoSpaceDE/>
              <w:autoSpaceDN/>
              <w:bidi w:val="0"/>
              <w:spacing w:line="360" w:lineRule="exact"/>
              <w:jc w:val="center"/>
              <w:textAlignment w:val="auto"/>
              <w:rPr>
                <w:rFonts w:ascii="宋体" w:hAnsi="宋体" w:eastAsia="宋体" w:cs="宋体"/>
                <w:b/>
                <w:bCs/>
                <w:color w:val="FF0000"/>
                <w:szCs w:val="21"/>
              </w:rPr>
            </w:pPr>
            <w:r>
              <w:rPr>
                <w:rFonts w:hint="eastAsia" w:ascii="宋体" w:hAnsi="宋体" w:eastAsia="宋体" w:cs="宋体"/>
                <w:b/>
                <w:bCs/>
                <w:color w:val="FF0000"/>
                <w:szCs w:val="21"/>
              </w:rPr>
              <w:t>与采购单位的配合</w:t>
            </w:r>
          </w:p>
        </w:tc>
        <w:tc>
          <w:tcPr>
            <w:tcW w:w="6249" w:type="dxa"/>
            <w:noWrap w:val="0"/>
            <w:vAlign w:val="center"/>
          </w:tcPr>
          <w:p w14:paraId="24D3D263">
            <w:pPr>
              <w:pageBreakBefore w:val="0"/>
              <w:kinsoku/>
              <w:wordWrap/>
              <w:overflowPunct/>
              <w:topLinePunct w:val="0"/>
              <w:autoSpaceDE/>
              <w:autoSpaceDN/>
              <w:bidi w:val="0"/>
              <w:snapToGrid w:val="0"/>
              <w:spacing w:line="360" w:lineRule="exact"/>
              <w:textAlignment w:val="auto"/>
              <w:rPr>
                <w:rFonts w:ascii="宋体" w:hAnsi="宋体" w:eastAsia="宋体" w:cs="宋体"/>
                <w:color w:val="FF0000"/>
                <w:szCs w:val="21"/>
              </w:rPr>
            </w:pPr>
            <w:r>
              <w:rPr>
                <w:rFonts w:hint="eastAsia" w:ascii="宋体" w:hAnsi="宋体" w:eastAsia="宋体" w:cs="宋体"/>
                <w:color w:val="FF0000"/>
                <w:szCs w:val="21"/>
              </w:rPr>
              <w:t>根据供应商是否提供与采购单位合方案，根据配合方案的科学完整性、合理有效性进行综合评审，最高得5分，未提供不得分。</w:t>
            </w:r>
          </w:p>
        </w:tc>
        <w:tc>
          <w:tcPr>
            <w:tcW w:w="1053" w:type="dxa"/>
            <w:noWrap w:val="0"/>
            <w:vAlign w:val="center"/>
          </w:tcPr>
          <w:p w14:paraId="1214AFA0">
            <w:pPr>
              <w:pageBreakBefore w:val="0"/>
              <w:widowControl/>
              <w:kinsoku/>
              <w:wordWrap/>
              <w:overflowPunct/>
              <w:topLinePunct w:val="0"/>
              <w:autoSpaceDE/>
              <w:autoSpaceDN/>
              <w:bidi w:val="0"/>
              <w:snapToGrid w:val="0"/>
              <w:spacing w:line="360" w:lineRule="exact"/>
              <w:jc w:val="center"/>
              <w:textAlignment w:val="auto"/>
              <w:rPr>
                <w:rFonts w:ascii="宋体" w:hAnsi="宋体" w:cs="宋体"/>
                <w:b/>
                <w:color w:val="FF0000"/>
                <w:szCs w:val="21"/>
              </w:rPr>
            </w:pPr>
            <w:r>
              <w:rPr>
                <w:rFonts w:hint="eastAsia" w:ascii="宋体" w:hAnsi="宋体" w:cs="宋体"/>
                <w:b/>
                <w:color w:val="FF0000"/>
                <w:szCs w:val="21"/>
              </w:rPr>
              <w:t>0-5分</w:t>
            </w:r>
          </w:p>
        </w:tc>
      </w:tr>
      <w:tr w14:paraId="64F76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 w:hRule="atLeast"/>
          <w:jc w:val="center"/>
        </w:trPr>
        <w:tc>
          <w:tcPr>
            <w:tcW w:w="640" w:type="dxa"/>
            <w:noWrap w:val="0"/>
            <w:vAlign w:val="center"/>
          </w:tcPr>
          <w:p w14:paraId="677C7F05">
            <w:pPr>
              <w:pageBreakBefore w:val="0"/>
              <w:kinsoku/>
              <w:wordWrap/>
              <w:overflowPunct/>
              <w:topLinePunct w:val="0"/>
              <w:autoSpaceDE/>
              <w:autoSpaceDN/>
              <w:bidi w:val="0"/>
              <w:snapToGrid w:val="0"/>
              <w:spacing w:line="360" w:lineRule="exact"/>
              <w:jc w:val="center"/>
              <w:textAlignment w:val="auto"/>
              <w:rPr>
                <w:rFonts w:ascii="宋体" w:hAnsi="宋体" w:eastAsia="宋体" w:cs="宋体"/>
                <w:b/>
                <w:color w:val="FF0000"/>
                <w:szCs w:val="21"/>
              </w:rPr>
            </w:pPr>
            <w:r>
              <w:rPr>
                <w:rFonts w:hint="eastAsia" w:ascii="宋体" w:hAnsi="宋体" w:eastAsia="宋体" w:cs="宋体"/>
                <w:b/>
                <w:color w:val="FF0000"/>
                <w:szCs w:val="21"/>
              </w:rPr>
              <w:t>6</w:t>
            </w:r>
          </w:p>
        </w:tc>
        <w:tc>
          <w:tcPr>
            <w:tcW w:w="1598" w:type="dxa"/>
            <w:noWrap w:val="0"/>
            <w:vAlign w:val="center"/>
          </w:tcPr>
          <w:p w14:paraId="539AC307">
            <w:pPr>
              <w:pageBreakBefore w:val="0"/>
              <w:kinsoku/>
              <w:wordWrap/>
              <w:overflowPunct/>
              <w:topLinePunct w:val="0"/>
              <w:autoSpaceDE/>
              <w:autoSpaceDN/>
              <w:bidi w:val="0"/>
              <w:snapToGrid w:val="0"/>
              <w:spacing w:line="360" w:lineRule="exact"/>
              <w:jc w:val="center"/>
              <w:textAlignment w:val="auto"/>
              <w:rPr>
                <w:rFonts w:ascii="宋体" w:hAnsi="宋体"/>
                <w:b/>
                <w:color w:val="FF0000"/>
                <w:szCs w:val="21"/>
              </w:rPr>
            </w:pPr>
            <w:r>
              <w:rPr>
                <w:rFonts w:hint="eastAsia" w:ascii="宋体" w:hAnsi="宋体"/>
                <w:b/>
                <w:color w:val="FF0000"/>
                <w:szCs w:val="21"/>
              </w:rPr>
              <w:t>企业实力</w:t>
            </w:r>
          </w:p>
        </w:tc>
        <w:tc>
          <w:tcPr>
            <w:tcW w:w="6249" w:type="dxa"/>
            <w:noWrap w:val="0"/>
            <w:vAlign w:val="center"/>
          </w:tcPr>
          <w:p w14:paraId="3B2955B7">
            <w:pPr>
              <w:pageBreakBefore w:val="0"/>
              <w:widowControl/>
              <w:kinsoku/>
              <w:wordWrap/>
              <w:overflowPunct/>
              <w:topLinePunct w:val="0"/>
              <w:autoSpaceDE/>
              <w:autoSpaceDN/>
              <w:bidi w:val="0"/>
              <w:spacing w:line="360" w:lineRule="exact"/>
              <w:textAlignment w:val="auto"/>
              <w:rPr>
                <w:rFonts w:ascii="宋体" w:hAnsi="宋体"/>
                <w:color w:val="FF0000"/>
                <w:szCs w:val="21"/>
              </w:rPr>
            </w:pPr>
            <w:r>
              <w:rPr>
                <w:rFonts w:hint="eastAsia" w:ascii="宋体" w:hAnsi="宋体"/>
                <w:color w:val="FF0000"/>
                <w:kern w:val="0"/>
                <w:szCs w:val="21"/>
              </w:rPr>
              <w:t>1</w:t>
            </w:r>
            <w:r>
              <w:rPr>
                <w:rFonts w:hint="eastAsia" w:ascii="宋体" w:hAnsi="宋体"/>
                <w:color w:val="FF0000"/>
                <w:szCs w:val="21"/>
              </w:rPr>
              <w:t>.供应商具有有效期内的质量管理体系认证证书的得</w:t>
            </w:r>
            <w:r>
              <w:rPr>
                <w:rFonts w:hint="eastAsia" w:ascii="宋体" w:hAnsi="宋体"/>
                <w:color w:val="FF0000"/>
                <w:szCs w:val="21"/>
                <w:lang w:val="en-US" w:eastAsia="zh-CN"/>
              </w:rPr>
              <w:t>3</w:t>
            </w:r>
            <w:r>
              <w:rPr>
                <w:rFonts w:hint="eastAsia" w:ascii="宋体" w:hAnsi="宋体"/>
                <w:color w:val="FF0000"/>
                <w:szCs w:val="21"/>
              </w:rPr>
              <w:t>分。</w:t>
            </w:r>
          </w:p>
          <w:p w14:paraId="60F7D826">
            <w:pPr>
              <w:pageBreakBefore w:val="0"/>
              <w:widowControl/>
              <w:kinsoku/>
              <w:wordWrap/>
              <w:overflowPunct/>
              <w:topLinePunct w:val="0"/>
              <w:autoSpaceDE/>
              <w:autoSpaceDN/>
              <w:bidi w:val="0"/>
              <w:spacing w:line="360" w:lineRule="exact"/>
              <w:textAlignment w:val="auto"/>
              <w:rPr>
                <w:rFonts w:ascii="宋体" w:hAnsi="宋体"/>
                <w:color w:val="FF0000"/>
                <w:szCs w:val="21"/>
              </w:rPr>
            </w:pPr>
            <w:r>
              <w:rPr>
                <w:rFonts w:hint="eastAsia" w:ascii="宋体" w:hAnsi="宋体"/>
                <w:color w:val="FF0000"/>
                <w:szCs w:val="21"/>
              </w:rPr>
              <w:t>2.供应商具有有效期内的环境管理体系认证证书的得</w:t>
            </w:r>
            <w:r>
              <w:rPr>
                <w:rFonts w:hint="eastAsia" w:ascii="宋体" w:hAnsi="宋体"/>
                <w:color w:val="FF0000"/>
                <w:szCs w:val="21"/>
                <w:lang w:val="en-US" w:eastAsia="zh-CN"/>
              </w:rPr>
              <w:t>3</w:t>
            </w:r>
            <w:r>
              <w:rPr>
                <w:rFonts w:hint="eastAsia" w:ascii="宋体" w:hAnsi="宋体"/>
                <w:color w:val="FF0000"/>
                <w:szCs w:val="21"/>
              </w:rPr>
              <w:t>分。</w:t>
            </w:r>
          </w:p>
          <w:p w14:paraId="24B64EF3">
            <w:pPr>
              <w:pageBreakBefore w:val="0"/>
              <w:widowControl/>
              <w:kinsoku/>
              <w:wordWrap/>
              <w:overflowPunct/>
              <w:topLinePunct w:val="0"/>
              <w:autoSpaceDE/>
              <w:autoSpaceDN/>
              <w:bidi w:val="0"/>
              <w:spacing w:line="360" w:lineRule="exact"/>
              <w:textAlignment w:val="auto"/>
              <w:rPr>
                <w:rFonts w:ascii="宋体" w:hAnsi="宋体"/>
                <w:color w:val="FF0000"/>
                <w:szCs w:val="21"/>
              </w:rPr>
            </w:pPr>
            <w:r>
              <w:rPr>
                <w:rFonts w:hint="eastAsia" w:ascii="宋体" w:hAnsi="宋体"/>
                <w:color w:val="FF0000"/>
                <w:szCs w:val="21"/>
              </w:rPr>
              <w:t>3.供应商具有有效期内的职业健康安全管理体系认证证书的得</w:t>
            </w:r>
            <w:r>
              <w:rPr>
                <w:rFonts w:hint="eastAsia" w:ascii="宋体" w:hAnsi="宋体"/>
                <w:color w:val="FF0000"/>
                <w:szCs w:val="21"/>
                <w:lang w:val="en-US" w:eastAsia="zh-CN"/>
              </w:rPr>
              <w:t>3</w:t>
            </w:r>
            <w:r>
              <w:rPr>
                <w:rFonts w:hint="eastAsia" w:ascii="宋体" w:hAnsi="宋体"/>
                <w:color w:val="FF0000"/>
                <w:szCs w:val="21"/>
              </w:rPr>
              <w:t>分。</w:t>
            </w:r>
          </w:p>
          <w:p w14:paraId="5AFC51E2">
            <w:pPr>
              <w:pageBreakBefore w:val="0"/>
              <w:widowControl/>
              <w:kinsoku/>
              <w:wordWrap/>
              <w:overflowPunct/>
              <w:topLinePunct w:val="0"/>
              <w:autoSpaceDE/>
              <w:autoSpaceDN/>
              <w:bidi w:val="0"/>
              <w:spacing w:line="360" w:lineRule="exact"/>
              <w:textAlignment w:val="auto"/>
              <w:rPr>
                <w:rFonts w:ascii="宋体" w:hAnsi="宋体" w:cs="宋体"/>
                <w:color w:val="FF0000"/>
                <w:szCs w:val="21"/>
              </w:rPr>
            </w:pPr>
            <w:r>
              <w:rPr>
                <w:rFonts w:hint="eastAsia" w:ascii="宋体" w:hAnsi="宋体"/>
                <w:b/>
                <w:bCs/>
                <w:color w:val="FF0000"/>
                <w:szCs w:val="21"/>
              </w:rPr>
              <w:t>注：</w:t>
            </w:r>
            <w:r>
              <w:rPr>
                <w:rFonts w:hint="eastAsia" w:ascii="宋体" w:hAnsi="宋体" w:cs="宋体"/>
                <w:b/>
                <w:color w:val="FF0000"/>
                <w:szCs w:val="21"/>
              </w:rPr>
              <w:t>同时提供以上认证证书及对应的全国认证认可信息公共服务平台年检合格截图证明，否则不予认可</w:t>
            </w:r>
            <w:r>
              <w:rPr>
                <w:rFonts w:hint="eastAsia" w:ascii="宋体" w:hAnsi="宋体"/>
                <w:b/>
                <w:bCs/>
                <w:color w:val="FF0000"/>
                <w:szCs w:val="21"/>
              </w:rPr>
              <w:t>。</w:t>
            </w:r>
          </w:p>
        </w:tc>
        <w:tc>
          <w:tcPr>
            <w:tcW w:w="1053" w:type="dxa"/>
            <w:noWrap w:val="0"/>
            <w:vAlign w:val="center"/>
          </w:tcPr>
          <w:p w14:paraId="4009F8F3">
            <w:pPr>
              <w:pageBreakBefore w:val="0"/>
              <w:widowControl/>
              <w:kinsoku/>
              <w:wordWrap/>
              <w:overflowPunct/>
              <w:topLinePunct w:val="0"/>
              <w:autoSpaceDE/>
              <w:autoSpaceDN/>
              <w:bidi w:val="0"/>
              <w:snapToGrid w:val="0"/>
              <w:spacing w:line="360" w:lineRule="exact"/>
              <w:jc w:val="center"/>
              <w:textAlignment w:val="auto"/>
              <w:rPr>
                <w:rFonts w:ascii="宋体" w:hAnsi="宋体" w:cs="宋体"/>
                <w:b/>
                <w:color w:val="FF0000"/>
                <w:szCs w:val="21"/>
              </w:rPr>
            </w:pPr>
            <w:r>
              <w:rPr>
                <w:rFonts w:hint="eastAsia" w:ascii="宋体" w:hAnsi="宋体" w:cs="宋体"/>
                <w:b/>
                <w:color w:val="FF0000"/>
                <w:szCs w:val="21"/>
              </w:rPr>
              <w:t>0-</w:t>
            </w:r>
            <w:r>
              <w:rPr>
                <w:rFonts w:hint="eastAsia" w:ascii="宋体" w:hAnsi="宋体" w:cs="宋体"/>
                <w:b/>
                <w:color w:val="FF0000"/>
                <w:szCs w:val="21"/>
                <w:lang w:val="en-US" w:eastAsia="zh-CN"/>
              </w:rPr>
              <w:t>9</w:t>
            </w:r>
            <w:r>
              <w:rPr>
                <w:rFonts w:hint="eastAsia" w:ascii="宋体" w:hAnsi="宋体" w:cs="宋体"/>
                <w:b/>
                <w:color w:val="FF0000"/>
                <w:szCs w:val="21"/>
              </w:rPr>
              <w:t>分</w:t>
            </w:r>
          </w:p>
        </w:tc>
      </w:tr>
      <w:tr w14:paraId="1891E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 w:hRule="atLeast"/>
          <w:jc w:val="center"/>
        </w:trPr>
        <w:tc>
          <w:tcPr>
            <w:tcW w:w="640" w:type="dxa"/>
            <w:noWrap w:val="0"/>
            <w:vAlign w:val="center"/>
          </w:tcPr>
          <w:p w14:paraId="324104D6">
            <w:pPr>
              <w:pageBreakBefore w:val="0"/>
              <w:kinsoku/>
              <w:wordWrap/>
              <w:overflowPunct/>
              <w:topLinePunct w:val="0"/>
              <w:autoSpaceDE/>
              <w:autoSpaceDN/>
              <w:bidi w:val="0"/>
              <w:snapToGrid w:val="0"/>
              <w:spacing w:line="360" w:lineRule="exact"/>
              <w:jc w:val="center"/>
              <w:textAlignment w:val="auto"/>
              <w:rPr>
                <w:rFonts w:ascii="宋体" w:hAnsi="宋体" w:cs="宋体"/>
                <w:b/>
                <w:color w:val="FF0000"/>
                <w:szCs w:val="21"/>
              </w:rPr>
            </w:pPr>
            <w:r>
              <w:rPr>
                <w:rFonts w:hint="eastAsia" w:ascii="宋体" w:hAnsi="宋体" w:cs="宋体"/>
                <w:b/>
                <w:color w:val="FF0000"/>
                <w:szCs w:val="21"/>
              </w:rPr>
              <w:t>7</w:t>
            </w:r>
          </w:p>
        </w:tc>
        <w:tc>
          <w:tcPr>
            <w:tcW w:w="1598" w:type="dxa"/>
            <w:noWrap w:val="0"/>
            <w:vAlign w:val="center"/>
          </w:tcPr>
          <w:p w14:paraId="6611A939">
            <w:pPr>
              <w:pageBreakBefore w:val="0"/>
              <w:kinsoku/>
              <w:wordWrap/>
              <w:overflowPunct/>
              <w:topLinePunct w:val="0"/>
              <w:autoSpaceDE/>
              <w:autoSpaceDN/>
              <w:bidi w:val="0"/>
              <w:snapToGrid w:val="0"/>
              <w:spacing w:line="360" w:lineRule="exact"/>
              <w:jc w:val="center"/>
              <w:textAlignment w:val="auto"/>
              <w:rPr>
                <w:rFonts w:ascii="宋体" w:hAnsi="宋体" w:cs="宋体"/>
                <w:b/>
                <w:color w:val="FF0000"/>
                <w:szCs w:val="21"/>
              </w:rPr>
            </w:pPr>
            <w:r>
              <w:rPr>
                <w:rFonts w:hint="eastAsia" w:ascii="宋体" w:hAnsi="宋体"/>
                <w:b/>
                <w:color w:val="FF0000"/>
                <w:szCs w:val="21"/>
              </w:rPr>
              <w:t>企业业绩</w:t>
            </w:r>
          </w:p>
        </w:tc>
        <w:tc>
          <w:tcPr>
            <w:tcW w:w="6249" w:type="dxa"/>
            <w:noWrap w:val="0"/>
            <w:vAlign w:val="center"/>
          </w:tcPr>
          <w:p w14:paraId="5B3EBCAC">
            <w:pPr>
              <w:pageBreakBefore w:val="0"/>
              <w:kinsoku/>
              <w:wordWrap/>
              <w:overflowPunct/>
              <w:topLinePunct w:val="0"/>
              <w:autoSpaceDE/>
              <w:autoSpaceDN/>
              <w:bidi w:val="0"/>
              <w:snapToGrid w:val="0"/>
              <w:spacing w:line="360" w:lineRule="exact"/>
              <w:jc w:val="left"/>
              <w:textAlignment w:val="auto"/>
              <w:rPr>
                <w:rFonts w:ascii="宋体" w:hAnsi="宋体" w:cs="宋体"/>
                <w:color w:val="FF0000"/>
                <w:szCs w:val="21"/>
              </w:rPr>
            </w:pPr>
            <w:r>
              <w:rPr>
                <w:rFonts w:hint="eastAsia" w:ascii="宋体" w:hAnsi="宋体" w:cs="宋体"/>
                <w:color w:val="FF0000"/>
                <w:szCs w:val="21"/>
              </w:rPr>
              <w:t>202</w:t>
            </w:r>
            <w:r>
              <w:rPr>
                <w:rFonts w:hint="eastAsia" w:ascii="宋体" w:hAnsi="宋体" w:cs="宋体"/>
                <w:color w:val="FF0000"/>
                <w:szCs w:val="21"/>
                <w:lang w:val="en-US" w:eastAsia="zh-CN"/>
              </w:rPr>
              <w:t>2</w:t>
            </w:r>
            <w:r>
              <w:rPr>
                <w:rFonts w:hint="eastAsia" w:ascii="宋体" w:hAnsi="宋体" w:cs="宋体"/>
                <w:color w:val="FF0000"/>
                <w:szCs w:val="21"/>
              </w:rPr>
              <w:t>年1月1日至今（以合同签订时间为准），供应商承接过相关项目（即协助行政职能部门开展的辅助项目）的，每个得0.5分，最高得1分，未提供不得分。</w:t>
            </w:r>
          </w:p>
          <w:p w14:paraId="3839349A">
            <w:pPr>
              <w:pageBreakBefore w:val="0"/>
              <w:kinsoku/>
              <w:wordWrap/>
              <w:overflowPunct/>
              <w:topLinePunct w:val="0"/>
              <w:autoSpaceDE/>
              <w:autoSpaceDN/>
              <w:bidi w:val="0"/>
              <w:snapToGrid w:val="0"/>
              <w:spacing w:line="360" w:lineRule="exact"/>
              <w:jc w:val="left"/>
              <w:textAlignment w:val="auto"/>
              <w:rPr>
                <w:rFonts w:ascii="宋体" w:hAnsi="宋体" w:cs="宋体"/>
                <w:b/>
                <w:color w:val="FF0000"/>
                <w:szCs w:val="21"/>
              </w:rPr>
            </w:pPr>
            <w:r>
              <w:rPr>
                <w:rFonts w:hint="eastAsia" w:ascii="宋体" w:hAnsi="宋体" w:cs="宋体"/>
                <w:b/>
                <w:color w:val="FF0000"/>
                <w:szCs w:val="21"/>
              </w:rPr>
              <w:t>注：提供合同</w:t>
            </w:r>
            <w:r>
              <w:rPr>
                <w:rFonts w:hint="eastAsia" w:ascii="宋体" w:hAnsi="宋体" w:cs="宋体"/>
                <w:b/>
                <w:color w:val="FF0000"/>
                <w:szCs w:val="21"/>
                <w:lang w:val="en-US" w:eastAsia="zh-CN"/>
              </w:rPr>
              <w:t>复制件</w:t>
            </w:r>
            <w:r>
              <w:rPr>
                <w:rFonts w:hint="eastAsia" w:ascii="宋体" w:hAnsi="宋体" w:cs="宋体"/>
                <w:b/>
                <w:color w:val="FF0000"/>
                <w:szCs w:val="21"/>
              </w:rPr>
              <w:t>加盖电子签章（合同中未能体现以上内容的须同时提供相应证明资料），否则不予认可。</w:t>
            </w:r>
          </w:p>
        </w:tc>
        <w:tc>
          <w:tcPr>
            <w:tcW w:w="1053" w:type="dxa"/>
            <w:noWrap w:val="0"/>
            <w:vAlign w:val="center"/>
          </w:tcPr>
          <w:p w14:paraId="2FE2B14C">
            <w:pPr>
              <w:pageBreakBefore w:val="0"/>
              <w:widowControl/>
              <w:kinsoku/>
              <w:wordWrap/>
              <w:overflowPunct/>
              <w:topLinePunct w:val="0"/>
              <w:autoSpaceDE/>
              <w:autoSpaceDN/>
              <w:bidi w:val="0"/>
              <w:snapToGrid w:val="0"/>
              <w:spacing w:line="360" w:lineRule="exact"/>
              <w:jc w:val="center"/>
              <w:textAlignment w:val="auto"/>
              <w:rPr>
                <w:rFonts w:ascii="宋体" w:hAnsi="宋体" w:cs="宋体"/>
                <w:b/>
                <w:color w:val="FF0000"/>
                <w:szCs w:val="21"/>
              </w:rPr>
            </w:pPr>
            <w:r>
              <w:rPr>
                <w:rFonts w:hint="eastAsia" w:ascii="宋体" w:hAnsi="宋体" w:cs="宋体"/>
                <w:b/>
                <w:color w:val="FF0000"/>
                <w:szCs w:val="21"/>
              </w:rPr>
              <w:t>0-1</w:t>
            </w:r>
            <w:r>
              <w:rPr>
                <w:rFonts w:ascii="宋体" w:hAnsi="宋体" w:cs="宋体"/>
                <w:b/>
                <w:color w:val="FF0000"/>
                <w:szCs w:val="21"/>
              </w:rPr>
              <w:t>分</w:t>
            </w:r>
          </w:p>
        </w:tc>
      </w:tr>
    </w:tbl>
    <w:p w14:paraId="548B863C">
      <w:pPr>
        <w:spacing w:line="540" w:lineRule="exact"/>
        <w:ind w:right="420" w:rightChars="200" w:firstLine="422" w:firstLineChars="200"/>
        <w:rPr>
          <w:b/>
          <w:bCs/>
          <w:szCs w:val="21"/>
        </w:rPr>
      </w:pPr>
      <w:r>
        <w:rPr>
          <w:rFonts w:hint="eastAsia"/>
          <w:b/>
          <w:bCs/>
          <w:szCs w:val="21"/>
        </w:rPr>
        <w:t>注：供应商应根据评分内容提供相应评分证书、合同及相关证明材料扫描件并加盖单位公章，若由于扫描件不清晰难以辨认，引起的不利于供应商的评判，该责任由供应商自负。人员社保为社保机构出具的由本单位或分公司为其缴纳的最近三个月中任意一个月的社保证明，可通过网上社保查询系统进行截图。除实际情况中无需缴纳社保的可以不提供社保证明，但须提供相关情况说明及证明资料。提供汇总表的，为方便查找，请打“√”标明。</w:t>
      </w:r>
    </w:p>
    <w:p w14:paraId="63AEEA66"/>
    <w:p w14:paraId="4D3430A2">
      <w:pPr>
        <w:pStyle w:val="2"/>
        <w:ind w:firstLine="240"/>
      </w:pPr>
    </w:p>
    <w:p w14:paraId="7DF43700">
      <w:pPr>
        <w:spacing w:line="360" w:lineRule="auto"/>
        <w:jc w:val="center"/>
        <w:rPr>
          <w:rFonts w:ascii="宋体" w:hAnsi="宋体"/>
          <w:b/>
          <w:bCs/>
          <w:sz w:val="32"/>
          <w:szCs w:val="32"/>
        </w:rPr>
      </w:pPr>
    </w:p>
    <w:p w14:paraId="61F371AB">
      <w:pPr>
        <w:pStyle w:val="2"/>
        <w:ind w:firstLine="240"/>
      </w:pPr>
    </w:p>
    <w:p w14:paraId="547AFF35"/>
    <w:p w14:paraId="2ED1C911">
      <w:pPr>
        <w:pStyle w:val="2"/>
        <w:ind w:firstLine="240"/>
      </w:pPr>
    </w:p>
    <w:p w14:paraId="06E77DA7"/>
    <w:p w14:paraId="6F36CDD5"/>
    <w:p w14:paraId="2CE58361">
      <w:pPr>
        <w:pStyle w:val="2"/>
      </w:pPr>
    </w:p>
    <w:p w14:paraId="579ABD0D">
      <w:pPr>
        <w:spacing w:line="360" w:lineRule="auto"/>
        <w:jc w:val="center"/>
        <w:rPr>
          <w:rFonts w:ascii="宋体" w:hAnsi="宋体"/>
          <w:b/>
          <w:bCs/>
          <w:sz w:val="32"/>
          <w:szCs w:val="32"/>
        </w:rPr>
      </w:pPr>
      <w:r>
        <w:rPr>
          <w:rFonts w:hint="eastAsia" w:ascii="宋体" w:hAnsi="宋体"/>
          <w:b/>
          <w:bCs/>
          <w:sz w:val="32"/>
          <w:szCs w:val="32"/>
        </w:rPr>
        <w:t>磋商报价一览表（最终报价）</w:t>
      </w:r>
    </w:p>
    <w:p w14:paraId="1F7E61D3">
      <w:pPr>
        <w:spacing w:line="500" w:lineRule="exact"/>
        <w:ind w:firstLine="309"/>
        <w:rPr>
          <w:rFonts w:ascii="宋体" w:hAnsi="宋体"/>
          <w:sz w:val="24"/>
        </w:rPr>
      </w:pPr>
      <w:r>
        <w:rPr>
          <w:rFonts w:hint="eastAsia" w:ascii="宋体" w:hAnsi="宋体"/>
          <w:sz w:val="24"/>
        </w:rPr>
        <w:t xml:space="preserve">供应商全称（加盖公章）：              </w:t>
      </w:r>
    </w:p>
    <w:p w14:paraId="15DFC74F">
      <w:pPr>
        <w:spacing w:line="500" w:lineRule="exact"/>
        <w:ind w:firstLine="309"/>
        <w:rPr>
          <w:rFonts w:ascii="宋体" w:hAnsi="宋体"/>
          <w:sz w:val="24"/>
        </w:rPr>
      </w:pPr>
      <w:r>
        <w:rPr>
          <w:rFonts w:hint="eastAsia" w:ascii="宋体" w:hAnsi="宋体"/>
          <w:sz w:val="24"/>
        </w:rPr>
        <w:t>磋商文件编号：</w:t>
      </w:r>
    </w:p>
    <w:tbl>
      <w:tblPr>
        <w:tblStyle w:val="3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25"/>
        <w:gridCol w:w="1159"/>
        <w:gridCol w:w="5972"/>
      </w:tblGrid>
      <w:tr w14:paraId="3B113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1" w:hRule="atLeast"/>
        </w:trPr>
        <w:tc>
          <w:tcPr>
            <w:tcW w:w="3084" w:type="dxa"/>
            <w:gridSpan w:val="2"/>
            <w:vAlign w:val="center"/>
          </w:tcPr>
          <w:p w14:paraId="51EA7568">
            <w:pPr>
              <w:spacing w:line="500" w:lineRule="exact"/>
              <w:jc w:val="center"/>
              <w:rPr>
                <w:rFonts w:ascii="宋体" w:hAnsi="宋体"/>
                <w:sz w:val="24"/>
              </w:rPr>
            </w:pPr>
            <w:r>
              <w:rPr>
                <w:rFonts w:hint="eastAsia" w:ascii="宋体" w:hAnsi="宋体"/>
                <w:sz w:val="24"/>
              </w:rPr>
              <w:t>项目名称</w:t>
            </w:r>
          </w:p>
        </w:tc>
        <w:tc>
          <w:tcPr>
            <w:tcW w:w="5972" w:type="dxa"/>
            <w:vAlign w:val="center"/>
          </w:tcPr>
          <w:p w14:paraId="48CF7652">
            <w:pPr>
              <w:spacing w:line="500" w:lineRule="exact"/>
              <w:jc w:val="center"/>
              <w:rPr>
                <w:rFonts w:hint="eastAsia" w:ascii="宋体" w:hAnsi="宋体" w:eastAsia="宋体"/>
                <w:sz w:val="24"/>
                <w:lang w:eastAsia="zh-CN"/>
              </w:rPr>
            </w:pPr>
            <w:r>
              <w:rPr>
                <w:rFonts w:hint="eastAsia" w:ascii="宋体" w:hAnsi="宋体"/>
                <w:sz w:val="24"/>
                <w:lang w:eastAsia="zh-CN"/>
              </w:rPr>
              <w:t>南浔经济开发区2025年城市管理服务项目</w:t>
            </w:r>
          </w:p>
        </w:tc>
      </w:tr>
      <w:tr w14:paraId="443AF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7" w:hRule="atLeast"/>
        </w:trPr>
        <w:tc>
          <w:tcPr>
            <w:tcW w:w="1925" w:type="dxa"/>
            <w:vMerge w:val="restart"/>
            <w:tcBorders>
              <w:top w:val="single" w:color="auto" w:sz="4" w:space="0"/>
            </w:tcBorders>
            <w:vAlign w:val="center"/>
          </w:tcPr>
          <w:p w14:paraId="08438662">
            <w:pPr>
              <w:spacing w:line="500" w:lineRule="exact"/>
              <w:jc w:val="center"/>
              <w:rPr>
                <w:rFonts w:ascii="宋体" w:hAnsi="宋体"/>
                <w:sz w:val="24"/>
              </w:rPr>
            </w:pPr>
            <w:r>
              <w:rPr>
                <w:rFonts w:hint="eastAsia" w:ascii="宋体" w:hAnsi="宋体"/>
                <w:sz w:val="24"/>
              </w:rPr>
              <w:t>磋商总报价</w:t>
            </w:r>
          </w:p>
          <w:p w14:paraId="004A8C85">
            <w:pPr>
              <w:spacing w:line="500" w:lineRule="exact"/>
              <w:jc w:val="center"/>
              <w:rPr>
                <w:rFonts w:ascii="宋体" w:hAnsi="宋体"/>
                <w:sz w:val="24"/>
              </w:rPr>
            </w:pPr>
            <w:r>
              <w:rPr>
                <w:rFonts w:hint="eastAsia" w:ascii="宋体" w:hAnsi="宋体"/>
                <w:sz w:val="24"/>
              </w:rPr>
              <w:t>人民币（元）</w:t>
            </w:r>
          </w:p>
        </w:tc>
        <w:tc>
          <w:tcPr>
            <w:tcW w:w="1159" w:type="dxa"/>
            <w:tcBorders>
              <w:top w:val="single" w:color="auto" w:sz="4" w:space="0"/>
            </w:tcBorders>
            <w:vAlign w:val="center"/>
          </w:tcPr>
          <w:p w14:paraId="4B732ABF">
            <w:pPr>
              <w:spacing w:line="500" w:lineRule="exact"/>
              <w:jc w:val="center"/>
              <w:rPr>
                <w:rFonts w:ascii="宋体" w:hAnsi="宋体"/>
                <w:sz w:val="24"/>
              </w:rPr>
            </w:pPr>
            <w:r>
              <w:rPr>
                <w:rFonts w:hint="eastAsia" w:ascii="宋体" w:hAnsi="宋体"/>
                <w:sz w:val="24"/>
              </w:rPr>
              <w:t>小写</w:t>
            </w:r>
          </w:p>
        </w:tc>
        <w:tc>
          <w:tcPr>
            <w:tcW w:w="5972" w:type="dxa"/>
            <w:vAlign w:val="center"/>
          </w:tcPr>
          <w:p w14:paraId="0AB18683">
            <w:pPr>
              <w:spacing w:line="500" w:lineRule="exact"/>
              <w:jc w:val="center"/>
              <w:rPr>
                <w:rFonts w:ascii="宋体" w:hAnsi="宋体"/>
                <w:sz w:val="24"/>
              </w:rPr>
            </w:pPr>
          </w:p>
        </w:tc>
      </w:tr>
      <w:tr w14:paraId="3065F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2" w:hRule="atLeast"/>
        </w:trPr>
        <w:tc>
          <w:tcPr>
            <w:tcW w:w="1925" w:type="dxa"/>
            <w:vMerge w:val="continue"/>
            <w:vAlign w:val="center"/>
          </w:tcPr>
          <w:p w14:paraId="4E19331F">
            <w:pPr>
              <w:spacing w:line="500" w:lineRule="exact"/>
              <w:jc w:val="center"/>
              <w:rPr>
                <w:rFonts w:ascii="宋体" w:hAnsi="宋体"/>
                <w:sz w:val="24"/>
              </w:rPr>
            </w:pPr>
          </w:p>
        </w:tc>
        <w:tc>
          <w:tcPr>
            <w:tcW w:w="1159" w:type="dxa"/>
            <w:vAlign w:val="center"/>
          </w:tcPr>
          <w:p w14:paraId="47896351">
            <w:pPr>
              <w:spacing w:line="500" w:lineRule="exact"/>
              <w:jc w:val="center"/>
              <w:rPr>
                <w:rFonts w:ascii="宋体" w:hAnsi="宋体"/>
                <w:sz w:val="24"/>
              </w:rPr>
            </w:pPr>
            <w:r>
              <w:rPr>
                <w:rFonts w:hint="eastAsia" w:ascii="宋体" w:hAnsi="宋体"/>
                <w:sz w:val="24"/>
              </w:rPr>
              <w:t>大写</w:t>
            </w:r>
          </w:p>
        </w:tc>
        <w:tc>
          <w:tcPr>
            <w:tcW w:w="5972" w:type="dxa"/>
            <w:vAlign w:val="center"/>
          </w:tcPr>
          <w:p w14:paraId="518CDD32">
            <w:pPr>
              <w:spacing w:line="500" w:lineRule="exact"/>
              <w:jc w:val="center"/>
              <w:rPr>
                <w:rFonts w:ascii="宋体" w:hAnsi="宋体"/>
                <w:sz w:val="24"/>
              </w:rPr>
            </w:pPr>
          </w:p>
        </w:tc>
      </w:tr>
    </w:tbl>
    <w:p w14:paraId="218C8633">
      <w:pPr>
        <w:snapToGrid w:val="0"/>
        <w:spacing w:line="560" w:lineRule="exact"/>
        <w:rPr>
          <w:rFonts w:ascii="宋体" w:hAnsi="宋体"/>
          <w:b/>
          <w:bCs/>
          <w:color w:val="000000"/>
          <w:szCs w:val="28"/>
        </w:rPr>
      </w:pPr>
    </w:p>
    <w:p w14:paraId="530D2BF1">
      <w:pPr>
        <w:pStyle w:val="2"/>
        <w:ind w:firstLine="241"/>
        <w:rPr>
          <w:rFonts w:ascii="宋体" w:hAnsi="宋体"/>
          <w:b/>
          <w:bCs/>
          <w:color w:val="000000"/>
          <w:szCs w:val="28"/>
        </w:rPr>
      </w:pPr>
    </w:p>
    <w:p w14:paraId="6358EF37">
      <w:pPr>
        <w:rPr>
          <w:rFonts w:ascii="宋体" w:hAnsi="宋体"/>
          <w:b/>
          <w:bCs/>
          <w:color w:val="000000"/>
          <w:szCs w:val="28"/>
        </w:rPr>
      </w:pPr>
    </w:p>
    <w:p w14:paraId="7C80E799">
      <w:pPr>
        <w:pStyle w:val="2"/>
        <w:ind w:firstLine="241"/>
        <w:rPr>
          <w:rFonts w:ascii="宋体" w:hAnsi="宋体"/>
          <w:b/>
          <w:bCs/>
          <w:color w:val="000000"/>
          <w:szCs w:val="28"/>
        </w:rPr>
      </w:pPr>
    </w:p>
    <w:p w14:paraId="7526206C">
      <w:pPr>
        <w:rPr>
          <w:rFonts w:ascii="宋体" w:hAnsi="宋体"/>
          <w:b/>
          <w:bCs/>
          <w:color w:val="000000"/>
          <w:szCs w:val="28"/>
        </w:rPr>
      </w:pPr>
    </w:p>
    <w:p w14:paraId="6AB0CC31">
      <w:pPr>
        <w:pStyle w:val="2"/>
        <w:ind w:firstLine="241"/>
        <w:rPr>
          <w:rFonts w:ascii="宋体" w:hAnsi="宋体"/>
          <w:b/>
          <w:bCs/>
          <w:color w:val="000000"/>
          <w:szCs w:val="28"/>
        </w:rPr>
      </w:pPr>
    </w:p>
    <w:p w14:paraId="358900D2">
      <w:pPr>
        <w:rPr>
          <w:rFonts w:ascii="宋体" w:hAnsi="宋体"/>
          <w:b/>
          <w:bCs/>
          <w:color w:val="000000"/>
          <w:szCs w:val="28"/>
        </w:rPr>
      </w:pPr>
    </w:p>
    <w:p w14:paraId="18591134">
      <w:pPr>
        <w:pStyle w:val="2"/>
        <w:ind w:firstLine="241"/>
        <w:rPr>
          <w:rFonts w:ascii="宋体" w:hAnsi="宋体"/>
          <w:b/>
          <w:bCs/>
          <w:color w:val="000000"/>
          <w:szCs w:val="28"/>
        </w:rPr>
      </w:pPr>
    </w:p>
    <w:p w14:paraId="0BE82657">
      <w:pPr>
        <w:rPr>
          <w:rFonts w:ascii="宋体" w:hAnsi="宋体"/>
          <w:b/>
          <w:bCs/>
          <w:color w:val="000000"/>
          <w:szCs w:val="28"/>
        </w:rPr>
      </w:pPr>
    </w:p>
    <w:p w14:paraId="3F09D93B">
      <w:pPr>
        <w:pStyle w:val="2"/>
        <w:ind w:firstLine="241"/>
        <w:rPr>
          <w:rFonts w:ascii="宋体" w:hAnsi="宋体"/>
          <w:b/>
          <w:bCs/>
          <w:color w:val="000000"/>
          <w:szCs w:val="28"/>
        </w:rPr>
      </w:pPr>
    </w:p>
    <w:p w14:paraId="3F45CD99">
      <w:pPr>
        <w:rPr>
          <w:rFonts w:ascii="宋体" w:hAnsi="宋体"/>
          <w:b/>
          <w:bCs/>
          <w:color w:val="000000"/>
          <w:szCs w:val="28"/>
        </w:rPr>
      </w:pPr>
    </w:p>
    <w:p w14:paraId="2FFB03A8">
      <w:pPr>
        <w:rPr>
          <w:rFonts w:ascii="宋体" w:hAnsi="宋体"/>
          <w:b/>
          <w:bCs/>
          <w:color w:val="000000"/>
          <w:sz w:val="24"/>
          <w:szCs w:val="28"/>
        </w:rPr>
      </w:pPr>
    </w:p>
    <w:p w14:paraId="19C51E49">
      <w:pPr>
        <w:pStyle w:val="2"/>
        <w:ind w:firstLine="240"/>
      </w:pPr>
    </w:p>
    <w:p w14:paraId="50E6ACBD"/>
    <w:p w14:paraId="2E9975A0">
      <w:pPr>
        <w:pStyle w:val="2"/>
        <w:ind w:firstLine="240"/>
      </w:pPr>
    </w:p>
    <w:p w14:paraId="437DECF5"/>
    <w:p w14:paraId="04728B60">
      <w:pPr>
        <w:rPr>
          <w:rFonts w:ascii="宋体" w:hAnsi="宋体"/>
          <w:b/>
          <w:bCs/>
          <w:color w:val="000000"/>
          <w:szCs w:val="28"/>
        </w:rPr>
      </w:pPr>
    </w:p>
    <w:p w14:paraId="06ECA55F">
      <w:pPr>
        <w:rPr>
          <w:rFonts w:ascii="仿宋" w:hAnsi="仿宋" w:eastAsia="仿宋" w:cs="仿宋"/>
          <w:b/>
          <w:bCs/>
          <w:sz w:val="30"/>
          <w:szCs w:val="30"/>
        </w:rPr>
      </w:pPr>
    </w:p>
    <w:p w14:paraId="6A837D6A">
      <w:pPr>
        <w:pStyle w:val="2"/>
        <w:ind w:firstLine="240"/>
      </w:pPr>
    </w:p>
    <w:p w14:paraId="31FD8C18">
      <w:pPr>
        <w:snapToGrid w:val="0"/>
        <w:spacing w:line="560" w:lineRule="exact"/>
        <w:jc w:val="center"/>
        <w:rPr>
          <w:rFonts w:ascii="宋体" w:hAnsi="宋体"/>
          <w:b/>
          <w:bCs/>
          <w:color w:val="000000"/>
          <w:szCs w:val="28"/>
        </w:rPr>
      </w:pPr>
      <w:r>
        <w:rPr>
          <w:rFonts w:hint="eastAsia"/>
          <w:b/>
          <w:szCs w:val="21"/>
        </w:rPr>
        <w:t>附件：</w:t>
      </w:r>
      <w:r>
        <w:rPr>
          <w:rFonts w:hint="eastAsia" w:ascii="宋体" w:hAnsi="宋体"/>
          <w:b/>
          <w:bCs/>
          <w:color w:val="000000"/>
          <w:szCs w:val="28"/>
        </w:rPr>
        <w:t>“信用中国”（www.creditchina.gov.cn）、“中国政府采购网”（www.ccgp.gov.cn）网页截图模板</w:t>
      </w:r>
    </w:p>
    <w:p w14:paraId="7D5D9F1B">
      <w:pPr>
        <w:snapToGrid w:val="0"/>
        <w:spacing w:line="560" w:lineRule="exact"/>
        <w:jc w:val="center"/>
        <w:rPr>
          <w:rFonts w:ascii="宋体" w:hAnsi="宋体"/>
          <w:b/>
          <w:bCs/>
          <w:color w:val="000000"/>
          <w:szCs w:val="28"/>
        </w:rPr>
      </w:pPr>
    </w:p>
    <w:p w14:paraId="76251B5D">
      <w:pPr>
        <w:snapToGrid w:val="0"/>
        <w:spacing w:line="360" w:lineRule="auto"/>
        <w:jc w:val="center"/>
        <w:rPr>
          <w:rFonts w:ascii="宋体" w:hAnsi="宋体"/>
          <w:b/>
          <w:bCs/>
          <w:color w:val="000000"/>
          <w:szCs w:val="28"/>
        </w:rPr>
      </w:pPr>
      <w:r>
        <w:rPr>
          <w:rFonts w:hint="eastAsia" w:ascii="宋体" w:hAnsi="宋体"/>
          <w:b/>
          <w:bCs/>
          <w:color w:val="000000"/>
          <w:szCs w:val="28"/>
        </w:rPr>
        <w:drawing>
          <wp:inline distT="0" distB="0" distL="0" distR="0">
            <wp:extent cx="5796915" cy="7448550"/>
            <wp:effectExtent l="19050" t="0" r="0" b="0"/>
            <wp:docPr id="1" name="图片 1" descr="信用中国截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信用中国截图"/>
                    <pic:cNvPicPr>
                      <a:picLocks noChangeAspect="1" noChangeArrowheads="1"/>
                    </pic:cNvPicPr>
                  </pic:nvPicPr>
                  <pic:blipFill>
                    <a:blip r:embed="rId7"/>
                    <a:srcRect/>
                    <a:stretch>
                      <a:fillRect/>
                    </a:stretch>
                  </pic:blipFill>
                  <pic:spPr>
                    <a:xfrm>
                      <a:off x="0" y="0"/>
                      <a:ext cx="5796915" cy="7448550"/>
                    </a:xfrm>
                    <a:prstGeom prst="rect">
                      <a:avLst/>
                    </a:prstGeom>
                    <a:noFill/>
                    <a:ln w="9525">
                      <a:noFill/>
                      <a:miter lim="800000"/>
                      <a:headEnd/>
                      <a:tailEnd/>
                    </a:ln>
                  </pic:spPr>
                </pic:pic>
              </a:graphicData>
            </a:graphic>
          </wp:inline>
        </w:drawing>
      </w:r>
    </w:p>
    <w:p w14:paraId="06F362B8">
      <w:pPr>
        <w:snapToGrid w:val="0"/>
        <w:spacing w:line="560" w:lineRule="exact"/>
        <w:jc w:val="center"/>
        <w:rPr>
          <w:rFonts w:ascii="宋体" w:hAnsi="宋体"/>
          <w:b/>
          <w:bCs/>
          <w:color w:val="000000"/>
          <w:szCs w:val="28"/>
        </w:rPr>
      </w:pPr>
    </w:p>
    <w:p w14:paraId="142E9417">
      <w:pPr>
        <w:snapToGrid w:val="0"/>
        <w:spacing w:line="560" w:lineRule="exact"/>
        <w:jc w:val="center"/>
        <w:rPr>
          <w:rFonts w:ascii="宋体" w:hAnsi="宋体"/>
          <w:b/>
          <w:bCs/>
          <w:color w:val="000000"/>
          <w:szCs w:val="28"/>
        </w:rPr>
      </w:pPr>
      <w:r>
        <w:drawing>
          <wp:anchor distT="0" distB="0" distL="114300" distR="114300" simplePos="0" relativeHeight="251659264" behindDoc="0" locked="0" layoutInCell="1" allowOverlap="1">
            <wp:simplePos x="0" y="0"/>
            <wp:positionH relativeFrom="column">
              <wp:posOffset>833755</wp:posOffset>
            </wp:positionH>
            <wp:positionV relativeFrom="paragraph">
              <wp:posOffset>90805</wp:posOffset>
            </wp:positionV>
            <wp:extent cx="4411980" cy="7866380"/>
            <wp:effectExtent l="19050" t="0" r="7620" b="0"/>
            <wp:wrapSquare wrapText="bothSides"/>
            <wp:docPr id="3" name="图片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84"/>
                    <pic:cNvPicPr>
                      <a:picLocks noChangeAspect="1" noChangeArrowheads="1"/>
                    </pic:cNvPicPr>
                  </pic:nvPicPr>
                  <pic:blipFill>
                    <a:blip r:embed="rId8"/>
                    <a:srcRect/>
                    <a:stretch>
                      <a:fillRect/>
                    </a:stretch>
                  </pic:blipFill>
                  <pic:spPr>
                    <a:xfrm>
                      <a:off x="0" y="0"/>
                      <a:ext cx="4411980" cy="7866380"/>
                    </a:xfrm>
                    <a:prstGeom prst="rect">
                      <a:avLst/>
                    </a:prstGeom>
                    <a:solidFill>
                      <a:srgbClr val="FFC000"/>
                    </a:solidFill>
                    <a:ln w="9525">
                      <a:noFill/>
                      <a:miter lim="800000"/>
                      <a:headEnd/>
                      <a:tailEnd/>
                    </a:ln>
                  </pic:spPr>
                </pic:pic>
              </a:graphicData>
            </a:graphic>
          </wp:anchor>
        </w:drawing>
      </w:r>
    </w:p>
    <w:p w14:paraId="76D580B1">
      <w:pPr>
        <w:snapToGrid w:val="0"/>
        <w:spacing w:line="560" w:lineRule="exact"/>
        <w:jc w:val="center"/>
        <w:rPr>
          <w:rFonts w:ascii="宋体" w:hAnsi="宋体"/>
          <w:b/>
          <w:bCs/>
          <w:color w:val="000000"/>
          <w:szCs w:val="28"/>
        </w:rPr>
      </w:pPr>
    </w:p>
    <w:p w14:paraId="3D020297">
      <w:pPr>
        <w:snapToGrid w:val="0"/>
        <w:spacing w:line="560" w:lineRule="exact"/>
        <w:jc w:val="center"/>
        <w:rPr>
          <w:rFonts w:ascii="宋体" w:hAnsi="宋体"/>
          <w:b/>
          <w:bCs/>
          <w:color w:val="000000"/>
          <w:szCs w:val="28"/>
        </w:rPr>
      </w:pPr>
    </w:p>
    <w:p w14:paraId="17F56D92">
      <w:pPr>
        <w:snapToGrid w:val="0"/>
        <w:spacing w:line="560" w:lineRule="exact"/>
        <w:jc w:val="center"/>
        <w:rPr>
          <w:rFonts w:ascii="宋体" w:hAnsi="宋体"/>
          <w:b/>
          <w:bCs/>
          <w:color w:val="000000"/>
          <w:szCs w:val="28"/>
        </w:rPr>
      </w:pPr>
    </w:p>
    <w:p w14:paraId="50FC796C">
      <w:pPr>
        <w:snapToGrid w:val="0"/>
        <w:spacing w:line="560" w:lineRule="exact"/>
        <w:jc w:val="center"/>
        <w:rPr>
          <w:rFonts w:ascii="宋体" w:hAnsi="宋体"/>
          <w:b/>
          <w:bCs/>
          <w:color w:val="000000"/>
          <w:szCs w:val="28"/>
        </w:rPr>
      </w:pPr>
    </w:p>
    <w:p w14:paraId="29761722">
      <w:pPr>
        <w:snapToGrid w:val="0"/>
        <w:spacing w:line="560" w:lineRule="exact"/>
        <w:jc w:val="center"/>
        <w:rPr>
          <w:rFonts w:ascii="宋体" w:hAnsi="宋体"/>
          <w:b/>
          <w:bCs/>
          <w:color w:val="000000"/>
          <w:szCs w:val="28"/>
        </w:rPr>
      </w:pPr>
    </w:p>
    <w:p w14:paraId="56B34335">
      <w:pPr>
        <w:snapToGrid w:val="0"/>
        <w:spacing w:line="560" w:lineRule="exact"/>
        <w:jc w:val="center"/>
        <w:rPr>
          <w:rFonts w:ascii="宋体" w:hAnsi="宋体"/>
          <w:b/>
          <w:bCs/>
          <w:color w:val="000000"/>
          <w:szCs w:val="28"/>
        </w:rPr>
      </w:pPr>
    </w:p>
    <w:p w14:paraId="635E9DC8">
      <w:pPr>
        <w:snapToGrid w:val="0"/>
        <w:spacing w:line="560" w:lineRule="exact"/>
        <w:jc w:val="center"/>
        <w:rPr>
          <w:rFonts w:ascii="宋体" w:hAnsi="宋体"/>
          <w:b/>
          <w:bCs/>
          <w:color w:val="000000"/>
          <w:szCs w:val="28"/>
        </w:rPr>
      </w:pPr>
    </w:p>
    <w:p w14:paraId="7410EBC7">
      <w:pPr>
        <w:snapToGrid w:val="0"/>
        <w:spacing w:line="560" w:lineRule="exact"/>
        <w:jc w:val="center"/>
        <w:rPr>
          <w:rFonts w:ascii="宋体" w:hAnsi="宋体"/>
          <w:b/>
          <w:bCs/>
          <w:color w:val="000000"/>
          <w:szCs w:val="28"/>
        </w:rPr>
      </w:pPr>
    </w:p>
    <w:p w14:paraId="20BF8C71">
      <w:pPr>
        <w:snapToGrid w:val="0"/>
        <w:spacing w:line="560" w:lineRule="exact"/>
        <w:jc w:val="center"/>
        <w:rPr>
          <w:rFonts w:ascii="宋体" w:hAnsi="宋体"/>
          <w:b/>
          <w:bCs/>
          <w:color w:val="000000"/>
          <w:szCs w:val="28"/>
        </w:rPr>
      </w:pPr>
    </w:p>
    <w:p w14:paraId="2D81BBE4">
      <w:pPr>
        <w:snapToGrid w:val="0"/>
        <w:spacing w:line="560" w:lineRule="exact"/>
        <w:jc w:val="center"/>
        <w:rPr>
          <w:rFonts w:ascii="宋体" w:hAnsi="宋体"/>
          <w:b/>
          <w:bCs/>
          <w:color w:val="000000"/>
          <w:szCs w:val="28"/>
        </w:rPr>
      </w:pPr>
    </w:p>
    <w:p w14:paraId="3B0ED306">
      <w:pPr>
        <w:snapToGrid w:val="0"/>
        <w:spacing w:line="560" w:lineRule="exact"/>
        <w:jc w:val="center"/>
        <w:rPr>
          <w:rFonts w:ascii="宋体" w:hAnsi="宋体"/>
          <w:b/>
          <w:bCs/>
          <w:color w:val="000000"/>
          <w:szCs w:val="28"/>
        </w:rPr>
      </w:pPr>
    </w:p>
    <w:p w14:paraId="548D8337">
      <w:pPr>
        <w:snapToGrid w:val="0"/>
        <w:spacing w:line="560" w:lineRule="exact"/>
        <w:jc w:val="center"/>
        <w:rPr>
          <w:rFonts w:ascii="宋体" w:hAnsi="宋体"/>
          <w:b/>
          <w:bCs/>
          <w:color w:val="000000"/>
          <w:szCs w:val="28"/>
        </w:rPr>
      </w:pPr>
      <w:r>
        <w:rPr>
          <w:rFonts w:ascii="宋体" w:hAnsi="宋体"/>
          <w:b/>
          <w:bCs/>
          <w:color w:val="000000"/>
          <w:szCs w:val="28"/>
        </w:rPr>
        <w:pict>
          <v:rect id="矩形 91" o:spid="_x0000_s1031" o:spt="1" style="position:absolute;left:0pt;margin-left:346.75pt;margin-top:14.25pt;height:70.75pt;width:7.15pt;z-index:251660288;mso-width-relative:page;mso-height-relative:page;" stroked="f" coordsize="21600,21600">
            <v:path/>
            <v:fill focussize="0,0"/>
            <v:stroke on="f"/>
            <v:imagedata o:title=""/>
            <o:lock v:ext="edit"/>
          </v:rect>
        </w:pict>
      </w:r>
    </w:p>
    <w:p w14:paraId="5FE77AE8">
      <w:pPr>
        <w:snapToGrid w:val="0"/>
        <w:spacing w:line="560" w:lineRule="exact"/>
        <w:jc w:val="center"/>
        <w:rPr>
          <w:rFonts w:ascii="宋体" w:hAnsi="宋体"/>
          <w:b/>
          <w:bCs/>
          <w:color w:val="000000"/>
          <w:szCs w:val="28"/>
        </w:rPr>
      </w:pPr>
    </w:p>
    <w:p w14:paraId="623F3E20">
      <w:pPr>
        <w:snapToGrid w:val="0"/>
        <w:spacing w:line="560" w:lineRule="exact"/>
        <w:jc w:val="center"/>
        <w:rPr>
          <w:rFonts w:ascii="宋体" w:hAnsi="宋体"/>
          <w:b/>
          <w:bCs/>
          <w:color w:val="000000"/>
          <w:szCs w:val="28"/>
        </w:rPr>
      </w:pPr>
    </w:p>
    <w:p w14:paraId="0592EBA4">
      <w:pPr>
        <w:snapToGrid w:val="0"/>
        <w:spacing w:line="560" w:lineRule="exact"/>
        <w:jc w:val="center"/>
        <w:rPr>
          <w:rFonts w:ascii="宋体" w:hAnsi="宋体"/>
          <w:b/>
          <w:bCs/>
          <w:color w:val="000000"/>
          <w:szCs w:val="28"/>
        </w:rPr>
      </w:pPr>
    </w:p>
    <w:p w14:paraId="2EAFE784">
      <w:pPr>
        <w:snapToGrid w:val="0"/>
        <w:spacing w:line="560" w:lineRule="exact"/>
        <w:jc w:val="center"/>
        <w:rPr>
          <w:rFonts w:ascii="宋体" w:hAnsi="宋体"/>
          <w:b/>
          <w:bCs/>
          <w:color w:val="000000"/>
          <w:szCs w:val="28"/>
        </w:rPr>
      </w:pPr>
    </w:p>
    <w:p w14:paraId="5E0E5279">
      <w:pPr>
        <w:snapToGrid w:val="0"/>
        <w:spacing w:line="560" w:lineRule="exact"/>
        <w:jc w:val="center"/>
        <w:rPr>
          <w:rFonts w:ascii="宋体" w:hAnsi="宋体"/>
          <w:b/>
          <w:bCs/>
          <w:color w:val="000000"/>
          <w:szCs w:val="28"/>
        </w:rPr>
      </w:pPr>
      <w:r>
        <w:rPr>
          <w:rFonts w:ascii="宋体" w:hAnsi="宋体"/>
          <w:b/>
          <w:bCs/>
          <w:color w:val="000000"/>
          <w:szCs w:val="28"/>
        </w:rPr>
        <w:pict>
          <v:rect id="矩形 90" o:spid="_x0000_s1030" o:spt="1" style="position:absolute;left:0pt;margin-left:244.7pt;margin-top:7.6pt;height:69.5pt;width:8.15pt;z-index:251660288;mso-width-relative:page;mso-height-relative:page;" stroked="f" coordsize="21600,21600">
            <v:path/>
            <v:fill focussize="0,0"/>
            <v:stroke on="f"/>
            <v:imagedata o:title=""/>
            <o:lock v:ext="edit"/>
          </v:rect>
        </w:pict>
      </w:r>
    </w:p>
    <w:p w14:paraId="2565084D">
      <w:pPr>
        <w:snapToGrid w:val="0"/>
        <w:spacing w:line="560" w:lineRule="exact"/>
        <w:jc w:val="center"/>
        <w:rPr>
          <w:rFonts w:ascii="宋体" w:hAnsi="宋体"/>
          <w:b/>
          <w:bCs/>
          <w:color w:val="000000"/>
          <w:szCs w:val="28"/>
        </w:rPr>
      </w:pPr>
    </w:p>
    <w:p w14:paraId="643AADF2">
      <w:pPr>
        <w:snapToGrid w:val="0"/>
        <w:spacing w:line="560" w:lineRule="exact"/>
        <w:jc w:val="center"/>
        <w:rPr>
          <w:rFonts w:ascii="宋体" w:hAnsi="宋体"/>
          <w:b/>
          <w:bCs/>
          <w:color w:val="000000"/>
          <w:szCs w:val="28"/>
        </w:rPr>
      </w:pPr>
    </w:p>
    <w:p w14:paraId="2EB6BF97">
      <w:pPr>
        <w:snapToGrid w:val="0"/>
        <w:spacing w:line="560" w:lineRule="exact"/>
        <w:jc w:val="center"/>
        <w:rPr>
          <w:rFonts w:ascii="宋体" w:hAnsi="宋体"/>
          <w:b/>
          <w:bCs/>
          <w:color w:val="000000"/>
          <w:szCs w:val="28"/>
        </w:rPr>
      </w:pPr>
    </w:p>
    <w:p w14:paraId="32160C5E">
      <w:pPr>
        <w:snapToGrid w:val="0"/>
        <w:spacing w:line="560" w:lineRule="exact"/>
        <w:jc w:val="center"/>
        <w:rPr>
          <w:rFonts w:ascii="宋体" w:hAnsi="宋体"/>
          <w:b/>
          <w:bCs/>
          <w:color w:val="000000"/>
          <w:szCs w:val="28"/>
        </w:rPr>
      </w:pPr>
    </w:p>
    <w:p w14:paraId="67A103D6">
      <w:pPr>
        <w:pStyle w:val="2"/>
        <w:ind w:firstLine="0" w:firstLineChars="0"/>
      </w:pPr>
    </w:p>
    <w:p w14:paraId="32CEC278">
      <w:pPr>
        <w:snapToGrid w:val="0"/>
        <w:spacing w:line="560" w:lineRule="exact"/>
        <w:jc w:val="center"/>
        <w:rPr>
          <w:rFonts w:ascii="宋体" w:hAnsi="宋体"/>
          <w:b/>
          <w:bCs/>
          <w:color w:val="000000"/>
          <w:szCs w:val="28"/>
        </w:rPr>
      </w:pPr>
      <w:r>
        <w:rPr>
          <w:rFonts w:hint="eastAsia" w:ascii="宋体" w:hAnsi="宋体"/>
          <w:b/>
          <w:bCs/>
          <w:color w:val="000000"/>
          <w:szCs w:val="28"/>
        </w:rPr>
        <w:t>全国认证认可信息公共服务平台网站截图模板（本项目不适用）</w:t>
      </w:r>
    </w:p>
    <w:p w14:paraId="4BCC4E39">
      <w:pPr>
        <w:snapToGrid w:val="0"/>
        <w:spacing w:line="560" w:lineRule="exact"/>
        <w:jc w:val="center"/>
        <w:rPr>
          <w:rFonts w:ascii="宋体" w:hAnsi="宋体"/>
          <w:b/>
          <w:bCs/>
          <w:color w:val="000000"/>
          <w:szCs w:val="28"/>
        </w:rPr>
      </w:pPr>
      <w:r>
        <w:rPr>
          <w:rFonts w:ascii="宋体" w:hAnsi="宋体"/>
          <w:b/>
          <w:bCs/>
          <w:color w:val="000000"/>
          <w:szCs w:val="28"/>
        </w:rPr>
        <w:t>（</w:t>
      </w:r>
      <w:r>
        <w:fldChar w:fldCharType="begin"/>
      </w:r>
      <w:r>
        <w:instrText xml:space="preserve"> HYPERLINK "http://cx.cnca.cn/CertECloud/index/index/page" </w:instrText>
      </w:r>
      <w:r>
        <w:fldChar w:fldCharType="separate"/>
      </w:r>
      <w:r>
        <w:rPr>
          <w:rStyle w:val="46"/>
          <w:rFonts w:ascii="宋体" w:hAnsi="宋体"/>
          <w:b/>
          <w:bCs/>
          <w:szCs w:val="28"/>
        </w:rPr>
        <w:t>http://cx.cnca.cn/CertECloud/index/index/page</w:t>
      </w:r>
      <w:r>
        <w:rPr>
          <w:rStyle w:val="46"/>
          <w:rFonts w:ascii="宋体" w:hAnsi="宋体"/>
          <w:b/>
          <w:bCs/>
          <w:szCs w:val="28"/>
        </w:rPr>
        <w:fldChar w:fldCharType="end"/>
      </w:r>
      <w:r>
        <w:rPr>
          <w:rFonts w:ascii="宋体" w:hAnsi="宋体"/>
          <w:b/>
          <w:bCs/>
          <w:color w:val="000000"/>
          <w:szCs w:val="28"/>
        </w:rPr>
        <w:t>）</w:t>
      </w:r>
    </w:p>
    <w:p w14:paraId="2906D999">
      <w:pPr>
        <w:jc w:val="center"/>
      </w:pPr>
    </w:p>
    <w:p w14:paraId="4753FFD6">
      <w:pPr>
        <w:pStyle w:val="2"/>
        <w:ind w:firstLine="240"/>
      </w:pPr>
      <w:r>
        <w:rPr>
          <w:rFonts w:hint="eastAsia"/>
        </w:rPr>
        <w:drawing>
          <wp:inline distT="0" distB="0" distL="0" distR="0">
            <wp:extent cx="4980305" cy="7013575"/>
            <wp:effectExtent l="1905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9"/>
                    <a:srcRect/>
                    <a:stretch>
                      <a:fillRect/>
                    </a:stretch>
                  </pic:blipFill>
                  <pic:spPr>
                    <a:xfrm>
                      <a:off x="0" y="0"/>
                      <a:ext cx="4980305" cy="7013575"/>
                    </a:xfrm>
                    <a:prstGeom prst="rect">
                      <a:avLst/>
                    </a:prstGeom>
                    <a:noFill/>
                    <a:ln w="9525">
                      <a:noFill/>
                      <a:miter lim="800000"/>
                      <a:headEnd/>
                      <a:tailEnd/>
                    </a:ln>
                  </pic:spPr>
                </pic:pic>
              </a:graphicData>
            </a:graphic>
          </wp:inline>
        </w:drawing>
      </w:r>
    </w:p>
    <w:p w14:paraId="01246EE4">
      <w:pPr>
        <w:rPr>
          <w:rFonts w:ascii="仿宋" w:hAnsi="仿宋" w:eastAsia="仿宋" w:cs="仿宋"/>
          <w:b/>
          <w:bCs/>
          <w:sz w:val="30"/>
          <w:szCs w:val="30"/>
        </w:rPr>
      </w:pPr>
    </w:p>
    <w:p w14:paraId="68C0C4C3">
      <w:pPr>
        <w:rPr>
          <w:rFonts w:ascii="仿宋" w:hAnsi="仿宋" w:eastAsia="仿宋" w:cs="仿宋"/>
          <w:b/>
          <w:bCs/>
          <w:sz w:val="30"/>
          <w:szCs w:val="30"/>
        </w:rPr>
      </w:pPr>
      <w:r>
        <w:rPr>
          <w:rFonts w:hint="eastAsia" w:ascii="仿宋" w:hAnsi="仿宋" w:eastAsia="仿宋" w:cs="仿宋"/>
          <w:b/>
          <w:bCs/>
          <w:sz w:val="30"/>
          <w:szCs w:val="30"/>
        </w:rPr>
        <w:t>质疑函附件</w:t>
      </w:r>
    </w:p>
    <w:p w14:paraId="2443D506">
      <w:pPr>
        <w:jc w:val="center"/>
        <w:rPr>
          <w:rFonts w:ascii="仿宋" w:hAnsi="仿宋" w:eastAsia="仿宋" w:cs="仿宋"/>
          <w:b/>
          <w:bCs/>
          <w:sz w:val="36"/>
          <w:szCs w:val="36"/>
        </w:rPr>
      </w:pPr>
      <w:r>
        <w:rPr>
          <w:rFonts w:hint="eastAsia" w:ascii="仿宋" w:hAnsi="仿宋" w:eastAsia="仿宋" w:cs="仿宋"/>
          <w:b/>
          <w:bCs/>
          <w:sz w:val="36"/>
          <w:szCs w:val="36"/>
        </w:rPr>
        <w:t>质疑函范本</w:t>
      </w:r>
    </w:p>
    <w:p w14:paraId="1265B5DF">
      <w:pPr>
        <w:adjustRightInd w:val="0"/>
        <w:snapToGrid w:val="0"/>
        <w:spacing w:beforeLines="100" w:line="360" w:lineRule="auto"/>
        <w:rPr>
          <w:rFonts w:ascii="黑体" w:hAnsi="黑体" w:eastAsia="黑体" w:cs="仿宋"/>
          <w:bCs/>
          <w:sz w:val="28"/>
          <w:szCs w:val="28"/>
        </w:rPr>
      </w:pPr>
      <w:r>
        <w:rPr>
          <w:rFonts w:hint="eastAsia" w:ascii="黑体" w:hAnsi="黑体" w:eastAsia="黑体" w:cs="仿宋"/>
          <w:bCs/>
          <w:sz w:val="28"/>
          <w:szCs w:val="28"/>
        </w:rPr>
        <w:t>一、质疑供应商基本信息</w:t>
      </w:r>
    </w:p>
    <w:p w14:paraId="7C4A0B79">
      <w:pPr>
        <w:adjustRightInd w:val="0"/>
        <w:snapToGrid w:val="0"/>
        <w:spacing w:line="360" w:lineRule="auto"/>
        <w:rPr>
          <w:rFonts w:ascii="仿宋" w:hAnsi="仿宋" w:eastAsia="仿宋" w:cs="仿宋"/>
          <w:sz w:val="28"/>
          <w:szCs w:val="28"/>
          <w:u w:val="dotted"/>
        </w:rPr>
      </w:pPr>
      <w:r>
        <w:rPr>
          <w:rFonts w:hint="eastAsia" w:ascii="仿宋" w:hAnsi="仿宋" w:eastAsia="仿宋" w:cs="仿宋"/>
          <w:sz w:val="28"/>
          <w:szCs w:val="28"/>
        </w:rPr>
        <w:t>质疑供应商：</w:t>
      </w:r>
      <w:r>
        <w:rPr>
          <w:rFonts w:hint="eastAsia" w:ascii="仿宋" w:hAnsi="仿宋" w:eastAsia="仿宋" w:cs="仿宋"/>
          <w:sz w:val="28"/>
          <w:szCs w:val="28"/>
          <w:u w:val="dotted"/>
        </w:rPr>
        <w:t xml:space="preserve">                                        </w:t>
      </w:r>
    </w:p>
    <w:p w14:paraId="22C478BC">
      <w:pPr>
        <w:adjustRightInd w:val="0"/>
        <w:snapToGrid w:val="0"/>
        <w:spacing w:line="360" w:lineRule="auto"/>
        <w:rPr>
          <w:rFonts w:ascii="仿宋" w:hAnsi="仿宋" w:eastAsia="仿宋" w:cs="仿宋"/>
          <w:sz w:val="28"/>
          <w:szCs w:val="28"/>
        </w:rPr>
      </w:pPr>
      <w:r>
        <w:rPr>
          <w:rFonts w:hint="eastAsia" w:ascii="仿宋" w:hAnsi="仿宋" w:eastAsia="仿宋" w:cs="仿宋"/>
          <w:sz w:val="28"/>
          <w:szCs w:val="28"/>
        </w:rPr>
        <w:t>地址：</w:t>
      </w:r>
      <w:r>
        <w:rPr>
          <w:rFonts w:hint="eastAsia" w:ascii="仿宋" w:hAnsi="仿宋" w:eastAsia="仿宋" w:cs="仿宋"/>
          <w:sz w:val="28"/>
          <w:szCs w:val="28"/>
          <w:u w:val="dotted"/>
        </w:rPr>
        <w:t xml:space="preserve">                          </w:t>
      </w:r>
      <w:r>
        <w:rPr>
          <w:rFonts w:hint="eastAsia" w:ascii="仿宋" w:hAnsi="仿宋" w:eastAsia="仿宋" w:cs="仿宋"/>
          <w:sz w:val="28"/>
          <w:szCs w:val="28"/>
        </w:rPr>
        <w:t>邮编：</w:t>
      </w:r>
      <w:r>
        <w:rPr>
          <w:rFonts w:hint="eastAsia" w:ascii="仿宋" w:hAnsi="仿宋" w:eastAsia="仿宋" w:cs="仿宋"/>
          <w:sz w:val="28"/>
          <w:szCs w:val="28"/>
          <w:u w:val="dotted"/>
        </w:rPr>
        <w:t xml:space="preserve">                                                   </w:t>
      </w:r>
    </w:p>
    <w:p w14:paraId="45BF0C20">
      <w:pPr>
        <w:adjustRightInd w:val="0"/>
        <w:snapToGrid w:val="0"/>
        <w:spacing w:line="360" w:lineRule="auto"/>
        <w:rPr>
          <w:rFonts w:ascii="仿宋" w:hAnsi="仿宋" w:eastAsia="仿宋" w:cs="仿宋"/>
          <w:sz w:val="28"/>
          <w:szCs w:val="28"/>
        </w:rPr>
      </w:pPr>
      <w:r>
        <w:rPr>
          <w:rFonts w:hint="eastAsia" w:ascii="仿宋" w:hAnsi="仿宋" w:eastAsia="仿宋" w:cs="仿宋"/>
          <w:sz w:val="28"/>
          <w:szCs w:val="28"/>
        </w:rPr>
        <w:t>联系人：</w:t>
      </w:r>
      <w:r>
        <w:rPr>
          <w:rFonts w:hint="eastAsia" w:ascii="仿宋" w:hAnsi="仿宋" w:eastAsia="仿宋" w:cs="仿宋"/>
          <w:sz w:val="28"/>
          <w:szCs w:val="28"/>
          <w:u w:val="dotted"/>
        </w:rPr>
        <w:t xml:space="preserve">                      </w:t>
      </w:r>
      <w:r>
        <w:rPr>
          <w:rFonts w:hint="eastAsia" w:ascii="仿宋" w:hAnsi="仿宋" w:eastAsia="仿宋" w:cs="仿宋"/>
          <w:sz w:val="28"/>
          <w:szCs w:val="28"/>
        </w:rPr>
        <w:t>联系电话：</w:t>
      </w:r>
      <w:r>
        <w:rPr>
          <w:rFonts w:hint="eastAsia" w:ascii="仿宋" w:hAnsi="仿宋" w:eastAsia="仿宋" w:cs="仿宋"/>
          <w:sz w:val="28"/>
          <w:szCs w:val="28"/>
          <w:u w:val="dotted"/>
        </w:rPr>
        <w:t xml:space="preserve">                              </w:t>
      </w:r>
    </w:p>
    <w:p w14:paraId="7EE359CD">
      <w:pPr>
        <w:adjustRightInd w:val="0"/>
        <w:snapToGrid w:val="0"/>
        <w:spacing w:line="360" w:lineRule="auto"/>
        <w:rPr>
          <w:rFonts w:ascii="仿宋" w:hAnsi="仿宋" w:eastAsia="仿宋" w:cs="仿宋"/>
          <w:sz w:val="28"/>
          <w:szCs w:val="28"/>
          <w:u w:val="dotted"/>
        </w:rPr>
      </w:pPr>
      <w:r>
        <w:rPr>
          <w:rFonts w:hint="eastAsia" w:ascii="仿宋" w:hAnsi="仿宋" w:eastAsia="仿宋" w:cs="仿宋"/>
          <w:sz w:val="28"/>
          <w:szCs w:val="28"/>
        </w:rPr>
        <w:t>授权代表：</w:t>
      </w:r>
      <w:r>
        <w:rPr>
          <w:rFonts w:hint="eastAsia" w:ascii="仿宋" w:hAnsi="仿宋" w:eastAsia="仿宋" w:cs="仿宋"/>
          <w:sz w:val="28"/>
          <w:szCs w:val="28"/>
          <w:u w:val="dotted"/>
        </w:rPr>
        <w:t xml:space="preserve">                                          </w:t>
      </w:r>
    </w:p>
    <w:p w14:paraId="43469756">
      <w:pPr>
        <w:adjustRightInd w:val="0"/>
        <w:snapToGrid w:val="0"/>
        <w:spacing w:line="360" w:lineRule="auto"/>
        <w:rPr>
          <w:rFonts w:ascii="仿宋" w:hAnsi="仿宋" w:eastAsia="仿宋" w:cs="仿宋"/>
          <w:sz w:val="28"/>
          <w:szCs w:val="28"/>
        </w:rPr>
      </w:pPr>
      <w:r>
        <w:rPr>
          <w:rFonts w:hint="eastAsia" w:ascii="仿宋" w:hAnsi="仿宋" w:eastAsia="仿宋" w:cs="仿宋"/>
          <w:sz w:val="28"/>
          <w:szCs w:val="28"/>
        </w:rPr>
        <w:t>联系电话：</w:t>
      </w:r>
      <w:r>
        <w:rPr>
          <w:rFonts w:hint="eastAsia" w:ascii="仿宋" w:hAnsi="仿宋" w:eastAsia="仿宋" w:cs="仿宋"/>
          <w:sz w:val="28"/>
          <w:szCs w:val="28"/>
          <w:u w:val="dotted"/>
        </w:rPr>
        <w:t xml:space="preserve">                                           </w:t>
      </w:r>
      <w:r>
        <w:rPr>
          <w:rFonts w:ascii="仿宋" w:hAnsi="仿宋" w:eastAsia="仿宋" w:cs="仿宋"/>
          <w:sz w:val="28"/>
          <w:szCs w:val="28"/>
        </w:rPr>
        <w:t xml:space="preserve"> </w:t>
      </w:r>
    </w:p>
    <w:p w14:paraId="6D29800C">
      <w:pPr>
        <w:adjustRightInd w:val="0"/>
        <w:snapToGrid w:val="0"/>
        <w:spacing w:line="360" w:lineRule="auto"/>
        <w:rPr>
          <w:rFonts w:ascii="仿宋" w:hAnsi="仿宋" w:eastAsia="仿宋" w:cs="仿宋"/>
          <w:sz w:val="28"/>
          <w:szCs w:val="28"/>
        </w:rPr>
      </w:pPr>
      <w:r>
        <w:rPr>
          <w:rFonts w:hint="eastAsia" w:ascii="仿宋" w:hAnsi="仿宋" w:eastAsia="仿宋" w:cs="仿宋"/>
          <w:sz w:val="28"/>
          <w:szCs w:val="28"/>
        </w:rPr>
        <w:t>地址：</w:t>
      </w:r>
      <w:r>
        <w:rPr>
          <w:rFonts w:ascii="仿宋" w:hAnsi="仿宋" w:eastAsia="仿宋" w:cs="仿宋"/>
          <w:sz w:val="28"/>
          <w:szCs w:val="28"/>
        </w:rPr>
        <w:t xml:space="preserve"> </w:t>
      </w:r>
      <w:r>
        <w:rPr>
          <w:rFonts w:hint="eastAsia" w:ascii="仿宋" w:hAnsi="仿宋" w:eastAsia="仿宋" w:cs="仿宋"/>
          <w:sz w:val="28"/>
          <w:szCs w:val="28"/>
          <w:u w:val="dotted"/>
        </w:rPr>
        <w:t xml:space="preserve">                        </w:t>
      </w:r>
      <w:r>
        <w:rPr>
          <w:rFonts w:hint="eastAsia" w:ascii="仿宋" w:hAnsi="仿宋" w:eastAsia="仿宋" w:cs="仿宋"/>
          <w:sz w:val="28"/>
          <w:szCs w:val="28"/>
        </w:rPr>
        <w:t>邮编：</w:t>
      </w:r>
      <w:r>
        <w:rPr>
          <w:rFonts w:hint="eastAsia" w:ascii="仿宋" w:hAnsi="仿宋" w:eastAsia="仿宋" w:cs="仿宋"/>
          <w:sz w:val="28"/>
          <w:szCs w:val="28"/>
          <w:u w:val="dotted"/>
        </w:rPr>
        <w:t xml:space="preserve">                                                </w:t>
      </w:r>
    </w:p>
    <w:p w14:paraId="3290306D">
      <w:pPr>
        <w:adjustRightInd w:val="0"/>
        <w:snapToGrid w:val="0"/>
        <w:spacing w:line="360" w:lineRule="auto"/>
        <w:rPr>
          <w:rFonts w:ascii="黑体" w:hAnsi="黑体" w:eastAsia="黑体" w:cs="仿宋"/>
          <w:bCs/>
          <w:sz w:val="28"/>
          <w:szCs w:val="28"/>
        </w:rPr>
      </w:pPr>
      <w:r>
        <w:rPr>
          <w:rFonts w:hint="eastAsia" w:ascii="黑体" w:hAnsi="黑体" w:eastAsia="黑体" w:cs="仿宋"/>
          <w:bCs/>
          <w:sz w:val="28"/>
          <w:szCs w:val="28"/>
        </w:rPr>
        <w:t>二、质疑项目基本情况</w:t>
      </w:r>
    </w:p>
    <w:p w14:paraId="224F0019">
      <w:pPr>
        <w:adjustRightInd w:val="0"/>
        <w:snapToGrid w:val="0"/>
        <w:spacing w:line="360" w:lineRule="auto"/>
        <w:rPr>
          <w:rFonts w:ascii="仿宋" w:hAnsi="仿宋" w:eastAsia="仿宋" w:cs="仿宋"/>
          <w:sz w:val="28"/>
          <w:szCs w:val="28"/>
        </w:rPr>
      </w:pPr>
      <w:r>
        <w:rPr>
          <w:rFonts w:hint="eastAsia" w:ascii="仿宋" w:hAnsi="仿宋" w:eastAsia="仿宋" w:cs="仿宋"/>
          <w:sz w:val="28"/>
          <w:szCs w:val="28"/>
        </w:rPr>
        <w:t>质疑项目的名称：</w:t>
      </w:r>
      <w:r>
        <w:rPr>
          <w:rFonts w:hint="eastAsia" w:ascii="仿宋" w:hAnsi="仿宋" w:eastAsia="仿宋" w:cs="仿宋"/>
          <w:sz w:val="28"/>
          <w:szCs w:val="28"/>
          <w:u w:val="dotted"/>
        </w:rPr>
        <w:t xml:space="preserve">                                      </w:t>
      </w:r>
    </w:p>
    <w:p w14:paraId="0351FAE3">
      <w:pPr>
        <w:adjustRightInd w:val="0"/>
        <w:snapToGrid w:val="0"/>
        <w:spacing w:line="360" w:lineRule="auto"/>
        <w:rPr>
          <w:rFonts w:ascii="仿宋" w:hAnsi="仿宋" w:eastAsia="仿宋" w:cs="仿宋"/>
          <w:sz w:val="28"/>
          <w:szCs w:val="28"/>
        </w:rPr>
      </w:pPr>
      <w:r>
        <w:rPr>
          <w:rFonts w:hint="eastAsia" w:ascii="仿宋" w:hAnsi="仿宋" w:eastAsia="仿宋" w:cs="仿宋"/>
          <w:sz w:val="28"/>
          <w:szCs w:val="28"/>
        </w:rPr>
        <w:t>质疑项目的编号：</w:t>
      </w:r>
      <w:r>
        <w:rPr>
          <w:rFonts w:hint="eastAsia" w:ascii="仿宋" w:hAnsi="仿宋" w:eastAsia="仿宋" w:cs="仿宋"/>
          <w:sz w:val="28"/>
          <w:szCs w:val="28"/>
          <w:u w:val="dotted"/>
        </w:rPr>
        <w:t xml:space="preserve">               </w:t>
      </w:r>
      <w:r>
        <w:rPr>
          <w:rFonts w:hint="eastAsia" w:ascii="仿宋" w:hAnsi="仿宋" w:eastAsia="仿宋" w:cs="仿宋"/>
          <w:sz w:val="28"/>
          <w:szCs w:val="28"/>
        </w:rPr>
        <w:t>包号：</w:t>
      </w:r>
      <w:r>
        <w:rPr>
          <w:rFonts w:hint="eastAsia" w:ascii="仿宋" w:hAnsi="仿宋" w:eastAsia="仿宋" w:cs="仿宋"/>
          <w:sz w:val="28"/>
          <w:szCs w:val="28"/>
          <w:u w:val="dotted"/>
        </w:rPr>
        <w:t xml:space="preserve">                 </w:t>
      </w:r>
    </w:p>
    <w:p w14:paraId="0C7ED5E9">
      <w:pPr>
        <w:adjustRightInd w:val="0"/>
        <w:snapToGrid w:val="0"/>
        <w:spacing w:line="360" w:lineRule="auto"/>
        <w:rPr>
          <w:rFonts w:ascii="仿宋" w:hAnsi="仿宋" w:eastAsia="仿宋" w:cs="仿宋"/>
          <w:sz w:val="28"/>
          <w:szCs w:val="28"/>
          <w:u w:val="dotted"/>
        </w:rPr>
      </w:pPr>
      <w:r>
        <w:rPr>
          <w:rFonts w:hint="eastAsia" w:ascii="仿宋" w:hAnsi="仿宋" w:eastAsia="仿宋" w:cs="仿宋"/>
          <w:sz w:val="28"/>
          <w:szCs w:val="28"/>
        </w:rPr>
        <w:t>采购人名称：</w:t>
      </w:r>
      <w:r>
        <w:rPr>
          <w:rFonts w:hint="eastAsia" w:ascii="仿宋" w:hAnsi="仿宋" w:eastAsia="仿宋" w:cs="仿宋"/>
          <w:sz w:val="28"/>
          <w:szCs w:val="28"/>
          <w:u w:val="dotted"/>
        </w:rPr>
        <w:t xml:space="preserve">                                         </w:t>
      </w:r>
    </w:p>
    <w:p w14:paraId="4299B12C">
      <w:pPr>
        <w:adjustRightInd w:val="0"/>
        <w:snapToGrid w:val="0"/>
        <w:spacing w:line="360" w:lineRule="auto"/>
        <w:rPr>
          <w:rFonts w:ascii="仿宋" w:hAnsi="仿宋" w:eastAsia="仿宋" w:cs="仿宋"/>
          <w:sz w:val="28"/>
          <w:szCs w:val="28"/>
        </w:rPr>
      </w:pPr>
      <w:r>
        <w:rPr>
          <w:rFonts w:hint="eastAsia" w:ascii="仿宋" w:hAnsi="仿宋" w:eastAsia="仿宋" w:cs="仿宋"/>
          <w:sz w:val="28"/>
          <w:szCs w:val="28"/>
        </w:rPr>
        <w:t>采购文件获取日期：</w:t>
      </w:r>
      <w:r>
        <w:rPr>
          <w:rFonts w:hint="eastAsia" w:ascii="仿宋" w:hAnsi="仿宋" w:eastAsia="仿宋" w:cs="仿宋"/>
          <w:sz w:val="28"/>
          <w:szCs w:val="28"/>
          <w:u w:val="dotted"/>
        </w:rPr>
        <w:t xml:space="preserve">                                           </w:t>
      </w:r>
    </w:p>
    <w:p w14:paraId="1CE9D7A6">
      <w:pPr>
        <w:adjustRightInd w:val="0"/>
        <w:snapToGrid w:val="0"/>
        <w:spacing w:line="360" w:lineRule="auto"/>
        <w:rPr>
          <w:rFonts w:ascii="黑体" w:hAnsi="黑体" w:eastAsia="黑体" w:cs="仿宋"/>
          <w:bCs/>
          <w:sz w:val="28"/>
          <w:szCs w:val="28"/>
        </w:rPr>
      </w:pPr>
      <w:r>
        <w:rPr>
          <w:rFonts w:hint="eastAsia" w:ascii="黑体" w:hAnsi="黑体" w:eastAsia="黑体" w:cs="仿宋"/>
          <w:bCs/>
          <w:sz w:val="28"/>
          <w:szCs w:val="28"/>
        </w:rPr>
        <w:t>三、质疑事项具体内容</w:t>
      </w:r>
    </w:p>
    <w:p w14:paraId="0BCAEE54">
      <w:pPr>
        <w:adjustRightInd w:val="0"/>
        <w:snapToGrid w:val="0"/>
        <w:spacing w:line="360" w:lineRule="auto"/>
        <w:rPr>
          <w:rFonts w:ascii="仿宋" w:hAnsi="仿宋" w:eastAsia="仿宋" w:cs="仿宋"/>
          <w:sz w:val="28"/>
          <w:szCs w:val="28"/>
          <w:u w:val="dotted"/>
        </w:rPr>
      </w:pPr>
      <w:r>
        <w:rPr>
          <w:rFonts w:hint="eastAsia" w:ascii="仿宋" w:hAnsi="仿宋" w:eastAsia="仿宋" w:cs="仿宋"/>
          <w:sz w:val="28"/>
          <w:szCs w:val="28"/>
        </w:rPr>
        <w:t>质疑事项1：</w:t>
      </w:r>
      <w:r>
        <w:rPr>
          <w:rFonts w:hint="eastAsia" w:ascii="仿宋" w:hAnsi="仿宋" w:eastAsia="仿宋" w:cs="仿宋"/>
          <w:sz w:val="28"/>
          <w:szCs w:val="28"/>
          <w:u w:val="dotted"/>
        </w:rPr>
        <w:t xml:space="preserve">                                         </w:t>
      </w:r>
    </w:p>
    <w:p w14:paraId="3482A985">
      <w:pPr>
        <w:adjustRightInd w:val="0"/>
        <w:snapToGrid w:val="0"/>
        <w:spacing w:line="360" w:lineRule="auto"/>
        <w:rPr>
          <w:rFonts w:ascii="仿宋" w:hAnsi="仿宋" w:eastAsia="仿宋" w:cs="仿宋"/>
          <w:sz w:val="28"/>
          <w:szCs w:val="28"/>
          <w:u w:val="dotted"/>
        </w:rPr>
      </w:pPr>
      <w:r>
        <w:rPr>
          <w:rFonts w:hint="eastAsia" w:ascii="仿宋" w:hAnsi="仿宋" w:eastAsia="仿宋" w:cs="仿宋"/>
          <w:sz w:val="28"/>
          <w:szCs w:val="28"/>
        </w:rPr>
        <w:t>事实依据：</w:t>
      </w:r>
      <w:r>
        <w:rPr>
          <w:rFonts w:hint="eastAsia" w:ascii="仿宋" w:hAnsi="仿宋" w:eastAsia="仿宋" w:cs="仿宋"/>
          <w:sz w:val="28"/>
          <w:szCs w:val="28"/>
          <w:u w:val="dotted"/>
        </w:rPr>
        <w:t xml:space="preserve">                                          </w:t>
      </w:r>
    </w:p>
    <w:p w14:paraId="5E343026">
      <w:pPr>
        <w:adjustRightInd w:val="0"/>
        <w:snapToGrid w:val="0"/>
        <w:spacing w:line="360" w:lineRule="auto"/>
        <w:rPr>
          <w:rFonts w:ascii="仿宋" w:hAnsi="仿宋" w:eastAsia="仿宋" w:cs="仿宋"/>
          <w:sz w:val="28"/>
          <w:szCs w:val="28"/>
        </w:rPr>
      </w:pPr>
      <w:r>
        <w:rPr>
          <w:rFonts w:hint="eastAsia" w:ascii="仿宋" w:hAnsi="仿宋" w:eastAsia="仿宋" w:cs="仿宋"/>
          <w:sz w:val="28"/>
          <w:szCs w:val="28"/>
          <w:u w:val="dotted"/>
        </w:rPr>
        <w:t xml:space="preserve">                                                       </w:t>
      </w:r>
    </w:p>
    <w:p w14:paraId="69D669A5">
      <w:pPr>
        <w:adjustRightInd w:val="0"/>
        <w:snapToGrid w:val="0"/>
        <w:spacing w:line="360" w:lineRule="auto"/>
        <w:rPr>
          <w:rFonts w:ascii="仿宋" w:hAnsi="仿宋" w:eastAsia="仿宋" w:cs="仿宋"/>
          <w:sz w:val="28"/>
          <w:szCs w:val="28"/>
          <w:u w:val="dotted"/>
        </w:rPr>
      </w:pPr>
      <w:r>
        <w:rPr>
          <w:rFonts w:hint="eastAsia" w:ascii="仿宋" w:hAnsi="仿宋" w:eastAsia="仿宋" w:cs="仿宋"/>
          <w:sz w:val="28"/>
          <w:szCs w:val="28"/>
        </w:rPr>
        <w:t>法律依据：</w:t>
      </w:r>
      <w:r>
        <w:rPr>
          <w:rFonts w:hint="eastAsia" w:ascii="仿宋" w:hAnsi="仿宋" w:eastAsia="仿宋" w:cs="仿宋"/>
          <w:sz w:val="28"/>
          <w:szCs w:val="28"/>
          <w:u w:val="dotted"/>
        </w:rPr>
        <w:t xml:space="preserve">                                          </w:t>
      </w:r>
    </w:p>
    <w:p w14:paraId="094980D1">
      <w:pPr>
        <w:adjustRightInd w:val="0"/>
        <w:snapToGrid w:val="0"/>
        <w:spacing w:line="360" w:lineRule="auto"/>
        <w:rPr>
          <w:rFonts w:ascii="仿宋" w:hAnsi="仿宋" w:eastAsia="仿宋" w:cs="仿宋"/>
          <w:sz w:val="28"/>
          <w:szCs w:val="28"/>
          <w:u w:val="dotted"/>
        </w:rPr>
      </w:pPr>
      <w:r>
        <w:rPr>
          <w:rFonts w:hint="eastAsia" w:ascii="仿宋" w:hAnsi="仿宋" w:eastAsia="仿宋" w:cs="仿宋"/>
          <w:sz w:val="28"/>
          <w:szCs w:val="28"/>
          <w:u w:val="dotted"/>
        </w:rPr>
        <w:t xml:space="preserve">                                                     </w:t>
      </w:r>
    </w:p>
    <w:p w14:paraId="42E42A83">
      <w:pPr>
        <w:adjustRightInd w:val="0"/>
        <w:snapToGrid w:val="0"/>
        <w:spacing w:line="360" w:lineRule="auto"/>
        <w:rPr>
          <w:rFonts w:ascii="仿宋" w:hAnsi="仿宋" w:eastAsia="仿宋" w:cs="仿宋"/>
          <w:sz w:val="28"/>
          <w:szCs w:val="28"/>
          <w:u w:val="dotted"/>
        </w:rPr>
      </w:pPr>
      <w:r>
        <w:rPr>
          <w:rFonts w:hint="eastAsia" w:ascii="仿宋" w:hAnsi="仿宋" w:eastAsia="仿宋" w:cs="仿宋"/>
          <w:sz w:val="28"/>
          <w:szCs w:val="28"/>
        </w:rPr>
        <w:t>质疑事项2</w:t>
      </w:r>
    </w:p>
    <w:p w14:paraId="3CF66001">
      <w:pPr>
        <w:adjustRightInd w:val="0"/>
        <w:snapToGrid w:val="0"/>
        <w:spacing w:line="360" w:lineRule="auto"/>
        <w:rPr>
          <w:rFonts w:ascii="仿宋" w:hAnsi="仿宋" w:eastAsia="仿宋" w:cs="仿宋"/>
          <w:sz w:val="28"/>
          <w:szCs w:val="28"/>
        </w:rPr>
      </w:pPr>
      <w:r>
        <w:rPr>
          <w:rFonts w:hint="eastAsia" w:ascii="仿宋" w:hAnsi="仿宋" w:eastAsia="仿宋" w:cs="仿宋"/>
          <w:sz w:val="28"/>
          <w:szCs w:val="28"/>
        </w:rPr>
        <w:t>……</w:t>
      </w:r>
    </w:p>
    <w:p w14:paraId="2B1947E4">
      <w:pPr>
        <w:adjustRightInd w:val="0"/>
        <w:snapToGrid w:val="0"/>
        <w:spacing w:line="360" w:lineRule="auto"/>
        <w:rPr>
          <w:rFonts w:ascii="黑体" w:hAnsi="黑体" w:eastAsia="黑体" w:cs="仿宋"/>
          <w:bCs/>
          <w:sz w:val="28"/>
          <w:szCs w:val="28"/>
        </w:rPr>
      </w:pPr>
      <w:r>
        <w:rPr>
          <w:rFonts w:hint="eastAsia" w:ascii="黑体" w:hAnsi="黑体" w:eastAsia="黑体" w:cs="仿宋"/>
          <w:bCs/>
          <w:sz w:val="28"/>
          <w:szCs w:val="28"/>
        </w:rPr>
        <w:t>四、与质疑事项相关的质疑请求</w:t>
      </w:r>
    </w:p>
    <w:p w14:paraId="3604A41D">
      <w:pPr>
        <w:adjustRightInd w:val="0"/>
        <w:snapToGrid w:val="0"/>
        <w:spacing w:line="360" w:lineRule="auto"/>
        <w:rPr>
          <w:rFonts w:ascii="仿宋" w:hAnsi="仿宋" w:eastAsia="仿宋" w:cs="仿宋"/>
          <w:sz w:val="28"/>
          <w:szCs w:val="28"/>
          <w:u w:val="dotted"/>
        </w:rPr>
      </w:pPr>
      <w:r>
        <w:rPr>
          <w:rFonts w:hint="eastAsia" w:ascii="仿宋" w:hAnsi="仿宋" w:eastAsia="仿宋" w:cs="仿宋"/>
          <w:sz w:val="28"/>
          <w:szCs w:val="28"/>
        </w:rPr>
        <w:t>请求：</w:t>
      </w:r>
      <w:r>
        <w:rPr>
          <w:rFonts w:hint="eastAsia" w:ascii="仿宋" w:hAnsi="仿宋" w:eastAsia="仿宋" w:cs="仿宋"/>
          <w:sz w:val="28"/>
          <w:szCs w:val="28"/>
          <w:u w:val="dotted"/>
        </w:rPr>
        <w:t xml:space="preserve">                                               </w:t>
      </w:r>
    </w:p>
    <w:p w14:paraId="1044ECA6">
      <w:pPr>
        <w:rPr>
          <w:rFonts w:ascii="仿宋_GB2312" w:eastAsia="仿宋_GB2312"/>
          <w:sz w:val="28"/>
          <w:szCs w:val="28"/>
        </w:rPr>
      </w:pPr>
      <w:r>
        <w:rPr>
          <w:rFonts w:hint="eastAsia" w:ascii="仿宋_GB2312" w:eastAsia="仿宋_GB2312"/>
          <w:sz w:val="28"/>
          <w:szCs w:val="28"/>
        </w:rPr>
        <w:t xml:space="preserve">签字(签章)：                   公章：                      </w:t>
      </w:r>
    </w:p>
    <w:p w14:paraId="37DC5261">
      <w:pPr>
        <w:rPr>
          <w:rFonts w:ascii="仿宋_GB2312" w:eastAsia="仿宋_GB2312"/>
          <w:sz w:val="28"/>
          <w:szCs w:val="28"/>
        </w:rPr>
      </w:pPr>
      <w:r>
        <w:rPr>
          <w:rFonts w:hint="eastAsia" w:ascii="仿宋_GB2312" w:eastAsia="仿宋_GB2312"/>
          <w:sz w:val="28"/>
          <w:szCs w:val="28"/>
        </w:rPr>
        <w:t xml:space="preserve">日期：    </w:t>
      </w:r>
    </w:p>
    <w:p w14:paraId="6C933E60">
      <w:pPr>
        <w:rPr>
          <w:rFonts w:ascii="黑体" w:hAnsi="黑体" w:eastAsia="黑体"/>
          <w:b/>
          <w:sz w:val="28"/>
          <w:szCs w:val="28"/>
        </w:rPr>
      </w:pPr>
      <w:r>
        <w:rPr>
          <w:rFonts w:hint="eastAsia" w:ascii="黑体" w:hAnsi="黑体" w:eastAsia="黑体"/>
          <w:b/>
          <w:sz w:val="28"/>
          <w:szCs w:val="28"/>
        </w:rPr>
        <w:t>质疑函制作说明：</w:t>
      </w:r>
    </w:p>
    <w:p w14:paraId="72104C6F">
      <w:pPr>
        <w:widowControl/>
        <w:ind w:firstLine="560" w:firstLineChars="200"/>
        <w:jc w:val="left"/>
        <w:rPr>
          <w:rFonts w:ascii="仿宋_GB2312" w:eastAsia="仿宋_GB2312"/>
          <w:sz w:val="28"/>
          <w:szCs w:val="28"/>
        </w:rPr>
      </w:pPr>
      <w:r>
        <w:rPr>
          <w:rFonts w:hint="eastAsia" w:ascii="仿宋_GB2312" w:eastAsia="仿宋_GB2312"/>
          <w:sz w:val="28"/>
          <w:szCs w:val="28"/>
        </w:rPr>
        <w:t>1.供应商提出质疑时，应提交质疑函和必要的证明材料。</w:t>
      </w:r>
    </w:p>
    <w:p w14:paraId="2C8D3242">
      <w:pPr>
        <w:widowControl/>
        <w:ind w:firstLine="560" w:firstLineChars="200"/>
        <w:jc w:val="left"/>
        <w:rPr>
          <w:rFonts w:ascii="仿宋_GB2312" w:eastAsia="仿宋_GB2312"/>
          <w:sz w:val="28"/>
          <w:szCs w:val="28"/>
        </w:rPr>
      </w:pPr>
      <w:r>
        <w:rPr>
          <w:rFonts w:hint="eastAsia" w:ascii="仿宋_GB2312" w:eastAsia="仿宋_GB2312"/>
          <w:sz w:val="28"/>
          <w:szCs w:val="28"/>
        </w:rPr>
        <w:t>2.质疑供应商若委托代理人进行质疑的，质疑函应按要求列明“授权代表”的有关内容，并在附件中提交由质疑</w:t>
      </w:r>
      <w:r>
        <w:rPr>
          <w:rFonts w:hint="eastAsia" w:ascii="仿宋_GB2312" w:hAnsi="宋体" w:eastAsia="仿宋_GB2312" w:cs="宋体"/>
          <w:kern w:val="0"/>
          <w:sz w:val="28"/>
          <w:szCs w:val="28"/>
        </w:rPr>
        <w:t>供应商签署的授权委托书。授权委托书应载明代理人的姓名或者名称、代理事项、具体权限、期限和相关事项。</w:t>
      </w:r>
    </w:p>
    <w:p w14:paraId="2211B614">
      <w:pPr>
        <w:widowControl/>
        <w:ind w:firstLine="560" w:firstLineChars="200"/>
        <w:jc w:val="left"/>
        <w:rPr>
          <w:rFonts w:ascii="仿宋_GB2312" w:eastAsia="仿宋_GB2312"/>
          <w:sz w:val="28"/>
          <w:szCs w:val="28"/>
        </w:rPr>
      </w:pPr>
      <w:r>
        <w:rPr>
          <w:rFonts w:hint="eastAsia" w:ascii="仿宋_GB2312" w:eastAsia="仿宋_GB2312"/>
          <w:sz w:val="28"/>
          <w:szCs w:val="28"/>
        </w:rPr>
        <w:t>3.质疑供应商若对项目的某一分包进行质疑，质疑函中应列明具体分包号。</w:t>
      </w:r>
    </w:p>
    <w:p w14:paraId="06229C0D">
      <w:pPr>
        <w:widowControl/>
        <w:ind w:firstLine="560" w:firstLineChars="200"/>
        <w:jc w:val="left"/>
        <w:rPr>
          <w:rFonts w:ascii="仿宋_GB2312" w:eastAsia="仿宋_GB2312"/>
          <w:sz w:val="28"/>
          <w:szCs w:val="28"/>
        </w:rPr>
      </w:pPr>
      <w:r>
        <w:rPr>
          <w:rFonts w:hint="eastAsia" w:ascii="仿宋_GB2312" w:eastAsia="仿宋_GB2312"/>
          <w:sz w:val="28"/>
          <w:szCs w:val="28"/>
        </w:rPr>
        <w:t>4.质疑函的质疑事项应具体、明确，并有必要的事实依据和法律依据。</w:t>
      </w:r>
    </w:p>
    <w:p w14:paraId="71BF96A8">
      <w:pPr>
        <w:widowControl/>
        <w:ind w:firstLine="560" w:firstLineChars="200"/>
        <w:jc w:val="left"/>
        <w:rPr>
          <w:rFonts w:ascii="仿宋_GB2312" w:eastAsia="仿宋_GB2312"/>
          <w:sz w:val="28"/>
          <w:szCs w:val="28"/>
        </w:rPr>
      </w:pPr>
      <w:r>
        <w:rPr>
          <w:rFonts w:hint="eastAsia" w:ascii="仿宋_GB2312" w:eastAsia="仿宋_GB2312"/>
          <w:sz w:val="28"/>
          <w:szCs w:val="28"/>
        </w:rPr>
        <w:t>5.质疑函的质疑请求应与质疑事项相关。</w:t>
      </w:r>
    </w:p>
    <w:p w14:paraId="77864F6B">
      <w:pPr>
        <w:widowControl/>
        <w:ind w:firstLine="560" w:firstLineChars="200"/>
        <w:jc w:val="left"/>
        <w:rPr>
          <w:rFonts w:ascii="仿宋_GB2312" w:eastAsia="仿宋_GB2312"/>
          <w:sz w:val="28"/>
          <w:szCs w:val="28"/>
        </w:rPr>
      </w:pPr>
      <w:r>
        <w:rPr>
          <w:rFonts w:hint="eastAsia" w:ascii="仿宋_GB2312" w:eastAsia="仿宋_GB2312"/>
          <w:sz w:val="28"/>
          <w:szCs w:val="28"/>
        </w:rPr>
        <w:t>6.质疑供应商为自然人的，质疑函应由本人签字；质疑供应商为法人或者其他组织的，质疑函应由法定代表人、主要负责人，或者其授权代表签字或者盖章，并加盖公章。</w:t>
      </w:r>
    </w:p>
    <w:p w14:paraId="6B149998">
      <w:pPr>
        <w:pStyle w:val="2"/>
        <w:ind w:firstLine="240"/>
      </w:pPr>
    </w:p>
    <w:p w14:paraId="19DB0A55">
      <w:pPr>
        <w:jc w:val="left"/>
        <w:rPr>
          <w:b/>
          <w:sz w:val="32"/>
          <w:szCs w:val="32"/>
        </w:rPr>
      </w:pPr>
    </w:p>
    <w:sectPr>
      <w:headerReference r:id="rId3" w:type="default"/>
      <w:footerReference r:id="rId4" w:type="default"/>
      <w:footerReference r:id="rId5" w:type="even"/>
      <w:pgSz w:w="11906" w:h="16838"/>
      <w:pgMar w:top="1440" w:right="1361" w:bottom="1440" w:left="1418"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monospace">
    <w:altName w:val="Courier New"/>
    <w:panose1 w:val="00000000000000000000"/>
    <w:charset w:val="00"/>
    <w:family w:val="auto"/>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CA0795">
    <w:pPr>
      <w:pStyle w:val="23"/>
      <w:framePr w:h="225" w:hRule="exact" w:wrap="around" w:vAnchor="text" w:hAnchor="page" w:x="6291" w:y="365"/>
      <w:rPr>
        <w:rStyle w:val="39"/>
      </w:rPr>
    </w:pPr>
    <w:r>
      <w:fldChar w:fldCharType="begin"/>
    </w:r>
    <w:r>
      <w:rPr>
        <w:rStyle w:val="39"/>
      </w:rPr>
      <w:instrText xml:space="preserve">PAGE  </w:instrText>
    </w:r>
    <w:r>
      <w:fldChar w:fldCharType="separate"/>
    </w:r>
    <w:r>
      <w:rPr>
        <w:rStyle w:val="39"/>
      </w:rPr>
      <w:t>56</w:t>
    </w:r>
    <w:r>
      <w:fldChar w:fldCharType="end"/>
    </w:r>
  </w:p>
  <w:p w14:paraId="6D3398E0">
    <w:pPr>
      <w:pStyle w:val="23"/>
      <w:rPr>
        <w:rFonts w:ascii="宋体" w:hAnsi="宋体"/>
        <w:sz w:val="21"/>
        <w:szCs w:val="21"/>
        <w:u w:val="single"/>
      </w:rPr>
    </w:pPr>
    <w:r>
      <w:rPr>
        <w:rFonts w:hint="eastAsia" w:ascii="宋体" w:hAnsi="宋体"/>
        <w:sz w:val="21"/>
        <w:szCs w:val="21"/>
        <w:u w:val="single"/>
      </w:rPr>
      <w:t xml:space="preserve">杭州广厦建筑咨询有限公司                                                  0572-3065566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7FB362">
    <w:pPr>
      <w:pStyle w:val="23"/>
      <w:framePr w:wrap="around" w:vAnchor="text" w:hAnchor="margin" w:xAlign="center" w:y="1"/>
      <w:rPr>
        <w:rStyle w:val="39"/>
      </w:rPr>
    </w:pPr>
    <w:r>
      <w:fldChar w:fldCharType="begin"/>
    </w:r>
    <w:r>
      <w:rPr>
        <w:rStyle w:val="39"/>
      </w:rPr>
      <w:instrText xml:space="preserve">PAGE  </w:instrText>
    </w:r>
    <w:r>
      <w:fldChar w:fldCharType="separate"/>
    </w:r>
    <w:r>
      <w:rPr>
        <w:rStyle w:val="39"/>
      </w:rPr>
      <w:t>8</w:t>
    </w:r>
    <w:r>
      <w:fldChar w:fldCharType="end"/>
    </w:r>
  </w:p>
  <w:p w14:paraId="4FF97420">
    <w:pPr>
      <w:pStyle w:val="2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61092B">
    <w:pPr>
      <w:tabs>
        <w:tab w:val="left" w:pos="1276"/>
      </w:tabs>
      <w:spacing w:line="700" w:lineRule="exact"/>
      <w:jc w:val="left"/>
      <w:rPr>
        <w:sz w:val="18"/>
        <w:szCs w:val="18"/>
        <w:u w:val="single"/>
      </w:rPr>
    </w:pPr>
    <w:r>
      <w:rPr>
        <w:rFonts w:hint="eastAsia"/>
        <w:sz w:val="18"/>
        <w:szCs w:val="18"/>
        <w:u w:val="single"/>
        <w:lang w:eastAsia="zh-CN"/>
      </w:rPr>
      <w:t>南浔经济开发区2025年城市管理服务项目</w:t>
    </w:r>
    <w:r>
      <w:rPr>
        <w:rFonts w:hint="eastAsia"/>
        <w:sz w:val="18"/>
        <w:szCs w:val="18"/>
        <w:u w:val="single"/>
      </w:rPr>
      <w:t xml:space="preserve">                                                  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A12819C"/>
    <w:multiLevelType w:val="singleLevel"/>
    <w:tmpl w:val="CA12819C"/>
    <w:lvl w:ilvl="0" w:tentative="0">
      <w:start w:val="1"/>
      <w:numFmt w:val="chineseCounting"/>
      <w:suff w:val="nothing"/>
      <w:lvlText w:val="%1、"/>
      <w:lvlJc w:val="left"/>
      <w:rPr>
        <w:rFonts w:hint="eastAsia"/>
      </w:rPr>
    </w:lvl>
  </w:abstractNum>
  <w:abstractNum w:abstractNumId="1">
    <w:nsid w:val="D5A5BFBA"/>
    <w:multiLevelType w:val="multilevel"/>
    <w:tmpl w:val="D5A5BFBA"/>
    <w:lvl w:ilvl="0" w:tentative="0">
      <w:start w:val="6"/>
      <w:numFmt w:val="decimal"/>
      <w:lvlText w:val="%1."/>
      <w:lvlJc w:val="left"/>
      <w:pPr>
        <w:tabs>
          <w:tab w:val="left" w:pos="312"/>
        </w:tabs>
      </w:pPr>
      <w:rPr>
        <w:b/>
      </w:rPr>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3"/>
  <w:bordersDoNotSurroundHeader w:val="1"/>
  <w:bordersDoNotSurroundFooter w:val="1"/>
  <w:documentProtection w:edit="readOnly"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adjustLineHeightInTable/>
    <w:useFELayout/>
    <w:compatSetting w:name="compatibilityMode" w:uri="http://schemas.microsoft.com/office/word" w:val="12"/>
  </w:compat>
  <w:docVars>
    <w:docVar w:name="commondata" w:val="eyJoZGlkIjoiMTM5ZTgwZDg3NTZhM2RjM2YwMGE2ZTczZmEzNzczODYifQ=="/>
  </w:docVars>
  <w:rsids>
    <w:rsidRoot w:val="00172A27"/>
    <w:rsid w:val="00001A02"/>
    <w:rsid w:val="00001A81"/>
    <w:rsid w:val="000059F3"/>
    <w:rsid w:val="00027C29"/>
    <w:rsid w:val="00032C95"/>
    <w:rsid w:val="000349E3"/>
    <w:rsid w:val="00065D14"/>
    <w:rsid w:val="00070168"/>
    <w:rsid w:val="00081354"/>
    <w:rsid w:val="00092F17"/>
    <w:rsid w:val="00094E5A"/>
    <w:rsid w:val="000A3172"/>
    <w:rsid w:val="000B234E"/>
    <w:rsid w:val="000B4D64"/>
    <w:rsid w:val="000D25C6"/>
    <w:rsid w:val="000D5D40"/>
    <w:rsid w:val="000D643F"/>
    <w:rsid w:val="000D6982"/>
    <w:rsid w:val="000F4B98"/>
    <w:rsid w:val="000F59C3"/>
    <w:rsid w:val="00116462"/>
    <w:rsid w:val="00117F71"/>
    <w:rsid w:val="00123BD3"/>
    <w:rsid w:val="00140449"/>
    <w:rsid w:val="00152443"/>
    <w:rsid w:val="00152BC0"/>
    <w:rsid w:val="00152EFE"/>
    <w:rsid w:val="0016365D"/>
    <w:rsid w:val="001652E5"/>
    <w:rsid w:val="00172A27"/>
    <w:rsid w:val="001756CD"/>
    <w:rsid w:val="00180014"/>
    <w:rsid w:val="00187233"/>
    <w:rsid w:val="001876C1"/>
    <w:rsid w:val="001923DD"/>
    <w:rsid w:val="0019456F"/>
    <w:rsid w:val="001966BB"/>
    <w:rsid w:val="001B75C1"/>
    <w:rsid w:val="001C3C93"/>
    <w:rsid w:val="001E131B"/>
    <w:rsid w:val="002028CD"/>
    <w:rsid w:val="002029B4"/>
    <w:rsid w:val="00205EA5"/>
    <w:rsid w:val="00207ABD"/>
    <w:rsid w:val="00217FF5"/>
    <w:rsid w:val="00222EBC"/>
    <w:rsid w:val="00231BB7"/>
    <w:rsid w:val="00242220"/>
    <w:rsid w:val="00242E9A"/>
    <w:rsid w:val="00255A48"/>
    <w:rsid w:val="002576A4"/>
    <w:rsid w:val="0026244F"/>
    <w:rsid w:val="00271BB9"/>
    <w:rsid w:val="00273556"/>
    <w:rsid w:val="0027723E"/>
    <w:rsid w:val="0027727B"/>
    <w:rsid w:val="00296E78"/>
    <w:rsid w:val="002A1CB0"/>
    <w:rsid w:val="002B091B"/>
    <w:rsid w:val="002B0E02"/>
    <w:rsid w:val="002C1A78"/>
    <w:rsid w:val="002F4A05"/>
    <w:rsid w:val="00305499"/>
    <w:rsid w:val="00325EFF"/>
    <w:rsid w:val="00330F81"/>
    <w:rsid w:val="00336731"/>
    <w:rsid w:val="003449B9"/>
    <w:rsid w:val="00344D59"/>
    <w:rsid w:val="0034552C"/>
    <w:rsid w:val="003633AF"/>
    <w:rsid w:val="003657CD"/>
    <w:rsid w:val="00371D1B"/>
    <w:rsid w:val="00391658"/>
    <w:rsid w:val="003931AC"/>
    <w:rsid w:val="00394488"/>
    <w:rsid w:val="00397749"/>
    <w:rsid w:val="003A1568"/>
    <w:rsid w:val="003A514A"/>
    <w:rsid w:val="003A5CA0"/>
    <w:rsid w:val="003C4EE2"/>
    <w:rsid w:val="003C6545"/>
    <w:rsid w:val="003D0BA8"/>
    <w:rsid w:val="003D0FB3"/>
    <w:rsid w:val="003E4413"/>
    <w:rsid w:val="003E7044"/>
    <w:rsid w:val="003F5656"/>
    <w:rsid w:val="00406FD5"/>
    <w:rsid w:val="00407EA1"/>
    <w:rsid w:val="0041609D"/>
    <w:rsid w:val="004167F6"/>
    <w:rsid w:val="00424807"/>
    <w:rsid w:val="0043295D"/>
    <w:rsid w:val="00433D88"/>
    <w:rsid w:val="004345E5"/>
    <w:rsid w:val="00441AFD"/>
    <w:rsid w:val="00444579"/>
    <w:rsid w:val="00454199"/>
    <w:rsid w:val="00454C11"/>
    <w:rsid w:val="004615D0"/>
    <w:rsid w:val="004650F2"/>
    <w:rsid w:val="004672E6"/>
    <w:rsid w:val="004816D4"/>
    <w:rsid w:val="00481CE0"/>
    <w:rsid w:val="004909BB"/>
    <w:rsid w:val="0049400F"/>
    <w:rsid w:val="00494C7D"/>
    <w:rsid w:val="004B1856"/>
    <w:rsid w:val="004C619B"/>
    <w:rsid w:val="004D08AA"/>
    <w:rsid w:val="004D3A76"/>
    <w:rsid w:val="004D410E"/>
    <w:rsid w:val="004E07A6"/>
    <w:rsid w:val="004F214D"/>
    <w:rsid w:val="00502B5C"/>
    <w:rsid w:val="005041CA"/>
    <w:rsid w:val="0051402C"/>
    <w:rsid w:val="0052316F"/>
    <w:rsid w:val="00526A3E"/>
    <w:rsid w:val="00533E29"/>
    <w:rsid w:val="00543753"/>
    <w:rsid w:val="0056143F"/>
    <w:rsid w:val="00564B52"/>
    <w:rsid w:val="005663FF"/>
    <w:rsid w:val="005822B6"/>
    <w:rsid w:val="00595002"/>
    <w:rsid w:val="00596C65"/>
    <w:rsid w:val="005C5532"/>
    <w:rsid w:val="005C580D"/>
    <w:rsid w:val="005F217F"/>
    <w:rsid w:val="00607A17"/>
    <w:rsid w:val="006147E3"/>
    <w:rsid w:val="00620FAC"/>
    <w:rsid w:val="006225AB"/>
    <w:rsid w:val="00633049"/>
    <w:rsid w:val="00634905"/>
    <w:rsid w:val="00654E8E"/>
    <w:rsid w:val="00661C7A"/>
    <w:rsid w:val="0066299A"/>
    <w:rsid w:val="0066744F"/>
    <w:rsid w:val="00667EDA"/>
    <w:rsid w:val="00672450"/>
    <w:rsid w:val="0067432D"/>
    <w:rsid w:val="0067584A"/>
    <w:rsid w:val="00683831"/>
    <w:rsid w:val="0068779C"/>
    <w:rsid w:val="0069590A"/>
    <w:rsid w:val="006A2B85"/>
    <w:rsid w:val="006A4270"/>
    <w:rsid w:val="006B04FD"/>
    <w:rsid w:val="006B0CCF"/>
    <w:rsid w:val="006B5FF9"/>
    <w:rsid w:val="006C0650"/>
    <w:rsid w:val="006C32A4"/>
    <w:rsid w:val="006D44D3"/>
    <w:rsid w:val="006D45E3"/>
    <w:rsid w:val="006D7CE9"/>
    <w:rsid w:val="006F571F"/>
    <w:rsid w:val="006F5892"/>
    <w:rsid w:val="006F74A4"/>
    <w:rsid w:val="00701A22"/>
    <w:rsid w:val="007177E5"/>
    <w:rsid w:val="00722481"/>
    <w:rsid w:val="0072660E"/>
    <w:rsid w:val="0073633C"/>
    <w:rsid w:val="00741969"/>
    <w:rsid w:val="0074602F"/>
    <w:rsid w:val="00747C5D"/>
    <w:rsid w:val="007661EF"/>
    <w:rsid w:val="007720DE"/>
    <w:rsid w:val="007757B0"/>
    <w:rsid w:val="007800EB"/>
    <w:rsid w:val="007813D8"/>
    <w:rsid w:val="00781A3D"/>
    <w:rsid w:val="00782154"/>
    <w:rsid w:val="007905C2"/>
    <w:rsid w:val="007944B8"/>
    <w:rsid w:val="00797E6C"/>
    <w:rsid w:val="007B4CA7"/>
    <w:rsid w:val="007C59E3"/>
    <w:rsid w:val="007D1568"/>
    <w:rsid w:val="007F2C93"/>
    <w:rsid w:val="008016A7"/>
    <w:rsid w:val="00815E03"/>
    <w:rsid w:val="00825FE8"/>
    <w:rsid w:val="00831BBC"/>
    <w:rsid w:val="00840687"/>
    <w:rsid w:val="008407F0"/>
    <w:rsid w:val="00863029"/>
    <w:rsid w:val="008665F5"/>
    <w:rsid w:val="0087075E"/>
    <w:rsid w:val="0087793F"/>
    <w:rsid w:val="00887660"/>
    <w:rsid w:val="0089323A"/>
    <w:rsid w:val="0089381C"/>
    <w:rsid w:val="008A5F42"/>
    <w:rsid w:val="008B3705"/>
    <w:rsid w:val="008C2A8A"/>
    <w:rsid w:val="008C3F70"/>
    <w:rsid w:val="008C4CF3"/>
    <w:rsid w:val="008C793D"/>
    <w:rsid w:val="008D2AA0"/>
    <w:rsid w:val="008D7859"/>
    <w:rsid w:val="008E2746"/>
    <w:rsid w:val="008E58F7"/>
    <w:rsid w:val="008E65AB"/>
    <w:rsid w:val="008E6B93"/>
    <w:rsid w:val="008F5AD3"/>
    <w:rsid w:val="00901117"/>
    <w:rsid w:val="0091304B"/>
    <w:rsid w:val="00913DEC"/>
    <w:rsid w:val="00921E3A"/>
    <w:rsid w:val="00921FEC"/>
    <w:rsid w:val="00922415"/>
    <w:rsid w:val="00927D82"/>
    <w:rsid w:val="00942B23"/>
    <w:rsid w:val="00956065"/>
    <w:rsid w:val="00956203"/>
    <w:rsid w:val="009602D9"/>
    <w:rsid w:val="009628CD"/>
    <w:rsid w:val="009634B0"/>
    <w:rsid w:val="009670CD"/>
    <w:rsid w:val="009674A4"/>
    <w:rsid w:val="00976A8E"/>
    <w:rsid w:val="00977564"/>
    <w:rsid w:val="009955BF"/>
    <w:rsid w:val="009B537F"/>
    <w:rsid w:val="009B5F4E"/>
    <w:rsid w:val="009D0258"/>
    <w:rsid w:val="009D3E01"/>
    <w:rsid w:val="009D70F9"/>
    <w:rsid w:val="009D7CAF"/>
    <w:rsid w:val="009E335C"/>
    <w:rsid w:val="009E61EF"/>
    <w:rsid w:val="009E7E06"/>
    <w:rsid w:val="009F1AE0"/>
    <w:rsid w:val="009F23D1"/>
    <w:rsid w:val="00A02829"/>
    <w:rsid w:val="00A113D3"/>
    <w:rsid w:val="00A129E7"/>
    <w:rsid w:val="00A12B7B"/>
    <w:rsid w:val="00A225DA"/>
    <w:rsid w:val="00A240AF"/>
    <w:rsid w:val="00A27DD8"/>
    <w:rsid w:val="00A36C65"/>
    <w:rsid w:val="00A47656"/>
    <w:rsid w:val="00A521E3"/>
    <w:rsid w:val="00A60C39"/>
    <w:rsid w:val="00A70C55"/>
    <w:rsid w:val="00A73EDB"/>
    <w:rsid w:val="00A800C9"/>
    <w:rsid w:val="00A82410"/>
    <w:rsid w:val="00AA1FC4"/>
    <w:rsid w:val="00AA69E7"/>
    <w:rsid w:val="00AD46CE"/>
    <w:rsid w:val="00AD5980"/>
    <w:rsid w:val="00AD72C8"/>
    <w:rsid w:val="00AE0911"/>
    <w:rsid w:val="00AE2CDF"/>
    <w:rsid w:val="00AE396F"/>
    <w:rsid w:val="00AF4D02"/>
    <w:rsid w:val="00B13962"/>
    <w:rsid w:val="00B42E02"/>
    <w:rsid w:val="00B43B8A"/>
    <w:rsid w:val="00B5756E"/>
    <w:rsid w:val="00B57AF5"/>
    <w:rsid w:val="00B646CA"/>
    <w:rsid w:val="00B7731F"/>
    <w:rsid w:val="00B82CC0"/>
    <w:rsid w:val="00B95D98"/>
    <w:rsid w:val="00BB0B8D"/>
    <w:rsid w:val="00BB635B"/>
    <w:rsid w:val="00BC03F4"/>
    <w:rsid w:val="00BC22CA"/>
    <w:rsid w:val="00BC456B"/>
    <w:rsid w:val="00BC68AC"/>
    <w:rsid w:val="00BF0A03"/>
    <w:rsid w:val="00BF2598"/>
    <w:rsid w:val="00C12C74"/>
    <w:rsid w:val="00C1684D"/>
    <w:rsid w:val="00C42497"/>
    <w:rsid w:val="00C54B69"/>
    <w:rsid w:val="00C5533F"/>
    <w:rsid w:val="00C569EF"/>
    <w:rsid w:val="00C5735C"/>
    <w:rsid w:val="00C57A38"/>
    <w:rsid w:val="00C62CCF"/>
    <w:rsid w:val="00C664E2"/>
    <w:rsid w:val="00C8001F"/>
    <w:rsid w:val="00C83CCE"/>
    <w:rsid w:val="00C83FAA"/>
    <w:rsid w:val="00C87B1C"/>
    <w:rsid w:val="00C97F01"/>
    <w:rsid w:val="00CB1850"/>
    <w:rsid w:val="00CB354F"/>
    <w:rsid w:val="00CB5751"/>
    <w:rsid w:val="00CC075C"/>
    <w:rsid w:val="00CC559E"/>
    <w:rsid w:val="00CD1683"/>
    <w:rsid w:val="00CD7325"/>
    <w:rsid w:val="00CE573C"/>
    <w:rsid w:val="00CF106F"/>
    <w:rsid w:val="00CF3B79"/>
    <w:rsid w:val="00D11AFB"/>
    <w:rsid w:val="00D2016D"/>
    <w:rsid w:val="00D25382"/>
    <w:rsid w:val="00D44EE5"/>
    <w:rsid w:val="00D55891"/>
    <w:rsid w:val="00D71900"/>
    <w:rsid w:val="00D71FA2"/>
    <w:rsid w:val="00D92940"/>
    <w:rsid w:val="00D94649"/>
    <w:rsid w:val="00DA262F"/>
    <w:rsid w:val="00DA63BC"/>
    <w:rsid w:val="00DB3B8E"/>
    <w:rsid w:val="00DB40B6"/>
    <w:rsid w:val="00DB4B2E"/>
    <w:rsid w:val="00DB5F0D"/>
    <w:rsid w:val="00DC333E"/>
    <w:rsid w:val="00DD2766"/>
    <w:rsid w:val="00DE475E"/>
    <w:rsid w:val="00DF37D8"/>
    <w:rsid w:val="00DF637C"/>
    <w:rsid w:val="00DF66C5"/>
    <w:rsid w:val="00E01177"/>
    <w:rsid w:val="00E0309C"/>
    <w:rsid w:val="00E224FF"/>
    <w:rsid w:val="00E267EE"/>
    <w:rsid w:val="00E32A34"/>
    <w:rsid w:val="00E3320B"/>
    <w:rsid w:val="00E3414E"/>
    <w:rsid w:val="00E645E8"/>
    <w:rsid w:val="00E66AA5"/>
    <w:rsid w:val="00E77BE9"/>
    <w:rsid w:val="00E92109"/>
    <w:rsid w:val="00EA5434"/>
    <w:rsid w:val="00EB7CE9"/>
    <w:rsid w:val="00EC279D"/>
    <w:rsid w:val="00EC334D"/>
    <w:rsid w:val="00EC7111"/>
    <w:rsid w:val="00EE5569"/>
    <w:rsid w:val="00F0332D"/>
    <w:rsid w:val="00F10D56"/>
    <w:rsid w:val="00F1277A"/>
    <w:rsid w:val="00F12963"/>
    <w:rsid w:val="00F133C3"/>
    <w:rsid w:val="00F52987"/>
    <w:rsid w:val="00F65ABD"/>
    <w:rsid w:val="00F73F54"/>
    <w:rsid w:val="00F92EAA"/>
    <w:rsid w:val="00F93A4F"/>
    <w:rsid w:val="00F93ACE"/>
    <w:rsid w:val="00F9457A"/>
    <w:rsid w:val="00FA1A91"/>
    <w:rsid w:val="00FD6A16"/>
    <w:rsid w:val="00FE2B23"/>
    <w:rsid w:val="00FE3150"/>
    <w:rsid w:val="00FF14FF"/>
    <w:rsid w:val="00FF1FCB"/>
    <w:rsid w:val="00FF442E"/>
    <w:rsid w:val="00FF62F0"/>
    <w:rsid w:val="0A7E220D"/>
    <w:rsid w:val="128B0392"/>
    <w:rsid w:val="353D11C8"/>
    <w:rsid w:val="44181895"/>
    <w:rsid w:val="49854B05"/>
    <w:rsid w:val="54221383"/>
    <w:rsid w:val="695031E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3"/>
    <w:qFormat/>
    <w:uiPriority w:val="0"/>
    <w:pPr>
      <w:keepNext/>
      <w:keepLines/>
      <w:spacing w:before="340" w:after="330" w:line="578" w:lineRule="auto"/>
      <w:outlineLvl w:val="0"/>
    </w:pPr>
    <w:rPr>
      <w:b/>
      <w:bCs/>
      <w:kern w:val="44"/>
      <w:sz w:val="44"/>
      <w:szCs w:val="44"/>
    </w:rPr>
  </w:style>
  <w:style w:type="paragraph" w:styleId="5">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6">
    <w:name w:val="heading 3"/>
    <w:basedOn w:val="1"/>
    <w:next w:val="1"/>
    <w:link w:val="54"/>
    <w:qFormat/>
    <w:uiPriority w:val="0"/>
    <w:pPr>
      <w:keepNext/>
      <w:keepLines/>
      <w:spacing w:before="260" w:after="260" w:line="416" w:lineRule="auto"/>
      <w:outlineLvl w:val="2"/>
    </w:pPr>
    <w:rPr>
      <w:b/>
      <w:bCs/>
      <w:sz w:val="32"/>
      <w:szCs w:val="32"/>
    </w:rPr>
  </w:style>
  <w:style w:type="paragraph" w:styleId="7">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paragraph" w:styleId="8">
    <w:name w:val="heading 5"/>
    <w:basedOn w:val="1"/>
    <w:next w:val="1"/>
    <w:link w:val="55"/>
    <w:qFormat/>
    <w:uiPriority w:val="0"/>
    <w:pPr>
      <w:keepNext/>
      <w:keepLines/>
      <w:spacing w:before="280" w:after="290" w:line="376" w:lineRule="auto"/>
      <w:outlineLvl w:val="4"/>
    </w:pPr>
    <w:rPr>
      <w:b/>
      <w:bCs/>
      <w:sz w:val="28"/>
      <w:szCs w:val="28"/>
    </w:rPr>
  </w:style>
  <w:style w:type="paragraph" w:styleId="9">
    <w:name w:val="heading 6"/>
    <w:basedOn w:val="1"/>
    <w:next w:val="1"/>
    <w:qFormat/>
    <w:uiPriority w:val="0"/>
    <w:pPr>
      <w:keepNext/>
      <w:keepLines/>
      <w:spacing w:before="240" w:after="64" w:line="320" w:lineRule="auto"/>
      <w:outlineLvl w:val="5"/>
    </w:pPr>
    <w:rPr>
      <w:rFonts w:ascii="Arial" w:hAnsi="Arial" w:eastAsia="黑体"/>
      <w:b/>
      <w:bCs/>
      <w:sz w:val="24"/>
    </w:rPr>
  </w:style>
  <w:style w:type="paragraph" w:styleId="10">
    <w:name w:val="heading 7"/>
    <w:basedOn w:val="1"/>
    <w:next w:val="1"/>
    <w:qFormat/>
    <w:uiPriority w:val="0"/>
    <w:pPr>
      <w:keepNext/>
      <w:keepLines/>
      <w:spacing w:before="240" w:after="64" w:line="320" w:lineRule="auto"/>
      <w:outlineLvl w:val="6"/>
    </w:pPr>
    <w:rPr>
      <w:b/>
      <w:bCs/>
      <w:sz w:val="24"/>
    </w:rPr>
  </w:style>
  <w:style w:type="paragraph" w:styleId="11">
    <w:name w:val="heading 8"/>
    <w:basedOn w:val="1"/>
    <w:next w:val="1"/>
    <w:qFormat/>
    <w:uiPriority w:val="0"/>
    <w:pPr>
      <w:keepNext/>
      <w:keepLines/>
      <w:spacing w:before="240" w:after="64" w:line="320" w:lineRule="auto"/>
      <w:outlineLvl w:val="7"/>
    </w:pPr>
    <w:rPr>
      <w:rFonts w:ascii="Arial" w:hAnsi="Arial" w:eastAsia="黑体"/>
      <w:sz w:val="24"/>
    </w:rPr>
  </w:style>
  <w:style w:type="paragraph" w:styleId="12">
    <w:name w:val="heading 9"/>
    <w:basedOn w:val="1"/>
    <w:next w:val="1"/>
    <w:qFormat/>
    <w:uiPriority w:val="0"/>
    <w:pPr>
      <w:keepNext/>
      <w:keepLines/>
      <w:spacing w:before="240" w:after="64" w:line="320" w:lineRule="auto"/>
      <w:outlineLvl w:val="8"/>
    </w:pPr>
    <w:rPr>
      <w:rFonts w:ascii="Arial" w:hAnsi="Arial" w:eastAsia="黑体"/>
      <w:szCs w:val="21"/>
    </w:rPr>
  </w:style>
  <w:style w:type="character" w:default="1" w:styleId="37">
    <w:name w:val="Default Paragraph Font"/>
    <w:semiHidden/>
    <w:unhideWhenUsed/>
    <w:qFormat/>
    <w:uiPriority w:val="1"/>
  </w:style>
  <w:style w:type="table" w:default="1" w:styleId="35">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1"/>
    <w:link w:val="52"/>
    <w:qFormat/>
    <w:uiPriority w:val="99"/>
    <w:pPr>
      <w:widowControl/>
      <w:spacing w:line="360" w:lineRule="auto"/>
      <w:ind w:firstLine="420" w:firstLineChars="100"/>
      <w:jc w:val="left"/>
    </w:pPr>
    <w:rPr>
      <w:rFonts w:ascii="Calibri" w:hAnsi="Calibri"/>
      <w:sz w:val="24"/>
    </w:rPr>
  </w:style>
  <w:style w:type="paragraph" w:styleId="3">
    <w:name w:val="Body Text"/>
    <w:basedOn w:val="1"/>
    <w:next w:val="2"/>
    <w:link w:val="51"/>
    <w:qFormat/>
    <w:uiPriority w:val="0"/>
    <w:pPr>
      <w:spacing w:after="120"/>
    </w:pPr>
    <w:rPr>
      <w:rFonts w:ascii="宋体" w:hAnsi="宋体"/>
      <w:sz w:val="28"/>
    </w:rPr>
  </w:style>
  <w:style w:type="paragraph" w:styleId="13">
    <w:name w:val="Normal Indent"/>
    <w:basedOn w:val="1"/>
    <w:link w:val="56"/>
    <w:qFormat/>
    <w:uiPriority w:val="0"/>
    <w:pPr>
      <w:ind w:firstLine="420"/>
    </w:pPr>
    <w:rPr>
      <w:szCs w:val="20"/>
    </w:rPr>
  </w:style>
  <w:style w:type="paragraph" w:styleId="14">
    <w:name w:val="caption"/>
    <w:basedOn w:val="1"/>
    <w:next w:val="1"/>
    <w:qFormat/>
    <w:uiPriority w:val="0"/>
    <w:rPr>
      <w:rFonts w:ascii="Arial" w:hAnsi="Arial" w:eastAsia="黑体" w:cs="Arial"/>
      <w:sz w:val="20"/>
      <w:szCs w:val="20"/>
    </w:rPr>
  </w:style>
  <w:style w:type="paragraph" w:styleId="15">
    <w:name w:val="Document Map"/>
    <w:basedOn w:val="1"/>
    <w:semiHidden/>
    <w:qFormat/>
    <w:uiPriority w:val="0"/>
    <w:pPr>
      <w:shd w:val="clear" w:color="auto" w:fill="000080"/>
    </w:pPr>
  </w:style>
  <w:style w:type="paragraph" w:styleId="16">
    <w:name w:val="Body Text 3"/>
    <w:basedOn w:val="1"/>
    <w:qFormat/>
    <w:uiPriority w:val="0"/>
    <w:pPr>
      <w:spacing w:after="120"/>
    </w:pPr>
    <w:rPr>
      <w:sz w:val="16"/>
      <w:szCs w:val="16"/>
    </w:rPr>
  </w:style>
  <w:style w:type="paragraph" w:styleId="17">
    <w:name w:val="Body Text Indent"/>
    <w:basedOn w:val="1"/>
    <w:link w:val="57"/>
    <w:qFormat/>
    <w:uiPriority w:val="0"/>
    <w:pPr>
      <w:spacing w:line="360" w:lineRule="auto"/>
      <w:ind w:firstLine="600" w:firstLineChars="200"/>
    </w:pPr>
    <w:rPr>
      <w:rFonts w:ascii="仿宋_GB2312" w:hAnsi="宋体" w:eastAsia="仿宋_GB2312"/>
      <w:sz w:val="30"/>
    </w:rPr>
  </w:style>
  <w:style w:type="paragraph" w:styleId="18">
    <w:name w:val="List 2"/>
    <w:basedOn w:val="1"/>
    <w:qFormat/>
    <w:uiPriority w:val="0"/>
    <w:pPr>
      <w:ind w:left="100" w:leftChars="200" w:hanging="200" w:hangingChars="200"/>
    </w:pPr>
  </w:style>
  <w:style w:type="paragraph" w:styleId="19">
    <w:name w:val="Plain Text"/>
    <w:basedOn w:val="1"/>
    <w:link w:val="58"/>
    <w:qFormat/>
    <w:uiPriority w:val="99"/>
    <w:pPr>
      <w:spacing w:beforeLines="50" w:afterLines="50" w:line="400" w:lineRule="exact"/>
    </w:pPr>
    <w:rPr>
      <w:rFonts w:ascii="宋体" w:hAnsi="Courier New"/>
      <w:sz w:val="24"/>
    </w:rPr>
  </w:style>
  <w:style w:type="paragraph" w:styleId="20">
    <w:name w:val="Date"/>
    <w:basedOn w:val="1"/>
    <w:next w:val="1"/>
    <w:link w:val="59"/>
    <w:qFormat/>
    <w:uiPriority w:val="0"/>
    <w:pPr>
      <w:ind w:left="100" w:leftChars="2500"/>
    </w:pPr>
  </w:style>
  <w:style w:type="paragraph" w:styleId="21">
    <w:name w:val="Body Text Indent 2"/>
    <w:basedOn w:val="1"/>
    <w:qFormat/>
    <w:uiPriority w:val="0"/>
    <w:pPr>
      <w:spacing w:after="120" w:line="480" w:lineRule="auto"/>
      <w:ind w:left="420" w:leftChars="200"/>
    </w:pPr>
  </w:style>
  <w:style w:type="paragraph" w:styleId="22">
    <w:name w:val="Balloon Text"/>
    <w:basedOn w:val="1"/>
    <w:link w:val="60"/>
    <w:qFormat/>
    <w:uiPriority w:val="0"/>
    <w:rPr>
      <w:sz w:val="18"/>
      <w:szCs w:val="18"/>
    </w:rPr>
  </w:style>
  <w:style w:type="paragraph" w:styleId="23">
    <w:name w:val="footer"/>
    <w:basedOn w:val="1"/>
    <w:qFormat/>
    <w:uiPriority w:val="0"/>
    <w:pPr>
      <w:tabs>
        <w:tab w:val="center" w:pos="4153"/>
        <w:tab w:val="right" w:pos="8306"/>
      </w:tabs>
      <w:snapToGrid w:val="0"/>
      <w:jc w:val="left"/>
    </w:pPr>
    <w:rPr>
      <w:sz w:val="18"/>
      <w:szCs w:val="18"/>
    </w:rPr>
  </w:style>
  <w:style w:type="paragraph" w:styleId="2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5">
    <w:name w:val="toc 1"/>
    <w:basedOn w:val="1"/>
    <w:next w:val="1"/>
    <w:qFormat/>
    <w:uiPriority w:val="39"/>
    <w:pPr>
      <w:tabs>
        <w:tab w:val="right" w:leader="dot" w:pos="8494"/>
      </w:tabs>
    </w:pPr>
    <w:rPr>
      <w:rFonts w:ascii="宋体" w:hAnsi="宋体"/>
      <w:sz w:val="32"/>
    </w:rPr>
  </w:style>
  <w:style w:type="paragraph" w:styleId="26">
    <w:name w:val="index heading"/>
    <w:basedOn w:val="1"/>
    <w:next w:val="27"/>
    <w:qFormat/>
    <w:uiPriority w:val="0"/>
    <w:rPr>
      <w:szCs w:val="20"/>
    </w:rPr>
  </w:style>
  <w:style w:type="paragraph" w:styleId="27">
    <w:name w:val="index 1"/>
    <w:basedOn w:val="1"/>
    <w:next w:val="1"/>
    <w:qFormat/>
    <w:uiPriority w:val="0"/>
  </w:style>
  <w:style w:type="paragraph" w:styleId="28">
    <w:name w:val="toc 6"/>
    <w:basedOn w:val="1"/>
    <w:next w:val="1"/>
    <w:qFormat/>
    <w:uiPriority w:val="0"/>
    <w:pPr>
      <w:widowControl/>
      <w:ind w:left="2100" w:leftChars="1000"/>
      <w:jc w:val="left"/>
    </w:pPr>
    <w:rPr>
      <w:rFonts w:ascii="宋体" w:hAnsi="宋体" w:cs="宋体"/>
      <w:kern w:val="0"/>
      <w:sz w:val="24"/>
    </w:rPr>
  </w:style>
  <w:style w:type="paragraph" w:styleId="29">
    <w:name w:val="Body Text Indent 3"/>
    <w:basedOn w:val="1"/>
    <w:link w:val="61"/>
    <w:qFormat/>
    <w:uiPriority w:val="0"/>
    <w:pPr>
      <w:spacing w:after="120"/>
      <w:ind w:left="420" w:leftChars="200"/>
    </w:pPr>
    <w:rPr>
      <w:sz w:val="16"/>
      <w:szCs w:val="16"/>
    </w:rPr>
  </w:style>
  <w:style w:type="paragraph" w:styleId="30">
    <w:name w:val="toc 2"/>
    <w:basedOn w:val="1"/>
    <w:next w:val="1"/>
    <w:qFormat/>
    <w:uiPriority w:val="39"/>
    <w:pPr>
      <w:tabs>
        <w:tab w:val="right" w:leader="dot" w:pos="8494"/>
      </w:tabs>
    </w:pPr>
    <w:rPr>
      <w:sz w:val="30"/>
    </w:rPr>
  </w:style>
  <w:style w:type="paragraph" w:styleId="31">
    <w:name w:val="Body Text 2"/>
    <w:basedOn w:val="1"/>
    <w:link w:val="62"/>
    <w:qFormat/>
    <w:uiPriority w:val="0"/>
    <w:pPr>
      <w:spacing w:after="120" w:line="480" w:lineRule="auto"/>
    </w:pPr>
  </w:style>
  <w:style w:type="paragraph" w:styleId="32">
    <w:name w:val="Normal (Web)"/>
    <w:basedOn w:val="1"/>
    <w:qFormat/>
    <w:uiPriority w:val="99"/>
    <w:pPr>
      <w:widowControl/>
      <w:spacing w:before="100" w:beforeAutospacing="1" w:after="100" w:afterAutospacing="1"/>
      <w:jc w:val="left"/>
    </w:pPr>
    <w:rPr>
      <w:rFonts w:ascii="宋体" w:hAnsi="宋体"/>
      <w:kern w:val="0"/>
      <w:sz w:val="24"/>
    </w:rPr>
  </w:style>
  <w:style w:type="paragraph" w:styleId="33">
    <w:name w:val="Title"/>
    <w:basedOn w:val="1"/>
    <w:next w:val="1"/>
    <w:link w:val="63"/>
    <w:qFormat/>
    <w:uiPriority w:val="0"/>
    <w:pPr>
      <w:spacing w:before="240" w:after="60"/>
      <w:jc w:val="center"/>
      <w:outlineLvl w:val="0"/>
    </w:pPr>
    <w:rPr>
      <w:rFonts w:ascii="Cambria" w:hAnsi="Cambria"/>
      <w:b/>
      <w:bCs/>
      <w:sz w:val="32"/>
      <w:szCs w:val="32"/>
    </w:rPr>
  </w:style>
  <w:style w:type="paragraph" w:styleId="34">
    <w:name w:val="Body Text First Indent 2"/>
    <w:basedOn w:val="17"/>
    <w:link w:val="64"/>
    <w:qFormat/>
    <w:uiPriority w:val="0"/>
    <w:pPr>
      <w:spacing w:after="120" w:line="240" w:lineRule="auto"/>
      <w:ind w:left="420" w:leftChars="200" w:firstLine="420"/>
    </w:pPr>
    <w:rPr>
      <w:sz w:val="21"/>
    </w:rPr>
  </w:style>
  <w:style w:type="table" w:styleId="36">
    <w:name w:val="Table Grid"/>
    <w:basedOn w:val="35"/>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38">
    <w:name w:val="Strong"/>
    <w:qFormat/>
    <w:uiPriority w:val="0"/>
    <w:rPr>
      <w:b/>
      <w:bCs/>
    </w:rPr>
  </w:style>
  <w:style w:type="character" w:styleId="39">
    <w:name w:val="page number"/>
    <w:basedOn w:val="37"/>
    <w:qFormat/>
    <w:uiPriority w:val="0"/>
  </w:style>
  <w:style w:type="character" w:styleId="40">
    <w:name w:val="FollowedHyperlink"/>
    <w:qFormat/>
    <w:uiPriority w:val="0"/>
    <w:rPr>
      <w:color w:val="1F1F1F"/>
      <w:u w:val="none"/>
    </w:rPr>
  </w:style>
  <w:style w:type="character" w:styleId="41">
    <w:name w:val="Emphasis"/>
    <w:qFormat/>
    <w:uiPriority w:val="0"/>
  </w:style>
  <w:style w:type="character" w:styleId="42">
    <w:name w:val="HTML Definition"/>
    <w:qFormat/>
    <w:uiPriority w:val="0"/>
  </w:style>
  <w:style w:type="character" w:styleId="43">
    <w:name w:val="HTML Typewriter"/>
    <w:qFormat/>
    <w:uiPriority w:val="0"/>
    <w:rPr>
      <w:rFonts w:hint="default" w:ascii="monospace" w:hAnsi="monospace" w:eastAsia="monospace" w:cs="monospace"/>
      <w:sz w:val="20"/>
    </w:rPr>
  </w:style>
  <w:style w:type="character" w:styleId="44">
    <w:name w:val="HTML Acronym"/>
    <w:basedOn w:val="37"/>
    <w:qFormat/>
    <w:uiPriority w:val="0"/>
  </w:style>
  <w:style w:type="character" w:styleId="45">
    <w:name w:val="HTML Variable"/>
    <w:qFormat/>
    <w:uiPriority w:val="0"/>
  </w:style>
  <w:style w:type="character" w:styleId="46">
    <w:name w:val="Hyperlink"/>
    <w:qFormat/>
    <w:uiPriority w:val="99"/>
    <w:rPr>
      <w:color w:val="1F1F1F"/>
      <w:u w:val="none"/>
    </w:rPr>
  </w:style>
  <w:style w:type="character" w:styleId="47">
    <w:name w:val="HTML Code"/>
    <w:qFormat/>
    <w:uiPriority w:val="0"/>
    <w:rPr>
      <w:rFonts w:hint="default" w:ascii="monospace" w:hAnsi="monospace" w:eastAsia="monospace" w:cs="monospace"/>
      <w:sz w:val="20"/>
    </w:rPr>
  </w:style>
  <w:style w:type="character" w:styleId="48">
    <w:name w:val="HTML Cite"/>
    <w:qFormat/>
    <w:uiPriority w:val="0"/>
  </w:style>
  <w:style w:type="character" w:styleId="49">
    <w:name w:val="HTML Keyboard"/>
    <w:qFormat/>
    <w:uiPriority w:val="0"/>
    <w:rPr>
      <w:rFonts w:ascii="monospace" w:hAnsi="monospace" w:eastAsia="monospace" w:cs="monospace"/>
      <w:sz w:val="20"/>
    </w:rPr>
  </w:style>
  <w:style w:type="character" w:styleId="50">
    <w:name w:val="HTML Sample"/>
    <w:qFormat/>
    <w:uiPriority w:val="0"/>
    <w:rPr>
      <w:rFonts w:hint="default" w:ascii="monospace" w:hAnsi="monospace" w:eastAsia="monospace" w:cs="monospace"/>
    </w:rPr>
  </w:style>
  <w:style w:type="character" w:customStyle="1" w:styleId="51">
    <w:name w:val="正文文本 Char"/>
    <w:link w:val="3"/>
    <w:qFormat/>
    <w:uiPriority w:val="0"/>
    <w:rPr>
      <w:rFonts w:ascii="宋体" w:hAnsi="宋体" w:eastAsia="宋体"/>
      <w:kern w:val="2"/>
      <w:sz w:val="28"/>
      <w:szCs w:val="24"/>
      <w:lang w:bidi="ar-SA"/>
    </w:rPr>
  </w:style>
  <w:style w:type="character" w:customStyle="1" w:styleId="52">
    <w:name w:val="正文首行缩进 Char"/>
    <w:link w:val="2"/>
    <w:qFormat/>
    <w:uiPriority w:val="99"/>
    <w:rPr>
      <w:rFonts w:ascii="Calibri" w:hAnsi="Calibri"/>
      <w:kern w:val="2"/>
      <w:sz w:val="24"/>
      <w:szCs w:val="24"/>
    </w:rPr>
  </w:style>
  <w:style w:type="character" w:customStyle="1" w:styleId="53">
    <w:name w:val="标题 1 Char"/>
    <w:link w:val="4"/>
    <w:qFormat/>
    <w:uiPriority w:val="0"/>
    <w:rPr>
      <w:b/>
      <w:bCs/>
      <w:kern w:val="44"/>
      <w:sz w:val="44"/>
      <w:szCs w:val="44"/>
    </w:rPr>
  </w:style>
  <w:style w:type="character" w:customStyle="1" w:styleId="54">
    <w:name w:val="标题 3 Char"/>
    <w:link w:val="6"/>
    <w:qFormat/>
    <w:uiPriority w:val="0"/>
    <w:rPr>
      <w:b/>
      <w:bCs/>
      <w:kern w:val="2"/>
      <w:sz w:val="32"/>
      <w:szCs w:val="32"/>
    </w:rPr>
  </w:style>
  <w:style w:type="character" w:customStyle="1" w:styleId="55">
    <w:name w:val="标题 5 Char"/>
    <w:link w:val="8"/>
    <w:qFormat/>
    <w:uiPriority w:val="0"/>
    <w:rPr>
      <w:b/>
      <w:bCs/>
      <w:kern w:val="2"/>
      <w:sz w:val="28"/>
      <w:szCs w:val="28"/>
    </w:rPr>
  </w:style>
  <w:style w:type="character" w:customStyle="1" w:styleId="56">
    <w:name w:val="正文缩进 Char"/>
    <w:link w:val="13"/>
    <w:qFormat/>
    <w:uiPriority w:val="0"/>
    <w:rPr>
      <w:kern w:val="2"/>
      <w:sz w:val="21"/>
    </w:rPr>
  </w:style>
  <w:style w:type="character" w:customStyle="1" w:styleId="57">
    <w:name w:val="正文文本缩进 Char"/>
    <w:link w:val="17"/>
    <w:qFormat/>
    <w:uiPriority w:val="0"/>
    <w:rPr>
      <w:rFonts w:ascii="仿宋_GB2312" w:hAnsi="宋体" w:eastAsia="仿宋_GB2312"/>
      <w:kern w:val="2"/>
      <w:sz w:val="30"/>
      <w:szCs w:val="24"/>
    </w:rPr>
  </w:style>
  <w:style w:type="character" w:customStyle="1" w:styleId="58">
    <w:name w:val="纯文本 Char"/>
    <w:link w:val="19"/>
    <w:qFormat/>
    <w:uiPriority w:val="99"/>
    <w:rPr>
      <w:rFonts w:ascii="宋体" w:hAnsi="Courier New"/>
      <w:kern w:val="2"/>
      <w:sz w:val="24"/>
      <w:szCs w:val="24"/>
      <w:lang w:bidi="ar-SA"/>
    </w:rPr>
  </w:style>
  <w:style w:type="character" w:customStyle="1" w:styleId="59">
    <w:name w:val="日期 Char"/>
    <w:link w:val="20"/>
    <w:qFormat/>
    <w:uiPriority w:val="0"/>
    <w:rPr>
      <w:rFonts w:eastAsia="宋体"/>
      <w:kern w:val="2"/>
      <w:sz w:val="21"/>
      <w:szCs w:val="24"/>
      <w:lang w:val="en-US" w:eastAsia="zh-CN" w:bidi="ar-SA"/>
    </w:rPr>
  </w:style>
  <w:style w:type="character" w:customStyle="1" w:styleId="60">
    <w:name w:val="批注框文本 Char"/>
    <w:link w:val="22"/>
    <w:qFormat/>
    <w:uiPriority w:val="0"/>
    <w:rPr>
      <w:kern w:val="2"/>
      <w:sz w:val="18"/>
      <w:szCs w:val="18"/>
    </w:rPr>
  </w:style>
  <w:style w:type="character" w:customStyle="1" w:styleId="61">
    <w:name w:val="正文文本缩进 3 Char"/>
    <w:link w:val="29"/>
    <w:qFormat/>
    <w:uiPriority w:val="0"/>
    <w:rPr>
      <w:kern w:val="2"/>
      <w:sz w:val="16"/>
      <w:szCs w:val="16"/>
    </w:rPr>
  </w:style>
  <w:style w:type="character" w:customStyle="1" w:styleId="62">
    <w:name w:val="正文文本 2 Char"/>
    <w:basedOn w:val="37"/>
    <w:link w:val="31"/>
    <w:qFormat/>
    <w:uiPriority w:val="0"/>
    <w:rPr>
      <w:kern w:val="2"/>
      <w:sz w:val="21"/>
      <w:szCs w:val="24"/>
    </w:rPr>
  </w:style>
  <w:style w:type="character" w:customStyle="1" w:styleId="63">
    <w:name w:val="标题 Char"/>
    <w:link w:val="33"/>
    <w:qFormat/>
    <w:uiPriority w:val="0"/>
    <w:rPr>
      <w:rFonts w:ascii="Cambria" w:hAnsi="Cambria" w:cs="Times New Roman"/>
      <w:b/>
      <w:bCs/>
      <w:kern w:val="2"/>
      <w:sz w:val="32"/>
      <w:szCs w:val="32"/>
    </w:rPr>
  </w:style>
  <w:style w:type="character" w:customStyle="1" w:styleId="64">
    <w:name w:val="正文首行缩进 2 Char"/>
    <w:link w:val="34"/>
    <w:qFormat/>
    <w:uiPriority w:val="0"/>
    <w:rPr>
      <w:rFonts w:ascii="仿宋_GB2312" w:hAnsi="宋体" w:eastAsia="仿宋_GB2312"/>
      <w:kern w:val="2"/>
      <w:sz w:val="21"/>
      <w:szCs w:val="24"/>
    </w:rPr>
  </w:style>
  <w:style w:type="character" w:customStyle="1" w:styleId="65">
    <w:name w:val="纯文本 Char2"/>
    <w:qFormat/>
    <w:uiPriority w:val="0"/>
    <w:rPr>
      <w:rFonts w:ascii="宋体" w:hAnsi="Courier New"/>
      <w:kern w:val="2"/>
      <w:sz w:val="24"/>
      <w:szCs w:val="24"/>
      <w:lang w:bidi="ar-SA"/>
    </w:rPr>
  </w:style>
  <w:style w:type="character" w:customStyle="1" w:styleId="66">
    <w:name w:val="Char Char9"/>
    <w:qFormat/>
    <w:uiPriority w:val="0"/>
    <w:rPr>
      <w:rFonts w:ascii="宋体" w:hAnsi="Courier New" w:eastAsia="宋体" w:cs="Courier New"/>
      <w:kern w:val="2"/>
      <w:sz w:val="21"/>
      <w:szCs w:val="21"/>
      <w:lang w:val="en-US" w:eastAsia="zh-CN" w:bidi="ar-SA"/>
    </w:rPr>
  </w:style>
  <w:style w:type="character" w:customStyle="1" w:styleId="67">
    <w:name w:val="Char Char4"/>
    <w:qFormat/>
    <w:uiPriority w:val="0"/>
    <w:rPr>
      <w:rFonts w:ascii="宋体" w:hAnsi="宋体" w:eastAsia="宋体"/>
      <w:kern w:val="2"/>
      <w:sz w:val="28"/>
      <w:szCs w:val="24"/>
      <w:lang w:bidi="ar-SA"/>
    </w:rPr>
  </w:style>
  <w:style w:type="character" w:customStyle="1" w:styleId="68">
    <w:name w:val="列出段落 Char"/>
    <w:link w:val="69"/>
    <w:qFormat/>
    <w:uiPriority w:val="0"/>
    <w:rPr>
      <w:rFonts w:ascii="Calibri" w:hAnsi="Calibri"/>
      <w:kern w:val="2"/>
      <w:sz w:val="21"/>
      <w:szCs w:val="22"/>
    </w:rPr>
  </w:style>
  <w:style w:type="paragraph" w:styleId="69">
    <w:name w:val="List Paragraph"/>
    <w:basedOn w:val="1"/>
    <w:link w:val="68"/>
    <w:qFormat/>
    <w:uiPriority w:val="0"/>
    <w:pPr>
      <w:ind w:firstLine="420" w:firstLineChars="200"/>
    </w:pPr>
    <w:rPr>
      <w:rFonts w:ascii="Calibri" w:hAnsi="Calibri"/>
      <w:szCs w:val="22"/>
    </w:rPr>
  </w:style>
  <w:style w:type="character" w:customStyle="1" w:styleId="70">
    <w:name w:val="纯文本 Char4"/>
    <w:qFormat/>
    <w:uiPriority w:val="0"/>
    <w:rPr>
      <w:rFonts w:ascii="宋体" w:hAnsi="Courier New"/>
      <w:kern w:val="2"/>
      <w:sz w:val="24"/>
      <w:szCs w:val="24"/>
      <w:lang w:bidi="ar-SA"/>
    </w:rPr>
  </w:style>
  <w:style w:type="character" w:customStyle="1" w:styleId="71">
    <w:name w:val="spnmessagetext"/>
    <w:basedOn w:val="37"/>
    <w:qFormat/>
    <w:uiPriority w:val="0"/>
  </w:style>
  <w:style w:type="character" w:customStyle="1" w:styleId="72">
    <w:name w:val="正文缩进 Char1"/>
    <w:qFormat/>
    <w:uiPriority w:val="0"/>
    <w:rPr>
      <w:rFonts w:eastAsia="宋体"/>
      <w:kern w:val="2"/>
      <w:sz w:val="21"/>
      <w:lang w:val="en-US" w:eastAsia="zh-CN" w:bidi="ar-SA"/>
    </w:rPr>
  </w:style>
  <w:style w:type="paragraph" w:customStyle="1" w:styleId="73">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74">
    <w:name w:val="表内文字"/>
    <w:basedOn w:val="1"/>
    <w:qFormat/>
    <w:uiPriority w:val="0"/>
    <w:pPr>
      <w:widowControl/>
      <w:overflowPunct w:val="0"/>
      <w:autoSpaceDE w:val="0"/>
      <w:autoSpaceDN w:val="0"/>
      <w:adjustRightInd w:val="0"/>
      <w:snapToGrid w:val="0"/>
      <w:spacing w:line="360" w:lineRule="exact"/>
      <w:jc w:val="center"/>
      <w:textAlignment w:val="baseline"/>
    </w:pPr>
    <w:rPr>
      <w:rFonts w:ascii="宋体" w:hAnsi="宋体"/>
      <w:kern w:val="0"/>
      <w:sz w:val="24"/>
    </w:rPr>
  </w:style>
  <w:style w:type="paragraph" w:customStyle="1" w:styleId="75">
    <w:name w:val="题注4"/>
    <w:basedOn w:val="1"/>
    <w:next w:val="14"/>
    <w:qFormat/>
    <w:uiPriority w:val="0"/>
    <w:pPr>
      <w:ind w:left="-132" w:leftChars="-64" w:right="-105" w:rightChars="-50" w:hanging="2"/>
      <w:jc w:val="center"/>
    </w:pPr>
    <w:rPr>
      <w:b/>
      <w:color w:val="FF0000"/>
      <w:szCs w:val="21"/>
      <w:lang w:val="en-GB"/>
    </w:rPr>
  </w:style>
  <w:style w:type="paragraph" w:customStyle="1" w:styleId="76">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77">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78">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79">
    <w:name w:val="正文1"/>
    <w:basedOn w:val="1"/>
    <w:qFormat/>
    <w:uiPriority w:val="0"/>
    <w:pPr>
      <w:spacing w:before="240" w:line="460" w:lineRule="exact"/>
    </w:pPr>
    <w:rPr>
      <w:rFonts w:ascii="仿宋_GB2312" w:hAnsi="宋体" w:eastAsia="仿宋_GB2312"/>
      <w:b/>
      <w:sz w:val="28"/>
      <w:szCs w:val="28"/>
    </w:rPr>
  </w:style>
  <w:style w:type="paragraph" w:customStyle="1" w:styleId="80">
    <w:name w:val="p"/>
    <w:basedOn w:val="1"/>
    <w:qFormat/>
    <w:uiPriority w:val="0"/>
    <w:pPr>
      <w:widowControl/>
      <w:spacing w:before="100" w:beforeAutospacing="1" w:after="100" w:afterAutospacing="1"/>
      <w:jc w:val="left"/>
    </w:pPr>
    <w:rPr>
      <w:rFonts w:ascii="宋体" w:hAnsi="宋体" w:cs="宋体"/>
      <w:kern w:val="0"/>
      <w:sz w:val="24"/>
    </w:rPr>
  </w:style>
  <w:style w:type="paragraph" w:customStyle="1" w:styleId="81">
    <w:name w:val="_Style 2"/>
    <w:basedOn w:val="1"/>
    <w:qFormat/>
    <w:uiPriority w:val="0"/>
    <w:pPr>
      <w:adjustRightInd w:val="0"/>
      <w:spacing w:line="360" w:lineRule="atLeast"/>
      <w:ind w:firstLine="420" w:firstLineChars="200"/>
      <w:jc w:val="left"/>
      <w:textAlignment w:val="baseline"/>
    </w:pPr>
    <w:rPr>
      <w:rFonts w:ascii="Calibri" w:hAnsi="Calibri"/>
      <w:kern w:val="0"/>
      <w:sz w:val="24"/>
      <w:szCs w:val="22"/>
    </w:rPr>
  </w:style>
  <w:style w:type="paragraph" w:customStyle="1" w:styleId="82">
    <w:name w:val="默认段落字体 Para Char Char Char Char Char Char Char Char Char1 Char Char Char Char"/>
    <w:basedOn w:val="1"/>
    <w:qFormat/>
    <w:uiPriority w:val="0"/>
    <w:rPr>
      <w:rFonts w:ascii="Tahoma" w:hAnsi="Tahoma"/>
      <w:sz w:val="24"/>
      <w:szCs w:val="20"/>
    </w:rPr>
  </w:style>
  <w:style w:type="paragraph" w:customStyle="1" w:styleId="83">
    <w:name w:val="表格文字"/>
    <w:basedOn w:val="1"/>
    <w:qFormat/>
    <w:uiPriority w:val="0"/>
    <w:pPr>
      <w:spacing w:before="25" w:after="25"/>
      <w:jc w:val="left"/>
    </w:pPr>
    <w:rPr>
      <w:bCs/>
      <w:spacing w:val="10"/>
      <w:kern w:val="0"/>
      <w:sz w:val="24"/>
      <w:szCs w:val="20"/>
    </w:rPr>
  </w:style>
  <w:style w:type="paragraph" w:customStyle="1" w:styleId="84">
    <w:name w:val="Char"/>
    <w:basedOn w:val="1"/>
    <w:qFormat/>
    <w:uiPriority w:val="0"/>
    <w:rPr>
      <w:rFonts w:ascii="仿宋_GB2312" w:hAnsi="仿宋" w:eastAsia="仿宋_GB2312"/>
      <w:sz w:val="32"/>
    </w:rPr>
  </w:style>
  <w:style w:type="paragraph" w:customStyle="1" w:styleId="85">
    <w:name w:val="表格-国"/>
    <w:basedOn w:val="1"/>
    <w:qFormat/>
    <w:uiPriority w:val="0"/>
    <w:rPr>
      <w:sz w:val="18"/>
    </w:rPr>
  </w:style>
  <w:style w:type="paragraph" w:customStyle="1" w:styleId="86">
    <w:name w:val="图"/>
    <w:basedOn w:val="1"/>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87">
    <w:name w:val="Char Char Char Char Char Char Char"/>
    <w:basedOn w:val="1"/>
    <w:qFormat/>
    <w:uiPriority w:val="0"/>
    <w:pPr>
      <w:tabs>
        <w:tab w:val="left" w:pos="432"/>
      </w:tabs>
      <w:ind w:left="432" w:hanging="432"/>
    </w:pPr>
    <w:rPr>
      <w:rFonts w:ascii="Tahoma" w:hAnsi="Tahoma"/>
      <w:sz w:val="24"/>
      <w:szCs w:val="20"/>
    </w:r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31"/>
    <customShpInfo spid="_x0000_s1030"/>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9E76B75-48A3-4E86-AF77-E57A18EFD515}">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58</Pages>
  <Words>23976</Words>
  <Characters>25678</Characters>
  <Lines>255</Lines>
  <Paragraphs>71</Paragraphs>
  <TotalTime>5</TotalTime>
  <ScaleCrop>false</ScaleCrop>
  <LinksUpToDate>false</LinksUpToDate>
  <CharactersWithSpaces>27678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2023-05-15T05:55:00Z</dcterms:created>
  <dc:creator>微软用户</dc:creator>
  <cp:lastModifiedBy>小懒</cp:lastModifiedBy>
  <cp:lastPrinted>2021-05-24T06:30:00Z</cp:lastPrinted>
  <dcterms:modified xsi:type="dcterms:W3CDTF">2025-03-28T08:11:58Z</dcterms:modified>
  <dc:title>1</dc:title>
  <cp:revision>43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A43F94F8E3704CA4804FE162AB77F1C6</vt:lpwstr>
  </property>
  <property fmtid="{D5CDD505-2E9C-101B-9397-08002B2CF9AE}" pid="4" name="KSOTemplateDocerSaveRecord">
    <vt:lpwstr>eyJoZGlkIjoiOGRiNGNlNDBkMTA1Mzk4ZmJmNjI0ODkzZmQ0MjBjNzkiLCJ1c2VySWQiOiI2MTc4NzE0ODYifQ==</vt:lpwstr>
  </property>
</Properties>
</file>